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20639C9B" w:rsidR="009E7D0C" w:rsidRPr="00696301" w:rsidRDefault="008D045D" w:rsidP="0076375E">
      <w:pPr>
        <w:jc w:val="center"/>
        <w:rPr>
          <w:rFonts w:ascii="Times New Roman" w:hAnsi="Times New Roman"/>
          <w:sz w:val="24"/>
        </w:rPr>
      </w:pPr>
      <w:bookmarkStart w:id="0" w:name="_Toc262568021"/>
      <w:bookmarkStart w:id="1" w:name="_Toc295829847"/>
      <w:r>
        <w:rPr>
          <w:rFonts w:ascii="Times New Roman" w:hAnsi="Times New Roman"/>
          <w:sz w:val="24"/>
        </w:rPr>
        <w:t>LT</w:t>
      </w:r>
    </w:p>
    <w:p w14:paraId="24333E7A" w14:textId="068FF302" w:rsidR="008D696E" w:rsidRDefault="008D696E" w:rsidP="00A33695">
      <w:pPr>
        <w:jc w:val="center"/>
        <w:rPr>
          <w:rFonts w:ascii="Times New Roman" w:hAnsi="Times New Roman"/>
          <w:sz w:val="24"/>
        </w:rPr>
      </w:pPr>
      <w:r>
        <w:rPr>
          <w:rFonts w:ascii="Times New Roman" w:hAnsi="Times New Roman"/>
          <w:sz w:val="24"/>
        </w:rPr>
        <w:t>II PRIEDAS</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„XI PRIEDAS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NURODYMAI DĖL INFORMACIJOS APIE RtM K VEIKSNIŲ REIKALAVIMĄ, REMIANTIS K-NPR, TEIKIMO</w:t>
      </w:r>
    </w:p>
    <w:p w14:paraId="3DEB94EC" w14:textId="77777777" w:rsidR="00783881" w:rsidRPr="00696301" w:rsidRDefault="002648B0" w:rsidP="00487A02">
      <w:pPr>
        <w:pStyle w:val="InstructionsText"/>
      </w:pPr>
      <w:r>
        <w:t>Turinys</w:t>
      </w:r>
    </w:p>
    <w:p w14:paraId="57A6D54E" w14:textId="488BC62B" w:rsidR="004069B8"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17559" w:history="1">
        <w:r w:rsidR="004069B8" w:rsidRPr="0082402E">
          <w:rPr>
            <w:rStyle w:val="Hyperlink"/>
            <w:rFonts w:ascii="Times New Roman" w:hAnsi="Times New Roman"/>
          </w:rPr>
          <w:t>I DALIS. BENDRIEJI NURODYMAI</w:t>
        </w:r>
        <w:r w:rsidR="004069B8">
          <w:rPr>
            <w:webHidden/>
          </w:rPr>
          <w:tab/>
        </w:r>
        <w:r w:rsidR="004069B8">
          <w:rPr>
            <w:webHidden/>
          </w:rPr>
          <w:fldChar w:fldCharType="begin"/>
        </w:r>
        <w:r w:rsidR="004069B8">
          <w:rPr>
            <w:webHidden/>
          </w:rPr>
          <w:instrText xml:space="preserve"> PAGEREF _Toc210917559 \h </w:instrText>
        </w:r>
        <w:r w:rsidR="004069B8">
          <w:rPr>
            <w:webHidden/>
          </w:rPr>
        </w:r>
        <w:r w:rsidR="004069B8">
          <w:rPr>
            <w:webHidden/>
          </w:rPr>
          <w:fldChar w:fldCharType="separate"/>
        </w:r>
        <w:r w:rsidR="004069B8">
          <w:rPr>
            <w:webHidden/>
          </w:rPr>
          <w:t>2</w:t>
        </w:r>
        <w:r w:rsidR="004069B8">
          <w:rPr>
            <w:webHidden/>
          </w:rPr>
          <w:fldChar w:fldCharType="end"/>
        </w:r>
      </w:hyperlink>
    </w:p>
    <w:p w14:paraId="3651FF08" w14:textId="03A2C74D"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0" w:history="1">
        <w:r w:rsidRPr="00DA4678">
          <w:rPr>
            <w:rStyle w:val="Hyperlink"/>
            <w:rFonts w:ascii="Times New Roman" w:hAnsi="Times New Roman"/>
            <w:sz w:val="18"/>
            <w:szCs w:val="18"/>
          </w:rPr>
          <w:t>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TVARKA</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_Toc210917560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w:t>
        </w:r>
        <w:r w:rsidRPr="00DA4678">
          <w:rPr>
            <w:rFonts w:ascii="Times New Roman" w:hAnsi="Times New Roman"/>
            <w:webHidden/>
            <w:sz w:val="18"/>
            <w:szCs w:val="18"/>
          </w:rPr>
          <w:fldChar w:fldCharType="end"/>
        </w:r>
      </w:hyperlink>
    </w:p>
    <w:p w14:paraId="02B1ACC1" w14:textId="49D4E2F3"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1" w:history="1">
        <w:r w:rsidRPr="00DA4678">
          <w:rPr>
            <w:rStyle w:val="Hyperlink"/>
            <w:rFonts w:ascii="Times New Roman" w:hAnsi="Times New Roman"/>
            <w:sz w:val="18"/>
            <w:szCs w:val="18"/>
          </w:rPr>
          <w:t>1.1.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Numeravimo tvarka</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_Toc210917561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w:t>
        </w:r>
        <w:r w:rsidRPr="00DA4678">
          <w:rPr>
            <w:rFonts w:ascii="Times New Roman" w:hAnsi="Times New Roman"/>
            <w:webHidden/>
            <w:sz w:val="18"/>
            <w:szCs w:val="18"/>
          </w:rPr>
          <w:fldChar w:fldCharType="end"/>
        </w:r>
      </w:hyperlink>
    </w:p>
    <w:p w14:paraId="753D093B" w14:textId="6109FB4B"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2" w:history="1">
        <w:r w:rsidRPr="00DA4678">
          <w:rPr>
            <w:rStyle w:val="Hyperlink"/>
            <w:rFonts w:ascii="Times New Roman" w:hAnsi="Times New Roman"/>
            <w:sz w:val="18"/>
            <w:szCs w:val="18"/>
          </w:rPr>
          <w:t>1.2.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Ženklų tvarka</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_Toc210917562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w:t>
        </w:r>
        <w:r w:rsidRPr="00DA4678">
          <w:rPr>
            <w:rFonts w:ascii="Times New Roman" w:hAnsi="Times New Roman"/>
            <w:webHidden/>
            <w:sz w:val="18"/>
            <w:szCs w:val="18"/>
          </w:rPr>
          <w:fldChar w:fldCharType="end"/>
        </w:r>
      </w:hyperlink>
    </w:p>
    <w:p w14:paraId="41980137" w14:textId="37B3DB68"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3" w:history="1">
        <w:r w:rsidRPr="00DA4678">
          <w:rPr>
            <w:rStyle w:val="Hyperlink"/>
            <w:rFonts w:ascii="Times New Roman" w:hAnsi="Times New Roman"/>
            <w:sz w:val="18"/>
            <w:szCs w:val="18"/>
          </w:rPr>
          <w:t>1.3.</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Nuorodos į Reglamentą (ES) Nr. 575/2013</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_Toc210917563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w:t>
        </w:r>
        <w:r w:rsidRPr="00DA4678">
          <w:rPr>
            <w:rFonts w:ascii="Times New Roman" w:hAnsi="Times New Roman"/>
            <w:webHidden/>
            <w:sz w:val="18"/>
            <w:szCs w:val="18"/>
          </w:rPr>
          <w:fldChar w:fldCharType="end"/>
        </w:r>
      </w:hyperlink>
    </w:p>
    <w:p w14:paraId="7F737138" w14:textId="3A915BEA"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4" w:history="1">
        <w:r w:rsidRPr="00DA4678">
          <w:rPr>
            <w:rStyle w:val="Hyperlink"/>
            <w:rFonts w:ascii="Times New Roman" w:hAnsi="Times New Roman"/>
            <w:sz w:val="18"/>
            <w:szCs w:val="18"/>
          </w:rPr>
          <w:t>II DALIS. SU ŠABLONU SUSIJĘ NURODYMAI. RINKOS RIZIKOS ŠABLONAI</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_Toc210917564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3</w:t>
        </w:r>
        <w:r w:rsidRPr="00DA4678">
          <w:rPr>
            <w:rFonts w:ascii="Times New Roman" w:hAnsi="Times New Roman"/>
            <w:webHidden/>
            <w:sz w:val="18"/>
            <w:szCs w:val="18"/>
          </w:rPr>
          <w:fldChar w:fldCharType="end"/>
        </w:r>
      </w:hyperlink>
    </w:p>
    <w:p w14:paraId="0ACB742C" w14:textId="1FB41E36"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5" w:history="1">
        <w:r w:rsidRPr="00DA4678">
          <w:rPr>
            <w:rStyle w:val="Hyperlink"/>
            <w:rFonts w:ascii="Times New Roman" w:hAnsi="Times New Roman"/>
            <w:sz w:val="18"/>
            <w:szCs w:val="18"/>
          </w:rPr>
          <w:t>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_Toc210917565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3</w:t>
        </w:r>
        <w:r w:rsidRPr="00DA4678">
          <w:rPr>
            <w:rFonts w:ascii="Times New Roman" w:hAnsi="Times New Roman"/>
            <w:webHidden/>
            <w:sz w:val="18"/>
            <w:szCs w:val="18"/>
          </w:rPr>
          <w:fldChar w:fldCharType="end"/>
        </w:r>
      </w:hyperlink>
    </w:p>
    <w:p w14:paraId="3A347528" w14:textId="73CB4885"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6" w:history="1">
        <w:r w:rsidRPr="00DA4678">
          <w:rPr>
            <w:rStyle w:val="Hyperlink"/>
            <w:rFonts w:ascii="Times New Roman" w:hAnsi="Times New Roman"/>
            <w:sz w:val="18"/>
            <w:szCs w:val="18"/>
          </w:rPr>
          <w:t>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18.00. Rinkos rizika. Standartizuotas metodas, taikomas skolos priemonių, kuriomis prekiaujama, pozicijų rizikai (MKR SA TDI)</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_Toc210917566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3</w:t>
        </w:r>
        <w:r w:rsidRPr="00DA4678">
          <w:rPr>
            <w:rFonts w:ascii="Times New Roman" w:hAnsi="Times New Roman"/>
            <w:webHidden/>
            <w:sz w:val="18"/>
            <w:szCs w:val="18"/>
          </w:rPr>
          <w:fldChar w:fldCharType="end"/>
        </w:r>
      </w:hyperlink>
    </w:p>
    <w:p w14:paraId="097F49B7" w14:textId="4722761A"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7" w:history="1">
        <w:r w:rsidRPr="00DA4678">
          <w:rPr>
            <w:rStyle w:val="Hyperlink"/>
            <w:rFonts w:ascii="Times New Roman" w:hAnsi="Times New Roman"/>
            <w:sz w:val="18"/>
            <w:szCs w:val="18"/>
          </w:rPr>
          <w:t>2.1.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_Toc210917567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3</w:t>
        </w:r>
        <w:r w:rsidRPr="00DA4678">
          <w:rPr>
            <w:rFonts w:ascii="Times New Roman" w:hAnsi="Times New Roman"/>
            <w:webHidden/>
            <w:sz w:val="18"/>
            <w:szCs w:val="18"/>
          </w:rPr>
          <w:fldChar w:fldCharType="end"/>
        </w:r>
      </w:hyperlink>
    </w:p>
    <w:p w14:paraId="733B9E36" w14:textId="13E074D9"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8" w:history="1">
        <w:r w:rsidRPr="00DA4678">
          <w:rPr>
            <w:rStyle w:val="Hyperlink"/>
            <w:rFonts w:ascii="Times New Roman" w:hAnsi="Times New Roman"/>
            <w:sz w:val="18"/>
            <w:szCs w:val="18"/>
          </w:rPr>
          <w:t>2.2.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_Toc210917568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4</w:t>
        </w:r>
        <w:r w:rsidRPr="00DA4678">
          <w:rPr>
            <w:rFonts w:ascii="Times New Roman" w:hAnsi="Times New Roman"/>
            <w:webHidden/>
            <w:sz w:val="18"/>
            <w:szCs w:val="18"/>
          </w:rPr>
          <w:fldChar w:fldCharType="end"/>
        </w:r>
      </w:hyperlink>
    </w:p>
    <w:p w14:paraId="51316850" w14:textId="52CC9C26"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69" w:history="1">
        <w:r w:rsidRPr="00DA4678">
          <w:rPr>
            <w:rStyle w:val="Hyperlink"/>
            <w:rFonts w:ascii="Times New Roman" w:hAnsi="Times New Roman"/>
            <w:sz w:val="18"/>
            <w:szCs w:val="18"/>
          </w:rPr>
          <w:t>3.</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19.00. RINKOS RIZIKA. STANDARTIZUOTAS METODAS, TAIKOMAS SPECIFINEI PAKEITIMO VERTYBINIAIS POPIERIAIS RIZIKAI (MKR SA SEC)</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_Toc210917569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6</w:t>
        </w:r>
        <w:r w:rsidRPr="00DA4678">
          <w:rPr>
            <w:rFonts w:ascii="Times New Roman" w:hAnsi="Times New Roman"/>
            <w:webHidden/>
            <w:sz w:val="18"/>
            <w:szCs w:val="18"/>
          </w:rPr>
          <w:fldChar w:fldCharType="end"/>
        </w:r>
      </w:hyperlink>
    </w:p>
    <w:p w14:paraId="6F7BB813" w14:textId="1E0FE48D"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0" w:history="1">
        <w:r w:rsidRPr="00DA4678">
          <w:rPr>
            <w:rStyle w:val="Hyperlink"/>
            <w:rFonts w:ascii="Times New Roman" w:hAnsi="Times New Roman"/>
            <w:sz w:val="18"/>
            <w:szCs w:val="18"/>
          </w:rPr>
          <w:t>3.1.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_Toc210917570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6</w:t>
        </w:r>
        <w:r w:rsidRPr="00DA4678">
          <w:rPr>
            <w:rFonts w:ascii="Times New Roman" w:hAnsi="Times New Roman"/>
            <w:webHidden/>
            <w:sz w:val="18"/>
            <w:szCs w:val="18"/>
          </w:rPr>
          <w:fldChar w:fldCharType="end"/>
        </w:r>
      </w:hyperlink>
    </w:p>
    <w:p w14:paraId="7851AA22" w14:textId="659701FF"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1" w:history="1">
        <w:r w:rsidRPr="00DA4678">
          <w:rPr>
            <w:rStyle w:val="Hyperlink"/>
            <w:rFonts w:ascii="Times New Roman" w:hAnsi="Times New Roman"/>
            <w:sz w:val="18"/>
            <w:szCs w:val="18"/>
          </w:rPr>
          <w:t>3.2.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_Toc210917571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6</w:t>
        </w:r>
        <w:r w:rsidRPr="00DA4678">
          <w:rPr>
            <w:rFonts w:ascii="Times New Roman" w:hAnsi="Times New Roman"/>
            <w:webHidden/>
            <w:sz w:val="18"/>
            <w:szCs w:val="18"/>
          </w:rPr>
          <w:fldChar w:fldCharType="end"/>
        </w:r>
      </w:hyperlink>
    </w:p>
    <w:p w14:paraId="6FF8D6A8" w14:textId="48A78A72"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2" w:history="1">
        <w:r w:rsidRPr="00DA4678">
          <w:rPr>
            <w:rStyle w:val="Hyperlink"/>
            <w:rFonts w:ascii="Times New Roman" w:hAnsi="Times New Roman"/>
            <w:sz w:val="18"/>
            <w:szCs w:val="18"/>
          </w:rPr>
          <w:t>4.</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20.00. RINKOS RIZIKA. STANDARTIZUOTAS METODAS, TAIKOMAS SPECIFINEI RIZIKAI, SUSIJUSIAI SU KORELIACINĖS PREKYBOS PORTFELIUI PRISKIRTOMIS POZICIJOMIS (MKR SA CTP)</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_Toc210917572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9</w:t>
        </w:r>
        <w:r w:rsidRPr="00DA4678">
          <w:rPr>
            <w:rFonts w:ascii="Times New Roman" w:hAnsi="Times New Roman"/>
            <w:webHidden/>
            <w:sz w:val="18"/>
            <w:szCs w:val="18"/>
          </w:rPr>
          <w:fldChar w:fldCharType="end"/>
        </w:r>
      </w:hyperlink>
    </w:p>
    <w:p w14:paraId="384FD20F" w14:textId="7D7C29A5"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3" w:history="1">
        <w:r w:rsidRPr="00DA4678">
          <w:rPr>
            <w:rStyle w:val="Hyperlink"/>
            <w:rFonts w:ascii="Times New Roman" w:hAnsi="Times New Roman"/>
            <w:sz w:val="18"/>
            <w:szCs w:val="18"/>
          </w:rPr>
          <w:t>4.1.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_Toc210917573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9</w:t>
        </w:r>
        <w:r w:rsidRPr="00DA4678">
          <w:rPr>
            <w:rFonts w:ascii="Times New Roman" w:hAnsi="Times New Roman"/>
            <w:webHidden/>
            <w:sz w:val="18"/>
            <w:szCs w:val="18"/>
          </w:rPr>
          <w:fldChar w:fldCharType="end"/>
        </w:r>
      </w:hyperlink>
    </w:p>
    <w:p w14:paraId="693A59FF" w14:textId="38292F6D"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4" w:history="1">
        <w:r w:rsidRPr="00DA4678">
          <w:rPr>
            <w:rStyle w:val="Hyperlink"/>
            <w:rFonts w:ascii="Times New Roman" w:hAnsi="Times New Roman"/>
            <w:sz w:val="18"/>
            <w:szCs w:val="18"/>
          </w:rPr>
          <w:t>4.2.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_Toc210917574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9</w:t>
        </w:r>
        <w:r w:rsidRPr="00DA4678">
          <w:rPr>
            <w:rFonts w:ascii="Times New Roman" w:hAnsi="Times New Roman"/>
            <w:webHidden/>
            <w:sz w:val="18"/>
            <w:szCs w:val="18"/>
          </w:rPr>
          <w:fldChar w:fldCharType="end"/>
        </w:r>
      </w:hyperlink>
    </w:p>
    <w:p w14:paraId="7E9B6F96" w14:textId="174F35EA"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5" w:history="1">
        <w:r w:rsidRPr="00DA4678">
          <w:rPr>
            <w:rStyle w:val="Hyperlink"/>
            <w:rFonts w:ascii="Times New Roman" w:hAnsi="Times New Roman"/>
            <w:sz w:val="18"/>
            <w:szCs w:val="18"/>
          </w:rPr>
          <w:t>5.</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21.00. Rinkos rizika. Standartizuotas metodas, taikomas nuosavybės vertybinių popierių pozicijos rizikai (MKR SA EQU)</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_Toc210917575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12</w:t>
        </w:r>
        <w:r w:rsidRPr="00DA4678">
          <w:rPr>
            <w:rFonts w:ascii="Times New Roman" w:hAnsi="Times New Roman"/>
            <w:webHidden/>
            <w:sz w:val="18"/>
            <w:szCs w:val="18"/>
          </w:rPr>
          <w:fldChar w:fldCharType="end"/>
        </w:r>
      </w:hyperlink>
    </w:p>
    <w:p w14:paraId="2C14D989" w14:textId="50AF8DA7"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6" w:history="1">
        <w:r w:rsidRPr="00DA4678">
          <w:rPr>
            <w:rStyle w:val="Hyperlink"/>
            <w:rFonts w:ascii="Times New Roman" w:hAnsi="Times New Roman"/>
            <w:sz w:val="18"/>
            <w:szCs w:val="18"/>
          </w:rPr>
          <w:t>5.1.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_Toc210917576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12</w:t>
        </w:r>
        <w:r w:rsidRPr="00DA4678">
          <w:rPr>
            <w:rFonts w:ascii="Times New Roman" w:hAnsi="Times New Roman"/>
            <w:webHidden/>
            <w:sz w:val="18"/>
            <w:szCs w:val="18"/>
          </w:rPr>
          <w:fldChar w:fldCharType="end"/>
        </w:r>
      </w:hyperlink>
    </w:p>
    <w:p w14:paraId="36EA22FA" w14:textId="0931F929"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7" w:history="1">
        <w:r w:rsidRPr="00DA4678">
          <w:rPr>
            <w:rStyle w:val="Hyperlink"/>
            <w:rFonts w:ascii="Times New Roman" w:hAnsi="Times New Roman"/>
            <w:sz w:val="18"/>
            <w:szCs w:val="18"/>
          </w:rPr>
          <w:t>5.2.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_Toc210917577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13</w:t>
        </w:r>
        <w:r w:rsidRPr="00DA4678">
          <w:rPr>
            <w:rFonts w:ascii="Times New Roman" w:hAnsi="Times New Roman"/>
            <w:webHidden/>
            <w:sz w:val="18"/>
            <w:szCs w:val="18"/>
          </w:rPr>
          <w:fldChar w:fldCharType="end"/>
        </w:r>
      </w:hyperlink>
    </w:p>
    <w:p w14:paraId="4F4CB23A" w14:textId="4AC65962"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8" w:history="1">
        <w:r w:rsidRPr="00DA4678">
          <w:rPr>
            <w:rStyle w:val="Hyperlink"/>
            <w:rFonts w:ascii="Times New Roman" w:hAnsi="Times New Roman"/>
            <w:sz w:val="18"/>
            <w:szCs w:val="18"/>
          </w:rPr>
          <w:t>6.</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22.00. Rinkos rizika. Standartizuoti metodai, taikomi užsienio valiutos kurso rizikai (MKR SA FX)</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_Toc210917578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15</w:t>
        </w:r>
        <w:r w:rsidRPr="00DA4678">
          <w:rPr>
            <w:rFonts w:ascii="Times New Roman" w:hAnsi="Times New Roman"/>
            <w:webHidden/>
            <w:sz w:val="18"/>
            <w:szCs w:val="18"/>
          </w:rPr>
          <w:fldChar w:fldCharType="end"/>
        </w:r>
      </w:hyperlink>
    </w:p>
    <w:p w14:paraId="4C5E3A01" w14:textId="7DECDD26"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79" w:history="1">
        <w:r w:rsidRPr="00DA4678">
          <w:rPr>
            <w:rStyle w:val="Hyperlink"/>
            <w:rFonts w:ascii="Times New Roman" w:hAnsi="Times New Roman"/>
            <w:sz w:val="18"/>
            <w:szCs w:val="18"/>
          </w:rPr>
          <w:t>6.1.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_Toc210917579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15</w:t>
        </w:r>
        <w:r w:rsidRPr="00DA4678">
          <w:rPr>
            <w:rFonts w:ascii="Times New Roman" w:hAnsi="Times New Roman"/>
            <w:webHidden/>
            <w:sz w:val="18"/>
            <w:szCs w:val="18"/>
          </w:rPr>
          <w:fldChar w:fldCharType="end"/>
        </w:r>
      </w:hyperlink>
    </w:p>
    <w:p w14:paraId="55E41785" w14:textId="522CBD35"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0" w:history="1">
        <w:r w:rsidRPr="00DA4678">
          <w:rPr>
            <w:rStyle w:val="Hyperlink"/>
            <w:rFonts w:ascii="Times New Roman" w:hAnsi="Times New Roman"/>
            <w:sz w:val="18"/>
            <w:szCs w:val="18"/>
          </w:rPr>
          <w:t>6.2.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_Toc210917580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15</w:t>
        </w:r>
        <w:r w:rsidRPr="00DA4678">
          <w:rPr>
            <w:rFonts w:ascii="Times New Roman" w:hAnsi="Times New Roman"/>
            <w:webHidden/>
            <w:sz w:val="18"/>
            <w:szCs w:val="18"/>
          </w:rPr>
          <w:fldChar w:fldCharType="end"/>
        </w:r>
      </w:hyperlink>
    </w:p>
    <w:p w14:paraId="2A673D62" w14:textId="6DB8384B"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1" w:history="1">
        <w:r w:rsidRPr="00DA4678">
          <w:rPr>
            <w:rStyle w:val="Hyperlink"/>
            <w:rFonts w:ascii="Times New Roman" w:hAnsi="Times New Roman"/>
            <w:sz w:val="18"/>
            <w:szCs w:val="18"/>
          </w:rPr>
          <w:t>7.</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23.00. Rinkos rizika. Standartizuoti metodai, taikomi biržos prekėms (MKR SA COM</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_Toc210917581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18</w:t>
        </w:r>
        <w:r w:rsidRPr="00DA4678">
          <w:rPr>
            <w:rFonts w:ascii="Times New Roman" w:hAnsi="Times New Roman"/>
            <w:webHidden/>
            <w:sz w:val="18"/>
            <w:szCs w:val="18"/>
          </w:rPr>
          <w:fldChar w:fldCharType="end"/>
        </w:r>
      </w:hyperlink>
    </w:p>
    <w:p w14:paraId="55AA99F0" w14:textId="4B6ED150"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2" w:history="1">
        <w:r w:rsidRPr="00DA4678">
          <w:rPr>
            <w:rStyle w:val="Hyperlink"/>
            <w:rFonts w:ascii="Times New Roman" w:hAnsi="Times New Roman"/>
            <w:sz w:val="18"/>
            <w:szCs w:val="18"/>
          </w:rPr>
          <w:t>7.1.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_Toc210917582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18</w:t>
        </w:r>
        <w:r w:rsidRPr="00DA4678">
          <w:rPr>
            <w:rFonts w:ascii="Times New Roman" w:hAnsi="Times New Roman"/>
            <w:webHidden/>
            <w:sz w:val="18"/>
            <w:szCs w:val="18"/>
          </w:rPr>
          <w:fldChar w:fldCharType="end"/>
        </w:r>
      </w:hyperlink>
    </w:p>
    <w:p w14:paraId="0CE07504" w14:textId="7C04671E"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3" w:history="1">
        <w:r w:rsidRPr="00DA4678">
          <w:rPr>
            <w:rStyle w:val="Hyperlink"/>
            <w:rFonts w:ascii="Times New Roman" w:hAnsi="Times New Roman"/>
            <w:sz w:val="18"/>
            <w:szCs w:val="18"/>
          </w:rPr>
          <w:t>7.2.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_Toc210917583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18</w:t>
        </w:r>
        <w:r w:rsidRPr="00DA4678">
          <w:rPr>
            <w:rFonts w:ascii="Times New Roman" w:hAnsi="Times New Roman"/>
            <w:webHidden/>
            <w:sz w:val="18"/>
            <w:szCs w:val="18"/>
          </w:rPr>
          <w:fldChar w:fldCharType="end"/>
        </w:r>
      </w:hyperlink>
    </w:p>
    <w:p w14:paraId="19F5D25A" w14:textId="38A39A0F"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4" w:history="1">
        <w:r w:rsidRPr="00DA4678">
          <w:rPr>
            <w:rStyle w:val="Hyperlink"/>
            <w:rFonts w:ascii="Times New Roman" w:hAnsi="Times New Roman"/>
            <w:sz w:val="18"/>
            <w:szCs w:val="18"/>
          </w:rPr>
          <w:t>8.</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C 24.00. Rinkos rizikos vidaus modelis (MKR IM)</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_Toc210917584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20</w:t>
        </w:r>
        <w:r w:rsidRPr="00DA4678">
          <w:rPr>
            <w:rFonts w:ascii="Times New Roman" w:hAnsi="Times New Roman"/>
            <w:webHidden/>
            <w:sz w:val="18"/>
            <w:szCs w:val="18"/>
          </w:rPr>
          <w:fldChar w:fldCharType="end"/>
        </w:r>
      </w:hyperlink>
    </w:p>
    <w:p w14:paraId="06938D82" w14:textId="3277DF21"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5" w:history="1">
        <w:r w:rsidRPr="00DA4678">
          <w:rPr>
            <w:rStyle w:val="Hyperlink"/>
            <w:rFonts w:ascii="Times New Roman" w:hAnsi="Times New Roman"/>
            <w:sz w:val="18"/>
            <w:szCs w:val="18"/>
          </w:rPr>
          <w:t>8.1.</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Bendrosios pastabos</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_Toc210917585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20</w:t>
        </w:r>
        <w:r w:rsidRPr="00DA4678">
          <w:rPr>
            <w:rFonts w:ascii="Times New Roman" w:hAnsi="Times New Roman"/>
            <w:webHidden/>
            <w:sz w:val="18"/>
            <w:szCs w:val="18"/>
          </w:rPr>
          <w:fldChar w:fldCharType="end"/>
        </w:r>
      </w:hyperlink>
    </w:p>
    <w:p w14:paraId="65A85A4A" w14:textId="5FB922CC" w:rsidR="004069B8" w:rsidRPr="00DA4678" w:rsidRDefault="004069B8">
      <w:pPr>
        <w:pStyle w:val="TOC2"/>
        <w:rPr>
          <w:rFonts w:ascii="Times New Roman" w:eastAsiaTheme="minorEastAsia" w:hAnsi="Times New Roman"/>
          <w:b w:val="0"/>
          <w:smallCaps w:val="0"/>
          <w:kern w:val="2"/>
          <w:sz w:val="18"/>
          <w:szCs w:val="18"/>
          <w:lang w:val="en-IE" w:eastAsia="en-IE"/>
          <w14:ligatures w14:val="standardContextual"/>
        </w:rPr>
      </w:pPr>
      <w:hyperlink w:anchor="_Toc210917586" w:history="1">
        <w:r w:rsidRPr="00DA4678">
          <w:rPr>
            <w:rStyle w:val="Hyperlink"/>
            <w:rFonts w:ascii="Times New Roman" w:hAnsi="Times New Roman"/>
            <w:sz w:val="18"/>
            <w:szCs w:val="18"/>
          </w:rPr>
          <w:t>8.2.</w:t>
        </w:r>
        <w:r w:rsidRPr="00DA4678">
          <w:rPr>
            <w:rFonts w:ascii="Times New Roman" w:eastAsiaTheme="minorEastAsia" w:hAnsi="Times New Roman"/>
            <w:b w:val="0"/>
            <w:smallCaps w:val="0"/>
            <w:kern w:val="2"/>
            <w:sz w:val="18"/>
            <w:szCs w:val="18"/>
            <w:lang w:val="en-IE" w:eastAsia="en-IE"/>
            <w14:ligatures w14:val="standardContextual"/>
          </w:rPr>
          <w:tab/>
        </w:r>
        <w:r w:rsidRPr="00DA4678">
          <w:rPr>
            <w:rStyle w:val="Hyperlink"/>
            <w:rFonts w:ascii="Times New Roman" w:hAnsi="Times New Roman"/>
            <w:sz w:val="18"/>
            <w:szCs w:val="18"/>
          </w:rPr>
          <w:t>Nurodymai dėl konkrečių pozicijų</w:t>
        </w:r>
        <w:r w:rsidRPr="00DA4678">
          <w:rPr>
            <w:rFonts w:ascii="Times New Roman" w:hAnsi="Times New Roman"/>
            <w:webHidden/>
            <w:sz w:val="18"/>
            <w:szCs w:val="18"/>
          </w:rPr>
          <w:tab/>
        </w:r>
        <w:r w:rsidRPr="00DA4678">
          <w:rPr>
            <w:rFonts w:ascii="Times New Roman" w:hAnsi="Times New Roman"/>
            <w:webHidden/>
            <w:sz w:val="18"/>
            <w:szCs w:val="18"/>
          </w:rPr>
          <w:fldChar w:fldCharType="begin"/>
        </w:r>
        <w:r w:rsidRPr="00DA4678">
          <w:rPr>
            <w:rFonts w:ascii="Times New Roman" w:hAnsi="Times New Roman"/>
            <w:webHidden/>
            <w:sz w:val="18"/>
            <w:szCs w:val="18"/>
          </w:rPr>
          <w:instrText xml:space="preserve"> PAGEREF _Toc210917586 \h </w:instrText>
        </w:r>
        <w:r w:rsidRPr="00DA4678">
          <w:rPr>
            <w:rFonts w:ascii="Times New Roman" w:hAnsi="Times New Roman"/>
            <w:webHidden/>
            <w:sz w:val="18"/>
            <w:szCs w:val="18"/>
          </w:rPr>
        </w:r>
        <w:r w:rsidRPr="00DA4678">
          <w:rPr>
            <w:rFonts w:ascii="Times New Roman" w:hAnsi="Times New Roman"/>
            <w:webHidden/>
            <w:sz w:val="18"/>
            <w:szCs w:val="18"/>
          </w:rPr>
          <w:fldChar w:fldCharType="separate"/>
        </w:r>
        <w:r w:rsidRPr="00DA4678">
          <w:rPr>
            <w:rFonts w:ascii="Times New Roman" w:hAnsi="Times New Roman"/>
            <w:webHidden/>
            <w:sz w:val="18"/>
            <w:szCs w:val="18"/>
          </w:rPr>
          <w:t>20</w:t>
        </w:r>
        <w:r w:rsidRPr="00DA4678">
          <w:rPr>
            <w:rFonts w:ascii="Times New Roman" w:hAnsi="Times New Roman"/>
            <w:webHidden/>
            <w:sz w:val="18"/>
            <w:szCs w:val="18"/>
          </w:rPr>
          <w:fldChar w:fldCharType="end"/>
        </w:r>
      </w:hyperlink>
    </w:p>
    <w:p w14:paraId="4325A1DC" w14:textId="069CAD37"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17559"/>
      <w:r>
        <w:rPr>
          <w:rFonts w:ascii="Times New Roman" w:hAnsi="Times New Roman"/>
        </w:rPr>
        <w:lastRenderedPageBreak/>
        <w:t>I DALIS.</w:t>
      </w:r>
      <w:bookmarkEnd w:id="2"/>
      <w:r>
        <w:rPr>
          <w:rFonts w:ascii="Times New Roman" w:hAnsi="Times New Roman"/>
        </w:rPr>
        <w:t xml:space="preserve"> BENDRIEJI NURODYMAI</w:t>
      </w:r>
      <w:bookmarkEnd w:id="3"/>
      <w:bookmarkEnd w:id="4"/>
      <w:bookmarkEnd w:id="5"/>
    </w:p>
    <w:p w14:paraId="2B1DE452" w14:textId="4E7250BE"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17560"/>
      <w:r>
        <w:rPr>
          <w:rFonts w:ascii="Times New Roman" w:hAnsi="Times New Roman"/>
          <w:sz w:val="24"/>
          <w:u w:val="none"/>
        </w:rPr>
        <w:t>1</w:t>
      </w:r>
      <w:r w:rsidR="00DA4678">
        <w:rPr>
          <w:rFonts w:ascii="Times New Roman" w:hAnsi="Times New Roman"/>
          <w:sz w:val="24"/>
          <w:u w:val="none"/>
        </w:rPr>
        <w:t xml:space="preserve">. </w:t>
      </w:r>
      <w:r>
        <w:rPr>
          <w:rFonts w:ascii="Times New Roman" w:hAnsi="Times New Roman"/>
          <w:sz w:val="24"/>
          <w:u w:val="none"/>
        </w:rPr>
        <w:t>TVARKA</w:t>
      </w:r>
      <w:bookmarkEnd w:id="6"/>
      <w:bookmarkEnd w:id="7"/>
      <w:bookmarkEnd w:id="8"/>
    </w:p>
    <w:p w14:paraId="691FE691" w14:textId="17887E3F"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17561"/>
      <w:r>
        <w:rPr>
          <w:rFonts w:ascii="Times New Roman" w:hAnsi="Times New Roman"/>
          <w:sz w:val="24"/>
          <w:u w:val="none"/>
        </w:rPr>
        <w:t>1.1</w:t>
      </w:r>
      <w:r w:rsidR="00DA4678">
        <w:rPr>
          <w:rFonts w:ascii="Times New Roman" w:hAnsi="Times New Roman"/>
          <w:sz w:val="24"/>
          <w:u w:val="none"/>
        </w:rPr>
        <w:t xml:space="preserve">. </w:t>
      </w:r>
      <w:r>
        <w:rPr>
          <w:rFonts w:ascii="Times New Roman" w:hAnsi="Times New Roman"/>
          <w:sz w:val="24"/>
          <w:u w:val="none"/>
        </w:rPr>
        <w:t>Numeravimo tvarka</w:t>
      </w:r>
      <w:bookmarkEnd w:id="9"/>
      <w:bookmarkEnd w:id="10"/>
      <w:bookmarkEnd w:id="13"/>
    </w:p>
    <w:p w14:paraId="07DD29A3" w14:textId="3ADB010A" w:rsidR="002648B0" w:rsidRPr="002D60D7" w:rsidRDefault="002648B0" w:rsidP="00E172EA">
      <w:pPr>
        <w:pStyle w:val="InstructionsText2"/>
        <w:numPr>
          <w:ilvl w:val="0"/>
          <w:numId w:val="29"/>
        </w:numPr>
        <w:suppressAutoHyphens/>
      </w:pPr>
      <w:r>
        <w:t>Dokumente nurodant šablonų skiltis, eilutes ir laukelius taikoma 2–5 punktuose nurodyta žymėjimo tvarka. Tie skaitiniai kodai plačiai naudojami patvirtinimo taisyklėse.</w:t>
      </w:r>
    </w:p>
    <w:p w14:paraId="4A930757" w14:textId="35786EEA" w:rsidR="005643EA" w:rsidRPr="002D60D7" w:rsidRDefault="002648B0" w:rsidP="00E172EA">
      <w:pPr>
        <w:pStyle w:val="InstructionsText2"/>
        <w:numPr>
          <w:ilvl w:val="0"/>
          <w:numId w:val="29"/>
        </w:numPr>
        <w:suppressAutoHyphens/>
      </w:pPr>
      <w:r>
        <w:t>Nurodymuose laikomasi šios bendros žymėjimo tvarkos: {Šablonas; Eilutė; Skiltis}.</w:t>
      </w:r>
    </w:p>
    <w:p w14:paraId="058D6622" w14:textId="0D8EC818" w:rsidR="002648B0" w:rsidRPr="002D60D7" w:rsidRDefault="002648B0" w:rsidP="00E172EA">
      <w:pPr>
        <w:pStyle w:val="InstructionsText2"/>
        <w:numPr>
          <w:ilvl w:val="0"/>
          <w:numId w:val="29"/>
        </w:numPr>
        <w:suppressAutoHyphens/>
      </w:pPr>
      <w:r>
        <w:t>Kai tvirtinimas atliekamas šablone ir naudojami tik to šablono duomenų vienetai, šablonas nenurodomas: {Eilutė; Skiltis}.</w:t>
      </w:r>
    </w:p>
    <w:p w14:paraId="1C93CB72" w14:textId="27E06172" w:rsidR="005643EA" w:rsidRPr="002D60D7" w:rsidRDefault="002648B0" w:rsidP="00E172EA">
      <w:pPr>
        <w:pStyle w:val="InstructionsText2"/>
        <w:numPr>
          <w:ilvl w:val="0"/>
          <w:numId w:val="29"/>
        </w:numPr>
        <w:suppressAutoHyphens/>
      </w:pPr>
      <w:r>
        <w:t>Kai šabloną sudaro tik viena skiltis, nurodomos tik eilutės: {Šablonas; Eilutė}.</w:t>
      </w:r>
    </w:p>
    <w:p w14:paraId="6CF08484" w14:textId="337CEEA0" w:rsidR="002648B0" w:rsidRPr="002D60D7" w:rsidRDefault="002648B0" w:rsidP="00E172EA">
      <w:pPr>
        <w:pStyle w:val="InstructionsText2"/>
        <w:numPr>
          <w:ilvl w:val="0"/>
          <w:numId w:val="29"/>
        </w:numPr>
        <w:suppressAutoHyphens/>
      </w:pPr>
      <w:r>
        <w:t>Žvaigždutės ženklas naudojamas, kai norima pažymėti, kad tvirtinamos anksčiau nurodytos eilutės arba skiltys.</w:t>
      </w:r>
    </w:p>
    <w:p w14:paraId="6218AD51" w14:textId="2ACD1D6A"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17562"/>
      <w:r>
        <w:rPr>
          <w:rFonts w:ascii="Times New Roman" w:hAnsi="Times New Roman"/>
          <w:sz w:val="24"/>
          <w:u w:val="none"/>
        </w:rPr>
        <w:t>1.2</w:t>
      </w:r>
      <w:r w:rsidR="00DA4678">
        <w:rPr>
          <w:rFonts w:ascii="Times New Roman" w:hAnsi="Times New Roman"/>
          <w:sz w:val="24"/>
          <w:u w:val="none"/>
        </w:rPr>
        <w:t xml:space="preserve">. </w:t>
      </w:r>
      <w:r>
        <w:rPr>
          <w:rFonts w:ascii="Times New Roman" w:hAnsi="Times New Roman"/>
          <w:sz w:val="24"/>
          <w:u w:val="none"/>
        </w:rPr>
        <w:t>Ženklų tvarka</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Visos sumos, dėl kurių nuosavos lėšos arba kapitalo reikalavimai padidėja, nurodomos teigiamu skaičiumi. Priešingai – visos sumos, dėl kurių bendra nuosavų lėšų suma arba kapitalo reikalavimai mažėja, nurodomos neigiamu skaičiumi. Prieš straipsnio pavadinimą įrašytas minuso ženklas (–) reiškia prielaidą, kad tame straipsnyje teigiamas skaičius nebus rašomas.</w:t>
      </w:r>
    </w:p>
    <w:p w14:paraId="21FCA11B" w14:textId="3C9EDBF2"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17563"/>
      <w:r>
        <w:rPr>
          <w:rFonts w:ascii="Times New Roman" w:hAnsi="Times New Roman"/>
          <w:sz w:val="24"/>
          <w:u w:val="none"/>
        </w:rPr>
        <w:t>1.3</w:t>
      </w:r>
      <w:r w:rsidR="00DA4678">
        <w:rPr>
          <w:rFonts w:ascii="Times New Roman" w:hAnsi="Times New Roman"/>
          <w:sz w:val="24"/>
          <w:u w:val="none"/>
        </w:rPr>
        <w:t xml:space="preserve">. </w:t>
      </w:r>
      <w:r>
        <w:rPr>
          <w:rFonts w:ascii="Times New Roman" w:hAnsi="Times New Roman"/>
          <w:sz w:val="24"/>
          <w:u w:val="none"/>
        </w:rPr>
        <w:t>Nuorodos į Reglamentą (ES) Nr. 575/2013</w:t>
      </w:r>
      <w:bookmarkEnd w:id="17"/>
    </w:p>
    <w:p w14:paraId="59845808" w14:textId="11AE211B" w:rsidR="00843119" w:rsidRPr="002D60D7" w:rsidRDefault="00843119" w:rsidP="00E172EA">
      <w:pPr>
        <w:pStyle w:val="InstructionsText2"/>
        <w:numPr>
          <w:ilvl w:val="0"/>
          <w:numId w:val="29"/>
        </w:numPr>
        <w:suppressAutoHyphens/>
      </w:pPr>
      <w:r>
        <w:t xml:space="preserve">Visos nuorodos į Reglamento (ES) Nr. 575/2013 325–377 straipsnius laikomos nuorodomis į 2019 m. birželio 26 d. galiojusią to reglamento redakciją.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17564"/>
      <w:r>
        <w:rPr>
          <w:rFonts w:ascii="Times New Roman" w:hAnsi="Times New Roman"/>
        </w:rPr>
        <w:t>II DALIS. SU ŠABLONU SUSIJĘ NURODYMAI</w:t>
      </w:r>
      <w:bookmarkEnd w:id="18"/>
      <w:bookmarkEnd w:id="19"/>
      <w:r>
        <w:rPr>
          <w:rFonts w:ascii="Times New Roman" w:hAnsi="Times New Roman"/>
        </w:rPr>
        <w:t>. RINKOS RIZIKOS ŠABLONAI</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17565"/>
      <w:r>
        <w:rPr>
          <w:rFonts w:ascii="Times New Roman" w:hAnsi="Times New Roman"/>
          <w:sz w:val="24"/>
          <w:u w:val="none"/>
        </w:rPr>
        <w:t>1.</w:t>
      </w:r>
      <w:r w:rsidRPr="00DA4678">
        <w:rPr>
          <w:u w:val="none"/>
        </w:rPr>
        <w:tab/>
      </w:r>
      <w:bookmarkEnd w:id="21"/>
      <w:bookmarkEnd w:id="22"/>
      <w:bookmarkEnd w:id="23"/>
      <w:bookmarkEnd w:id="24"/>
      <w:bookmarkEnd w:id="25"/>
      <w:bookmarkEnd w:id="26"/>
      <w:r>
        <w:rPr>
          <w:rFonts w:ascii="Times New Roman" w:hAnsi="Times New Roman"/>
          <w:sz w:val="24"/>
        </w:rPr>
        <w:t>Bendrosios pastabos</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Šie nurodymai skirti šablonams, kuriuose nurodomas nuosavų lėšų reikalavimų skaičiavimas pagal standartizuotą metodą užsienio valiutos kurso rizikai (MKR SA FX), biržos prekių kainos rizikai (MKR SA COM), palūkanų normų rizikai (MKR SA TDI, MKR SA SEC, MKR SA CTP) ir nuosavybės vertybinių popierių rizikai (MKR SA EQU) padengti. Taip pat šioje dalyje pateikiami nurodymai, kaip šablone nurodyti nuosavų lėšų reikalavimų skaičiavimą pagal vidaus modelių metodą (MKR IM). </w:t>
      </w:r>
    </w:p>
    <w:p w14:paraId="43A205D1" w14:textId="5DC446A2" w:rsidR="000B0B09" w:rsidRPr="002D60D7" w:rsidRDefault="000B0B09" w:rsidP="00E172EA">
      <w:pPr>
        <w:pStyle w:val="InstructionsText2"/>
        <w:numPr>
          <w:ilvl w:val="0"/>
          <w:numId w:val="29"/>
        </w:numPr>
        <w:suppressAutoHyphens/>
      </w:pPr>
      <w:r>
        <w:t xml:space="preserve">Skolos priemonių, kuriomis prekiaujama, arba nuosavybės vertybinių popierių (arba skolos ar nuosavybės vertybinių popierių išvestinių finansinių priemonių) pozicijų rizika, siekiant apskaičiuoti, kiek kapitalo reikia tai pozicijų rizikai padengti, yra suskirstoma į du komponentus. Pirmasis komponentas – specifinė rizika, t. y. atitinkamos priemonės kainos pasikeitimo rizika dėl veiksnių, susijusių su jos emitentu, arba (išvestinės finansinės priemonės atveju) rizika, susijusi su pagrindinės priemonės emitentu. Antrasis komponentas – bendroji rizika, t. y. tokia priemonės kainos pasikeitimo rizika dėl palūkanų normos pasikeitimo (skolos priemonės, kuria prekiaujama, arba skolos išvestinės finansinės priemonės atveju) arba dėl bendrų visos nuosavybės vertybinių popierių rinkos svyravimų, nesusijusių su jokiais specifiniais atskirų vertybinių popierių ypatumais (nuosavybės vertybinių popierių ar nuosavybės vertybinių popierių išvestinių finansinių priemonių atveju). </w:t>
      </w:r>
      <w:bookmarkEnd w:id="28"/>
      <w:r>
        <w:t xml:space="preserve">Bendra tvarka, taikytina specifinėms priemonėms ir užskaitos procedūroms, pateikiama Reglamento (ES) Nr. 575/2013 326–333 straipsniuose.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17566"/>
      <w:r>
        <w:rPr>
          <w:rFonts w:ascii="Times New Roman" w:hAnsi="Times New Roman"/>
          <w:sz w:val="24"/>
          <w:u w:val="none"/>
        </w:rPr>
        <w:t>2.</w:t>
      </w:r>
      <w:r w:rsidRPr="00DA4678">
        <w:rPr>
          <w:u w:val="none"/>
        </w:rPr>
        <w:tab/>
      </w:r>
      <w:r>
        <w:rPr>
          <w:rFonts w:ascii="Times New Roman" w:hAnsi="Times New Roman"/>
          <w:sz w:val="24"/>
        </w:rPr>
        <w:t>C 18.00. Rinkos rizika. Standartizuotas metodas, taikomas skolos priemonių, kuriomis prekiaujama, pozicijų rizikai</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17567"/>
      <w:r>
        <w:rPr>
          <w:rFonts w:ascii="Times New Roman" w:hAnsi="Times New Roman"/>
          <w:sz w:val="24"/>
          <w:u w:val="none"/>
        </w:rPr>
        <w:t>2.1.</w:t>
      </w:r>
      <w:r w:rsidRPr="00DA4678">
        <w:rPr>
          <w:u w:val="none"/>
        </w:rPr>
        <w:tab/>
      </w:r>
      <w:r>
        <w:rPr>
          <w:rFonts w:ascii="Times New Roman" w:hAnsi="Times New Roman"/>
          <w:sz w:val="24"/>
        </w:rPr>
        <w:t>Bendrosios pastabos</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Šiame šablone pateikiami duomenys apie pozicijas ir su jomis susijusius nuosavų lėšų reikalavimus skolos priemonių, kuriomis prekiaujama, rizikos pozicijoms padengti, taikant standartizuotą metodą (Reglamento (ES) Nr. 575/2013 325 straipsnio 2 dalies a punktas). Skirtinga Reglamente (ES) Nr. 575/2013 numatyta rizika ir metodai išdėstomi eilutėmis. Specifinė rizika, susijusi su pozicijomis, įtrauktomis į MKR SA SEC ir MKR SA CTP šablonus, nurodoma tik MKR SA TDI bendrų sumų šablone. Šiuose šablonuose nurodomi nuosavų lėšų reikalavimai atitinkamai perkeliami į laukelį 0325;0060 (pakeitimai vertybiniais popieriais) ir 0330;0060 (CTP).</w:t>
      </w:r>
    </w:p>
    <w:p w14:paraId="7C8420A5" w14:textId="3BAA75DB" w:rsidR="000B0B09" w:rsidRPr="002D60D7" w:rsidRDefault="000B0B09" w:rsidP="00E172EA">
      <w:pPr>
        <w:pStyle w:val="InstructionsText2"/>
        <w:numPr>
          <w:ilvl w:val="0"/>
          <w:numId w:val="29"/>
        </w:numPr>
        <w:suppressAutoHyphens/>
      </w:pPr>
      <w:r>
        <w:t xml:space="preserve">Šis šablonas užpildomas atskirai nurodant bendrą sumą ir duomenis pagal iš anksto nustatytą šių valiutų sąrašą: </w:t>
      </w:r>
      <w:bookmarkStart w:id="44" w:name="OLE_LINK1"/>
      <w:r>
        <w:t>EUR, ALL, BGN, CZK, DKK, EGP, GBP, HUF, ISK, JPY, MKD, NOK, PLN, RON, RUB, RSD, SEK, CHF, TRY, UAH, USD</w:t>
      </w:r>
      <w:bookmarkEnd w:id="44"/>
      <w:r>
        <w:t xml:space="preserve"> ir dar vienas šablonas – visoms kitoms valiutoms.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17568"/>
      <w:r>
        <w:rPr>
          <w:rFonts w:ascii="Times New Roman" w:hAnsi="Times New Roman"/>
          <w:sz w:val="24"/>
          <w:u w:val="none"/>
        </w:rPr>
        <w:lastRenderedPageBreak/>
        <w:t>2.2.</w:t>
      </w:r>
      <w:r w:rsidRPr="00DA4678">
        <w:rPr>
          <w:u w:val="none"/>
        </w:rPr>
        <w:tab/>
      </w:r>
      <w:r>
        <w:rPr>
          <w:rFonts w:ascii="Times New Roman" w:hAnsi="Times New Roman"/>
          <w:sz w:val="24"/>
        </w:rPr>
        <w:t>Nurodymai dėl konkrečių pozicijų</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VISOS POZICIJOS (ILGOSIOS IR TRUMPOSIOS)</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Reglamento (ES) Nr. 575/2013 102 straipsnis ir 105 straipsnio 1 dalis. Tai bendrosios pozicijos, neatėmus priemonių, bet atskaičius platinamas pozicijas, kurias yra pasirašiusios ar kurių nupirkimą patvirtino trečiosios šalys pagal Reglamento (ES) Nr. 575/2013 345 straipsnio 1 dalies pirmos pastraipos antrą sakinį. Dėl pozicijų skirstymo į ilgąsias ir trumpąsias, kuris taikomas ir bendrosioms tų pozicijų sumoms, žr. to reglamento 328 straipsnio 2 dalį.</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GRYNOSIOS POZICIJOS (ILGOSIOS IR TRUMPOSIOS)</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Reglamento (ES) Nr. 575/2013 327–329 ir 334 straipsniai. Dėl pozicijų skirstymo į ilgąsias ir trumpąsias žr. to reglamento 328 straipsnio 2 dalį.</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KURIOMS TAIKOMAS KAPITALO POREIKIO KOEFICIENTAS</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Tos grynosios pozicijos, kurioms pagal įvairius Reglamento (ES) Nr. 575/2013 trečios dalies IV antraštinės dalies 2 skyriuje nurodytus metodus yra taikomas kapitalo poreikio koeficientas.</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REIKALAVIMAI</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Atitinkamos pozicijos kapitalo poreikio koeficientas pagal Reglamento (ES) Nr. 575/2013 trečios dalies IV antraštinės dalies 2 skyrių.</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RIZIKOS POZICIJOS SUMA</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Reglamento (ES) Nr. 575/2013 92 straipsnio 6 dalies b punktas. Rezultatas, gautas nuosavų lėšų reikalavimus padauginus iš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Į PREKYBOS KNYGĄ ĮTRAUKTOS SKOLOS PRIEMONĖS, KURIOMIS PREKIAUJAMA</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Skolos priemonių, kuriomis prekiaujama, pozicijos prekybos knygoje ir jas atitinkantys nuosavų lėšų reikalavimai pozicijos rizikai padengti pagal Reglamento (ES) Nr. 575/2013 92 straipsnio 4 dalies b punkto i papunktį ir to reglamento trečios dalies IV antraštinės dalies 2 skyrių nurodomi pagal rizikos kategoriją, terminą ir taikomą metodą.</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BENDROJI RIZIKA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Išvestinės finansinės priemonės</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Išvestinės finansinės priemonės, įtraukiamos apskaičiuojant prekybos knygos pozicijų palūkanų normos riziką, jei taikoma, atsižvelgiant į Reglamento (ES) Nr. 575/2013 328–331 straipsnius.</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Kitas turtas ir įsipareigojimai</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 xml:space="preserve">Kitos priemonės, ne išvestinės finansinės priemonės, įtraukiamos apskaičiuojant prekybos knygos pozicijų palūkanų normos riziką.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TERMINU PAGRĮSTAS METODAS</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Skolos priemonių, kuriomis prekiaujama, pozicijos, kurioms taikomas terminu pagrįstas metodas, nurodytas Reglamento (ES) Nr. 575/2013 339 straipsnio 1–8 dalyse, ir atitinkami nuosavų lėšų reikalavimai, apskaičiuoti pagal to reglamento 339 straipsnio 9 dalį. Pozicija suskirstoma į 1, 2 ir 3 zonas, o tos zonos suskirstomos pagal priemonių terminą.</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BENDROJI RIZIKA TRUKME PAGRĮSTAS METODAS</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Skolos priemonių, kuriomis prekiaujama, pozicijos, kurioms taikomas įsipareigojimų trukme pagrįstas metodas, nurodytas Reglamento (ES) Nr. 575/2013 340 straipsnio 1–6 dalyse, ir atitinkami nuosavų lėšų reikalavimai, apskaičiuoti pagal to reglamento 340 straipsnio 7 dalį. Pozicija suskirstoma į 1, 2 ir 3 zonas.</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SPECIFINĖ RIZIKA</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0251, 0325 ir 0330 eilutėse nurodytų reikšmių suma.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Skolos priemonių, kuriomis prekiaujama, pozicijos, kurioms taikomi specifinės rizikos kapitalo reikalavimai, ir jų atitinkami kapitalo reikalavimai pagal Reglamento (ES) Nr. 575/2013 92 straipsnio 3 dalies b punktą, 335 straipsnį, 336 straipsnio 1, 2 ir 3 dalis, 337 ir 338 straipsnius. Taip pat atkreipkite dėmesį to reglamento 327 straipsnio 1 dalies paskutinį sakinį.</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reikalavimas skolos priemonėms, kurios nėra pakeitimo vertybiniais popieriais priemonės</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260–321 eilutėse nurodytų reikšmių suma.</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N-tojo įsipareigojimų neįvykdymo kredito išvestinių finansinių priemonių, kurios neturi išorinio reitingo, nuosavų lėšų reikalavimas apskaičiuojamas susumavus referencinių subjektų rizikos koeficientus (Reglamento (ES) Nr. 575/2013 332 straipsnio 1 dalies e punktas ir antra pastraipa, „skaidrumo metodas“). N-tojo įsipareigojimų neįvykdymo kredito išvestinių finansinių priemonių, kurios turi išorinį reitingą (Reglamento (ES) Nr. 575/2013 332 straipsnio 1 dalies trečia pastraipa), atveju jis nurodomas atskirai 321 eilutėje.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Informacijos apie pozicijas, kurioms taikoma Reglamento (ES) Nr. 575/2013 336 straipsnio 3 dalis, teikimas: Speciali tvarka taikoma obligacijoms, kurioms remiantis to reglamento 129 straipsnio 3 dalimi (padengtosios obligacijos) bankinėje knygoje galima taikyti 10 % rizikos koeficientą. Specifinius nuosavų lėšų reikalavimus sudaro pusė Reglamento (ES) Nr. 575/2013 336 straipsnio 1 lentelėje nurodytos antros kategorijos procentinės dalies. Tos pozicijos priskiriamos 0280–0300 eilutėms pagal likusį laiką iki galutinio termino.</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Jeigu bendroji palūkanų normos pozicijų rizika yra apdraudžiama kredito išvestine finansine priemone, taikomi Reglamento (ES) Nr. 575/2013 346 ir 347 straipsniai.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reikalavimas pakeitimo vertybiniais popieriais priemonėms</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lastRenderedPageBreak/>
              <w:t>Bendra nuosavų lėšų reikalavimų suma, nurodyta MKR SA SEC šablono 0601 skiltyje. Ta bendra nuosavų lėšų reikalavimų suma nurodoma tik prie MKR SA TDI bendrų sumų.</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reikalavimas koreliacinės prekybos portfeliui</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Bendra nuosavų lėšų reikalavimų suma, nurodyta MKR SA CTP šablono 0450 skiltyje. Ta bendra nuosavų lėšų reikalavimų suma nurodoma tik prie MKR SA TDI bendrų sumų.</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PAPILDOMI REIKALAVIMAI PASIRINKIMO SANDORIAMS (NE DELTA RIZIKA)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Reglamento (ES) Nr. 575/2013 329 straipsnio 3 dalis.</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Papildomi reikalavimai pasirinkimo sandoriams, susijusiems su ne delta rizika, nurodomi suskirstyti pagal jų skaičiavimui taikytą metodą.</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17569"/>
      <w:r>
        <w:rPr>
          <w:rFonts w:ascii="Times New Roman" w:hAnsi="Times New Roman"/>
          <w:sz w:val="24"/>
          <w:u w:val="none"/>
        </w:rPr>
        <w:t>3.</w:t>
      </w:r>
      <w:r w:rsidRPr="000468F5">
        <w:rPr>
          <w:u w:val="none"/>
        </w:rPr>
        <w:tab/>
      </w:r>
      <w:r>
        <w:rPr>
          <w:rFonts w:ascii="Times New Roman" w:hAnsi="Times New Roman"/>
          <w:sz w:val="24"/>
        </w:rPr>
        <w:t>C 19.00. RINKOS RIZIKA. STANDARTIZUOTAS METODAS, TAIKOMAS SPECIFINEI PAKEITIMO VERTYBINIAIS POPIERIAIS RIZIKAI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17570"/>
      <w:r>
        <w:rPr>
          <w:rFonts w:ascii="Times New Roman" w:hAnsi="Times New Roman"/>
          <w:sz w:val="24"/>
          <w:u w:val="none"/>
        </w:rPr>
        <w:t>3.1.</w:t>
      </w:r>
      <w:r w:rsidRPr="000468F5">
        <w:rPr>
          <w:u w:val="none"/>
        </w:rPr>
        <w:tab/>
      </w:r>
      <w:r>
        <w:rPr>
          <w:rFonts w:ascii="Times New Roman" w:hAnsi="Times New Roman"/>
          <w:sz w:val="24"/>
        </w:rPr>
        <w:t>Bendrosios pastabos</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Šiame šablone prašoma pateikti informaciją apie pozicijas (visas / grynąsias ir ilgąsias / trumpąsias) ir susijusius nuosavų lėšų reikalavimus pakeitimo vertybiniais popieriais ir (arba) pakartotinio pakeitimo vertybiniais popieriais pozicijų, įtrauktų į prekybos knygą, rizikos specifinės rizikos komponentams (netaikoma koreliacinės prekybos portfeliui) pagal standartizuotą metodą. </w:t>
      </w:r>
    </w:p>
    <w:p w14:paraId="2729DF95" w14:textId="1BA228E4" w:rsidR="00FC6275" w:rsidRPr="002D60D7" w:rsidRDefault="00FC6275" w:rsidP="00E172EA">
      <w:pPr>
        <w:pStyle w:val="InstructionsText2"/>
        <w:numPr>
          <w:ilvl w:val="0"/>
          <w:numId w:val="29"/>
        </w:numPr>
        <w:suppressAutoHyphens/>
      </w:pPr>
      <w:r>
        <w:t xml:space="preserve">MKR SA SEC šablone pateikiamas nuosavų lėšų reikalavimas tik pakeitimo vertybiniais popieriais pozicijų specifinei rizikai padengti, kaip nurodyta Reglamento (ES) Nr. 575/2013 335 straipsnyje kartu su to reglamento 337 straipsniu. Jeigu pakeitimo vertybiniais popieriais prekybos knygos pozicijos yra apdraustos kredito išvestinėmis finansinėmis priemonėmis, taikomi Reglamento (ES) Nr. 575/2013 346 ir 347 straipsniai. Visoms prekybos knygos pozicijoms nurodyti yra skirtas tik vienas šablonas, nepaisant to, kokį metodą investicinės įmonės taiko kiekvienos pozicijos rizikos koeficientui nustatyti pagal Reglamento (ES) Nr. 575/2013 trečios dalies II antraštinės dalies 5 skyrių. Nuosavų lėšų reikalavimai bendrai tų pozicijų rizikai padengti nurodomi MKR SA TDI arba MKR IM šablone. </w:t>
      </w:r>
    </w:p>
    <w:p w14:paraId="0C732A14" w14:textId="3FF74494" w:rsidR="00FC6275" w:rsidRDefault="00FC6275" w:rsidP="00E172EA">
      <w:pPr>
        <w:pStyle w:val="InstructionsText2"/>
        <w:numPr>
          <w:ilvl w:val="0"/>
          <w:numId w:val="29"/>
        </w:numPr>
        <w:suppressAutoHyphens/>
      </w:pPr>
      <w:r>
        <w:t>Pozicijos, kurioms taikomas 1 250 % rizikos koeficientas, taip pat gali būti atskaitytos iš bendro 1 lygio nuosavo kapitalo (žr. Reglamento (ES) Nr. 575/2013 244 straipsnio 1 dalies b punktą, 245 straipsnio 1 dalies b punktą ir 253 straipsnį). Tos pozicijos nurodomos šiame šablone, net jei įstaiga pasinaudoja galimybe jas atskaityti.</w:t>
      </w:r>
    </w:p>
    <w:p w14:paraId="45360F2F" w14:textId="77777777" w:rsidR="000468F5" w:rsidRPr="002D60D7" w:rsidRDefault="000468F5" w:rsidP="000468F5">
      <w:pPr>
        <w:pStyle w:val="InstructionsText2"/>
        <w:numPr>
          <w:ilvl w:val="0"/>
          <w:numId w:val="0"/>
        </w:numPr>
        <w:suppressAutoHyphens/>
        <w:ind w:left="1353"/>
      </w:pPr>
    </w:p>
    <w:p w14:paraId="70F04261" w14:textId="4C2F6565" w:rsidR="000468F5" w:rsidRPr="000468F5" w:rsidRDefault="00C22B34" w:rsidP="000468F5">
      <w:pPr>
        <w:pStyle w:val="Instructionsberschrift2"/>
        <w:numPr>
          <w:ilvl w:val="0"/>
          <w:numId w:val="0"/>
        </w:numPr>
        <w:suppressAutoHyphens/>
        <w:ind w:left="357" w:hanging="357"/>
        <w:rPr>
          <w:rFonts w:ascii="Times New Roman" w:hAnsi="Times New Roman"/>
          <w:sz w:val="24"/>
        </w:rPr>
      </w:pPr>
      <w:bookmarkStart w:id="72" w:name="_Toc210917571"/>
      <w:r>
        <w:rPr>
          <w:rFonts w:ascii="Times New Roman" w:hAnsi="Times New Roman"/>
          <w:sz w:val="24"/>
          <w:u w:val="none"/>
        </w:rPr>
        <w:lastRenderedPageBreak/>
        <w:t>3.2.</w:t>
      </w:r>
      <w:r w:rsidRPr="000468F5">
        <w:rPr>
          <w:u w:val="none"/>
        </w:rPr>
        <w:tab/>
      </w:r>
      <w:r>
        <w:rPr>
          <w:rFonts w:ascii="Times New Roman" w:hAnsi="Times New Roman"/>
          <w:sz w:val="24"/>
        </w:rPr>
        <w:t>Nurodymai dėl konkrečių pozicijų</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VISOS POZICIJOS (ILGOSIOS IR TRUMPOSIOS)</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Reglamento (ES) Nr. 575/2013 </w:t>
            </w:r>
            <w:r>
              <w:rPr>
                <w:rStyle w:val="InstructionsTabelleText"/>
                <w:rFonts w:ascii="Times New Roman" w:hAnsi="Times New Roman"/>
                <w:sz w:val="24"/>
              </w:rPr>
              <w:t>102 straipsnis ir 105 straipsnio 1 dalis</w:t>
            </w:r>
            <w:r>
              <w:rPr>
                <w:rFonts w:ascii="Times New Roman" w:hAnsi="Times New Roman"/>
                <w:sz w:val="24"/>
              </w:rPr>
              <w:t xml:space="preserve"> </w:t>
            </w:r>
            <w:r>
              <w:rPr>
                <w:rStyle w:val="InstructionsTabelleText"/>
                <w:rFonts w:ascii="Times New Roman" w:hAnsi="Times New Roman"/>
                <w:sz w:val="24"/>
              </w:rPr>
              <w:t>kartu su to reglamento 337 straipsniu</w:t>
            </w:r>
            <w:r>
              <w:rPr>
                <w:rFonts w:ascii="Times New Roman" w:hAnsi="Times New Roman"/>
                <w:sz w:val="24"/>
              </w:rPr>
              <w:t xml:space="preserve"> </w:t>
            </w:r>
            <w:r>
              <w:rPr>
                <w:rStyle w:val="InstructionsTabelleText"/>
                <w:rFonts w:ascii="Times New Roman" w:hAnsi="Times New Roman"/>
                <w:sz w:val="24"/>
              </w:rPr>
              <w:t xml:space="preserve">(pakeitimo vertybiniais popieriais pozicijos). Dėl pozicijų skirstymo į ilgąsias ir trumpąsias, kuris taikomas ir bendrosioms tų pozicijų sumoms, žr. to reglamento 328 straipsnio 2 dalį.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POZICIJOS, ATSKAITOMOS IŠ NUOSAVŲ LĖŠŲ</w:t>
            </w:r>
            <w:r>
              <w:rPr>
                <w:rFonts w:ascii="Times New Roman" w:hAnsi="Times New Roman"/>
                <w:b/>
                <w:sz w:val="24"/>
                <w:u w:val="single"/>
              </w:rPr>
              <w:t xml:space="preserve"> (ILGOSIOS IR TRUMPOSIOS)</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Reglamento (ES) Nr. 575/2013 244 straipsnio 1 dalies b punktas, 245 straipsnio 1 dalies b punktas ir 253</w:t>
            </w:r>
            <w:r>
              <w:rPr>
                <w:rFonts w:ascii="Times New Roman" w:hAnsi="Times New Roman"/>
                <w:sz w:val="24"/>
              </w:rPr>
              <w:t xml:space="preserve"> straipsnis.</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GRYNOSIOS POZICIJOS</w:t>
            </w:r>
            <w:r>
              <w:rPr>
                <w:rFonts w:ascii="Times New Roman" w:hAnsi="Times New Roman"/>
                <w:b/>
                <w:sz w:val="24"/>
                <w:u w:val="single"/>
              </w:rPr>
              <w:t xml:space="preserve"> (ILGOSIOS IR TRUMPOSIOS)</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Reglamento (ES) Nr. 575/2013 </w:t>
            </w:r>
            <w:r>
              <w:rPr>
                <w:rStyle w:val="InstructionsTabelleText"/>
                <w:rFonts w:ascii="Times New Roman" w:hAnsi="Times New Roman"/>
                <w:sz w:val="24"/>
              </w:rPr>
              <w:t xml:space="preserve">327, 328, 329 ir 334 </w:t>
            </w:r>
            <w:r>
              <w:rPr>
                <w:rFonts w:ascii="Times New Roman" w:hAnsi="Times New Roman"/>
                <w:sz w:val="24"/>
              </w:rPr>
              <w:t>straipsniai</w:t>
            </w:r>
            <w:r>
              <w:rPr>
                <w:rStyle w:val="InstructionsTabelleText"/>
                <w:rFonts w:ascii="Times New Roman" w:hAnsi="Times New Roman"/>
                <w:sz w:val="24"/>
              </w:rPr>
              <w:t>. Dėl pozicijų skirstymo į ilgąsias ir trumpąsias žr. to reglamento 328 straipsnio</w:t>
            </w:r>
            <w:r>
              <w:rPr>
                <w:rFonts w:ascii="Times New Roman" w:hAnsi="Times New Roman"/>
                <w:sz w:val="24"/>
              </w:rPr>
              <w:t xml:space="preserve"> 2 dalį</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GRYNŲJŲ POZICIJŲ SKIRSTYMAS PAGAL RIZIKOS KOEFICIENTUS</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Reglamento (ES) Nr. 575/2013 259–262 straipsniai, 263 straipsnio 1 ir 2 dalys, 264 straipsnio 3 ir 4 lentelės ir 266</w:t>
            </w:r>
            <w:r>
              <w:rPr>
                <w:rFonts w:ascii="Times New Roman" w:hAnsi="Times New Roman"/>
                <w:sz w:val="24"/>
              </w:rPr>
              <w:t xml:space="preserve"> straipsnis</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Ilgosios ir trumposios pozicijos suskirstomos atskirai.</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GRYNŲJŲ POZICIJŲ SKIRSTYMAS PAGAL METODUS</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Reglamento (ES) Nr. 575/2013 </w:t>
            </w:r>
            <w:r>
              <w:rPr>
                <w:rStyle w:val="InstructionsTabelleText"/>
                <w:rFonts w:ascii="Times New Roman" w:hAnsi="Times New Roman"/>
                <w:sz w:val="24"/>
              </w:rPr>
              <w:t>254</w:t>
            </w:r>
            <w:r>
              <w:rPr>
                <w:rFonts w:ascii="Times New Roman" w:hAnsi="Times New Roman"/>
                <w:sz w:val="24"/>
              </w:rPr>
              <w:t xml:space="preserve"> straipsnis.</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Reglamento (ES) Nr. 575/2013 259 ir 260</w:t>
            </w:r>
            <w:r>
              <w:rPr>
                <w:rFonts w:ascii="Times New Roman" w:hAnsi="Times New Roman"/>
                <w:sz w:val="24"/>
              </w:rPr>
              <w:t xml:space="preserve"> straipsniai.</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Reglamento (ES) Nr. 575/2013 261 ir 262</w:t>
            </w:r>
            <w:r>
              <w:rPr>
                <w:rFonts w:ascii="Times New Roman" w:hAnsi="Times New Roman"/>
                <w:sz w:val="24"/>
              </w:rPr>
              <w:t xml:space="preserve"> straipsniai.</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Reglamento (ES) Nr. 575/2013 263 ir 264</w:t>
            </w:r>
            <w:r>
              <w:rPr>
                <w:rFonts w:ascii="Times New Roman" w:hAnsi="Times New Roman"/>
                <w:sz w:val="24"/>
              </w:rPr>
              <w:t xml:space="preserve"> straipsniai.</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VIDINIO VERTINIMO METODAS</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Reglamento (ES) Nr. 575/2013 254 ir 265 straipsniai ir 266 straipsnio</w:t>
            </w:r>
            <w:r>
              <w:rPr>
                <w:rFonts w:ascii="Times New Roman" w:hAnsi="Times New Roman"/>
                <w:sz w:val="24"/>
              </w:rPr>
              <w:t xml:space="preserve"> 5 dalis</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REIKALAVIMUS ATITINKANČIO NEVEIKSNIŲ POZICIJŲ PAKEITIMO VERTYBINIAIS POPIERIAIS DIDESNIO PRIORITETO SEGMENTAMS TAIKOMA KONKRETI TVARKA</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Reglamento (ES) Nr. 575/2013 269a straipsnio 3 dalis.</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KITA (RW = 1 250</w:t>
            </w:r>
            <w:r>
              <w:t xml:space="preserve">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Reglamento (ES) Nr. 575/2013 254 straipsnio 7</w:t>
            </w:r>
            <w:r>
              <w:rPr>
                <w:rFonts w:ascii="Times New Roman" w:hAnsi="Times New Roman"/>
                <w:sz w:val="24"/>
              </w:rPr>
              <w:t xml:space="preserve"> dalis.</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BENDRAS POVEIKIS (KOREGAVIMAS) DĖL REGLAMENTO (ES) 2017/2402 2 SKYRIAUS NUOSTATŲ PAŽEIDIMO</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lastRenderedPageBreak/>
              <w:t>Reglamento (ES) Nr. 575/2013 270a</w:t>
            </w:r>
            <w:r>
              <w:rPr>
                <w:rFonts w:ascii="Times New Roman" w:hAnsi="Times New Roman"/>
                <w:sz w:val="24"/>
              </w:rPr>
              <w:t xml:space="preserve"> straipsnis.</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PRIEŠ APRIBOJIMĄ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Reglamento (ES) Nr. 575/2013 337 straipsnis, neatsižvelgiant į to reglamento 335 straipsnyje nustatytą pasirinkimo galimybę, kuria įstaigai leidžiama įvertinimo rezultatą ir grynąją poziciją apriboti didžiausio galimo nuostolio, susijusio su įsipareigojimų neįvykdymu, suma.</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PO APRIBOJIMO / BENDRA NUOSAVŲ LĖŠŲ REIKALAVIMO SUMA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Reglamento (ES) Nr. 575/2013 337 straipsnis, </w:t>
            </w:r>
            <w:r>
              <w:rPr>
                <w:rStyle w:val="InstructionsTabelleText"/>
                <w:rFonts w:ascii="Times New Roman" w:hAnsi="Times New Roman"/>
                <w:sz w:val="24"/>
              </w:rPr>
              <w:t>atsižvelgiant į</w:t>
            </w:r>
            <w:r>
              <w:rPr>
                <w:rFonts w:ascii="Times New Roman" w:hAnsi="Times New Roman"/>
                <w:sz w:val="24"/>
              </w:rPr>
              <w:t xml:space="preserve"> to reglamento 335 straipsnyje numatytą pasirinkimo galimybę.</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BENDRA POZICIJŲ SUMA</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Bendra neapmokėta pakeitimo vertybiniais popieriais ir pakartotinio pakeitimo vertybiniais popieriais pozicijų (turimų prekybos knygoje) suma, kurią nurodo įstaiga, atliekanti iniciatoriaus, investuotojo arba rėmėjo vaidmenį.</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ir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PAKEITIMO VERTYBINIAIS POPIERIAIS POZICIJOS</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Reglamento (ES) Nr. 575/2013 4 straipsnio 1 dalies 62 punktas.</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ir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PAKARTOTINIO PAKEITIMO VERTYBINIAIS POPIERIAIS POZICIJOS</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Reglamento (ES) Nr. 575/2013 4 straipsnio 1 dalies 64 punktas.</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ir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DALIS, KURIĄ ATITINKA: POZICIJOS, ATITINKANČIOS DIFERENCIJUOTOS KAPITALO TVARKOS REIKALAVIMUS</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Bendra pakeitimo vertybiniais popieriais pozicijų, kurios atitinka Reglamento (ES) Nr. 575/2013 243 arba 270 straipsniuose nustatytus kriterijus ir todėl atitinka diferencijuotos kapitalo tvarkos reikalavimus, suma.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INICIATORĖ</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Reglamento (ES) Nr. 575/2013 4 straipsnio 1 dalies 13 punktas.</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INVESTUOTOJA</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Kredito įstaiga, pakeitimo vertybiniais popieriais sandoryje, kurio atžvilgiu ji nėra nei iniciatorė, nei rėmėja, nei pirminė skolintoja, turinti pakeitimo vertybiniais popieriais poziciją.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RĖMĖJA</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Reglamento (ES) Nr. 575/2013 4 straipsnio 1 dalies 14 punktas</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lastRenderedPageBreak/>
              <w:t>Įstaiga rėmėja, vertybiniais popieriais keičianti ir nuosavą turtą, užpildo įstaigai iniciatorei skirtas eilutes, pateikdama informaciją apie vertybiniais popieriais keičiamą nuosavą turtą.</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17572"/>
      <w:r>
        <w:rPr>
          <w:rFonts w:ascii="Times New Roman" w:hAnsi="Times New Roman"/>
          <w:sz w:val="24"/>
          <w:u w:val="none"/>
        </w:rPr>
        <w:t>4.</w:t>
      </w:r>
      <w:r w:rsidRPr="000468F5">
        <w:rPr>
          <w:u w:val="none"/>
        </w:rPr>
        <w:tab/>
      </w:r>
      <w:r>
        <w:rPr>
          <w:rFonts w:ascii="Times New Roman" w:hAnsi="Times New Roman"/>
          <w:sz w:val="24"/>
        </w:rPr>
        <w:t>C 20.00. RINKOS RIZIKA. STANDARTIZUOTAS METODAS, TAIKOMAS SPECIFINEI RIZIKAI, SUSIJUSIAI SU KORELIACINĖS PREKYBOS PORTFELIUI PRISKIRTOMIS POZICIJOMIS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17573"/>
      <w:r>
        <w:rPr>
          <w:rFonts w:ascii="Times New Roman" w:hAnsi="Times New Roman"/>
          <w:sz w:val="24"/>
          <w:u w:val="none"/>
        </w:rPr>
        <w:t>4.1.</w:t>
      </w:r>
      <w:r w:rsidRPr="000468F5">
        <w:rPr>
          <w:u w:val="none"/>
        </w:rPr>
        <w:tab/>
      </w:r>
      <w:r>
        <w:rPr>
          <w:rFonts w:ascii="Times New Roman" w:hAnsi="Times New Roman"/>
          <w:sz w:val="24"/>
        </w:rPr>
        <w:t>Bendrosios pastabos</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Šiame šablone prašoma pateikti informaciją apie koreliacinės prekybos portfelio (CTP) pozicijas (kurias sudaro pakeitimo vertybiniais popieriais, n-tojo įsipareigojimų neįvykdymo kredito išvestinių finansinių priemonių ir kitos CTP pozicijos, įtrauktos pagal Reglamento (ES) Nr. 575/2013 338 straipsnio 3 dalį) ir atitinkamus nuosavų lėšų reikalavimus pagal standartizuotą metodą.</w:t>
      </w:r>
    </w:p>
    <w:p w14:paraId="7D9D9B10" w14:textId="1F1EFDEB" w:rsidR="00C55547" w:rsidRPr="002D60D7" w:rsidRDefault="00C55547" w:rsidP="00E172EA">
      <w:pPr>
        <w:pStyle w:val="InstructionsText2"/>
        <w:numPr>
          <w:ilvl w:val="0"/>
          <w:numId w:val="29"/>
        </w:numPr>
        <w:suppressAutoHyphens/>
      </w:pPr>
      <w:r>
        <w:t>MKR SA CTP šablone pateikiamas nuosavų lėšų reikalavimas tik specifinei CTP priskirtų pozicijų rizikai padengti pagal Reglamento (ES) Nr. 575/2013 335 straipsnį kartu su to reglamento 338 straipsnio 2 ir 3 dalimis. Jei prekybos knygos CTP pozicijos yra apdraustos kredito išvestinėmis finansinėmis priemonėmis, taikomi Reglamento (ES) Nr. 575/2013 346 ir 347 straipsniai. Visoms prekybos knygos CTP pozicijoms nurodyti yra skirtas tik vienas šablonas, nepaisant to, kokį metodą investicinės įmonės taiko kiekvienos pozicijos rizikos koeficientui nustatyti pagal Reglamento (ES) Nr. 575/2013 trečios dalies II antraštinės dalies 5 skyrių. Nuosavų lėšų reikalavimai bendrai šių pozicijų rizikai padengti nurodomi MKR SA TDI arba MKR IM šablone.</w:t>
      </w:r>
    </w:p>
    <w:p w14:paraId="2252BE4F" w14:textId="4513CABA" w:rsidR="00C55547" w:rsidRPr="002D60D7" w:rsidRDefault="00C55547" w:rsidP="00E172EA">
      <w:pPr>
        <w:pStyle w:val="InstructionsText2"/>
        <w:numPr>
          <w:ilvl w:val="0"/>
          <w:numId w:val="29"/>
        </w:numPr>
        <w:suppressAutoHyphens/>
      </w:pPr>
      <w:r>
        <w:t xml:space="preserve">Pagal šį šabloną pakeitimo vertybiniais popieriais, n-tojo įsipareigojimų neįvykdymo kredito išvestinių finansinių priemonių ir kitos CTP pozicijos yra atskiriamos. Pakeitimo vertybiniais popieriais pozicijos visada nurodomos 0030, 0060 arba 0090 eilutėje (pagal tai, koks vaidmuo pakeitimo vertybiniais popieriais sandoryje tenka įstaigai). N-tojo įsipareigojimų neįvykdymo kredito išvestinės finansinės priemonės visada nurodomos 0110 eilutėje. „Kitos CTP pozicijos“ yra pozicijos, kurios nėra nei pakeitimo vertybiniais popieriais pozicijos, nei n-tojo įsipareigojimų neįvykdymo kredito išvestinės finansinės priemonės (žr. Reglamento (ES) Nr. 575/2013 338 straipsnio 3 dalį), bet yra akivaizdžiai susijusios su viena iš tų dviejų pozicijų (dėl ketinimo taikyti apsidraudimo priemonę). </w:t>
      </w:r>
    </w:p>
    <w:p w14:paraId="5B5B9C2A" w14:textId="127C8328" w:rsidR="00C55547" w:rsidRDefault="00C55547" w:rsidP="00E172EA">
      <w:pPr>
        <w:pStyle w:val="InstructionsText2"/>
        <w:numPr>
          <w:ilvl w:val="0"/>
          <w:numId w:val="29"/>
        </w:numPr>
        <w:suppressAutoHyphens/>
      </w:pPr>
      <w:r>
        <w:t>Pozicijos, kurioms taikomas 1 250 % rizikos koeficientas, taip pat gali būti atskaitytos iš bendro 1 lygio nuosavo kapitalo (žr. Reglamento (ES) Nr. 575/2013 244 straipsnio 1 dalies b punktą, 245 straipsnio 1 dalies b punktą ir 253 straipsnį). Tos pozicijos nurodomos šiame šablone, net jei įstaiga pasinaudoja galimybe jas atskaityti.</w:t>
      </w:r>
    </w:p>
    <w:p w14:paraId="778176F7" w14:textId="77777777" w:rsidR="000468F5" w:rsidRDefault="000468F5" w:rsidP="000468F5">
      <w:pPr>
        <w:pStyle w:val="InstructionsText2"/>
        <w:numPr>
          <w:ilvl w:val="0"/>
          <w:numId w:val="0"/>
        </w:numPr>
        <w:suppressAutoHyphens/>
        <w:ind w:left="1353" w:hanging="360"/>
      </w:pPr>
    </w:p>
    <w:p w14:paraId="708106AF" w14:textId="77777777" w:rsidR="000468F5" w:rsidRPr="002D60D7" w:rsidRDefault="000468F5" w:rsidP="000468F5">
      <w:pPr>
        <w:pStyle w:val="InstructionsText2"/>
        <w:numPr>
          <w:ilvl w:val="0"/>
          <w:numId w:val="0"/>
        </w:numPr>
        <w:suppressAutoHyphens/>
        <w:ind w:left="1353" w:hanging="360"/>
      </w:pP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17574"/>
      <w:r>
        <w:rPr>
          <w:rFonts w:ascii="Times New Roman" w:hAnsi="Times New Roman"/>
          <w:sz w:val="24"/>
          <w:u w:val="none"/>
        </w:rPr>
        <w:lastRenderedPageBreak/>
        <w:t>4.2</w:t>
      </w:r>
      <w:r w:rsidRPr="000468F5">
        <w:rPr>
          <w:rFonts w:ascii="Times New Roman" w:hAnsi="Times New Roman"/>
          <w:sz w:val="24"/>
          <w:u w:val="none"/>
        </w:rPr>
        <w:t>.</w:t>
      </w:r>
      <w:r w:rsidRPr="000468F5">
        <w:rPr>
          <w:u w:val="none"/>
        </w:rPr>
        <w:tab/>
      </w:r>
      <w:r>
        <w:rPr>
          <w:rFonts w:ascii="Times New Roman" w:hAnsi="Times New Roman"/>
          <w:sz w:val="24"/>
        </w:rPr>
        <w:t>Nurodymai dėl konkrečių pozicijų</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VISOS POZICIJOS (ILGOSIOS IR TRUMPOSIOS)</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Reglamento (ES) Nr. 575/2013 102 straipsnis ir 105 straipsnio 1 dalis kartu su to reglamento 338 straipsnio 2 ir 3 dalimis (koreliacinės prekybos portfeliui priskirtos pozicijos).</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Dėl pozicijų skirstymo į ilgąsias ir trumpąsias, kuris taikomas ir bendrosioms tų pozicijų sumoms, žr. Reglamento (ES) Nr. 575/2013 328 straipsnio 2 dalį.</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POZICIJOS, ATSKAITOMOS IŠ NUOSAVŲ LĖŠŲ (ILGOSIOS IR TRUMPOSIOS)</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Reglamento (ES) Nr. 575/2013 253 straipsnis.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GRYNOSIOS POZICIJOS (ILGOSIOS IR TRUMPOSIOS)</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Reglamento (ES) Nr. 575/2013 327, 328, 329 ir 334 straipsniai.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Dėl pozicijų skirstymo į ilgąsias ir trumpąsias žr. to reglamento 328 straipsnio 2 dalį.</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GRYNŲJŲ POZICIJŲ SKIRSTYMAS PAGAL RIZIKOS KOEFICIENTUS</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Reglamento (ES) Nr. 575/2013 259–262 straipsniai, 263 straipsnio 1 ir 2 dalys, 264 straipsnio 3 ir 4 lentelės ir 266</w:t>
            </w:r>
            <w:r>
              <w:rPr>
                <w:rFonts w:ascii="Times New Roman" w:hAnsi="Times New Roman"/>
                <w:sz w:val="24"/>
              </w:rPr>
              <w:t xml:space="preserve"> straipsnis.</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GRYNŲJŲ POZICIJŲ SKIRSTYMAS PAGAL METODUS</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Reglamento (ES) Nr. 575/2013 254</w:t>
            </w:r>
            <w:r>
              <w:rPr>
                <w:rFonts w:ascii="Times New Roman" w:hAnsi="Times New Roman"/>
                <w:sz w:val="24"/>
              </w:rPr>
              <w:t xml:space="preserve"> straipsnis.</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Reglamento (ES) Nr. 575/2013 259 ir 260</w:t>
            </w:r>
            <w:r>
              <w:rPr>
                <w:rFonts w:ascii="Times New Roman" w:hAnsi="Times New Roman"/>
                <w:sz w:val="24"/>
              </w:rPr>
              <w:t xml:space="preserve"> straipsniai.</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Reglamento (ES) Nr. 575/2013 261 ir 262</w:t>
            </w:r>
            <w:r>
              <w:rPr>
                <w:rFonts w:ascii="Times New Roman" w:hAnsi="Times New Roman"/>
                <w:sz w:val="24"/>
              </w:rPr>
              <w:t xml:space="preserve"> straipsniai.</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Reglamento (ES) Nr. 575/2013 263 ir 264</w:t>
            </w:r>
            <w:r>
              <w:rPr>
                <w:rFonts w:ascii="Times New Roman" w:hAnsi="Times New Roman"/>
                <w:sz w:val="24"/>
              </w:rPr>
              <w:t xml:space="preserve"> straipsniai.</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VIDINIO VERTINIMO METODAS</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Reglamento (ES) Nr. 575/2013 254 ir 265 straipsniai ir 266 straipsnio 5</w:t>
            </w:r>
            <w:r>
              <w:rPr>
                <w:rFonts w:ascii="Times New Roman" w:hAnsi="Times New Roman"/>
                <w:sz w:val="24"/>
              </w:rPr>
              <w:t xml:space="preserve"> dalis</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REIKALAVIMUS ATITINKANČIO NEVEIKSNIŲ POZICIJŲ PAKEITIMO VERTYBINIAIS POPIERIAIS DIDESNIO PRIORITETO SEGMENTAMS TAIKOMA KONKRETI TVARKA</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Reglamento (ES) Nr. 575/2013 </w:t>
            </w:r>
            <w:r>
              <w:rPr>
                <w:rStyle w:val="InstructionsTabelleText"/>
                <w:rFonts w:ascii="Times New Roman" w:hAnsi="Times New Roman"/>
                <w:sz w:val="24"/>
              </w:rPr>
              <w:t>269a</w:t>
            </w:r>
            <w:r>
              <w:rPr>
                <w:rFonts w:ascii="Times New Roman" w:hAnsi="Times New Roman"/>
                <w:sz w:val="24"/>
              </w:rPr>
              <w:t xml:space="preserve"> straipsnio 3 dalis.</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KITA (RW = 1 250</w:t>
            </w:r>
            <w:r>
              <w:t xml:space="preserve">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lastRenderedPageBreak/>
              <w:t>Reglamento (ES) Nr. 575/2013 254 straipsnio 7</w:t>
            </w:r>
            <w:r>
              <w:rPr>
                <w:rFonts w:ascii="Times New Roman" w:hAnsi="Times New Roman"/>
                <w:sz w:val="24"/>
              </w:rPr>
              <w:t xml:space="preserve"> dalis.</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PRIEŠ APRIBOJIMĄ. ĮVERTINTOS GRYNOSIOS ILGOSIOS / TRUMPOSIOS POZICIJOS</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Reglamento (ES) Nr. 575/2013 338 straipsnis, neatsižvelgiant į to reglamento 335 straipsnyje numatytą pasirinkimo galimybę.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 APRIBOJIMO. ĮVERTINTOS GRYNOSIOS ILGOSIOS / TRUMPOSIOS POZICIJOS</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Reglamento (ES) Nr. 575/2013 338 straipsnis, atsižvelgiant į to reglamento 335 straipsnyje numatytą pasirinkimo galimybę.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BENDRA NUOSAVŲ LĖŠŲ REIKALAVIMO SUMA</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Nuosavų lėšų reikalavimas nustatomas kaip didesnioji iš šių sumų:</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kapitalo poreikio specifinei rizikai padengti koeficientas, kuris būtų taikomas tik grynosioms ilgosioms pozicijoms (0430 skiltis);</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kapitalo poreikio specifinei rizikai padengti koeficientas, kuris būtų taikomas tik grynosioms trumposioms pozicijoms (0440 skiltis).</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BENDRA POZICIJŲ SUMA</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Bendra neapmokėta pozicijų (turimų koreliacinės prekybos portfelyje) suma, kurią nurodo įstaiga, atliekanti iniciatoriaus, investuotojo arba rėmėjo vaidmenį.</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INICIATORĖ</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Reglamento (ES) Nr. 575/2013 4 straipsnio 1 dalies 13 punktas.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INVESTUOTOJA</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Kredito įstaiga, pakeitimo vertybiniais popieriais sandoryje, kurio atžvilgiu ji nėra nei iniciatorė, nei rėmėja, nei pirminė skolintoja, turinti pakeitimo vertybiniais popieriais poziciją.</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ĮSTAIGA RĖMĖJA</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Reglamento (ES) Nr. 575/2013 4 straipsnio 1 dalies 14 punktas.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Įstaiga rėmėja, vertybiniais popieriais keičianti ir nuosavą turtą, užpildo įstaigai iniciatorei skirtas eilutes, pateikdama informaciją apie vertybiniais popieriais keičiamą nuosavą turtą.</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ir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PAKEITIMO VERTYBINIAIS POPIERIAIS POZICIJOS</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lastRenderedPageBreak/>
              <w:t>Koreliacinės prekybos portfelis apima pakeitimo vertybiniais popieriais pozicijas, n-tojo įsipareigojimų neįvykdymo kredito išvestines finansines priemones ir gali apimti kitas apsidraudimo pozicijas, kurios atitinka Reglamento (ES) Nr. 575/2013 338 straipsnio 2 ir 3 dalyse nustatytus kriterijus.</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Pakeitimo vertybiniais popieriais išvestinių finansinių priemonių pozicijos, kurios sudaro proporcingą dalį, taip pat pozicijos, kuriomis apdraudžiamos CTP pozicijos, yra įtraukiamos į eilutę „Kitos CTP pozicijos“.</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N-TOJO ĮSIPAREIGOJIMŲ NEĮVYKDYMO KREDITO IŠVESTINĖS FINANSINĖS PRIEMONĖS</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Čia nurodomos n-tojo įsipareigojimų neįvykdymo kredito išvestinės finansinės priemonės, apdraustos n-tojo įsipareigojimų neįvykdymo kredito išvestinėmis finansinėmis priemonėmis pagal Reglamento (ES) Nr. 575/2013 347 straipsnį.</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Įstaigos iniciatorės, investuotojos ir rėmėjos pozicijos netinka, kad būtų įtrauktos į n-tojo įsipareigojimų neįvykdymo kredito išvestines finansines priemones. Todėl n-tojo įsipareigojimų neįvykdymo išvestinės finansinės priemonės neskirstomos taip, kaip pakeitimo vertybiniais popieriais pozicijos.</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ir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KITOS CTP POZICIJOS</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Įtraukiamos šios pozicijos: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pakeitimo vertybiniais popieriais išvestinių finansinių priemonių pozicijos, kurios sudaro proporcingą dalį, taip pat pozicijos, kuriomis apdraudžiamos CTP pozicijos;</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CTP pozicijos, apdraustos kredito išvestinėmis finansinėmis priemonėmis pagal Reglamento (ES) Nr. 575/2013 346 straipsnį;</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kitos pozicijos, kurios atitinka Reglamento (ES) Nr. 575/2013 338 straipsnio 3 dalį.</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17575"/>
      <w:r>
        <w:rPr>
          <w:rFonts w:ascii="Times New Roman" w:hAnsi="Times New Roman"/>
          <w:sz w:val="24"/>
          <w:u w:val="none"/>
        </w:rPr>
        <w:t>5.</w:t>
      </w:r>
      <w:r w:rsidRPr="000468F5">
        <w:rPr>
          <w:u w:val="none"/>
        </w:rPr>
        <w:tab/>
      </w:r>
      <w:r>
        <w:rPr>
          <w:rFonts w:ascii="Times New Roman" w:hAnsi="Times New Roman"/>
          <w:sz w:val="24"/>
        </w:rPr>
        <w:t>C 21.00. Rinkos rizika. Standartizuotas metodas, taikomas nuosavybės vertybinių popierių pozicijos rizikai</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17576"/>
      <w:r>
        <w:rPr>
          <w:rFonts w:ascii="Times New Roman" w:hAnsi="Times New Roman"/>
          <w:sz w:val="24"/>
          <w:u w:val="none"/>
        </w:rPr>
        <w:t>5.1</w:t>
      </w:r>
      <w:r w:rsidRPr="000468F5">
        <w:rPr>
          <w:rFonts w:ascii="Times New Roman" w:hAnsi="Times New Roman"/>
          <w:sz w:val="24"/>
          <w:u w:val="none"/>
        </w:rPr>
        <w:t>.</w:t>
      </w:r>
      <w:r w:rsidRPr="000468F5">
        <w:rPr>
          <w:u w:val="none"/>
        </w:rPr>
        <w:tab/>
      </w:r>
      <w:r>
        <w:rPr>
          <w:rFonts w:ascii="Times New Roman" w:hAnsi="Times New Roman"/>
          <w:sz w:val="24"/>
        </w:rPr>
        <w:t>Bendrosios pastabos</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Šiame šablone prašoma pateikti informaciją apie pozicijas ir jas atitinkančius nuosavų lėšų reikalavimus nuosavybės vertybinių popierių pozicijos, kuri yra prekybos knygoje ir kuriai taikomas standartizuotas metodas, rizikai padengti.</w:t>
      </w:r>
    </w:p>
    <w:p w14:paraId="3AF5EC7C" w14:textId="570FEDBA" w:rsidR="00B828CC" w:rsidRPr="002D60D7" w:rsidRDefault="000B0B09" w:rsidP="00E172EA">
      <w:pPr>
        <w:pStyle w:val="InstructionsText2"/>
        <w:numPr>
          <w:ilvl w:val="0"/>
          <w:numId w:val="29"/>
        </w:numPr>
        <w:suppressAutoHyphens/>
      </w:pPr>
      <w:r>
        <w:t xml:space="preserve">Šis šablonas užpildomas atskirai nurodant bendrą sumą ir duomenis pagal nekintamą, iš anksto nustatytą rinkų sąrašą, kurį sudaro: Bulgarija, Čekija, Danija, Egiptas, Vengrija, Islandija, Lichtenšteinas, Norvegija, Lenkija, Rumunija, Švedija, Jungtinė Karalystė, Albanija, Japonija, Šiaurės Makedonijos Respublika, Rusijos Federacija, Serbija, Šveicarija, Turkija, Ukraina, JAV, euro zona ir dar vienas šablonas visoms kitoms rinkoms. Pagal šį informacijos pateikimo reikalavimą sąvoka „rinka“ suprantama kaip „šalis“ (išskyrus euro </w:t>
      </w:r>
      <w:r>
        <w:lastRenderedPageBreak/>
        <w:t>zonai priklausančias šalis, žr. Komisijos deleguotąjį reglamentą (ES) Nr.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17577"/>
      <w:r>
        <w:rPr>
          <w:rFonts w:ascii="Times New Roman" w:hAnsi="Times New Roman"/>
          <w:sz w:val="24"/>
          <w:u w:val="none"/>
        </w:rPr>
        <w:t>5.2.</w:t>
      </w:r>
      <w:r w:rsidRPr="000468F5">
        <w:rPr>
          <w:u w:val="none"/>
        </w:rPr>
        <w:tab/>
      </w:r>
      <w:r>
        <w:rPr>
          <w:rFonts w:ascii="Times New Roman" w:hAnsi="Times New Roman"/>
          <w:sz w:val="24"/>
        </w:rPr>
        <w:t>Nurodymai dėl konkrečių pozicijų</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VISOS POZICIJOS (ILGOSIOS IR TRUMPOSIOS)</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Reglamento (ES) Nr. 575/2013 102 straipsnis ir 105 straipsnio 1 dalis.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Tai bendrosios pozicijos, neatėmus priemonių, bet atskaičius platinamas pozicijas, kurias yra pasirašiusios ar kurių nupirkimą patvirtino trečiosios šalys, kaip nurodyta to reglamento 345 straipsnio 1 dalies pirmos pastraipos antrame sakinyje.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GRYNOSIOS POZICIJOS (ILGOSIOS IR TRUMPOSIOS)</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Reglamento (ES) Nr. 575/2013 327, 329, 332, 341 ir 345 straipsniai.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KURIOMS TAIKOMAS KAPITALO POREIKIO KOEFICIENTAS</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Tos grynosios pozicijos, kurioms pagal įvairius Reglamento (ES) Nr. 575/2013 trečios dalies IV antraštinės dalies 2 skyriuje aptartus metodus yra taikomas kapitalo poreikio koeficientas. Kapitalo poreikio koeficientas apskaičiuojamas kiekvienai nacionalinei rinkai atskirai. Akcijų indeksų ateities sandorių, nurodytų Reglamento (ES) Nr. 575/2013 344 straipsnio 4 dalies antrame sakinyje, pozicijos į šią skiltį neįtraukiamos.</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REIKALAVIMAI</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Atitinkamų pozicijų nuosavų lėšų reikalavimas pagal Reglamento (ES) Nr. 575/2013 trečios dalies IV antraštinės dalies 2 skyrių.</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RIZIKOS POZICIJOS SUMA</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Reglamento (ES) Nr. 575/2013 92 straipsnio 6 dalies b punktas.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Rezultatas, gautas nuosavų lėšų reikalavimus padauginus iš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NUOSAVYBĖS VERTYBINIAI POPIERIAI PREKYBOS KNYGOJE</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Nuosavų lėšų reikalavimai pozicijos rizikai padengti, kaip nurodyta Reglamento (ES) Nr. 575/2013 92 straipsnio 3 dalies b punkto i papunktyje ir to reglamento trečios dalies IV antraštinės dalies 2 skyriaus 3 skirsnyje.</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BENDROJI RIZIKA</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Nuosavybės vertybinių popierių pozicijos, susijusios su bendrąja rizika (Reglamento (ES) Nr. 575/2013 343 straipsnis), ir jas atitinkantis nuosavų lėšų reikalavimas pagal to reglamento trečios dalies IV antraštinės dalies 2 skyriaus 3 skirsnį.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Abu skirstymai (0021 / 0022 eilutės ir 0030 / 0040 eilutės) yra susiję su visomis pozicijomis, kurios susijusios su bendrąja rizika.</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0021 ir 0022 eilutėse informaciją prašoma suskirstyti pagal priemones.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Tik 0030 ir 0040 eilutėse pateikiamas skirstymas yra naudojamas nuosavų lėšų reikalavimams apskaičiuoti.</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Išvestinės finansinės priemonės</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Išvestinės finansinės priemonės, įtraukiamos apskaičiuojant prekybos knygos pozicijų nuosavybės vertybinių popierių riziką, atitinkamais atvejais atsižvelgiant į Reglamento (ES) Nr. 575/2013 329 ir 332 straipsnius.</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Kitas turtas ir įsipareigojimai</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Kitos priemonės, ne išvestinės finansinės priemonės, įtraukiamos apskaičiuojant prekybos knygos pozicijų nuosavybės vertybinių popierių riziką.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Biržiniai akcijų indeksų ateities sandoriai, kurie yra plačiai diversifikuoti ir kuriems yra taikomas specialus metodas</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Biržiniai akcijų indeksų ateities sandoriai, kurie yra plačiai diversifikuoti ir kuriems yra taikomas specialus metodas pagal Komisijos įgyvendinimo reglamentą (ES) Nr. 945/2014</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Tos pozicijos yra susijusios tik su bendrąja rizika ir atitinkamai nenurodomos 0050 eilutėje.</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Kiti nuosavybės vertybiniai popieriai, išskyrus biržinius akcijų indeksų ateities sandorius, kurie yra plačiai diversifikuoti</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Kitos nuosavybės vertybinių popierių pozicijos, kurios yra susijusios su specifine rizika, ir jas atitinkantys nuosavų lėšų reikalavimai pagal Reglamento (ES) Nr. 575/2013 343 straipsnį, įskaitant akcijų indeksų ateities sandorius, kuriems taikoma to reglamento 344 straipsnio 3 dalis.</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SPECIFINĖ RIZIKA</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Nuosavybės vertybinių popierių pozicijos, kurios yra susijusios su specifine rizika, ir jas atitinkantis nuosavų lėšų reikalavimas pagal Reglamento (ES) Nr. 575/2013 342 straipsnį, neįskaitant akcijų indeksų ateities sandorių, kuriems taikomas to reglamento 344 straipsnio 4 dalies antras sakinys, pozicijų.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PAPILDOMI REIKALAVIMAI PASIRINKIMO SANDORIAMS (NE DELTA RIZIKA)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Reglamento (ES) Nr. 575/2013 329 straipsnio 2 ir 3 dalys.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Papildomi reikalavimai pasirinkimo sandoriams, susijusiems su ne delta rizika, nurodomi pagal skaičiavimui taikytą metodą.</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17578"/>
      <w:r>
        <w:rPr>
          <w:rFonts w:ascii="Times New Roman" w:hAnsi="Times New Roman"/>
          <w:sz w:val="24"/>
          <w:u w:val="none"/>
        </w:rPr>
        <w:t>6.</w:t>
      </w:r>
      <w:r w:rsidRPr="000468F5">
        <w:rPr>
          <w:u w:val="none"/>
        </w:rPr>
        <w:tab/>
      </w:r>
      <w:r>
        <w:rPr>
          <w:rFonts w:ascii="Times New Roman" w:hAnsi="Times New Roman"/>
          <w:sz w:val="24"/>
        </w:rPr>
        <w:t>C 22.00. Rinkos rizika. Standartizuoti metodai, taikomi užsienio valiutos kurso rizikai</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17579"/>
      <w:r>
        <w:rPr>
          <w:rFonts w:ascii="Times New Roman" w:hAnsi="Times New Roman"/>
          <w:sz w:val="24"/>
          <w:u w:val="none"/>
        </w:rPr>
        <w:t>6.1.</w:t>
      </w:r>
      <w:r w:rsidRPr="000468F5">
        <w:rPr>
          <w:u w:val="none"/>
        </w:rPr>
        <w:tab/>
      </w:r>
      <w:r>
        <w:rPr>
          <w:rFonts w:ascii="Times New Roman" w:hAnsi="Times New Roman"/>
          <w:sz w:val="24"/>
        </w:rPr>
        <w:t>Bendrosios pastabos</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Šiame šablone investicinės įmonės pateikia informaciją apie kiekvienos valiutos pozicijas (įskaitant ataskaitose nurodomą valiutą) ir atitinkamus nuosavų lėšų reikalavimus užsienio valiutos kurso rizikai padengti pagal standartizuotą metodą. Pozicija apskaičiuojama kiekvienai valiutai (įskaitant EUR), auksui ir KIS pozicijoms.</w:t>
      </w:r>
    </w:p>
    <w:p w14:paraId="39EF826C" w14:textId="60814CC7" w:rsidR="000B0B09" w:rsidRPr="002D60D7" w:rsidRDefault="00B31D8A" w:rsidP="00E172EA">
      <w:pPr>
        <w:pStyle w:val="InstructionsText2"/>
        <w:numPr>
          <w:ilvl w:val="0"/>
          <w:numId w:val="29"/>
        </w:numPr>
        <w:suppressAutoHyphens/>
      </w:pPr>
      <w:r>
        <w:t>Šio šablono 0100–0470 eilutės pildomos, jei investicinės įmonės turi leidimą vykdyti Europos Parlamento ir Tarybos direktyvos 2014/65/ES</w:t>
      </w:r>
      <w:r>
        <w:rPr>
          <w:rStyle w:val="FootnoteReference"/>
        </w:rPr>
        <w:footnoteReference w:id="4"/>
      </w:r>
      <w:r>
        <w:t xml:space="preserve"> I priedo A skirsnio 3 arba 6 veiklą, net jei toms investicinėms įmonėms nereikia apskaičiuoti nuosavų lėšų reikalavimų užsienio valiutos kurso rizikai padengti pagal Reglamento (ES) Nr. 575/2013 351 straipsnį. Šiuose papildomuose straipsniuose, 0100–0470 eilutėse nurodomos visos pozicijos ataskaitose nurodoma valiuta, nepaisant to, ar į jas atsižvelgiama taikant Reglamento (ES) Nr. 575/2013 354 straipsnį. Papildomų šablono straipsnių 0130–0470 eilutės užpildomos atskirai visoms Sąjungos valstybių narių valiutoms, šioms valiutoms: GBP, USD, CHF, JPY, RUB, TRY, AUD, CAD, RSD, ALL, UAH, MKD, EGP, ARS, BRL, MXN, HKD, ICK, TWD, NZD, NOK, SGD, KRW, CNY, taip pat visoms kitoms valiutoms.</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17580"/>
      <w:r>
        <w:rPr>
          <w:rFonts w:ascii="Times New Roman" w:hAnsi="Times New Roman"/>
          <w:sz w:val="24"/>
          <w:u w:val="none"/>
        </w:rPr>
        <w:t>6.2.</w:t>
      </w:r>
      <w:r w:rsidRPr="000468F5">
        <w:rPr>
          <w:u w:val="none"/>
        </w:rPr>
        <w:tab/>
      </w:r>
      <w:r>
        <w:rPr>
          <w:rFonts w:ascii="Times New Roman" w:hAnsi="Times New Roman"/>
          <w:sz w:val="24"/>
        </w:rPr>
        <w:t>Nurodymai dėl konkrečių pozicijų</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VISOS POZICIJOS (ILGOSIOS IR TRUMPOSIOS)</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Bendrosios pozicijos, kurias sudaro turtas, gautinos sumos ir panašūs straipsniai, nurodyti Reglamento (ES) Nr. 575/2013 352 straipsnio 1 dalyje.</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Pagal Reglamento (ES) Nr. 575/2013 352 straipsnio 2 dalį, gavus kompetentingų institucijų leidimą, nenurodomos pozicijos, kurias įstaiga prisiėmė, kad apsidraustų nuo neigiamo valiutos kurso poveikio jos koeficientams pagal to reglamento 92 straipsnio 1 dalį, taip pat pozicijos, kurios yra susijusios su straipsniais, jau atskaitytais skaičiuojant nuosavas lėšas.</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GRYNOSIOS POZICIJOS (ILGOSIOS IR TRUMPOSIOS)</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Reglamento (ES) Nr. 575/2013 352 straipsnio 3 dalis, 352 straipsnio 4 dalies pirmi du sakiniai ir 353 straipsnis.</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Grynosios pozicijos yra apskaičiuojamos kiekviena valiuta pagal to reglamento 352 straipsnio 1 dalį. Todėl vienu metu gali būti nurodomos ir ilgosios, ir trumposios pozicijos.</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KURIOMS TAIKOMAS KAPITALO POREIKIO KOEFICIENTAS</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Reglamento (ES) Nr. 575/2013 352 straipsnio 4 dalies trečias sakinys ir 353 ir 354 straipsniai.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POZICIJOS, KURIOMS TAIKOMAS KAPITALO POREIKIO KOEFICIENTAS (ILGOSIOS IR TRUMPOSIOS)</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Ilgosios ir trumposios grynosios pozicijos kiekviena valiuta yra apskaičiuojamos iš bendros ilgųjų pozicijų sumos atimant bendrą trumpųjų pozicijų sumą.</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Ilgosios grynosios pozicijos kiekvienos operacijos valiuta yra sudedamos, taip apskaičiuojant ilgąją grynąją poziciją ta valiuta.</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Trumposios grynosios pozicijos kiekvienos operacijos valiuta yra sudedamos, taip apskaičiuojant trumpąją grynąją poziciją ta valiuta.</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Nesuderintos pozicijos kitomis valiutomis nei ataskaitose nurodoma valiuta yra pridedamos prie pozicijų, kurioms taikomas kapitalo poreikio kitomis valiutomis koeficientas (030 eilutė) 060 arba 070 skiltyje pagal tai, ar jos yra trumposios, ar ilgosios.</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KURIOMS TAIKOMAS KAPITALO POREIKIO KOEFICIENTAS (SUDERINTOS)</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Artimai susijusių valiutų suderintos pozicijos.</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REIKALAVIMAI</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Atitinkamos pozicijos kapitalo poreikio koeficientas pagal Reglamento (ES) Nr. 575/2013 trečios dalies IV antraštinės dalies 3 skyrių.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RIZIKOS POZICIJOS SUMA</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Reglamento (ES) Nr. 575/2013 92 straipsnio 6 dalies b punktas.</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Rezultatas, gautas nuosavų lėšų reikalavimus padauginus iš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POZICIJŲ SUMA</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Visos pozicijos kitomis valiutomis nei ataskaitose nurodoma valiuta ir tos pozicijos ataskaitose nurodoma valiuta, į kurias atsižvelgiama taikant Reglamento (ES) Nr. 575/2013 354 straipsnį, ir atitinkami valiutų kursų rizikai skirti nuosavų lėšų reikalavimai, nurodyti to reglamento 92 straipsnio 3 dalies c </w:t>
            </w:r>
            <w:r>
              <w:rPr>
                <w:rFonts w:ascii="Times New Roman" w:hAnsi="Times New Roman"/>
                <w:sz w:val="24"/>
              </w:rPr>
              <w:lastRenderedPageBreak/>
              <w:t>punkto i papunktyje, atsižvelgiant į Reglamento (ES) Nr. 575/2013 352 straipsnio 2 ir 4 dalis (dėl keitimo į ataskaitose nurodomą valiutą).</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ARTIMAI TARPUSAVYJE SUSIJUSIOS VALIUTOS</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Pozicijos ir atitinkami nuosavų lėšų reikalavimai Reglamento (ES) Nr. 575/2013 354 straipsnyje nurodytoms artimai tarpusavyje susijusioms valiutoms.</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Artimai tarpusavyje susijusios valiutos. </w:t>
            </w:r>
            <w:r>
              <w:rPr>
                <w:rFonts w:ascii="Times New Roman" w:hAnsi="Times New Roman"/>
                <w:b/>
                <w:i/>
                <w:sz w:val="24"/>
                <w:u w:val="single"/>
              </w:rPr>
              <w:t>Dalis, kurią atitinka</w:t>
            </w:r>
            <w:r>
              <w:rPr>
                <w:rFonts w:ascii="Times New Roman" w:hAnsi="Times New Roman"/>
                <w:b/>
                <w:sz w:val="24"/>
                <w:u w:val="single"/>
              </w:rPr>
              <w:t>: ataskaitose nurodoma valiuta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Pozicijos ataskaitose nurodoma valiuta, į kurias atsižvelgiama apskaičiuojant kapitalo reikalavimus pagal Reglamento (ES) Nr. 575/2013 354 straipsnį.</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VISOS KITOS VALIUTOS (įskaitant KIS, vertinamus kitomis valiutomis)</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Pozicijos ir jų atitinkami nuosavų lėšų reikalavimai valiutoms, kurioms taikoma bendra Reglamento (ES) Nr. 575/2013 351 straipsnyje ir 352 straipsnio 2 ir 4 dalyse nurodyta tvarka.</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Informacijos teikimas apie KIS, vertinamus kitomis valiutomis pagal Reglamento (ES) Nr. 575/2013 353 straipsnį:</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KIS, kurie apskaičiuojant kapitalo reikalavimus vertinami kita valiuta, taikoma dvejopa tvarka:</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modifikuotas aukso metodas, jeigu KIS investicijų kryptis nėra žinoma (taikoma tiems KIS, kurie turi būti pridėti prie įstaigos bendros atvirosios užsienio valiutos kurso pozicijos sumos);</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jeigu KIS investicijų kryptis yra žinoma, KIS pridedami prie bendros atvirosios užsienio valiutos kurso pozicijos (ilgosios arba trumposios, tai priklauso nuo KIS veiklos krypties).</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Teikiant informaciją apie KIS atsižvelgiama į kapitalo reikalavimų apskaičiavimą.</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AUKSAS</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Pozicijos ir jų atitinkami nuosavų lėšų reikalavimai valiutoms, kurioms taikoma bendra Reglamento (ES) Nr. 575/2013 351 straipsnyje ir 352 straipsnio 2 ir 4 dalyse nurodyta tvarka.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PAPILDOMI REIKALAVIMAI PASIRINKIMO SANDORIAMS (NE DELTA RIZIKA)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Reglamento (ES) Nr. 575/2013 352 straipsnio 5 ir 6 dalys.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Papildomi reikalavimai pasirinkimo sandoriams, susijusiems su ne delta rizika, nurodomi suskirstyti pagal jų skaičiavimui taikytą metodą.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Bendros pozicijų sumos suskirstymas (įskaitant ataskaitose nurodomą valiutą) pagal pozicijų rūšis</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Bendra pozicijų suma suskirstoma į išvestinių finansinių priemonių, kito turto ir įsipareigojimų ir nebalansinius straipsnius.</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Kitas turtas ir įsipareigojimai, išskyrus nebalansinius straipsnius ir išvestines finansines priemones</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Čia nurodomos į 0110 arba 0120 eilutę neįtrauktos pozicijos.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Nebalansiniai straipsniai</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Į Reglamento (ES) Nr. 575/2013 352 taikymo sritį įtraukti straipsniai, nepriklausomai nuo tų straipsnių valiutos, kurie yra įtraukti į to reglamento I priedą, išskyrus įtrauktuosius kaip vertybinių popierių įsigijimo finansavimo sandoriai ir ilgalaikiai atsiskaitymo sandoriai arba straipsniai pagal įpareigojančius kryžminės produktų užskaitos susitarimus.</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Išvestinės finansinės priemonės</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Pozicijos, įvertintos pagal Reglamento (ES) Nr. 575/2013 352 straipsnį.</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PAPILDOMI STRAIPSNIAI. VALIUTOS POZICIJOS</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Papildomi šablono straipsniai užpildomi atskirai visoms Sąjungos valstybių narių valiutoms, GBP, USD, CHF, JPY, RUB, TRY, AUD, CAD, RSD, ALL, UAH, MKD, EGP, ARS, BRL, MXN, HKD, ICK, TWD, NZD, NOK, SGD, KRW, CNY, taip pat visoms kitoms valiutoms.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Į 0470 eilutę įtraukiamos aukso pozicijos ir KIS pozicijos, vertinamos kaip atskira valiuta pagal Reglamento (ES) Nr. 575/2013 353 straipsnio 3 dalį.</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17581"/>
      <w:r>
        <w:rPr>
          <w:rFonts w:ascii="Times New Roman" w:hAnsi="Times New Roman"/>
          <w:sz w:val="24"/>
          <w:u w:val="none"/>
        </w:rPr>
        <w:t>7.</w:t>
      </w:r>
      <w:r w:rsidRPr="000468F5">
        <w:rPr>
          <w:u w:val="none"/>
        </w:rPr>
        <w:tab/>
      </w:r>
      <w:r>
        <w:rPr>
          <w:rFonts w:ascii="Times New Roman" w:hAnsi="Times New Roman"/>
          <w:sz w:val="24"/>
        </w:rPr>
        <w:t>C 23.00. Rinkos rizika. Standartizuoti metodai, taikomi biržos prekėms</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17582"/>
      <w:r>
        <w:rPr>
          <w:rFonts w:ascii="Times New Roman" w:hAnsi="Times New Roman"/>
          <w:sz w:val="24"/>
          <w:u w:val="none"/>
        </w:rPr>
        <w:t>7.1.</w:t>
      </w:r>
      <w:r w:rsidRPr="000468F5">
        <w:rPr>
          <w:u w:val="none"/>
        </w:rPr>
        <w:tab/>
      </w:r>
      <w:r>
        <w:rPr>
          <w:rFonts w:ascii="Times New Roman" w:hAnsi="Times New Roman"/>
          <w:sz w:val="24"/>
        </w:rPr>
        <w:t>Bendrosios pastabos</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Šiame šablone prašoma pateikti informaciją apie biržos prekių pozicijas ir atitinkamus nuosavų lėšų reikalavimus pagal standartizuotą metodą.</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17583"/>
      <w:r>
        <w:rPr>
          <w:rFonts w:ascii="Times New Roman" w:hAnsi="Times New Roman"/>
          <w:sz w:val="24"/>
          <w:u w:val="none"/>
        </w:rPr>
        <w:t>7.2.</w:t>
      </w:r>
      <w:r w:rsidRPr="000468F5">
        <w:rPr>
          <w:u w:val="none"/>
        </w:rPr>
        <w:tab/>
      </w:r>
      <w:r>
        <w:rPr>
          <w:rFonts w:ascii="Times New Roman" w:hAnsi="Times New Roman"/>
          <w:sz w:val="24"/>
        </w:rPr>
        <w:t>Nurodymai dėl konkrečių pozicijų</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Skiltys</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VISOS POZICIJOS (ILGOSIOS IR TRUMPOSIOS)</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Bendrosios ilgosios / trumposios pozicijos, laikomos tos pačios biržos prekės pozicijomis pagal Reglamento (ES) Nr. 575/2013 357 straipsnio 4 dalį (taip pat žr. to reglamento 359 straipsnio 1 dalį).</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GRYNOSIOS POZICIJOS (ILGOSIOS IR TRUMPOSIOS)</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Kaip nurodyta Reglamento (ES) Nr. 575/2013 357 straipsnio 3 dalyje.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KURIOMS TAIKOMAS KAPITALO POREIKIO KOEFICIENTAS</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Tos grynosios pozicijos, kurioms pagal įvairius Reglamento (ES) Nr. 575/2013 trečios dalies IV antraštinės dalies 4 skyriuje aptartus metodus yra taikomas kapitalo poreikio koeficientas.</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REIKALAVIMAI</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Atitinkamų pozicijų nuosavų lėšų reikalavimas, apskaičiuotas pagal Reglamento (ES) Nr. 575/2013 trečios dalies IV antraštinės dalies 4 skyrių.</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RIZIKOS POZICIJOS SUMA</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Reglamento (ES) Nr. 575/2013 92 straipsnio 6 dalies b punktas.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Rezultatas, gautas nuosavų lėšų reikalavimus padauginus iš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BIRŽOS PREKIŲ POZICIJŲ SUMA</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Biržos prekių pozicijos ir jų atitinkami nuosavų lėšų reikalavimai rinkos rizikai padengti pagal Reglamento (ES) Nr. 575/2013 92 straipsnio 4 dalies c punktą ir to reglamento trečios dalies IV antraštinės dalies 4 skyrių.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POZICIJOS PAGAL BIRŽOS PREKIŲ KATEGORIJĄ</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Teikiant informaciją biržos prekės suskirstomos į keturias biržos prekių grupes, nurodytas Reglamento (ES) Nr. 575/2013 361 straipsnio 2 lentelėje.</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TERMINŲ ATITIKIMO METODAS</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Biržos prekių pozicijos, kurioms taikomas Reglamento (ES) Nr. 575/2013 359 straipsnyje nurodytas terminų atitikimo metodas.</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IŠPLĖSTASIS TERMINŲ ATITIKIMO METODAS</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Biržos prekių pozicijos, kurioms taikomas Reglamento (ES) Nr. 575/2013 361 straipsnyje nurodytas išplėstasis terminų atitikimo metodas.</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SUPAPRASTINTAS METODAS</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Biržos prekių pozicijos, kurioms taikomas Reglamento (ES) Nr. 575/2013 360 straipsnyje nurodytas supaprastintas metodas.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PAPILDOMI REIKALAVIMAI PASIRINKIMO SANDORIAMS (NE DELTA RIZIKA)</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Reglamento (ES) Nr. 575/2013 358 straipsnio 4 dalis.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Papildomi reikalavimai pasirinkimo sandoriams, susijusiems su ne delta rizika, nurodomi pagal skaičiavimui taikytą metodą.</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17584"/>
      <w:r>
        <w:rPr>
          <w:rFonts w:ascii="Times New Roman" w:hAnsi="Times New Roman"/>
          <w:sz w:val="24"/>
        </w:rPr>
        <w:t>8.</w:t>
      </w:r>
      <w:r>
        <w:tab/>
      </w:r>
      <w:r>
        <w:rPr>
          <w:rFonts w:ascii="Times New Roman" w:hAnsi="Times New Roman"/>
          <w:sz w:val="24"/>
        </w:rPr>
        <w:t>C 24.00. Rinkos rizikos vidaus modelis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17585"/>
      <w:r>
        <w:rPr>
          <w:rFonts w:ascii="Times New Roman" w:hAnsi="Times New Roman"/>
          <w:sz w:val="24"/>
          <w:u w:val="none"/>
        </w:rPr>
        <w:t>8.1.</w:t>
      </w:r>
      <w:r w:rsidRPr="000468F5">
        <w:rPr>
          <w:u w:val="none"/>
        </w:rPr>
        <w:tab/>
      </w:r>
      <w:r>
        <w:rPr>
          <w:rFonts w:ascii="Times New Roman" w:hAnsi="Times New Roman"/>
          <w:sz w:val="24"/>
        </w:rPr>
        <w:t>Bendrosios pastabos</w:t>
      </w:r>
      <w:bookmarkEnd w:id="159"/>
      <w:bookmarkEnd w:id="160"/>
    </w:p>
    <w:p w14:paraId="2B3D1454" w14:textId="708078C0" w:rsidR="005970B6" w:rsidRPr="002D60D7" w:rsidRDefault="005970B6" w:rsidP="00E172EA">
      <w:pPr>
        <w:pStyle w:val="InstructionsText2"/>
        <w:numPr>
          <w:ilvl w:val="0"/>
          <w:numId w:val="29"/>
        </w:numPr>
        <w:suppressAutoHyphens/>
      </w:pPr>
      <w:r>
        <w:t>Šiame šablone VaR ir VaR nepalankiausiomis sąlygomis (sVaR) reikšmės suskirstomos pagal įvairią rinkos riziką (skolos, nuosavybės vertybinių popierių, užsienio valiutos kurso, biržos prekių kainų) ir pateikiami kiti, apskaičiuojant nuosavų lėšų reikalavimus svarbūs, duomenys.</w:t>
      </w:r>
    </w:p>
    <w:p w14:paraId="6141A6DE" w14:textId="106A2D11" w:rsidR="005970B6" w:rsidRDefault="005970B6" w:rsidP="00E172EA">
      <w:pPr>
        <w:pStyle w:val="InstructionsText2"/>
        <w:numPr>
          <w:ilvl w:val="0"/>
          <w:numId w:val="29"/>
        </w:numPr>
        <w:suppressAutoHyphens/>
      </w:pPr>
      <w:r>
        <w:t xml:space="preserve">Paprastai tai priklauso nuo investicinių įmonių modelio struktūros, ar bendrosios ir specifinės rizikos duomenys gali būti nustatyti ir pateikti atskirai, ar tik kaip bendra suma. Tą patį galima pasakyti apie VaR / VaR nepalankiausiomis sąlygomis (Stress-VaR) išskaidymą pagal rizikos kategoriją (palūkanų normos riziką, nuosavybės vertybinių popierių riziką, biržos prekių kainos riziką ir užsienio valiutos kurso riziką). Įstaiga gali neteikti išskaidytų duomenų, jeigu ta įstaiga įrodo, kad tuos duomenis teikti būtų pernelyg sudėtinga.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17586"/>
      <w:r>
        <w:rPr>
          <w:rFonts w:ascii="Times New Roman" w:hAnsi="Times New Roman"/>
          <w:sz w:val="24"/>
          <w:u w:val="none"/>
        </w:rPr>
        <w:t>8.2.</w:t>
      </w:r>
      <w:r w:rsidRPr="000468F5">
        <w:rPr>
          <w:u w:val="none"/>
        </w:rPr>
        <w:tab/>
      </w:r>
      <w:r>
        <w:rPr>
          <w:rFonts w:ascii="Times New Roman" w:hAnsi="Times New Roman"/>
          <w:sz w:val="24"/>
        </w:rPr>
        <w:t>Nurodymai dėl konkrečių pozicijų</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Skiltys</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Vertės pokyčio rizika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VaR – maksimalus galimas nuostolis, kuris susidarytų dėl kainų pokyčio su nustatyta tikimybe per konkretų laikotarpį.</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Multiplikatoriaus koeficientas (mc) x praėjusių 60 darbo dienų VaR vidurkis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Reglamento (ES) Nr. 575/2013 364 straipsnio 1 dalies a punkto ii papunktis ir 365 straipsnio 1 dalis.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Praėjusios dienos VaR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Reglamento (ES) Nr. 575/2013 364 straipsnio 1 dalies a punkto ii papunktis ir 365 straipsnio 1 dalis.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nepalankiausiomis sąlygomis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VaR nepalankiausiomis sąlygomis – didžiausias galimas nuostolis dėl kainų pokyčio su nustatyta tikimybe per konkretų laikotarpį, naudojant įvestis, </w:t>
            </w:r>
            <w:r>
              <w:rPr>
                <w:rFonts w:ascii="Times New Roman" w:hAnsi="Times New Roman"/>
                <w:sz w:val="24"/>
              </w:rPr>
              <w:lastRenderedPageBreak/>
              <w:t>suderintas su nepertraukiamo labai nepalankių finansinių sąlygų 12 mėnesių laikotarpio duomenimis, susijusiais su įstaigos portfeliu.</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Multiplikatoriaus koeficientas (ms) x praėjusių 60 darbo dienų vidurkis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Reglamento (ES) Nr. 575/2013 364 straipsnio 1 dalies b punkto ii papunktis ir 365 straipsnio 1 dalis.</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Paskutinis turimas matas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Reglamento (ES) Nr. 575/2013 364 straipsnio 1 dalies b punkto i papunktis ir 365 straipsnio 1 dalis.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PAPILDOMOS ĮSIPAREIGOJIMŲ NEĮVYKDYMO RIZIKOS IR PASIKEITIMO RIZIKOS KAPITALO POREIKIO KOEFICIENTAS</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Papildomos įsipareigojimų neįvykdymo rizikos ir pasikeitimo rizikos kapitalo poreikio koeficientas – maksimalus galimas nuostolis dėl kainų pokyčio, susijusio su įsipareigojimų neįvykdymo ir pasikeitimo rizika, apskaičiuotas pagal Reglamento (ES) Nr. 575/2013 364 straipsnio 2 dalies b punktą kartu su trečios dalies IV antraštinės dalies 5 skyriaus 4 skirsniu.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savaičių mato vidurkis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Reglamento (ES) Nr. 575/2013 364 straipsnio 2 dalies b punkto ii papunktis kartu su trečios dalies IV antraštinės dalies 5 skyriaus 4 skirsniu.</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Paskutinis matas</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Reglamento (ES) Nr. 575/2013 364 straipsnio 2 dalies b punkto i papunktis kartu su trečios dalies IV antraštinės dalies 5 skyriaus 4 skirsniu.</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VISŲ KAINŲ RIZIKOS KAPITALO POREIKIO KOEFICIENTAS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APATINĖ RIBA</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Reglamento (ES) Nr. 575/2013 364 straipsnio 3 dalies c punktas.</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kapitalo poreikio koeficiento, kuris būtų apskaičiuojamas pagal Reglamento (ES) Nr. 575/2013 338 straipsnio 1 dalį visoms pozicijoms, kurioms taikomas kapitalo poreikio „visiems kainų rizikos veiksniams“ koeficientas.</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SAVAIČIŲ MATO VIDURKIS IR PASKUTINIS MATAS</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Reglamento (ES) Nr. 575/2013 364 straipsnio 3 dalies b punktas.</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PASKUTINIS MATAS</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Reglamento (ES) Nr. 575/2013 364 straipsnio 3 dalies a punktas.</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NUOSAVŲ LĖŠŲ REIKALAVIMAI</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lastRenderedPageBreak/>
              <w:t xml:space="preserve">Visų rizikos veiksnių nuosavų lėšų reikalavimai, nurodyti Reglamento (ES) Nr. 575/2013 364 straipsnyje, atsižvelgiant į koreliacijos poveikį, jei taikoma, taip pat į papildomą įsipareigojimų neįvykdymo ir pasikeitimo riziką, visus kainų rizikos veiksnius pagal CTP, bet neįskaitant pakeitimo vertybiniais popieriais kapitalo poreikio koeficientų, taikomų pakeitimui vertybiniais popieriais ir n-tojo įsipareigojimų neįvykdymo kredito išvestinei finansinei priemonei pagal to reglamento 364 straipsnio 2 dalį.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RIZIKOS POZICIJOS SUMA</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Reglamento (ES) Nr. 575/2013 92 straipsnio 6 dalies b punktas.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Rezultatas, gautas nuosavų lėšų reikalavimus padauginus iš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Nukrypimų skaičius (per 250 praėjusių darbo dienų)</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Kaip nurodyta Reglamento (ES) Nr. 575/2013 366 straipsnyje.</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Nurodomas nukrypimų, kuriais remiantis nustatomas padidėjimo koeficientas, skaičius. Kai pagal Reglamento (ES) Nr. 575/2013 500c straipsnį investicinėms įmonėms leidžiama apskaičiuojant padidėjimo koeficientą neįtraukti tam tikrų nukrypimų, šioje skiltyje nurodytų nukrypimų skaičius pateikiamas neįskaičiuojant tų neįtrauktų nukrypimų.</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VaR multiplikatoriaus koeficientas (mc) ir SVaR multiplikatoriaus koeficientas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Kaip nurodyta Reglamento (ES) Nr. 575/2013 366 straipsnyje.</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Nurodomi multiplikatoriaus koeficientai, faktiškai taikomi nuosavų lėšų reikalavimams apskaičiuoti; atitinkamais atvejais po Reglamento (ES) Nr. 575/2013 500c straipsnio taikymo.</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NUMANOMAS KAPITALO POREIKIS APATINEI CTP RIBAI. ĮVERTINTOS GRYNOSIOS ILGOSIOS / TRUMPOSIOS POZICIJOS PRITAIKIUS APRIBOJIMĄ</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Nurodant sumą, naudojamą apatinei kapitalo poreikio koeficiento ribai nustatyti visiems kainų rizikos veiksniams pagal Reglamento (ES) Nr. 575/2013 364 straipsnio 3 dalies c punktą, atsižvelgiama į pasirinkimo galimybę, nurodytą to reglamento 335 straipsnyje, kuriame nurodoma, kad įstaiga gali apriboti vertinimo rezultatą ir grynąją poziciją didžiausio galimo nuostolio, susijusio su įsipareigojimų neįvykdymu, suma.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Eilutės</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POZICIJŲ SUMA</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Atitinka pozicijos, užsienio valiutos kurso ir biržos prekių kainos rizikos, nurodytų Reglamento (ES) Nr. 575/2013 363 straipsnio 1 dalyje, dalį, susijusią su rizikos veiksniais, nurodytais to reglamento 367 straipsnio 2 dalyje.</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0030–0060 (VAR ir VAR nepalankiausiomis sąlygomis) skiltyse bendrų sumų eilutėje nurodytos reikšmės nėra lygios išskaidytoms atitinkamų rizikos komponentų VaR / VaR nepalankiausiomis sąlygomis reikšmėms.</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SKOLOS PRIEMONĖS, KURIOMIS PREKIAUJAMA</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Atitinka pozicijos rizikos, nurodytos Reglamento (ES) Nr. 575/2013 363 straipsnio 1 dalyje, dalį, susijusią su palūkanų normų rizikos veiksniais, nurodytais to reglamento 367 straipsnio 2 dalie a punkte.</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BENDROJI RIZIKA</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Bendrosios rizikos komponentas, nurodytas Reglamento (ES) Nr. 575/2013 362 straipsnyje.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SPECIFINĖ RIZIKA</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Specifinės rizikos komponentas, nurodytas Reglamento (ES) Nr. 575/2013 362 straipsnyje.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NUOSAVYBĖS VERTYBINIAI POPIERIAI</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Atitinka pozicijos rizikos, nurodytos Reglamento (ES) Nr. 575/2013 363 straipsnio 1 dalyje, dalį, susijusią su nuosavybės vertybinių popierių rizikos veiksniais, nurodytais to reglamento 367 straipsnio 2 dalie c punkte.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NUOSAVYBĖS VERTYBINIAI POPIERIAI. BENDROJI RIZIKA</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Bendrosios rizikos komponentas, nurodytas Reglamento (ES) Nr. 575/2013 362 straipsnyje.</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NUOSAVYBĖS VERTYBINIAI POPIERIAI. SPECIFINĖ RIZIKA</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Specifinės rizikos komponentas, nurodytas Reglamento (ES) Nr. 575/2013 362 straipsnyje.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UŽSIENIO VALIUTOS KURSO RIZIKA</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Reglamento (ES) Nr. 575/2013 363 straipsnio 1 dalis ir 367 straipsnio 2 dalies b punktas.</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BIRŽOS PREKIŲ KAINOS RIZIKA</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Reglamento (ES) Nr. 575/2013 363 straipsnio 1 dalis ir 367 straipsnio 2 dalies d punktas.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BENDROSIOS RIZIKOS SUMA</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Rinkos rizika, kurią sukelia skolos priemonių, kuriomis prekiaujama, nuosavybės vertybinių popierių, užsienio valiutos kurso ir biržos prekių kainų bendra dinamika rinkoje. Bendrosios rizikos VaR, susijusi su visais rizikos veiksniais (jei taikoma, atsižvelgiant į koreliacijos poveikį).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BENDRA SPECIFINĖS RIZIKOS SUMA</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 xml:space="preserve">Skolos priemonių, kuriomis prekiaujama, ir nuosavybės vertybinių popierių specifinės rizikos sudedamoji dalis. Prekybos knygos nuosavybės vertybinių </w:t>
            </w:r>
            <w:r>
              <w:rPr>
                <w:rStyle w:val="InstructionsTabelleText"/>
                <w:rFonts w:ascii="Times New Roman" w:hAnsi="Times New Roman"/>
                <w:sz w:val="24"/>
              </w:rPr>
              <w:lastRenderedPageBreak/>
              <w:t>popierių ir skolos priemonių, kuriomis prekiaujama, specifinės rizikos VaR (jei taikoma, atsižvelgiant į koreliacijos poveikį).</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2014 m. kovo 12 d. Komisijos deleguotasis reglamentas (ES) Nr. 525/2014, kuriuo papildomos Europos Parlamento ir Tarybos reglamento (ES) Nr. 575/2013 nuostatos, susijusios su rinkos apibrėžimo techniniais reguliavimo standartais, (OL L 148, 2014 5 20, p.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2014 m. rugsėjo 4 d. Komisijos įgyvendinimo reglamentas (ES) Nr. 945/2014, kuriuo pagal Europos Parlamento ir Tarybos reglamentą (ES) Nr. 575/2013 nustatomi atitinkamų tinkamai diversifikuotų indeksų techniniai įgyvendinimo standartai (OL L 265, 2014 9 5, p.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2014 m. gegužės 15 d. </w:t>
      </w:r>
      <w:bookmarkStart w:id="129" w:name="_Hlk204078738"/>
      <w:r>
        <w:t>Europos Parlamento ir Tarybos</w:t>
      </w:r>
      <w:bookmarkEnd w:id="129"/>
      <w:r>
        <w:t xml:space="preserve"> direktyva 2014/65/ES dėl finansinių priemonių rinkų, kuria iš dalies keičiamos Direktyva 2002/92/EB ir Direktyva 2011/61/ES (OL L 173, 2014 6 12, p.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468F5"/>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1A8F"/>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69B8"/>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45D"/>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14C"/>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678"/>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3BB"/>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A41"/>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lt-LT"/>
    </w:rPr>
  </w:style>
  <w:style w:type="character" w:customStyle="1" w:styleId="Heading2Char">
    <w:name w:val="Heading 2 Char"/>
    <w:link w:val="Heading2"/>
    <w:uiPriority w:val="99"/>
    <w:locked/>
    <w:rsid w:val="00EC5046"/>
    <w:rPr>
      <w:rFonts w:ascii="Verdana" w:hAnsi="Verdana" w:cs="Times New Roman"/>
      <w:b/>
      <w:sz w:val="24"/>
      <w:szCs w:val="24"/>
      <w:u w:val="single"/>
      <w:lang w:val="lt-LT"/>
    </w:rPr>
  </w:style>
  <w:style w:type="character" w:customStyle="1" w:styleId="Heading3Char">
    <w:name w:val="Heading 3 Char"/>
    <w:aliases w:val="Title 2 Char"/>
    <w:uiPriority w:val="99"/>
    <w:locked/>
    <w:rsid w:val="00884FEB"/>
    <w:rPr>
      <w:rFonts w:cs="Times New Roman"/>
      <w:sz w:val="24"/>
      <w:szCs w:val="24"/>
      <w:lang w:val="lt-L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lt-L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lt-L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t-L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lt-L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t-L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t-L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t-L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t-L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t-L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lt-L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24</Pages>
  <Words>6097</Words>
  <Characters>42493</Characters>
  <Application>Microsoft Office Word</Application>
  <DocSecurity>0</DocSecurity>
  <Lines>1249</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BUTRIMAVICE Renata (DGT)</cp:lastModifiedBy>
  <cp:revision>11</cp:revision>
  <dcterms:created xsi:type="dcterms:W3CDTF">2025-10-06T12:40:00Z</dcterms:created>
  <dcterms:modified xsi:type="dcterms:W3CDTF">2025-10-09T14:07:00Z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