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A83C" w14:textId="0B721961" w:rsidR="009E7D0C" w:rsidRPr="00696301" w:rsidRDefault="009E7D0C" w:rsidP="0076375E">
      <w:pPr>
        <w:jc w:val="center"/>
        <w:rPr>
          <w:sz w:val="24"/>
          <w:rFonts w:ascii="Times New Roman" w:hAnsi="Times New Roman"/>
        </w:rPr>
      </w:pPr>
      <w:bookmarkStart w:id="0" w:name="_Toc262568021"/>
      <w:bookmarkStart w:id="1" w:name="_Toc295829847"/>
      <w:r>
        <w:rPr>
          <w:sz w:val="24"/>
          <w:rFonts w:ascii="Times New Roman" w:hAnsi="Times New Roman"/>
        </w:rPr>
        <w:t xml:space="preserve">FR</w:t>
      </w:r>
    </w:p>
    <w:p w14:paraId="24333E7A" w14:textId="068FF302" w:rsidR="008D696E" w:rsidRDefault="008D696E" w:rsidP="00A33695">
      <w:pPr>
        <w:jc w:val="center"/>
        <w:rPr>
          <w:sz w:val="24"/>
          <w:rFonts w:ascii="Times New Roman" w:hAnsi="Times New Roman"/>
        </w:rPr>
      </w:pPr>
      <w:r>
        <w:rPr>
          <w:sz w:val="24"/>
          <w:rFonts w:ascii="Times New Roman" w:hAnsi="Times New Roman"/>
        </w:rPr>
        <w:t xml:space="preserve">ANNEXE II</w:t>
      </w:r>
    </w:p>
    <w:p w14:paraId="37362007" w14:textId="08E6D03A" w:rsidR="002648B0" w:rsidRPr="00696301" w:rsidRDefault="008D696E" w:rsidP="00A33695">
      <w:pPr>
        <w:jc w:val="center"/>
        <w:rPr>
          <w:sz w:val="24"/>
          <w:rFonts w:ascii="Times New Roman" w:hAnsi="Times New Roman"/>
        </w:rPr>
      </w:pPr>
      <w:r>
        <w:rPr>
          <w:sz w:val="24"/>
          <w:rFonts w:ascii="Times New Roman" w:hAnsi="Times New Roman"/>
        </w:rPr>
        <w:t xml:space="preserve">«ANNEXE XI</w:t>
      </w:r>
      <w:r>
        <w:rPr>
          <w:sz w:val="24"/>
          <w:rFonts w:ascii="Times New Roman" w:hAnsi="Times New Roman"/>
        </w:rPr>
        <w:t xml:space="preserve"> </w:t>
      </w:r>
    </w:p>
    <w:p w14:paraId="2C40683C" w14:textId="26F597FA" w:rsidR="00436204" w:rsidRPr="00696301" w:rsidRDefault="00D11E4C" w:rsidP="004E7DCF">
      <w:pPr>
        <w:jc w:val="center"/>
        <w:rPr>
          <w:b/>
          <w:sz w:val="24"/>
          <w:rFonts w:ascii="Times New Roman" w:hAnsi="Times New Roman"/>
        </w:rPr>
      </w:pPr>
      <w:r>
        <w:rPr>
          <w:b/>
          <w:sz w:val="24"/>
          <w:rFonts w:ascii="Times New Roman" w:hAnsi="Times New Roman"/>
        </w:rPr>
        <w:t xml:space="preserve">INSTRUCTIONS POUR REMPLIR LA DÉCLARATION RELATIVE À L’EXIGENCE BASÉE SUR LES FACTEURS K AU TITRE DES RtM SUR LA BASE DE K-NPR</w:t>
      </w:r>
    </w:p>
    <w:p w14:paraId="3DEB94EC" w14:textId="77777777" w:rsidR="00783881" w:rsidRPr="00696301" w:rsidRDefault="002648B0" w:rsidP="00487A02">
      <w:pPr>
        <w:pStyle w:val="InstructionsText"/>
      </w:pPr>
      <w:r>
        <w:t xml:space="preserve">Table des matières</w:t>
      </w:r>
    </w:p>
    <w:p w14:paraId="56C60583" w14:textId="03487B57" w:rsidR="002331CC" w:rsidRDefault="00745369">
      <w:pPr>
        <w:pStyle w:val="TOC2"/>
        <w:rPr>
          <w:b w:val="0"/>
          <w:smallCaps w:val="0"/>
          <w:kern w:val="2"/>
          <w:sz w:val="24"/>
          <w:szCs w:val="24"/>
          <w14:ligatures w14:val="standardContextual"/>
          <w:rFonts w:asciiTheme="minorHAnsi" w:eastAsiaTheme="minorEastAsia" w:hAnsiTheme="minorHAnsi" w:cstheme="minorBidi"/>
        </w:rPr>
      </w:pPr>
      <w:r>
        <w:rPr>
          <w:sz w:val="24"/>
          <w:rFonts w:ascii="Times New Roman" w:hAnsi="Times New Roman"/>
        </w:rPr>
        <w:fldChar w:fldCharType="begin" w:dirty="true"/>
      </w:r>
      <w:r>
        <w:rPr>
          <w:sz w:val="24"/>
          <w:rFonts w:ascii="Times New Roman" w:hAnsi="Times New Roman"/>
        </w:rPr>
        <w:instrText xml:space="preserve"> TOC \o "1-3" \h \z \u </w:instrText>
      </w:r>
      <w:r>
        <w:rPr>
          <w:sz w:val="24"/>
          <w:rFonts w:ascii="Times New Roman" w:hAnsi="Times New Roman"/>
        </w:rPr>
        <w:fldChar w:fldCharType="separate"/>
      </w:r>
      <w:hyperlink w:anchor="_Toc210732242" w:history="1">
        <w:r>
          <w:rPr>
            <w:rStyle w:val="Hyperlink"/>
            <w:rFonts w:ascii="Times New Roman" w:hAnsi="Times New Roman"/>
          </w:rPr>
          <w:t xml:space="preserve">PART I: GENERAL INSTRUCTIONS</w:t>
        </w:r>
        <w:r>
          <w:tab/>
        </w:r>
        <w:r>
          <w:rPr>
            <w:webHidden/>
          </w:rPr>
        </w:r>
        <w:r>
          <w:rPr>
            <w:webHidden/>
          </w:rPr>
          <w:fldChar w:fldCharType="begin"/>
        </w:r>
        <w:r>
          <w:rPr>
            <w:webHidden/>
          </w:rPr>
          <w:instrText xml:space="preserve"> PAGEREF _Toc210732242 \h </w:instrText>
        </w:r>
        <w:r>
          <w:rPr>
            <w:webHidden/>
          </w:rPr>
        </w:r>
        <w:r>
          <w:rPr>
            <w:webHidden/>
          </w:rPr>
          <w:fldChar w:fldCharType="separate"/>
        </w:r>
        <w:r>
          <w:rPr>
            <w:webHidden/>
          </w:rPr>
          <w:t xml:space="preserve">2</w:t>
        </w:r>
        <w:r>
          <w:rPr>
            <w:webHidden/>
          </w:rPr>
          <w:fldChar w:fldCharType="end"/>
        </w:r>
      </w:hyperlink>
    </w:p>
    <w:p w14:paraId="05CE4F21" w14:textId="6FCF75BC" w:rsidR="002331CC" w:rsidRDefault="002331CC">
      <w:pPr>
        <w:pStyle w:val="TOC2"/>
        <w:rPr>
          <w:b w:val="0"/>
          <w:smallCaps w:val="0"/>
          <w:sz w:val="24"/>
          <w:rFonts w:asciiTheme="minorHAnsi" w:eastAsiaTheme="minorEastAsia" w:hAnsiTheme="minorHAnsi" w:cstheme="minorBidi"/>
        </w:rPr>
      </w:pPr>
      <w:hyperlink w:anchor="_Toc210732243" w:history="1">
        <w:r>
          <w:rPr>
            <w:rStyle w:val="Hyperlink"/>
            <w:rFonts w:ascii="Times New Roman" w:hAnsi="Times New Roman"/>
          </w:rPr>
          <w:t xml:space="preserve">1.</w:t>
        </w:r>
        <w:r>
          <w:tab/>
        </w:r>
        <w:r>
          <w:rPr>
            <w:b w:val="0"/>
            <w:smallCaps w:val="0"/>
            <w:sz w:val="24"/>
            <w:rFonts w:asciiTheme="minorHAnsi" w:eastAsiaTheme="minorEastAsia" w:hAnsiTheme="minorHAnsi" w:cstheme="minorBidi"/>
          </w:rPr>
        </w:r>
        <w:r>
          <w:rPr>
            <w:rStyle w:val="Hyperlink"/>
            <w:rFonts w:ascii="Times New Roman" w:hAnsi="Times New Roman"/>
          </w:rPr>
          <w:t xml:space="preserve">CONVENTIONS</w:t>
        </w:r>
        <w:r>
          <w:tab/>
        </w:r>
        <w:r>
          <w:rPr>
            <w:webHidden/>
          </w:rPr>
        </w:r>
        <w:r>
          <w:rPr>
            <w:webHidden/>
          </w:rPr>
          <w:fldChar w:fldCharType="begin"/>
        </w:r>
        <w:r>
          <w:rPr>
            <w:webHidden/>
          </w:rPr>
          <w:instrText xml:space="preserve"> PAGEREF _Toc210732243 \h </w:instrText>
        </w:r>
        <w:r>
          <w:rPr>
            <w:webHidden/>
          </w:rPr>
        </w:r>
        <w:r>
          <w:rPr>
            <w:webHidden/>
          </w:rPr>
          <w:fldChar w:fldCharType="separate"/>
        </w:r>
        <w:r>
          <w:rPr>
            <w:webHidden/>
          </w:rPr>
          <w:t xml:space="preserve">2</w:t>
        </w:r>
        <w:r>
          <w:rPr>
            <w:webHidden/>
          </w:rPr>
          <w:fldChar w:fldCharType="end"/>
        </w:r>
      </w:hyperlink>
    </w:p>
    <w:p w14:paraId="56BE64FA" w14:textId="75E20A4E" w:rsidR="002331CC" w:rsidRDefault="002331CC">
      <w:pPr>
        <w:pStyle w:val="TOC2"/>
        <w:rPr>
          <w:b w:val="0"/>
          <w:smallCaps w:val="0"/>
          <w:sz w:val="24"/>
          <w:rFonts w:asciiTheme="minorHAnsi" w:eastAsiaTheme="minorEastAsia" w:hAnsiTheme="minorHAnsi" w:cstheme="minorBidi"/>
        </w:rPr>
      </w:pPr>
      <w:hyperlink w:anchor="_Toc210732244" w:history="1">
        <w:r>
          <w:rPr>
            <w:rStyle w:val="Hyperlink"/>
            <w:rFonts w:ascii="Times New Roman" w:hAnsi="Times New Roman"/>
          </w:rPr>
          <w:t xml:space="preserve">1.1.</w:t>
        </w:r>
        <w:r>
          <w:tab/>
        </w:r>
        <w:r>
          <w:rPr>
            <w:b w:val="0"/>
            <w:smallCaps w:val="0"/>
            <w:sz w:val="24"/>
            <w:rFonts w:asciiTheme="minorHAnsi" w:eastAsiaTheme="minorEastAsia" w:hAnsiTheme="minorHAnsi" w:cstheme="minorBidi"/>
          </w:rPr>
        </w:r>
        <w:r>
          <w:rPr>
            <w:rStyle w:val="Hyperlink"/>
            <w:rFonts w:ascii="Times New Roman" w:hAnsi="Times New Roman"/>
          </w:rPr>
          <w:t xml:space="preserve">Numbering convention</w:t>
        </w:r>
        <w:r>
          <w:tab/>
        </w:r>
        <w:r>
          <w:rPr>
            <w:webHidden/>
          </w:rPr>
        </w:r>
        <w:r>
          <w:rPr>
            <w:webHidden/>
          </w:rPr>
          <w:fldChar w:fldCharType="begin"/>
        </w:r>
        <w:r>
          <w:rPr>
            <w:webHidden/>
          </w:rPr>
          <w:instrText xml:space="preserve"> PAGEREF _Toc210732244 \h </w:instrText>
        </w:r>
        <w:r>
          <w:rPr>
            <w:webHidden/>
          </w:rPr>
        </w:r>
        <w:r>
          <w:rPr>
            <w:webHidden/>
          </w:rPr>
          <w:fldChar w:fldCharType="separate"/>
        </w:r>
        <w:r>
          <w:rPr>
            <w:webHidden/>
          </w:rPr>
          <w:t xml:space="preserve">2</w:t>
        </w:r>
        <w:r>
          <w:rPr>
            <w:webHidden/>
          </w:rPr>
          <w:fldChar w:fldCharType="end"/>
        </w:r>
      </w:hyperlink>
    </w:p>
    <w:p w14:paraId="6134A94E" w14:textId="767FB473" w:rsidR="002331CC" w:rsidRDefault="002331CC">
      <w:pPr>
        <w:pStyle w:val="TOC2"/>
        <w:rPr>
          <w:b w:val="0"/>
          <w:smallCaps w:val="0"/>
          <w:sz w:val="24"/>
          <w:rFonts w:asciiTheme="minorHAnsi" w:eastAsiaTheme="minorEastAsia" w:hAnsiTheme="minorHAnsi" w:cstheme="minorBidi"/>
        </w:rPr>
      </w:pPr>
      <w:hyperlink w:anchor="_Toc210732245" w:history="1">
        <w:r>
          <w:rPr>
            <w:rStyle w:val="Hyperlink"/>
            <w:rFonts w:ascii="Times New Roman" w:hAnsi="Times New Roman"/>
          </w:rPr>
          <w:t xml:space="preserve">1.2.</w:t>
        </w:r>
        <w:r>
          <w:tab/>
        </w:r>
        <w:r>
          <w:rPr>
            <w:b w:val="0"/>
            <w:smallCaps w:val="0"/>
            <w:sz w:val="24"/>
            <w:rFonts w:asciiTheme="minorHAnsi" w:eastAsiaTheme="minorEastAsia" w:hAnsiTheme="minorHAnsi" w:cstheme="minorBidi"/>
          </w:rPr>
        </w:r>
        <w:r>
          <w:rPr>
            <w:rStyle w:val="Hyperlink"/>
            <w:rFonts w:ascii="Times New Roman" w:hAnsi="Times New Roman"/>
          </w:rPr>
          <w:t xml:space="preserve">Sign convention</w:t>
        </w:r>
        <w:r>
          <w:tab/>
        </w:r>
        <w:r>
          <w:rPr>
            <w:webHidden/>
          </w:rPr>
        </w:r>
        <w:r>
          <w:rPr>
            <w:webHidden/>
          </w:rPr>
          <w:fldChar w:fldCharType="begin"/>
        </w:r>
        <w:r>
          <w:rPr>
            <w:webHidden/>
          </w:rPr>
          <w:instrText xml:space="preserve"> PAGEREF _Toc210732245 \h </w:instrText>
        </w:r>
        <w:r>
          <w:rPr>
            <w:webHidden/>
          </w:rPr>
        </w:r>
        <w:r>
          <w:rPr>
            <w:webHidden/>
          </w:rPr>
          <w:fldChar w:fldCharType="separate"/>
        </w:r>
        <w:r>
          <w:rPr>
            <w:webHidden/>
          </w:rPr>
          <w:t xml:space="preserve">2</w:t>
        </w:r>
        <w:r>
          <w:rPr>
            <w:webHidden/>
          </w:rPr>
          <w:fldChar w:fldCharType="end"/>
        </w:r>
      </w:hyperlink>
    </w:p>
    <w:p w14:paraId="3C4FF10C" w14:textId="0B425F50" w:rsidR="002331CC" w:rsidRDefault="002331CC">
      <w:pPr>
        <w:pStyle w:val="TOC2"/>
        <w:rPr>
          <w:b w:val="0"/>
          <w:smallCaps w:val="0"/>
          <w:sz w:val="24"/>
          <w:rFonts w:asciiTheme="minorHAnsi" w:eastAsiaTheme="minorEastAsia" w:hAnsiTheme="minorHAnsi" w:cstheme="minorBidi"/>
        </w:rPr>
      </w:pPr>
      <w:hyperlink w:anchor="_Toc210732246" w:history="1">
        <w:r>
          <w:rPr>
            <w:rStyle w:val="Hyperlink"/>
            <w:rFonts w:ascii="Times New Roman" w:hAnsi="Times New Roman"/>
          </w:rPr>
          <w:t xml:space="preserve">1.3.</w:t>
        </w:r>
        <w:r>
          <w:tab/>
        </w:r>
        <w:r>
          <w:rPr>
            <w:b w:val="0"/>
            <w:smallCaps w:val="0"/>
            <w:sz w:val="24"/>
            <w:rFonts w:asciiTheme="minorHAnsi" w:eastAsiaTheme="minorEastAsia" w:hAnsiTheme="minorHAnsi" w:cstheme="minorBidi"/>
          </w:rPr>
        </w:r>
        <w:r>
          <w:rPr>
            <w:rStyle w:val="Hyperlink"/>
            <w:rFonts w:ascii="Times New Roman" w:hAnsi="Times New Roman"/>
          </w:rPr>
          <w:t xml:space="preserve">References to Regulation (EU) No 575/2013</w:t>
        </w:r>
        <w:r>
          <w:tab/>
        </w:r>
        <w:r>
          <w:rPr>
            <w:webHidden/>
          </w:rPr>
        </w:r>
        <w:r>
          <w:rPr>
            <w:webHidden/>
          </w:rPr>
          <w:fldChar w:fldCharType="begin"/>
        </w:r>
        <w:r>
          <w:rPr>
            <w:webHidden/>
          </w:rPr>
          <w:instrText xml:space="preserve"> PAGEREF _Toc210732246 \h </w:instrText>
        </w:r>
        <w:r>
          <w:rPr>
            <w:webHidden/>
          </w:rPr>
        </w:r>
        <w:r>
          <w:rPr>
            <w:webHidden/>
          </w:rPr>
          <w:fldChar w:fldCharType="separate"/>
        </w:r>
        <w:r>
          <w:rPr>
            <w:webHidden/>
          </w:rPr>
          <w:t xml:space="preserve">2</w:t>
        </w:r>
        <w:r>
          <w:rPr>
            <w:webHidden/>
          </w:rPr>
          <w:fldChar w:fldCharType="end"/>
        </w:r>
      </w:hyperlink>
    </w:p>
    <w:p w14:paraId="61DF3FC9" w14:textId="7B93BA01" w:rsidR="002331CC" w:rsidRDefault="002331CC">
      <w:pPr>
        <w:pStyle w:val="TOC2"/>
        <w:rPr>
          <w:b w:val="0"/>
          <w:smallCaps w:val="0"/>
          <w:sz w:val="24"/>
          <w:rFonts w:asciiTheme="minorHAnsi" w:eastAsiaTheme="minorEastAsia" w:hAnsiTheme="minorHAnsi" w:cstheme="minorBidi"/>
        </w:rPr>
      </w:pPr>
      <w:hyperlink w:anchor="_Toc210732247" w:history="1">
        <w:r>
          <w:rPr>
            <w:rStyle w:val="Hyperlink"/>
            <w:rFonts w:ascii="Times New Roman" w:hAnsi="Times New Roman"/>
          </w:rPr>
          <w:t xml:space="preserve">PART II: TEMPLATE RELATED INSTRUCTIONS: MARKET RISK TEMPLATES</w:t>
        </w:r>
        <w:r>
          <w:tab/>
        </w:r>
        <w:r>
          <w:rPr>
            <w:webHidden/>
          </w:rPr>
        </w:r>
        <w:r>
          <w:rPr>
            <w:webHidden/>
          </w:rPr>
          <w:fldChar w:fldCharType="begin"/>
        </w:r>
        <w:r>
          <w:rPr>
            <w:webHidden/>
          </w:rPr>
          <w:instrText xml:space="preserve"> PAGEREF _Toc210732247 \h </w:instrText>
        </w:r>
        <w:r>
          <w:rPr>
            <w:webHidden/>
          </w:rPr>
        </w:r>
        <w:r>
          <w:rPr>
            <w:webHidden/>
          </w:rPr>
          <w:fldChar w:fldCharType="separate"/>
        </w:r>
        <w:r>
          <w:rPr>
            <w:webHidden/>
          </w:rPr>
          <w:t xml:space="preserve">3</w:t>
        </w:r>
        <w:r>
          <w:rPr>
            <w:webHidden/>
          </w:rPr>
          <w:fldChar w:fldCharType="end"/>
        </w:r>
      </w:hyperlink>
    </w:p>
    <w:p w14:paraId="4C9EE779" w14:textId="0F264965" w:rsidR="002331CC" w:rsidRDefault="002331CC">
      <w:pPr>
        <w:pStyle w:val="TOC2"/>
        <w:rPr>
          <w:b w:val="0"/>
          <w:smallCaps w:val="0"/>
          <w:sz w:val="24"/>
          <w:rFonts w:asciiTheme="minorHAnsi" w:eastAsiaTheme="minorEastAsia" w:hAnsiTheme="minorHAnsi" w:cstheme="minorBidi"/>
        </w:rPr>
      </w:pPr>
      <w:hyperlink w:anchor="_Toc210732248" w:history="1">
        <w:r>
          <w:rPr>
            <w:rStyle w:val="Hyperlink"/>
            <w:rFonts w:ascii="Times New Roman" w:hAnsi="Times New Roman"/>
          </w:rPr>
          <w:t xml:space="preserve">1.</w:t>
        </w:r>
        <w:r>
          <w:tab/>
        </w:r>
        <w:r>
          <w:rPr>
            <w:b w:val="0"/>
            <w:smallCaps w:val="0"/>
            <w:sz w:val="24"/>
            <w:rFonts w:asciiTheme="minorHAnsi" w:eastAsiaTheme="minorEastAsia" w:hAnsiTheme="minorHAnsi" w:cstheme="minorBidi"/>
          </w:rPr>
        </w:r>
        <w:r>
          <w:rPr>
            <w:rStyle w:val="Hyperlink"/>
            <w:rFonts w:ascii="Times New Roman" w:hAnsi="Times New Roman"/>
          </w:rPr>
          <w:t xml:space="preserve">General remarks</w:t>
        </w:r>
        <w:r>
          <w:tab/>
        </w:r>
        <w:r>
          <w:rPr>
            <w:webHidden/>
          </w:rPr>
        </w:r>
        <w:r>
          <w:rPr>
            <w:webHidden/>
          </w:rPr>
          <w:fldChar w:fldCharType="begin"/>
        </w:r>
        <w:r>
          <w:rPr>
            <w:webHidden/>
          </w:rPr>
          <w:instrText xml:space="preserve"> PAGEREF _Toc210732248 \h </w:instrText>
        </w:r>
        <w:r>
          <w:rPr>
            <w:webHidden/>
          </w:rPr>
        </w:r>
        <w:r>
          <w:rPr>
            <w:webHidden/>
          </w:rPr>
          <w:fldChar w:fldCharType="separate"/>
        </w:r>
        <w:r>
          <w:rPr>
            <w:webHidden/>
          </w:rPr>
          <w:t xml:space="preserve">3</w:t>
        </w:r>
        <w:r>
          <w:rPr>
            <w:webHidden/>
          </w:rPr>
          <w:fldChar w:fldCharType="end"/>
        </w:r>
      </w:hyperlink>
    </w:p>
    <w:p w14:paraId="0722E48D" w14:textId="619868BF" w:rsidR="002331CC" w:rsidRDefault="002331CC">
      <w:pPr>
        <w:pStyle w:val="TOC2"/>
        <w:rPr>
          <w:b w:val="0"/>
          <w:smallCaps w:val="0"/>
          <w:sz w:val="24"/>
          <w:rFonts w:asciiTheme="minorHAnsi" w:eastAsiaTheme="minorEastAsia" w:hAnsiTheme="minorHAnsi" w:cstheme="minorBidi"/>
        </w:rPr>
      </w:pPr>
      <w:hyperlink w:anchor="_Toc210732249" w:history="1">
        <w:r>
          <w:rPr>
            <w:rStyle w:val="Hyperlink"/>
            <w:rFonts w:ascii="Times New Roman" w:hAnsi="Times New Roman"/>
          </w:rPr>
          <w:t xml:space="preserve">2.</w:t>
        </w:r>
        <w:r>
          <w:tab/>
        </w:r>
        <w:r>
          <w:rPr>
            <w:b w:val="0"/>
            <w:smallCaps w:val="0"/>
            <w:sz w:val="24"/>
            <w:rFonts w:asciiTheme="minorHAnsi" w:eastAsiaTheme="minorEastAsia" w:hAnsiTheme="minorHAnsi" w:cstheme="minorBidi"/>
          </w:rPr>
        </w:r>
        <w:r>
          <w:rPr>
            <w:rStyle w:val="Hyperlink"/>
            <w:rFonts w:ascii="Times New Roman" w:hAnsi="Times New Roman"/>
          </w:rPr>
          <w:t xml:space="preserve">C 18.00 – Market Risk: Standardised Approach for Position Risks in Traded Debt Instruments (MKR SA TDI)</w:t>
        </w:r>
        <w:r>
          <w:tab/>
        </w:r>
        <w:r>
          <w:rPr>
            <w:webHidden/>
          </w:rPr>
        </w:r>
        <w:r>
          <w:rPr>
            <w:webHidden/>
          </w:rPr>
          <w:fldChar w:fldCharType="begin"/>
        </w:r>
        <w:r>
          <w:rPr>
            <w:webHidden/>
          </w:rPr>
          <w:instrText xml:space="preserve"> PAGEREF _Toc210732249 \h </w:instrText>
        </w:r>
        <w:r>
          <w:rPr>
            <w:webHidden/>
          </w:rPr>
        </w:r>
        <w:r>
          <w:rPr>
            <w:webHidden/>
          </w:rPr>
          <w:fldChar w:fldCharType="separate"/>
        </w:r>
        <w:r>
          <w:rPr>
            <w:webHidden/>
          </w:rPr>
          <w:t xml:space="preserve">3</w:t>
        </w:r>
        <w:r>
          <w:rPr>
            <w:webHidden/>
          </w:rPr>
          <w:fldChar w:fldCharType="end"/>
        </w:r>
      </w:hyperlink>
    </w:p>
    <w:p w14:paraId="60A6B5A9" w14:textId="516B20EE" w:rsidR="002331CC" w:rsidRDefault="002331CC">
      <w:pPr>
        <w:pStyle w:val="TOC2"/>
        <w:rPr>
          <w:b w:val="0"/>
          <w:smallCaps w:val="0"/>
          <w:sz w:val="24"/>
          <w:rFonts w:asciiTheme="minorHAnsi" w:eastAsiaTheme="minorEastAsia" w:hAnsiTheme="minorHAnsi" w:cstheme="minorBidi"/>
        </w:rPr>
      </w:pPr>
      <w:hyperlink w:anchor="_Toc210732250" w:history="1">
        <w:r>
          <w:rPr>
            <w:rStyle w:val="Hyperlink"/>
            <w:rFonts w:ascii="Times New Roman" w:hAnsi="Times New Roman"/>
          </w:rPr>
          <w:t xml:space="preserve">2.1.</w:t>
        </w:r>
        <w:r>
          <w:tab/>
        </w:r>
        <w:r>
          <w:rPr>
            <w:b w:val="0"/>
            <w:smallCaps w:val="0"/>
            <w:sz w:val="24"/>
            <w:rFonts w:asciiTheme="minorHAnsi" w:eastAsiaTheme="minorEastAsia" w:hAnsiTheme="minorHAnsi" w:cstheme="minorBidi"/>
          </w:rPr>
        </w:r>
        <w:r>
          <w:rPr>
            <w:rStyle w:val="Hyperlink"/>
            <w:rFonts w:ascii="Times New Roman" w:hAnsi="Times New Roman"/>
          </w:rPr>
          <w:t xml:space="preserve">General Remarks</w:t>
        </w:r>
        <w:r>
          <w:tab/>
        </w:r>
        <w:r>
          <w:rPr>
            <w:webHidden/>
          </w:rPr>
        </w:r>
        <w:r>
          <w:rPr>
            <w:webHidden/>
          </w:rPr>
          <w:fldChar w:fldCharType="begin"/>
        </w:r>
        <w:r>
          <w:rPr>
            <w:webHidden/>
          </w:rPr>
          <w:instrText xml:space="preserve"> PAGEREF _Toc210732250 \h </w:instrText>
        </w:r>
        <w:r>
          <w:rPr>
            <w:webHidden/>
          </w:rPr>
        </w:r>
        <w:r>
          <w:rPr>
            <w:webHidden/>
          </w:rPr>
          <w:fldChar w:fldCharType="separate"/>
        </w:r>
        <w:r>
          <w:rPr>
            <w:webHidden/>
          </w:rPr>
          <w:t xml:space="preserve">3</w:t>
        </w:r>
        <w:r>
          <w:rPr>
            <w:webHidden/>
          </w:rPr>
          <w:fldChar w:fldCharType="end"/>
        </w:r>
      </w:hyperlink>
    </w:p>
    <w:p w14:paraId="7693F653" w14:textId="3B5362CB" w:rsidR="002331CC" w:rsidRDefault="002331CC">
      <w:pPr>
        <w:pStyle w:val="TOC2"/>
        <w:rPr>
          <w:b w:val="0"/>
          <w:smallCaps w:val="0"/>
          <w:sz w:val="24"/>
          <w:rFonts w:asciiTheme="minorHAnsi" w:eastAsiaTheme="minorEastAsia" w:hAnsiTheme="minorHAnsi" w:cstheme="minorBidi"/>
        </w:rPr>
      </w:pPr>
      <w:hyperlink w:anchor="_Toc210732251" w:history="1">
        <w:r>
          <w:rPr>
            <w:rStyle w:val="Hyperlink"/>
            <w:rFonts w:ascii="Times New Roman" w:hAnsi="Times New Roman"/>
          </w:rPr>
          <w:t xml:space="preserve">2.2.</w:t>
        </w:r>
        <w:r>
          <w:tab/>
        </w:r>
        <w:r>
          <w:rPr>
            <w:b w:val="0"/>
            <w:smallCaps w:val="0"/>
            <w:sz w:val="24"/>
            <w:rFonts w:asciiTheme="minorHAnsi" w:eastAsiaTheme="minorEastAsia" w:hAnsiTheme="minorHAnsi" w:cstheme="minorBidi"/>
          </w:rPr>
        </w:r>
        <w:r>
          <w:rPr>
            <w:rStyle w:val="Hyperlink"/>
            <w:rFonts w:ascii="Times New Roman" w:hAnsi="Times New Roman"/>
          </w:rPr>
          <w:t xml:space="preserve">Instructions concerning specific positions</w:t>
        </w:r>
        <w:r>
          <w:tab/>
        </w:r>
        <w:r>
          <w:rPr>
            <w:webHidden/>
          </w:rPr>
        </w:r>
        <w:r>
          <w:rPr>
            <w:webHidden/>
          </w:rPr>
          <w:fldChar w:fldCharType="begin"/>
        </w:r>
        <w:r>
          <w:rPr>
            <w:webHidden/>
          </w:rPr>
          <w:instrText xml:space="preserve"> PAGEREF _Toc210732251 \h </w:instrText>
        </w:r>
        <w:r>
          <w:rPr>
            <w:webHidden/>
          </w:rPr>
        </w:r>
        <w:r>
          <w:rPr>
            <w:webHidden/>
          </w:rPr>
          <w:fldChar w:fldCharType="separate"/>
        </w:r>
        <w:r>
          <w:rPr>
            <w:webHidden/>
          </w:rPr>
          <w:t xml:space="preserve">3</w:t>
        </w:r>
        <w:r>
          <w:rPr>
            <w:webHidden/>
          </w:rPr>
          <w:fldChar w:fldCharType="end"/>
        </w:r>
      </w:hyperlink>
    </w:p>
    <w:p w14:paraId="255DB781" w14:textId="77EC98DB" w:rsidR="002331CC" w:rsidRDefault="002331CC">
      <w:pPr>
        <w:pStyle w:val="TOC2"/>
        <w:rPr>
          <w:b w:val="0"/>
          <w:smallCaps w:val="0"/>
          <w:sz w:val="24"/>
          <w:rFonts w:asciiTheme="minorHAnsi" w:eastAsiaTheme="minorEastAsia" w:hAnsiTheme="minorHAnsi" w:cstheme="minorBidi"/>
        </w:rPr>
      </w:pPr>
      <w:hyperlink w:anchor="_Toc210732252" w:history="1">
        <w:r>
          <w:rPr>
            <w:rStyle w:val="Hyperlink"/>
            <w:rFonts w:ascii="Times New Roman" w:hAnsi="Times New Roman"/>
          </w:rPr>
          <w:t xml:space="preserve">3.</w:t>
        </w:r>
        <w:r>
          <w:tab/>
        </w:r>
        <w:r>
          <w:rPr>
            <w:b w:val="0"/>
            <w:smallCaps w:val="0"/>
            <w:sz w:val="24"/>
            <w:rFonts w:asciiTheme="minorHAnsi" w:eastAsiaTheme="minorEastAsia" w:hAnsiTheme="minorHAnsi" w:cstheme="minorBidi"/>
          </w:rPr>
        </w:r>
        <w:r>
          <w:rPr>
            <w:rStyle w:val="Hyperlink"/>
            <w:rFonts w:ascii="Times New Roman" w:hAnsi="Times New Roman"/>
          </w:rPr>
          <w:t xml:space="preserve">C 19.00 - MARKET RISK: STANDARDISED APPROACH FOR SPECIFIC RISK IN SECURITISATIONS (MKR SA SEC)</w:t>
        </w:r>
        <w:r>
          <w:tab/>
        </w:r>
        <w:r>
          <w:rPr>
            <w:webHidden/>
          </w:rPr>
        </w:r>
        <w:r>
          <w:rPr>
            <w:webHidden/>
          </w:rPr>
          <w:fldChar w:fldCharType="begin"/>
        </w:r>
        <w:r>
          <w:rPr>
            <w:webHidden/>
          </w:rPr>
          <w:instrText xml:space="preserve"> PAGEREF _Toc210732252 \h </w:instrText>
        </w:r>
        <w:r>
          <w:rPr>
            <w:webHidden/>
          </w:rPr>
        </w:r>
        <w:r>
          <w:rPr>
            <w:webHidden/>
          </w:rPr>
          <w:fldChar w:fldCharType="separate"/>
        </w:r>
        <w:r>
          <w:rPr>
            <w:webHidden/>
          </w:rPr>
          <w:t xml:space="preserve">6</w:t>
        </w:r>
        <w:r>
          <w:rPr>
            <w:webHidden/>
          </w:rPr>
          <w:fldChar w:fldCharType="end"/>
        </w:r>
      </w:hyperlink>
    </w:p>
    <w:p w14:paraId="17559254" w14:textId="44C526C4" w:rsidR="002331CC" w:rsidRDefault="002331CC">
      <w:pPr>
        <w:pStyle w:val="TOC2"/>
        <w:rPr>
          <w:b w:val="0"/>
          <w:smallCaps w:val="0"/>
          <w:sz w:val="24"/>
          <w:rFonts w:asciiTheme="minorHAnsi" w:eastAsiaTheme="minorEastAsia" w:hAnsiTheme="minorHAnsi" w:cstheme="minorBidi"/>
        </w:rPr>
      </w:pPr>
      <w:hyperlink w:anchor="_Toc210732253" w:history="1">
        <w:r>
          <w:rPr>
            <w:rStyle w:val="Hyperlink"/>
            <w:rFonts w:ascii="Times New Roman" w:hAnsi="Times New Roman"/>
          </w:rPr>
          <w:t xml:space="preserve">3.1.</w:t>
        </w:r>
        <w:r>
          <w:tab/>
        </w:r>
        <w:r>
          <w:rPr>
            <w:b w:val="0"/>
            <w:smallCaps w:val="0"/>
            <w:sz w:val="24"/>
            <w:rFonts w:asciiTheme="minorHAnsi" w:eastAsiaTheme="minorEastAsia" w:hAnsiTheme="minorHAnsi" w:cstheme="minorBidi"/>
          </w:rPr>
        </w:r>
        <w:r>
          <w:rPr>
            <w:rStyle w:val="Hyperlink"/>
            <w:rFonts w:ascii="Times New Roman" w:hAnsi="Times New Roman"/>
          </w:rPr>
          <w:t xml:space="preserve">General Remarks</w:t>
        </w:r>
        <w:r>
          <w:tab/>
        </w:r>
        <w:r>
          <w:rPr>
            <w:webHidden/>
          </w:rPr>
        </w:r>
        <w:r>
          <w:rPr>
            <w:webHidden/>
          </w:rPr>
          <w:fldChar w:fldCharType="begin"/>
        </w:r>
        <w:r>
          <w:rPr>
            <w:webHidden/>
          </w:rPr>
          <w:instrText xml:space="preserve"> PAGEREF _Toc210732253 \h </w:instrText>
        </w:r>
        <w:r>
          <w:rPr>
            <w:webHidden/>
          </w:rPr>
        </w:r>
        <w:r>
          <w:rPr>
            <w:webHidden/>
          </w:rPr>
          <w:fldChar w:fldCharType="separate"/>
        </w:r>
        <w:r>
          <w:rPr>
            <w:webHidden/>
          </w:rPr>
          <w:t xml:space="preserve">6</w:t>
        </w:r>
        <w:r>
          <w:rPr>
            <w:webHidden/>
          </w:rPr>
          <w:fldChar w:fldCharType="end"/>
        </w:r>
      </w:hyperlink>
    </w:p>
    <w:p w14:paraId="48DB5869" w14:textId="28E07BB9" w:rsidR="002331CC" w:rsidRDefault="002331CC">
      <w:pPr>
        <w:pStyle w:val="TOC2"/>
        <w:rPr>
          <w:b w:val="0"/>
          <w:smallCaps w:val="0"/>
          <w:sz w:val="24"/>
          <w:rFonts w:asciiTheme="minorHAnsi" w:eastAsiaTheme="minorEastAsia" w:hAnsiTheme="minorHAnsi" w:cstheme="minorBidi"/>
        </w:rPr>
      </w:pPr>
      <w:hyperlink w:anchor="_Toc210732254" w:history="1">
        <w:r>
          <w:rPr>
            <w:rStyle w:val="Hyperlink"/>
            <w:rFonts w:ascii="Times New Roman" w:hAnsi="Times New Roman"/>
          </w:rPr>
          <w:t xml:space="preserve">3.2.</w:t>
        </w:r>
        <w:r>
          <w:tab/>
        </w:r>
        <w:r>
          <w:rPr>
            <w:b w:val="0"/>
            <w:smallCaps w:val="0"/>
            <w:sz w:val="24"/>
            <w:rFonts w:asciiTheme="minorHAnsi" w:eastAsiaTheme="minorEastAsia" w:hAnsiTheme="minorHAnsi" w:cstheme="minorBidi"/>
          </w:rPr>
        </w:r>
        <w:r>
          <w:rPr>
            <w:rStyle w:val="Hyperlink"/>
            <w:rFonts w:ascii="Times New Roman" w:hAnsi="Times New Roman"/>
          </w:rPr>
          <w:t xml:space="preserve">Instructions concerning specific positions</w:t>
        </w:r>
        <w:r>
          <w:tab/>
        </w:r>
        <w:r>
          <w:rPr>
            <w:webHidden/>
          </w:rPr>
        </w:r>
        <w:r>
          <w:rPr>
            <w:webHidden/>
          </w:rPr>
          <w:fldChar w:fldCharType="begin"/>
        </w:r>
        <w:r>
          <w:rPr>
            <w:webHidden/>
          </w:rPr>
          <w:instrText xml:space="preserve"> PAGEREF _Toc210732254 \h </w:instrText>
        </w:r>
        <w:r>
          <w:rPr>
            <w:webHidden/>
          </w:rPr>
        </w:r>
        <w:r>
          <w:rPr>
            <w:webHidden/>
          </w:rPr>
          <w:fldChar w:fldCharType="separate"/>
        </w:r>
        <w:r>
          <w:rPr>
            <w:webHidden/>
          </w:rPr>
          <w:t xml:space="preserve">6</w:t>
        </w:r>
        <w:r>
          <w:rPr>
            <w:webHidden/>
          </w:rPr>
          <w:fldChar w:fldCharType="end"/>
        </w:r>
      </w:hyperlink>
    </w:p>
    <w:p w14:paraId="21DBA151" w14:textId="42E22054" w:rsidR="002331CC" w:rsidRDefault="002331CC">
      <w:pPr>
        <w:pStyle w:val="TOC2"/>
        <w:rPr>
          <w:b w:val="0"/>
          <w:smallCaps w:val="0"/>
          <w:sz w:val="24"/>
          <w:rFonts w:asciiTheme="minorHAnsi" w:eastAsiaTheme="minorEastAsia" w:hAnsiTheme="minorHAnsi" w:cstheme="minorBidi"/>
        </w:rPr>
      </w:pPr>
      <w:hyperlink w:anchor="_Toc210732255" w:history="1">
        <w:r>
          <w:rPr>
            <w:rStyle w:val="Hyperlink"/>
            <w:rFonts w:ascii="Times New Roman" w:hAnsi="Times New Roman"/>
          </w:rPr>
          <w:t xml:space="preserve">4.</w:t>
        </w:r>
        <w:r>
          <w:tab/>
        </w:r>
        <w:r>
          <w:rPr>
            <w:b w:val="0"/>
            <w:smallCaps w:val="0"/>
            <w:sz w:val="24"/>
            <w:rFonts w:asciiTheme="minorHAnsi" w:eastAsiaTheme="minorEastAsia" w:hAnsiTheme="minorHAnsi" w:cstheme="minorBidi"/>
          </w:rPr>
        </w:r>
        <w:r>
          <w:rPr>
            <w:rStyle w:val="Hyperlink"/>
            <w:rFonts w:ascii="Times New Roman" w:hAnsi="Times New Roman"/>
          </w:rPr>
          <w:t xml:space="preserve">C 20.00 - MARKET RISK: STANDARDISED APPROACH FOR SPECIFIC RISK FOR POSITIONS ASSIGNED TO THE CORRELATION TRADING PORTFOLIO (MKR SA CTP)</w:t>
        </w:r>
        <w:r>
          <w:tab/>
        </w:r>
        <w:r>
          <w:rPr>
            <w:webHidden/>
          </w:rPr>
        </w:r>
        <w:r>
          <w:rPr>
            <w:webHidden/>
          </w:rPr>
          <w:fldChar w:fldCharType="begin"/>
        </w:r>
        <w:r>
          <w:rPr>
            <w:webHidden/>
          </w:rPr>
          <w:instrText xml:space="preserve"> PAGEREF _Toc210732255 \h </w:instrText>
        </w:r>
        <w:r>
          <w:rPr>
            <w:webHidden/>
          </w:rPr>
        </w:r>
        <w:r>
          <w:rPr>
            <w:webHidden/>
          </w:rPr>
          <w:fldChar w:fldCharType="separate"/>
        </w:r>
        <w:r>
          <w:rPr>
            <w:webHidden/>
          </w:rPr>
          <w:t xml:space="preserve">8</w:t>
        </w:r>
        <w:r>
          <w:rPr>
            <w:webHidden/>
          </w:rPr>
          <w:fldChar w:fldCharType="end"/>
        </w:r>
      </w:hyperlink>
    </w:p>
    <w:p w14:paraId="01C86CDB" w14:textId="04C0E2A8" w:rsidR="002331CC" w:rsidRDefault="002331CC">
      <w:pPr>
        <w:pStyle w:val="TOC2"/>
        <w:rPr>
          <w:b w:val="0"/>
          <w:smallCaps w:val="0"/>
          <w:sz w:val="24"/>
          <w:rFonts w:asciiTheme="minorHAnsi" w:eastAsiaTheme="minorEastAsia" w:hAnsiTheme="minorHAnsi" w:cstheme="minorBidi"/>
        </w:rPr>
      </w:pPr>
      <w:hyperlink w:anchor="_Toc210732256" w:history="1">
        <w:r>
          <w:rPr>
            <w:rStyle w:val="Hyperlink"/>
            <w:rFonts w:ascii="Times New Roman" w:hAnsi="Times New Roman"/>
          </w:rPr>
          <w:t xml:space="preserve">4.1.</w:t>
        </w:r>
        <w:r>
          <w:tab/>
        </w:r>
        <w:r>
          <w:rPr>
            <w:b w:val="0"/>
            <w:smallCaps w:val="0"/>
            <w:sz w:val="24"/>
            <w:rFonts w:asciiTheme="minorHAnsi" w:eastAsiaTheme="minorEastAsia" w:hAnsiTheme="minorHAnsi" w:cstheme="minorBidi"/>
          </w:rPr>
        </w:r>
        <w:r>
          <w:rPr>
            <w:rStyle w:val="Hyperlink"/>
            <w:rFonts w:ascii="Times New Roman" w:hAnsi="Times New Roman"/>
          </w:rPr>
          <w:t xml:space="preserve">General Remarks</w:t>
        </w:r>
        <w:r>
          <w:tab/>
        </w:r>
        <w:r>
          <w:rPr>
            <w:webHidden/>
          </w:rPr>
        </w:r>
        <w:r>
          <w:rPr>
            <w:webHidden/>
          </w:rPr>
          <w:fldChar w:fldCharType="begin"/>
        </w:r>
        <w:r>
          <w:rPr>
            <w:webHidden/>
          </w:rPr>
          <w:instrText xml:space="preserve"> PAGEREF _Toc210732256 \h </w:instrText>
        </w:r>
        <w:r>
          <w:rPr>
            <w:webHidden/>
          </w:rPr>
        </w:r>
        <w:r>
          <w:rPr>
            <w:webHidden/>
          </w:rPr>
          <w:fldChar w:fldCharType="separate"/>
        </w:r>
        <w:r>
          <w:rPr>
            <w:webHidden/>
          </w:rPr>
          <w:t xml:space="preserve">8</w:t>
        </w:r>
        <w:r>
          <w:rPr>
            <w:webHidden/>
          </w:rPr>
          <w:fldChar w:fldCharType="end"/>
        </w:r>
      </w:hyperlink>
    </w:p>
    <w:p w14:paraId="0104CB87" w14:textId="0F442592" w:rsidR="002331CC" w:rsidRDefault="002331CC">
      <w:pPr>
        <w:pStyle w:val="TOC2"/>
        <w:rPr>
          <w:b w:val="0"/>
          <w:smallCaps w:val="0"/>
          <w:sz w:val="24"/>
          <w:rFonts w:asciiTheme="minorHAnsi" w:eastAsiaTheme="minorEastAsia" w:hAnsiTheme="minorHAnsi" w:cstheme="minorBidi"/>
        </w:rPr>
      </w:pPr>
      <w:hyperlink w:anchor="_Toc210732257" w:history="1">
        <w:r>
          <w:rPr>
            <w:rStyle w:val="Hyperlink"/>
            <w:rFonts w:ascii="Times New Roman" w:hAnsi="Times New Roman"/>
          </w:rPr>
          <w:t xml:space="preserve">4.2.</w:t>
        </w:r>
        <w:r>
          <w:tab/>
        </w:r>
        <w:r>
          <w:rPr>
            <w:b w:val="0"/>
            <w:smallCaps w:val="0"/>
            <w:sz w:val="24"/>
            <w:rFonts w:asciiTheme="minorHAnsi" w:eastAsiaTheme="minorEastAsia" w:hAnsiTheme="minorHAnsi" w:cstheme="minorBidi"/>
          </w:rPr>
        </w:r>
        <w:r>
          <w:rPr>
            <w:rStyle w:val="Hyperlink"/>
            <w:rFonts w:ascii="Times New Roman" w:hAnsi="Times New Roman"/>
          </w:rPr>
          <w:t xml:space="preserve">Instructions concerning specific positions</w:t>
        </w:r>
        <w:r>
          <w:tab/>
        </w:r>
        <w:r>
          <w:rPr>
            <w:webHidden/>
          </w:rPr>
        </w:r>
        <w:r>
          <w:rPr>
            <w:webHidden/>
          </w:rPr>
          <w:fldChar w:fldCharType="begin"/>
        </w:r>
        <w:r>
          <w:rPr>
            <w:webHidden/>
          </w:rPr>
          <w:instrText xml:space="preserve"> PAGEREF _Toc210732257 \h </w:instrText>
        </w:r>
        <w:r>
          <w:rPr>
            <w:webHidden/>
          </w:rPr>
        </w:r>
        <w:r>
          <w:rPr>
            <w:webHidden/>
          </w:rPr>
          <w:fldChar w:fldCharType="separate"/>
        </w:r>
        <w:r>
          <w:rPr>
            <w:webHidden/>
          </w:rPr>
          <w:t xml:space="preserve">9</w:t>
        </w:r>
        <w:r>
          <w:rPr>
            <w:webHidden/>
          </w:rPr>
          <w:fldChar w:fldCharType="end"/>
        </w:r>
      </w:hyperlink>
    </w:p>
    <w:p w14:paraId="3000B5D7" w14:textId="1C6B5907" w:rsidR="002331CC" w:rsidRDefault="002331CC">
      <w:pPr>
        <w:pStyle w:val="TOC2"/>
        <w:rPr>
          <w:b w:val="0"/>
          <w:smallCaps w:val="0"/>
          <w:sz w:val="24"/>
          <w:rFonts w:asciiTheme="minorHAnsi" w:eastAsiaTheme="minorEastAsia" w:hAnsiTheme="minorHAnsi" w:cstheme="minorBidi"/>
        </w:rPr>
      </w:pPr>
      <w:hyperlink w:anchor="_Toc210732258" w:history="1">
        <w:r>
          <w:rPr>
            <w:rStyle w:val="Hyperlink"/>
            <w:rFonts w:ascii="Times New Roman" w:hAnsi="Times New Roman"/>
          </w:rPr>
          <w:t xml:space="preserve">5.</w:t>
        </w:r>
        <w:r>
          <w:tab/>
        </w:r>
        <w:r>
          <w:rPr>
            <w:b w:val="0"/>
            <w:smallCaps w:val="0"/>
            <w:sz w:val="24"/>
            <w:rFonts w:asciiTheme="minorHAnsi" w:eastAsiaTheme="minorEastAsia" w:hAnsiTheme="minorHAnsi" w:cstheme="minorBidi"/>
          </w:rPr>
        </w:r>
        <w:r>
          <w:rPr>
            <w:rStyle w:val="Hyperlink"/>
            <w:rFonts w:ascii="Times New Roman" w:hAnsi="Times New Roman"/>
          </w:rPr>
          <w:t xml:space="preserve">C 21.00 - Market Risk: Standardised Approach for Position Risk in Equities (MKR SA EQU)</w:t>
        </w:r>
        <w:r>
          <w:tab/>
        </w:r>
        <w:r>
          <w:rPr>
            <w:webHidden/>
          </w:rPr>
        </w:r>
        <w:r>
          <w:rPr>
            <w:webHidden/>
          </w:rPr>
          <w:fldChar w:fldCharType="begin"/>
        </w:r>
        <w:r>
          <w:rPr>
            <w:webHidden/>
          </w:rPr>
          <w:instrText xml:space="preserve"> PAGEREF _Toc210732258 \h </w:instrText>
        </w:r>
        <w:r>
          <w:rPr>
            <w:webHidden/>
          </w:rPr>
        </w:r>
        <w:r>
          <w:rPr>
            <w:webHidden/>
          </w:rPr>
          <w:fldChar w:fldCharType="separate"/>
        </w:r>
        <w:r>
          <w:rPr>
            <w:webHidden/>
          </w:rPr>
          <w:t xml:space="preserve">11</w:t>
        </w:r>
        <w:r>
          <w:rPr>
            <w:webHidden/>
          </w:rPr>
          <w:fldChar w:fldCharType="end"/>
        </w:r>
      </w:hyperlink>
    </w:p>
    <w:p w14:paraId="264CC1A2" w14:textId="2DAC1721" w:rsidR="002331CC" w:rsidRDefault="002331CC">
      <w:pPr>
        <w:pStyle w:val="TOC2"/>
        <w:rPr>
          <w:b w:val="0"/>
          <w:smallCaps w:val="0"/>
          <w:sz w:val="24"/>
          <w:rFonts w:asciiTheme="minorHAnsi" w:eastAsiaTheme="minorEastAsia" w:hAnsiTheme="minorHAnsi" w:cstheme="minorBidi"/>
        </w:rPr>
      </w:pPr>
      <w:hyperlink w:anchor="_Toc210732259" w:history="1">
        <w:r>
          <w:rPr>
            <w:rStyle w:val="Hyperlink"/>
            <w:rFonts w:ascii="Times New Roman" w:hAnsi="Times New Roman"/>
          </w:rPr>
          <w:t xml:space="preserve">5.1.</w:t>
        </w:r>
        <w:r>
          <w:tab/>
        </w:r>
        <w:r>
          <w:rPr>
            <w:b w:val="0"/>
            <w:smallCaps w:val="0"/>
            <w:sz w:val="24"/>
            <w:rFonts w:asciiTheme="minorHAnsi" w:eastAsiaTheme="minorEastAsia" w:hAnsiTheme="minorHAnsi" w:cstheme="minorBidi"/>
          </w:rPr>
        </w:r>
        <w:r>
          <w:rPr>
            <w:rStyle w:val="Hyperlink"/>
            <w:rFonts w:ascii="Times New Roman" w:hAnsi="Times New Roman"/>
          </w:rPr>
          <w:t xml:space="preserve">General Remarks</w:t>
        </w:r>
        <w:r>
          <w:tab/>
        </w:r>
        <w:r>
          <w:rPr>
            <w:webHidden/>
          </w:rPr>
        </w:r>
        <w:r>
          <w:rPr>
            <w:webHidden/>
          </w:rPr>
          <w:fldChar w:fldCharType="begin"/>
        </w:r>
        <w:r>
          <w:rPr>
            <w:webHidden/>
          </w:rPr>
          <w:instrText xml:space="preserve"> PAGEREF _Toc210732259 \h </w:instrText>
        </w:r>
        <w:r>
          <w:rPr>
            <w:webHidden/>
          </w:rPr>
        </w:r>
        <w:r>
          <w:rPr>
            <w:webHidden/>
          </w:rPr>
          <w:fldChar w:fldCharType="separate"/>
        </w:r>
        <w:r>
          <w:rPr>
            <w:webHidden/>
          </w:rPr>
          <w:t xml:space="preserve">11</w:t>
        </w:r>
        <w:r>
          <w:rPr>
            <w:webHidden/>
          </w:rPr>
          <w:fldChar w:fldCharType="end"/>
        </w:r>
      </w:hyperlink>
    </w:p>
    <w:p w14:paraId="69AD23F3" w14:textId="42BC73BC" w:rsidR="002331CC" w:rsidRDefault="002331CC">
      <w:pPr>
        <w:pStyle w:val="TOC2"/>
        <w:rPr>
          <w:b w:val="0"/>
          <w:smallCaps w:val="0"/>
          <w:sz w:val="24"/>
          <w:rFonts w:asciiTheme="minorHAnsi" w:eastAsiaTheme="minorEastAsia" w:hAnsiTheme="minorHAnsi" w:cstheme="minorBidi"/>
        </w:rPr>
      </w:pPr>
      <w:hyperlink w:anchor="_Toc210732260" w:history="1">
        <w:r>
          <w:rPr>
            <w:rStyle w:val="Hyperlink"/>
            <w:rFonts w:ascii="Times New Roman" w:hAnsi="Times New Roman"/>
          </w:rPr>
          <w:t xml:space="preserve">5.2.</w:t>
        </w:r>
        <w:r>
          <w:tab/>
        </w:r>
        <w:r>
          <w:rPr>
            <w:b w:val="0"/>
            <w:smallCaps w:val="0"/>
            <w:sz w:val="24"/>
            <w:rFonts w:asciiTheme="minorHAnsi" w:eastAsiaTheme="minorEastAsia" w:hAnsiTheme="minorHAnsi" w:cstheme="minorBidi"/>
          </w:rPr>
        </w:r>
        <w:r>
          <w:rPr>
            <w:rStyle w:val="Hyperlink"/>
            <w:rFonts w:ascii="Times New Roman" w:hAnsi="Times New Roman"/>
          </w:rPr>
          <w:t xml:space="preserve">Instructions concerning specific positions</w:t>
        </w:r>
        <w:r>
          <w:tab/>
        </w:r>
        <w:r>
          <w:rPr>
            <w:webHidden/>
          </w:rPr>
        </w:r>
        <w:r>
          <w:rPr>
            <w:webHidden/>
          </w:rPr>
          <w:fldChar w:fldCharType="begin"/>
        </w:r>
        <w:r>
          <w:rPr>
            <w:webHidden/>
          </w:rPr>
          <w:instrText xml:space="preserve"> PAGEREF _Toc210732260 \h </w:instrText>
        </w:r>
        <w:r>
          <w:rPr>
            <w:webHidden/>
          </w:rPr>
        </w:r>
        <w:r>
          <w:rPr>
            <w:webHidden/>
          </w:rPr>
          <w:fldChar w:fldCharType="separate"/>
        </w:r>
        <w:r>
          <w:rPr>
            <w:webHidden/>
          </w:rPr>
          <w:t xml:space="preserve">12</w:t>
        </w:r>
        <w:r>
          <w:rPr>
            <w:webHidden/>
          </w:rPr>
          <w:fldChar w:fldCharType="end"/>
        </w:r>
      </w:hyperlink>
    </w:p>
    <w:p w14:paraId="32491D66" w14:textId="5F51D754" w:rsidR="002331CC" w:rsidRDefault="002331CC">
      <w:pPr>
        <w:pStyle w:val="TOC2"/>
        <w:rPr>
          <w:b w:val="0"/>
          <w:smallCaps w:val="0"/>
          <w:sz w:val="24"/>
          <w:rFonts w:asciiTheme="minorHAnsi" w:eastAsiaTheme="minorEastAsia" w:hAnsiTheme="minorHAnsi" w:cstheme="minorBidi"/>
        </w:rPr>
      </w:pPr>
      <w:hyperlink w:anchor="_Toc210732261" w:history="1">
        <w:r>
          <w:rPr>
            <w:rStyle w:val="Hyperlink"/>
            <w:rFonts w:ascii="Times New Roman" w:hAnsi="Times New Roman"/>
          </w:rPr>
          <w:t xml:space="preserve">6.</w:t>
        </w:r>
        <w:r>
          <w:tab/>
        </w:r>
        <w:r>
          <w:rPr>
            <w:b w:val="0"/>
            <w:smallCaps w:val="0"/>
            <w:sz w:val="24"/>
            <w:rFonts w:asciiTheme="minorHAnsi" w:eastAsiaTheme="minorEastAsia" w:hAnsiTheme="minorHAnsi" w:cstheme="minorBidi"/>
          </w:rPr>
        </w:r>
        <w:r>
          <w:rPr>
            <w:rStyle w:val="Hyperlink"/>
            <w:rFonts w:ascii="Times New Roman" w:hAnsi="Times New Roman"/>
          </w:rPr>
          <w:t xml:space="preserve">C 22.00 - Market Risk: Standardised Approaches for Foreign Exchange Risk (MKR SA FX)</w:t>
        </w:r>
        <w:r>
          <w:tab/>
        </w:r>
        <w:r>
          <w:rPr>
            <w:webHidden/>
          </w:rPr>
        </w:r>
        <w:r>
          <w:rPr>
            <w:webHidden/>
          </w:rPr>
          <w:fldChar w:fldCharType="begin"/>
        </w:r>
        <w:r>
          <w:rPr>
            <w:webHidden/>
          </w:rPr>
          <w:instrText xml:space="preserve"> PAGEREF _Toc210732261 \h </w:instrText>
        </w:r>
        <w:r>
          <w:rPr>
            <w:webHidden/>
          </w:rPr>
        </w:r>
        <w:r>
          <w:rPr>
            <w:webHidden/>
          </w:rPr>
          <w:fldChar w:fldCharType="separate"/>
        </w:r>
        <w:r>
          <w:rPr>
            <w:webHidden/>
          </w:rPr>
          <w:t xml:space="preserve">14</w:t>
        </w:r>
        <w:r>
          <w:rPr>
            <w:webHidden/>
          </w:rPr>
          <w:fldChar w:fldCharType="end"/>
        </w:r>
      </w:hyperlink>
    </w:p>
    <w:p w14:paraId="39F99471" w14:textId="209E5034" w:rsidR="002331CC" w:rsidRDefault="002331CC">
      <w:pPr>
        <w:pStyle w:val="TOC2"/>
        <w:rPr>
          <w:b w:val="0"/>
          <w:smallCaps w:val="0"/>
          <w:sz w:val="24"/>
          <w:rFonts w:asciiTheme="minorHAnsi" w:eastAsiaTheme="minorEastAsia" w:hAnsiTheme="minorHAnsi" w:cstheme="minorBidi"/>
        </w:rPr>
      </w:pPr>
      <w:hyperlink w:anchor="_Toc210732262" w:history="1">
        <w:r>
          <w:rPr>
            <w:rStyle w:val="Hyperlink"/>
            <w:rFonts w:ascii="Times New Roman" w:hAnsi="Times New Roman"/>
          </w:rPr>
          <w:t xml:space="preserve">6.1.</w:t>
        </w:r>
        <w:r>
          <w:tab/>
        </w:r>
        <w:r>
          <w:rPr>
            <w:b w:val="0"/>
            <w:smallCaps w:val="0"/>
            <w:sz w:val="24"/>
            <w:rFonts w:asciiTheme="minorHAnsi" w:eastAsiaTheme="minorEastAsia" w:hAnsiTheme="minorHAnsi" w:cstheme="minorBidi"/>
          </w:rPr>
        </w:r>
        <w:r>
          <w:rPr>
            <w:rStyle w:val="Hyperlink"/>
            <w:rFonts w:ascii="Times New Roman" w:hAnsi="Times New Roman"/>
          </w:rPr>
          <w:t xml:space="preserve">General Remarks</w:t>
        </w:r>
        <w:r>
          <w:tab/>
        </w:r>
        <w:r>
          <w:rPr>
            <w:webHidden/>
          </w:rPr>
        </w:r>
        <w:r>
          <w:rPr>
            <w:webHidden/>
          </w:rPr>
          <w:fldChar w:fldCharType="begin"/>
        </w:r>
        <w:r>
          <w:rPr>
            <w:webHidden/>
          </w:rPr>
          <w:instrText xml:space="preserve"> PAGEREF _Toc210732262 \h </w:instrText>
        </w:r>
        <w:r>
          <w:rPr>
            <w:webHidden/>
          </w:rPr>
        </w:r>
        <w:r>
          <w:rPr>
            <w:webHidden/>
          </w:rPr>
          <w:fldChar w:fldCharType="separate"/>
        </w:r>
        <w:r>
          <w:rPr>
            <w:webHidden/>
          </w:rPr>
          <w:t xml:space="preserve">14</w:t>
        </w:r>
        <w:r>
          <w:rPr>
            <w:webHidden/>
          </w:rPr>
          <w:fldChar w:fldCharType="end"/>
        </w:r>
      </w:hyperlink>
    </w:p>
    <w:p w14:paraId="36C08A58" w14:textId="72526F15" w:rsidR="002331CC" w:rsidRDefault="002331CC">
      <w:pPr>
        <w:pStyle w:val="TOC2"/>
        <w:rPr>
          <w:b w:val="0"/>
          <w:smallCaps w:val="0"/>
          <w:sz w:val="24"/>
          <w:rFonts w:asciiTheme="minorHAnsi" w:eastAsiaTheme="minorEastAsia" w:hAnsiTheme="minorHAnsi" w:cstheme="minorBidi"/>
        </w:rPr>
      </w:pPr>
      <w:hyperlink w:anchor="_Toc210732263" w:history="1">
        <w:r>
          <w:rPr>
            <w:rStyle w:val="Hyperlink"/>
            <w:rFonts w:ascii="Times New Roman" w:hAnsi="Times New Roman"/>
          </w:rPr>
          <w:t xml:space="preserve">6.2.</w:t>
        </w:r>
        <w:r>
          <w:tab/>
        </w:r>
        <w:r>
          <w:rPr>
            <w:b w:val="0"/>
            <w:smallCaps w:val="0"/>
            <w:sz w:val="24"/>
            <w:rFonts w:asciiTheme="minorHAnsi" w:eastAsiaTheme="minorEastAsia" w:hAnsiTheme="minorHAnsi" w:cstheme="minorBidi"/>
          </w:rPr>
        </w:r>
        <w:r>
          <w:rPr>
            <w:rStyle w:val="Hyperlink"/>
            <w:rFonts w:ascii="Times New Roman" w:hAnsi="Times New Roman"/>
          </w:rPr>
          <w:t xml:space="preserve">Instructions concerning specific positions</w:t>
        </w:r>
        <w:r>
          <w:tab/>
        </w:r>
        <w:r>
          <w:rPr>
            <w:webHidden/>
          </w:rPr>
        </w:r>
        <w:r>
          <w:rPr>
            <w:webHidden/>
          </w:rPr>
          <w:fldChar w:fldCharType="begin"/>
        </w:r>
        <w:r>
          <w:rPr>
            <w:webHidden/>
          </w:rPr>
          <w:instrText xml:space="preserve"> PAGEREF _Toc210732263 \h </w:instrText>
        </w:r>
        <w:r>
          <w:rPr>
            <w:webHidden/>
          </w:rPr>
        </w:r>
        <w:r>
          <w:rPr>
            <w:webHidden/>
          </w:rPr>
          <w:fldChar w:fldCharType="separate"/>
        </w:r>
        <w:r>
          <w:rPr>
            <w:webHidden/>
          </w:rPr>
          <w:t xml:space="preserve">14</w:t>
        </w:r>
        <w:r>
          <w:rPr>
            <w:webHidden/>
          </w:rPr>
          <w:fldChar w:fldCharType="end"/>
        </w:r>
      </w:hyperlink>
    </w:p>
    <w:p w14:paraId="13881CE6" w14:textId="7BBC8546" w:rsidR="002331CC" w:rsidRDefault="002331CC">
      <w:pPr>
        <w:pStyle w:val="TOC2"/>
        <w:rPr>
          <w:b w:val="0"/>
          <w:smallCaps w:val="0"/>
          <w:sz w:val="24"/>
          <w:rFonts w:asciiTheme="minorHAnsi" w:eastAsiaTheme="minorEastAsia" w:hAnsiTheme="minorHAnsi" w:cstheme="minorBidi"/>
        </w:rPr>
      </w:pPr>
      <w:hyperlink w:anchor="_Toc210732264" w:history="1">
        <w:r>
          <w:rPr>
            <w:rStyle w:val="Hyperlink"/>
            <w:rFonts w:ascii="Times New Roman" w:hAnsi="Times New Roman"/>
          </w:rPr>
          <w:t xml:space="preserve">7.</w:t>
        </w:r>
        <w:r>
          <w:tab/>
        </w:r>
        <w:r>
          <w:rPr>
            <w:b w:val="0"/>
            <w:smallCaps w:val="0"/>
            <w:sz w:val="24"/>
            <w:rFonts w:asciiTheme="minorHAnsi" w:eastAsiaTheme="minorEastAsia" w:hAnsiTheme="minorHAnsi" w:cstheme="minorBidi"/>
          </w:rPr>
        </w:r>
        <w:r>
          <w:rPr>
            <w:rStyle w:val="Hyperlink"/>
            <w:rFonts w:ascii="Times New Roman" w:hAnsi="Times New Roman"/>
          </w:rPr>
          <w:t xml:space="preserve">C 23.00 - Market Risk: Standardised Approaches for Commodities (MKR SA COM)</w:t>
        </w:r>
        <w:r>
          <w:tab/>
        </w:r>
        <w:r>
          <w:rPr>
            <w:webHidden/>
          </w:rPr>
        </w:r>
        <w:r>
          <w:rPr>
            <w:webHidden/>
          </w:rPr>
          <w:fldChar w:fldCharType="begin"/>
        </w:r>
        <w:r>
          <w:rPr>
            <w:webHidden/>
          </w:rPr>
          <w:instrText xml:space="preserve"> PAGEREF _Toc210732264 \h </w:instrText>
        </w:r>
        <w:r>
          <w:rPr>
            <w:webHidden/>
          </w:rPr>
        </w:r>
        <w:r>
          <w:rPr>
            <w:webHidden/>
          </w:rPr>
          <w:fldChar w:fldCharType="separate"/>
        </w:r>
        <w:r>
          <w:rPr>
            <w:webHidden/>
          </w:rPr>
          <w:t xml:space="preserve">17</w:t>
        </w:r>
        <w:r>
          <w:rPr>
            <w:webHidden/>
          </w:rPr>
          <w:fldChar w:fldCharType="end"/>
        </w:r>
      </w:hyperlink>
    </w:p>
    <w:p w14:paraId="67C96F9B" w14:textId="5BBE2108" w:rsidR="002331CC" w:rsidRDefault="002331CC">
      <w:pPr>
        <w:pStyle w:val="TOC2"/>
        <w:rPr>
          <w:b w:val="0"/>
          <w:smallCaps w:val="0"/>
          <w:sz w:val="24"/>
          <w:rFonts w:asciiTheme="minorHAnsi" w:eastAsiaTheme="minorEastAsia" w:hAnsiTheme="minorHAnsi" w:cstheme="minorBidi"/>
        </w:rPr>
      </w:pPr>
      <w:hyperlink w:anchor="_Toc210732265" w:history="1">
        <w:r>
          <w:rPr>
            <w:rStyle w:val="Hyperlink"/>
            <w:rFonts w:ascii="Times New Roman" w:hAnsi="Times New Roman"/>
          </w:rPr>
          <w:t xml:space="preserve">7.1.</w:t>
        </w:r>
        <w:r>
          <w:tab/>
        </w:r>
        <w:r>
          <w:rPr>
            <w:b w:val="0"/>
            <w:smallCaps w:val="0"/>
            <w:sz w:val="24"/>
            <w:rFonts w:asciiTheme="minorHAnsi" w:eastAsiaTheme="minorEastAsia" w:hAnsiTheme="minorHAnsi" w:cstheme="minorBidi"/>
          </w:rPr>
        </w:r>
        <w:r>
          <w:rPr>
            <w:rStyle w:val="Hyperlink"/>
            <w:rFonts w:ascii="Times New Roman" w:hAnsi="Times New Roman"/>
          </w:rPr>
          <w:t xml:space="preserve">General Remarks</w:t>
        </w:r>
        <w:r>
          <w:tab/>
        </w:r>
        <w:r>
          <w:rPr>
            <w:webHidden/>
          </w:rPr>
        </w:r>
        <w:r>
          <w:rPr>
            <w:webHidden/>
          </w:rPr>
          <w:fldChar w:fldCharType="begin"/>
        </w:r>
        <w:r>
          <w:rPr>
            <w:webHidden/>
          </w:rPr>
          <w:instrText xml:space="preserve"> PAGEREF _Toc210732265 \h </w:instrText>
        </w:r>
        <w:r>
          <w:rPr>
            <w:webHidden/>
          </w:rPr>
        </w:r>
        <w:r>
          <w:rPr>
            <w:webHidden/>
          </w:rPr>
          <w:fldChar w:fldCharType="separate"/>
        </w:r>
        <w:r>
          <w:rPr>
            <w:webHidden/>
          </w:rPr>
          <w:t xml:space="preserve">17</w:t>
        </w:r>
        <w:r>
          <w:rPr>
            <w:webHidden/>
          </w:rPr>
          <w:fldChar w:fldCharType="end"/>
        </w:r>
      </w:hyperlink>
    </w:p>
    <w:p w14:paraId="35CB7529" w14:textId="45957349" w:rsidR="002331CC" w:rsidRDefault="002331CC">
      <w:pPr>
        <w:pStyle w:val="TOC2"/>
        <w:rPr>
          <w:b w:val="0"/>
          <w:smallCaps w:val="0"/>
          <w:sz w:val="24"/>
          <w:rFonts w:asciiTheme="minorHAnsi" w:eastAsiaTheme="minorEastAsia" w:hAnsiTheme="minorHAnsi" w:cstheme="minorBidi"/>
        </w:rPr>
      </w:pPr>
      <w:hyperlink w:anchor="_Toc210732266" w:history="1">
        <w:r>
          <w:rPr>
            <w:rStyle w:val="Hyperlink"/>
            <w:rFonts w:ascii="Times New Roman" w:hAnsi="Times New Roman"/>
          </w:rPr>
          <w:t xml:space="preserve">7.2.</w:t>
        </w:r>
        <w:r>
          <w:tab/>
        </w:r>
        <w:r>
          <w:rPr>
            <w:b w:val="0"/>
            <w:smallCaps w:val="0"/>
            <w:sz w:val="24"/>
            <w:rFonts w:asciiTheme="minorHAnsi" w:eastAsiaTheme="minorEastAsia" w:hAnsiTheme="minorHAnsi" w:cstheme="minorBidi"/>
          </w:rPr>
        </w:r>
        <w:r>
          <w:rPr>
            <w:rStyle w:val="Hyperlink"/>
            <w:rFonts w:ascii="Times New Roman" w:hAnsi="Times New Roman"/>
          </w:rPr>
          <w:t xml:space="preserve">Instructions concerning specific positions</w:t>
        </w:r>
        <w:r>
          <w:tab/>
        </w:r>
        <w:r>
          <w:rPr>
            <w:webHidden/>
          </w:rPr>
        </w:r>
        <w:r>
          <w:rPr>
            <w:webHidden/>
          </w:rPr>
          <w:fldChar w:fldCharType="begin"/>
        </w:r>
        <w:r>
          <w:rPr>
            <w:webHidden/>
          </w:rPr>
          <w:instrText xml:space="preserve"> PAGEREF _Toc210732266 \h </w:instrText>
        </w:r>
        <w:r>
          <w:rPr>
            <w:webHidden/>
          </w:rPr>
        </w:r>
        <w:r>
          <w:rPr>
            <w:webHidden/>
          </w:rPr>
          <w:fldChar w:fldCharType="separate"/>
        </w:r>
        <w:r>
          <w:rPr>
            <w:webHidden/>
          </w:rPr>
          <w:t xml:space="preserve">17</w:t>
        </w:r>
        <w:r>
          <w:rPr>
            <w:webHidden/>
          </w:rPr>
          <w:fldChar w:fldCharType="end"/>
        </w:r>
      </w:hyperlink>
    </w:p>
    <w:p w14:paraId="595A764B" w14:textId="3D971B41" w:rsidR="002331CC" w:rsidRDefault="002331CC">
      <w:pPr>
        <w:pStyle w:val="TOC2"/>
        <w:rPr>
          <w:b w:val="0"/>
          <w:smallCaps w:val="0"/>
          <w:sz w:val="24"/>
          <w:rFonts w:asciiTheme="minorHAnsi" w:eastAsiaTheme="minorEastAsia" w:hAnsiTheme="minorHAnsi" w:cstheme="minorBidi"/>
        </w:rPr>
      </w:pPr>
      <w:hyperlink w:anchor="_Toc210732267" w:history="1">
        <w:r>
          <w:rPr>
            <w:rStyle w:val="Hyperlink"/>
            <w:rFonts w:ascii="Times New Roman" w:hAnsi="Times New Roman"/>
          </w:rPr>
          <w:t xml:space="preserve">8.</w:t>
        </w:r>
        <w:r>
          <w:tab/>
        </w:r>
        <w:r>
          <w:rPr>
            <w:b w:val="0"/>
            <w:smallCaps w:val="0"/>
            <w:sz w:val="24"/>
            <w:rFonts w:asciiTheme="minorHAnsi" w:eastAsiaTheme="minorEastAsia" w:hAnsiTheme="minorHAnsi" w:cstheme="minorBidi"/>
          </w:rPr>
        </w:r>
        <w:r>
          <w:rPr>
            <w:rStyle w:val="Hyperlink"/>
            <w:rFonts w:ascii="Times New Roman" w:hAnsi="Times New Roman"/>
          </w:rPr>
          <w:t xml:space="preserve">C 24.00 - Market Risk Internal Model (MKR IM)</w:t>
        </w:r>
        <w:r>
          <w:tab/>
        </w:r>
        <w:r>
          <w:rPr>
            <w:webHidden/>
          </w:rPr>
        </w:r>
        <w:r>
          <w:rPr>
            <w:webHidden/>
          </w:rPr>
          <w:fldChar w:fldCharType="begin"/>
        </w:r>
        <w:r>
          <w:rPr>
            <w:webHidden/>
          </w:rPr>
          <w:instrText xml:space="preserve"> PAGEREF _Toc210732267 \h </w:instrText>
        </w:r>
        <w:r>
          <w:rPr>
            <w:webHidden/>
          </w:rPr>
        </w:r>
        <w:r>
          <w:rPr>
            <w:webHidden/>
          </w:rPr>
          <w:fldChar w:fldCharType="separate"/>
        </w:r>
        <w:r>
          <w:rPr>
            <w:webHidden/>
          </w:rPr>
          <w:t xml:space="preserve">19</w:t>
        </w:r>
        <w:r>
          <w:rPr>
            <w:webHidden/>
          </w:rPr>
          <w:fldChar w:fldCharType="end"/>
        </w:r>
      </w:hyperlink>
    </w:p>
    <w:p w14:paraId="7E78F143" w14:textId="31E94299" w:rsidR="002331CC" w:rsidRDefault="002331CC">
      <w:pPr>
        <w:pStyle w:val="TOC2"/>
        <w:rPr>
          <w:b w:val="0"/>
          <w:smallCaps w:val="0"/>
          <w:sz w:val="24"/>
          <w:rFonts w:asciiTheme="minorHAnsi" w:eastAsiaTheme="minorEastAsia" w:hAnsiTheme="minorHAnsi" w:cstheme="minorBidi"/>
        </w:rPr>
      </w:pPr>
      <w:hyperlink w:anchor="_Toc210732268" w:history="1">
        <w:r>
          <w:rPr>
            <w:rStyle w:val="Hyperlink"/>
            <w:rFonts w:ascii="Times New Roman" w:hAnsi="Times New Roman"/>
          </w:rPr>
          <w:t xml:space="preserve">8.1.</w:t>
        </w:r>
        <w:r>
          <w:tab/>
        </w:r>
        <w:r>
          <w:rPr>
            <w:b w:val="0"/>
            <w:smallCaps w:val="0"/>
            <w:sz w:val="24"/>
            <w:rFonts w:asciiTheme="minorHAnsi" w:eastAsiaTheme="minorEastAsia" w:hAnsiTheme="minorHAnsi" w:cstheme="minorBidi"/>
          </w:rPr>
        </w:r>
        <w:r>
          <w:rPr>
            <w:rStyle w:val="Hyperlink"/>
            <w:rFonts w:ascii="Times New Roman" w:hAnsi="Times New Roman"/>
          </w:rPr>
          <w:t xml:space="preserve">General Remarks</w:t>
        </w:r>
        <w:r>
          <w:tab/>
        </w:r>
        <w:r>
          <w:rPr>
            <w:webHidden/>
          </w:rPr>
        </w:r>
        <w:r>
          <w:rPr>
            <w:webHidden/>
          </w:rPr>
          <w:fldChar w:fldCharType="begin"/>
        </w:r>
        <w:r>
          <w:rPr>
            <w:webHidden/>
          </w:rPr>
          <w:instrText xml:space="preserve"> PAGEREF _Toc210732268 \h </w:instrText>
        </w:r>
        <w:r>
          <w:rPr>
            <w:webHidden/>
          </w:rPr>
        </w:r>
        <w:r>
          <w:rPr>
            <w:webHidden/>
          </w:rPr>
          <w:fldChar w:fldCharType="separate"/>
        </w:r>
        <w:r>
          <w:rPr>
            <w:webHidden/>
          </w:rPr>
          <w:t xml:space="preserve">19</w:t>
        </w:r>
        <w:r>
          <w:rPr>
            <w:webHidden/>
          </w:rPr>
          <w:fldChar w:fldCharType="end"/>
        </w:r>
      </w:hyperlink>
    </w:p>
    <w:p w14:paraId="00CC8544" w14:textId="256084E9" w:rsidR="002331CC" w:rsidRDefault="002331CC">
      <w:pPr>
        <w:pStyle w:val="TOC2"/>
        <w:rPr>
          <w:b w:val="0"/>
          <w:smallCaps w:val="0"/>
          <w:sz w:val="24"/>
          <w:rFonts w:asciiTheme="minorHAnsi" w:eastAsiaTheme="minorEastAsia" w:hAnsiTheme="minorHAnsi" w:cstheme="minorBidi"/>
        </w:rPr>
      </w:pPr>
      <w:hyperlink w:anchor="_Toc210732269" w:history="1">
        <w:r>
          <w:rPr>
            <w:rStyle w:val="Hyperlink"/>
            <w:rFonts w:ascii="Times New Roman" w:hAnsi="Times New Roman"/>
          </w:rPr>
          <w:t xml:space="preserve">8.2.</w:t>
        </w:r>
        <w:r>
          <w:tab/>
        </w:r>
        <w:r>
          <w:rPr>
            <w:b w:val="0"/>
            <w:smallCaps w:val="0"/>
            <w:sz w:val="24"/>
            <w:rFonts w:asciiTheme="minorHAnsi" w:eastAsiaTheme="minorEastAsia" w:hAnsiTheme="minorHAnsi" w:cstheme="minorBidi"/>
          </w:rPr>
        </w:r>
        <w:r>
          <w:rPr>
            <w:rStyle w:val="Hyperlink"/>
            <w:rFonts w:ascii="Times New Roman" w:hAnsi="Times New Roman"/>
          </w:rPr>
          <w:t xml:space="preserve">Instructions concerning specific positions</w:t>
        </w:r>
        <w:r>
          <w:tab/>
        </w:r>
        <w:r>
          <w:rPr>
            <w:webHidden/>
          </w:rPr>
        </w:r>
        <w:r>
          <w:rPr>
            <w:webHidden/>
          </w:rPr>
          <w:fldChar w:fldCharType="begin"/>
        </w:r>
        <w:r>
          <w:rPr>
            <w:webHidden/>
          </w:rPr>
          <w:instrText xml:space="preserve"> PAGEREF _Toc210732269 \h </w:instrText>
        </w:r>
        <w:r>
          <w:rPr>
            <w:webHidden/>
          </w:rPr>
        </w:r>
        <w:r>
          <w:rPr>
            <w:webHidden/>
          </w:rPr>
          <w:fldChar w:fldCharType="separate"/>
        </w:r>
        <w:r>
          <w:rPr>
            <w:webHidden/>
          </w:rPr>
          <w:t xml:space="preserve">19</w:t>
        </w:r>
        <w:r>
          <w:rPr>
            <w:webHidden/>
          </w:rPr>
          <w:fldChar w:fldCharType="end"/>
        </w:r>
      </w:hyperlink>
    </w:p>
    <w:p w14:paraId="4325A1DC" w14:textId="412120CC" w:rsidR="002648B0" w:rsidRPr="00696301" w:rsidRDefault="00745369" w:rsidP="00005FFC">
      <w:pPr>
        <w:rPr>
          <w:sz w:val="24"/>
          <w:rFonts w:ascii="Times New Roman" w:hAnsi="Times New Roman"/>
        </w:rPr>
        <w:sectPr w:rsidR="002648B0" w:rsidRPr="00696301" w:rsidSect="004D441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7" w:right="1417" w:bottom="1134" w:left="1417" w:header="708" w:footer="708" w:gutter="0"/>
          <w:cols w:space="708"/>
          <w:titlePg/>
          <w:docGrid w:linePitch="360"/>
        </w:sectPr>
      </w:pPr>
      <w:r>
        <w:rPr>
          <w:sz w:val="24"/>
          <w:rFonts w:ascii="Times New Roman" w:hAnsi="Times New Roman"/>
        </w:rPr>
        <w:fldChar w:fldCharType="end"/>
      </w:r>
    </w:p>
    <w:p w14:paraId="65DEB04A" w14:textId="77777777" w:rsidR="002648B0" w:rsidRPr="002D60D7" w:rsidRDefault="002648B0" w:rsidP="004C445F">
      <w:pPr>
        <w:pStyle w:val="Heading2"/>
        <w:suppressAutoHyphens/>
        <w:rPr>
          <w:rFonts w:ascii="Times New Roman" w:hAnsi="Times New Roman"/>
        </w:rPr>
      </w:pPr>
      <w:bookmarkStart w:id="2" w:name="_Toc264038394"/>
      <w:bookmarkStart w:id="3" w:name="_Toc360188317"/>
      <w:bookmarkStart w:id="4" w:name="_Toc473560865"/>
      <w:bookmarkStart w:id="5" w:name="_Toc210732242"/>
      <w:r>
        <w:rPr>
          <w:rFonts w:ascii="Times New Roman" w:hAnsi="Times New Roman"/>
        </w:rPr>
        <w:t xml:space="preserve">PARTIE I:</w:t>
      </w:r>
      <w:bookmarkEnd w:id="2"/>
      <w:r>
        <w:rPr>
          <w:rFonts w:ascii="Times New Roman" w:hAnsi="Times New Roman"/>
        </w:rPr>
        <w:t xml:space="preserve"> </w:t>
      </w:r>
      <w:r>
        <w:rPr>
          <w:rFonts w:ascii="Times New Roman" w:hAnsi="Times New Roman"/>
        </w:rPr>
        <w:t xml:space="preserve">INSTRUCTIONS GÉNÉRALES</w:t>
      </w:r>
      <w:bookmarkEnd w:id="3"/>
      <w:bookmarkEnd w:id="4"/>
      <w:bookmarkEnd w:id="5"/>
    </w:p>
    <w:p w14:paraId="2B1DE452" w14:textId="3C4AA749" w:rsidR="002648B0" w:rsidRPr="002D60D7" w:rsidRDefault="00125707" w:rsidP="004C445F">
      <w:pPr>
        <w:pStyle w:val="Instructionsberschrift2"/>
        <w:numPr>
          <w:ilvl w:val="0"/>
          <w:numId w:val="0"/>
        </w:numPr>
        <w:suppressAutoHyphens/>
        <w:ind w:left="357" w:hanging="357"/>
        <w:rPr>
          <w:sz w:val="24"/>
          <w:u w:val="none"/>
          <w:rFonts w:ascii="Times New Roman" w:hAnsi="Times New Roman" w:cs="Times New Roman"/>
        </w:rPr>
      </w:pPr>
      <w:bookmarkStart w:id="6" w:name="_Toc360188318"/>
      <w:bookmarkStart w:id="7" w:name="_Toc473560866"/>
      <w:bookmarkStart w:id="8" w:name="_Toc210732243"/>
      <w:r>
        <w:rPr>
          <w:sz w:val="24"/>
          <w:u w:val="none"/>
          <w:rFonts w:ascii="Times New Roman" w:hAnsi="Times New Roman"/>
        </w:rPr>
        <w:t xml:space="preserve">1.</w:t>
      </w:r>
      <w:r>
        <w:tab/>
      </w:r>
      <w:r>
        <w:rPr>
          <w:sz w:val="24"/>
          <w:u w:val="none"/>
          <w:rFonts w:ascii="Times New Roman" w:hAnsi="Times New Roman"/>
        </w:rPr>
        <w:t xml:space="preserve">CONVENTIONS</w:t>
      </w:r>
      <w:bookmarkEnd w:id="6"/>
      <w:bookmarkEnd w:id="7"/>
      <w:bookmarkEnd w:id="8"/>
    </w:p>
    <w:p w14:paraId="691FE691" w14:textId="6FA2FF51" w:rsidR="002648B0" w:rsidRPr="002D60D7" w:rsidRDefault="00125707" w:rsidP="004C445F">
      <w:pPr>
        <w:pStyle w:val="Instructionsberschrift2"/>
        <w:numPr>
          <w:ilvl w:val="0"/>
          <w:numId w:val="0"/>
        </w:numPr>
        <w:suppressAutoHyphens/>
        <w:ind w:left="357" w:hanging="357"/>
        <w:rPr>
          <w:sz w:val="24"/>
          <w:u w:val="none"/>
          <w:rFonts w:ascii="Times New Roman" w:hAnsi="Times New Roman" w:cs="Times New Roman"/>
        </w:rPr>
      </w:pPr>
      <w:bookmarkStart w:id="9" w:name="_Toc360188320"/>
      <w:bookmarkStart w:id="10" w:name="_Toc473560868"/>
      <w:bookmarkStart w:id="11" w:name="_Toc264038399"/>
      <w:bookmarkStart w:id="12" w:name="_Toc294018834"/>
      <w:bookmarkStart w:id="13" w:name="_Toc210732244"/>
      <w:r>
        <w:rPr>
          <w:sz w:val="24"/>
          <w:u w:val="none"/>
          <w:rFonts w:ascii="Times New Roman" w:hAnsi="Times New Roman"/>
        </w:rPr>
        <w:t xml:space="preserve">1.1.</w:t>
      </w:r>
      <w:r>
        <w:tab/>
      </w:r>
      <w:r>
        <w:rPr>
          <w:sz w:val="24"/>
          <w:u w:val="none"/>
          <w:rFonts w:ascii="Times New Roman" w:hAnsi="Times New Roman"/>
        </w:rPr>
        <w:t xml:space="preserve">Convention de numérotation</w:t>
      </w:r>
      <w:bookmarkEnd w:id="9"/>
      <w:bookmarkEnd w:id="10"/>
      <w:bookmarkEnd w:id="13"/>
    </w:p>
    <w:p w14:paraId="07DD29A3" w14:textId="3ADB010A" w:rsidR="002648B0" w:rsidRPr="002D60D7" w:rsidRDefault="002648B0" w:rsidP="00E172EA">
      <w:pPr>
        <w:pStyle w:val="InstructionsText2"/>
        <w:numPr>
          <w:ilvl w:val="0"/>
          <w:numId w:val="29"/>
        </w:numPr>
        <w:suppressAutoHyphens/>
      </w:pPr>
      <w:r>
        <w:t xml:space="preserve">Lorsqu’il est fait référence à des colonnes, des lignes ou des cellules du modèle, ce sont les conventions des points 2 à 5 qui s’appliquent.</w:t>
      </w:r>
      <w:r>
        <w:t xml:space="preserve"> </w:t>
      </w:r>
      <w:r>
        <w:t xml:space="preserve">Ces codes numériques sont couramment utilisés dans les règles de validation.</w:t>
      </w:r>
    </w:p>
    <w:p w14:paraId="4A930757" w14:textId="35786EEA" w:rsidR="005643EA" w:rsidRPr="002D60D7" w:rsidRDefault="002648B0" w:rsidP="00E172EA">
      <w:pPr>
        <w:pStyle w:val="InstructionsText2"/>
        <w:numPr>
          <w:ilvl w:val="0"/>
          <w:numId w:val="29"/>
        </w:numPr>
        <w:suppressAutoHyphens/>
      </w:pPr>
      <w:r>
        <w:t xml:space="preserve">Les instructions suivent le système général de notation suivant:</w:t>
      </w:r>
      <w:r>
        <w:t xml:space="preserve"> </w:t>
      </w:r>
      <w:r>
        <w:t xml:space="preserve">{Modèle;</w:t>
      </w:r>
      <w:r>
        <w:t xml:space="preserve"> </w:t>
      </w:r>
      <w:r>
        <w:t xml:space="preserve">Ligne;</w:t>
      </w:r>
      <w:r>
        <w:t xml:space="preserve"> </w:t>
      </w:r>
      <w:r>
        <w:t xml:space="preserve">Colonne}.</w:t>
      </w:r>
    </w:p>
    <w:p w14:paraId="058D6622" w14:textId="0D8EC818" w:rsidR="002648B0" w:rsidRPr="002D60D7" w:rsidRDefault="002648B0" w:rsidP="00E172EA">
      <w:pPr>
        <w:pStyle w:val="InstructionsText2"/>
        <w:numPr>
          <w:ilvl w:val="0"/>
          <w:numId w:val="29"/>
        </w:numPr>
        <w:suppressAutoHyphens/>
      </w:pPr>
      <w:r>
        <w:t xml:space="preserve">En cas de validations à l’intérieur d’un modèle, pour lesquelles seuls les points de données de ce modèle sont utilisés, les notations ne mentionnent pas le modèle:</w:t>
      </w:r>
      <w:r>
        <w:t xml:space="preserve"> </w:t>
      </w:r>
      <w:r>
        <w:t xml:space="preserve">{Ligne;</w:t>
      </w:r>
      <w:r>
        <w:t xml:space="preserve"> </w:t>
      </w:r>
      <w:r>
        <w:t xml:space="preserve">Colonne}.</w:t>
      </w:r>
    </w:p>
    <w:p w14:paraId="1C93CB72" w14:textId="27E06172" w:rsidR="005643EA" w:rsidRPr="002D60D7" w:rsidRDefault="002648B0" w:rsidP="00E172EA">
      <w:pPr>
        <w:pStyle w:val="InstructionsText2"/>
        <w:numPr>
          <w:ilvl w:val="0"/>
          <w:numId w:val="29"/>
        </w:numPr>
        <w:suppressAutoHyphens/>
      </w:pPr>
      <w:r>
        <w:t xml:space="preserve">Dans le cas des modèles constitués d’une colonne unique, il est fait référence aux seules lignes.</w:t>
      </w:r>
      <w:r>
        <w:t xml:space="preserve"> </w:t>
      </w:r>
      <w:r>
        <w:t xml:space="preserve">{Modèle;</w:t>
      </w:r>
      <w:r>
        <w:t xml:space="preserve"> </w:t>
      </w:r>
      <w:r>
        <w:t xml:space="preserve">Ligne}.</w:t>
      </w:r>
    </w:p>
    <w:p w14:paraId="6CF08484" w14:textId="337CEEA0" w:rsidR="002648B0" w:rsidRPr="002D60D7" w:rsidRDefault="002648B0" w:rsidP="00E172EA">
      <w:pPr>
        <w:pStyle w:val="InstructionsText2"/>
        <w:numPr>
          <w:ilvl w:val="0"/>
          <w:numId w:val="29"/>
        </w:numPr>
        <w:suppressAutoHyphens/>
      </w:pPr>
      <w:r>
        <w:t xml:space="preserve">Un astérisque indique que la validation porte sur les lignes ou les colonnes mentionnées auparavant.</w:t>
      </w:r>
    </w:p>
    <w:p w14:paraId="6218AD51" w14:textId="365F36D8" w:rsidR="002648B0" w:rsidRPr="002D60D7" w:rsidRDefault="00125707" w:rsidP="004C445F">
      <w:pPr>
        <w:pStyle w:val="Instructionsberschrift2"/>
        <w:numPr>
          <w:ilvl w:val="0"/>
          <w:numId w:val="0"/>
        </w:numPr>
        <w:suppressAutoHyphens/>
        <w:ind w:left="357" w:hanging="357"/>
        <w:rPr>
          <w:sz w:val="24"/>
          <w:u w:val="none"/>
          <w:rFonts w:ascii="Times New Roman" w:hAnsi="Times New Roman" w:cs="Times New Roman"/>
        </w:rPr>
      </w:pPr>
      <w:bookmarkStart w:id="14" w:name="_Toc360188321"/>
      <w:bookmarkStart w:id="15" w:name="_Toc473560869"/>
      <w:bookmarkStart w:id="16" w:name="_Toc210732245"/>
      <w:r>
        <w:rPr>
          <w:sz w:val="24"/>
          <w:u w:val="none"/>
          <w:rFonts w:ascii="Times New Roman" w:hAnsi="Times New Roman"/>
        </w:rPr>
        <w:t xml:space="preserve">1.2.</w:t>
      </w:r>
      <w:r>
        <w:tab/>
      </w:r>
      <w:r>
        <w:rPr>
          <w:sz w:val="24"/>
          <w:u w:val="none"/>
          <w:rFonts w:ascii="Times New Roman" w:hAnsi="Times New Roman"/>
        </w:rPr>
        <w:t xml:space="preserve">Convention de signe</w:t>
      </w:r>
      <w:bookmarkEnd w:id="11"/>
      <w:bookmarkEnd w:id="12"/>
      <w:bookmarkEnd w:id="14"/>
      <w:bookmarkEnd w:id="15"/>
      <w:bookmarkEnd w:id="16"/>
    </w:p>
    <w:p w14:paraId="67BDF5E2" w14:textId="769DF459" w:rsidR="002648B0" w:rsidRDefault="002648B0" w:rsidP="00E172EA">
      <w:pPr>
        <w:pStyle w:val="InstructionsText2"/>
        <w:numPr>
          <w:ilvl w:val="0"/>
          <w:numId w:val="29"/>
        </w:numPr>
        <w:suppressAutoHyphens/>
      </w:pPr>
      <w:r>
        <w:t xml:space="preserve">Tout montant augmentant les fonds propres ou les exigences de fonds propres est déclaré en tant que valeur positive.</w:t>
      </w:r>
      <w:r>
        <w:t xml:space="preserve"> </w:t>
      </w:r>
      <w:r>
        <w:t xml:space="preserve">En revanche, tout montant réduisant le total des fonds propres ou des exigences de fonds propres est déclaré en tant que valeur négative.</w:t>
      </w:r>
      <w:r>
        <w:t xml:space="preserve"> </w:t>
      </w:r>
      <w:r>
        <w:t xml:space="preserve">Lorsqu’un signe négatif (-) précède l’intitulé d’un élément, aucune valeur positive n’est attendue pour cet élément.</w:t>
      </w:r>
    </w:p>
    <w:p w14:paraId="21FCA11B" w14:textId="044801DB" w:rsidR="00843119" w:rsidRPr="00843119" w:rsidRDefault="00843119" w:rsidP="00843119">
      <w:pPr>
        <w:pStyle w:val="Instructionsberschrift2"/>
        <w:numPr>
          <w:ilvl w:val="0"/>
          <w:numId w:val="0"/>
        </w:numPr>
        <w:suppressAutoHyphens/>
        <w:ind w:left="357" w:hanging="357"/>
        <w:rPr>
          <w:sz w:val="24"/>
          <w:u w:val="none"/>
          <w:rFonts w:ascii="Times New Roman" w:hAnsi="Times New Roman" w:cs="Times New Roman"/>
        </w:rPr>
      </w:pPr>
      <w:bookmarkStart w:id="17" w:name="_Toc210732246"/>
      <w:r>
        <w:rPr>
          <w:sz w:val="24"/>
          <w:u w:val="none"/>
          <w:rFonts w:ascii="Times New Roman" w:hAnsi="Times New Roman"/>
        </w:rPr>
        <w:t xml:space="preserve">1.3.</w:t>
      </w:r>
      <w:r>
        <w:tab/>
      </w:r>
      <w:r>
        <w:rPr>
          <w:sz w:val="24"/>
          <w:u w:val="none"/>
          <w:rFonts w:ascii="Times New Roman" w:hAnsi="Times New Roman"/>
        </w:rPr>
        <w:t xml:space="preserve">Références au règlement (UE) 575/2013</w:t>
      </w:r>
      <w:bookmarkEnd w:id="17"/>
    </w:p>
    <w:p w14:paraId="59845808" w14:textId="11AE211B" w:rsidR="00843119" w:rsidRPr="002D60D7" w:rsidRDefault="00843119" w:rsidP="00E172EA">
      <w:pPr>
        <w:pStyle w:val="InstructionsText2"/>
        <w:numPr>
          <w:ilvl w:val="0"/>
          <w:numId w:val="29"/>
        </w:numPr>
        <w:suppressAutoHyphens/>
      </w:pPr>
      <w:r>
        <w:t xml:space="preserve">Toutes les références aux articles 325 à 377 du règlement (UE) nº 575/2013 sont à lire comme des références à la version dudit règlement en vigueur au 26 juin 2019.</w:t>
      </w:r>
      <w:r>
        <w:t xml:space="preserve"> </w:t>
      </w:r>
    </w:p>
    <w:p w14:paraId="178F0A93" w14:textId="77777777" w:rsidR="00843119" w:rsidRPr="002D60D7" w:rsidRDefault="00843119" w:rsidP="00843119">
      <w:pPr>
        <w:pStyle w:val="InstructionsText2"/>
        <w:numPr>
          <w:ilvl w:val="0"/>
          <w:numId w:val="0"/>
        </w:numPr>
        <w:suppressAutoHyphens/>
      </w:pPr>
    </w:p>
    <w:p w14:paraId="69E08A1F" w14:textId="26A864E9" w:rsidR="00304CA5" w:rsidRPr="002D60D7" w:rsidRDefault="00304CA5" w:rsidP="004C445F">
      <w:pPr>
        <w:pStyle w:val="InstructionsText2"/>
        <w:numPr>
          <w:ilvl w:val="0"/>
          <w:numId w:val="0"/>
        </w:numPr>
        <w:suppressAutoHyphens/>
        <w:ind w:left="1353" w:hanging="360"/>
      </w:pPr>
    </w:p>
    <w:p w14:paraId="661FC092" w14:textId="77777777" w:rsidR="00304CA5" w:rsidRPr="002D60D7" w:rsidRDefault="00304CA5" w:rsidP="004C445F">
      <w:pPr>
        <w:pStyle w:val="InstructionsText2"/>
        <w:numPr>
          <w:ilvl w:val="0"/>
          <w:numId w:val="0"/>
        </w:numPr>
        <w:suppressAutoHyphens/>
        <w:ind w:left="1353" w:hanging="360"/>
      </w:pPr>
    </w:p>
    <w:p w14:paraId="6B2B7DCC" w14:textId="77777777" w:rsidR="002648B0" w:rsidRPr="002D60D7" w:rsidRDefault="002648B0" w:rsidP="004C445F">
      <w:pPr>
        <w:pStyle w:val="InstructionsText2"/>
        <w:suppressAutoHyphens/>
        <w:sectPr w:rsidR="002648B0" w:rsidRPr="002D60D7" w:rsidSect="00A801A9">
          <w:endnotePr>
            <w:numFmt w:val="decimal"/>
          </w:endnotePr>
          <w:pgSz w:w="11906" w:h="16838"/>
          <w:pgMar w:top="1417" w:right="1417" w:bottom="1134" w:left="1417" w:header="708" w:footer="708" w:gutter="0"/>
          <w:cols w:space="708"/>
          <w:rtlGutter/>
          <w:docGrid w:linePitch="360"/>
        </w:sectPr>
      </w:pPr>
    </w:p>
    <w:p w14:paraId="7E85F65D" w14:textId="77777777" w:rsidR="002648B0" w:rsidRPr="002D60D7" w:rsidRDefault="002648B0" w:rsidP="004C445F">
      <w:pPr>
        <w:suppressAutoHyphens/>
        <w:rPr>
          <w:rFonts w:ascii="Times New Roman" w:hAnsi="Times New Roman"/>
          <w:sz w:val="24"/>
        </w:rPr>
      </w:pPr>
    </w:p>
    <w:p w14:paraId="5C0CD8F3" w14:textId="25D58192" w:rsidR="00AC6255" w:rsidRPr="002D60D7" w:rsidRDefault="002648B0" w:rsidP="004C445F">
      <w:pPr>
        <w:pStyle w:val="Heading2"/>
        <w:suppressAutoHyphens/>
        <w:rPr>
          <w:rStyle w:val="InstructionsTabelleText"/>
          <w:sz w:val="24"/>
          <w:rFonts w:ascii="Times New Roman" w:hAnsi="Times New Roman"/>
        </w:rPr>
      </w:pPr>
      <w:bookmarkStart w:id="18" w:name="_Toc360188322"/>
      <w:bookmarkStart w:id="19" w:name="_Toc473560870"/>
      <w:bookmarkStart w:id="20" w:name="_Toc210732247"/>
      <w:r>
        <w:rPr>
          <w:rFonts w:ascii="Times New Roman" w:hAnsi="Times New Roman"/>
        </w:rPr>
        <w:t xml:space="preserve">PARTIE II:</w:t>
      </w:r>
      <w:r>
        <w:rPr>
          <w:rFonts w:ascii="Times New Roman" w:hAnsi="Times New Roman"/>
        </w:rPr>
        <w:t xml:space="preserve"> </w:t>
      </w:r>
      <w:r>
        <w:rPr>
          <w:rFonts w:ascii="Times New Roman" w:hAnsi="Times New Roman"/>
        </w:rPr>
        <w:t xml:space="preserve">INSTRUCTIONS RELATIVES AUX MODÈLES</w:t>
      </w:r>
      <w:bookmarkEnd w:id="18"/>
      <w:bookmarkEnd w:id="19"/>
      <w:r>
        <w:rPr>
          <w:rFonts w:ascii="Times New Roman" w:hAnsi="Times New Roman"/>
        </w:rPr>
        <w:t xml:space="preserve">:</w:t>
      </w:r>
      <w:r>
        <w:rPr>
          <w:rFonts w:ascii="Times New Roman" w:hAnsi="Times New Roman"/>
        </w:rPr>
        <w:t xml:space="preserve"> </w:t>
      </w:r>
      <w:r>
        <w:rPr>
          <w:rFonts w:ascii="Times New Roman" w:hAnsi="Times New Roman"/>
        </w:rPr>
        <w:t xml:space="preserve">MODÈLES CONSACRÉS AU RISQUE DE MARCHÉ</w:t>
      </w:r>
      <w:bookmarkEnd w:id="0"/>
      <w:bookmarkEnd w:id="1"/>
      <w:bookmarkEnd w:id="20"/>
    </w:p>
    <w:p w14:paraId="73EBDC1C" w14:textId="2EF76A90" w:rsidR="000B0B09" w:rsidRPr="002D60D7" w:rsidRDefault="00033301" w:rsidP="004C445F">
      <w:pPr>
        <w:pStyle w:val="Instructionsberschrift2"/>
        <w:numPr>
          <w:ilvl w:val="0"/>
          <w:numId w:val="0"/>
        </w:numPr>
        <w:suppressAutoHyphens/>
        <w:ind w:left="357" w:hanging="357"/>
        <w:rPr>
          <w:sz w:val="24"/>
          <w:rFonts w:ascii="Times New Roman" w:hAnsi="Times New Roman" w:cs="Times New Roman"/>
        </w:rPr>
      </w:pPr>
      <w:bookmarkStart w:id="21" w:name="_Toc295829995"/>
      <w:bookmarkStart w:id="22" w:name="_Toc262566425"/>
      <w:bookmarkStart w:id="23" w:name="_Toc308426671"/>
      <w:bookmarkStart w:id="24" w:name="_Toc310415056"/>
      <w:bookmarkStart w:id="25" w:name="_Toc360188391"/>
      <w:bookmarkStart w:id="26" w:name="_Toc473561031"/>
      <w:bookmarkStart w:id="27" w:name="_Toc210732248"/>
      <w:r>
        <w:rPr>
          <w:sz w:val="24"/>
          <w:u w:val="none"/>
          <w:rFonts w:ascii="Times New Roman" w:hAnsi="Times New Roman"/>
        </w:rPr>
        <w:t xml:space="preserve">1.</w:t>
      </w:r>
      <w:r>
        <w:tab/>
      </w:r>
      <w:bookmarkEnd w:id="21"/>
      <w:bookmarkEnd w:id="22"/>
      <w:bookmarkEnd w:id="23"/>
      <w:bookmarkEnd w:id="24"/>
      <w:bookmarkEnd w:id="25"/>
      <w:bookmarkEnd w:id="26"/>
      <w:r>
        <w:rPr>
          <w:sz w:val="24"/>
          <w:rFonts w:ascii="Times New Roman" w:hAnsi="Times New Roman"/>
        </w:rPr>
        <w:t xml:space="preserve">Remarques générales</w:t>
      </w:r>
      <w:bookmarkEnd w:id="27"/>
    </w:p>
    <w:p w14:paraId="3A680559" w14:textId="018BA68A" w:rsidR="000B0B09" w:rsidRPr="002D60D7" w:rsidRDefault="000B0B09" w:rsidP="00E172EA">
      <w:pPr>
        <w:pStyle w:val="InstructionsText2"/>
        <w:numPr>
          <w:ilvl w:val="0"/>
          <w:numId w:val="29"/>
        </w:numPr>
        <w:suppressAutoHyphens/>
      </w:pPr>
      <w:bookmarkStart w:id="28" w:name="_Toc308426672"/>
      <w:r>
        <w:t xml:space="preserve">Ces instructions concernent les modèles de déclaration du calcul selon l’approche standard des exigences de fonds propres pour risque de change (MKR SA FX), risque sur matières premières (MKR SA COM), risque de taux d’intérêt (MKR SA TDI, MKR SA SEC, MKR SA CTP) et risque lié aux actions (MKR SA EQU).</w:t>
      </w:r>
      <w:r>
        <w:t xml:space="preserve"> </w:t>
      </w:r>
      <w:r>
        <w:t xml:space="preserve">Cette partie reprend également les instructions pour le modèle de déclaration du calcul des exigences de fonds propres selon l’approche fondée sur les modèles internes (MKR IM).</w:t>
      </w:r>
      <w:r>
        <w:t xml:space="preserve"> </w:t>
      </w:r>
    </w:p>
    <w:p w14:paraId="43A205D1" w14:textId="5DC446A2" w:rsidR="000B0B09" w:rsidRPr="002D60D7" w:rsidRDefault="000B0B09" w:rsidP="00E172EA">
      <w:pPr>
        <w:pStyle w:val="InstructionsText2"/>
        <w:numPr>
          <w:ilvl w:val="0"/>
          <w:numId w:val="29"/>
        </w:numPr>
        <w:suppressAutoHyphens/>
      </w:pPr>
      <w:r>
        <w:t xml:space="preserve">Le risque de position sur un titre de créance négocié ou une action négociée (ou un instrument dérivé sur titre de créance négocié ou sur action) sera divisé en deux composantes pour le calcul des fonds propres requis pour faire face audit risque.</w:t>
      </w:r>
      <w:r>
        <w:t xml:space="preserve"> </w:t>
      </w:r>
      <w:r>
        <w:t xml:space="preserve">La première composante couvre le “risque spécifique”, c’est-à-dire le risque d’une variation du prix de l’instrument concerné sous l’influence de facteurs liés à son émetteur ou, dans le cas d’un instrument dérivé, à l’émetteur de l’instrument sous-jacent.</w:t>
      </w:r>
      <w:r>
        <w:t xml:space="preserve"> </w:t>
      </w:r>
      <w:r>
        <w:t xml:space="preserve">La seconde composante couvre le “risque général”, c’est-à-dire le risque d’une variation du prix de l’instrument provoquée (dans le cas d’un titre de créance négocié ou d’un instrument dérivé sur un titre de créance négocié) par une fluctuation du niveau des taux d’intérêt ou (dans le cas d’une action ou d’un instrument dérivé sur action) par un mouvement général du marché des actions non imputable à certaines caractéristiques spécifiques des titres concernés.</w:t>
      </w:r>
      <w:r>
        <w:t xml:space="preserve"> </w:t>
      </w:r>
      <w:bookmarkEnd w:id="28"/>
      <w:r>
        <w:t xml:space="preserve">Le traitement général à appliquer selon les instruments, ainsi que les procédures de compensation, sont décrits dans les articles 326 à 333 du règlement (UE) nº 575/2013.</w:t>
      </w:r>
      <w:r>
        <w:t xml:space="preserve"> </w:t>
      </w:r>
    </w:p>
    <w:p w14:paraId="39C5FEA4" w14:textId="3A150929" w:rsidR="000B0B09" w:rsidRPr="002D60D7" w:rsidRDefault="00C22B34" w:rsidP="004C445F">
      <w:pPr>
        <w:pStyle w:val="Instructionsberschrift2"/>
        <w:numPr>
          <w:ilvl w:val="0"/>
          <w:numId w:val="0"/>
        </w:numPr>
        <w:suppressAutoHyphens/>
        <w:ind w:left="357" w:hanging="357"/>
        <w:rPr>
          <w:sz w:val="24"/>
          <w:rFonts w:ascii="Times New Roman" w:hAnsi="Times New Roman" w:cs="Times New Roman"/>
        </w:rPr>
      </w:pPr>
      <w:bookmarkStart w:id="29" w:name="_Toc239157393"/>
      <w:bookmarkStart w:id="30" w:name="_Toc262566426"/>
      <w:bookmarkStart w:id="31" w:name="_Toc295829996"/>
      <w:bookmarkStart w:id="32" w:name="_Toc308426673"/>
      <w:bookmarkStart w:id="33" w:name="_Toc310415057"/>
      <w:bookmarkStart w:id="34" w:name="_Toc360188392"/>
      <w:bookmarkStart w:id="35" w:name="_Toc473561032"/>
      <w:bookmarkStart w:id="36" w:name="_Toc210732249"/>
      <w:r>
        <w:rPr>
          <w:sz w:val="24"/>
          <w:u w:val="none"/>
          <w:rFonts w:ascii="Times New Roman" w:hAnsi="Times New Roman"/>
        </w:rPr>
        <w:t xml:space="preserve">2.</w:t>
      </w:r>
      <w:r>
        <w:tab/>
      </w:r>
      <w:r>
        <w:rPr>
          <w:sz w:val="24"/>
          <w:rFonts w:ascii="Times New Roman" w:hAnsi="Times New Roman"/>
        </w:rPr>
        <w:t xml:space="preserve">C 18.00 – Risque de marché:</w:t>
      </w:r>
      <w:r>
        <w:rPr>
          <w:sz w:val="24"/>
          <w:rFonts w:ascii="Times New Roman" w:hAnsi="Times New Roman"/>
        </w:rPr>
        <w:t xml:space="preserve"> </w:t>
      </w:r>
      <w:r>
        <w:rPr>
          <w:sz w:val="24"/>
          <w:rFonts w:ascii="Times New Roman" w:hAnsi="Times New Roman"/>
        </w:rPr>
        <w:t xml:space="preserve">approche standard des risques de position relatifs aux titres de créance négociés</w:t>
      </w:r>
      <w:bookmarkEnd w:id="29"/>
      <w:bookmarkEnd w:id="30"/>
      <w:bookmarkEnd w:id="31"/>
      <w:bookmarkEnd w:id="32"/>
      <w:bookmarkEnd w:id="33"/>
      <w:bookmarkEnd w:id="34"/>
      <w:r>
        <w:rPr>
          <w:sz w:val="24"/>
          <w:rFonts w:ascii="Times New Roman" w:hAnsi="Times New Roman"/>
        </w:rPr>
        <w:t xml:space="preserve"> (MKR SA TDI)</w:t>
      </w:r>
      <w:bookmarkEnd w:id="35"/>
      <w:bookmarkEnd w:id="36"/>
    </w:p>
    <w:p w14:paraId="7BC699A3" w14:textId="51025249" w:rsidR="000B0B09" w:rsidRPr="002D60D7" w:rsidRDefault="00C22B34" w:rsidP="004C445F">
      <w:pPr>
        <w:pStyle w:val="Instructionsberschrift2"/>
        <w:numPr>
          <w:ilvl w:val="0"/>
          <w:numId w:val="0"/>
        </w:numPr>
        <w:suppressAutoHyphens/>
        <w:ind w:left="357" w:hanging="357"/>
        <w:rPr>
          <w:sz w:val="24"/>
          <w:rFonts w:ascii="Times New Roman" w:hAnsi="Times New Roman" w:cs="Times New Roman"/>
        </w:rPr>
      </w:pPr>
      <w:bookmarkStart w:id="37" w:name="_Toc262566427"/>
      <w:bookmarkStart w:id="38" w:name="_Toc295829997"/>
      <w:bookmarkStart w:id="39" w:name="_Toc308426674"/>
      <w:bookmarkStart w:id="40" w:name="_Toc310415058"/>
      <w:bookmarkStart w:id="41" w:name="_Toc360188393"/>
      <w:bookmarkStart w:id="42" w:name="_Toc473561033"/>
      <w:bookmarkStart w:id="43" w:name="_Toc210732250"/>
      <w:r>
        <w:rPr>
          <w:sz w:val="24"/>
          <w:u w:val="none"/>
          <w:rFonts w:ascii="Times New Roman" w:hAnsi="Times New Roman"/>
        </w:rPr>
        <w:t xml:space="preserve">2.1.</w:t>
      </w:r>
      <w:r>
        <w:tab/>
      </w:r>
      <w:r>
        <w:rPr>
          <w:sz w:val="24"/>
          <w:rFonts w:ascii="Times New Roman" w:hAnsi="Times New Roman"/>
        </w:rPr>
        <w:t xml:space="preserve">Remarques générales</w:t>
      </w:r>
      <w:bookmarkEnd w:id="37"/>
      <w:bookmarkEnd w:id="38"/>
      <w:bookmarkEnd w:id="39"/>
      <w:bookmarkEnd w:id="40"/>
      <w:bookmarkEnd w:id="41"/>
      <w:bookmarkEnd w:id="42"/>
      <w:bookmarkEnd w:id="43"/>
    </w:p>
    <w:p w14:paraId="0D010E09" w14:textId="7FC9D177" w:rsidR="000B0B09" w:rsidRPr="002D60D7" w:rsidRDefault="000B0B09" w:rsidP="00E172EA">
      <w:pPr>
        <w:pStyle w:val="InstructionsText2"/>
        <w:numPr>
          <w:ilvl w:val="0"/>
          <w:numId w:val="29"/>
        </w:numPr>
        <w:suppressAutoHyphens/>
        <w:ind w:left="1349" w:hanging="357"/>
      </w:pPr>
      <w:r>
        <w:t xml:space="preserve">Ce modèle traite des positions et des exigences de fonds propres correspondantes pour risque de position sur des titres de créance négociés selon l’approche standard [article 325, paragraphe 2, point a), du règlement (UE) nº 575/2013].</w:t>
      </w:r>
      <w:r>
        <w:t xml:space="preserve"> </w:t>
      </w:r>
      <w:r>
        <w:t xml:space="preserve">Les différents risques et les différentes méthodes applicables en vertu du règlement (UE) nº 575/2013 sont considérés par ligne.</w:t>
      </w:r>
      <w:r>
        <w:t xml:space="preserve"> </w:t>
      </w:r>
      <w:r>
        <w:t xml:space="preserve">Le risque spécifique associé aux expositions figurant dans les modèles MKR SA SEC et MKR SA CTP n’est déclaré que dans le modèle MKR SA TDI Total.</w:t>
      </w:r>
      <w:r>
        <w:t xml:space="preserve"> </w:t>
      </w:r>
      <w:r>
        <w:t xml:space="preserve">Les exigences de fonds propres déclarées dans ces modèles seront respectivement transférées vers la cellule {0325;0060} (titrisations) et la cellule {0330;0060} (portefeuille de négociation en corrélation).</w:t>
      </w:r>
    </w:p>
    <w:p w14:paraId="7C8420A5" w14:textId="3BAA75DB" w:rsidR="000B0B09" w:rsidRPr="002D60D7" w:rsidRDefault="000B0B09" w:rsidP="00E172EA">
      <w:pPr>
        <w:pStyle w:val="InstructionsText2"/>
        <w:numPr>
          <w:ilvl w:val="0"/>
          <w:numId w:val="29"/>
        </w:numPr>
        <w:suppressAutoHyphens/>
      </w:pPr>
      <w:r>
        <w:t xml:space="preserve">Ce modèle est rempli séparément pour le “Total” et pour une liste prédéfinie des devises suivantes:</w:t>
      </w:r>
      <w:r>
        <w:t xml:space="preserve"> </w:t>
      </w:r>
      <w:bookmarkStart w:id="44" w:name="OLE_LINK1"/>
      <w:r>
        <w:t xml:space="preserve">EUR, ALL, BGN, CZK, DKK, EGP, GBP, HUF, ISK, JPY, MKD, NOK, PLN, RON, RUB, RSD, SEK, CHF, TRY, UAH, USD</w:t>
      </w:r>
      <w:bookmarkEnd w:id="44"/>
      <w:r>
        <w:t xml:space="preserve"> et un modèle supplémentaire pour toutes les autres devises.</w:t>
      </w:r>
      <w:r>
        <w:t xml:space="preserve"> </w:t>
      </w:r>
    </w:p>
    <w:p w14:paraId="73E54EAD" w14:textId="5995991C" w:rsidR="000B0B09" w:rsidRPr="002D60D7" w:rsidRDefault="00C22B34" w:rsidP="004C445F">
      <w:pPr>
        <w:pStyle w:val="Instructionsberschrift2"/>
        <w:numPr>
          <w:ilvl w:val="0"/>
          <w:numId w:val="0"/>
        </w:numPr>
        <w:suppressAutoHyphens/>
        <w:ind w:left="357" w:hanging="357"/>
        <w:rPr>
          <w:sz w:val="24"/>
          <w:rFonts w:ascii="Times New Roman" w:hAnsi="Times New Roman" w:cs="Times New Roman"/>
        </w:rPr>
      </w:pPr>
      <w:bookmarkStart w:id="45" w:name="_Toc262566428"/>
      <w:bookmarkStart w:id="46" w:name="_Toc295829998"/>
      <w:bookmarkStart w:id="47" w:name="_Toc308426675"/>
      <w:bookmarkStart w:id="48" w:name="_Toc310415059"/>
      <w:bookmarkStart w:id="49" w:name="_Toc360188394"/>
      <w:bookmarkStart w:id="50" w:name="_Toc473561034"/>
      <w:bookmarkStart w:id="51" w:name="_Toc210732251"/>
      <w:r>
        <w:rPr>
          <w:sz w:val="24"/>
          <w:u w:val="none"/>
          <w:rFonts w:ascii="Times New Roman" w:hAnsi="Times New Roman"/>
        </w:rPr>
        <w:t xml:space="preserve">2.2.</w:t>
      </w:r>
      <w:r>
        <w:tab/>
      </w:r>
      <w:r>
        <w:rPr>
          <w:sz w:val="24"/>
          <w:rFonts w:ascii="Times New Roman" w:hAnsi="Times New Roman"/>
        </w:rPr>
        <w:t xml:space="preserve">Instructions concernant certaines positions</w:t>
      </w:r>
      <w:bookmarkEnd w:id="45"/>
      <w:bookmarkEnd w:id="46"/>
      <w:bookmarkEnd w:id="47"/>
      <w:bookmarkEnd w:id="48"/>
      <w:bookmarkEnd w:id="49"/>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3B011B78" w14:textId="77777777" w:rsidTr="00672D2A">
        <w:trPr>
          <w:trHeight w:val="569"/>
        </w:trPr>
        <w:tc>
          <w:tcPr>
            <w:tcW w:w="8862" w:type="dxa"/>
            <w:gridSpan w:val="2"/>
            <w:shd w:val="clear" w:color="auto" w:fill="CCCCCC"/>
          </w:tcPr>
          <w:p w14:paraId="3F08430D" w14:textId="77777777" w:rsidR="000B0B09" w:rsidRPr="002D60D7" w:rsidRDefault="000B0B09" w:rsidP="004C445F">
            <w:pPr>
              <w:suppressAutoHyphens/>
              <w:autoSpaceDE w:val="0"/>
              <w:autoSpaceDN w:val="0"/>
              <w:adjustRightInd w:val="0"/>
              <w:spacing w:after="0"/>
              <w:rPr>
                <w:b/>
                <w:sz w:val="24"/>
                <w:rFonts w:ascii="Times New Roman" w:hAnsi="Times New Roman"/>
              </w:rPr>
            </w:pPr>
            <w:r>
              <w:rPr>
                <w:b/>
                <w:sz w:val="24"/>
                <w:rFonts w:ascii="Times New Roman" w:hAnsi="Times New Roman"/>
              </w:rPr>
              <w:t xml:space="preserve">Colonnes</w:t>
            </w:r>
          </w:p>
        </w:tc>
      </w:tr>
      <w:tr w:rsidR="000B0B09" w:rsidRPr="002D60D7" w14:paraId="2FB66B69" w14:textId="77777777" w:rsidTr="00672D2A">
        <w:tc>
          <w:tcPr>
            <w:tcW w:w="988" w:type="dxa"/>
          </w:tcPr>
          <w:p w14:paraId="3487AAF4" w14:textId="77777777" w:rsidR="000B0B09" w:rsidRPr="002D60D7"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0010-0020</w:t>
            </w:r>
          </w:p>
        </w:tc>
        <w:tc>
          <w:tcPr>
            <w:tcW w:w="7874" w:type="dxa"/>
          </w:tcPr>
          <w:p w14:paraId="53B61CBE"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TOUTES LES POSITIONS (LONGUES ET COURTES)</w:t>
            </w:r>
          </w:p>
          <w:p w14:paraId="0C799784" w14:textId="3AE5C422" w:rsidR="000B0B09" w:rsidRPr="002D60D7" w:rsidRDefault="000B0B09" w:rsidP="004C445F">
            <w:pPr>
              <w:suppressAutoHyphens/>
              <w:rPr>
                <w:sz w:val="24"/>
                <w:rFonts w:ascii="Times New Roman" w:hAnsi="Times New Roman"/>
              </w:rPr>
            </w:pPr>
            <w:r>
              <w:rPr>
                <w:sz w:val="24"/>
                <w:rFonts w:ascii="Times New Roman" w:hAnsi="Times New Roman"/>
              </w:rPr>
              <w:t xml:space="preserve">Article 102 et article 105, paragraphe 1, du règlement (UE) nº 575/2013.</w:t>
            </w:r>
            <w:r>
              <w:rPr>
                <w:sz w:val="24"/>
                <w:rFonts w:ascii="Times New Roman" w:hAnsi="Times New Roman"/>
              </w:rPr>
              <w:t xml:space="preserve"> </w:t>
            </w:r>
            <w:r>
              <w:rPr>
                <w:sz w:val="24"/>
                <w:rFonts w:ascii="Times New Roman" w:hAnsi="Times New Roman"/>
              </w:rPr>
              <w:t xml:space="preserve">Il s’agit de positions brutes qui ne sont pas compensées par des instruments, à l’exclusion des positions de prise ferme souscrites ou reprises par des tiers conformément à l’article 345, paragraphe 1, premier alinéa, deuxième phrase, du règlement (UE) nº 575/2013.</w:t>
            </w:r>
            <w:r>
              <w:rPr>
                <w:sz w:val="24"/>
                <w:rFonts w:ascii="Times New Roman" w:hAnsi="Times New Roman"/>
              </w:rPr>
              <w:t xml:space="preserve"> </w:t>
            </w:r>
            <w:r>
              <w:rPr>
                <w:sz w:val="24"/>
                <w:rFonts w:ascii="Times New Roman" w:hAnsi="Times New Roman"/>
              </w:rPr>
              <w:t xml:space="preserve">En ce qui concerne la distinction entre les positions longues et courtes, également applicable à ces positions brutes, voir l’article 328, paragraphe 2, dudit règlement.</w:t>
            </w:r>
          </w:p>
        </w:tc>
      </w:tr>
      <w:tr w:rsidR="000B0B09" w:rsidRPr="002D60D7" w14:paraId="05A2AFD3" w14:textId="77777777" w:rsidTr="00672D2A">
        <w:tc>
          <w:tcPr>
            <w:tcW w:w="988" w:type="dxa"/>
          </w:tcPr>
          <w:p w14:paraId="0443676D" w14:textId="77777777" w:rsidR="000B0B09" w:rsidRPr="002D60D7"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0030-0040</w:t>
            </w:r>
          </w:p>
        </w:tc>
        <w:tc>
          <w:tcPr>
            <w:tcW w:w="7874" w:type="dxa"/>
          </w:tcPr>
          <w:p w14:paraId="28E370A1"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POSITIONS NETTES (LONGUES ET COURTES)</w:t>
            </w:r>
          </w:p>
          <w:p w14:paraId="38649486" w14:textId="2801053C" w:rsidR="000B0B09" w:rsidRPr="002D60D7" w:rsidRDefault="000B0B09" w:rsidP="004C445F">
            <w:pPr>
              <w:suppressAutoHyphens/>
              <w:rPr>
                <w:sz w:val="24"/>
                <w:rFonts w:ascii="Times New Roman" w:hAnsi="Times New Roman"/>
              </w:rPr>
            </w:pPr>
            <w:r>
              <w:rPr>
                <w:sz w:val="24"/>
                <w:rFonts w:ascii="Times New Roman" w:hAnsi="Times New Roman"/>
              </w:rPr>
              <w:t xml:space="preserve">Articles 327 à 329 et article 334 du règlement (UE) nº 575/2013.</w:t>
            </w:r>
            <w:r>
              <w:rPr>
                <w:sz w:val="24"/>
                <w:rFonts w:ascii="Times New Roman" w:hAnsi="Times New Roman"/>
              </w:rPr>
              <w:t xml:space="preserve"> </w:t>
            </w:r>
            <w:r>
              <w:rPr>
                <w:sz w:val="24"/>
                <w:rFonts w:ascii="Times New Roman" w:hAnsi="Times New Roman"/>
              </w:rPr>
              <w:t xml:space="preserve">En ce qui concerne la distinction entre les positions longues et courtes, voir l’article 328, paragraphe 2, dudit règlement.</w:t>
            </w:r>
          </w:p>
        </w:tc>
      </w:tr>
      <w:tr w:rsidR="000B0B09" w:rsidRPr="002D60D7" w14:paraId="4C7D46FF" w14:textId="77777777" w:rsidTr="00672D2A">
        <w:tc>
          <w:tcPr>
            <w:tcW w:w="988" w:type="dxa"/>
          </w:tcPr>
          <w:p w14:paraId="4D3FEEA5" w14:textId="77777777" w:rsidR="000B0B09" w:rsidRPr="002D60D7"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0050</w:t>
            </w:r>
          </w:p>
        </w:tc>
        <w:tc>
          <w:tcPr>
            <w:tcW w:w="7874" w:type="dxa"/>
          </w:tcPr>
          <w:p w14:paraId="28B3043D"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POSITIONS SOUMISES AUX EXIGENCES DE FONDS PROPRES</w:t>
            </w:r>
          </w:p>
          <w:p w14:paraId="76B658E5" w14:textId="79039FA9" w:rsidR="000B0B09" w:rsidRPr="002D60D7" w:rsidRDefault="000B0B09" w:rsidP="004C445F">
            <w:pPr>
              <w:suppressAutoHyphens/>
              <w:rPr>
                <w:b/>
                <w:bCs/>
                <w:sz w:val="24"/>
                <w:u w:val="single"/>
                <w:rFonts w:ascii="Times New Roman" w:hAnsi="Times New Roman"/>
              </w:rPr>
            </w:pPr>
            <w:r>
              <w:rPr>
                <w:sz w:val="24"/>
                <w:rFonts w:ascii="Times New Roman" w:hAnsi="Times New Roman"/>
              </w:rPr>
              <w:t xml:space="preserve">Positions nettes qui, conformément aux différentes approches envisagées dans la troisième partie, titre IV, chapitre 2, du règlement (UE) nº 575/2013, sont soumises à une exigence de fonds propres.</w:t>
            </w:r>
          </w:p>
        </w:tc>
      </w:tr>
      <w:tr w:rsidR="000B0B09" w:rsidRPr="002D60D7" w14:paraId="017C014C" w14:textId="77777777" w:rsidTr="00672D2A">
        <w:tc>
          <w:tcPr>
            <w:tcW w:w="988" w:type="dxa"/>
          </w:tcPr>
          <w:p w14:paraId="7D197D93" w14:textId="77777777" w:rsidR="000B0B09" w:rsidRPr="002D60D7"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0060</w:t>
            </w:r>
          </w:p>
        </w:tc>
        <w:tc>
          <w:tcPr>
            <w:tcW w:w="7874" w:type="dxa"/>
          </w:tcPr>
          <w:p w14:paraId="55F3618B" w14:textId="77777777" w:rsidR="000B0B09" w:rsidRPr="002D60D7" w:rsidRDefault="000B0B09" w:rsidP="004C445F">
            <w:pPr>
              <w:tabs>
                <w:tab w:val="left" w:pos="1665"/>
              </w:tabs>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EXIGENCES DE FONDS PROPRES</w:t>
            </w:r>
          </w:p>
          <w:p w14:paraId="74F1F61F" w14:textId="12ADC1C1" w:rsidR="000B0B09" w:rsidRPr="002D60D7" w:rsidRDefault="000B0B09" w:rsidP="004C445F">
            <w:pPr>
              <w:suppressAutoHyphens/>
              <w:rPr>
                <w:b/>
                <w:bCs/>
                <w:sz w:val="24"/>
                <w:u w:val="single"/>
                <w:rFonts w:ascii="Times New Roman" w:hAnsi="Times New Roman"/>
              </w:rPr>
            </w:pPr>
            <w:r>
              <w:rPr>
                <w:sz w:val="24"/>
                <w:rFonts w:ascii="Times New Roman" w:hAnsi="Times New Roman"/>
              </w:rPr>
              <w:t xml:space="preserve">Exigences de fonds propres pour toute position pertinente, conformément à la troisième partie, titre IV, chapitre 2, du règlement (UE) nº 575/2013.</w:t>
            </w:r>
          </w:p>
        </w:tc>
      </w:tr>
      <w:tr w:rsidR="000B0B09" w:rsidRPr="002D60D7" w14:paraId="56717AD1" w14:textId="77777777" w:rsidTr="00672D2A">
        <w:tc>
          <w:tcPr>
            <w:tcW w:w="988" w:type="dxa"/>
          </w:tcPr>
          <w:p w14:paraId="0D4A61CE" w14:textId="77777777" w:rsidR="000B0B09" w:rsidRPr="002D60D7"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0070</w:t>
            </w:r>
          </w:p>
        </w:tc>
        <w:tc>
          <w:tcPr>
            <w:tcW w:w="7874" w:type="dxa"/>
          </w:tcPr>
          <w:p w14:paraId="7996E138" w14:textId="77777777" w:rsidR="000B0B09" w:rsidRPr="002D60D7" w:rsidRDefault="000B0B09" w:rsidP="004C445F">
            <w:pPr>
              <w:tabs>
                <w:tab w:val="left" w:pos="1665"/>
              </w:tabs>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MONTANT TOTAL D’EXPOSITION AU RISQUE</w:t>
            </w:r>
          </w:p>
          <w:p w14:paraId="2C4B0E54" w14:textId="5566DB68" w:rsidR="000B0B09" w:rsidRPr="002D60D7" w:rsidRDefault="000B0B09" w:rsidP="004C445F">
            <w:pPr>
              <w:suppressAutoHyphens/>
              <w:rPr>
                <w:b/>
                <w:bCs/>
                <w:sz w:val="24"/>
                <w:u w:val="single"/>
                <w:rFonts w:ascii="Times New Roman" w:hAnsi="Times New Roman"/>
              </w:rPr>
            </w:pPr>
            <w:r>
              <w:rPr>
                <w:sz w:val="24"/>
                <w:rFonts w:ascii="Times New Roman" w:hAnsi="Times New Roman"/>
              </w:rPr>
              <w:t xml:space="preserve">Article 92, paragraphe 6, point b), du règlement (UE) nº 575/2013.</w:t>
            </w:r>
            <w:r>
              <w:rPr>
                <w:sz w:val="24"/>
                <w:rFonts w:ascii="Times New Roman" w:hAnsi="Times New Roman"/>
              </w:rPr>
              <w:t xml:space="preserve"> </w:t>
            </w:r>
            <w:r>
              <w:rPr>
                <w:sz w:val="24"/>
                <w:rFonts w:ascii="Times New Roman" w:hAnsi="Times New Roman"/>
              </w:rPr>
              <w:t xml:space="preserve">Résultat de la multiplication par 12,5 des exigences de fonds propres.</w:t>
            </w:r>
            <w:r>
              <w:rPr>
                <w:sz w:val="24"/>
                <w:rFonts w:ascii="Times New Roman" w:hAnsi="Times New Roman"/>
              </w:rPr>
              <w:t xml:space="preserve"> </w:t>
            </w:r>
          </w:p>
        </w:tc>
      </w:tr>
    </w:tbl>
    <w:p w14:paraId="5A8176A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33B18629"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64300D2A" w14:textId="77777777" w:rsidTr="00672D2A">
        <w:trPr>
          <w:trHeight w:val="533"/>
        </w:trPr>
        <w:tc>
          <w:tcPr>
            <w:tcW w:w="8862" w:type="dxa"/>
            <w:gridSpan w:val="2"/>
            <w:shd w:val="clear" w:color="auto" w:fill="CCCCCC"/>
          </w:tcPr>
          <w:p w14:paraId="3C74B427" w14:textId="77777777" w:rsidR="000B0B09" w:rsidRPr="002D60D7" w:rsidRDefault="000B0B09" w:rsidP="004C445F">
            <w:pPr>
              <w:suppressAutoHyphens/>
              <w:autoSpaceDE w:val="0"/>
              <w:autoSpaceDN w:val="0"/>
              <w:adjustRightInd w:val="0"/>
              <w:spacing w:after="0"/>
              <w:rPr>
                <w:b/>
                <w:sz w:val="24"/>
                <w:rFonts w:ascii="Times New Roman" w:hAnsi="Times New Roman"/>
              </w:rPr>
            </w:pPr>
            <w:r>
              <w:rPr>
                <w:b/>
                <w:sz w:val="24"/>
                <w:rFonts w:ascii="Times New Roman" w:hAnsi="Times New Roman"/>
              </w:rPr>
              <w:t xml:space="preserve">Lignes</w:t>
            </w:r>
          </w:p>
        </w:tc>
      </w:tr>
      <w:tr w:rsidR="000B0B09" w:rsidRPr="002D60D7" w14:paraId="278DCECA" w14:textId="77777777" w:rsidTr="00672D2A">
        <w:trPr>
          <w:trHeight w:val="1168"/>
        </w:trPr>
        <w:tc>
          <w:tcPr>
            <w:tcW w:w="987" w:type="dxa"/>
          </w:tcPr>
          <w:p w14:paraId="2275EBA9" w14:textId="77777777" w:rsidR="000B0B09" w:rsidRPr="002D60D7"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0010-0350</w:t>
            </w:r>
          </w:p>
        </w:tc>
        <w:tc>
          <w:tcPr>
            <w:tcW w:w="7875" w:type="dxa"/>
          </w:tcPr>
          <w:p w14:paraId="20DE7F59"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TITRES DE CRÉANCE NÉGOCIÉS DANS LE PORTEFEUILLE DE NÉGOCIATION</w:t>
            </w:r>
          </w:p>
          <w:p w14:paraId="12C841B7" w14:textId="65FC0FB4" w:rsidR="000B0B09" w:rsidRPr="002D60D7" w:rsidRDefault="000B0B09" w:rsidP="004C445F">
            <w:pPr>
              <w:suppressAutoHyphens/>
              <w:rPr>
                <w:sz w:val="24"/>
                <w:rFonts w:ascii="Times New Roman" w:hAnsi="Times New Roman"/>
              </w:rPr>
            </w:pPr>
            <w:r>
              <w:rPr>
                <w:sz w:val="24"/>
                <w:rFonts w:ascii="Times New Roman" w:hAnsi="Times New Roman"/>
              </w:rPr>
              <w:t xml:space="preserve">Les positions sur titres de créance négociés, dans le portefeuille de négociation, et les exigences de fonds propres correspondantes pour risque de position, conformément à l’article 92, paragraphe 4, point b) i) du règlement (UE) nº 575/2013 et à la troisième partie, titre IV, chapitre 2 dudit règlement, sont déclarées en fonction de leur catégorie de risque, de leur échéance et de l’approche utilisée.</w:t>
            </w:r>
          </w:p>
        </w:tc>
      </w:tr>
      <w:tr w:rsidR="000B0B09" w:rsidRPr="002D60D7" w14:paraId="2272E4A5" w14:textId="77777777" w:rsidTr="00672D2A">
        <w:tc>
          <w:tcPr>
            <w:tcW w:w="987" w:type="dxa"/>
          </w:tcPr>
          <w:p w14:paraId="0642F5E6" w14:textId="77777777" w:rsidR="000B0B09" w:rsidRPr="002D60D7"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0011</w:t>
            </w:r>
          </w:p>
        </w:tc>
        <w:tc>
          <w:tcPr>
            <w:tcW w:w="7875" w:type="dxa"/>
          </w:tcPr>
          <w:p w14:paraId="51E03C37" w14:textId="77777777" w:rsidR="000B0B09" w:rsidRPr="002D60D7" w:rsidRDefault="000B0B09" w:rsidP="004C445F">
            <w:pPr>
              <w:suppressAutoHyphens/>
              <w:autoSpaceDE w:val="0"/>
              <w:autoSpaceDN w:val="0"/>
              <w:adjustRightInd w:val="0"/>
              <w:spacing w:before="0" w:after="0"/>
              <w:rPr>
                <w:sz w:val="24"/>
                <w:rFonts w:ascii="Times New Roman" w:hAnsi="Times New Roman"/>
              </w:rPr>
            </w:pPr>
            <w:r>
              <w:rPr>
                <w:b/>
                <w:sz w:val="24"/>
                <w:u w:val="single"/>
                <w:rFonts w:ascii="Times New Roman" w:hAnsi="Times New Roman"/>
              </w:rPr>
              <w:t xml:space="preserve">RISQUE GÉNÉRAL.</w:t>
            </w:r>
            <w:r>
              <w:rPr>
                <w:b/>
                <w:sz w:val="24"/>
                <w:u w:val="single"/>
                <w:rFonts w:ascii="Times New Roman" w:hAnsi="Times New Roman"/>
              </w:rPr>
              <w:t xml:space="preserve"> </w:t>
            </w:r>
          </w:p>
        </w:tc>
      </w:tr>
      <w:tr w:rsidR="000B0B09" w:rsidRPr="002D60D7" w14:paraId="55F30C33" w14:textId="77777777" w:rsidTr="00672D2A">
        <w:tc>
          <w:tcPr>
            <w:tcW w:w="987" w:type="dxa"/>
          </w:tcPr>
          <w:p w14:paraId="2CBA5F8A" w14:textId="77777777" w:rsidR="000B0B09" w:rsidRPr="002D60D7"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0012</w:t>
            </w:r>
          </w:p>
        </w:tc>
        <w:tc>
          <w:tcPr>
            <w:tcW w:w="7875" w:type="dxa"/>
          </w:tcPr>
          <w:p w14:paraId="04F0038F" w14:textId="77777777" w:rsidR="000B0B09" w:rsidRPr="002D60D7" w:rsidRDefault="000B0B09" w:rsidP="004C445F">
            <w:pPr>
              <w:suppressAutoHyphens/>
              <w:autoSpaceDE w:val="0"/>
              <w:autoSpaceDN w:val="0"/>
              <w:adjustRightInd w:val="0"/>
              <w:spacing w:before="0" w:after="0"/>
              <w:rPr>
                <w:sz w:val="24"/>
                <w:rFonts w:ascii="Times New Roman" w:hAnsi="Times New Roman"/>
              </w:rPr>
            </w:pPr>
            <w:r>
              <w:rPr>
                <w:b/>
                <w:sz w:val="24"/>
                <w:u w:val="single"/>
                <w:rFonts w:ascii="Times New Roman" w:hAnsi="Times New Roman"/>
              </w:rPr>
              <w:t xml:space="preserve">Dérivés</w:t>
            </w:r>
          </w:p>
          <w:p w14:paraId="06C530F0" w14:textId="7A78F919" w:rsidR="000B0B09" w:rsidRPr="002D60D7" w:rsidRDefault="000B0B09" w:rsidP="004C445F">
            <w:pPr>
              <w:suppressAutoHyphens/>
              <w:rPr>
                <w:b/>
                <w:bCs/>
                <w:sz w:val="24"/>
                <w:u w:val="single"/>
                <w:rFonts w:ascii="Times New Roman" w:hAnsi="Times New Roman"/>
              </w:rPr>
            </w:pPr>
            <w:r>
              <w:rPr>
                <w:sz w:val="24"/>
                <w:rFonts w:ascii="Times New Roman" w:hAnsi="Times New Roman"/>
              </w:rPr>
              <w:t xml:space="preserve">Dérivés inclus dans le calcul du risque de taux d’intérêt des positions du portefeuille de négociation, compte tenu des articles 328 à 331 du règlement (UE) nº 575/2013, le cas échéant.</w:t>
            </w:r>
          </w:p>
        </w:tc>
      </w:tr>
      <w:tr w:rsidR="000B0B09" w:rsidRPr="002D60D7" w14:paraId="36851B46" w14:textId="77777777" w:rsidTr="00672D2A">
        <w:tc>
          <w:tcPr>
            <w:tcW w:w="987" w:type="dxa"/>
          </w:tcPr>
          <w:p w14:paraId="6827F663" w14:textId="77777777" w:rsidR="000B0B09" w:rsidRPr="002D60D7"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0013</w:t>
            </w:r>
          </w:p>
        </w:tc>
        <w:tc>
          <w:tcPr>
            <w:tcW w:w="7875" w:type="dxa"/>
          </w:tcPr>
          <w:p w14:paraId="60242973"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Autres éléments d’actif et de passif</w:t>
            </w:r>
          </w:p>
          <w:p w14:paraId="665719C9" w14:textId="77777777" w:rsidR="000B0B09" w:rsidRPr="002D60D7" w:rsidRDefault="000B0B09" w:rsidP="004C445F">
            <w:pPr>
              <w:suppressAutoHyphens/>
              <w:rPr>
                <w:b/>
                <w:bCs/>
                <w:sz w:val="24"/>
                <w:u w:val="single"/>
                <w:rFonts w:ascii="Times New Roman" w:hAnsi="Times New Roman"/>
              </w:rPr>
            </w:pPr>
            <w:r>
              <w:rPr>
                <w:sz w:val="24"/>
                <w:rFonts w:ascii="Times New Roman" w:hAnsi="Times New Roman"/>
              </w:rPr>
              <w:t xml:space="preserve">Instruments autres que les dérivés inclus dans le calcul du risque de taux d’intérêt des positions du portefeuille de négociation.</w:t>
            </w:r>
            <w:r>
              <w:rPr>
                <w:sz w:val="24"/>
                <w:rFonts w:ascii="Times New Roman" w:hAnsi="Times New Roman"/>
              </w:rPr>
              <w:t xml:space="preserve"> </w:t>
            </w:r>
          </w:p>
        </w:tc>
      </w:tr>
      <w:tr w:rsidR="000B0B09" w:rsidRPr="002D60D7" w14:paraId="177EBA5C" w14:textId="77777777" w:rsidTr="00672D2A">
        <w:tc>
          <w:tcPr>
            <w:tcW w:w="987" w:type="dxa"/>
          </w:tcPr>
          <w:p w14:paraId="2B740B72" w14:textId="77777777" w:rsidR="000B0B09" w:rsidRPr="002D60D7"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0020-0200</w:t>
            </w:r>
          </w:p>
        </w:tc>
        <w:tc>
          <w:tcPr>
            <w:tcW w:w="7875" w:type="dxa"/>
          </w:tcPr>
          <w:p w14:paraId="1DE7E50A"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APPROCHE BASÉE SUR L’ÉCHÉANCE</w:t>
            </w:r>
          </w:p>
          <w:p w14:paraId="644A7531" w14:textId="671AD153" w:rsidR="000B0B09" w:rsidRPr="002D60D7" w:rsidRDefault="000B0B09" w:rsidP="004C445F">
            <w:pPr>
              <w:suppressAutoHyphens/>
              <w:rPr>
                <w:b/>
                <w:bCs/>
                <w:sz w:val="24"/>
                <w:u w:val="single"/>
                <w:rFonts w:ascii="Times New Roman" w:hAnsi="Times New Roman"/>
              </w:rPr>
            </w:pPr>
            <w:r>
              <w:rPr>
                <w:sz w:val="24"/>
                <w:rFonts w:ascii="Times New Roman" w:hAnsi="Times New Roman"/>
              </w:rPr>
              <w:t xml:space="preserve">Positions sur titres de créance négociés soumises à l’approche fondée sur l’échéance visée à l’article 339, paragraphes 1 à 8, du règlement (UE) nº 575/2013 et les exigences de fonds propres correspondantes calculées conformément à l’article 339, paragraphe 9, dudit règlement.</w:t>
            </w:r>
            <w:r>
              <w:rPr>
                <w:sz w:val="24"/>
                <w:rFonts w:ascii="Times New Roman" w:hAnsi="Times New Roman"/>
              </w:rPr>
              <w:t xml:space="preserve"> </w:t>
            </w:r>
            <w:r>
              <w:rPr>
                <w:sz w:val="24"/>
                <w:rFonts w:ascii="Times New Roman" w:hAnsi="Times New Roman"/>
              </w:rPr>
              <w:t xml:space="preserve">La position sera divisée en zones 1, 2 et 3, et ces zones seront divisées selon l’échéance des instruments.</w:t>
            </w:r>
          </w:p>
        </w:tc>
      </w:tr>
      <w:tr w:rsidR="000B0B09" w:rsidRPr="002D60D7" w14:paraId="79DAC997" w14:textId="77777777" w:rsidTr="00672D2A">
        <w:tc>
          <w:tcPr>
            <w:tcW w:w="987" w:type="dxa"/>
          </w:tcPr>
          <w:p w14:paraId="73C021ED" w14:textId="77777777" w:rsidR="000B0B09" w:rsidRPr="002D60D7"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0210-0240</w:t>
            </w:r>
          </w:p>
        </w:tc>
        <w:tc>
          <w:tcPr>
            <w:tcW w:w="7875" w:type="dxa"/>
          </w:tcPr>
          <w:p w14:paraId="2CE27E61" w14:textId="77777777" w:rsidR="000B0B09" w:rsidRPr="002D60D7" w:rsidRDefault="000B0B09" w:rsidP="004C445F">
            <w:pPr>
              <w:suppressAutoHyphens/>
              <w:autoSpaceDE w:val="0"/>
              <w:autoSpaceDN w:val="0"/>
              <w:adjustRightInd w:val="0"/>
              <w:spacing w:before="0" w:after="0"/>
              <w:rPr>
                <w:sz w:val="24"/>
                <w:rFonts w:ascii="Times New Roman" w:hAnsi="Times New Roman"/>
              </w:rPr>
            </w:pPr>
            <w:r>
              <w:rPr>
                <w:b/>
                <w:sz w:val="24"/>
                <w:u w:val="single"/>
                <w:rFonts w:ascii="Times New Roman" w:hAnsi="Times New Roman"/>
              </w:rPr>
              <w:t xml:space="preserve">RISQUE GÉNÉRAL.</w:t>
            </w:r>
            <w:r>
              <w:rPr>
                <w:b/>
                <w:sz w:val="24"/>
                <w:u w:val="single"/>
                <w:rFonts w:ascii="Times New Roman" w:hAnsi="Times New Roman"/>
              </w:rPr>
              <w:t xml:space="preserve"> </w:t>
            </w:r>
            <w:r>
              <w:rPr>
                <w:b/>
                <w:sz w:val="24"/>
                <w:u w:val="single"/>
                <w:rFonts w:ascii="Times New Roman" w:hAnsi="Times New Roman"/>
              </w:rPr>
              <w:t xml:space="preserve">APPROCHE BASÉE SUR LA DURATION</w:t>
            </w:r>
          </w:p>
          <w:p w14:paraId="08171DB1" w14:textId="5B3E8AB1" w:rsidR="000B0B09" w:rsidRPr="002D60D7" w:rsidRDefault="000B0B09" w:rsidP="004C445F">
            <w:pPr>
              <w:suppressAutoHyphens/>
              <w:rPr>
                <w:b/>
                <w:bCs/>
                <w:sz w:val="24"/>
                <w:u w:val="single"/>
                <w:rFonts w:ascii="Times New Roman" w:hAnsi="Times New Roman"/>
              </w:rPr>
            </w:pPr>
            <w:r>
              <w:rPr>
                <w:sz w:val="24"/>
                <w:rFonts w:ascii="Times New Roman" w:hAnsi="Times New Roman"/>
              </w:rPr>
              <w:t xml:space="preserve">Positions sur titres de créance négociés soumises à l’approche basée sur la duration visée à l’article 340, paragraphes 1 à 6, du règlement (UE) nº 575/2013 et les exigences de fonds propres correspondantes calculées conformément à l’article 340, paragraphe 7, dudit règlement.</w:t>
            </w:r>
            <w:r>
              <w:rPr>
                <w:sz w:val="24"/>
                <w:rFonts w:ascii="Times New Roman" w:hAnsi="Times New Roman"/>
              </w:rPr>
              <w:t xml:space="preserve"> </w:t>
            </w:r>
            <w:r>
              <w:rPr>
                <w:sz w:val="24"/>
                <w:rFonts w:ascii="Times New Roman" w:hAnsi="Times New Roman"/>
              </w:rPr>
              <w:t xml:space="preserve">La position sera divisée en zones 1, 2 et 3.</w:t>
            </w:r>
          </w:p>
        </w:tc>
      </w:tr>
      <w:tr w:rsidR="000B0B09" w:rsidRPr="002D60D7" w14:paraId="7DD483EC" w14:textId="77777777" w:rsidTr="00672D2A">
        <w:tc>
          <w:tcPr>
            <w:tcW w:w="987" w:type="dxa"/>
          </w:tcPr>
          <w:p w14:paraId="5974B232" w14:textId="77777777" w:rsidR="000B0B09" w:rsidRPr="002D60D7"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0250</w:t>
            </w:r>
          </w:p>
        </w:tc>
        <w:tc>
          <w:tcPr>
            <w:tcW w:w="7875" w:type="dxa"/>
          </w:tcPr>
          <w:p w14:paraId="6CE50A3E"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RISQUE SPÉCIFIQUE</w:t>
            </w:r>
          </w:p>
          <w:p w14:paraId="29C6E3D0" w14:textId="77777777" w:rsidR="000B0B09" w:rsidRPr="002D60D7" w:rsidRDefault="000B0B09" w:rsidP="004C445F">
            <w:pPr>
              <w:suppressAutoHyphens/>
              <w:rPr>
                <w:sz w:val="24"/>
                <w:rFonts w:ascii="Times New Roman" w:hAnsi="Times New Roman"/>
              </w:rPr>
            </w:pPr>
            <w:r>
              <w:rPr>
                <w:sz w:val="24"/>
                <w:rFonts w:ascii="Times New Roman" w:hAnsi="Times New Roman"/>
              </w:rPr>
              <w:t xml:space="preserve">Somme des montants déclarés aux lignes 0251, 0325 et 0330.</w:t>
            </w:r>
            <w:r>
              <w:rPr>
                <w:sz w:val="24"/>
                <w:rFonts w:ascii="Times New Roman" w:hAnsi="Times New Roman"/>
              </w:rPr>
              <w:t xml:space="preserve"> </w:t>
            </w:r>
          </w:p>
          <w:p w14:paraId="4E1E5CA2" w14:textId="0C1E6FCB" w:rsidR="000B0B09" w:rsidRPr="002D60D7" w:rsidRDefault="000B0B09" w:rsidP="004C445F">
            <w:pPr>
              <w:suppressAutoHyphens/>
              <w:rPr>
                <w:b/>
                <w:bCs/>
                <w:sz w:val="24"/>
                <w:u w:val="single"/>
                <w:rFonts w:ascii="Times New Roman" w:hAnsi="Times New Roman"/>
              </w:rPr>
            </w:pPr>
            <w:r>
              <w:rPr>
                <w:sz w:val="24"/>
                <w:rFonts w:ascii="Times New Roman" w:hAnsi="Times New Roman"/>
              </w:rPr>
              <w:t xml:space="preserve">Positions sur des titres de créance négociés soumis aux exigences de fonds propres pour risque spécifique, et les exigences de fonds propres correspondantes, conformément à l’article 92, paragraphe 3, point b), à l’article 335, à l’article 336, paragraphes 1, 2 et 3, et aux articles 337 et 338 du règlement (UE) nº 575/2013.</w:t>
            </w:r>
            <w:r>
              <w:rPr>
                <w:sz w:val="24"/>
                <w:rFonts w:ascii="Times New Roman" w:hAnsi="Times New Roman"/>
              </w:rPr>
              <w:t xml:space="preserve"> </w:t>
            </w:r>
            <w:r>
              <w:rPr>
                <w:sz w:val="24"/>
                <w:rFonts w:ascii="Times New Roman" w:hAnsi="Times New Roman"/>
              </w:rPr>
              <w:t xml:space="preserve">Il faut également tenir compte de la dernière phrase de l’article 327, paragraphe 1, dudit règlement.</w:t>
            </w:r>
          </w:p>
        </w:tc>
      </w:tr>
      <w:tr w:rsidR="000B0B09" w:rsidRPr="002D60D7" w14:paraId="6F8691E7" w14:textId="77777777" w:rsidTr="00672D2A">
        <w:tc>
          <w:tcPr>
            <w:tcW w:w="987" w:type="dxa"/>
          </w:tcPr>
          <w:p w14:paraId="5CD5E31A" w14:textId="77777777" w:rsidR="000B0B09" w:rsidRPr="002D60D7"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0251-0321</w:t>
            </w:r>
          </w:p>
        </w:tc>
        <w:tc>
          <w:tcPr>
            <w:tcW w:w="7875" w:type="dxa"/>
          </w:tcPr>
          <w:p w14:paraId="14764BB8"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Exigences de fonds propres applicables aux titres de créances autres que des positions de titrisation</w:t>
            </w:r>
          </w:p>
          <w:p w14:paraId="19437B35" w14:textId="77777777" w:rsidR="000B0B09" w:rsidRPr="002D60D7" w:rsidRDefault="000B0B09" w:rsidP="004C445F">
            <w:pPr>
              <w:suppressAutoHyphens/>
              <w:rPr>
                <w:sz w:val="24"/>
                <w:rFonts w:ascii="Times New Roman" w:hAnsi="Times New Roman"/>
              </w:rPr>
            </w:pPr>
            <w:r>
              <w:rPr>
                <w:sz w:val="24"/>
                <w:rFonts w:ascii="Times New Roman" w:hAnsi="Times New Roman"/>
              </w:rPr>
              <w:t xml:space="preserve">Somme des montants déclarés aux lignes 260 à 321.</w:t>
            </w:r>
          </w:p>
          <w:p w14:paraId="4CDA5DEB" w14:textId="4AB00123" w:rsidR="000B0B09" w:rsidRPr="002D60D7" w:rsidRDefault="000B0B09" w:rsidP="004C445F">
            <w:pPr>
              <w:suppressAutoHyphens/>
              <w:rPr>
                <w:sz w:val="24"/>
                <w:rFonts w:ascii="Times New Roman" w:hAnsi="Times New Roman"/>
              </w:rPr>
            </w:pPr>
            <w:r>
              <w:rPr>
                <w:sz w:val="24"/>
                <w:rFonts w:ascii="Times New Roman" w:hAnsi="Times New Roman"/>
              </w:rPr>
              <w:t xml:space="preserve">L’exigence de fonds propres des dérivés de crédit au nième défaut qui ne bénéficient pas d’une notation externe doit être calculée en additionnant les pondérations de risque des entités de référence [article 332, paragraphe 1, point e) et article 332, paragraphe 1, deuxième alinéa, du règlement (UE) nº 575/2013 – “Transparence”].</w:t>
            </w:r>
            <w:r>
              <w:rPr>
                <w:sz w:val="24"/>
                <w:rFonts w:ascii="Times New Roman" w:hAnsi="Times New Roman"/>
              </w:rPr>
              <w:t xml:space="preserve"> </w:t>
            </w:r>
            <w:r>
              <w:rPr>
                <w:sz w:val="24"/>
                <w:rFonts w:ascii="Times New Roman" w:hAnsi="Times New Roman"/>
              </w:rPr>
              <w:t xml:space="preserve">Les dérivés de crédit au nième défaut qui bénéficient d’une notation externe [article 332, paragraphe 1, troisième alinéa, du règlement (UE) nº 575/2013] seront déclarés séparément à la ligne 321.</w:t>
            </w:r>
            <w:r>
              <w:rPr>
                <w:sz w:val="24"/>
                <w:rFonts w:ascii="Times New Roman" w:hAnsi="Times New Roman"/>
              </w:rPr>
              <w:t xml:space="preserve"> </w:t>
            </w:r>
          </w:p>
          <w:p w14:paraId="7051ED04" w14:textId="439958FE" w:rsidR="000B0B09" w:rsidRPr="002D60D7" w:rsidRDefault="000B0B09" w:rsidP="004C445F">
            <w:pPr>
              <w:suppressAutoHyphens/>
              <w:rPr>
                <w:sz w:val="24"/>
                <w:rFonts w:ascii="Times New Roman" w:hAnsi="Times New Roman"/>
              </w:rPr>
            </w:pPr>
            <w:r>
              <w:rPr>
                <w:sz w:val="24"/>
                <w:rFonts w:ascii="Times New Roman" w:hAnsi="Times New Roman"/>
              </w:rPr>
              <w:t xml:space="preserve">Déclaration de positions soumises à l’article 336, paragraphe 3, du règlement (UE) nº 575/2013:</w:t>
            </w:r>
            <w:r>
              <w:rPr>
                <w:sz w:val="24"/>
                <w:rFonts w:ascii="Times New Roman" w:hAnsi="Times New Roman"/>
              </w:rPr>
              <w:t xml:space="preserve"> </w:t>
            </w:r>
            <w:r>
              <w:rPr>
                <w:sz w:val="24"/>
                <w:rFonts w:ascii="Times New Roman" w:hAnsi="Times New Roman"/>
              </w:rPr>
              <w:t xml:space="preserve">Il existe un traitement spécial pour les obligations remplissant les conditions pour recevoir une pondération de risque de 10 </w:t>
            </w:r>
            <w:r>
              <w:rPr>
                <w:sz w:val="24"/>
                <w:rFonts w:ascii="Times New Roman" w:hAnsi="Times New Roman"/>
              </w:rPr>
              <w:t xml:space="preserve">% dans le portefeuille d’intermédiation bancaire, conformément à l’article 129, paragraphe 3, dudit règlement (obligations garanties).</w:t>
            </w:r>
            <w:r>
              <w:rPr>
                <w:sz w:val="24"/>
                <w:rFonts w:ascii="Times New Roman" w:hAnsi="Times New Roman"/>
              </w:rPr>
              <w:t xml:space="preserve"> </w:t>
            </w:r>
            <w:r>
              <w:rPr>
                <w:sz w:val="24"/>
                <w:rFonts w:ascii="Times New Roman" w:hAnsi="Times New Roman"/>
              </w:rPr>
              <w:t xml:space="preserve">Les exigences de fonds propres spécifiques correspondront à la moitié du pourcentage de la deuxième catégorie du tableau 1 de l’article 336 du règlement (UE) nº 575/2013.</w:t>
            </w:r>
            <w:r>
              <w:rPr>
                <w:sz w:val="24"/>
                <w:rFonts w:ascii="Times New Roman" w:hAnsi="Times New Roman"/>
              </w:rPr>
              <w:t xml:space="preserve"> </w:t>
            </w:r>
            <w:r>
              <w:rPr>
                <w:sz w:val="24"/>
                <w:rFonts w:ascii="Times New Roman" w:hAnsi="Times New Roman"/>
              </w:rPr>
              <w:t xml:space="preserve">Ces positions sont affectées aux lignes 0280 à 0300 en fonction de la durée résiduelle jusqu’à l’échéance finale.</w:t>
            </w:r>
          </w:p>
          <w:p w14:paraId="11FE9AD5" w14:textId="6CF7D4D9" w:rsidR="000B0B09" w:rsidRPr="002D60D7" w:rsidRDefault="00F41508" w:rsidP="004C445F">
            <w:pPr>
              <w:suppressAutoHyphens/>
              <w:rPr>
                <w:b/>
                <w:bCs/>
                <w:sz w:val="24"/>
                <w:u w:val="single"/>
                <w:rFonts w:ascii="Times New Roman" w:hAnsi="Times New Roman"/>
              </w:rPr>
            </w:pPr>
            <w:r>
              <w:rPr>
                <w:sz w:val="24"/>
                <w:rFonts w:ascii="Times New Roman" w:hAnsi="Times New Roman"/>
              </w:rPr>
              <w:t xml:space="preserve">Lorsque le risque général des positions liées aux taux d’intérêt est couvert par un dérivé de crédit, les articles 346 et 347 du règlement (UE) nº 575/2013 s’appliquent.</w:t>
            </w:r>
            <w:r>
              <w:rPr>
                <w:sz w:val="24"/>
                <w:rFonts w:ascii="Times New Roman" w:hAnsi="Times New Roman"/>
              </w:rPr>
              <w:t xml:space="preserve"> </w:t>
            </w:r>
          </w:p>
        </w:tc>
      </w:tr>
      <w:tr w:rsidR="000B0B09" w:rsidRPr="002D60D7" w14:paraId="3F2475A8" w14:textId="77777777" w:rsidTr="00672D2A">
        <w:tc>
          <w:tcPr>
            <w:tcW w:w="987" w:type="dxa"/>
          </w:tcPr>
          <w:p w14:paraId="1898316C" w14:textId="77777777" w:rsidR="000B0B09" w:rsidRPr="002D60D7" w:rsidDel="00F27BD6"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0325</w:t>
            </w:r>
          </w:p>
        </w:tc>
        <w:tc>
          <w:tcPr>
            <w:tcW w:w="7875" w:type="dxa"/>
          </w:tcPr>
          <w:p w14:paraId="21ACC24B"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Exigences de fonds propres applicables aux positions de titrisation</w:t>
            </w:r>
          </w:p>
          <w:p w14:paraId="7BA68AB7" w14:textId="77777777" w:rsidR="00722A10" w:rsidRPr="002D60D7" w:rsidDel="00F27BD6" w:rsidRDefault="000B0B09" w:rsidP="004C445F">
            <w:pPr>
              <w:suppressAutoHyphens/>
              <w:rPr>
                <w:b/>
                <w:bCs/>
                <w:sz w:val="24"/>
                <w:u w:val="single"/>
                <w:rFonts w:ascii="Times New Roman" w:hAnsi="Times New Roman"/>
              </w:rPr>
            </w:pPr>
            <w:r>
              <w:rPr>
                <w:sz w:val="24"/>
                <w:rFonts w:ascii="Times New Roman" w:hAnsi="Times New Roman"/>
              </w:rPr>
              <w:t xml:space="preserve">Totale des exigences de fonds propres déclaré dans la colonne 0601 du modèle MKR SA SEC. Ces exigences de fonds propres totales ne figureront que dans le niveau “Total” du modèle MKR SA TDI.</w:t>
            </w:r>
          </w:p>
        </w:tc>
      </w:tr>
      <w:tr w:rsidR="000B0B09" w:rsidRPr="002D60D7" w14:paraId="55688787" w14:textId="77777777" w:rsidTr="00672D2A">
        <w:tc>
          <w:tcPr>
            <w:tcW w:w="987" w:type="dxa"/>
          </w:tcPr>
          <w:p w14:paraId="74C28C83" w14:textId="77777777" w:rsidR="000B0B09" w:rsidRPr="002D60D7" w:rsidDel="00F27BD6"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0330</w:t>
            </w:r>
          </w:p>
        </w:tc>
        <w:tc>
          <w:tcPr>
            <w:tcW w:w="7875" w:type="dxa"/>
          </w:tcPr>
          <w:p w14:paraId="66957FAA"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Exigences de fonds propres applicables au portefeuille de négociation en corrélation</w:t>
            </w:r>
          </w:p>
          <w:p w14:paraId="104F8330" w14:textId="77777777" w:rsidR="00722A10" w:rsidRPr="002D60D7" w:rsidDel="00F27BD6" w:rsidRDefault="000B0B09" w:rsidP="004C445F">
            <w:pPr>
              <w:suppressAutoHyphens/>
              <w:rPr>
                <w:b/>
                <w:bCs/>
                <w:sz w:val="24"/>
                <w:u w:val="single"/>
                <w:rFonts w:ascii="Times New Roman" w:hAnsi="Times New Roman"/>
              </w:rPr>
            </w:pPr>
            <w:r>
              <w:rPr>
                <w:sz w:val="24"/>
                <w:rFonts w:ascii="Times New Roman" w:hAnsi="Times New Roman"/>
              </w:rPr>
              <w:t xml:space="preserve">Total des exigences de fonds propres déclaré dans la colonne 0450 du modèle MKR SA CTP.</w:t>
            </w:r>
            <w:r>
              <w:rPr>
                <w:sz w:val="24"/>
                <w:rFonts w:ascii="Times New Roman" w:hAnsi="Times New Roman"/>
              </w:rPr>
              <w:t xml:space="preserve"> </w:t>
            </w:r>
            <w:r>
              <w:rPr>
                <w:sz w:val="24"/>
                <w:rFonts w:ascii="Times New Roman" w:hAnsi="Times New Roman"/>
              </w:rPr>
              <w:t xml:space="preserve">Ces exigences de fonds propres totales ne figureront que dans le niveau “Total” du modèle MKR SA TDI.</w:t>
            </w:r>
          </w:p>
        </w:tc>
      </w:tr>
      <w:tr w:rsidR="000B0B09" w:rsidRPr="002D60D7" w14:paraId="230D0723" w14:textId="77777777" w:rsidTr="00672D2A">
        <w:tc>
          <w:tcPr>
            <w:tcW w:w="987" w:type="dxa"/>
          </w:tcPr>
          <w:p w14:paraId="26241DA3" w14:textId="77777777" w:rsidR="000B0B09" w:rsidRPr="002D60D7"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0350-0390</w:t>
            </w:r>
          </w:p>
        </w:tc>
        <w:tc>
          <w:tcPr>
            <w:tcW w:w="7875" w:type="dxa"/>
          </w:tcPr>
          <w:p w14:paraId="5291B6A7" w14:textId="77777777" w:rsidR="000B0B09" w:rsidRPr="002D60D7" w:rsidRDefault="000B0B09" w:rsidP="004C445F">
            <w:pPr>
              <w:suppressAutoHyphens/>
              <w:autoSpaceDE w:val="0"/>
              <w:autoSpaceDN w:val="0"/>
              <w:adjustRightInd w:val="0"/>
              <w:spacing w:before="0" w:after="0"/>
              <w:rPr>
                <w:rStyle w:val="InstructionsTabelleberschrift"/>
                <w:sz w:val="24"/>
                <w:rFonts w:ascii="Times New Roman" w:hAnsi="Times New Roman"/>
              </w:rPr>
            </w:pPr>
            <w:r>
              <w:rPr>
                <w:rStyle w:val="InstructionsTabelleberschrift"/>
                <w:sz w:val="24"/>
                <w:rFonts w:ascii="Times New Roman" w:hAnsi="Times New Roman"/>
              </w:rPr>
              <w:t xml:space="preserve">EXIGENCES SUPPLÉMENTAIRES POUR RISQUES SUR OPTIONS (RISQUES NON DELTA)</w:t>
            </w:r>
            <w:r>
              <w:rPr>
                <w:rStyle w:val="InstructionsTabelleberschrift"/>
                <w:sz w:val="24"/>
                <w:rFonts w:ascii="Times New Roman" w:hAnsi="Times New Roman"/>
              </w:rPr>
              <w:t xml:space="preserve"> </w:t>
            </w:r>
          </w:p>
          <w:p w14:paraId="3B19069A" w14:textId="2AE3D272" w:rsidR="000B0B09" w:rsidRPr="002D60D7" w:rsidRDefault="000B0B09" w:rsidP="004C445F">
            <w:pPr>
              <w:suppressAutoHyphens/>
              <w:rPr>
                <w:sz w:val="24"/>
                <w:rFonts w:ascii="Times New Roman" w:hAnsi="Times New Roman"/>
              </w:rPr>
            </w:pPr>
            <w:r>
              <w:rPr>
                <w:sz w:val="24"/>
                <w:rFonts w:ascii="Times New Roman" w:hAnsi="Times New Roman"/>
              </w:rPr>
              <w:t xml:space="preserve">Article 329, paragraphe 3, du règlement (UE) nº 575/2013.</w:t>
            </w:r>
          </w:p>
          <w:p w14:paraId="4A1F04EE" w14:textId="77777777" w:rsidR="000B0B09" w:rsidRPr="002D60D7" w:rsidRDefault="000B0B09" w:rsidP="004C445F">
            <w:pPr>
              <w:suppressAutoHyphens/>
              <w:rPr>
                <w:bCs/>
                <w:sz w:val="24"/>
                <w:rFonts w:ascii="Times New Roman" w:hAnsi="Times New Roman"/>
              </w:rPr>
            </w:pPr>
            <w:r>
              <w:rPr>
                <w:sz w:val="24"/>
                <w:rFonts w:ascii="Times New Roman" w:hAnsi="Times New Roman"/>
              </w:rPr>
              <w:t xml:space="preserve">Les exigences supplémentaires pour les options liées aux risques autres que le risque delta seront déclarées en les ventilant en fonction de la méthode appliquée pour leur calcul.</w:t>
            </w:r>
          </w:p>
        </w:tc>
      </w:tr>
    </w:tbl>
    <w:p w14:paraId="45D79A0A"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7B3D40AE" w14:textId="1AB0D7C7" w:rsidR="000B0B09" w:rsidRPr="002D60D7" w:rsidRDefault="00C22B34" w:rsidP="004C445F">
      <w:pPr>
        <w:pStyle w:val="Instructionsberschrift2"/>
        <w:numPr>
          <w:ilvl w:val="0"/>
          <w:numId w:val="0"/>
        </w:numPr>
        <w:suppressAutoHyphens/>
        <w:ind w:left="357" w:hanging="357"/>
        <w:rPr>
          <w:sz w:val="24"/>
          <w:rFonts w:ascii="Times New Roman" w:hAnsi="Times New Roman" w:cs="Times New Roman"/>
        </w:rPr>
      </w:pPr>
      <w:bookmarkStart w:id="52" w:name="_Toc294172370"/>
      <w:bookmarkStart w:id="53" w:name="_Toc295829999"/>
      <w:bookmarkStart w:id="54" w:name="_Toc308426676"/>
      <w:bookmarkStart w:id="55" w:name="_Toc310415060"/>
      <w:bookmarkStart w:id="56" w:name="_Toc360188395"/>
      <w:bookmarkStart w:id="57" w:name="_Toc473561035"/>
      <w:bookmarkStart w:id="58" w:name="_Toc210732252"/>
      <w:r>
        <w:rPr>
          <w:sz w:val="24"/>
          <w:u w:val="none"/>
          <w:rFonts w:ascii="Times New Roman" w:hAnsi="Times New Roman"/>
        </w:rPr>
        <w:t xml:space="preserve">3.</w:t>
      </w:r>
      <w:r>
        <w:tab/>
      </w:r>
      <w:r>
        <w:rPr>
          <w:sz w:val="24"/>
          <w:rFonts w:ascii="Times New Roman" w:hAnsi="Times New Roman"/>
        </w:rPr>
        <w:t xml:space="preserve">C 19.00 – RISQUE DE MARCHÉ:</w:t>
      </w:r>
      <w:r>
        <w:rPr>
          <w:sz w:val="24"/>
          <w:rFonts w:ascii="Times New Roman" w:hAnsi="Times New Roman"/>
        </w:rPr>
        <w:t xml:space="preserve"> </w:t>
      </w:r>
      <w:r>
        <w:rPr>
          <w:sz w:val="24"/>
          <w:rFonts w:ascii="Times New Roman" w:hAnsi="Times New Roman"/>
        </w:rPr>
        <w:t xml:space="preserve">APPROCHE STANDARD DU RISQUE SPÉCIFIQUE EN TITRISATION (MKR SA SEC)</w:t>
      </w:r>
      <w:bookmarkEnd w:id="52"/>
      <w:bookmarkEnd w:id="53"/>
      <w:bookmarkEnd w:id="54"/>
      <w:bookmarkEnd w:id="55"/>
      <w:bookmarkEnd w:id="56"/>
      <w:bookmarkEnd w:id="57"/>
      <w:bookmarkEnd w:id="58"/>
    </w:p>
    <w:p w14:paraId="77E74540" w14:textId="159B56BB" w:rsidR="000B0B09" w:rsidRPr="002D60D7" w:rsidRDefault="00C22B34" w:rsidP="004C445F">
      <w:pPr>
        <w:pStyle w:val="Instructionsberschrift2"/>
        <w:numPr>
          <w:ilvl w:val="0"/>
          <w:numId w:val="0"/>
        </w:numPr>
        <w:suppressAutoHyphens/>
        <w:ind w:left="357" w:hanging="357"/>
        <w:rPr>
          <w:sz w:val="24"/>
          <w:rFonts w:ascii="Times New Roman" w:hAnsi="Times New Roman" w:cs="Times New Roman"/>
        </w:rPr>
      </w:pPr>
      <w:bookmarkStart w:id="59" w:name="_Toc294172371"/>
      <w:bookmarkStart w:id="60" w:name="_Toc295830000"/>
      <w:bookmarkStart w:id="61" w:name="_Toc308426677"/>
      <w:bookmarkStart w:id="62" w:name="_Toc310415061"/>
      <w:bookmarkStart w:id="63" w:name="_Toc360188396"/>
      <w:bookmarkStart w:id="64" w:name="_Toc473561036"/>
      <w:bookmarkStart w:id="65" w:name="_Toc210732253"/>
      <w:r>
        <w:rPr>
          <w:sz w:val="24"/>
          <w:u w:val="none"/>
          <w:rFonts w:ascii="Times New Roman" w:hAnsi="Times New Roman"/>
        </w:rPr>
        <w:t xml:space="preserve">3.1.</w:t>
      </w:r>
      <w:r>
        <w:tab/>
      </w:r>
      <w:r>
        <w:rPr>
          <w:sz w:val="24"/>
          <w:rFonts w:ascii="Times New Roman" w:hAnsi="Times New Roman"/>
        </w:rPr>
        <w:t xml:space="preserve">Remarques générales</w:t>
      </w:r>
      <w:bookmarkEnd w:id="59"/>
      <w:bookmarkEnd w:id="60"/>
      <w:bookmarkEnd w:id="61"/>
      <w:bookmarkEnd w:id="62"/>
      <w:bookmarkEnd w:id="63"/>
      <w:bookmarkEnd w:id="64"/>
      <w:bookmarkEnd w:id="65"/>
    </w:p>
    <w:p w14:paraId="7E5893C5" w14:textId="18DD7193" w:rsidR="00FC6275" w:rsidRPr="002D60D7" w:rsidRDefault="00FC6275" w:rsidP="00E172EA">
      <w:pPr>
        <w:pStyle w:val="InstructionsText2"/>
        <w:numPr>
          <w:ilvl w:val="0"/>
          <w:numId w:val="29"/>
        </w:numPr>
        <w:suppressAutoHyphens/>
      </w:pPr>
      <w:bookmarkStart w:id="66" w:name="_Toc294172372"/>
      <w:bookmarkStart w:id="67" w:name="_Toc295830001"/>
      <w:bookmarkStart w:id="68" w:name="_Toc308426678"/>
      <w:bookmarkStart w:id="69" w:name="_Toc310415062"/>
      <w:bookmarkStart w:id="70" w:name="_Toc360188397"/>
      <w:bookmarkStart w:id="71" w:name="_Toc473561037"/>
      <w:r>
        <w:t xml:space="preserve">Ce modèle rassemble des informations sur les positions (toutes/nettes et longues/courtes) et les exigences de fonds propres associées pour la composante “risque spécifique” du risque de position dans les titrisations/retitrisations détenues dans le portefeuille de négociation (non éligibles pour le portefeuille de négociation en corrélation), selon l’approche standard.</w:t>
      </w:r>
      <w:r>
        <w:t xml:space="preserve"> </w:t>
      </w:r>
    </w:p>
    <w:p w14:paraId="2729DF95" w14:textId="1BA228E4" w:rsidR="00FC6275" w:rsidRPr="002D60D7" w:rsidRDefault="00FC6275" w:rsidP="00E172EA">
      <w:pPr>
        <w:pStyle w:val="InstructionsText2"/>
        <w:numPr>
          <w:ilvl w:val="0"/>
          <w:numId w:val="29"/>
        </w:numPr>
        <w:suppressAutoHyphens/>
      </w:pPr>
      <w:r>
        <w:t xml:space="preserve">Le modèle MKR SA SEC présente l’exigence de fonds propres uniquement pour le risque spécifique des positions de titrisation conformément à l’article 335 du règlement (UE) nº 575/2013 en liaison avec l’article 337 dudit règlement.</w:t>
      </w:r>
      <w:r>
        <w:t xml:space="preserve"> </w:t>
      </w:r>
      <w:r>
        <w:t xml:space="preserve">Lorsque les positions de titrisation du portefeuille de négociation sont couvertes par des dérivés de crédit, les articles 346 et 347 du règlement (UE) nº 575/2013 s’appliquent.</w:t>
      </w:r>
      <w:r>
        <w:t xml:space="preserve"> </w:t>
      </w:r>
      <w:r>
        <w:t xml:space="preserve">Il n’existe qu’un modèle pour toutes les positions du portefeuille de négociation, quelle que soit l’approche appliquée par les entreprises d’investissement pour déterminer la pondération de risque de chacune des positions conformément à la troisième partie, titre II, chapitre 5, du règlement (UE) nº 575/2013.</w:t>
      </w:r>
      <w:r>
        <w:t xml:space="preserve"> </w:t>
      </w:r>
      <w:r>
        <w:t xml:space="preserve">Les exigences de fonds propres pour le risque général de ces positions seront déclarées dans les modèles MKR SA TDI ou MKR IM.</w:t>
      </w:r>
      <w:r>
        <w:t xml:space="preserve"> </w:t>
      </w:r>
    </w:p>
    <w:p w14:paraId="0C732A14" w14:textId="3FF74494" w:rsidR="00FC6275" w:rsidRPr="002D60D7" w:rsidRDefault="00FC6275" w:rsidP="00E172EA">
      <w:pPr>
        <w:pStyle w:val="InstructionsText2"/>
        <w:numPr>
          <w:ilvl w:val="0"/>
          <w:numId w:val="29"/>
        </w:numPr>
        <w:suppressAutoHyphens/>
      </w:pPr>
      <w:r>
        <w:t xml:space="preserve">Les positions qui reçoivent une pondération de risque de 1 250 % peuvent, subsidiairement, être déduites des fonds propres de base de catégorie 1 (CET1) [voir l’article 244, paragraphe 1, point b), l’article 245, paragraphe 1, point b), et l’article 253 du règlement (UE) nº 575/2013].</w:t>
      </w:r>
      <w:r>
        <w:t xml:space="preserve"> </w:t>
      </w:r>
      <w:r>
        <w:t xml:space="preserve">Ces positions sont déclarées dans ce modèle, même si l’établissement fait usage de la déduction.</w:t>
      </w:r>
    </w:p>
    <w:p w14:paraId="3921F7AA" w14:textId="2BCB0F95" w:rsidR="000B0B09" w:rsidRPr="002D60D7" w:rsidRDefault="00C22B34" w:rsidP="004C445F">
      <w:pPr>
        <w:pStyle w:val="Instructionsberschrift2"/>
        <w:numPr>
          <w:ilvl w:val="0"/>
          <w:numId w:val="0"/>
        </w:numPr>
        <w:suppressAutoHyphens/>
        <w:ind w:left="357" w:hanging="357"/>
        <w:rPr>
          <w:sz w:val="24"/>
          <w:rFonts w:ascii="Times New Roman" w:hAnsi="Times New Roman" w:cs="Times New Roman"/>
        </w:rPr>
      </w:pPr>
      <w:bookmarkStart w:id="72" w:name="_Toc210732254"/>
      <w:r>
        <w:rPr>
          <w:sz w:val="24"/>
          <w:u w:val="none"/>
          <w:rFonts w:ascii="Times New Roman" w:hAnsi="Times New Roman"/>
        </w:rPr>
        <w:t xml:space="preserve">3.2.</w:t>
      </w:r>
      <w:r>
        <w:tab/>
      </w:r>
      <w:r>
        <w:rPr>
          <w:sz w:val="24"/>
          <w:rFonts w:ascii="Times New Roman" w:hAnsi="Times New Roman"/>
        </w:rPr>
        <w:t xml:space="preserve">Instructions concernant certaines positions</w:t>
      </w:r>
      <w:bookmarkEnd w:id="66"/>
      <w:bookmarkEnd w:id="67"/>
      <w:bookmarkEnd w:id="68"/>
      <w:bookmarkEnd w:id="69"/>
      <w:bookmarkEnd w:id="70"/>
      <w:bookmarkEnd w:id="71"/>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05"/>
      </w:tblGrid>
      <w:tr w:rsidR="00C55547" w:rsidRPr="002D60D7" w14:paraId="5FAA1DCA" w14:textId="77777777" w:rsidTr="00E10B85">
        <w:trPr>
          <w:trHeight w:val="631"/>
        </w:trPr>
        <w:tc>
          <w:tcPr>
            <w:tcW w:w="9018" w:type="dxa"/>
            <w:gridSpan w:val="2"/>
            <w:shd w:val="clear" w:color="auto" w:fill="CCCCCC"/>
          </w:tcPr>
          <w:p w14:paraId="672709A6" w14:textId="77777777" w:rsidR="00C55547" w:rsidRPr="002D60D7" w:rsidRDefault="00C55547" w:rsidP="004C445F">
            <w:pPr>
              <w:suppressAutoHyphens/>
              <w:autoSpaceDE w:val="0"/>
              <w:autoSpaceDN w:val="0"/>
              <w:adjustRightInd w:val="0"/>
              <w:spacing w:after="0"/>
              <w:rPr>
                <w:b/>
                <w:sz w:val="24"/>
                <w:rFonts w:ascii="Times New Roman" w:hAnsi="Times New Roman"/>
              </w:rPr>
            </w:pPr>
            <w:r>
              <w:rPr>
                <w:b/>
                <w:sz w:val="24"/>
                <w:rFonts w:ascii="Times New Roman" w:hAnsi="Times New Roman"/>
              </w:rPr>
              <w:t xml:space="preserve">Colonnes</w:t>
            </w:r>
          </w:p>
        </w:tc>
      </w:tr>
      <w:tr w:rsidR="00C55547" w:rsidRPr="002D60D7" w14:paraId="25DD94D3" w14:textId="77777777" w:rsidTr="000911FE">
        <w:tc>
          <w:tcPr>
            <w:tcW w:w="1413" w:type="dxa"/>
          </w:tcPr>
          <w:p w14:paraId="1C45AB39" w14:textId="77777777" w:rsidR="00C55547" w:rsidRPr="002D60D7"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0010-0020</w:t>
            </w:r>
          </w:p>
        </w:tc>
        <w:tc>
          <w:tcPr>
            <w:tcW w:w="7605" w:type="dxa"/>
          </w:tcPr>
          <w:p w14:paraId="37C65F35" w14:textId="77777777" w:rsidR="00C55547" w:rsidRPr="002D60D7" w:rsidRDefault="00C55547"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TOUTES LES POSITIONS (LONGUES ET COURTES)</w:t>
            </w:r>
          </w:p>
          <w:p w14:paraId="503F4241" w14:textId="0DAFF941" w:rsidR="00C55547" w:rsidRPr="002D60D7" w:rsidRDefault="00C55547" w:rsidP="004C445F">
            <w:pPr>
              <w:suppressAutoHyphens/>
              <w:rPr>
                <w:sz w:val="24"/>
                <w:rFonts w:ascii="Times New Roman" w:hAnsi="Times New Roman"/>
              </w:rPr>
            </w:pPr>
            <w:r>
              <w:rPr>
                <w:sz w:val="24"/>
                <w:rFonts w:ascii="Times New Roman" w:hAnsi="Times New Roman"/>
              </w:rPr>
              <w:t xml:space="preserve">Article </w:t>
            </w:r>
            <w:r>
              <w:rPr>
                <w:sz w:val="24"/>
                <w:rStyle w:val="InstructionsTabelleText"/>
                <w:rFonts w:ascii="Times New Roman" w:hAnsi="Times New Roman"/>
              </w:rPr>
              <w:t xml:space="preserve">102 et article 105, paragraphe 1</w:t>
            </w:r>
            <w:r>
              <w:rPr>
                <w:sz w:val="24"/>
                <w:rFonts w:ascii="Times New Roman" w:hAnsi="Times New Roman"/>
              </w:rPr>
              <w:t xml:space="preserve">, du règlement (UE) nº 575/2013, </w:t>
            </w:r>
            <w:r>
              <w:rPr>
                <w:sz w:val="24"/>
                <w:rStyle w:val="InstructionsTabelleText"/>
                <w:rFonts w:ascii="Times New Roman" w:hAnsi="Times New Roman"/>
              </w:rPr>
              <w:t xml:space="preserve">en liaison avec l’article 337</w:t>
            </w:r>
            <w:r>
              <w:rPr>
                <w:sz w:val="24"/>
                <w:rFonts w:ascii="Times New Roman" w:hAnsi="Times New Roman"/>
              </w:rPr>
              <w:t xml:space="preserve"> dudit règlement </w:t>
            </w:r>
            <w:r>
              <w:rPr>
                <w:sz w:val="24"/>
                <w:rStyle w:val="InstructionsTabelleText"/>
                <w:rFonts w:ascii="Times New Roman" w:hAnsi="Times New Roman"/>
              </w:rPr>
              <w:t xml:space="preserve">(positions de titrisation)</w:t>
            </w:r>
            <w:r>
              <w:rPr>
                <w:sz w:val="24"/>
                <w:rFonts w:ascii="Times New Roman" w:hAnsi="Times New Roman"/>
              </w:rPr>
              <w:t xml:space="preserve">.</w:t>
            </w:r>
            <w:r>
              <w:rPr>
                <w:sz w:val="24"/>
                <w:rStyle w:val="InstructionsTabelleText"/>
                <w:rFonts w:ascii="Times New Roman" w:hAnsi="Times New Roman"/>
              </w:rPr>
              <w:t xml:space="preserve"> </w:t>
            </w:r>
            <w:r>
              <w:rPr>
                <w:sz w:val="24"/>
                <w:rStyle w:val="InstructionsTabelleText"/>
                <w:rFonts w:ascii="Times New Roman" w:hAnsi="Times New Roman"/>
              </w:rPr>
              <w:t xml:space="preserve">En ce qui concerne la distinction entre les positions longues et courtes, également applicable à ces positions brutes, voir l’article 328, paragraphe 2,</w:t>
            </w:r>
            <w:r>
              <w:rPr>
                <w:sz w:val="24"/>
                <w:rFonts w:ascii="Times New Roman" w:hAnsi="Times New Roman"/>
              </w:rPr>
              <w:t xml:space="preserve"> dudit règlement</w:t>
            </w:r>
            <w:r>
              <w:rPr>
                <w:sz w:val="24"/>
                <w:rStyle w:val="InstructionsTabelleText"/>
                <w:rFonts w:ascii="Times New Roman" w:hAnsi="Times New Roman"/>
              </w:rPr>
              <w:t xml:space="preserve">.</w:t>
            </w:r>
            <w:r>
              <w:rPr>
                <w:sz w:val="24"/>
                <w:rStyle w:val="InstructionsTabelleText"/>
                <w:rFonts w:ascii="Times New Roman" w:hAnsi="Times New Roman"/>
              </w:rPr>
              <w:t xml:space="preserve"> </w:t>
            </w:r>
          </w:p>
        </w:tc>
      </w:tr>
      <w:tr w:rsidR="00C55547" w:rsidRPr="002D60D7" w14:paraId="22839602" w14:textId="77777777" w:rsidTr="000911FE">
        <w:tc>
          <w:tcPr>
            <w:tcW w:w="1413" w:type="dxa"/>
          </w:tcPr>
          <w:p w14:paraId="40A33AFE" w14:textId="77777777" w:rsidR="00C55547" w:rsidRPr="002D60D7"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0030-0040</w:t>
            </w:r>
          </w:p>
        </w:tc>
        <w:tc>
          <w:tcPr>
            <w:tcW w:w="7605" w:type="dxa"/>
          </w:tcPr>
          <w:p w14:paraId="511B0208" w14:textId="77777777" w:rsidR="00C55547" w:rsidRPr="002D60D7" w:rsidRDefault="00C55547" w:rsidP="004C445F">
            <w:pPr>
              <w:suppressAutoHyphens/>
              <w:rPr>
                <w:rStyle w:val="InstructionsTabelleberschrift"/>
                <w:sz w:val="24"/>
                <w:rFonts w:ascii="Times New Roman" w:hAnsi="Times New Roman"/>
              </w:rPr>
            </w:pPr>
            <w:r>
              <w:rPr>
                <w:sz w:val="24"/>
                <w:rStyle w:val="InstructionsTabelleberschrift"/>
                <w:rFonts w:ascii="Times New Roman" w:hAnsi="Times New Roman"/>
              </w:rPr>
              <w:t xml:space="preserve">(-) POSITIONS DÉDUITES DES FONDS PROPRES</w:t>
            </w:r>
            <w:r>
              <w:rPr>
                <w:sz w:val="24"/>
                <w:b/>
                <w:u w:val="single"/>
                <w:rFonts w:ascii="Times New Roman" w:hAnsi="Times New Roman"/>
              </w:rPr>
              <w:t xml:space="preserve"> (POSITIONS LONGUES ET COURTES)</w:t>
            </w:r>
          </w:p>
          <w:p w14:paraId="1429CBFE" w14:textId="1A440B37" w:rsidR="00C55547" w:rsidRPr="002D60D7" w:rsidRDefault="00705025" w:rsidP="004C445F">
            <w:pPr>
              <w:suppressAutoHyphens/>
              <w:rPr>
                <w:rStyle w:val="InstructionsTabelleText"/>
                <w:sz w:val="24"/>
                <w:rFonts w:ascii="Times New Roman" w:hAnsi="Times New Roman"/>
              </w:rPr>
            </w:pPr>
            <w:r>
              <w:rPr>
                <w:sz w:val="24"/>
                <w:rStyle w:val="InstructionsTabelleText"/>
                <w:rFonts w:ascii="Times New Roman" w:hAnsi="Times New Roman"/>
              </w:rPr>
              <w:t xml:space="preserve"> </w:t>
            </w:r>
            <w:r>
              <w:rPr>
                <w:sz w:val="24"/>
                <w:rStyle w:val="InstructionsTabelleText"/>
                <w:rFonts w:ascii="Times New Roman" w:hAnsi="Times New Roman"/>
              </w:rPr>
              <w:t xml:space="preserve">Article 244, paragraphe 1, point b), article 245, paragraphe 1, point b), et article 253</w:t>
            </w:r>
            <w:r>
              <w:rPr>
                <w:sz w:val="24"/>
                <w:rFonts w:ascii="Times New Roman" w:hAnsi="Times New Roman"/>
              </w:rPr>
              <w:t xml:space="preserve"> du règlement (UE) nº 575/2013.</w:t>
            </w:r>
          </w:p>
        </w:tc>
      </w:tr>
      <w:tr w:rsidR="00C55547" w:rsidRPr="002D60D7" w14:paraId="16C58348" w14:textId="77777777" w:rsidTr="000911FE">
        <w:tc>
          <w:tcPr>
            <w:tcW w:w="1413" w:type="dxa"/>
          </w:tcPr>
          <w:p w14:paraId="2D1E9030" w14:textId="77777777" w:rsidR="00C55547" w:rsidRPr="002D60D7"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0050-0060</w:t>
            </w:r>
          </w:p>
        </w:tc>
        <w:tc>
          <w:tcPr>
            <w:tcW w:w="7605" w:type="dxa"/>
          </w:tcPr>
          <w:p w14:paraId="088E4387" w14:textId="77777777" w:rsidR="00C55547" w:rsidRPr="002D60D7" w:rsidRDefault="00C55547" w:rsidP="004C445F">
            <w:pPr>
              <w:suppressAutoHyphens/>
              <w:rPr>
                <w:rStyle w:val="InstructionsTabelleberschrift"/>
                <w:sz w:val="24"/>
                <w:rFonts w:ascii="Times New Roman" w:hAnsi="Times New Roman"/>
              </w:rPr>
            </w:pPr>
            <w:r>
              <w:rPr>
                <w:sz w:val="24"/>
                <w:rStyle w:val="InstructionsTabelleberschrift"/>
                <w:rFonts w:ascii="Times New Roman" w:hAnsi="Times New Roman"/>
              </w:rPr>
              <w:t xml:space="preserve">POSITIONS NETTES</w:t>
            </w:r>
            <w:r>
              <w:rPr>
                <w:sz w:val="24"/>
                <w:b/>
                <w:u w:val="single"/>
                <w:rFonts w:ascii="Times New Roman" w:hAnsi="Times New Roman"/>
              </w:rPr>
              <w:t xml:space="preserve"> (LONGUES ET COURTES)</w:t>
            </w:r>
          </w:p>
          <w:p w14:paraId="54C14D76" w14:textId="32F9EC29" w:rsidR="00C55547" w:rsidRPr="002D60D7" w:rsidRDefault="00C55547" w:rsidP="004C445F">
            <w:pPr>
              <w:suppressAutoHyphens/>
              <w:rPr>
                <w:rStyle w:val="InstructionsTabelleText"/>
                <w:sz w:val="24"/>
                <w:rFonts w:ascii="Times New Roman" w:hAnsi="Times New Roman"/>
              </w:rPr>
            </w:pPr>
            <w:r>
              <w:rPr>
                <w:sz w:val="24"/>
                <w:rFonts w:ascii="Times New Roman" w:hAnsi="Times New Roman"/>
              </w:rPr>
              <w:t xml:space="preserve">Articles </w:t>
            </w:r>
            <w:r>
              <w:rPr>
                <w:sz w:val="24"/>
                <w:rStyle w:val="InstructionsTabelleText"/>
                <w:rFonts w:ascii="Times New Roman" w:hAnsi="Times New Roman"/>
              </w:rPr>
              <w:t xml:space="preserve">327, 328, 329 et 334</w:t>
            </w:r>
            <w:r>
              <w:rPr>
                <w:sz w:val="24"/>
                <w:rFonts w:ascii="Times New Roman" w:hAnsi="Times New Roman"/>
              </w:rPr>
              <w:t xml:space="preserve"> du règlement (UE) nº 575/2013</w:t>
            </w:r>
            <w:r>
              <w:rPr>
                <w:sz w:val="24"/>
                <w:rStyle w:val="InstructionsTabelleText"/>
                <w:rFonts w:ascii="Times New Roman" w:hAnsi="Times New Roman"/>
              </w:rPr>
              <w:t xml:space="preserve">.</w:t>
            </w:r>
            <w:r>
              <w:rPr>
                <w:sz w:val="24"/>
                <w:rStyle w:val="InstructionsTabelleText"/>
                <w:rFonts w:ascii="Times New Roman" w:hAnsi="Times New Roman"/>
              </w:rPr>
              <w:t xml:space="preserve"> </w:t>
            </w:r>
            <w:r>
              <w:rPr>
                <w:sz w:val="24"/>
                <w:rStyle w:val="InstructionsTabelleText"/>
                <w:rFonts w:ascii="Times New Roman" w:hAnsi="Times New Roman"/>
              </w:rPr>
              <w:t xml:space="preserve">En ce qui concerne la distinction entre les positions longues et courtes, voir l’article 328, paragraphe 2</w:t>
            </w:r>
            <w:r>
              <w:rPr>
                <w:sz w:val="24"/>
                <w:rFonts w:ascii="Times New Roman" w:hAnsi="Times New Roman"/>
              </w:rPr>
              <w:t xml:space="preserve">, dudit règlement</w:t>
            </w:r>
            <w:r>
              <w:rPr>
                <w:sz w:val="24"/>
                <w:rStyle w:val="InstructionsTabelleText"/>
                <w:rFonts w:ascii="Times New Roman" w:hAnsi="Times New Roman"/>
              </w:rPr>
              <w:t xml:space="preserve">.</w:t>
            </w:r>
          </w:p>
        </w:tc>
      </w:tr>
      <w:tr w:rsidR="00C55547" w:rsidRPr="002D60D7" w14:paraId="0BDF729C" w14:textId="77777777" w:rsidTr="000911FE">
        <w:tc>
          <w:tcPr>
            <w:tcW w:w="1413" w:type="dxa"/>
          </w:tcPr>
          <w:p w14:paraId="324A2BB6" w14:textId="77777777" w:rsidR="00C55547" w:rsidRPr="002D60D7"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0061-0104</w:t>
            </w:r>
          </w:p>
        </w:tc>
        <w:tc>
          <w:tcPr>
            <w:tcW w:w="7605" w:type="dxa"/>
          </w:tcPr>
          <w:p w14:paraId="627BB4B0" w14:textId="77777777" w:rsidR="00C55547" w:rsidRPr="002D60D7" w:rsidRDefault="00C55547"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RÉPARTITION DES POSITIONS NETTES SELON LES PONDÉRATIONS DE RISQUE</w:t>
            </w:r>
          </w:p>
          <w:p w14:paraId="3ECFC065" w14:textId="41D71775" w:rsidR="00C3548F" w:rsidRPr="002D60D7" w:rsidRDefault="00C55547" w:rsidP="004C445F">
            <w:pPr>
              <w:suppressAutoHyphens/>
              <w:rPr>
                <w:rStyle w:val="InstructionsTabelleText"/>
                <w:sz w:val="24"/>
                <w:rFonts w:ascii="Times New Roman" w:hAnsi="Times New Roman"/>
              </w:rPr>
            </w:pPr>
            <w:r>
              <w:rPr>
                <w:sz w:val="24"/>
                <w:rStyle w:val="InstructionsTabelleText"/>
                <w:rFonts w:ascii="Times New Roman" w:hAnsi="Times New Roman"/>
              </w:rPr>
              <w:t xml:space="preserve">Articles 259 à 262, article 263, tableaux 1 et 2, article 264, tableaux 3 et 4 et article 266</w:t>
            </w:r>
            <w:r>
              <w:rPr>
                <w:sz w:val="24"/>
                <w:rFonts w:ascii="Times New Roman" w:hAnsi="Times New Roman"/>
              </w:rPr>
              <w:t xml:space="preserve"> du règlement (UE) nº 575/2013</w:t>
            </w:r>
            <w:r>
              <w:rPr>
                <w:sz w:val="24"/>
                <w:rStyle w:val="InstructionsTabelleText"/>
                <w:rFonts w:ascii="Times New Roman" w:hAnsi="Times New Roman"/>
              </w:rPr>
              <w:t xml:space="preserve">.</w:t>
            </w:r>
            <w:r>
              <w:rPr>
                <w:sz w:val="24"/>
                <w:rStyle w:val="InstructionsTabelleText"/>
                <w:rFonts w:ascii="Times New Roman" w:hAnsi="Times New Roman"/>
              </w:rPr>
              <w:t xml:space="preserve"> </w:t>
            </w:r>
          </w:p>
          <w:p w14:paraId="4314B137" w14:textId="77777777" w:rsidR="00C55547" w:rsidRPr="002D60D7" w:rsidRDefault="00C55547" w:rsidP="004C445F">
            <w:pPr>
              <w:suppressAutoHyphens/>
              <w:rPr>
                <w:rStyle w:val="InstructionsTabelleText"/>
                <w:sz w:val="24"/>
                <w:rFonts w:ascii="Times New Roman" w:hAnsi="Times New Roman"/>
              </w:rPr>
            </w:pPr>
            <w:r>
              <w:rPr>
                <w:rStyle w:val="InstructionsTabelleText"/>
                <w:sz w:val="24"/>
                <w:rFonts w:ascii="Times New Roman" w:hAnsi="Times New Roman"/>
              </w:rPr>
              <w:t xml:space="preserve">La répartition s’effectue séparément pour les positions longues et les positions courtes.</w:t>
            </w:r>
          </w:p>
        </w:tc>
      </w:tr>
      <w:tr w:rsidR="00C55547" w:rsidRPr="002D60D7" w14:paraId="2A20E80A" w14:textId="77777777" w:rsidTr="000911FE">
        <w:tc>
          <w:tcPr>
            <w:tcW w:w="1413" w:type="dxa"/>
          </w:tcPr>
          <w:p w14:paraId="163C862B" w14:textId="77777777" w:rsidR="00C55547" w:rsidRPr="002D60D7"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0402-0406</w:t>
            </w:r>
          </w:p>
        </w:tc>
        <w:tc>
          <w:tcPr>
            <w:tcW w:w="7605" w:type="dxa"/>
          </w:tcPr>
          <w:p w14:paraId="2AF3DBA4" w14:textId="77777777" w:rsidR="00C55547" w:rsidRPr="002D60D7" w:rsidRDefault="00C55547"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RÉPARTITION DES POSITIONS NETTES SELON LES APPROCHES</w:t>
            </w:r>
          </w:p>
          <w:p w14:paraId="683DE902" w14:textId="55DF04AD" w:rsidR="00C55547" w:rsidRPr="002D60D7" w:rsidRDefault="00C55547" w:rsidP="004C445F">
            <w:pPr>
              <w:suppressAutoHyphens/>
              <w:rPr>
                <w:b/>
                <w:bCs/>
                <w:sz w:val="24"/>
                <w:u w:val="single"/>
                <w:rFonts w:ascii="Times New Roman" w:hAnsi="Times New Roman"/>
              </w:rPr>
            </w:pPr>
            <w:r>
              <w:rPr>
                <w:sz w:val="24"/>
                <w:rFonts w:ascii="Times New Roman" w:hAnsi="Times New Roman"/>
              </w:rPr>
              <w:t xml:space="preserve">Article </w:t>
            </w:r>
            <w:r>
              <w:rPr>
                <w:sz w:val="24"/>
                <w:rStyle w:val="InstructionsTabelleText"/>
                <w:rFonts w:ascii="Times New Roman" w:hAnsi="Times New Roman"/>
              </w:rPr>
              <w:t xml:space="preserve">254</w:t>
            </w:r>
            <w:r>
              <w:rPr>
                <w:sz w:val="24"/>
                <w:rFonts w:ascii="Times New Roman" w:hAnsi="Times New Roman"/>
              </w:rPr>
              <w:t xml:space="preserve"> du règlement (UE) nº 575/2013</w:t>
            </w:r>
            <w:r>
              <w:rPr>
                <w:sz w:val="24"/>
                <w:rStyle w:val="InstructionsTabelleText"/>
                <w:rFonts w:ascii="Times New Roman" w:hAnsi="Times New Roman"/>
              </w:rPr>
              <w:t xml:space="preserve"> </w:t>
            </w:r>
          </w:p>
        </w:tc>
      </w:tr>
      <w:tr w:rsidR="00C55547" w:rsidRPr="002D60D7" w14:paraId="6061874B" w14:textId="77777777" w:rsidTr="000911FE">
        <w:tc>
          <w:tcPr>
            <w:tcW w:w="1413" w:type="dxa"/>
          </w:tcPr>
          <w:p w14:paraId="4B729A34" w14:textId="77777777" w:rsidR="00C55547" w:rsidRPr="002D60D7"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0402</w:t>
            </w:r>
          </w:p>
        </w:tc>
        <w:tc>
          <w:tcPr>
            <w:tcW w:w="7605" w:type="dxa"/>
          </w:tcPr>
          <w:p w14:paraId="06929D2D" w14:textId="77777777" w:rsidR="00C55547" w:rsidRPr="002D60D7" w:rsidRDefault="00C55547"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SEC-IRBA</w:t>
            </w:r>
          </w:p>
          <w:p w14:paraId="41A48A7C" w14:textId="67C34C11" w:rsidR="00C55547" w:rsidRPr="002D60D7" w:rsidRDefault="00C55547" w:rsidP="004C445F">
            <w:pPr>
              <w:suppressAutoHyphens/>
              <w:rPr>
                <w:b/>
                <w:bCs/>
                <w:sz w:val="24"/>
                <w:u w:val="single"/>
                <w:rFonts w:ascii="Times New Roman" w:hAnsi="Times New Roman"/>
              </w:rPr>
            </w:pPr>
            <w:r>
              <w:rPr>
                <w:sz w:val="24"/>
                <w:rStyle w:val="InstructionsTabelleText"/>
                <w:rFonts w:ascii="Times New Roman" w:hAnsi="Times New Roman"/>
              </w:rPr>
              <w:t xml:space="preserve">Articles 259 et 260</w:t>
            </w:r>
            <w:r>
              <w:rPr>
                <w:sz w:val="24"/>
                <w:rFonts w:ascii="Times New Roman" w:hAnsi="Times New Roman"/>
              </w:rPr>
              <w:t xml:space="preserve"> du règlement (UE) nº 575/2013.</w:t>
            </w:r>
          </w:p>
        </w:tc>
      </w:tr>
      <w:tr w:rsidR="00C55547" w:rsidRPr="002D60D7" w14:paraId="16BB3DCB" w14:textId="77777777" w:rsidTr="000911FE">
        <w:tc>
          <w:tcPr>
            <w:tcW w:w="1413" w:type="dxa"/>
          </w:tcPr>
          <w:p w14:paraId="189036B1" w14:textId="77777777" w:rsidR="00C55547" w:rsidRPr="002D60D7"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0403</w:t>
            </w:r>
          </w:p>
        </w:tc>
        <w:tc>
          <w:tcPr>
            <w:tcW w:w="7605" w:type="dxa"/>
          </w:tcPr>
          <w:p w14:paraId="6F8EF419" w14:textId="77777777" w:rsidR="00C55547" w:rsidRPr="002D60D7" w:rsidRDefault="00C55547"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SEC-SA</w:t>
            </w:r>
          </w:p>
          <w:p w14:paraId="5A374E14" w14:textId="4A4A259B" w:rsidR="00C55547" w:rsidRPr="002D60D7" w:rsidRDefault="00C55547" w:rsidP="004C445F">
            <w:pPr>
              <w:suppressAutoHyphens/>
              <w:autoSpaceDE w:val="0"/>
              <w:autoSpaceDN w:val="0"/>
              <w:adjustRightInd w:val="0"/>
              <w:jc w:val="left"/>
              <w:rPr>
                <w:b/>
                <w:bCs/>
                <w:sz w:val="24"/>
                <w:u w:val="single"/>
                <w:rFonts w:ascii="Times New Roman" w:hAnsi="Times New Roman"/>
              </w:rPr>
            </w:pPr>
            <w:r>
              <w:rPr>
                <w:sz w:val="24"/>
                <w:rStyle w:val="InstructionsTabelleText"/>
                <w:rFonts w:ascii="Times New Roman" w:hAnsi="Times New Roman"/>
              </w:rPr>
              <w:t xml:space="preserve">Articles 261 et 262</w:t>
            </w:r>
            <w:r>
              <w:rPr>
                <w:sz w:val="24"/>
                <w:rFonts w:ascii="Times New Roman" w:hAnsi="Times New Roman"/>
              </w:rPr>
              <w:t xml:space="preserve"> du règlement (UE) nº 575/2013.</w:t>
            </w:r>
          </w:p>
        </w:tc>
      </w:tr>
      <w:tr w:rsidR="00C55547" w:rsidRPr="002D60D7" w14:paraId="0B1E8511" w14:textId="77777777" w:rsidTr="000911FE">
        <w:tc>
          <w:tcPr>
            <w:tcW w:w="1413" w:type="dxa"/>
          </w:tcPr>
          <w:p w14:paraId="283E5722" w14:textId="77777777" w:rsidR="00C55547" w:rsidRPr="002D60D7"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0404</w:t>
            </w:r>
          </w:p>
        </w:tc>
        <w:tc>
          <w:tcPr>
            <w:tcW w:w="7605" w:type="dxa"/>
          </w:tcPr>
          <w:p w14:paraId="7AA18AA4" w14:textId="77777777" w:rsidR="00C55547" w:rsidRPr="002D60D7" w:rsidRDefault="00C55547"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SEC-ERBA</w:t>
            </w:r>
          </w:p>
          <w:p w14:paraId="2250A6DF" w14:textId="199187B3" w:rsidR="00C55547" w:rsidRPr="002D60D7" w:rsidRDefault="00C55547" w:rsidP="004C445F">
            <w:pPr>
              <w:suppressAutoHyphens/>
              <w:rPr>
                <w:b/>
                <w:bCs/>
                <w:sz w:val="24"/>
                <w:u w:val="single"/>
                <w:rFonts w:ascii="Times New Roman" w:hAnsi="Times New Roman"/>
              </w:rPr>
            </w:pPr>
            <w:r>
              <w:rPr>
                <w:sz w:val="24"/>
                <w:rStyle w:val="InstructionsTabelleText"/>
                <w:rFonts w:ascii="Times New Roman" w:hAnsi="Times New Roman"/>
              </w:rPr>
              <w:t xml:space="preserve">Articles 263 et 264</w:t>
            </w:r>
            <w:r>
              <w:rPr>
                <w:sz w:val="24"/>
                <w:rFonts w:ascii="Times New Roman" w:hAnsi="Times New Roman"/>
              </w:rPr>
              <w:t xml:space="preserve"> du règlement (UE) nº 575/2013.</w:t>
            </w:r>
          </w:p>
        </w:tc>
      </w:tr>
      <w:tr w:rsidR="00C55547" w:rsidRPr="002D60D7" w14:paraId="76051CC7" w14:textId="77777777" w:rsidTr="000911FE">
        <w:tc>
          <w:tcPr>
            <w:tcW w:w="1413" w:type="dxa"/>
          </w:tcPr>
          <w:p w14:paraId="2CE39EAA" w14:textId="77777777" w:rsidR="00C55547" w:rsidRPr="002D60D7"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0405</w:t>
            </w:r>
          </w:p>
        </w:tc>
        <w:tc>
          <w:tcPr>
            <w:tcW w:w="7605" w:type="dxa"/>
          </w:tcPr>
          <w:p w14:paraId="334AB028" w14:textId="77777777" w:rsidR="00C55547" w:rsidRPr="002D60D7" w:rsidRDefault="00C55547"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APPROCHE PAR ÉVALUATION INTERNE</w:t>
            </w:r>
          </w:p>
          <w:p w14:paraId="5354C48C" w14:textId="38E5A78D" w:rsidR="00C55547" w:rsidRPr="002D60D7" w:rsidRDefault="00C55547" w:rsidP="004C445F">
            <w:pPr>
              <w:suppressAutoHyphens/>
              <w:rPr>
                <w:bCs/>
                <w:sz w:val="24"/>
                <w:u w:val="single"/>
                <w:rFonts w:ascii="Times New Roman" w:hAnsi="Times New Roman"/>
              </w:rPr>
            </w:pPr>
            <w:r>
              <w:rPr>
                <w:sz w:val="24"/>
                <w:rStyle w:val="InstructionsTabelleText"/>
                <w:rFonts w:ascii="Times New Roman" w:hAnsi="Times New Roman"/>
              </w:rPr>
              <w:t xml:space="preserve">Article 254, article 265 et article 266, paragraphe 5</w:t>
            </w:r>
            <w:r>
              <w:rPr>
                <w:sz w:val="24"/>
                <w:rFonts w:ascii="Times New Roman" w:hAnsi="Times New Roman"/>
              </w:rPr>
              <w:t xml:space="preserve">, du règlement (UE) nº 575/2013</w:t>
            </w:r>
            <w:r>
              <w:rPr>
                <w:sz w:val="24"/>
                <w:rStyle w:val="InstructionsTabelleText"/>
                <w:rFonts w:ascii="Times New Roman" w:hAnsi="Times New Roman"/>
              </w:rPr>
              <w:t xml:space="preserve">.</w:t>
            </w:r>
          </w:p>
        </w:tc>
      </w:tr>
      <w:tr w:rsidR="0033476C" w:rsidRPr="002D60D7" w14:paraId="00803C23" w14:textId="77777777" w:rsidTr="000911FE">
        <w:tc>
          <w:tcPr>
            <w:tcW w:w="1413" w:type="dxa"/>
          </w:tcPr>
          <w:p w14:paraId="6969B7D6" w14:textId="7D0DF91C" w:rsidR="0033476C" w:rsidRPr="002D60D7" w:rsidRDefault="0033476C"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0900</w:t>
            </w:r>
          </w:p>
        </w:tc>
        <w:tc>
          <w:tcPr>
            <w:tcW w:w="7605" w:type="dxa"/>
          </w:tcPr>
          <w:p w14:paraId="1E2E9907" w14:textId="3152DD84" w:rsidR="0033476C" w:rsidRPr="002D60D7" w:rsidRDefault="0033476C" w:rsidP="004C445F">
            <w:pPr>
              <w:suppressAutoHyphens/>
              <w:spacing w:before="0" w:after="0"/>
              <w:jc w:val="left"/>
              <w:rPr>
                <w:b/>
                <w:sz w:val="24"/>
                <w:u w:val="single"/>
                <w:rFonts w:ascii="Times New Roman" w:hAnsi="Times New Roman"/>
              </w:rPr>
            </w:pPr>
            <w:r>
              <w:rPr>
                <w:b/>
                <w:sz w:val="24"/>
                <w:u w:val="single"/>
                <w:rFonts w:ascii="Times New Roman" w:hAnsi="Times New Roman"/>
              </w:rPr>
              <w:t xml:space="preserve">TRAITEMENT SPÉCIFIQUE POUR LES TRANCHES DE RANG SUPÉRIEUR DES TITRISATIONS D’EXPOSITIONS NON PERFORMANTES ÉLIGIBLES</w:t>
            </w:r>
          </w:p>
          <w:p w14:paraId="17BE744C" w14:textId="40B8EA94" w:rsidR="0033476C" w:rsidRPr="002D60D7" w:rsidRDefault="0033476C" w:rsidP="004C445F">
            <w:pPr>
              <w:suppressAutoHyphens/>
              <w:rPr>
                <w:b/>
                <w:bCs/>
                <w:sz w:val="24"/>
                <w:u w:val="single"/>
                <w:rFonts w:ascii="Times New Roman" w:hAnsi="Times New Roman"/>
              </w:rPr>
            </w:pPr>
            <w:r>
              <w:rPr>
                <w:sz w:val="24"/>
                <w:rFonts w:ascii="Times New Roman" w:hAnsi="Times New Roman"/>
              </w:rPr>
              <w:t xml:space="preserve">Article 269 </w:t>
            </w:r>
            <w:r>
              <w:rPr>
                <w:sz w:val="24"/>
                <w:i/>
                <w:rFonts w:ascii="Times New Roman" w:hAnsi="Times New Roman"/>
              </w:rPr>
              <w:t xml:space="preserve">bis</w:t>
            </w:r>
            <w:r>
              <w:rPr>
                <w:sz w:val="24"/>
                <w:rFonts w:ascii="Times New Roman" w:hAnsi="Times New Roman"/>
              </w:rPr>
              <w:t xml:space="preserve">, paragraphe 3, du règlement (UE) nº 575/2013.</w:t>
            </w:r>
          </w:p>
        </w:tc>
      </w:tr>
      <w:tr w:rsidR="00C55547" w:rsidRPr="002D60D7" w14:paraId="05BEB883" w14:textId="77777777" w:rsidTr="000911FE">
        <w:tc>
          <w:tcPr>
            <w:tcW w:w="1413" w:type="dxa"/>
          </w:tcPr>
          <w:p w14:paraId="3D2DEA0A" w14:textId="77777777" w:rsidR="00C55547" w:rsidRPr="002D60D7"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0406</w:t>
            </w:r>
          </w:p>
        </w:tc>
        <w:tc>
          <w:tcPr>
            <w:tcW w:w="7605" w:type="dxa"/>
          </w:tcPr>
          <w:p w14:paraId="25786344" w14:textId="4EFB7A5E" w:rsidR="00C55547" w:rsidRPr="002D60D7" w:rsidRDefault="00C55547"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AUTRE (RW = 1 250</w:t>
            </w:r>
            <w:r>
              <w:rPr>
                <w:b/>
                <w:sz w:val="24"/>
                <w:u w:val="single"/>
                <w:rFonts w:ascii="Times New Roman" w:hAnsi="Times New Roman"/>
              </w:rPr>
              <w:t xml:space="preserve"> %)</w:t>
            </w:r>
          </w:p>
          <w:p w14:paraId="1684F52F" w14:textId="43F3FE5E" w:rsidR="00C55547" w:rsidRPr="002D60D7" w:rsidRDefault="00C55547" w:rsidP="004C445F">
            <w:pPr>
              <w:suppressAutoHyphens/>
              <w:rPr>
                <w:b/>
                <w:bCs/>
                <w:sz w:val="24"/>
                <w:u w:val="single"/>
                <w:rFonts w:ascii="Times New Roman" w:hAnsi="Times New Roman"/>
              </w:rPr>
            </w:pPr>
            <w:r>
              <w:rPr>
                <w:sz w:val="24"/>
                <w:rStyle w:val="InstructionsTabelleText"/>
                <w:rFonts w:ascii="Times New Roman" w:hAnsi="Times New Roman"/>
              </w:rPr>
              <w:t xml:space="preserve">Article 254, paragraphe 7</w:t>
            </w:r>
            <w:r>
              <w:rPr>
                <w:sz w:val="24"/>
                <w:rFonts w:ascii="Times New Roman" w:hAnsi="Times New Roman"/>
              </w:rPr>
              <w:t xml:space="preserve">, du règlement (UE) nº 575/2013.</w:t>
            </w:r>
          </w:p>
        </w:tc>
      </w:tr>
      <w:tr w:rsidR="00C55547" w:rsidRPr="002D60D7" w14:paraId="11316298" w14:textId="77777777" w:rsidTr="000911FE">
        <w:tc>
          <w:tcPr>
            <w:tcW w:w="1413" w:type="dxa"/>
          </w:tcPr>
          <w:p w14:paraId="00B9220E" w14:textId="77777777" w:rsidR="00C55547" w:rsidRPr="002D60D7"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0530-0540</w:t>
            </w:r>
          </w:p>
        </w:tc>
        <w:tc>
          <w:tcPr>
            <w:tcW w:w="7605" w:type="dxa"/>
          </w:tcPr>
          <w:p w14:paraId="595C29DB" w14:textId="77777777" w:rsidR="00C55547" w:rsidRPr="002D60D7" w:rsidRDefault="00C55547"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EFFET GLOBAL (AJUSTEMENT) DÛ AU NON-RESPECT DU CHAPITRE 2 DU RÈGLEMENT (UE) 2017/2402</w:t>
            </w:r>
          </w:p>
          <w:p w14:paraId="3FBEAE4C" w14:textId="027236BE" w:rsidR="00C55547" w:rsidRPr="002D60D7" w:rsidRDefault="00C55547" w:rsidP="004C445F">
            <w:pPr>
              <w:suppressAutoHyphens/>
              <w:rPr>
                <w:b/>
                <w:bCs/>
                <w:sz w:val="24"/>
                <w:u w:val="single"/>
                <w:rFonts w:ascii="Times New Roman" w:hAnsi="Times New Roman"/>
              </w:rPr>
            </w:pPr>
            <w:r>
              <w:rPr>
                <w:sz w:val="24"/>
                <w:rStyle w:val="InstructionsTabelleText"/>
                <w:rFonts w:ascii="Times New Roman" w:hAnsi="Times New Roman"/>
              </w:rPr>
              <w:t xml:space="preserve">Article 270 </w:t>
            </w:r>
            <w:r>
              <w:rPr>
                <w:sz w:val="24"/>
                <w:rStyle w:val="InstructionsTabelleText"/>
                <w:i/>
                <w:rFonts w:ascii="Times New Roman" w:hAnsi="Times New Roman"/>
              </w:rPr>
              <w:t xml:space="preserve">bis</w:t>
            </w:r>
            <w:r>
              <w:rPr>
                <w:sz w:val="24"/>
                <w:rFonts w:ascii="Times New Roman" w:hAnsi="Times New Roman"/>
              </w:rPr>
              <w:t xml:space="preserve"> du règlement (UE) nº 575/2013.</w:t>
            </w:r>
          </w:p>
        </w:tc>
      </w:tr>
      <w:tr w:rsidR="00C55547" w:rsidRPr="002D60D7" w14:paraId="2BA98A90" w14:textId="77777777" w:rsidTr="000911FE">
        <w:tc>
          <w:tcPr>
            <w:tcW w:w="1413" w:type="dxa"/>
          </w:tcPr>
          <w:p w14:paraId="2EA0118D" w14:textId="77777777" w:rsidR="00C55547" w:rsidRPr="002D60D7"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0570</w:t>
            </w:r>
          </w:p>
        </w:tc>
        <w:tc>
          <w:tcPr>
            <w:tcW w:w="7605" w:type="dxa"/>
          </w:tcPr>
          <w:p w14:paraId="4DCE07C4" w14:textId="77777777" w:rsidR="00C55547" w:rsidRPr="002D60D7" w:rsidRDefault="00C55547"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AVANT APPLICATION DU PLAFOND</w:t>
            </w:r>
            <w:r>
              <w:rPr>
                <w:b/>
                <w:sz w:val="24"/>
                <w:u w:val="single"/>
                <w:rFonts w:ascii="Times New Roman" w:hAnsi="Times New Roman"/>
              </w:rPr>
              <w:t xml:space="preserve"> </w:t>
            </w:r>
          </w:p>
          <w:p w14:paraId="740CD739" w14:textId="54EB1279" w:rsidR="00C55547" w:rsidRPr="002D60D7" w:rsidRDefault="00C55547" w:rsidP="004C445F">
            <w:pPr>
              <w:suppressAutoHyphens/>
              <w:rPr>
                <w:bCs/>
                <w:sz w:val="24"/>
                <w:rFonts w:ascii="Times New Roman" w:hAnsi="Times New Roman"/>
              </w:rPr>
            </w:pPr>
            <w:r>
              <w:rPr>
                <w:sz w:val="24"/>
                <w:rFonts w:ascii="Times New Roman" w:hAnsi="Times New Roman"/>
              </w:rPr>
              <w:t xml:space="preserve">Article 337 du règlement (UE) nº 575/2013, compte non tenu de la marge d’appréciation établie à l’article 335 dudit règlement, qui permet à un établissement de plafonner le produit de la pondération et de la position nette à la perte maximale possible liée à un défaut.</w:t>
            </w:r>
          </w:p>
        </w:tc>
      </w:tr>
      <w:tr w:rsidR="00C55547" w:rsidRPr="002D60D7" w14:paraId="247B0FB8" w14:textId="77777777" w:rsidTr="000911FE">
        <w:tc>
          <w:tcPr>
            <w:tcW w:w="1413" w:type="dxa"/>
          </w:tcPr>
          <w:p w14:paraId="22357CAC" w14:textId="77777777" w:rsidR="00C55547" w:rsidRPr="002D60D7" w:rsidRDefault="00EE2CD5"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0601</w:t>
            </w:r>
          </w:p>
        </w:tc>
        <w:tc>
          <w:tcPr>
            <w:tcW w:w="7605" w:type="dxa"/>
          </w:tcPr>
          <w:p w14:paraId="78FC9B76" w14:textId="77777777" w:rsidR="00C55547" w:rsidRPr="002D60D7" w:rsidRDefault="00C55547"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APRÈS APPLICATION DU PLAFOND / EXIGENCES DE FONDS PROPRES TOTALES</w:t>
            </w:r>
            <w:r>
              <w:rPr>
                <w:b/>
                <w:sz w:val="24"/>
                <w:u w:val="single"/>
                <w:rFonts w:ascii="Times New Roman" w:hAnsi="Times New Roman"/>
              </w:rPr>
              <w:t xml:space="preserve"> </w:t>
            </w:r>
          </w:p>
          <w:p w14:paraId="0DE4FAED" w14:textId="59308D5D" w:rsidR="00C55547" w:rsidRPr="002D60D7" w:rsidRDefault="00C55547" w:rsidP="004C445F">
            <w:pPr>
              <w:suppressAutoHyphens/>
              <w:rPr>
                <w:bCs/>
                <w:sz w:val="24"/>
                <w:rFonts w:ascii="Times New Roman" w:hAnsi="Times New Roman"/>
              </w:rPr>
            </w:pPr>
            <w:r>
              <w:rPr>
                <w:sz w:val="24"/>
                <w:rFonts w:ascii="Times New Roman" w:hAnsi="Times New Roman"/>
              </w:rPr>
              <w:t xml:space="preserve">Article 337 du règlement (UE) nº 575/2013, en tenant </w:t>
            </w:r>
            <w:r>
              <w:rPr>
                <w:sz w:val="24"/>
                <w:rStyle w:val="InstructionsTabelleText"/>
                <w:rFonts w:ascii="Times New Roman" w:hAnsi="Times New Roman"/>
              </w:rPr>
              <w:t xml:space="preserve">compte</w:t>
            </w:r>
            <w:r>
              <w:rPr>
                <w:sz w:val="24"/>
                <w:rFonts w:ascii="Times New Roman" w:hAnsi="Times New Roman"/>
              </w:rPr>
              <w:t xml:space="preserve"> de la marge d’appréciation établie à l’article 335 dudit règlement.</w:t>
            </w:r>
          </w:p>
        </w:tc>
      </w:tr>
    </w:tbl>
    <w:p w14:paraId="2016D379"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537"/>
      </w:tblGrid>
      <w:tr w:rsidR="00C55547" w:rsidRPr="002D60D7" w14:paraId="02A9F41A" w14:textId="77777777" w:rsidTr="00E10B85">
        <w:trPr>
          <w:trHeight w:val="537"/>
        </w:trPr>
        <w:tc>
          <w:tcPr>
            <w:tcW w:w="8950" w:type="dxa"/>
            <w:gridSpan w:val="2"/>
            <w:shd w:val="clear" w:color="auto" w:fill="BFBFBF"/>
          </w:tcPr>
          <w:p w14:paraId="26BB8354" w14:textId="77777777" w:rsidR="00C55547" w:rsidRPr="002D60D7" w:rsidRDefault="00C55547" w:rsidP="004C445F">
            <w:pPr>
              <w:suppressAutoHyphens/>
              <w:autoSpaceDE w:val="0"/>
              <w:autoSpaceDN w:val="0"/>
              <w:adjustRightInd w:val="0"/>
              <w:spacing w:after="0"/>
              <w:rPr>
                <w:b/>
                <w:sz w:val="24"/>
                <w:rFonts w:ascii="Times New Roman" w:hAnsi="Times New Roman"/>
              </w:rPr>
            </w:pPr>
            <w:r>
              <w:rPr>
                <w:b/>
                <w:sz w:val="24"/>
                <w:rFonts w:ascii="Times New Roman" w:hAnsi="Times New Roman"/>
              </w:rPr>
              <w:t xml:space="preserve">Lignes</w:t>
            </w:r>
          </w:p>
        </w:tc>
      </w:tr>
      <w:tr w:rsidR="00C55547" w:rsidRPr="002D60D7" w14:paraId="32F42F75" w14:textId="77777777" w:rsidTr="000911FE">
        <w:tc>
          <w:tcPr>
            <w:tcW w:w="1413" w:type="dxa"/>
          </w:tcPr>
          <w:p w14:paraId="4D0640F7" w14:textId="77777777" w:rsidR="00C55547"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0010</w:t>
            </w:r>
          </w:p>
        </w:tc>
        <w:tc>
          <w:tcPr>
            <w:tcW w:w="7537" w:type="dxa"/>
          </w:tcPr>
          <w:p w14:paraId="03F7346E" w14:textId="77777777" w:rsidR="00C55547" w:rsidRPr="002D60D7" w:rsidRDefault="00C55547" w:rsidP="004C445F">
            <w:pPr>
              <w:suppressAutoHyphens/>
              <w:rPr>
                <w:sz w:val="24"/>
                <w:rFonts w:ascii="Times New Roman" w:hAnsi="Times New Roman"/>
              </w:rPr>
            </w:pPr>
            <w:r>
              <w:rPr>
                <w:rStyle w:val="InstructionsTabelleberschrift"/>
                <w:sz w:val="24"/>
                <w:rFonts w:ascii="Times New Roman" w:hAnsi="Times New Roman"/>
              </w:rPr>
              <w:t xml:space="preserve">TOTAL DES EXPOSITIONS</w:t>
            </w:r>
          </w:p>
          <w:p w14:paraId="3DA30B45" w14:textId="36AC07B8" w:rsidR="00C55547" w:rsidRPr="002D60D7" w:rsidRDefault="00C55547" w:rsidP="004C445F">
            <w:pPr>
              <w:suppressAutoHyphens/>
              <w:autoSpaceDE w:val="0"/>
              <w:autoSpaceDN w:val="0"/>
              <w:adjustRightInd w:val="0"/>
              <w:spacing w:before="0" w:after="0"/>
              <w:rPr>
                <w:sz w:val="24"/>
                <w:rFonts w:ascii="Times New Roman" w:hAnsi="Times New Roman"/>
              </w:rPr>
            </w:pPr>
            <w:r>
              <w:rPr>
                <w:rStyle w:val="InstructionsTabelleText"/>
                <w:sz w:val="24"/>
                <w:rFonts w:ascii="Times New Roman" w:hAnsi="Times New Roman"/>
              </w:rPr>
              <w:t xml:space="preserve">Encours total des titrisations et retitrisations (détenues dans le portefeuille de négociation) déclaré par l’établissement qui joue le d’initiateur, d’investisseur ou de sponsor.</w:t>
            </w:r>
          </w:p>
        </w:tc>
      </w:tr>
      <w:tr w:rsidR="00C55547" w:rsidRPr="002D60D7" w14:paraId="21E51D59" w14:textId="77777777" w:rsidTr="000911FE">
        <w:tc>
          <w:tcPr>
            <w:tcW w:w="1413" w:type="dxa"/>
          </w:tcPr>
          <w:p w14:paraId="5CCD69BA" w14:textId="77777777" w:rsidR="00C55547"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0040, 0070 et 0100</w:t>
            </w:r>
          </w:p>
        </w:tc>
        <w:tc>
          <w:tcPr>
            <w:tcW w:w="7537" w:type="dxa"/>
          </w:tcPr>
          <w:p w14:paraId="4F5DF6AF" w14:textId="77777777" w:rsidR="00C55547" w:rsidRPr="002D60D7" w:rsidRDefault="00C55547" w:rsidP="004C445F">
            <w:pPr>
              <w:suppressAutoHyphens/>
              <w:rPr>
                <w:rStyle w:val="InstructionsTabelleberschrift"/>
                <w:sz w:val="24"/>
                <w:rFonts w:ascii="Times New Roman" w:hAnsi="Times New Roman"/>
              </w:rPr>
            </w:pPr>
            <w:r>
              <w:rPr>
                <w:rStyle w:val="InstructionsTabelleberschrift"/>
                <w:sz w:val="24"/>
                <w:rFonts w:ascii="Times New Roman" w:hAnsi="Times New Roman"/>
              </w:rPr>
              <w:t xml:space="preserve">POSITIONS DE TITRISATION</w:t>
            </w:r>
          </w:p>
          <w:p w14:paraId="62CD89EA" w14:textId="30BF22B1" w:rsidR="00C55547" w:rsidRPr="002D60D7" w:rsidRDefault="00532026" w:rsidP="004C445F">
            <w:pPr>
              <w:suppressAutoHyphens/>
              <w:autoSpaceDE w:val="0"/>
              <w:autoSpaceDN w:val="0"/>
              <w:adjustRightInd w:val="0"/>
              <w:spacing w:before="0" w:after="0"/>
              <w:rPr>
                <w:bCs/>
                <w:sz w:val="24"/>
                <w:rFonts w:ascii="Times New Roman" w:hAnsi="Times New Roman"/>
              </w:rPr>
            </w:pPr>
            <w:r>
              <w:rPr>
                <w:sz w:val="24"/>
                <w:rFonts w:ascii="Times New Roman" w:hAnsi="Times New Roman"/>
              </w:rPr>
              <w:t xml:space="preserve"> </w:t>
            </w:r>
            <w:r>
              <w:rPr>
                <w:sz w:val="24"/>
                <w:rFonts w:ascii="Times New Roman" w:hAnsi="Times New Roman"/>
              </w:rPr>
              <w:t xml:space="preserve">Article 4, paragraphe 1, point 62), du règlement (UE) nº 575/2013.</w:t>
            </w:r>
          </w:p>
          <w:p w14:paraId="0230B6E5"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4D9AAB18" w14:textId="77777777" w:rsidTr="000911FE">
        <w:tc>
          <w:tcPr>
            <w:tcW w:w="1413" w:type="dxa"/>
          </w:tcPr>
          <w:p w14:paraId="6DA3B4FA" w14:textId="77777777" w:rsidR="00C55547"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0020, 0050, 0080 et 0110</w:t>
            </w:r>
          </w:p>
        </w:tc>
        <w:tc>
          <w:tcPr>
            <w:tcW w:w="7537" w:type="dxa"/>
          </w:tcPr>
          <w:p w14:paraId="3C62BCE7" w14:textId="77777777" w:rsidR="00C55547" w:rsidRPr="002D60D7" w:rsidRDefault="00C55547" w:rsidP="004C445F">
            <w:pPr>
              <w:suppressAutoHyphens/>
              <w:rPr>
                <w:rStyle w:val="InstructionsTabelleberschrift"/>
                <w:sz w:val="24"/>
                <w:rFonts w:ascii="Times New Roman" w:hAnsi="Times New Roman"/>
              </w:rPr>
            </w:pPr>
            <w:r>
              <w:rPr>
                <w:rStyle w:val="InstructionsTabelleberschrift"/>
                <w:sz w:val="24"/>
                <w:rFonts w:ascii="Times New Roman" w:hAnsi="Times New Roman"/>
              </w:rPr>
              <w:t xml:space="preserve">POSITIONS DE RETITRISATION</w:t>
            </w:r>
          </w:p>
          <w:p w14:paraId="32F5BAEB" w14:textId="2FA2B3C6" w:rsidR="00C55547" w:rsidRPr="002D60D7" w:rsidRDefault="00D24331" w:rsidP="004C445F">
            <w:pPr>
              <w:suppressAutoHyphens/>
              <w:autoSpaceDE w:val="0"/>
              <w:autoSpaceDN w:val="0"/>
              <w:adjustRightInd w:val="0"/>
              <w:spacing w:before="0" w:after="0"/>
              <w:rPr>
                <w:bCs/>
                <w:sz w:val="24"/>
                <w:rFonts w:ascii="Times New Roman" w:hAnsi="Times New Roman"/>
              </w:rPr>
            </w:pPr>
            <w:r>
              <w:rPr>
                <w:sz w:val="24"/>
                <w:rFonts w:ascii="Times New Roman" w:hAnsi="Times New Roman"/>
              </w:rPr>
              <w:t xml:space="preserve">Article 4, paragraphe 1, point 64), du règlement (UE) nº 575/2013.</w:t>
            </w:r>
          </w:p>
          <w:p w14:paraId="18108A69"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51A33F7" w14:textId="77777777" w:rsidTr="000911FE">
        <w:tc>
          <w:tcPr>
            <w:tcW w:w="1413" w:type="dxa"/>
          </w:tcPr>
          <w:p w14:paraId="41A2A677" w14:textId="77777777" w:rsidR="00C55547"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0041, 0071 et 0101</w:t>
            </w:r>
          </w:p>
        </w:tc>
        <w:tc>
          <w:tcPr>
            <w:tcW w:w="7537" w:type="dxa"/>
          </w:tcPr>
          <w:p w14:paraId="17D8E88B" w14:textId="77777777" w:rsidR="00C55547" w:rsidRPr="002D60D7" w:rsidRDefault="00C55547" w:rsidP="004C445F">
            <w:pPr>
              <w:suppressAutoHyphens/>
              <w:rPr>
                <w:rStyle w:val="InstructionsTabelleberschrift"/>
                <w:sz w:val="24"/>
                <w:rFonts w:ascii="Times New Roman" w:hAnsi="Times New Roman"/>
              </w:rPr>
            </w:pPr>
            <w:r>
              <w:rPr>
                <w:rStyle w:val="InstructionsTabelleberschrift"/>
                <w:sz w:val="24"/>
                <w:rFonts w:ascii="Times New Roman" w:hAnsi="Times New Roman"/>
              </w:rPr>
              <w:t xml:space="preserve">DONT:</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ÉLIGIBLES AU TRAITEMENT DIFFÉRENCIÉ EN TERMES D’EXIGENCES DE FONDS PROPRES</w:t>
            </w:r>
          </w:p>
          <w:p w14:paraId="775DD0A5" w14:textId="5E8A13EA" w:rsidR="00C55547" w:rsidRPr="002D60D7" w:rsidRDefault="00C55547" w:rsidP="004C445F">
            <w:pPr>
              <w:suppressAutoHyphens/>
              <w:rPr>
                <w:rStyle w:val="InstructionsTabelleberschrift"/>
                <w:sz w:val="24"/>
                <w:rFonts w:ascii="Times New Roman" w:hAnsi="Times New Roman"/>
              </w:rPr>
            </w:pPr>
            <w:r>
              <w:rPr>
                <w:sz w:val="24"/>
                <w:rFonts w:ascii="Times New Roman" w:hAnsi="Times New Roman"/>
              </w:rPr>
              <w:t xml:space="preserve">Montant total des positions de titrisation qui remplissent les critères définis à l’article 243 ou à l’article 270 du règlement (UE) nº 575/2013 et sont donc éligibles au traitement différencié en termes d’exigences de fonds propres.</w:t>
            </w:r>
            <w:r>
              <w:rPr>
                <w:sz w:val="24"/>
                <w:rFonts w:ascii="Times New Roman" w:hAnsi="Times New Roman"/>
              </w:rPr>
              <w:t xml:space="preserve"> </w:t>
            </w:r>
          </w:p>
        </w:tc>
      </w:tr>
      <w:tr w:rsidR="00C55547" w:rsidRPr="002D60D7" w14:paraId="5FAF4052" w14:textId="77777777" w:rsidTr="000911FE">
        <w:tc>
          <w:tcPr>
            <w:tcW w:w="1413" w:type="dxa"/>
          </w:tcPr>
          <w:p w14:paraId="39486578" w14:textId="77777777" w:rsidR="00C55547"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0030-0050</w:t>
            </w:r>
          </w:p>
        </w:tc>
        <w:tc>
          <w:tcPr>
            <w:tcW w:w="7537" w:type="dxa"/>
          </w:tcPr>
          <w:p w14:paraId="29698529" w14:textId="77777777" w:rsidR="00C55547" w:rsidRPr="002D60D7" w:rsidRDefault="00C55547" w:rsidP="004C445F">
            <w:pPr>
              <w:suppressAutoHyphens/>
              <w:rPr>
                <w:rStyle w:val="InstructionsTabelleberschrift"/>
                <w:sz w:val="24"/>
                <w:rFonts w:ascii="Times New Roman" w:hAnsi="Times New Roman"/>
              </w:rPr>
            </w:pPr>
            <w:r>
              <w:rPr>
                <w:rStyle w:val="InstructionsTabelleberschrift"/>
                <w:sz w:val="24"/>
                <w:rFonts w:ascii="Times New Roman" w:hAnsi="Times New Roman"/>
              </w:rPr>
              <w:t xml:space="preserve">INITIATEUR</w:t>
            </w:r>
          </w:p>
          <w:p w14:paraId="50264432" w14:textId="0FD773BF" w:rsidR="00C55547" w:rsidRPr="002D60D7" w:rsidRDefault="00D24331" w:rsidP="004C445F">
            <w:pPr>
              <w:suppressAutoHyphens/>
              <w:autoSpaceDE w:val="0"/>
              <w:autoSpaceDN w:val="0"/>
              <w:adjustRightInd w:val="0"/>
              <w:spacing w:before="0" w:after="0"/>
              <w:rPr>
                <w:bCs/>
                <w:sz w:val="24"/>
                <w:rFonts w:ascii="Times New Roman" w:hAnsi="Times New Roman"/>
              </w:rPr>
            </w:pPr>
            <w:r>
              <w:rPr>
                <w:sz w:val="24"/>
                <w:rFonts w:ascii="Times New Roman" w:hAnsi="Times New Roman"/>
              </w:rPr>
              <w:t xml:space="preserve">Article 4, paragraphe 1, point 13), du règlement (UE) nº 575/2013.</w:t>
            </w:r>
          </w:p>
          <w:p w14:paraId="671304E2"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1241B5AC" w14:textId="77777777" w:rsidTr="000911FE">
        <w:tc>
          <w:tcPr>
            <w:tcW w:w="1413" w:type="dxa"/>
          </w:tcPr>
          <w:p w14:paraId="61436B0B" w14:textId="77777777" w:rsidR="00C55547"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0060-0080</w:t>
            </w:r>
          </w:p>
        </w:tc>
        <w:tc>
          <w:tcPr>
            <w:tcW w:w="7537" w:type="dxa"/>
          </w:tcPr>
          <w:p w14:paraId="726E7C5B" w14:textId="77777777" w:rsidR="00C55547" w:rsidRPr="002D60D7" w:rsidRDefault="00C55547" w:rsidP="004C445F">
            <w:pPr>
              <w:suppressAutoHyphens/>
              <w:rPr>
                <w:rStyle w:val="InstructionsTabelleberschrift"/>
                <w:sz w:val="24"/>
                <w:rFonts w:ascii="Times New Roman" w:hAnsi="Times New Roman"/>
              </w:rPr>
            </w:pPr>
            <w:r>
              <w:rPr>
                <w:rStyle w:val="InstructionsTabelleberschrift"/>
                <w:sz w:val="24"/>
                <w:rFonts w:ascii="Times New Roman" w:hAnsi="Times New Roman"/>
              </w:rPr>
              <w:t xml:space="preserve">INVESTISSEUR</w:t>
            </w:r>
          </w:p>
          <w:p w14:paraId="13A59676" w14:textId="722AE4F3" w:rsidR="00C55547" w:rsidRPr="002D60D7" w:rsidRDefault="00C55547" w:rsidP="004C445F">
            <w:pPr>
              <w:suppressAutoHyphens/>
              <w:autoSpaceDE w:val="0"/>
              <w:autoSpaceDN w:val="0"/>
              <w:adjustRightInd w:val="0"/>
              <w:spacing w:before="0" w:after="0"/>
              <w:rPr>
                <w:bCs/>
                <w:sz w:val="24"/>
                <w:rFonts w:ascii="Times New Roman" w:hAnsi="Times New Roman"/>
              </w:rPr>
            </w:pPr>
            <w:r>
              <w:rPr>
                <w:sz w:val="24"/>
                <w:rFonts w:ascii="Times New Roman" w:hAnsi="Times New Roman"/>
              </w:rPr>
              <w:t xml:space="preserve">Établissement de crédit qui détient une position de titrisation dans le cadre d’une opération de titrisation pour laquelle il n’est ni initiateur, ni sponsor, ni prêteur initial.</w:t>
            </w:r>
            <w:r>
              <w:rPr>
                <w:sz w:val="24"/>
                <w:rFonts w:ascii="Times New Roman" w:hAnsi="Times New Roman"/>
              </w:rPr>
              <w:t xml:space="preserve"> </w:t>
            </w:r>
          </w:p>
          <w:p w14:paraId="5289F9D1"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6D8A55A" w14:textId="77777777" w:rsidTr="000911FE">
        <w:tc>
          <w:tcPr>
            <w:tcW w:w="1413" w:type="dxa"/>
          </w:tcPr>
          <w:p w14:paraId="7DE34CCA" w14:textId="77777777" w:rsidR="00C55547"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0090-0110</w:t>
            </w:r>
          </w:p>
        </w:tc>
        <w:tc>
          <w:tcPr>
            <w:tcW w:w="7537" w:type="dxa"/>
          </w:tcPr>
          <w:p w14:paraId="1405E243" w14:textId="77777777" w:rsidR="00C55547" w:rsidRPr="002D60D7" w:rsidRDefault="00C55547" w:rsidP="004C445F">
            <w:pPr>
              <w:suppressAutoHyphens/>
              <w:rPr>
                <w:rStyle w:val="InstructionsTabelleberschrift"/>
                <w:sz w:val="24"/>
                <w:rFonts w:ascii="Times New Roman" w:hAnsi="Times New Roman"/>
              </w:rPr>
            </w:pPr>
            <w:r>
              <w:rPr>
                <w:rStyle w:val="InstructionsTabelleberschrift"/>
                <w:sz w:val="24"/>
                <w:rFonts w:ascii="Times New Roman" w:hAnsi="Times New Roman"/>
              </w:rPr>
              <w:t xml:space="preserve">SPONSOR</w:t>
            </w:r>
          </w:p>
          <w:p w14:paraId="40C5E800" w14:textId="57801E6F" w:rsidR="000242CC" w:rsidRPr="002D60D7" w:rsidRDefault="00D24331" w:rsidP="004C445F">
            <w:pPr>
              <w:suppressAutoHyphens/>
              <w:autoSpaceDE w:val="0"/>
              <w:autoSpaceDN w:val="0"/>
              <w:adjustRightInd w:val="0"/>
              <w:spacing w:before="0" w:after="0"/>
              <w:rPr>
                <w:rStyle w:val="InstructionsTabelleText"/>
                <w:sz w:val="24"/>
                <w:rFonts w:ascii="Times New Roman" w:hAnsi="Times New Roman"/>
              </w:rPr>
            </w:pPr>
            <w:r>
              <w:rPr>
                <w:sz w:val="24"/>
                <w:rFonts w:ascii="Times New Roman" w:hAnsi="Times New Roman"/>
              </w:rPr>
              <w:t xml:space="preserve">Article 4, paragraphe 1, point 14), du règlement (UE) nº 575/2013</w:t>
            </w:r>
            <w:r>
              <w:rPr>
                <w:sz w:val="24"/>
                <w:rStyle w:val="InstructionsTabelleText"/>
                <w:rFonts w:ascii="Times New Roman" w:hAnsi="Times New Roman"/>
              </w:rPr>
              <w:t xml:space="preserve">.</w:t>
            </w:r>
            <w:r>
              <w:rPr>
                <w:sz w:val="24"/>
                <w:rStyle w:val="InstructionsTabelleText"/>
                <w:rFonts w:ascii="Times New Roman" w:hAnsi="Times New Roman"/>
              </w:rPr>
              <w:t xml:space="preserve"> </w:t>
            </w:r>
          </w:p>
          <w:p w14:paraId="036222AB" w14:textId="77777777" w:rsidR="00C55547" w:rsidRPr="002D60D7" w:rsidRDefault="00532026" w:rsidP="004C445F">
            <w:pPr>
              <w:suppressAutoHyphens/>
              <w:autoSpaceDE w:val="0"/>
              <w:autoSpaceDN w:val="0"/>
              <w:adjustRightInd w:val="0"/>
              <w:spacing w:before="0" w:after="0"/>
              <w:rPr>
                <w:rStyle w:val="InstructionsTabelleText"/>
                <w:sz w:val="24"/>
                <w:rFonts w:ascii="Times New Roman" w:hAnsi="Times New Roman"/>
              </w:rPr>
            </w:pPr>
            <w:r>
              <w:rPr>
                <w:rStyle w:val="InstructionsTabelleText"/>
                <w:sz w:val="24"/>
                <w:rFonts w:ascii="Times New Roman" w:hAnsi="Times New Roman"/>
              </w:rPr>
              <w:t xml:space="preserve">Un sponsor qui titrise également ses propres actifs devra indiquer, dans les lignes sur l’initiateur, les informations relatives à ses propres actifs titrisés.</w:t>
            </w:r>
          </w:p>
        </w:tc>
      </w:tr>
    </w:tbl>
    <w:p w14:paraId="2E044F0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7658B148" w14:textId="15701631" w:rsidR="000B0B09" w:rsidRPr="002D60D7" w:rsidRDefault="00C22B34" w:rsidP="004C445F">
      <w:pPr>
        <w:pStyle w:val="Instructionsberschrift2"/>
        <w:numPr>
          <w:ilvl w:val="0"/>
          <w:numId w:val="0"/>
        </w:numPr>
        <w:suppressAutoHyphens/>
        <w:ind w:left="357" w:hanging="357"/>
        <w:rPr>
          <w:sz w:val="24"/>
          <w:rFonts w:ascii="Times New Roman" w:hAnsi="Times New Roman" w:cs="Times New Roman"/>
        </w:rPr>
      </w:pPr>
      <w:bookmarkStart w:id="73" w:name="_Toc294172373"/>
      <w:bookmarkStart w:id="74" w:name="_Toc295830002"/>
      <w:bookmarkStart w:id="75" w:name="_Toc308426679"/>
      <w:bookmarkStart w:id="76" w:name="_Toc310415063"/>
      <w:bookmarkStart w:id="77" w:name="_Toc360188398"/>
      <w:bookmarkStart w:id="78" w:name="_Toc473561038"/>
      <w:bookmarkStart w:id="79" w:name="_Toc210732255"/>
      <w:r>
        <w:rPr>
          <w:sz w:val="24"/>
          <w:u w:val="none"/>
          <w:rFonts w:ascii="Times New Roman" w:hAnsi="Times New Roman"/>
        </w:rPr>
        <w:t xml:space="preserve">4.</w:t>
      </w:r>
      <w:r>
        <w:tab/>
      </w:r>
      <w:r>
        <w:rPr>
          <w:sz w:val="24"/>
          <w:rFonts w:ascii="Times New Roman" w:hAnsi="Times New Roman"/>
        </w:rPr>
        <w:t xml:space="preserve">C 20.00 – RISQUE DE MARCHÉ:</w:t>
      </w:r>
      <w:r>
        <w:rPr>
          <w:sz w:val="24"/>
          <w:rFonts w:ascii="Times New Roman" w:hAnsi="Times New Roman"/>
        </w:rPr>
        <w:t xml:space="preserve"> </w:t>
      </w:r>
      <w:r>
        <w:rPr>
          <w:sz w:val="24"/>
          <w:rFonts w:ascii="Times New Roman" w:hAnsi="Times New Roman"/>
        </w:rPr>
        <w:t xml:space="preserve">APPROCHE STANDARD DU RISQUE SPÉCIFIQUE POUR LES POSITIONS DU PORTEFEUILLE DE NÉGOCIATION EN CORRÉLATION (MKR SA CTP</w:t>
      </w:r>
      <w:bookmarkEnd w:id="73"/>
      <w:bookmarkEnd w:id="74"/>
      <w:bookmarkEnd w:id="75"/>
      <w:bookmarkEnd w:id="76"/>
      <w:r>
        <w:rPr>
          <w:sz w:val="24"/>
          <w:rFonts w:ascii="Times New Roman" w:hAnsi="Times New Roman"/>
        </w:rPr>
        <w:t xml:space="preserve">)</w:t>
      </w:r>
      <w:bookmarkEnd w:id="77"/>
      <w:bookmarkEnd w:id="78"/>
      <w:bookmarkEnd w:id="79"/>
    </w:p>
    <w:p w14:paraId="43960D05" w14:textId="0A1B0018" w:rsidR="000B0B09" w:rsidRPr="002D60D7" w:rsidRDefault="00C22B34" w:rsidP="004C445F">
      <w:pPr>
        <w:pStyle w:val="Instructionsberschrift2"/>
        <w:numPr>
          <w:ilvl w:val="0"/>
          <w:numId w:val="0"/>
        </w:numPr>
        <w:suppressAutoHyphens/>
        <w:ind w:left="357" w:hanging="357"/>
        <w:rPr>
          <w:sz w:val="24"/>
          <w:rFonts w:ascii="Times New Roman" w:hAnsi="Times New Roman" w:cs="Times New Roman"/>
        </w:rPr>
      </w:pPr>
      <w:bookmarkStart w:id="80" w:name="_Toc294172374"/>
      <w:bookmarkStart w:id="81" w:name="_Toc295830003"/>
      <w:bookmarkStart w:id="82" w:name="_Toc308426680"/>
      <w:bookmarkStart w:id="83" w:name="_Toc310415064"/>
      <w:bookmarkStart w:id="84" w:name="_Toc360188399"/>
      <w:bookmarkStart w:id="85" w:name="_Toc473561039"/>
      <w:bookmarkStart w:id="86" w:name="_Toc210732256"/>
      <w:r>
        <w:rPr>
          <w:sz w:val="24"/>
          <w:u w:val="none"/>
          <w:rFonts w:ascii="Times New Roman" w:hAnsi="Times New Roman"/>
        </w:rPr>
        <w:t xml:space="preserve">4.1.</w:t>
      </w:r>
      <w:r>
        <w:tab/>
      </w:r>
      <w:r>
        <w:rPr>
          <w:sz w:val="24"/>
          <w:rFonts w:ascii="Times New Roman" w:hAnsi="Times New Roman"/>
        </w:rPr>
        <w:t xml:space="preserve">Remarques générales</w:t>
      </w:r>
      <w:bookmarkEnd w:id="80"/>
      <w:bookmarkEnd w:id="81"/>
      <w:bookmarkEnd w:id="82"/>
      <w:bookmarkEnd w:id="83"/>
      <w:bookmarkEnd w:id="84"/>
      <w:bookmarkEnd w:id="85"/>
      <w:bookmarkEnd w:id="86"/>
    </w:p>
    <w:p w14:paraId="6E7E4803" w14:textId="7EB80912" w:rsidR="00C55547" w:rsidRPr="002D60D7" w:rsidRDefault="00C55547" w:rsidP="00E172EA">
      <w:pPr>
        <w:pStyle w:val="InstructionsText2"/>
        <w:numPr>
          <w:ilvl w:val="0"/>
          <w:numId w:val="29"/>
        </w:numPr>
        <w:suppressAutoHyphens/>
      </w:pPr>
      <w:bookmarkStart w:id="87" w:name="_Toc294172375"/>
      <w:bookmarkStart w:id="88" w:name="_Toc295830004"/>
      <w:bookmarkStart w:id="89" w:name="_Toc308426681"/>
      <w:bookmarkStart w:id="90" w:name="_Toc310415065"/>
      <w:bookmarkStart w:id="91" w:name="_Toc360188400"/>
      <w:bookmarkStart w:id="92" w:name="_Toc473561040"/>
      <w:r>
        <w:t xml:space="preserve">Ce modèle rassemble des informations sur les positions du portefeuille de négociation en corrélation (CTP) [comprenant les titrisations, dérivés de crédit au nième défaut et autres positions du CTP incluses conformément à l’article 338, paragraphe 3, du règlement (UE) nº 575/2013] et les exigences de fonds propres correspondantes, selon l’approche standard.</w:t>
      </w:r>
    </w:p>
    <w:p w14:paraId="7D9D9B10" w14:textId="1F1EFDEB" w:rsidR="00C55547" w:rsidRPr="002D60D7" w:rsidRDefault="00C55547" w:rsidP="00E172EA">
      <w:pPr>
        <w:pStyle w:val="InstructionsText2"/>
        <w:numPr>
          <w:ilvl w:val="0"/>
          <w:numId w:val="29"/>
        </w:numPr>
        <w:suppressAutoHyphens/>
      </w:pPr>
      <w:r>
        <w:t xml:space="preserve">Le modèle MKR SA CTP présente l’exigence de fonds propres uniquement pour le risque spécifique des positions affectées au CTP conformément à l’article 335 du règlement (UE) nº 575/2013 en lien avec l’article 338, paragraphes 2 et 3, dudit règlement.</w:t>
      </w:r>
      <w:r>
        <w:t xml:space="preserve"> </w:t>
      </w:r>
      <w:r>
        <w:t xml:space="preserve">Lorsque les positions CTP du portefeuille de négociation sont couvertes par des dérivés de crédit, les articles 346 et 347 du règlement (UE) nº 575/2013 s’appliquent.</w:t>
      </w:r>
      <w:r>
        <w:t xml:space="preserve"> </w:t>
      </w:r>
      <w:r>
        <w:t xml:space="preserve">Il n’existe qu’un modèle pour toutes les positions CTP du portefeuille de négociation, quelle que soit l’approche appliquée par les entreprises d’investissement pour déterminer la pondération de risque de chacune des positions conformément à la troisième partie, titre II, chapitre 5, du règlement (UE) nº 575/2013.</w:t>
      </w:r>
      <w:r>
        <w:t xml:space="preserve"> </w:t>
      </w:r>
      <w:r>
        <w:t xml:space="preserve">Les exigences de fonds propres pour le risque général de ces positions sont déclarées dans les modèles MKR SA TDI ou MKR IM.</w:t>
      </w:r>
    </w:p>
    <w:p w14:paraId="2252BE4F" w14:textId="4513CABA" w:rsidR="00C55547" w:rsidRPr="002D60D7" w:rsidRDefault="00C55547" w:rsidP="00E172EA">
      <w:pPr>
        <w:pStyle w:val="InstructionsText2"/>
        <w:numPr>
          <w:ilvl w:val="0"/>
          <w:numId w:val="29"/>
        </w:numPr>
        <w:suppressAutoHyphens/>
      </w:pPr>
      <w:r>
        <w:t xml:space="preserve">Ce modèle distingue les positions de titrisation, les dérivés de crédit au nième défaut et les autres positions CTP.</w:t>
      </w:r>
      <w:r>
        <w:t xml:space="preserve"> </w:t>
      </w:r>
      <w:r>
        <w:t xml:space="preserve">Les positions de titrisation seront toujours déclarées aux lignes 0030, 0060 ou 0090 (selon le rôle de l’établissement dans la titrisation).</w:t>
      </w:r>
      <w:r>
        <w:t xml:space="preserve"> </w:t>
      </w:r>
      <w:r>
        <w:t xml:space="preserve">Les dérivés de crédit au nième défaut seront toujours déclarés à la ligne 0110.</w:t>
      </w:r>
      <w:r>
        <w:t xml:space="preserve"> </w:t>
      </w:r>
      <w:r>
        <w:t xml:space="preserve">Les “autres positions du portefeuille de négociation en corrélation” sont des positions qui ne sont ni des positions de titrisation ni des dérivés de crédit au nième défaut [voir l’article 338, paragraphe 3, du règlement (UE) nº 575/2013], mais qui sont explicitement “liées” (en raison de l’objectif de couverture) à une de ces deux positions.</w:t>
      </w:r>
      <w:r>
        <w:t xml:space="preserve"> </w:t>
      </w:r>
    </w:p>
    <w:p w14:paraId="5B5B9C2A" w14:textId="127C8328" w:rsidR="00C55547" w:rsidRPr="002D60D7" w:rsidRDefault="00C55547" w:rsidP="00E172EA">
      <w:pPr>
        <w:pStyle w:val="InstructionsText2"/>
        <w:numPr>
          <w:ilvl w:val="0"/>
          <w:numId w:val="29"/>
        </w:numPr>
        <w:suppressAutoHyphens/>
      </w:pPr>
      <w:r>
        <w:t xml:space="preserve">Les positions qui reçoivent une pondération de risque de 1 250 % peuvent, subsidiairement, être déduites des fonds propres de base de catégorie 1 (CET1) [voir l’article 244, paragraphe 1, point b), l’article 245, paragraphe 1, point b), et l’article 253 du règlement (UE) nº 575/2013].</w:t>
      </w:r>
      <w:r>
        <w:t xml:space="preserve"> </w:t>
      </w:r>
      <w:r>
        <w:t xml:space="preserve">Ces positions sont déclarées dans ce modèle, même si l’établissement fait usage de la déduction.</w:t>
      </w:r>
    </w:p>
    <w:p w14:paraId="6482CB53" w14:textId="4A90E23B" w:rsidR="000B0B09" w:rsidRPr="002D60D7" w:rsidRDefault="00C22B34" w:rsidP="004C445F">
      <w:pPr>
        <w:pStyle w:val="Instructionsberschrift2"/>
        <w:numPr>
          <w:ilvl w:val="0"/>
          <w:numId w:val="0"/>
        </w:numPr>
        <w:suppressAutoHyphens/>
        <w:ind w:left="357" w:hanging="357"/>
        <w:rPr>
          <w:sz w:val="24"/>
          <w:rFonts w:ascii="Times New Roman" w:hAnsi="Times New Roman" w:cs="Times New Roman"/>
        </w:rPr>
      </w:pPr>
      <w:bookmarkStart w:id="93" w:name="_Toc210732257"/>
      <w:r>
        <w:rPr>
          <w:sz w:val="24"/>
          <w:u w:val="none"/>
          <w:rFonts w:ascii="Times New Roman" w:hAnsi="Times New Roman"/>
        </w:rPr>
        <w:t xml:space="preserve">4.2.</w:t>
      </w:r>
      <w:r>
        <w:tab/>
      </w:r>
      <w:r>
        <w:rPr>
          <w:sz w:val="24"/>
          <w:rFonts w:ascii="Times New Roman" w:hAnsi="Times New Roman"/>
        </w:rPr>
        <w:t xml:space="preserve">Instructions concernant certaines positions</w:t>
      </w:r>
      <w:bookmarkEnd w:id="87"/>
      <w:bookmarkEnd w:id="88"/>
      <w:bookmarkEnd w:id="89"/>
      <w:bookmarkEnd w:id="90"/>
      <w:bookmarkEnd w:id="91"/>
      <w:bookmarkEnd w:id="92"/>
      <w:bookmarkEnd w:id="93"/>
    </w:p>
    <w:p w14:paraId="08BF27B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874"/>
      </w:tblGrid>
      <w:tr w:rsidR="00C55547" w:rsidRPr="002D60D7" w14:paraId="05BDB97B" w14:textId="77777777" w:rsidTr="00E10B85">
        <w:trPr>
          <w:trHeight w:val="602"/>
        </w:trPr>
        <w:tc>
          <w:tcPr>
            <w:tcW w:w="8890" w:type="dxa"/>
            <w:gridSpan w:val="2"/>
            <w:shd w:val="clear" w:color="auto" w:fill="CCCCCC"/>
          </w:tcPr>
          <w:p w14:paraId="286354EC" w14:textId="77777777" w:rsidR="00C55547" w:rsidRPr="002D60D7" w:rsidRDefault="00C55547" w:rsidP="004C445F">
            <w:pPr>
              <w:suppressAutoHyphens/>
              <w:autoSpaceDE w:val="0"/>
              <w:autoSpaceDN w:val="0"/>
              <w:adjustRightInd w:val="0"/>
              <w:spacing w:after="0"/>
              <w:rPr>
                <w:b/>
                <w:sz w:val="24"/>
                <w:rFonts w:ascii="Times New Roman" w:hAnsi="Times New Roman"/>
              </w:rPr>
            </w:pPr>
            <w:r>
              <w:rPr>
                <w:b/>
                <w:sz w:val="24"/>
                <w:rFonts w:ascii="Times New Roman" w:hAnsi="Times New Roman"/>
              </w:rPr>
              <w:t xml:space="preserve">Colonnes</w:t>
            </w:r>
          </w:p>
        </w:tc>
      </w:tr>
      <w:tr w:rsidR="00C55547" w:rsidRPr="002D60D7" w14:paraId="697D3EB6" w14:textId="77777777" w:rsidTr="00E10B85">
        <w:tc>
          <w:tcPr>
            <w:tcW w:w="1016" w:type="dxa"/>
          </w:tcPr>
          <w:p w14:paraId="5A814BB2" w14:textId="77777777" w:rsidR="00C55547"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0010-0020</w:t>
            </w:r>
          </w:p>
        </w:tc>
        <w:tc>
          <w:tcPr>
            <w:tcW w:w="7874" w:type="dxa"/>
          </w:tcPr>
          <w:p w14:paraId="2D41C55B" w14:textId="77777777" w:rsidR="00C55547" w:rsidRPr="002D60D7" w:rsidRDefault="00C55547" w:rsidP="004C445F">
            <w:pPr>
              <w:suppressAutoHyphens/>
              <w:rPr>
                <w:rStyle w:val="InstructionsTabelleberschrift"/>
                <w:sz w:val="24"/>
                <w:rFonts w:ascii="Times New Roman" w:hAnsi="Times New Roman"/>
              </w:rPr>
            </w:pPr>
            <w:r>
              <w:rPr>
                <w:rStyle w:val="InstructionsTabelleberschrift"/>
                <w:sz w:val="24"/>
                <w:rFonts w:ascii="Times New Roman" w:hAnsi="Times New Roman"/>
              </w:rPr>
              <w:t xml:space="preserve">TOUTES LES POSITIONS (LONGUES ET COURTES)</w:t>
            </w:r>
          </w:p>
          <w:p w14:paraId="4F3CF7CB" w14:textId="3DE2B427" w:rsidR="005C14B0" w:rsidRPr="002D60D7" w:rsidRDefault="00C55547" w:rsidP="004C445F">
            <w:pPr>
              <w:suppressAutoHyphens/>
              <w:rPr>
                <w:sz w:val="24"/>
                <w:rFonts w:ascii="Times New Roman" w:hAnsi="Times New Roman"/>
              </w:rPr>
            </w:pPr>
            <w:r>
              <w:rPr>
                <w:sz w:val="24"/>
                <w:rFonts w:ascii="Times New Roman" w:hAnsi="Times New Roman"/>
              </w:rPr>
              <w:t xml:space="preserve">Article 102 et article 105, paragraphe 1, du règlement (UE) nº 575/2013 en lien avec l’article 338, paragraphes 2 et 3, dudit règlement (positions affectées au portefeuille de négociation en corrélation).</w:t>
            </w:r>
          </w:p>
          <w:p w14:paraId="70FB0860" w14:textId="54994400" w:rsidR="00C55547" w:rsidRPr="002D60D7" w:rsidRDefault="00C55547" w:rsidP="004C445F">
            <w:pPr>
              <w:suppressAutoHyphens/>
              <w:rPr>
                <w:sz w:val="24"/>
                <w:rFonts w:ascii="Times New Roman" w:hAnsi="Times New Roman"/>
              </w:rPr>
            </w:pPr>
            <w:r>
              <w:rPr>
                <w:sz w:val="24"/>
                <w:rFonts w:ascii="Times New Roman" w:hAnsi="Times New Roman"/>
              </w:rPr>
              <w:t xml:space="preserve">En ce qui concerne la distinction entre les positions longues et courtes, également applicable à ces positions brutes, voir l’article 328, paragraphe 2, du règlement (UE) nº 575/2013.</w:t>
            </w:r>
          </w:p>
        </w:tc>
      </w:tr>
      <w:tr w:rsidR="00C55547" w:rsidRPr="002D60D7" w14:paraId="3641769F" w14:textId="77777777" w:rsidTr="00E10B85">
        <w:tc>
          <w:tcPr>
            <w:tcW w:w="1016" w:type="dxa"/>
          </w:tcPr>
          <w:p w14:paraId="04DBC56E" w14:textId="77777777" w:rsidR="00C55547"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0030-0040</w:t>
            </w:r>
          </w:p>
        </w:tc>
        <w:tc>
          <w:tcPr>
            <w:tcW w:w="7874" w:type="dxa"/>
          </w:tcPr>
          <w:p w14:paraId="7E31C35B" w14:textId="77777777" w:rsidR="00C55547" w:rsidRPr="002D60D7" w:rsidRDefault="00C55547" w:rsidP="004C445F">
            <w:pPr>
              <w:suppressAutoHyphens/>
              <w:rPr>
                <w:rStyle w:val="InstructionsTabelleberschrift"/>
                <w:sz w:val="24"/>
                <w:rFonts w:ascii="Times New Roman" w:hAnsi="Times New Roman"/>
              </w:rPr>
            </w:pPr>
            <w:r>
              <w:rPr>
                <w:rStyle w:val="InstructionsTabelleberschrift"/>
                <w:sz w:val="24"/>
                <w:rFonts w:ascii="Times New Roman" w:hAnsi="Times New Roman"/>
              </w:rPr>
              <w:t xml:space="preserve">(-) POSITIONS DÉDUITES DES FONDS PROPRES (POSITIONS LONGUES ET COURTES)</w:t>
            </w:r>
          </w:p>
          <w:p w14:paraId="56207551" w14:textId="0069D39B" w:rsidR="00C55547" w:rsidRPr="002D60D7" w:rsidRDefault="00C55547" w:rsidP="004C445F">
            <w:pPr>
              <w:suppressAutoHyphens/>
              <w:rPr>
                <w:sz w:val="24"/>
                <w:rFonts w:ascii="Times New Roman" w:hAnsi="Times New Roman"/>
              </w:rPr>
            </w:pPr>
            <w:r>
              <w:rPr>
                <w:sz w:val="24"/>
                <w:rFonts w:ascii="Times New Roman" w:hAnsi="Times New Roman"/>
              </w:rPr>
              <w:t xml:space="preserve">Article 253 du règlement (UE) nº 575/2013.</w:t>
            </w:r>
            <w:r>
              <w:rPr>
                <w:sz w:val="24"/>
                <w:rFonts w:ascii="Times New Roman" w:hAnsi="Times New Roman"/>
              </w:rPr>
              <w:t xml:space="preserve"> </w:t>
            </w:r>
          </w:p>
        </w:tc>
      </w:tr>
      <w:tr w:rsidR="00C55547" w:rsidRPr="002D60D7" w14:paraId="6E312180" w14:textId="77777777" w:rsidTr="00E10B85">
        <w:tc>
          <w:tcPr>
            <w:tcW w:w="1016" w:type="dxa"/>
          </w:tcPr>
          <w:p w14:paraId="08709592" w14:textId="77777777" w:rsidR="00C55547"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0050-0060</w:t>
            </w:r>
          </w:p>
        </w:tc>
        <w:tc>
          <w:tcPr>
            <w:tcW w:w="7874" w:type="dxa"/>
          </w:tcPr>
          <w:p w14:paraId="6226B36A" w14:textId="77777777" w:rsidR="00C55547" w:rsidRPr="002D60D7" w:rsidRDefault="00C55547" w:rsidP="004C445F">
            <w:pPr>
              <w:suppressAutoHyphens/>
              <w:rPr>
                <w:rStyle w:val="InstructionsTabelleberschrift"/>
                <w:sz w:val="24"/>
                <w:rFonts w:ascii="Times New Roman" w:hAnsi="Times New Roman"/>
              </w:rPr>
            </w:pPr>
            <w:r>
              <w:rPr>
                <w:rStyle w:val="InstructionsTabelleberschrift"/>
                <w:sz w:val="24"/>
                <w:rFonts w:ascii="Times New Roman" w:hAnsi="Times New Roman"/>
              </w:rPr>
              <w:t xml:space="preserve">POSITIONS NETTES (LONGUES ET COURTES)</w:t>
            </w:r>
          </w:p>
          <w:p w14:paraId="01BDDE40" w14:textId="76E789A7" w:rsidR="005C14B0" w:rsidRPr="002D60D7" w:rsidRDefault="00C55547" w:rsidP="004C445F">
            <w:pPr>
              <w:suppressAutoHyphens/>
              <w:rPr>
                <w:sz w:val="24"/>
                <w:rFonts w:ascii="Times New Roman" w:hAnsi="Times New Roman"/>
              </w:rPr>
            </w:pPr>
            <w:r>
              <w:rPr>
                <w:sz w:val="24"/>
                <w:rFonts w:ascii="Times New Roman" w:hAnsi="Times New Roman"/>
              </w:rPr>
              <w:t xml:space="preserve">Articles 327, 328, 329 et 334 du règlement (UE) nº 575/2013.</w:t>
            </w:r>
            <w:r>
              <w:rPr>
                <w:sz w:val="24"/>
                <w:rFonts w:ascii="Times New Roman" w:hAnsi="Times New Roman"/>
              </w:rPr>
              <w:t xml:space="preserve"> </w:t>
            </w:r>
          </w:p>
          <w:p w14:paraId="6C03F093" w14:textId="3D25FE7B" w:rsidR="00C55547" w:rsidRPr="002D60D7" w:rsidRDefault="00C55547" w:rsidP="004C445F">
            <w:pPr>
              <w:suppressAutoHyphens/>
              <w:rPr>
                <w:sz w:val="24"/>
                <w:rFonts w:ascii="Times New Roman" w:hAnsi="Times New Roman"/>
              </w:rPr>
            </w:pPr>
            <w:r>
              <w:rPr>
                <w:sz w:val="24"/>
                <w:rFonts w:ascii="Times New Roman" w:hAnsi="Times New Roman"/>
              </w:rPr>
              <w:t xml:space="preserve">En ce qui concerne la distinction entre les positions longues et courtes, voir l’article 328, paragraphe 2, dudit règlement.</w:t>
            </w:r>
          </w:p>
        </w:tc>
      </w:tr>
      <w:tr w:rsidR="00C55547" w:rsidRPr="002D60D7" w14:paraId="6F83AB99" w14:textId="77777777" w:rsidTr="00E10B85">
        <w:tc>
          <w:tcPr>
            <w:tcW w:w="1016" w:type="dxa"/>
          </w:tcPr>
          <w:p w14:paraId="6DDF2435" w14:textId="77777777" w:rsidR="00C55547"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0071-0097</w:t>
            </w:r>
          </w:p>
        </w:tc>
        <w:tc>
          <w:tcPr>
            <w:tcW w:w="7874" w:type="dxa"/>
          </w:tcPr>
          <w:p w14:paraId="247CF712" w14:textId="77777777" w:rsidR="00C55547" w:rsidRPr="002D60D7" w:rsidRDefault="00C55547" w:rsidP="004C445F">
            <w:pPr>
              <w:suppressAutoHyphens/>
              <w:rPr>
                <w:rStyle w:val="InstructionsTabelleberschrift"/>
                <w:sz w:val="24"/>
                <w:rFonts w:ascii="Times New Roman" w:hAnsi="Times New Roman"/>
              </w:rPr>
            </w:pPr>
            <w:r>
              <w:rPr>
                <w:rStyle w:val="InstructionsTabelleberschrift"/>
                <w:sz w:val="24"/>
                <w:rFonts w:ascii="Times New Roman" w:hAnsi="Times New Roman"/>
              </w:rPr>
              <w:t xml:space="preserve">RÉPARTITION DES POSITIONS NETTES SELON LES PONDÉRATIONS DE RISQUE</w:t>
            </w:r>
          </w:p>
          <w:p w14:paraId="691F4414" w14:textId="75A08501" w:rsidR="00C55547" w:rsidRPr="002D60D7" w:rsidRDefault="00133396" w:rsidP="004C445F">
            <w:pPr>
              <w:suppressAutoHyphens/>
              <w:rPr>
                <w:sz w:val="24"/>
                <w:rFonts w:ascii="Times New Roman" w:hAnsi="Times New Roman"/>
              </w:rPr>
            </w:pPr>
            <w:r>
              <w:rPr>
                <w:sz w:val="24"/>
                <w:rStyle w:val="InstructionsTabelleText"/>
                <w:rFonts w:ascii="Times New Roman" w:hAnsi="Times New Roman"/>
              </w:rPr>
              <w:t xml:space="preserve">Articles 259 à 262, article 263, tableaux 1 et 2, article 264, tableaux 3 et 4 et article 266</w:t>
            </w:r>
            <w:r>
              <w:rPr>
                <w:sz w:val="24"/>
                <w:rFonts w:ascii="Times New Roman" w:hAnsi="Times New Roman"/>
              </w:rPr>
              <w:t xml:space="preserve"> du règlement (UE) nº 575/2013.</w:t>
            </w:r>
          </w:p>
        </w:tc>
      </w:tr>
      <w:tr w:rsidR="00C55547" w:rsidRPr="002D60D7" w14:paraId="495D2FD0" w14:textId="77777777" w:rsidTr="00E10B85">
        <w:tc>
          <w:tcPr>
            <w:tcW w:w="1016" w:type="dxa"/>
          </w:tcPr>
          <w:p w14:paraId="295B01D9" w14:textId="77777777" w:rsidR="00C55547" w:rsidRPr="002D60D7" w:rsidRDefault="002F79EA" w:rsidP="004C445F">
            <w:pPr>
              <w:suppressAutoHyphens/>
              <w:rPr>
                <w:sz w:val="24"/>
                <w:rFonts w:ascii="Times New Roman" w:hAnsi="Times New Roman"/>
              </w:rPr>
            </w:pPr>
            <w:r>
              <w:rPr>
                <w:sz w:val="24"/>
                <w:rFonts w:ascii="Times New Roman" w:hAnsi="Times New Roman"/>
              </w:rPr>
              <w:t xml:space="preserve">0402-0406</w:t>
            </w:r>
          </w:p>
        </w:tc>
        <w:tc>
          <w:tcPr>
            <w:tcW w:w="7874" w:type="dxa"/>
          </w:tcPr>
          <w:p w14:paraId="23629FA6" w14:textId="77777777" w:rsidR="00C55547" w:rsidRPr="002D60D7" w:rsidRDefault="00543964"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RÉPARTITION DES POSITIONS NETTES SELON LES APPROCHES</w:t>
            </w:r>
          </w:p>
          <w:p w14:paraId="19937787" w14:textId="465ADE79" w:rsidR="00C55547" w:rsidRPr="002D60D7" w:rsidRDefault="00C55547" w:rsidP="004C445F">
            <w:pPr>
              <w:suppressAutoHyphens/>
              <w:autoSpaceDE w:val="0"/>
              <w:autoSpaceDN w:val="0"/>
              <w:adjustRightInd w:val="0"/>
              <w:spacing w:before="0" w:after="0"/>
              <w:rPr>
                <w:rStyle w:val="InstructionsTabelleberschrift"/>
                <w:sz w:val="24"/>
                <w:rFonts w:ascii="Times New Roman" w:hAnsi="Times New Roman"/>
              </w:rPr>
            </w:pPr>
            <w:r>
              <w:rPr>
                <w:sz w:val="24"/>
                <w:rStyle w:val="InstructionsTabelleText"/>
                <w:rFonts w:ascii="Times New Roman" w:hAnsi="Times New Roman"/>
              </w:rPr>
              <w:t xml:space="preserve">Article 254</w:t>
            </w:r>
            <w:r>
              <w:rPr>
                <w:sz w:val="24"/>
                <w:rFonts w:ascii="Times New Roman" w:hAnsi="Times New Roman"/>
              </w:rPr>
              <w:t xml:space="preserve"> du règlement (UE) nº 575/2013.</w:t>
            </w:r>
            <w:r>
              <w:rPr>
                <w:sz w:val="24"/>
                <w:rStyle w:val="InstructionsTabelleText"/>
                <w:rFonts w:ascii="Times New Roman" w:hAnsi="Times New Roman"/>
              </w:rPr>
              <w:t xml:space="preserve"> </w:t>
            </w:r>
          </w:p>
        </w:tc>
      </w:tr>
      <w:tr w:rsidR="00C55547" w:rsidRPr="002D60D7" w14:paraId="18FE6247" w14:textId="77777777" w:rsidTr="00E10B85">
        <w:tc>
          <w:tcPr>
            <w:tcW w:w="1016" w:type="dxa"/>
          </w:tcPr>
          <w:p w14:paraId="17001A21" w14:textId="77777777" w:rsidR="00C55547" w:rsidRPr="002D60D7" w:rsidRDefault="002F79EA" w:rsidP="004C445F">
            <w:pPr>
              <w:suppressAutoHyphens/>
              <w:rPr>
                <w:sz w:val="24"/>
                <w:rFonts w:ascii="Times New Roman" w:hAnsi="Times New Roman"/>
              </w:rPr>
            </w:pPr>
            <w:r>
              <w:rPr>
                <w:sz w:val="24"/>
                <w:rFonts w:ascii="Times New Roman" w:hAnsi="Times New Roman"/>
              </w:rPr>
              <w:t xml:space="preserve">0402</w:t>
            </w:r>
          </w:p>
        </w:tc>
        <w:tc>
          <w:tcPr>
            <w:tcW w:w="7874" w:type="dxa"/>
          </w:tcPr>
          <w:p w14:paraId="79F7161D" w14:textId="77777777" w:rsidR="00C55547" w:rsidRPr="002D60D7" w:rsidRDefault="00C55547"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SEC-IRBA</w:t>
            </w:r>
          </w:p>
          <w:p w14:paraId="1718443C" w14:textId="27159510" w:rsidR="00C55547" w:rsidRPr="002D60D7" w:rsidRDefault="00C55547" w:rsidP="004C445F">
            <w:pPr>
              <w:suppressAutoHyphens/>
              <w:autoSpaceDE w:val="0"/>
              <w:autoSpaceDN w:val="0"/>
              <w:adjustRightInd w:val="0"/>
              <w:jc w:val="left"/>
              <w:rPr>
                <w:rStyle w:val="InstructionsTabelleberschrift"/>
                <w:sz w:val="24"/>
                <w:rFonts w:ascii="Times New Roman" w:hAnsi="Times New Roman"/>
              </w:rPr>
            </w:pPr>
            <w:r>
              <w:rPr>
                <w:sz w:val="24"/>
                <w:rStyle w:val="InstructionsTabelleText"/>
                <w:rFonts w:ascii="Times New Roman" w:hAnsi="Times New Roman"/>
              </w:rPr>
              <w:t xml:space="preserve">Articles 259 et 260</w:t>
            </w:r>
            <w:r>
              <w:rPr>
                <w:sz w:val="24"/>
                <w:rFonts w:ascii="Times New Roman" w:hAnsi="Times New Roman"/>
              </w:rPr>
              <w:t xml:space="preserve"> du règlement (UE) nº 575/2013.</w:t>
            </w:r>
          </w:p>
        </w:tc>
      </w:tr>
      <w:tr w:rsidR="00C55547" w:rsidRPr="002D60D7" w14:paraId="35656008" w14:textId="77777777" w:rsidTr="00E10B85">
        <w:tc>
          <w:tcPr>
            <w:tcW w:w="1016" w:type="dxa"/>
          </w:tcPr>
          <w:p w14:paraId="720D0546" w14:textId="77777777" w:rsidR="00C55547" w:rsidRPr="002D60D7" w:rsidRDefault="002F79EA" w:rsidP="004C445F">
            <w:pPr>
              <w:suppressAutoHyphens/>
              <w:rPr>
                <w:sz w:val="24"/>
                <w:rFonts w:ascii="Times New Roman" w:hAnsi="Times New Roman"/>
              </w:rPr>
            </w:pPr>
            <w:r>
              <w:rPr>
                <w:sz w:val="24"/>
                <w:rFonts w:ascii="Times New Roman" w:hAnsi="Times New Roman"/>
              </w:rPr>
              <w:t xml:space="preserve">0403</w:t>
            </w:r>
          </w:p>
        </w:tc>
        <w:tc>
          <w:tcPr>
            <w:tcW w:w="7874" w:type="dxa"/>
          </w:tcPr>
          <w:p w14:paraId="78903335" w14:textId="77777777" w:rsidR="00C55547" w:rsidRPr="002D60D7" w:rsidRDefault="00C55547"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SEC-SA</w:t>
            </w:r>
          </w:p>
          <w:p w14:paraId="4F095DEE" w14:textId="02044DC6" w:rsidR="00C55547" w:rsidRPr="002D60D7" w:rsidRDefault="00C55547" w:rsidP="004C445F">
            <w:pPr>
              <w:suppressAutoHyphens/>
              <w:autoSpaceDE w:val="0"/>
              <w:autoSpaceDN w:val="0"/>
              <w:adjustRightInd w:val="0"/>
              <w:jc w:val="left"/>
              <w:rPr>
                <w:rStyle w:val="InstructionsTabelleberschrift"/>
                <w:sz w:val="24"/>
                <w:rFonts w:ascii="Times New Roman" w:hAnsi="Times New Roman"/>
              </w:rPr>
            </w:pPr>
            <w:r>
              <w:rPr>
                <w:sz w:val="24"/>
                <w:rStyle w:val="InstructionsTabelleText"/>
                <w:rFonts w:ascii="Times New Roman" w:hAnsi="Times New Roman"/>
              </w:rPr>
              <w:t xml:space="preserve">Articles 261 et 262</w:t>
            </w:r>
            <w:r>
              <w:rPr>
                <w:sz w:val="24"/>
                <w:rFonts w:ascii="Times New Roman" w:hAnsi="Times New Roman"/>
              </w:rPr>
              <w:t xml:space="preserve"> du règlement (UE) nº 575/2013.</w:t>
            </w:r>
          </w:p>
        </w:tc>
      </w:tr>
      <w:tr w:rsidR="00C55547" w:rsidRPr="002D60D7" w14:paraId="7B54B7CF" w14:textId="77777777" w:rsidTr="00E10B85">
        <w:tc>
          <w:tcPr>
            <w:tcW w:w="1016" w:type="dxa"/>
          </w:tcPr>
          <w:p w14:paraId="0D21F451" w14:textId="77777777" w:rsidR="00C55547" w:rsidRPr="002D60D7" w:rsidRDefault="002F79EA" w:rsidP="004C445F">
            <w:pPr>
              <w:suppressAutoHyphens/>
              <w:rPr>
                <w:sz w:val="24"/>
                <w:rFonts w:ascii="Times New Roman" w:hAnsi="Times New Roman"/>
              </w:rPr>
            </w:pPr>
            <w:r>
              <w:rPr>
                <w:sz w:val="24"/>
                <w:rFonts w:ascii="Times New Roman" w:hAnsi="Times New Roman"/>
              </w:rPr>
              <w:t xml:space="preserve">0404</w:t>
            </w:r>
          </w:p>
        </w:tc>
        <w:tc>
          <w:tcPr>
            <w:tcW w:w="7874" w:type="dxa"/>
          </w:tcPr>
          <w:p w14:paraId="6AA67FFF" w14:textId="77777777" w:rsidR="00C55547" w:rsidRPr="002D60D7" w:rsidRDefault="00C55547"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SEC-ERBA</w:t>
            </w:r>
          </w:p>
          <w:p w14:paraId="108938CD" w14:textId="7A2858ED" w:rsidR="00C55547" w:rsidRPr="002D60D7" w:rsidRDefault="00C55547" w:rsidP="004C445F">
            <w:pPr>
              <w:suppressAutoHyphens/>
              <w:autoSpaceDE w:val="0"/>
              <w:autoSpaceDN w:val="0"/>
              <w:adjustRightInd w:val="0"/>
              <w:jc w:val="left"/>
              <w:rPr>
                <w:rStyle w:val="InstructionsTabelleberschrift"/>
                <w:sz w:val="24"/>
                <w:rFonts w:ascii="Times New Roman" w:hAnsi="Times New Roman"/>
              </w:rPr>
            </w:pPr>
            <w:r>
              <w:rPr>
                <w:sz w:val="24"/>
                <w:rStyle w:val="InstructionsTabelleText"/>
                <w:rFonts w:ascii="Times New Roman" w:hAnsi="Times New Roman"/>
              </w:rPr>
              <w:t xml:space="preserve">Articles 263 et 264</w:t>
            </w:r>
            <w:r>
              <w:rPr>
                <w:sz w:val="24"/>
                <w:rFonts w:ascii="Times New Roman" w:hAnsi="Times New Roman"/>
              </w:rPr>
              <w:t xml:space="preserve"> du règlement (UE) nº 575/2013.</w:t>
            </w:r>
          </w:p>
        </w:tc>
      </w:tr>
      <w:tr w:rsidR="00C55547" w:rsidRPr="002D60D7" w14:paraId="7979A32D" w14:textId="77777777" w:rsidTr="00E10B85">
        <w:tc>
          <w:tcPr>
            <w:tcW w:w="1016" w:type="dxa"/>
          </w:tcPr>
          <w:p w14:paraId="7C1C67E6" w14:textId="77777777" w:rsidR="00C55547" w:rsidRPr="002D60D7" w:rsidRDefault="002F79EA" w:rsidP="004C445F">
            <w:pPr>
              <w:suppressAutoHyphens/>
              <w:rPr>
                <w:sz w:val="24"/>
                <w:rFonts w:ascii="Times New Roman" w:hAnsi="Times New Roman"/>
              </w:rPr>
            </w:pPr>
            <w:r>
              <w:rPr>
                <w:sz w:val="24"/>
                <w:rFonts w:ascii="Times New Roman" w:hAnsi="Times New Roman"/>
              </w:rPr>
              <w:t xml:space="preserve">0405</w:t>
            </w:r>
          </w:p>
        </w:tc>
        <w:tc>
          <w:tcPr>
            <w:tcW w:w="7874" w:type="dxa"/>
          </w:tcPr>
          <w:p w14:paraId="68CACB61" w14:textId="77777777" w:rsidR="00C55547" w:rsidRPr="002D60D7" w:rsidRDefault="00C55547"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APPROCHE PAR ÉVALUATION INTERNE</w:t>
            </w:r>
          </w:p>
          <w:p w14:paraId="46E92693" w14:textId="2A1B6CC7" w:rsidR="00C55547" w:rsidRPr="002D60D7" w:rsidRDefault="00C55547" w:rsidP="004C445F">
            <w:pPr>
              <w:suppressAutoHyphens/>
              <w:autoSpaceDE w:val="0"/>
              <w:autoSpaceDN w:val="0"/>
              <w:adjustRightInd w:val="0"/>
              <w:jc w:val="left"/>
              <w:rPr>
                <w:rStyle w:val="InstructionsTabelleberschrift"/>
                <w:sz w:val="24"/>
                <w:rFonts w:ascii="Times New Roman" w:hAnsi="Times New Roman"/>
              </w:rPr>
            </w:pPr>
            <w:r>
              <w:rPr>
                <w:sz w:val="24"/>
                <w:rStyle w:val="InstructionsTabelleText"/>
                <w:rFonts w:ascii="Times New Roman" w:hAnsi="Times New Roman"/>
              </w:rPr>
              <w:t xml:space="preserve">Articles 254 et 265 et article 266, paragraphe 5</w:t>
            </w:r>
            <w:r>
              <w:rPr>
                <w:sz w:val="24"/>
                <w:rFonts w:ascii="Times New Roman" w:hAnsi="Times New Roman"/>
              </w:rPr>
              <w:t xml:space="preserve">, du règlement (UE) nº 575/2013.</w:t>
            </w:r>
          </w:p>
        </w:tc>
      </w:tr>
      <w:tr w:rsidR="00A97C62" w:rsidRPr="002D60D7" w14:paraId="412C0D2A" w14:textId="77777777" w:rsidTr="00E10B85">
        <w:tc>
          <w:tcPr>
            <w:tcW w:w="1016" w:type="dxa"/>
          </w:tcPr>
          <w:p w14:paraId="184EAC6C" w14:textId="26696219" w:rsidR="00A97C62" w:rsidRPr="002D60D7" w:rsidRDefault="00A97C62" w:rsidP="004C445F">
            <w:pPr>
              <w:suppressAutoHyphens/>
              <w:rPr>
                <w:sz w:val="24"/>
                <w:rFonts w:ascii="Times New Roman" w:hAnsi="Times New Roman"/>
              </w:rPr>
            </w:pPr>
            <w:r>
              <w:rPr>
                <w:sz w:val="24"/>
                <w:rFonts w:ascii="Times New Roman" w:hAnsi="Times New Roman"/>
              </w:rPr>
              <w:t xml:space="preserve">0900</w:t>
            </w:r>
          </w:p>
        </w:tc>
        <w:tc>
          <w:tcPr>
            <w:tcW w:w="7874" w:type="dxa"/>
          </w:tcPr>
          <w:p w14:paraId="33E51780" w14:textId="77777777" w:rsidR="00A97C62" w:rsidRPr="002D60D7" w:rsidRDefault="00A97C62" w:rsidP="004C445F">
            <w:pPr>
              <w:suppressAutoHyphens/>
              <w:spacing w:before="0" w:after="0"/>
              <w:jc w:val="left"/>
              <w:rPr>
                <w:b/>
                <w:sz w:val="24"/>
                <w:u w:val="single"/>
                <w:rFonts w:ascii="Times New Roman" w:hAnsi="Times New Roman"/>
              </w:rPr>
            </w:pPr>
            <w:r>
              <w:rPr>
                <w:b/>
                <w:sz w:val="24"/>
                <w:u w:val="single"/>
                <w:rFonts w:ascii="Times New Roman" w:hAnsi="Times New Roman"/>
              </w:rPr>
              <w:t xml:space="preserve">TRAITEMENT SPÉCIFIQUE POUR LES TRANCHES DE RANG SUPÉRIEUR DES TITRISATIONS D’EXPOSITIONS NON PERFORMANTES ÉLIGIBLES</w:t>
            </w:r>
          </w:p>
          <w:p w14:paraId="1D397AE3" w14:textId="76C348BD" w:rsidR="00A97C62" w:rsidRPr="002D60D7" w:rsidRDefault="00A97C62" w:rsidP="004C445F">
            <w:pPr>
              <w:suppressAutoHyphens/>
              <w:autoSpaceDE w:val="0"/>
              <w:autoSpaceDN w:val="0"/>
              <w:adjustRightInd w:val="0"/>
              <w:jc w:val="left"/>
              <w:rPr>
                <w:b/>
                <w:bCs/>
                <w:sz w:val="24"/>
                <w:u w:val="single"/>
                <w:rFonts w:ascii="Times New Roman" w:hAnsi="Times New Roman"/>
              </w:rPr>
            </w:pPr>
            <w:r>
              <w:rPr>
                <w:sz w:val="24"/>
                <w:rFonts w:ascii="Times New Roman" w:hAnsi="Times New Roman"/>
              </w:rPr>
              <w:t xml:space="preserve">Article </w:t>
            </w:r>
            <w:r>
              <w:rPr>
                <w:sz w:val="24"/>
                <w:rStyle w:val="InstructionsTabelleText"/>
                <w:rFonts w:ascii="Times New Roman" w:hAnsi="Times New Roman"/>
              </w:rPr>
              <w:t xml:space="preserve">269 </w:t>
            </w:r>
            <w:r>
              <w:rPr>
                <w:sz w:val="24"/>
                <w:rStyle w:val="InstructionsTabelleText"/>
                <w:i/>
                <w:rFonts w:ascii="Times New Roman" w:hAnsi="Times New Roman"/>
              </w:rPr>
              <w:t xml:space="preserve">bis</w:t>
            </w:r>
            <w:r>
              <w:rPr>
                <w:sz w:val="24"/>
                <w:rFonts w:ascii="Times New Roman" w:hAnsi="Times New Roman"/>
              </w:rPr>
              <w:t xml:space="preserve">, paragraphe 3, du règlement (UE) nº 575/2013.</w:t>
            </w:r>
          </w:p>
        </w:tc>
      </w:tr>
      <w:tr w:rsidR="00C55547" w:rsidRPr="002D60D7" w14:paraId="5C0D49CC" w14:textId="77777777" w:rsidTr="00E10B85">
        <w:tc>
          <w:tcPr>
            <w:tcW w:w="1016" w:type="dxa"/>
          </w:tcPr>
          <w:p w14:paraId="4A75E404" w14:textId="77777777" w:rsidR="00C55547" w:rsidRPr="002D60D7" w:rsidRDefault="002F79EA" w:rsidP="004C445F">
            <w:pPr>
              <w:suppressAutoHyphens/>
              <w:rPr>
                <w:sz w:val="24"/>
                <w:rFonts w:ascii="Times New Roman" w:hAnsi="Times New Roman"/>
              </w:rPr>
            </w:pPr>
            <w:r>
              <w:rPr>
                <w:sz w:val="24"/>
                <w:rFonts w:ascii="Times New Roman" w:hAnsi="Times New Roman"/>
              </w:rPr>
              <w:t xml:space="preserve">0406</w:t>
            </w:r>
          </w:p>
        </w:tc>
        <w:tc>
          <w:tcPr>
            <w:tcW w:w="7874" w:type="dxa"/>
          </w:tcPr>
          <w:p w14:paraId="27B9523C" w14:textId="26593451" w:rsidR="00C55547" w:rsidRPr="002D60D7" w:rsidRDefault="00C55547"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AUTRE (RW = 1 250</w:t>
            </w:r>
            <w:r>
              <w:rPr>
                <w:b/>
                <w:sz w:val="24"/>
                <w:u w:val="single"/>
                <w:rFonts w:ascii="Times New Roman" w:hAnsi="Times New Roman"/>
              </w:rPr>
              <w:t xml:space="preserve"> %)</w:t>
            </w:r>
          </w:p>
          <w:p w14:paraId="0B94870A" w14:textId="0A4BBAC5" w:rsidR="00C55547" w:rsidRPr="002D60D7" w:rsidRDefault="00C55547" w:rsidP="004C445F">
            <w:pPr>
              <w:suppressAutoHyphens/>
              <w:autoSpaceDE w:val="0"/>
              <w:autoSpaceDN w:val="0"/>
              <w:adjustRightInd w:val="0"/>
              <w:jc w:val="left"/>
              <w:rPr>
                <w:rStyle w:val="InstructionsTabelleberschrift"/>
                <w:sz w:val="24"/>
                <w:rFonts w:ascii="Times New Roman" w:hAnsi="Times New Roman"/>
              </w:rPr>
            </w:pPr>
            <w:r>
              <w:rPr>
                <w:sz w:val="24"/>
                <w:rStyle w:val="InstructionsTabelleText"/>
                <w:rFonts w:ascii="Times New Roman" w:hAnsi="Times New Roman"/>
              </w:rPr>
              <w:t xml:space="preserve">Article 254, paragraphe 7</w:t>
            </w:r>
            <w:r>
              <w:rPr>
                <w:sz w:val="24"/>
                <w:rFonts w:ascii="Times New Roman" w:hAnsi="Times New Roman"/>
              </w:rPr>
              <w:t xml:space="preserve">, du règlement (UE) nº 575/2013.</w:t>
            </w:r>
          </w:p>
        </w:tc>
      </w:tr>
      <w:tr w:rsidR="00C55547" w:rsidRPr="002D60D7" w14:paraId="16A48520" w14:textId="77777777" w:rsidTr="00E10B85">
        <w:tc>
          <w:tcPr>
            <w:tcW w:w="1016" w:type="dxa"/>
          </w:tcPr>
          <w:p w14:paraId="04D4F5AC" w14:textId="77777777" w:rsidR="00C55547" w:rsidRPr="002D60D7" w:rsidRDefault="002F79EA" w:rsidP="004C445F">
            <w:pPr>
              <w:suppressAutoHyphens/>
              <w:rPr>
                <w:sz w:val="24"/>
                <w:rFonts w:ascii="Times New Roman" w:hAnsi="Times New Roman"/>
              </w:rPr>
            </w:pPr>
            <w:r>
              <w:rPr>
                <w:sz w:val="24"/>
                <w:rFonts w:ascii="Times New Roman" w:hAnsi="Times New Roman"/>
              </w:rPr>
              <w:t xml:space="preserve">0410-0420</w:t>
            </w:r>
          </w:p>
        </w:tc>
        <w:tc>
          <w:tcPr>
            <w:tcW w:w="7874" w:type="dxa"/>
          </w:tcPr>
          <w:p w14:paraId="78E183CC" w14:textId="77777777" w:rsidR="00C55547" w:rsidRPr="002D60D7" w:rsidRDefault="00C55547" w:rsidP="004C445F">
            <w:pPr>
              <w:suppressAutoHyphens/>
              <w:rPr>
                <w:rStyle w:val="InstructionsTabelleberschrift"/>
                <w:sz w:val="24"/>
                <w:rFonts w:ascii="Times New Roman" w:hAnsi="Times New Roman"/>
              </w:rPr>
            </w:pPr>
            <w:r>
              <w:rPr>
                <w:rStyle w:val="InstructionsTabelleberschrift"/>
                <w:sz w:val="24"/>
                <w:rFonts w:ascii="Times New Roman" w:hAnsi="Times New Roman"/>
              </w:rPr>
              <w:t xml:space="preserve">AVANT APPLICATION DU PLAFOND – POSITIONS LONGUES/COURTES NETTES PONDÉRÉES</w:t>
            </w:r>
          </w:p>
          <w:p w14:paraId="7E8A31C6" w14:textId="7928DA0B" w:rsidR="00C55547" w:rsidRPr="002D60D7" w:rsidRDefault="00C55547" w:rsidP="004C445F">
            <w:pPr>
              <w:suppressAutoHyphens/>
              <w:rPr>
                <w:sz w:val="24"/>
                <w:rFonts w:ascii="Times New Roman" w:hAnsi="Times New Roman"/>
              </w:rPr>
            </w:pPr>
            <w:r>
              <w:rPr>
                <w:sz w:val="24"/>
                <w:rFonts w:ascii="Times New Roman" w:hAnsi="Times New Roman"/>
              </w:rPr>
              <w:t xml:space="preserve">Article 338 du règlement (UE) nº 575/2013, compte non tenu de la marge d’appréciation établie à l’article 335 dudit règlement.</w:t>
            </w:r>
            <w:r>
              <w:rPr>
                <w:sz w:val="24"/>
                <w:rFonts w:ascii="Times New Roman" w:hAnsi="Times New Roman"/>
              </w:rPr>
              <w:t xml:space="preserve"> </w:t>
            </w:r>
          </w:p>
        </w:tc>
      </w:tr>
      <w:tr w:rsidR="00C55547" w:rsidRPr="002D60D7" w14:paraId="566ACCB3" w14:textId="77777777" w:rsidTr="00E10B85">
        <w:tc>
          <w:tcPr>
            <w:tcW w:w="1016" w:type="dxa"/>
          </w:tcPr>
          <w:p w14:paraId="4093CA68" w14:textId="77777777" w:rsidR="00C55547" w:rsidRPr="002D60D7" w:rsidRDefault="002F79EA" w:rsidP="004C445F">
            <w:pPr>
              <w:suppressAutoHyphens/>
              <w:rPr>
                <w:sz w:val="24"/>
                <w:rFonts w:ascii="Times New Roman" w:hAnsi="Times New Roman"/>
              </w:rPr>
            </w:pPr>
            <w:r>
              <w:rPr>
                <w:sz w:val="24"/>
                <w:rFonts w:ascii="Times New Roman" w:hAnsi="Times New Roman"/>
              </w:rPr>
              <w:t xml:space="preserve">0430-0440</w:t>
            </w:r>
          </w:p>
        </w:tc>
        <w:tc>
          <w:tcPr>
            <w:tcW w:w="7874" w:type="dxa"/>
          </w:tcPr>
          <w:p w14:paraId="00C8D0F3" w14:textId="77777777" w:rsidR="00C55547" w:rsidRPr="002D60D7" w:rsidRDefault="00C55547" w:rsidP="004C445F">
            <w:pPr>
              <w:suppressAutoHyphens/>
              <w:rPr>
                <w:rStyle w:val="InstructionsTabelleberschrift"/>
                <w:sz w:val="24"/>
                <w:rFonts w:ascii="Times New Roman" w:hAnsi="Times New Roman"/>
              </w:rPr>
            </w:pPr>
            <w:r>
              <w:rPr>
                <w:rStyle w:val="InstructionsTabelleberschrift"/>
                <w:sz w:val="24"/>
                <w:rFonts w:ascii="Times New Roman" w:hAnsi="Times New Roman"/>
              </w:rPr>
              <w:t xml:space="preserve">APRÈS APPLICATION DU PLAFOND - POSITIONS LONGUES/COURTES NETTES PONDÉRÉES</w:t>
            </w:r>
          </w:p>
          <w:p w14:paraId="3304B399" w14:textId="2F41CA57" w:rsidR="00C55547" w:rsidRPr="002D60D7" w:rsidRDefault="00C55547" w:rsidP="004C445F">
            <w:pPr>
              <w:suppressAutoHyphens/>
              <w:rPr>
                <w:sz w:val="24"/>
                <w:rFonts w:ascii="Times New Roman" w:hAnsi="Times New Roman"/>
              </w:rPr>
            </w:pPr>
            <w:r>
              <w:rPr>
                <w:sz w:val="24"/>
                <w:rFonts w:ascii="Times New Roman" w:hAnsi="Times New Roman"/>
              </w:rPr>
              <w:t xml:space="preserve">Article 338 du règlement (UE) nº 575/2013, compte tenu de la marge d’appréciation établie à l’article 335 dudit règlement.</w:t>
            </w:r>
            <w:r>
              <w:rPr>
                <w:sz w:val="24"/>
                <w:rFonts w:ascii="Times New Roman" w:hAnsi="Times New Roman"/>
              </w:rPr>
              <w:t xml:space="preserve"> </w:t>
            </w:r>
          </w:p>
        </w:tc>
      </w:tr>
      <w:tr w:rsidR="00C55547" w:rsidRPr="002D60D7" w14:paraId="23063B74" w14:textId="77777777" w:rsidTr="00E10B85">
        <w:tc>
          <w:tcPr>
            <w:tcW w:w="1016" w:type="dxa"/>
          </w:tcPr>
          <w:p w14:paraId="5A3BC562" w14:textId="77777777" w:rsidR="00C55547" w:rsidRPr="002D60D7" w:rsidRDefault="002F79EA" w:rsidP="004C445F">
            <w:pPr>
              <w:suppressAutoHyphens/>
              <w:rPr>
                <w:sz w:val="24"/>
                <w:rFonts w:ascii="Times New Roman" w:hAnsi="Times New Roman"/>
              </w:rPr>
            </w:pPr>
            <w:r>
              <w:rPr>
                <w:sz w:val="24"/>
                <w:rFonts w:ascii="Times New Roman" w:hAnsi="Times New Roman"/>
              </w:rPr>
              <w:t xml:space="preserve">0450</w:t>
            </w:r>
          </w:p>
        </w:tc>
        <w:tc>
          <w:tcPr>
            <w:tcW w:w="7874" w:type="dxa"/>
          </w:tcPr>
          <w:p w14:paraId="4210145F" w14:textId="77777777" w:rsidR="00C55547" w:rsidRPr="002D60D7" w:rsidRDefault="00C55547" w:rsidP="004C445F">
            <w:pPr>
              <w:suppressAutoHyphens/>
              <w:rPr>
                <w:rStyle w:val="InstructionsTabelleberschrift"/>
                <w:sz w:val="24"/>
                <w:rFonts w:ascii="Times New Roman" w:hAnsi="Times New Roman"/>
              </w:rPr>
            </w:pPr>
            <w:r>
              <w:rPr>
                <w:rStyle w:val="InstructionsTabelleberschrift"/>
                <w:sz w:val="24"/>
                <w:rFonts w:ascii="Times New Roman" w:hAnsi="Times New Roman"/>
              </w:rPr>
              <w:t xml:space="preserve">TOTAL DES EXIGENCES DE FONDS PROPRES</w:t>
            </w:r>
          </w:p>
          <w:p w14:paraId="58A6824C" w14:textId="7AE8FACA" w:rsidR="00733F21" w:rsidRPr="002D60D7" w:rsidRDefault="00C55547" w:rsidP="004C445F">
            <w:pPr>
              <w:suppressAutoHyphens/>
              <w:rPr>
                <w:sz w:val="24"/>
                <w:rFonts w:ascii="Times New Roman" w:hAnsi="Times New Roman"/>
              </w:rPr>
            </w:pPr>
            <w:r>
              <w:rPr>
                <w:sz w:val="24"/>
                <w:rFonts w:ascii="Times New Roman" w:hAnsi="Times New Roman"/>
              </w:rPr>
              <w:t xml:space="preserve">L’exigence de fonds propres correspond à la plus élevée entre:</w:t>
            </w:r>
          </w:p>
          <w:p w14:paraId="6F610485" w14:textId="33CC9A69" w:rsidR="00733F21" w:rsidRPr="002D60D7" w:rsidRDefault="00A92865" w:rsidP="004C445F">
            <w:pPr>
              <w:suppressAutoHyphens/>
              <w:rPr>
                <w:sz w:val="24"/>
                <w:rFonts w:ascii="Times New Roman" w:hAnsi="Times New Roman"/>
              </w:rPr>
            </w:pPr>
            <w:r>
              <w:rPr>
                <w:sz w:val="24"/>
                <w:rFonts w:ascii="Times New Roman" w:hAnsi="Times New Roman"/>
              </w:rPr>
              <w:t xml:space="preserve">a) l’exigence de fonds propres pour risque spécifique qui ne s’appliquerait qu’aux positions longues nettes (colonne 0430);</w:t>
            </w:r>
          </w:p>
          <w:p w14:paraId="7DEA5D32" w14:textId="370772D1" w:rsidR="00C55547" w:rsidRPr="002D60D7" w:rsidRDefault="00A92865" w:rsidP="004C445F">
            <w:pPr>
              <w:suppressAutoHyphens/>
              <w:rPr>
                <w:sz w:val="24"/>
                <w:rFonts w:ascii="Times New Roman" w:hAnsi="Times New Roman"/>
              </w:rPr>
            </w:pPr>
            <w:r>
              <w:rPr>
                <w:sz w:val="24"/>
                <w:rFonts w:ascii="Times New Roman" w:hAnsi="Times New Roman"/>
              </w:rPr>
              <w:t xml:space="preserve">b) l’exigence de fonds propres pour risque spécifique qui ne s’appliquerait qu’aux positions courtes nettes (colonne 0440).</w:t>
            </w:r>
          </w:p>
        </w:tc>
      </w:tr>
      <w:tr w:rsidR="00A92865" w:rsidRPr="002D60D7" w14:paraId="17D4431B" w14:textId="77777777" w:rsidTr="00E10B85">
        <w:tc>
          <w:tcPr>
            <w:tcW w:w="1016" w:type="dxa"/>
          </w:tcPr>
          <w:p w14:paraId="3DE8C69F" w14:textId="77777777" w:rsidR="00A92865" w:rsidRPr="002D60D7" w:rsidRDefault="00A92865" w:rsidP="004C445F">
            <w:pPr>
              <w:suppressAutoHyphens/>
              <w:rPr>
                <w:rFonts w:ascii="Times New Roman" w:hAnsi="Times New Roman"/>
                <w:sz w:val="24"/>
              </w:rPr>
            </w:pPr>
          </w:p>
        </w:tc>
        <w:tc>
          <w:tcPr>
            <w:tcW w:w="7874" w:type="dxa"/>
          </w:tcPr>
          <w:p w14:paraId="26189336" w14:textId="77777777" w:rsidR="00A92865" w:rsidRPr="002D60D7" w:rsidRDefault="00A92865" w:rsidP="004C445F">
            <w:pPr>
              <w:suppressAutoHyphens/>
              <w:rPr>
                <w:rStyle w:val="InstructionsTabelleberschrift"/>
                <w:rFonts w:ascii="Times New Roman" w:hAnsi="Times New Roman"/>
                <w:sz w:val="24"/>
              </w:rPr>
            </w:pPr>
          </w:p>
        </w:tc>
      </w:tr>
    </w:tbl>
    <w:p w14:paraId="4123A762"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p w14:paraId="0FD93711"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8060"/>
      </w:tblGrid>
      <w:tr w:rsidR="00C55547" w:rsidRPr="002D60D7" w14:paraId="0C05A0C6" w14:textId="77777777" w:rsidTr="00E10B85">
        <w:trPr>
          <w:trHeight w:val="642"/>
        </w:trPr>
        <w:tc>
          <w:tcPr>
            <w:tcW w:w="9212" w:type="dxa"/>
            <w:gridSpan w:val="2"/>
            <w:shd w:val="clear" w:color="auto" w:fill="CCCCCC"/>
          </w:tcPr>
          <w:p w14:paraId="1B224033" w14:textId="77777777" w:rsidR="00C55547" w:rsidRPr="002D60D7" w:rsidRDefault="00C55547" w:rsidP="004C445F">
            <w:pPr>
              <w:suppressAutoHyphens/>
              <w:autoSpaceDE w:val="0"/>
              <w:autoSpaceDN w:val="0"/>
              <w:adjustRightInd w:val="0"/>
              <w:spacing w:after="0"/>
              <w:rPr>
                <w:b/>
                <w:sz w:val="24"/>
                <w:rFonts w:ascii="Times New Roman" w:hAnsi="Times New Roman"/>
              </w:rPr>
            </w:pPr>
            <w:r>
              <w:rPr>
                <w:b/>
                <w:sz w:val="24"/>
                <w:rFonts w:ascii="Times New Roman" w:hAnsi="Times New Roman"/>
              </w:rPr>
              <w:t xml:space="preserve">Lignes</w:t>
            </w:r>
          </w:p>
        </w:tc>
      </w:tr>
      <w:tr w:rsidR="00C55547" w:rsidRPr="002D60D7" w14:paraId="51303CB0" w14:textId="77777777" w:rsidTr="00E10B85">
        <w:tc>
          <w:tcPr>
            <w:tcW w:w="1008" w:type="dxa"/>
          </w:tcPr>
          <w:p w14:paraId="4EF580E7" w14:textId="77777777" w:rsidR="00C55547"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0010</w:t>
            </w:r>
          </w:p>
        </w:tc>
        <w:tc>
          <w:tcPr>
            <w:tcW w:w="8204" w:type="dxa"/>
          </w:tcPr>
          <w:p w14:paraId="3B5F07DE" w14:textId="77777777" w:rsidR="00C55547" w:rsidRPr="002D60D7" w:rsidRDefault="00C55547" w:rsidP="004C445F">
            <w:pPr>
              <w:suppressAutoHyphens/>
              <w:rPr>
                <w:rStyle w:val="InstructionsTabelleberschrift"/>
                <w:sz w:val="24"/>
                <w:rFonts w:ascii="Times New Roman" w:hAnsi="Times New Roman"/>
              </w:rPr>
            </w:pPr>
            <w:r>
              <w:rPr>
                <w:rStyle w:val="InstructionsTabelleberschrift"/>
                <w:sz w:val="24"/>
                <w:rFonts w:ascii="Times New Roman" w:hAnsi="Times New Roman"/>
              </w:rPr>
              <w:t xml:space="preserve">TOTAL DES EXPOSITIONS</w:t>
            </w:r>
          </w:p>
          <w:p w14:paraId="47BDA358" w14:textId="43CE2ADE" w:rsidR="00C55547" w:rsidRPr="002D60D7" w:rsidRDefault="00C55547" w:rsidP="004C445F">
            <w:pPr>
              <w:suppressAutoHyphens/>
              <w:rPr>
                <w:sz w:val="24"/>
                <w:rFonts w:ascii="Times New Roman" w:hAnsi="Times New Roman"/>
              </w:rPr>
            </w:pPr>
            <w:r>
              <w:rPr>
                <w:sz w:val="24"/>
                <w:rFonts w:ascii="Times New Roman" w:hAnsi="Times New Roman"/>
              </w:rPr>
              <w:t xml:space="preserve">Montant total des positions ouvertes (détenues dans le portefeuille de négociation en corrélation) déclaré par l’établissement qui joue le rôle d’initiateur, d’investisseur ou de sponsor.</w:t>
            </w:r>
          </w:p>
        </w:tc>
      </w:tr>
      <w:tr w:rsidR="00C55547" w:rsidRPr="002D60D7" w14:paraId="4F9E3B66" w14:textId="77777777" w:rsidTr="00E10B85">
        <w:tc>
          <w:tcPr>
            <w:tcW w:w="1008" w:type="dxa"/>
          </w:tcPr>
          <w:p w14:paraId="4294FDFC" w14:textId="77777777" w:rsidR="00C55547"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0020-0040</w:t>
            </w:r>
          </w:p>
        </w:tc>
        <w:tc>
          <w:tcPr>
            <w:tcW w:w="8204" w:type="dxa"/>
          </w:tcPr>
          <w:p w14:paraId="68E0826A" w14:textId="77777777" w:rsidR="00C55547" w:rsidRPr="002D60D7" w:rsidRDefault="00C55547" w:rsidP="004C445F">
            <w:pPr>
              <w:suppressAutoHyphens/>
              <w:rPr>
                <w:rStyle w:val="InstructionsTabelleberschrift"/>
                <w:sz w:val="24"/>
                <w:rFonts w:ascii="Times New Roman" w:hAnsi="Times New Roman"/>
              </w:rPr>
            </w:pPr>
            <w:r>
              <w:rPr>
                <w:rStyle w:val="InstructionsTabelleberschrift"/>
                <w:sz w:val="24"/>
                <w:rFonts w:ascii="Times New Roman" w:hAnsi="Times New Roman"/>
              </w:rPr>
              <w:t xml:space="preserve">INITIATEUR</w:t>
            </w:r>
          </w:p>
          <w:p w14:paraId="07F7FC7F" w14:textId="691C5D11" w:rsidR="00C55547" w:rsidRPr="002D60D7" w:rsidRDefault="00C55547" w:rsidP="004C445F">
            <w:pPr>
              <w:suppressAutoHyphens/>
              <w:rPr>
                <w:sz w:val="24"/>
                <w:rFonts w:ascii="Times New Roman" w:hAnsi="Times New Roman"/>
              </w:rPr>
            </w:pPr>
            <w:r>
              <w:rPr>
                <w:sz w:val="24"/>
                <w:rFonts w:ascii="Times New Roman" w:hAnsi="Times New Roman"/>
              </w:rPr>
              <w:t xml:space="preserve">Article 4, paragraphe 1, point 13), du règlement (UE) nº 575/2013.</w:t>
            </w:r>
            <w:r>
              <w:rPr>
                <w:sz w:val="24"/>
                <w:rFonts w:ascii="Times New Roman" w:hAnsi="Times New Roman"/>
              </w:rPr>
              <w:t xml:space="preserve"> </w:t>
            </w:r>
          </w:p>
        </w:tc>
      </w:tr>
      <w:tr w:rsidR="00C55547" w:rsidRPr="002D60D7" w14:paraId="1113CFCE" w14:textId="77777777" w:rsidTr="00E10B85">
        <w:tc>
          <w:tcPr>
            <w:tcW w:w="1008" w:type="dxa"/>
          </w:tcPr>
          <w:p w14:paraId="045998CB" w14:textId="77777777" w:rsidR="00C55547"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0050-0070</w:t>
            </w:r>
          </w:p>
        </w:tc>
        <w:tc>
          <w:tcPr>
            <w:tcW w:w="8204" w:type="dxa"/>
          </w:tcPr>
          <w:p w14:paraId="7C4743F6" w14:textId="77777777" w:rsidR="00C55547" w:rsidRPr="002D60D7" w:rsidRDefault="00C55547" w:rsidP="004C445F">
            <w:pPr>
              <w:suppressAutoHyphens/>
              <w:rPr>
                <w:rStyle w:val="InstructionsTabelleberschrift"/>
                <w:sz w:val="24"/>
                <w:rFonts w:ascii="Times New Roman" w:hAnsi="Times New Roman"/>
              </w:rPr>
            </w:pPr>
            <w:r>
              <w:rPr>
                <w:rStyle w:val="InstructionsTabelleberschrift"/>
                <w:sz w:val="24"/>
                <w:rFonts w:ascii="Times New Roman" w:hAnsi="Times New Roman"/>
              </w:rPr>
              <w:t xml:space="preserve">INVESTISSEUR</w:t>
            </w:r>
          </w:p>
          <w:p w14:paraId="5507389D" w14:textId="574F527A" w:rsidR="00C55547" w:rsidRPr="002D60D7" w:rsidRDefault="00C55547" w:rsidP="004C445F">
            <w:pPr>
              <w:suppressAutoHyphens/>
              <w:rPr>
                <w:sz w:val="24"/>
                <w:rFonts w:ascii="Times New Roman" w:hAnsi="Times New Roman"/>
              </w:rPr>
            </w:pPr>
            <w:r>
              <w:rPr>
                <w:sz w:val="24"/>
                <w:rFonts w:ascii="Times New Roman" w:hAnsi="Times New Roman"/>
              </w:rPr>
              <w:t xml:space="preserve">Établissement de crédit qui détient une position de titrisation dans le cadre d’une opération de titrisation pour laquelle il n’est ni initiateur, ni sponsor, ni prêteur initial.</w:t>
            </w:r>
          </w:p>
        </w:tc>
      </w:tr>
      <w:tr w:rsidR="00C55547" w:rsidRPr="002D60D7" w14:paraId="3AE4557E" w14:textId="77777777" w:rsidTr="00E10B85">
        <w:tc>
          <w:tcPr>
            <w:tcW w:w="1008" w:type="dxa"/>
          </w:tcPr>
          <w:p w14:paraId="4017D379" w14:textId="77777777" w:rsidR="00C55547"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0080-0100</w:t>
            </w:r>
          </w:p>
        </w:tc>
        <w:tc>
          <w:tcPr>
            <w:tcW w:w="8204" w:type="dxa"/>
          </w:tcPr>
          <w:p w14:paraId="6D18A74A" w14:textId="77777777" w:rsidR="00C55547" w:rsidRPr="002D60D7" w:rsidRDefault="00C55547" w:rsidP="004C445F">
            <w:pPr>
              <w:suppressAutoHyphens/>
              <w:rPr>
                <w:rStyle w:val="InstructionsTabelleberschrift"/>
                <w:sz w:val="24"/>
                <w:rFonts w:ascii="Times New Roman" w:hAnsi="Times New Roman"/>
              </w:rPr>
            </w:pPr>
            <w:r>
              <w:rPr>
                <w:rStyle w:val="InstructionsTabelleberschrift"/>
                <w:sz w:val="24"/>
                <w:rFonts w:ascii="Times New Roman" w:hAnsi="Times New Roman"/>
              </w:rPr>
              <w:t xml:space="preserve">SPONSOR</w:t>
            </w:r>
          </w:p>
          <w:p w14:paraId="65D6B605" w14:textId="002B3FBA" w:rsidR="005C14B0" w:rsidRPr="002D60D7" w:rsidRDefault="00E64BFE" w:rsidP="004C445F">
            <w:pPr>
              <w:suppressAutoHyphens/>
              <w:rPr>
                <w:sz w:val="24"/>
                <w:rFonts w:ascii="Times New Roman" w:hAnsi="Times New Roman"/>
              </w:rPr>
            </w:pPr>
            <w:r>
              <w:rPr>
                <w:sz w:val="24"/>
                <w:rFonts w:ascii="Times New Roman" w:hAnsi="Times New Roman"/>
              </w:rPr>
              <w:t xml:space="preserve"> </w:t>
            </w:r>
            <w:r>
              <w:rPr>
                <w:sz w:val="24"/>
                <w:rFonts w:ascii="Times New Roman" w:hAnsi="Times New Roman"/>
              </w:rPr>
              <w:t xml:space="preserve">Article 4, paragraphe 1, point 14), du règlement (UE) nº 575/2013.</w:t>
            </w:r>
            <w:r>
              <w:rPr>
                <w:sz w:val="24"/>
                <w:rFonts w:ascii="Times New Roman" w:hAnsi="Times New Roman"/>
              </w:rPr>
              <w:t xml:space="preserve"> </w:t>
            </w:r>
          </w:p>
          <w:p w14:paraId="7911CCA2" w14:textId="77777777" w:rsidR="00C55547" w:rsidRPr="002D60D7" w:rsidRDefault="005F3BBE" w:rsidP="004C445F">
            <w:pPr>
              <w:suppressAutoHyphens/>
              <w:rPr>
                <w:sz w:val="24"/>
                <w:rFonts w:ascii="Times New Roman" w:hAnsi="Times New Roman"/>
              </w:rPr>
            </w:pPr>
            <w:r>
              <w:rPr>
                <w:sz w:val="24"/>
                <w:rFonts w:ascii="Times New Roman" w:hAnsi="Times New Roman"/>
              </w:rPr>
              <w:t xml:space="preserve">Un sponsor qui titrise également ses propres actifs devra indiquer, dans les lignes sur l’initiateur, les informations relatives à ses propres actifs titrisés.</w:t>
            </w:r>
          </w:p>
        </w:tc>
      </w:tr>
      <w:tr w:rsidR="00C55547" w:rsidRPr="002D60D7" w14:paraId="5A0251A3" w14:textId="77777777" w:rsidTr="00E10B85">
        <w:tc>
          <w:tcPr>
            <w:tcW w:w="1008" w:type="dxa"/>
          </w:tcPr>
          <w:p w14:paraId="64B09950" w14:textId="77777777" w:rsidR="00C55547"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0030, 0060 et 0090</w:t>
            </w:r>
          </w:p>
        </w:tc>
        <w:tc>
          <w:tcPr>
            <w:tcW w:w="8204" w:type="dxa"/>
          </w:tcPr>
          <w:p w14:paraId="65F68A65" w14:textId="77777777" w:rsidR="00C55547" w:rsidRPr="002D60D7" w:rsidRDefault="00C55547" w:rsidP="004C445F">
            <w:pPr>
              <w:suppressAutoHyphens/>
              <w:rPr>
                <w:rStyle w:val="InstructionsTabelleberschrift"/>
                <w:sz w:val="24"/>
                <w:rFonts w:ascii="Times New Roman" w:hAnsi="Times New Roman"/>
              </w:rPr>
            </w:pPr>
            <w:r>
              <w:rPr>
                <w:rStyle w:val="InstructionsTabelleberschrift"/>
                <w:sz w:val="24"/>
                <w:rFonts w:ascii="Times New Roman" w:hAnsi="Times New Roman"/>
              </w:rPr>
              <w:t xml:space="preserve">POSITIONS DE TITRISATION</w:t>
            </w:r>
          </w:p>
          <w:p w14:paraId="3E2839F4" w14:textId="5E373E76" w:rsidR="00C55547" w:rsidRPr="002D60D7" w:rsidRDefault="00C55547" w:rsidP="004C445F">
            <w:pPr>
              <w:suppressAutoHyphens/>
              <w:rPr>
                <w:sz w:val="24"/>
                <w:rFonts w:ascii="Times New Roman" w:hAnsi="Times New Roman"/>
              </w:rPr>
            </w:pPr>
            <w:r>
              <w:rPr>
                <w:sz w:val="24"/>
                <w:rFonts w:ascii="Times New Roman" w:hAnsi="Times New Roman"/>
              </w:rPr>
              <w:t xml:space="preserve">Le portefeuille de négociation en corrélation doit se composer de titrisations, de dérivés de crédit au nième défaut et, éventuellement, d’autres positions de couverture qui satisfont aux critères énoncés à l’article 338, paragraphes 2 et 3, du règlement (UE) nº 575/2013.</w:t>
            </w:r>
          </w:p>
          <w:p w14:paraId="284429BF" w14:textId="77777777" w:rsidR="00C55547" w:rsidRPr="002D60D7" w:rsidRDefault="00C55547" w:rsidP="004C445F">
            <w:pPr>
              <w:suppressAutoHyphens/>
              <w:rPr>
                <w:sz w:val="24"/>
                <w:rFonts w:ascii="Times New Roman" w:hAnsi="Times New Roman"/>
              </w:rPr>
            </w:pPr>
            <w:r>
              <w:rPr>
                <w:sz w:val="24"/>
                <w:rFonts w:ascii="Times New Roman" w:hAnsi="Times New Roman"/>
              </w:rPr>
              <w:t xml:space="preserve">Les dérivés d’expositions de titrisation qui offrent une répartition au prorata ainsi que les positions de couverture de positions CTP seront inscrits dans la ligne “Autres positions du portefeuille de négociation en corrélation”.</w:t>
            </w:r>
          </w:p>
        </w:tc>
      </w:tr>
      <w:tr w:rsidR="00C55547" w:rsidRPr="002D60D7" w14:paraId="310FE06B" w14:textId="77777777" w:rsidTr="00E10B85">
        <w:tc>
          <w:tcPr>
            <w:tcW w:w="1008" w:type="dxa"/>
          </w:tcPr>
          <w:p w14:paraId="2602BE79" w14:textId="77777777" w:rsidR="00C55547"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0110</w:t>
            </w:r>
          </w:p>
        </w:tc>
        <w:tc>
          <w:tcPr>
            <w:tcW w:w="8204" w:type="dxa"/>
          </w:tcPr>
          <w:p w14:paraId="5251DCC8" w14:textId="77777777" w:rsidR="00C55547" w:rsidRPr="002D60D7" w:rsidRDefault="00C55547" w:rsidP="004C445F">
            <w:pPr>
              <w:suppressAutoHyphens/>
              <w:rPr>
                <w:rStyle w:val="InstructionsTabelleberschrift"/>
                <w:sz w:val="24"/>
                <w:rFonts w:ascii="Times New Roman" w:hAnsi="Times New Roman"/>
              </w:rPr>
            </w:pPr>
            <w:r>
              <w:rPr>
                <w:rStyle w:val="InstructionsTabelleberschrift"/>
                <w:sz w:val="24"/>
                <w:rFonts w:ascii="Times New Roman" w:hAnsi="Times New Roman"/>
              </w:rPr>
              <w:t xml:space="preserve">DÉRIVÉS DE CRÉDIT AU NIÈME DÉFAUT</w:t>
            </w:r>
          </w:p>
          <w:p w14:paraId="298FC0AB" w14:textId="5115C116" w:rsidR="00C55547" w:rsidRPr="002D60D7" w:rsidRDefault="00C55547" w:rsidP="004C445F">
            <w:pPr>
              <w:suppressAutoHyphens/>
              <w:rPr>
                <w:sz w:val="24"/>
                <w:rFonts w:ascii="Times New Roman" w:hAnsi="Times New Roman"/>
              </w:rPr>
            </w:pPr>
            <w:r>
              <w:rPr>
                <w:sz w:val="24"/>
                <w:rFonts w:ascii="Times New Roman" w:hAnsi="Times New Roman"/>
              </w:rPr>
              <w:t xml:space="preserve">Les dérivés de crédit au nième défaut couverts par des dérivés de crédit au nième défaut, conformément à l’article 347 du règlement (UE) nº 575/2013, doivent être déclarés sous cette rubrique.</w:t>
            </w:r>
          </w:p>
          <w:p w14:paraId="0ADF3C10" w14:textId="08643021" w:rsidR="00C55547" w:rsidRPr="002D60D7" w:rsidRDefault="00C55547" w:rsidP="004C445F">
            <w:pPr>
              <w:suppressAutoHyphens/>
              <w:rPr>
                <w:sz w:val="24"/>
                <w:rFonts w:ascii="Times New Roman" w:hAnsi="Times New Roman"/>
              </w:rPr>
            </w:pPr>
            <w:r>
              <w:rPr>
                <w:sz w:val="24"/>
                <w:rFonts w:ascii="Times New Roman" w:hAnsi="Times New Roman"/>
              </w:rPr>
              <w:t xml:space="preserve">L’initiateur, l’investisseur et le sponsor des positions ne conviennent pas pour les dérivés de crédit au nième défaut.</w:t>
            </w:r>
            <w:r>
              <w:rPr>
                <w:sz w:val="24"/>
                <w:rFonts w:ascii="Times New Roman" w:hAnsi="Times New Roman"/>
              </w:rPr>
              <w:t xml:space="preserve"> </w:t>
            </w:r>
            <w:r>
              <w:rPr>
                <w:sz w:val="24"/>
                <w:rFonts w:ascii="Times New Roman" w:hAnsi="Times New Roman"/>
              </w:rPr>
              <w:t xml:space="preserve">Dès lors, une ventilation concernant les positions de titrisation n’est pas fournie pour les dérivés de crédit au nième défaut.</w:t>
            </w:r>
          </w:p>
        </w:tc>
      </w:tr>
      <w:tr w:rsidR="00C55547" w:rsidRPr="002D60D7" w14:paraId="3804EA7A" w14:textId="77777777" w:rsidTr="00E10B85">
        <w:tc>
          <w:tcPr>
            <w:tcW w:w="1008" w:type="dxa"/>
          </w:tcPr>
          <w:p w14:paraId="492141F6" w14:textId="77777777" w:rsidR="00C55547"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0040, 0070, 0100 et 0120</w:t>
            </w:r>
          </w:p>
        </w:tc>
        <w:tc>
          <w:tcPr>
            <w:tcW w:w="8204" w:type="dxa"/>
          </w:tcPr>
          <w:p w14:paraId="1BEC5316" w14:textId="77777777" w:rsidR="00C55547" w:rsidRPr="002D60D7" w:rsidRDefault="00C55547" w:rsidP="004C445F">
            <w:pPr>
              <w:suppressAutoHyphens/>
              <w:rPr>
                <w:rStyle w:val="InstructionsTabelleberschrift"/>
                <w:sz w:val="24"/>
                <w:rFonts w:ascii="Times New Roman" w:hAnsi="Times New Roman"/>
              </w:rPr>
            </w:pPr>
            <w:r>
              <w:rPr>
                <w:rStyle w:val="InstructionsTabelleberschrift"/>
                <w:sz w:val="24"/>
                <w:rFonts w:ascii="Times New Roman" w:hAnsi="Times New Roman"/>
              </w:rPr>
              <w:t xml:space="preserve">AUTRES POSITIONS DU PORTEFEUILLE DE NÉGOCIATION EN CORRÉLATION</w:t>
            </w:r>
          </w:p>
          <w:p w14:paraId="543C28DD" w14:textId="77777777" w:rsidR="00C55547" w:rsidRPr="002D60D7" w:rsidRDefault="00C55547" w:rsidP="004C445F">
            <w:pPr>
              <w:suppressAutoHyphens/>
              <w:rPr>
                <w:sz w:val="24"/>
                <w:rFonts w:ascii="Times New Roman" w:hAnsi="Times New Roman"/>
              </w:rPr>
            </w:pPr>
            <w:r>
              <w:rPr>
                <w:sz w:val="24"/>
                <w:rFonts w:ascii="Times New Roman" w:hAnsi="Times New Roman"/>
              </w:rPr>
              <w:t xml:space="preserve">Les positions suivantes sont à inclure:</w:t>
            </w:r>
            <w:r>
              <w:rPr>
                <w:sz w:val="24"/>
                <w:rFonts w:ascii="Times New Roman" w:hAnsi="Times New Roman"/>
              </w:rPr>
              <w:t xml:space="preserve"> </w:t>
            </w:r>
          </w:p>
          <w:p w14:paraId="009DBFDC" w14:textId="71465A30" w:rsidR="002272E2" w:rsidRPr="002D60D7" w:rsidRDefault="00A92865" w:rsidP="00E172EA">
            <w:pPr>
              <w:pStyle w:val="ListParagraph"/>
              <w:numPr>
                <w:ilvl w:val="0"/>
                <w:numId w:val="31"/>
              </w:numPr>
              <w:tabs>
                <w:tab w:val="left" w:pos="720"/>
              </w:tabs>
              <w:suppressAutoHyphens/>
              <w:rPr>
                <w:sz w:val="24"/>
                <w:rFonts w:ascii="Times New Roman" w:hAnsi="Times New Roman"/>
              </w:rPr>
            </w:pPr>
            <w:r>
              <w:rPr>
                <w:sz w:val="24"/>
                <w:rFonts w:ascii="Times New Roman" w:hAnsi="Times New Roman"/>
              </w:rPr>
              <w:t xml:space="preserve">les dérivés d’expositions de titrisation qui offrent une répartition au prorata ainsi que les positions de couverture de positions CTP;</w:t>
            </w:r>
          </w:p>
          <w:p w14:paraId="6225E087" w14:textId="0E1CE11C" w:rsidR="002272E2" w:rsidRPr="002D60D7" w:rsidRDefault="00C55547" w:rsidP="00E172EA">
            <w:pPr>
              <w:pStyle w:val="ListParagraph"/>
              <w:numPr>
                <w:ilvl w:val="0"/>
                <w:numId w:val="31"/>
              </w:numPr>
              <w:tabs>
                <w:tab w:val="left" w:pos="720"/>
              </w:tabs>
              <w:suppressAutoHyphens/>
              <w:rPr>
                <w:sz w:val="24"/>
                <w:rFonts w:ascii="Times New Roman" w:hAnsi="Times New Roman"/>
              </w:rPr>
            </w:pPr>
            <w:r>
              <w:rPr>
                <w:sz w:val="24"/>
                <w:rFonts w:ascii="Times New Roman" w:hAnsi="Times New Roman"/>
              </w:rPr>
              <w:t xml:space="preserve">les positions CTP couvertes par des dérivés de crédit, conformément à l’article 346 du règlement (UE) nº 575/2013;</w:t>
            </w:r>
          </w:p>
          <w:p w14:paraId="37D9C26F" w14:textId="118835A5" w:rsidR="00C55547" w:rsidRPr="002D60D7" w:rsidRDefault="00A92865" w:rsidP="00E172EA">
            <w:pPr>
              <w:pStyle w:val="ListParagraph"/>
              <w:numPr>
                <w:ilvl w:val="0"/>
                <w:numId w:val="31"/>
              </w:numPr>
              <w:tabs>
                <w:tab w:val="left" w:pos="720"/>
              </w:tabs>
              <w:suppressAutoHyphens/>
              <w:rPr>
                <w:sz w:val="24"/>
                <w:rFonts w:ascii="Times New Roman" w:hAnsi="Times New Roman"/>
              </w:rPr>
            </w:pPr>
            <w:r>
              <w:rPr>
                <w:sz w:val="24"/>
                <w:rFonts w:ascii="Times New Roman" w:hAnsi="Times New Roman"/>
              </w:rPr>
              <w:t xml:space="preserve">les autres positions qui respectent les dispositions de l’article 338, paragraphe 3, du règlement (UE) nº 575/2013.</w:t>
            </w:r>
          </w:p>
        </w:tc>
      </w:tr>
    </w:tbl>
    <w:p w14:paraId="2FA40F1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3E44EE8" w14:textId="0CB90CC5" w:rsidR="000B0B09" w:rsidRPr="002D60D7" w:rsidRDefault="00C22B34" w:rsidP="004C445F">
      <w:pPr>
        <w:pStyle w:val="Instructionsberschrift2"/>
        <w:numPr>
          <w:ilvl w:val="0"/>
          <w:numId w:val="0"/>
        </w:numPr>
        <w:suppressAutoHyphens/>
        <w:ind w:left="357" w:hanging="357"/>
        <w:rPr>
          <w:sz w:val="24"/>
          <w:rFonts w:ascii="Times New Roman" w:hAnsi="Times New Roman" w:cs="Times New Roman"/>
        </w:rPr>
      </w:pPr>
      <w:bookmarkStart w:id="94" w:name="_Toc262566429"/>
      <w:bookmarkStart w:id="95" w:name="_Toc295830005"/>
      <w:bookmarkStart w:id="96" w:name="_Toc308426682"/>
      <w:bookmarkStart w:id="97" w:name="_Toc310415066"/>
      <w:bookmarkStart w:id="98" w:name="_Toc360188401"/>
      <w:bookmarkStart w:id="99" w:name="_Toc473561041"/>
      <w:bookmarkStart w:id="100" w:name="_Toc210732258"/>
      <w:r>
        <w:rPr>
          <w:sz w:val="24"/>
          <w:u w:val="none"/>
          <w:rFonts w:ascii="Times New Roman" w:hAnsi="Times New Roman"/>
        </w:rPr>
        <w:t xml:space="preserve">5.</w:t>
      </w:r>
      <w:r>
        <w:tab/>
      </w:r>
      <w:r>
        <w:rPr>
          <w:sz w:val="24"/>
          <w:rFonts w:ascii="Times New Roman" w:hAnsi="Times New Roman"/>
        </w:rPr>
        <w:t xml:space="preserve">C 21.00 – Risque de marché:</w:t>
      </w:r>
      <w:r>
        <w:rPr>
          <w:sz w:val="24"/>
          <w:rFonts w:ascii="Times New Roman" w:hAnsi="Times New Roman"/>
        </w:rPr>
        <w:t xml:space="preserve"> </w:t>
      </w:r>
      <w:r>
        <w:rPr>
          <w:sz w:val="24"/>
          <w:rFonts w:ascii="Times New Roman" w:hAnsi="Times New Roman"/>
        </w:rPr>
        <w:t xml:space="preserve">approche standard du risque relatif aux positions sur actions</w:t>
      </w:r>
      <w:bookmarkEnd w:id="94"/>
      <w:bookmarkEnd w:id="95"/>
      <w:bookmarkEnd w:id="96"/>
      <w:bookmarkEnd w:id="97"/>
      <w:bookmarkEnd w:id="98"/>
      <w:r>
        <w:t xml:space="preserve"> </w:t>
      </w:r>
      <w:r>
        <w:rPr>
          <w:sz w:val="24"/>
          <w:rFonts w:ascii="Times New Roman" w:hAnsi="Times New Roman"/>
        </w:rPr>
        <w:t xml:space="preserve">(MKR SA EQU)</w:t>
      </w:r>
      <w:bookmarkEnd w:id="99"/>
      <w:bookmarkEnd w:id="100"/>
    </w:p>
    <w:p w14:paraId="28B3FACA" w14:textId="344FF541" w:rsidR="000B0B09" w:rsidRPr="002D60D7" w:rsidRDefault="00C22B34" w:rsidP="004C445F">
      <w:pPr>
        <w:pStyle w:val="Instructionsberschrift2"/>
        <w:numPr>
          <w:ilvl w:val="0"/>
          <w:numId w:val="0"/>
        </w:numPr>
        <w:suppressAutoHyphens/>
        <w:ind w:left="357" w:hanging="357"/>
        <w:rPr>
          <w:sz w:val="24"/>
          <w:rFonts w:ascii="Times New Roman" w:hAnsi="Times New Roman" w:cs="Times New Roman"/>
        </w:rPr>
      </w:pPr>
      <w:bookmarkStart w:id="101" w:name="_Toc262566430"/>
      <w:bookmarkStart w:id="102" w:name="_Toc295830006"/>
      <w:bookmarkStart w:id="103" w:name="_Toc308426683"/>
      <w:bookmarkStart w:id="104" w:name="_Toc310415067"/>
      <w:bookmarkStart w:id="105" w:name="_Toc360188402"/>
      <w:bookmarkStart w:id="106" w:name="_Toc473561042"/>
      <w:bookmarkStart w:id="107" w:name="_Toc210732259"/>
      <w:r>
        <w:rPr>
          <w:sz w:val="24"/>
          <w:u w:val="none"/>
          <w:rFonts w:ascii="Times New Roman" w:hAnsi="Times New Roman"/>
        </w:rPr>
        <w:t xml:space="preserve">5.1.</w:t>
      </w:r>
      <w:r>
        <w:tab/>
      </w:r>
      <w:r>
        <w:rPr>
          <w:sz w:val="24"/>
          <w:rFonts w:ascii="Times New Roman" w:hAnsi="Times New Roman"/>
        </w:rPr>
        <w:t xml:space="preserve">Remarques générales</w:t>
      </w:r>
      <w:bookmarkEnd w:id="101"/>
      <w:bookmarkEnd w:id="102"/>
      <w:bookmarkEnd w:id="103"/>
      <w:bookmarkEnd w:id="104"/>
      <w:bookmarkEnd w:id="105"/>
      <w:bookmarkEnd w:id="106"/>
      <w:bookmarkEnd w:id="107"/>
    </w:p>
    <w:p w14:paraId="1BA8EF6D" w14:textId="368B1B75" w:rsidR="000B0B09" w:rsidRPr="002D60D7" w:rsidRDefault="000B0B09" w:rsidP="00E172EA">
      <w:pPr>
        <w:pStyle w:val="InstructionsText2"/>
        <w:numPr>
          <w:ilvl w:val="0"/>
          <w:numId w:val="29"/>
        </w:numPr>
        <w:suppressAutoHyphens/>
      </w:pPr>
      <w:r>
        <w:t xml:space="preserve">Ce modèle rassemble des informations sur les positions et les exigences de fonds propres correspondantes pour risque de position lié aux actions du portefeuille de négociation, traitées selon l’approche standard.</w:t>
      </w:r>
    </w:p>
    <w:p w14:paraId="3AF5EC7C" w14:textId="570FEDBA" w:rsidR="00B828CC" w:rsidRPr="002D60D7" w:rsidRDefault="000B0B09" w:rsidP="00E172EA">
      <w:pPr>
        <w:pStyle w:val="InstructionsText2"/>
        <w:numPr>
          <w:ilvl w:val="0"/>
          <w:numId w:val="29"/>
        </w:numPr>
        <w:suppressAutoHyphens/>
      </w:pPr>
      <w:r>
        <w:t xml:space="preserve">Le modèle doit être rempli séparément pour le “Total” et pour une liste statique et prédéfinie de marchés:</w:t>
      </w:r>
      <w:r>
        <w:t xml:space="preserve"> </w:t>
      </w:r>
      <w:r>
        <w:t xml:space="preserve">Bulgarie, République tchèque, Danemark, Égypte, Hongrie, Islande, Liechtenstein, Norvège, Pologne, Roumanie, Suède, Royaume-Uni, Albanie, Japon, ancienne République yougoslave de Macédoine, Fédération de Russie, Serbie, Suisse, Turquie, Ukraine, États-Unis, zone euro, et un modèle supplémentaire pour tous les autres marchés.</w:t>
      </w:r>
      <w:r>
        <w:t xml:space="preserve"> </w:t>
      </w:r>
      <w:r>
        <w:t xml:space="preserve">Aux fins de la présente exigence de déclaration, le terme “marché” signifie “pays” [sauf pour les pays appartenant à la zone euro, voir règlement délégué (UE) nº 525/2014 de la Commission</w:t>
      </w:r>
      <w:r>
        <w:rPr>
          <w:rStyle w:val="FootnoteReference"/>
        </w:rPr>
        <w:footnoteReference w:id="2"/>
      </w:r>
      <w:r>
        <w:t xml:space="preserve">].</w:t>
      </w:r>
    </w:p>
    <w:p w14:paraId="077E1A41" w14:textId="7E9E2DA4" w:rsidR="000B0B09" w:rsidRPr="002D60D7" w:rsidRDefault="00C22B34" w:rsidP="004C445F">
      <w:pPr>
        <w:pStyle w:val="Instructionsberschrift2"/>
        <w:numPr>
          <w:ilvl w:val="0"/>
          <w:numId w:val="0"/>
        </w:numPr>
        <w:suppressAutoHyphens/>
        <w:ind w:left="357" w:hanging="357"/>
        <w:rPr>
          <w:sz w:val="24"/>
          <w:rFonts w:ascii="Times New Roman" w:hAnsi="Times New Roman" w:cs="Times New Roman"/>
        </w:rPr>
      </w:pPr>
      <w:bookmarkStart w:id="108" w:name="_Toc262566431"/>
      <w:bookmarkStart w:id="109" w:name="_Toc295830007"/>
      <w:bookmarkStart w:id="110" w:name="_Toc308426684"/>
      <w:bookmarkStart w:id="111" w:name="_Toc310415068"/>
      <w:bookmarkStart w:id="112" w:name="_Toc360188403"/>
      <w:bookmarkStart w:id="113" w:name="_Toc473561043"/>
      <w:bookmarkStart w:id="114" w:name="_Toc210732260"/>
      <w:r>
        <w:rPr>
          <w:sz w:val="24"/>
          <w:u w:val="none"/>
          <w:rFonts w:ascii="Times New Roman" w:hAnsi="Times New Roman"/>
        </w:rPr>
        <w:t xml:space="preserve">5.2.</w:t>
      </w:r>
      <w:r>
        <w:tab/>
      </w:r>
      <w:r>
        <w:rPr>
          <w:sz w:val="24"/>
          <w:rFonts w:ascii="Times New Roman" w:hAnsi="Times New Roman"/>
        </w:rPr>
        <w:t xml:space="preserve">Instructions concernant certaines positions</w:t>
      </w:r>
      <w:bookmarkEnd w:id="108"/>
      <w:bookmarkEnd w:id="109"/>
      <w:bookmarkEnd w:id="110"/>
      <w:bookmarkEnd w:id="111"/>
      <w:bookmarkEnd w:id="112"/>
      <w:bookmarkEnd w:id="113"/>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2ADAFC61" w14:textId="77777777" w:rsidTr="00672D2A">
        <w:trPr>
          <w:trHeight w:val="626"/>
        </w:trPr>
        <w:tc>
          <w:tcPr>
            <w:tcW w:w="8862" w:type="dxa"/>
            <w:gridSpan w:val="2"/>
            <w:shd w:val="clear" w:color="auto" w:fill="CCCCCC"/>
          </w:tcPr>
          <w:p w14:paraId="0BC1F4DA" w14:textId="77777777" w:rsidR="000B0B09" w:rsidRPr="002D60D7" w:rsidRDefault="000B0B09" w:rsidP="004C445F">
            <w:pPr>
              <w:suppressAutoHyphens/>
              <w:autoSpaceDE w:val="0"/>
              <w:autoSpaceDN w:val="0"/>
              <w:adjustRightInd w:val="0"/>
              <w:spacing w:after="0"/>
              <w:rPr>
                <w:b/>
                <w:sz w:val="24"/>
                <w:rFonts w:ascii="Times New Roman" w:hAnsi="Times New Roman"/>
              </w:rPr>
            </w:pPr>
            <w:r>
              <w:rPr>
                <w:b/>
                <w:sz w:val="24"/>
                <w:rFonts w:ascii="Times New Roman" w:hAnsi="Times New Roman"/>
              </w:rPr>
              <w:t xml:space="preserve">Colonnes</w:t>
            </w:r>
          </w:p>
        </w:tc>
      </w:tr>
      <w:tr w:rsidR="000B0B09" w:rsidRPr="002D60D7" w14:paraId="1B6DCA2D" w14:textId="77777777" w:rsidTr="00672D2A">
        <w:tc>
          <w:tcPr>
            <w:tcW w:w="988" w:type="dxa"/>
          </w:tcPr>
          <w:p w14:paraId="2E10DD05"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0010-0020</w:t>
            </w:r>
          </w:p>
        </w:tc>
        <w:tc>
          <w:tcPr>
            <w:tcW w:w="7874" w:type="dxa"/>
          </w:tcPr>
          <w:p w14:paraId="57FBE31B" w14:textId="77777777" w:rsidR="000B0B09" w:rsidRPr="002D60D7" w:rsidRDefault="000B0B09" w:rsidP="004C445F">
            <w:pPr>
              <w:suppressAutoHyphens/>
              <w:autoSpaceDE w:val="0"/>
              <w:autoSpaceDN w:val="0"/>
              <w:adjustRightInd w:val="0"/>
              <w:rPr>
                <w:b/>
                <w:bCs/>
                <w:sz w:val="24"/>
                <w:u w:val="single"/>
                <w:rFonts w:ascii="Times New Roman" w:hAnsi="Times New Roman"/>
              </w:rPr>
            </w:pPr>
            <w:r>
              <w:rPr>
                <w:b/>
                <w:sz w:val="24"/>
                <w:u w:val="single"/>
                <w:rFonts w:ascii="Times New Roman" w:hAnsi="Times New Roman"/>
              </w:rPr>
              <w:t xml:space="preserve">TOUTES LES POSITIONS (LONGUES ET COURTES)</w:t>
            </w:r>
          </w:p>
          <w:p w14:paraId="754457ED" w14:textId="6411188D" w:rsidR="005C14B0" w:rsidRPr="002D60D7" w:rsidRDefault="000B0B09" w:rsidP="004C445F">
            <w:pPr>
              <w:suppressAutoHyphens/>
              <w:autoSpaceDE w:val="0"/>
              <w:autoSpaceDN w:val="0"/>
              <w:adjustRightInd w:val="0"/>
              <w:spacing w:before="0"/>
              <w:rPr>
                <w:sz w:val="24"/>
                <w:rFonts w:ascii="Times New Roman" w:hAnsi="Times New Roman"/>
              </w:rPr>
            </w:pPr>
            <w:r>
              <w:rPr>
                <w:sz w:val="24"/>
                <w:rFonts w:ascii="Times New Roman" w:hAnsi="Times New Roman"/>
              </w:rPr>
              <w:t xml:space="preserve">Article 102 et article 105, paragraphe 1, du règlement (UE) nº 575/2013.</w:t>
            </w:r>
            <w:r>
              <w:rPr>
                <w:sz w:val="24"/>
                <w:rFonts w:ascii="Times New Roman" w:hAnsi="Times New Roman"/>
              </w:rPr>
              <w:t xml:space="preserve"> </w:t>
            </w:r>
          </w:p>
          <w:p w14:paraId="59EE061F" w14:textId="31066C76" w:rsidR="000B0B09" w:rsidRPr="002D60D7" w:rsidRDefault="000B0B09" w:rsidP="004C445F">
            <w:pPr>
              <w:suppressAutoHyphens/>
              <w:autoSpaceDE w:val="0"/>
              <w:autoSpaceDN w:val="0"/>
              <w:adjustRightInd w:val="0"/>
              <w:spacing w:before="0"/>
              <w:rPr>
                <w:sz w:val="24"/>
                <w:rFonts w:ascii="Times New Roman" w:hAnsi="Times New Roman"/>
              </w:rPr>
            </w:pPr>
            <w:r>
              <w:rPr>
                <w:sz w:val="24"/>
                <w:rFonts w:ascii="Times New Roman" w:hAnsi="Times New Roman"/>
              </w:rPr>
              <w:t xml:space="preserve">Il s’agit de positions brutes qui ne sont pas compensées par des instruments, à l’exclusion des positions de prise ferme souscrites ou reprises par des tiers visées à l’article 345, paragraphe 1, premier alinéa, deuxième phrase, dudit règlement.</w:t>
            </w:r>
            <w:r>
              <w:rPr>
                <w:sz w:val="24"/>
                <w:rFonts w:ascii="Times New Roman" w:hAnsi="Times New Roman"/>
              </w:rPr>
              <w:t xml:space="preserve"> </w:t>
            </w:r>
          </w:p>
        </w:tc>
      </w:tr>
      <w:tr w:rsidR="000B0B09" w:rsidRPr="002D60D7" w14:paraId="518A8218" w14:textId="77777777" w:rsidTr="00672D2A">
        <w:tc>
          <w:tcPr>
            <w:tcW w:w="988" w:type="dxa"/>
          </w:tcPr>
          <w:p w14:paraId="5DF1DDF0"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0030-0040</w:t>
            </w:r>
            <w:r>
              <w:rPr>
                <w:sz w:val="24"/>
                <w:rFonts w:ascii="Times New Roman" w:hAnsi="Times New Roman"/>
              </w:rPr>
              <w:t xml:space="preserve"> </w:t>
            </w:r>
          </w:p>
        </w:tc>
        <w:tc>
          <w:tcPr>
            <w:tcW w:w="7874" w:type="dxa"/>
          </w:tcPr>
          <w:p w14:paraId="22DC25DE"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POSITIONS NETTES (LONGUES ET COURTES)</w:t>
            </w:r>
          </w:p>
          <w:p w14:paraId="72A57BC7" w14:textId="1B6E0BBC" w:rsidR="000B0B09" w:rsidRPr="002D60D7" w:rsidRDefault="000B0B09" w:rsidP="004C445F">
            <w:pPr>
              <w:suppressAutoHyphens/>
              <w:autoSpaceDE w:val="0"/>
              <w:autoSpaceDN w:val="0"/>
              <w:adjustRightInd w:val="0"/>
              <w:rPr>
                <w:sz w:val="24"/>
                <w:rFonts w:ascii="Times New Roman" w:hAnsi="Times New Roman"/>
              </w:rPr>
            </w:pPr>
            <w:r>
              <w:rPr>
                <w:sz w:val="24"/>
                <w:rFonts w:ascii="Times New Roman" w:hAnsi="Times New Roman"/>
              </w:rPr>
              <w:t xml:space="preserve">Articles 327, 329, 332, 341 et 345 du règlement (UE) nº 575/2013.</w:t>
            </w:r>
            <w:r>
              <w:rPr>
                <w:sz w:val="24"/>
                <w:rFonts w:ascii="Times New Roman" w:hAnsi="Times New Roman"/>
              </w:rPr>
              <w:t xml:space="preserve"> </w:t>
            </w:r>
          </w:p>
        </w:tc>
      </w:tr>
      <w:tr w:rsidR="000B0B09" w:rsidRPr="002D60D7" w14:paraId="1ED40A34" w14:textId="77777777" w:rsidTr="00672D2A">
        <w:tc>
          <w:tcPr>
            <w:tcW w:w="988" w:type="dxa"/>
          </w:tcPr>
          <w:p w14:paraId="49ADB5D9"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0050</w:t>
            </w:r>
          </w:p>
        </w:tc>
        <w:tc>
          <w:tcPr>
            <w:tcW w:w="7874" w:type="dxa"/>
          </w:tcPr>
          <w:p w14:paraId="28262B96" w14:textId="77777777" w:rsidR="000B0B09" w:rsidRPr="002D60D7" w:rsidRDefault="000B0B09" w:rsidP="004C445F">
            <w:pPr>
              <w:tabs>
                <w:tab w:val="left" w:pos="5795"/>
              </w:tabs>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POSITIONS SOUMISES AUX EXIGENCES DE FONDS PROPRES</w:t>
            </w:r>
          </w:p>
          <w:p w14:paraId="5B62E698" w14:textId="1711E988" w:rsidR="000B0B09" w:rsidRPr="002D60D7" w:rsidRDefault="000B0B09" w:rsidP="004C445F">
            <w:pPr>
              <w:suppressAutoHyphens/>
              <w:autoSpaceDE w:val="0"/>
              <w:autoSpaceDN w:val="0"/>
              <w:adjustRightInd w:val="0"/>
              <w:spacing w:after="0"/>
              <w:rPr>
                <w:sz w:val="24"/>
                <w:rFonts w:ascii="Times New Roman" w:hAnsi="Times New Roman"/>
              </w:rPr>
            </w:pPr>
            <w:r>
              <w:rPr>
                <w:sz w:val="24"/>
                <w:rFonts w:ascii="Times New Roman" w:hAnsi="Times New Roman"/>
              </w:rPr>
              <w:t xml:space="preserve">Positions nettes qui, conformément aux différentes approches envisagées dans la troisième partie, titre IV, chapitre 2, du règlement (UE) nº 575/2013, sont soumises à une exigence de fonds propres.</w:t>
            </w:r>
            <w:r>
              <w:rPr>
                <w:sz w:val="24"/>
                <w:rFonts w:ascii="Times New Roman" w:hAnsi="Times New Roman"/>
              </w:rPr>
              <w:t xml:space="preserve"> </w:t>
            </w:r>
            <w:r>
              <w:rPr>
                <w:sz w:val="24"/>
                <w:rFonts w:ascii="Times New Roman" w:hAnsi="Times New Roman"/>
              </w:rPr>
              <w:t xml:space="preserve">L’exigence de fonds propres est calculée séparément pour chaque marché national.</w:t>
            </w:r>
            <w:r>
              <w:rPr>
                <w:sz w:val="24"/>
                <w:rFonts w:ascii="Times New Roman" w:hAnsi="Times New Roman"/>
              </w:rPr>
              <w:t xml:space="preserve"> </w:t>
            </w:r>
            <w:r>
              <w:rPr>
                <w:sz w:val="24"/>
                <w:rFonts w:ascii="Times New Roman" w:hAnsi="Times New Roman"/>
              </w:rPr>
              <w:t xml:space="preserve">Les positions sur des contrats à terme sur indice boursier visés à l’article 344, paragraphe 4, deuxième phrase, du règlement (UE) nº 575/2013 ne sont pas à inclure dans cette colonne.</w:t>
            </w:r>
          </w:p>
          <w:p w14:paraId="7C352B8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7DD60D2" w14:textId="77777777" w:rsidTr="00672D2A">
        <w:tc>
          <w:tcPr>
            <w:tcW w:w="988" w:type="dxa"/>
          </w:tcPr>
          <w:p w14:paraId="479821DD"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0060</w:t>
            </w:r>
          </w:p>
        </w:tc>
        <w:tc>
          <w:tcPr>
            <w:tcW w:w="7874" w:type="dxa"/>
          </w:tcPr>
          <w:p w14:paraId="3258053C" w14:textId="77777777" w:rsidR="000B0B09" w:rsidRPr="002D60D7" w:rsidRDefault="000B0B09" w:rsidP="004C445F">
            <w:pPr>
              <w:tabs>
                <w:tab w:val="left" w:pos="1665"/>
              </w:tabs>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EXIGENCES DE FONDS PROPRES</w:t>
            </w:r>
          </w:p>
          <w:p w14:paraId="75CDA27D" w14:textId="087571B7" w:rsidR="000B0B09" w:rsidRPr="002D60D7" w:rsidRDefault="000B0B09" w:rsidP="004C445F">
            <w:pPr>
              <w:suppressAutoHyphens/>
              <w:autoSpaceDE w:val="0"/>
              <w:autoSpaceDN w:val="0"/>
              <w:adjustRightInd w:val="0"/>
              <w:spacing w:after="0"/>
              <w:rPr>
                <w:sz w:val="24"/>
                <w:rFonts w:ascii="Times New Roman" w:hAnsi="Times New Roman"/>
              </w:rPr>
            </w:pPr>
            <w:r>
              <w:rPr>
                <w:sz w:val="24"/>
                <w:rFonts w:ascii="Times New Roman" w:hAnsi="Times New Roman"/>
              </w:rPr>
              <w:t xml:space="preserve">Exigence de fonds propres calculée conformément à la troisième partie, titre IV, chapitre 2, du règlement (UE) nº 575/2013 pour toute position pertinente</w:t>
            </w:r>
          </w:p>
          <w:p w14:paraId="6CDF917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2F4C373" w14:textId="77777777" w:rsidTr="00672D2A">
        <w:tc>
          <w:tcPr>
            <w:tcW w:w="988" w:type="dxa"/>
          </w:tcPr>
          <w:p w14:paraId="62D82E3B"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0070</w:t>
            </w:r>
          </w:p>
        </w:tc>
        <w:tc>
          <w:tcPr>
            <w:tcW w:w="7874" w:type="dxa"/>
          </w:tcPr>
          <w:p w14:paraId="1A727463" w14:textId="77777777" w:rsidR="000B0B09" w:rsidRPr="002D60D7" w:rsidRDefault="000B0B09" w:rsidP="004C445F">
            <w:pPr>
              <w:tabs>
                <w:tab w:val="left" w:pos="1665"/>
              </w:tabs>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MONTANT TOTAL D’EXPOSITION AU RISQUE</w:t>
            </w:r>
          </w:p>
          <w:p w14:paraId="33E7C378" w14:textId="4FC9A55B" w:rsidR="00E64BFE" w:rsidRPr="002D60D7" w:rsidRDefault="000B0B09" w:rsidP="004C445F">
            <w:pPr>
              <w:tabs>
                <w:tab w:val="left" w:pos="1665"/>
              </w:tabs>
              <w:suppressAutoHyphens/>
              <w:autoSpaceDE w:val="0"/>
              <w:autoSpaceDN w:val="0"/>
              <w:adjustRightInd w:val="0"/>
              <w:spacing w:after="0"/>
              <w:rPr>
                <w:sz w:val="24"/>
                <w:rFonts w:ascii="Times New Roman" w:hAnsi="Times New Roman"/>
              </w:rPr>
            </w:pPr>
            <w:r>
              <w:rPr>
                <w:sz w:val="24"/>
                <w:rFonts w:ascii="Times New Roman" w:hAnsi="Times New Roman"/>
              </w:rPr>
              <w:t xml:space="preserve">Article 92, paragraphe 6, point b), du règlement (UE) nº 575/2013.</w:t>
            </w:r>
            <w:r>
              <w:rPr>
                <w:sz w:val="24"/>
                <w:rFonts w:ascii="Times New Roman" w:hAnsi="Times New Roman"/>
              </w:rPr>
              <w:t xml:space="preserve"> </w:t>
            </w:r>
          </w:p>
          <w:p w14:paraId="5D42B3B3" w14:textId="77777777" w:rsidR="000B0B09" w:rsidRPr="002D60D7" w:rsidRDefault="000B0B09" w:rsidP="004C445F">
            <w:pPr>
              <w:tabs>
                <w:tab w:val="left" w:pos="1665"/>
              </w:tabs>
              <w:suppressAutoHyphens/>
              <w:autoSpaceDE w:val="0"/>
              <w:autoSpaceDN w:val="0"/>
              <w:adjustRightInd w:val="0"/>
              <w:rPr>
                <w:b/>
                <w:bCs/>
                <w:sz w:val="24"/>
                <w:u w:val="single"/>
                <w:rFonts w:ascii="Times New Roman" w:hAnsi="Times New Roman"/>
              </w:rPr>
            </w:pPr>
            <w:r>
              <w:rPr>
                <w:sz w:val="24"/>
                <w:rFonts w:ascii="Times New Roman" w:hAnsi="Times New Roman"/>
              </w:rPr>
              <w:t xml:space="preserve">Résultat de la multiplication par 12,5 des exigences de fonds propres.</w:t>
            </w:r>
            <w:r>
              <w:rPr>
                <w:sz w:val="24"/>
                <w:rFonts w:ascii="Times New Roman" w:hAnsi="Times New Roman"/>
              </w:rPr>
              <w:t xml:space="preserve"> </w:t>
            </w:r>
          </w:p>
        </w:tc>
      </w:tr>
    </w:tbl>
    <w:p w14:paraId="62FB026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8060"/>
      </w:tblGrid>
      <w:tr w:rsidR="000B0B09" w:rsidRPr="002D60D7" w14:paraId="4775591D" w14:textId="77777777" w:rsidTr="00672D2A">
        <w:trPr>
          <w:trHeight w:val="662"/>
        </w:trPr>
        <w:tc>
          <w:tcPr>
            <w:tcW w:w="9212" w:type="dxa"/>
            <w:gridSpan w:val="2"/>
            <w:shd w:val="clear" w:color="auto" w:fill="CCCCCC"/>
          </w:tcPr>
          <w:p w14:paraId="5298B570" w14:textId="77777777" w:rsidR="000B0B09" w:rsidRPr="002D60D7" w:rsidRDefault="000B0B09" w:rsidP="004C445F">
            <w:pPr>
              <w:suppressAutoHyphens/>
              <w:autoSpaceDE w:val="0"/>
              <w:autoSpaceDN w:val="0"/>
              <w:adjustRightInd w:val="0"/>
              <w:spacing w:after="0"/>
              <w:rPr>
                <w:b/>
                <w:sz w:val="24"/>
                <w:rFonts w:ascii="Times New Roman" w:hAnsi="Times New Roman"/>
              </w:rPr>
            </w:pPr>
            <w:r>
              <w:rPr>
                <w:b/>
                <w:sz w:val="24"/>
                <w:rFonts w:ascii="Times New Roman" w:hAnsi="Times New Roman"/>
              </w:rPr>
              <w:t xml:space="preserve">Lignes</w:t>
            </w:r>
          </w:p>
        </w:tc>
      </w:tr>
      <w:tr w:rsidR="000B0B09" w:rsidRPr="002D60D7" w14:paraId="7546B05C" w14:textId="77777777" w:rsidTr="00672D2A">
        <w:tc>
          <w:tcPr>
            <w:tcW w:w="1008" w:type="dxa"/>
          </w:tcPr>
          <w:p w14:paraId="7BE875B0"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0010-0130</w:t>
            </w:r>
          </w:p>
        </w:tc>
        <w:tc>
          <w:tcPr>
            <w:tcW w:w="8204" w:type="dxa"/>
          </w:tcPr>
          <w:p w14:paraId="1FF7DE12"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ACTIONS DU PORTEFEUILLE DE NÉGOCIATION</w:t>
            </w:r>
          </w:p>
          <w:p w14:paraId="030F1935" w14:textId="785DC9DE" w:rsidR="000B0B09" w:rsidRPr="002D60D7" w:rsidRDefault="000B0B09" w:rsidP="004C445F">
            <w:pPr>
              <w:tabs>
                <w:tab w:val="left" w:pos="1665"/>
              </w:tabs>
              <w:suppressAutoHyphens/>
              <w:autoSpaceDE w:val="0"/>
              <w:autoSpaceDN w:val="0"/>
              <w:adjustRightInd w:val="0"/>
              <w:rPr>
                <w:sz w:val="24"/>
                <w:rFonts w:ascii="Times New Roman" w:hAnsi="Times New Roman"/>
              </w:rPr>
            </w:pPr>
            <w:r>
              <w:rPr>
                <w:sz w:val="24"/>
                <w:rFonts w:ascii="Times New Roman" w:hAnsi="Times New Roman"/>
              </w:rPr>
              <w:t xml:space="preserve">Exigences de fonds propres pour risque de position visée à l’article 92, paragraphe 3, point b) i), du règlement (UE) nº 575/2013 et à la troisième partie, titre IV, chapitre 2, section 3, dudit règlement.</w:t>
            </w:r>
          </w:p>
        </w:tc>
      </w:tr>
      <w:tr w:rsidR="000B0B09" w:rsidRPr="002D60D7" w14:paraId="06FCC7F1" w14:textId="77777777" w:rsidTr="00672D2A">
        <w:tc>
          <w:tcPr>
            <w:tcW w:w="1008" w:type="dxa"/>
          </w:tcPr>
          <w:p w14:paraId="33E8BCC6"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0020-0040</w:t>
            </w:r>
          </w:p>
        </w:tc>
        <w:tc>
          <w:tcPr>
            <w:tcW w:w="8204" w:type="dxa"/>
          </w:tcPr>
          <w:p w14:paraId="029ED25F"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RISQUE GÉNÉRAL</w:t>
            </w:r>
          </w:p>
          <w:p w14:paraId="21F94335" w14:textId="41165158" w:rsidR="000B0B09" w:rsidRPr="002D60D7" w:rsidRDefault="000B0B09" w:rsidP="004C445F">
            <w:pPr>
              <w:suppressAutoHyphens/>
              <w:autoSpaceDE w:val="0"/>
              <w:autoSpaceDN w:val="0"/>
              <w:adjustRightInd w:val="0"/>
              <w:rPr>
                <w:sz w:val="24"/>
                <w:rFonts w:ascii="Times New Roman" w:hAnsi="Times New Roman"/>
              </w:rPr>
            </w:pPr>
            <w:r>
              <w:rPr>
                <w:sz w:val="24"/>
                <w:rFonts w:ascii="Times New Roman" w:hAnsi="Times New Roman"/>
              </w:rPr>
              <w:t xml:space="preserve">Positions sur actions soumises au risque général [article 343 du règlement (UE) nº 575/2013] et exigences de fonds propres correspondantes conformément à la troisième partie, titre IV, chapitre 2, section 3, dudit règlement.</w:t>
            </w:r>
            <w:r>
              <w:rPr>
                <w:sz w:val="24"/>
                <w:rFonts w:ascii="Times New Roman" w:hAnsi="Times New Roman"/>
              </w:rPr>
              <w:t xml:space="preserve"> </w:t>
            </w:r>
          </w:p>
          <w:p w14:paraId="729400AD" w14:textId="77777777" w:rsidR="001E0C80" w:rsidRPr="002D60D7" w:rsidRDefault="000B0B09" w:rsidP="004C445F">
            <w:pPr>
              <w:suppressAutoHyphens/>
              <w:autoSpaceDE w:val="0"/>
              <w:autoSpaceDN w:val="0"/>
              <w:adjustRightInd w:val="0"/>
              <w:spacing w:before="0"/>
              <w:rPr>
                <w:sz w:val="24"/>
                <w:rFonts w:ascii="Times New Roman" w:hAnsi="Times New Roman"/>
              </w:rPr>
            </w:pPr>
            <w:r>
              <w:rPr>
                <w:sz w:val="24"/>
                <w:rFonts w:ascii="Times New Roman" w:hAnsi="Times New Roman"/>
              </w:rPr>
              <w:t xml:space="preserve">Les deux ventilations (lignes 0021/0022 ainsi que lignes 0030/0040) couvrent l’ensemble des positions soumises au risque général.</w:t>
            </w:r>
          </w:p>
          <w:p w14:paraId="32EAD513" w14:textId="77777777" w:rsidR="004E2725" w:rsidRPr="002D60D7" w:rsidRDefault="000B0B09"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Les lignes 0021 et 0022 rassemblent des informations sur la répartition en fonction des instruments.</w:t>
            </w:r>
            <w:r>
              <w:rPr>
                <w:sz w:val="24"/>
                <w:rFonts w:ascii="Times New Roman" w:hAnsi="Times New Roman"/>
              </w:rPr>
              <w:t xml:space="preserve"> </w:t>
            </w:r>
          </w:p>
          <w:p w14:paraId="75FD06DA" w14:textId="77777777" w:rsidR="000B0B09" w:rsidRPr="002D60D7" w:rsidRDefault="000B0B09" w:rsidP="004C445F">
            <w:pPr>
              <w:tabs>
                <w:tab w:val="left" w:pos="1665"/>
              </w:tabs>
              <w:suppressAutoHyphens/>
              <w:autoSpaceDE w:val="0"/>
              <w:autoSpaceDN w:val="0"/>
              <w:adjustRightInd w:val="0"/>
              <w:rPr>
                <w:sz w:val="24"/>
                <w:rFonts w:ascii="Times New Roman" w:hAnsi="Times New Roman"/>
              </w:rPr>
            </w:pPr>
            <w:r>
              <w:rPr>
                <w:sz w:val="24"/>
                <w:rFonts w:ascii="Times New Roman" w:hAnsi="Times New Roman"/>
              </w:rPr>
              <w:t xml:space="preserve">Seule la ventilation des lignes 0030 et 0040 doit être utilisée comme base de calcul des exigences de fonds propres.</w:t>
            </w:r>
          </w:p>
        </w:tc>
      </w:tr>
      <w:tr w:rsidR="000B0B09" w:rsidRPr="002D60D7" w14:paraId="7E2E7066" w14:textId="77777777" w:rsidTr="00672D2A">
        <w:tc>
          <w:tcPr>
            <w:tcW w:w="1008" w:type="dxa"/>
          </w:tcPr>
          <w:p w14:paraId="2A8F2E03"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0021</w:t>
            </w:r>
          </w:p>
        </w:tc>
        <w:tc>
          <w:tcPr>
            <w:tcW w:w="8204" w:type="dxa"/>
          </w:tcPr>
          <w:p w14:paraId="51E4EB2D" w14:textId="77777777" w:rsidR="000B0B09" w:rsidRPr="002D60D7" w:rsidRDefault="000B0B09" w:rsidP="004C445F">
            <w:pPr>
              <w:suppressAutoHyphens/>
              <w:autoSpaceDE w:val="0"/>
              <w:autoSpaceDN w:val="0"/>
              <w:adjustRightInd w:val="0"/>
              <w:spacing w:before="0" w:after="0"/>
              <w:rPr>
                <w:b/>
                <w:sz w:val="24"/>
                <w:u w:val="single"/>
                <w:rFonts w:ascii="Times New Roman" w:hAnsi="Times New Roman"/>
              </w:rPr>
            </w:pPr>
            <w:r>
              <w:rPr>
                <w:b/>
                <w:sz w:val="24"/>
                <w:u w:val="single"/>
                <w:rFonts w:ascii="Times New Roman" w:hAnsi="Times New Roman"/>
              </w:rPr>
              <w:t xml:space="preserve">Dérivés</w:t>
            </w:r>
          </w:p>
          <w:p w14:paraId="561EFF21" w14:textId="424FAD2D" w:rsidR="000B0B09" w:rsidRPr="002D60D7" w:rsidRDefault="000B0B09" w:rsidP="004C445F">
            <w:pPr>
              <w:suppressAutoHyphens/>
              <w:autoSpaceDE w:val="0"/>
              <w:autoSpaceDN w:val="0"/>
              <w:adjustRightInd w:val="0"/>
              <w:rPr>
                <w:b/>
                <w:bCs/>
                <w:sz w:val="24"/>
                <w:u w:val="single"/>
                <w:rFonts w:ascii="Times New Roman" w:hAnsi="Times New Roman"/>
              </w:rPr>
            </w:pPr>
            <w:r>
              <w:rPr>
                <w:sz w:val="24"/>
                <w:rFonts w:ascii="Times New Roman" w:hAnsi="Times New Roman"/>
              </w:rPr>
              <w:t xml:space="preserve">Dérivés inclus dans le calcul du risque lié aux actions des positions du portefeuille de négociation, compte tenu des articles 329 et 332 du règlement (UE) nº 575/2013, le cas échéant.</w:t>
            </w:r>
          </w:p>
        </w:tc>
      </w:tr>
      <w:tr w:rsidR="000B0B09" w:rsidRPr="002D60D7" w14:paraId="70CC2A6A" w14:textId="77777777" w:rsidTr="00672D2A">
        <w:tc>
          <w:tcPr>
            <w:tcW w:w="1008" w:type="dxa"/>
          </w:tcPr>
          <w:p w14:paraId="569AE9F8"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0022</w:t>
            </w:r>
          </w:p>
        </w:tc>
        <w:tc>
          <w:tcPr>
            <w:tcW w:w="8204" w:type="dxa"/>
          </w:tcPr>
          <w:p w14:paraId="100EC51C" w14:textId="77777777" w:rsidR="000B0B09" w:rsidRPr="002D60D7" w:rsidRDefault="000B0B09" w:rsidP="004C445F">
            <w:pPr>
              <w:suppressAutoHyphens/>
              <w:autoSpaceDE w:val="0"/>
              <w:autoSpaceDN w:val="0"/>
              <w:adjustRightInd w:val="0"/>
              <w:spacing w:before="0" w:after="0"/>
              <w:rPr>
                <w:b/>
                <w:sz w:val="24"/>
                <w:u w:val="single"/>
                <w:rFonts w:ascii="Times New Roman" w:hAnsi="Times New Roman"/>
              </w:rPr>
            </w:pPr>
            <w:r>
              <w:rPr>
                <w:b/>
                <w:sz w:val="24"/>
                <w:u w:val="single"/>
                <w:rFonts w:ascii="Times New Roman" w:hAnsi="Times New Roman"/>
              </w:rPr>
              <w:t xml:space="preserve">Autres éléments d’actif et de passif</w:t>
            </w:r>
          </w:p>
          <w:p w14:paraId="21AC79DF" w14:textId="77777777" w:rsidR="000B0B09" w:rsidRPr="002D60D7" w:rsidRDefault="000B0B09" w:rsidP="004C445F">
            <w:pPr>
              <w:suppressAutoHyphens/>
              <w:autoSpaceDE w:val="0"/>
              <w:autoSpaceDN w:val="0"/>
              <w:adjustRightInd w:val="0"/>
              <w:rPr>
                <w:b/>
                <w:bCs/>
                <w:sz w:val="24"/>
                <w:u w:val="single"/>
                <w:rFonts w:ascii="Times New Roman" w:hAnsi="Times New Roman"/>
              </w:rPr>
            </w:pPr>
            <w:r>
              <w:rPr>
                <w:sz w:val="24"/>
                <w:rFonts w:ascii="Times New Roman" w:hAnsi="Times New Roman"/>
              </w:rPr>
              <w:t xml:space="preserve">Instruments autres que des dérivés inclus dans le calcul du risque lié aux actions des positions du portefeuille de négociation.</w:t>
            </w:r>
            <w:r>
              <w:rPr>
                <w:sz w:val="24"/>
                <w:rFonts w:ascii="Times New Roman" w:hAnsi="Times New Roman"/>
              </w:rPr>
              <w:t xml:space="preserve"> </w:t>
            </w:r>
          </w:p>
        </w:tc>
      </w:tr>
      <w:tr w:rsidR="000B0B09" w:rsidRPr="002D60D7" w14:paraId="2ECBC519" w14:textId="77777777" w:rsidTr="00672D2A">
        <w:tc>
          <w:tcPr>
            <w:tcW w:w="1008" w:type="dxa"/>
          </w:tcPr>
          <w:p w14:paraId="63840C82"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0030</w:t>
            </w:r>
          </w:p>
        </w:tc>
        <w:tc>
          <w:tcPr>
            <w:tcW w:w="8204" w:type="dxa"/>
          </w:tcPr>
          <w:p w14:paraId="5BE0B58F"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Contrats à terme sur indice boursier largement diversifiés, négociés en bourse, et faisant l’objet d’une approche spécifique</w:t>
            </w:r>
          </w:p>
          <w:p w14:paraId="56A22316" w14:textId="77777777" w:rsidR="005C14B0" w:rsidRPr="002D60D7" w:rsidRDefault="000B0B09" w:rsidP="004C445F">
            <w:pPr>
              <w:tabs>
                <w:tab w:val="left" w:pos="1665"/>
              </w:tabs>
              <w:suppressAutoHyphens/>
              <w:autoSpaceDE w:val="0"/>
              <w:autoSpaceDN w:val="0"/>
              <w:adjustRightInd w:val="0"/>
              <w:rPr>
                <w:sz w:val="24"/>
                <w:rFonts w:ascii="Times New Roman" w:hAnsi="Times New Roman"/>
              </w:rPr>
            </w:pPr>
            <w:r>
              <w:rPr>
                <w:sz w:val="24"/>
                <w:rFonts w:ascii="Times New Roman" w:hAnsi="Times New Roman"/>
              </w:rPr>
              <w:t xml:space="preserve">Contrats à terme sur indice boursier négociés en bourse largement diversifiés et faisant l’objet d’une approche spécifique conformément au règlement d’exécution (UE) nº 945/2014 de la Commission</w:t>
            </w:r>
            <w:r>
              <w:rPr>
                <w:rStyle w:val="FootnoteReference"/>
              </w:rPr>
              <w:footnoteReference w:id="3"/>
            </w:r>
            <w:r>
              <w:rPr>
                <w:sz w:val="24"/>
                <w:rFonts w:ascii="Times New Roman" w:hAnsi="Times New Roman"/>
              </w:rPr>
              <w:t xml:space="preserve">.</w:t>
            </w:r>
          </w:p>
          <w:p w14:paraId="2528F1AA" w14:textId="103B7503" w:rsidR="000B0B09" w:rsidRPr="002D60D7" w:rsidRDefault="000B0B09" w:rsidP="004C445F">
            <w:pPr>
              <w:tabs>
                <w:tab w:val="left" w:pos="1665"/>
              </w:tabs>
              <w:suppressAutoHyphens/>
              <w:autoSpaceDE w:val="0"/>
              <w:autoSpaceDN w:val="0"/>
              <w:adjustRightInd w:val="0"/>
              <w:rPr>
                <w:b/>
                <w:bCs/>
                <w:sz w:val="24"/>
                <w:u w:val="single"/>
                <w:rFonts w:ascii="Times New Roman" w:hAnsi="Times New Roman"/>
              </w:rPr>
            </w:pPr>
            <w:r>
              <w:rPr>
                <w:sz w:val="24"/>
                <w:rFonts w:ascii="Times New Roman" w:hAnsi="Times New Roman"/>
              </w:rPr>
              <w:t xml:space="preserve">Ces positions sont soumises au seul risque général et ne sont donc pas déclarées à la ligne 0050.</w:t>
            </w:r>
          </w:p>
        </w:tc>
      </w:tr>
      <w:tr w:rsidR="000B0B09" w:rsidRPr="002D60D7" w14:paraId="132F7A31" w14:textId="77777777" w:rsidTr="00672D2A">
        <w:tc>
          <w:tcPr>
            <w:tcW w:w="1008" w:type="dxa"/>
          </w:tcPr>
          <w:p w14:paraId="5A552EB7"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0040</w:t>
            </w:r>
          </w:p>
        </w:tc>
        <w:tc>
          <w:tcPr>
            <w:tcW w:w="8204" w:type="dxa"/>
          </w:tcPr>
          <w:p w14:paraId="10EE0C22"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Actions différentes d’un contrat à terme sur indice boursier négocié en bourse largement diversifié</w:t>
            </w:r>
          </w:p>
          <w:p w14:paraId="17542C2D" w14:textId="5412BB06" w:rsidR="000B0B09" w:rsidRPr="002D60D7" w:rsidRDefault="000B0B09" w:rsidP="004C445F">
            <w:pPr>
              <w:suppressAutoHyphens/>
              <w:autoSpaceDE w:val="0"/>
              <w:autoSpaceDN w:val="0"/>
              <w:adjustRightInd w:val="0"/>
              <w:rPr>
                <w:sz w:val="24"/>
                <w:rFonts w:ascii="Times New Roman" w:hAnsi="Times New Roman"/>
              </w:rPr>
            </w:pPr>
            <w:r>
              <w:rPr>
                <w:sz w:val="24"/>
                <w:rFonts w:ascii="Times New Roman" w:hAnsi="Times New Roman"/>
              </w:rPr>
              <w:t xml:space="preserve">Autres positions sur actions soumises au risque spécifique ainsi que leurs exigences de fonds propres correspondantes conformément à l’article 343 du règlement (UE) nº 575/2013, y compris les positions sur des contrats à terme sur indice boursier traitées conformément à l’article 344, paragraphe 3, dudit règlement.</w:t>
            </w:r>
          </w:p>
        </w:tc>
      </w:tr>
      <w:tr w:rsidR="000B0B09" w:rsidRPr="002D60D7" w14:paraId="10C7ACD9" w14:textId="77777777" w:rsidTr="00672D2A">
        <w:tc>
          <w:tcPr>
            <w:tcW w:w="1008" w:type="dxa"/>
          </w:tcPr>
          <w:p w14:paraId="1F6F53FD"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0050</w:t>
            </w:r>
            <w:r>
              <w:rPr>
                <w:sz w:val="24"/>
                <w:rFonts w:ascii="Times New Roman" w:hAnsi="Times New Roman"/>
              </w:rPr>
              <w:t xml:space="preserve"> </w:t>
            </w:r>
          </w:p>
        </w:tc>
        <w:tc>
          <w:tcPr>
            <w:tcW w:w="8204" w:type="dxa"/>
          </w:tcPr>
          <w:p w14:paraId="0CF5CE81"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RISQUE SPÉCIFIQUE</w:t>
            </w:r>
          </w:p>
          <w:p w14:paraId="4CFFEA2D" w14:textId="693CE9A9" w:rsidR="000B0B09" w:rsidRPr="002D60D7" w:rsidRDefault="000B0B09" w:rsidP="004C445F">
            <w:pPr>
              <w:suppressAutoHyphens/>
              <w:autoSpaceDE w:val="0"/>
              <w:autoSpaceDN w:val="0"/>
              <w:adjustRightInd w:val="0"/>
              <w:rPr>
                <w:sz w:val="24"/>
                <w:rFonts w:ascii="Times New Roman" w:hAnsi="Times New Roman"/>
              </w:rPr>
            </w:pPr>
            <w:r>
              <w:rPr>
                <w:sz w:val="24"/>
                <w:rFonts w:ascii="Times New Roman" w:hAnsi="Times New Roman"/>
              </w:rPr>
              <w:t xml:space="preserve">Positions sur actions soumises au risque spécifique ainsi que leur exigence de fonds propres correspondante conformément à l’article 342 du règlement (UE) nº 575/2013, à l’exclusion des positions sur des contrats à terme sur indice boursier traitées conformément à l’article 344, paragraphe 4, deuxième phrase, dudit règlement.</w:t>
            </w:r>
            <w:r>
              <w:rPr>
                <w:sz w:val="24"/>
                <w:rFonts w:ascii="Times New Roman" w:hAnsi="Times New Roman"/>
              </w:rPr>
              <w:t xml:space="preserve"> </w:t>
            </w:r>
          </w:p>
        </w:tc>
      </w:tr>
      <w:tr w:rsidR="000B0B09" w:rsidRPr="002D60D7" w14:paraId="63780725" w14:textId="77777777" w:rsidTr="00672D2A">
        <w:tc>
          <w:tcPr>
            <w:tcW w:w="1008" w:type="dxa"/>
          </w:tcPr>
          <w:p w14:paraId="573EB4E8"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0090-0130</w:t>
            </w:r>
          </w:p>
        </w:tc>
        <w:tc>
          <w:tcPr>
            <w:tcW w:w="8204" w:type="dxa"/>
          </w:tcPr>
          <w:p w14:paraId="1BAF0B57"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rStyle w:val="InstructionsTabelleberschrift"/>
                <w:sz w:val="24"/>
                <w:rFonts w:ascii="Times New Roman" w:hAnsi="Times New Roman"/>
              </w:rPr>
              <w:t xml:space="preserve">EXIGENCES SUPPLÉMENTAIRES POUR RISQUES SUR OPTIONS (RISQUES NON DELTA)</w:t>
            </w:r>
          </w:p>
          <w:p w14:paraId="2552C107" w14:textId="66B48CCE" w:rsidR="000B0B09" w:rsidRPr="002D60D7" w:rsidRDefault="000B0B09" w:rsidP="004C445F">
            <w:pPr>
              <w:suppressAutoHyphens/>
              <w:autoSpaceDE w:val="0"/>
              <w:autoSpaceDN w:val="0"/>
              <w:adjustRightInd w:val="0"/>
              <w:rPr>
                <w:sz w:val="24"/>
                <w:rFonts w:ascii="Times New Roman" w:hAnsi="Times New Roman"/>
              </w:rPr>
            </w:pPr>
            <w:r>
              <w:rPr>
                <w:sz w:val="24"/>
                <w:rFonts w:ascii="Times New Roman" w:hAnsi="Times New Roman"/>
              </w:rPr>
              <w:t xml:space="preserve">Article 329, paragraphes 2 et 3, du règlement (UE) nº 575/2013.</w:t>
            </w:r>
            <w:r>
              <w:rPr>
                <w:sz w:val="24"/>
                <w:rFonts w:ascii="Times New Roman" w:hAnsi="Times New Roman"/>
              </w:rPr>
              <w:t xml:space="preserve"> </w:t>
            </w:r>
          </w:p>
          <w:p w14:paraId="72C3FAC3" w14:textId="77777777" w:rsidR="000B0B09" w:rsidRPr="002D60D7" w:rsidRDefault="000B0B09"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Les exigences supplémentaires pour les options liées aux risques autres que le risque delta seront déclarées dans la méthode appliquée pour leur calcul.</w:t>
            </w:r>
          </w:p>
        </w:tc>
      </w:tr>
    </w:tbl>
    <w:p w14:paraId="0EB6FD79"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1D26B512" w14:textId="2E1A7FF9" w:rsidR="000B0B09" w:rsidRPr="002D60D7" w:rsidRDefault="00C22B34" w:rsidP="004C445F">
      <w:pPr>
        <w:pStyle w:val="Instructionsberschrift2"/>
        <w:numPr>
          <w:ilvl w:val="0"/>
          <w:numId w:val="0"/>
        </w:numPr>
        <w:suppressAutoHyphens/>
        <w:ind w:left="357" w:hanging="357"/>
        <w:rPr>
          <w:sz w:val="24"/>
          <w:rFonts w:ascii="Times New Roman" w:hAnsi="Times New Roman" w:cs="Times New Roman"/>
        </w:rPr>
      </w:pPr>
      <w:bookmarkStart w:id="115" w:name="_Toc262566432"/>
      <w:bookmarkStart w:id="116" w:name="_Toc295830008"/>
      <w:bookmarkStart w:id="117" w:name="_Toc308426685"/>
      <w:bookmarkStart w:id="118" w:name="_Toc310415069"/>
      <w:bookmarkStart w:id="119" w:name="_Toc360188404"/>
      <w:bookmarkStart w:id="120" w:name="_Toc473561044"/>
      <w:bookmarkStart w:id="121" w:name="_Toc210732261"/>
      <w:r>
        <w:rPr>
          <w:sz w:val="24"/>
          <w:u w:val="none"/>
          <w:rFonts w:ascii="Times New Roman" w:hAnsi="Times New Roman"/>
        </w:rPr>
        <w:t xml:space="preserve">6.</w:t>
      </w:r>
      <w:r>
        <w:tab/>
      </w:r>
      <w:r>
        <w:rPr>
          <w:sz w:val="24"/>
          <w:rFonts w:ascii="Times New Roman" w:hAnsi="Times New Roman"/>
        </w:rPr>
        <w:t xml:space="preserve">C 22.00 – Risque de marché:</w:t>
      </w:r>
      <w:r>
        <w:rPr>
          <w:sz w:val="24"/>
          <w:rFonts w:ascii="Times New Roman" w:hAnsi="Times New Roman"/>
        </w:rPr>
        <w:t xml:space="preserve"> </w:t>
      </w:r>
      <w:r>
        <w:rPr>
          <w:sz w:val="24"/>
          <w:rFonts w:ascii="Times New Roman" w:hAnsi="Times New Roman"/>
        </w:rPr>
        <w:t xml:space="preserve">approches standard du risque de change</w:t>
      </w:r>
      <w:bookmarkEnd w:id="115"/>
      <w:bookmarkEnd w:id="116"/>
      <w:bookmarkEnd w:id="117"/>
      <w:bookmarkEnd w:id="118"/>
      <w:bookmarkEnd w:id="119"/>
      <w:r>
        <w:rPr>
          <w:sz w:val="24"/>
          <w:rFonts w:ascii="Times New Roman" w:hAnsi="Times New Roman"/>
        </w:rPr>
        <w:t xml:space="preserve"> (MKR SA FX)</w:t>
      </w:r>
      <w:bookmarkEnd w:id="120"/>
      <w:bookmarkEnd w:id="121"/>
    </w:p>
    <w:p w14:paraId="70FD2A29" w14:textId="503A292B" w:rsidR="000B0B09" w:rsidRPr="002D60D7" w:rsidRDefault="00C22B34" w:rsidP="004C445F">
      <w:pPr>
        <w:pStyle w:val="Instructionsberschrift2"/>
        <w:numPr>
          <w:ilvl w:val="0"/>
          <w:numId w:val="0"/>
        </w:numPr>
        <w:suppressAutoHyphens/>
        <w:ind w:left="357" w:hanging="357"/>
        <w:rPr>
          <w:sz w:val="24"/>
          <w:rFonts w:ascii="Times New Roman" w:hAnsi="Times New Roman" w:cs="Times New Roman"/>
        </w:rPr>
      </w:pPr>
      <w:bookmarkStart w:id="122" w:name="_Toc262566433"/>
      <w:bookmarkStart w:id="123" w:name="_Toc295830009"/>
      <w:bookmarkStart w:id="124" w:name="_Toc308426686"/>
      <w:bookmarkStart w:id="125" w:name="_Toc310415070"/>
      <w:bookmarkStart w:id="126" w:name="_Toc360188405"/>
      <w:bookmarkStart w:id="127" w:name="_Toc473561045"/>
      <w:bookmarkStart w:id="128" w:name="_Toc210732262"/>
      <w:r>
        <w:rPr>
          <w:sz w:val="24"/>
          <w:u w:val="none"/>
          <w:rFonts w:ascii="Times New Roman" w:hAnsi="Times New Roman"/>
        </w:rPr>
        <w:t xml:space="preserve">6.1.</w:t>
      </w:r>
      <w:r>
        <w:tab/>
      </w:r>
      <w:r>
        <w:rPr>
          <w:sz w:val="24"/>
          <w:rFonts w:ascii="Times New Roman" w:hAnsi="Times New Roman"/>
        </w:rPr>
        <w:t xml:space="preserve">Remarques générales</w:t>
      </w:r>
      <w:bookmarkEnd w:id="122"/>
      <w:bookmarkEnd w:id="123"/>
      <w:bookmarkEnd w:id="124"/>
      <w:bookmarkEnd w:id="125"/>
      <w:bookmarkEnd w:id="126"/>
      <w:bookmarkEnd w:id="127"/>
      <w:bookmarkEnd w:id="128"/>
    </w:p>
    <w:p w14:paraId="3B4750B2" w14:textId="2C7BE8FA" w:rsidR="00F71DF2" w:rsidRPr="002D60D7" w:rsidRDefault="00A807E1" w:rsidP="00E172EA">
      <w:pPr>
        <w:pStyle w:val="InstructionsText2"/>
        <w:numPr>
          <w:ilvl w:val="0"/>
          <w:numId w:val="29"/>
        </w:numPr>
        <w:suppressAutoHyphens/>
      </w:pPr>
      <w:r>
        <w:t xml:space="preserve">Les entreprises d’investissement déclareront des informations sur les positions dans chaque devise (y compris celle de la déclaration) et les exigences de fonds propres correspondantes pour risque de change selon l’approche standard.</w:t>
      </w:r>
      <w:r>
        <w:t xml:space="preserve"> </w:t>
      </w:r>
      <w:r>
        <w:t xml:space="preserve">La position doit être calculée pour chaque devise (y compris EUR), l’or et les positions sur OPC.</w:t>
      </w:r>
    </w:p>
    <w:p w14:paraId="39EF826C" w14:textId="60814CC7" w:rsidR="000B0B09" w:rsidRPr="002D60D7" w:rsidRDefault="00B31D8A" w:rsidP="00E172EA">
      <w:pPr>
        <w:pStyle w:val="InstructionsText2"/>
        <w:numPr>
          <w:ilvl w:val="0"/>
          <w:numId w:val="29"/>
        </w:numPr>
        <w:suppressAutoHyphens/>
      </w:pPr>
      <w:r>
        <w:t xml:space="preserve">Les lignes 0100 à 0470 de ce modèle doivent être déclarées lorsque les entreprises d’investissement sont autorisées à exercer les activités 3 ou 6 de l’annexe I, section A, de la directive nº 2014/65/UE du Parlement européen et du Conseil</w:t>
      </w:r>
      <w:r>
        <w:rPr>
          <w:rStyle w:val="FootnoteReference"/>
        </w:rPr>
        <w:footnoteReference w:id="4"/>
      </w:r>
      <w:r>
        <w:t xml:space="preserve">, même si ces entreprises d’investissement ne sont pas tenues de calculer leurs exigences de fonds propres pour risque de change en vertu de l’article 351 du règlement (UE) nº 575/2013.</w:t>
      </w:r>
      <w:r>
        <w:t xml:space="preserve"> </w:t>
      </w:r>
      <w:r>
        <w:t xml:space="preserve">Dans ces postes pour mémoire, toutes les positions dans la devise de la déclaration sont incluses dans les lignes 0100 à 0470, qu’elles soient ou non prises en compte aux fins de l’article 354 du règlement (UE) nº 575/2013.</w:t>
      </w:r>
      <w:r>
        <w:t xml:space="preserve"> </w:t>
      </w:r>
      <w:r>
        <w:t xml:space="preserve">Les lignes 0130 à 0470 des postes pour mémoire du modèle seront remplies séparément pour toutes les devises des États membres de l’Union et pour les devises suivantes: GBP, USD, CHF, JPY, RUB, TRY, AUD, CAD, RSD, ALL, UAH, MKD, EGP, ARS, BRL, MXN, HKD, ICK, TWD, NZD, NOK, SGD, KRW, CNY et toutes les autres devises.</w:t>
      </w:r>
    </w:p>
    <w:p w14:paraId="346B4732" w14:textId="0BDCE786" w:rsidR="000B0B09" w:rsidRPr="002D60D7" w:rsidRDefault="00C22B34" w:rsidP="004C445F">
      <w:pPr>
        <w:pStyle w:val="Instructionsberschrift2"/>
        <w:numPr>
          <w:ilvl w:val="0"/>
          <w:numId w:val="0"/>
        </w:numPr>
        <w:suppressAutoHyphens/>
        <w:ind w:left="357" w:hanging="357"/>
        <w:rPr>
          <w:sz w:val="24"/>
          <w:rFonts w:ascii="Times New Roman" w:hAnsi="Times New Roman" w:cs="Times New Roman"/>
        </w:rPr>
      </w:pPr>
      <w:bookmarkStart w:id="130" w:name="_Toc262566434"/>
      <w:bookmarkStart w:id="131" w:name="_Toc295830010"/>
      <w:bookmarkStart w:id="132" w:name="_Toc308426687"/>
      <w:bookmarkStart w:id="133" w:name="_Toc310415071"/>
      <w:bookmarkStart w:id="134" w:name="_Toc360188406"/>
      <w:bookmarkStart w:id="135" w:name="_Toc473561046"/>
      <w:bookmarkStart w:id="136" w:name="_Toc210732263"/>
      <w:r>
        <w:rPr>
          <w:sz w:val="24"/>
          <w:u w:val="none"/>
          <w:rFonts w:ascii="Times New Roman" w:hAnsi="Times New Roman"/>
        </w:rPr>
        <w:t xml:space="preserve">6.2.</w:t>
      </w:r>
      <w:r>
        <w:tab/>
      </w:r>
      <w:r>
        <w:rPr>
          <w:sz w:val="24"/>
          <w:rFonts w:ascii="Times New Roman" w:hAnsi="Times New Roman"/>
        </w:rPr>
        <w:t xml:space="preserve">Instructions concernant certaines positions</w:t>
      </w:r>
      <w:bookmarkEnd w:id="130"/>
      <w:bookmarkEnd w:id="131"/>
      <w:bookmarkEnd w:id="132"/>
      <w:bookmarkEnd w:id="133"/>
      <w:bookmarkEnd w:id="134"/>
      <w:bookmarkEnd w:id="135"/>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49DEFDC7" w14:textId="77777777" w:rsidTr="00672D2A">
        <w:trPr>
          <w:trHeight w:val="595"/>
        </w:trPr>
        <w:tc>
          <w:tcPr>
            <w:tcW w:w="8862" w:type="dxa"/>
            <w:gridSpan w:val="2"/>
            <w:shd w:val="clear" w:color="auto" w:fill="CCCCCC"/>
          </w:tcPr>
          <w:p w14:paraId="12971A77" w14:textId="77777777" w:rsidR="000B0B09" w:rsidRPr="002D60D7" w:rsidRDefault="000B0B09" w:rsidP="004C445F">
            <w:pPr>
              <w:suppressAutoHyphens/>
              <w:autoSpaceDE w:val="0"/>
              <w:autoSpaceDN w:val="0"/>
              <w:adjustRightInd w:val="0"/>
              <w:spacing w:after="0"/>
              <w:rPr>
                <w:b/>
                <w:sz w:val="24"/>
                <w:rFonts w:ascii="Times New Roman" w:hAnsi="Times New Roman"/>
              </w:rPr>
            </w:pPr>
            <w:r>
              <w:rPr>
                <w:b/>
                <w:sz w:val="24"/>
                <w:rFonts w:ascii="Times New Roman" w:hAnsi="Times New Roman"/>
              </w:rPr>
              <w:t xml:space="preserve">Colonnes</w:t>
            </w:r>
          </w:p>
        </w:tc>
      </w:tr>
      <w:tr w:rsidR="000B0B09" w:rsidRPr="002D60D7" w14:paraId="159B4B41" w14:textId="77777777" w:rsidTr="00672D2A">
        <w:tc>
          <w:tcPr>
            <w:tcW w:w="988" w:type="dxa"/>
          </w:tcPr>
          <w:p w14:paraId="0ABA9E21"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0020-0030</w:t>
            </w:r>
          </w:p>
        </w:tc>
        <w:tc>
          <w:tcPr>
            <w:tcW w:w="7874" w:type="dxa"/>
          </w:tcPr>
          <w:p w14:paraId="3450FB81"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TOUTES LES POSITIONS (LONGUES ET COURTES)</w:t>
            </w:r>
          </w:p>
          <w:p w14:paraId="21CD617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5F204D98" w14:textId="7206E339" w:rsidR="005C14B0" w:rsidRPr="002D60D7" w:rsidRDefault="000B0B09" w:rsidP="004C445F">
            <w:pPr>
              <w:suppressAutoHyphens/>
              <w:autoSpaceDE w:val="0"/>
              <w:autoSpaceDN w:val="0"/>
              <w:adjustRightInd w:val="0"/>
              <w:spacing w:before="0"/>
              <w:rPr>
                <w:sz w:val="24"/>
                <w:rFonts w:ascii="Times New Roman" w:hAnsi="Times New Roman"/>
              </w:rPr>
            </w:pPr>
            <w:r>
              <w:rPr>
                <w:sz w:val="24"/>
                <w:rFonts w:ascii="Times New Roman" w:hAnsi="Times New Roman"/>
              </w:rPr>
              <w:t xml:space="preserve">Positions brutes dues à des éléments d’actif, des montants à recevoir et des éléments similaires visés à l’article 352, paragraphe 1, du règlement (UE) nº 575/2013.</w:t>
            </w:r>
          </w:p>
          <w:p w14:paraId="754DB1BB" w14:textId="2FEAA29E" w:rsidR="000B0B09" w:rsidRPr="002D60D7" w:rsidRDefault="00BB22D4"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Conformément à l’article 352, paragraphe 2, du règlement (UE) nº 575/2013 et sous réserve de l’autorisation des autorités compétentes, ne seront pas déclarées les positions prises en tant que couverture contre l’effet négatif des taux de change sur leurs ratios conformément à l’article 92, paragraphe 1, dudit règlement, et les positions liées à des éléments déjà déduits dans le calcul des fonds propres.</w:t>
            </w:r>
          </w:p>
          <w:p w14:paraId="40A85A4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5B6C2519" w14:textId="77777777" w:rsidTr="00672D2A">
        <w:tc>
          <w:tcPr>
            <w:tcW w:w="988" w:type="dxa"/>
          </w:tcPr>
          <w:p w14:paraId="01A2B5B6"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0040-0050</w:t>
            </w:r>
          </w:p>
        </w:tc>
        <w:tc>
          <w:tcPr>
            <w:tcW w:w="7874" w:type="dxa"/>
          </w:tcPr>
          <w:p w14:paraId="5A21CA54"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POSITIONS NETTES (LONGUES ET COURTES)</w:t>
            </w:r>
          </w:p>
          <w:p w14:paraId="5D5BCFB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63D2EB9" w14:textId="110C5AF2" w:rsidR="00283B5F" w:rsidRPr="002D60D7" w:rsidRDefault="000B0B09" w:rsidP="004C445F">
            <w:pPr>
              <w:suppressAutoHyphens/>
              <w:autoSpaceDE w:val="0"/>
              <w:autoSpaceDN w:val="0"/>
              <w:adjustRightInd w:val="0"/>
              <w:spacing w:before="0"/>
              <w:rPr>
                <w:sz w:val="24"/>
                <w:rFonts w:ascii="Times New Roman" w:hAnsi="Times New Roman"/>
              </w:rPr>
            </w:pPr>
            <w:r>
              <w:rPr>
                <w:sz w:val="24"/>
                <w:rFonts w:ascii="Times New Roman" w:hAnsi="Times New Roman"/>
              </w:rPr>
              <w:t xml:space="preserve">Article 352, paragraphe 3, article 352, paragraphe 4, deux premières phrases et article 353 du règlement (UE) nº 575/2013.</w:t>
            </w:r>
          </w:p>
          <w:p w14:paraId="1436375E" w14:textId="14467FBC" w:rsidR="000B0B09" w:rsidRPr="002D60D7" w:rsidRDefault="000B0B09"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Les positions nettes sont calculées pour chaque devise, conformément à l’article 352, paragraphe 1, dudit règlement.</w:t>
            </w:r>
            <w:r>
              <w:rPr>
                <w:sz w:val="24"/>
                <w:rFonts w:ascii="Times New Roman" w:hAnsi="Times New Roman"/>
              </w:rPr>
              <w:t xml:space="preserve"> </w:t>
            </w:r>
            <w:r>
              <w:rPr>
                <w:sz w:val="24"/>
                <w:rFonts w:ascii="Times New Roman" w:hAnsi="Times New Roman"/>
              </w:rPr>
              <w:t xml:space="preserve">Par conséquent, les positions longues comme les positions courtes peuvent être déclarées en même temps.</w:t>
            </w:r>
          </w:p>
          <w:p w14:paraId="7EF6C18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1DBF3F98" w14:textId="77777777" w:rsidTr="00672D2A">
        <w:tc>
          <w:tcPr>
            <w:tcW w:w="988" w:type="dxa"/>
          </w:tcPr>
          <w:p w14:paraId="5ED8190E"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0060-0080</w:t>
            </w:r>
          </w:p>
        </w:tc>
        <w:tc>
          <w:tcPr>
            <w:tcW w:w="7874" w:type="dxa"/>
          </w:tcPr>
          <w:p w14:paraId="23461A49"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POSITIONS SOUMISES AUX EXIGENCES DE FONDS PROPRES</w:t>
            </w:r>
          </w:p>
          <w:p w14:paraId="536B211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4FE1162B" w14:textId="273CC044" w:rsidR="000B0B09" w:rsidRPr="002D60D7" w:rsidRDefault="000B0B09"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Article 352, paragraphe 4, troisième phrase et article 353 et 354 du règlement (UE) nº 575/2013.</w:t>
            </w:r>
            <w:r>
              <w:rPr>
                <w:sz w:val="24"/>
                <w:rFonts w:ascii="Times New Roman" w:hAnsi="Times New Roman"/>
              </w:rPr>
              <w:t xml:space="preserve"> </w:t>
            </w:r>
          </w:p>
          <w:p w14:paraId="091C4CE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E36B34" w14:textId="77777777" w:rsidTr="00672D2A">
        <w:tc>
          <w:tcPr>
            <w:tcW w:w="988" w:type="dxa"/>
          </w:tcPr>
          <w:p w14:paraId="4CF75F7E"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0060-0070</w:t>
            </w:r>
          </w:p>
        </w:tc>
        <w:tc>
          <w:tcPr>
            <w:tcW w:w="7874" w:type="dxa"/>
          </w:tcPr>
          <w:p w14:paraId="4917443B" w14:textId="77777777" w:rsidR="000B0B09" w:rsidRPr="002D60D7" w:rsidRDefault="000B0B09" w:rsidP="004C445F">
            <w:pPr>
              <w:suppressAutoHyphens/>
              <w:autoSpaceDE w:val="0"/>
              <w:autoSpaceDN w:val="0"/>
              <w:adjustRightInd w:val="0"/>
              <w:spacing w:before="0" w:after="0"/>
              <w:rPr>
                <w:sz w:val="24"/>
                <w:rFonts w:ascii="Times New Roman" w:hAnsi="Times New Roman"/>
              </w:rPr>
            </w:pPr>
            <w:r>
              <w:rPr>
                <w:b/>
                <w:sz w:val="24"/>
                <w:u w:val="single"/>
                <w:rFonts w:ascii="Times New Roman" w:hAnsi="Times New Roman"/>
              </w:rPr>
              <w:t xml:space="preserve">POSITIONS SOUMISES AUX EXIGENCES DE FONDS PROPRES (LONGUES ET COURTES)</w:t>
            </w:r>
          </w:p>
          <w:p w14:paraId="1CA17503" w14:textId="77777777" w:rsidR="000B0B09" w:rsidRPr="002D60D7" w:rsidRDefault="000B0B09" w:rsidP="004C445F">
            <w:pPr>
              <w:suppressAutoHyphens/>
              <w:autoSpaceDE w:val="0"/>
              <w:autoSpaceDN w:val="0"/>
              <w:adjustRightInd w:val="0"/>
              <w:spacing w:after="0"/>
              <w:rPr>
                <w:sz w:val="24"/>
                <w:rFonts w:ascii="Times New Roman" w:hAnsi="Times New Roman"/>
              </w:rPr>
            </w:pPr>
            <w:r>
              <w:rPr>
                <w:sz w:val="24"/>
                <w:rFonts w:ascii="Times New Roman" w:hAnsi="Times New Roman"/>
              </w:rPr>
              <w:t xml:space="preserve">On calcule les positions nettes courtes et longues pour chaque devise en déduisant le total des positions courtes du total des positions longues.</w:t>
            </w:r>
          </w:p>
          <w:p w14:paraId="7912A4F1" w14:textId="77777777" w:rsidR="000B0B09" w:rsidRPr="002D60D7" w:rsidRDefault="000B0B09" w:rsidP="004C445F">
            <w:pPr>
              <w:suppressAutoHyphens/>
              <w:autoSpaceDE w:val="0"/>
              <w:autoSpaceDN w:val="0"/>
              <w:adjustRightInd w:val="0"/>
              <w:spacing w:after="0"/>
              <w:rPr>
                <w:sz w:val="24"/>
                <w:rFonts w:ascii="Times New Roman" w:hAnsi="Times New Roman"/>
              </w:rPr>
            </w:pPr>
            <w:r>
              <w:rPr>
                <w:sz w:val="24"/>
                <w:rFonts w:ascii="Times New Roman" w:hAnsi="Times New Roman"/>
              </w:rPr>
              <w:t xml:space="preserve">Les positions nettes longues pour chaque opération dans une devise sont additionnées pour obtenir la position nette longue dans cette devise.</w:t>
            </w:r>
          </w:p>
          <w:p w14:paraId="5B4E9BDF" w14:textId="77777777" w:rsidR="000B0B09" w:rsidRPr="002D60D7" w:rsidRDefault="000B0B09" w:rsidP="004C445F">
            <w:pPr>
              <w:suppressAutoHyphens/>
              <w:autoSpaceDE w:val="0"/>
              <w:autoSpaceDN w:val="0"/>
              <w:adjustRightInd w:val="0"/>
              <w:spacing w:after="0"/>
              <w:rPr>
                <w:sz w:val="24"/>
                <w:rFonts w:ascii="Times New Roman" w:hAnsi="Times New Roman"/>
              </w:rPr>
            </w:pPr>
            <w:r>
              <w:rPr>
                <w:sz w:val="24"/>
                <w:rFonts w:ascii="Times New Roman" w:hAnsi="Times New Roman"/>
              </w:rPr>
              <w:t xml:space="preserve">Les positions nettes courtes pour chaque opération dans une devise sont additionnées pour obtenir la position nette courte dans cette devise.</w:t>
            </w:r>
          </w:p>
          <w:p w14:paraId="71BEB09F" w14:textId="77777777" w:rsidR="000B0B09" w:rsidRPr="002D60D7" w:rsidRDefault="000B0B09" w:rsidP="004C445F">
            <w:pPr>
              <w:suppressAutoHyphens/>
              <w:autoSpaceDE w:val="0"/>
              <w:autoSpaceDN w:val="0"/>
              <w:adjustRightInd w:val="0"/>
              <w:spacing w:after="0"/>
              <w:rPr>
                <w:sz w:val="24"/>
                <w:rFonts w:ascii="Times New Roman" w:hAnsi="Times New Roman"/>
              </w:rPr>
            </w:pPr>
            <w:r>
              <w:rPr>
                <w:sz w:val="24"/>
                <w:rFonts w:ascii="Times New Roman" w:hAnsi="Times New Roman"/>
              </w:rPr>
              <w:t xml:space="preserve">Les positions non compensées dans des devises différentes de celle de la déclaration sont ajoutées aux positions soumises aux exigences de fonds propres pour les autres devises (ligne 030) dans la colonne 060 ou 070, selon qu’il s’agit de positions longues ou courtes.</w:t>
            </w:r>
          </w:p>
          <w:p w14:paraId="3B8AB235"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53E3368" w14:textId="77777777" w:rsidTr="00672D2A">
        <w:tc>
          <w:tcPr>
            <w:tcW w:w="988" w:type="dxa"/>
          </w:tcPr>
          <w:p w14:paraId="79947C75"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0080</w:t>
            </w:r>
          </w:p>
        </w:tc>
        <w:tc>
          <w:tcPr>
            <w:tcW w:w="7874" w:type="dxa"/>
          </w:tcPr>
          <w:p w14:paraId="50779B26"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POSITIONS SOUMISES AUX EXIGENCES DE FONDS PROPRES (COMPENSÉES)</w:t>
            </w:r>
          </w:p>
          <w:p w14:paraId="1787EA62"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54376274" w14:textId="77777777" w:rsidR="000B0B09" w:rsidRPr="002D60D7" w:rsidRDefault="000B0B09"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Positions compensées pour des devises étroitement corrélées.</w:t>
            </w:r>
          </w:p>
          <w:p w14:paraId="6BC8E67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E3750E4" w14:textId="77777777" w:rsidTr="00672D2A">
        <w:tc>
          <w:tcPr>
            <w:tcW w:w="988" w:type="dxa"/>
          </w:tcPr>
          <w:p w14:paraId="0E46DE0C"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0090</w:t>
            </w:r>
          </w:p>
        </w:tc>
        <w:tc>
          <w:tcPr>
            <w:tcW w:w="7874" w:type="dxa"/>
          </w:tcPr>
          <w:p w14:paraId="4FC12DDA"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EXIGENCES DE FONDS PROPRES</w:t>
            </w:r>
          </w:p>
          <w:p w14:paraId="4108E69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828234" w14:textId="7D891B72" w:rsidR="000B0B09" w:rsidRPr="002D60D7" w:rsidRDefault="000B0B09"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Exigences de fonds propres pour toute position pertinente, conformément à la troisième partie, titre IV, chapitre 3, du règlement (UE) nº 575/2013</w:t>
            </w:r>
            <w:r>
              <w:rPr>
                <w:sz w:val="24"/>
                <w:rFonts w:ascii="Times New Roman" w:hAnsi="Times New Roman"/>
              </w:rPr>
              <w:t xml:space="preserve"> </w:t>
            </w:r>
          </w:p>
          <w:p w14:paraId="62C9AE7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5A4CD35" w14:textId="77777777" w:rsidTr="00672D2A">
        <w:tc>
          <w:tcPr>
            <w:tcW w:w="988" w:type="dxa"/>
          </w:tcPr>
          <w:p w14:paraId="5B271B1C"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0100</w:t>
            </w:r>
          </w:p>
        </w:tc>
        <w:tc>
          <w:tcPr>
            <w:tcW w:w="7874" w:type="dxa"/>
          </w:tcPr>
          <w:p w14:paraId="0647EAC0" w14:textId="77777777" w:rsidR="000B0B09" w:rsidRPr="002D60D7" w:rsidRDefault="000B0B09" w:rsidP="004C445F">
            <w:pPr>
              <w:tabs>
                <w:tab w:val="left" w:pos="1665"/>
              </w:tabs>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MONTANT TOTAL D’EXPOSITION AU RISQUE</w:t>
            </w:r>
          </w:p>
          <w:p w14:paraId="1005789B"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3CF09645" w14:textId="05D9758B" w:rsidR="005C14B0" w:rsidRPr="002D60D7" w:rsidRDefault="000B0B09" w:rsidP="004C445F">
            <w:pPr>
              <w:tabs>
                <w:tab w:val="left" w:pos="1665"/>
              </w:tabs>
              <w:suppressAutoHyphens/>
              <w:autoSpaceDE w:val="0"/>
              <w:autoSpaceDN w:val="0"/>
              <w:adjustRightInd w:val="0"/>
              <w:spacing w:before="0"/>
              <w:rPr>
                <w:sz w:val="24"/>
                <w:rFonts w:ascii="Times New Roman" w:hAnsi="Times New Roman"/>
              </w:rPr>
            </w:pPr>
            <w:r>
              <w:rPr>
                <w:sz w:val="24"/>
                <w:rFonts w:ascii="Times New Roman" w:hAnsi="Times New Roman"/>
              </w:rPr>
              <w:t xml:space="preserve">Article 92, paragraphe 6, point b), du règlement (UE) nº 575/2013.</w:t>
            </w:r>
          </w:p>
          <w:p w14:paraId="74C1A53D" w14:textId="77777777" w:rsidR="000B0B09" w:rsidRPr="002D60D7" w:rsidRDefault="000B0B09" w:rsidP="004C445F">
            <w:pPr>
              <w:tabs>
                <w:tab w:val="left" w:pos="1665"/>
              </w:tabs>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Résultat de la multiplication par 12,5 des exigences de fonds propres.</w:t>
            </w:r>
            <w:r>
              <w:rPr>
                <w:sz w:val="24"/>
                <w:rFonts w:ascii="Times New Roman" w:hAnsi="Times New Roman"/>
              </w:rPr>
              <w:t xml:space="preserve"> </w:t>
            </w:r>
          </w:p>
          <w:p w14:paraId="43ECFCA3" w14:textId="77777777" w:rsidR="00DE48EF" w:rsidRPr="002D60D7" w:rsidRDefault="00DE48EF"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bl>
    <w:p w14:paraId="4E615BD8"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7871"/>
      </w:tblGrid>
      <w:tr w:rsidR="000B0B09" w:rsidRPr="002D60D7" w14:paraId="0291DB10" w14:textId="77777777" w:rsidTr="00672D2A">
        <w:trPr>
          <w:trHeight w:val="497"/>
        </w:trPr>
        <w:tc>
          <w:tcPr>
            <w:tcW w:w="8862" w:type="dxa"/>
            <w:gridSpan w:val="2"/>
            <w:shd w:val="clear" w:color="auto" w:fill="CCCCCC"/>
          </w:tcPr>
          <w:p w14:paraId="080D5566" w14:textId="77777777" w:rsidR="000B0B09" w:rsidRPr="002D60D7" w:rsidRDefault="000B0B09" w:rsidP="004C445F">
            <w:pPr>
              <w:suppressAutoHyphens/>
              <w:autoSpaceDE w:val="0"/>
              <w:autoSpaceDN w:val="0"/>
              <w:adjustRightInd w:val="0"/>
              <w:spacing w:after="0"/>
              <w:rPr>
                <w:b/>
                <w:sz w:val="24"/>
                <w:rFonts w:ascii="Times New Roman" w:hAnsi="Times New Roman"/>
              </w:rPr>
            </w:pPr>
            <w:r>
              <w:rPr>
                <w:b/>
                <w:sz w:val="24"/>
                <w:rFonts w:ascii="Times New Roman" w:hAnsi="Times New Roman"/>
              </w:rPr>
              <w:t xml:space="preserve">Lignes</w:t>
            </w:r>
          </w:p>
        </w:tc>
      </w:tr>
      <w:tr w:rsidR="000B0B09" w:rsidRPr="002D60D7" w14:paraId="7E8F93AD" w14:textId="77777777" w:rsidTr="00672D2A">
        <w:tc>
          <w:tcPr>
            <w:tcW w:w="991" w:type="dxa"/>
          </w:tcPr>
          <w:p w14:paraId="308DA059"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0010</w:t>
            </w:r>
          </w:p>
        </w:tc>
        <w:tc>
          <w:tcPr>
            <w:tcW w:w="7871" w:type="dxa"/>
          </w:tcPr>
          <w:p w14:paraId="444D3E44"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TOTAL DES POSITIONS</w:t>
            </w:r>
          </w:p>
          <w:p w14:paraId="625A8F9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74297D9" w14:textId="78AA241E" w:rsidR="000B0B09" w:rsidRPr="002D60D7" w:rsidRDefault="00491F4D"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Toutes les positions dans des devises autres que la devise de la déclaration et les positions dans la devise de la déclaration qui sont prises en compte aux fins de l’article 354 du règlement (UE) nº 575/2013 ainsi que les exigences de fonds propres correspondantes pour le risque de change visées à l’article 92, paragraphe 3, point c) i), dudit règlement, compte tenu de l’article 352, paragraphes 2 et 4, du règlement (UE) nº 575/2013 (pour la conversion dans la devise de la déclaration).</w:t>
            </w:r>
          </w:p>
          <w:p w14:paraId="60C8486E"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467D9D0D" w14:textId="77777777" w:rsidTr="00672D2A">
        <w:tc>
          <w:tcPr>
            <w:tcW w:w="991" w:type="dxa"/>
          </w:tcPr>
          <w:p w14:paraId="65214D61"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0020</w:t>
            </w:r>
          </w:p>
        </w:tc>
        <w:tc>
          <w:tcPr>
            <w:tcW w:w="7871" w:type="dxa"/>
          </w:tcPr>
          <w:p w14:paraId="49A2740E"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DEVISES ÉTROITEMENT CORRÉLÉES</w:t>
            </w:r>
          </w:p>
          <w:p w14:paraId="784B138D"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339F996" w14:textId="323891C1" w:rsidR="000B0B09" w:rsidRPr="002D60D7" w:rsidRDefault="000B0B09"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Positions et exigences de fonds propres correspondantes pour les devises étroitement corrélées visées à l’article 354 du règlement (UE) nº 575/2013.</w:t>
            </w:r>
          </w:p>
          <w:p w14:paraId="1228E8F4"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491F4D" w:rsidRPr="002D60D7" w14:paraId="6BD5BA15" w14:textId="77777777" w:rsidTr="00672D2A">
        <w:tc>
          <w:tcPr>
            <w:tcW w:w="991" w:type="dxa"/>
          </w:tcPr>
          <w:p w14:paraId="5BFECF57" w14:textId="77777777" w:rsidR="00491F4D"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0025</w:t>
            </w:r>
          </w:p>
        </w:tc>
        <w:tc>
          <w:tcPr>
            <w:tcW w:w="7871" w:type="dxa"/>
          </w:tcPr>
          <w:p w14:paraId="596531B8" w14:textId="77777777" w:rsidR="00491F4D" w:rsidRPr="002D60D7" w:rsidRDefault="00491F4D"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Devises étroitement corrélées:</w:t>
            </w:r>
            <w:r>
              <w:rPr>
                <w:b/>
                <w:sz w:val="24"/>
                <w:u w:val="single"/>
                <w:rFonts w:ascii="Times New Roman" w:hAnsi="Times New Roman"/>
              </w:rPr>
              <w:t xml:space="preserve"> </w:t>
            </w:r>
            <w:r>
              <w:rPr>
                <w:b/>
                <w:sz w:val="24"/>
                <w:u w:val="single"/>
                <w:i/>
                <w:rFonts w:ascii="Times New Roman" w:hAnsi="Times New Roman"/>
              </w:rPr>
              <w:t xml:space="preserve">dont</w:t>
            </w:r>
            <w:r>
              <w:rPr>
                <w:b/>
                <w:sz w:val="24"/>
                <w:u w:val="single"/>
                <w:rFonts w:ascii="Times New Roman" w:hAnsi="Times New Roman"/>
              </w:rPr>
              <w:t xml:space="preserve">:</w:t>
            </w:r>
            <w:r>
              <w:rPr>
                <w:b/>
                <w:sz w:val="24"/>
                <w:u w:val="single"/>
                <w:rFonts w:ascii="Times New Roman" w:hAnsi="Times New Roman"/>
              </w:rPr>
              <w:t xml:space="preserve"> </w:t>
            </w:r>
            <w:r>
              <w:rPr>
                <w:b/>
                <w:sz w:val="24"/>
                <w:u w:val="single"/>
                <w:rFonts w:ascii="Times New Roman" w:hAnsi="Times New Roman"/>
              </w:rPr>
              <w:t xml:space="preserve">devise de la déclaration</w:t>
            </w:r>
          </w:p>
          <w:p w14:paraId="1A313604" w14:textId="77777777" w:rsidR="00491F4D" w:rsidRPr="002D60D7" w:rsidRDefault="00491F4D" w:rsidP="004C445F">
            <w:pPr>
              <w:suppressAutoHyphens/>
              <w:autoSpaceDE w:val="0"/>
              <w:autoSpaceDN w:val="0"/>
              <w:adjustRightInd w:val="0"/>
              <w:spacing w:before="0" w:after="0"/>
              <w:rPr>
                <w:rFonts w:ascii="Times New Roman" w:hAnsi="Times New Roman"/>
                <w:sz w:val="24"/>
              </w:rPr>
            </w:pPr>
          </w:p>
          <w:p w14:paraId="6CF1E695" w14:textId="3B11B1C0" w:rsidR="00491F4D" w:rsidRPr="002D60D7" w:rsidRDefault="00491F4D"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Les positions dans la devise de la déclaration qui contribuent au calcul des exigences de fonds propres conformément à l’article 354 du règlement (UE) nº 575/2013.</w:t>
            </w:r>
          </w:p>
          <w:p w14:paraId="1727C5A3"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A3FAA7" w14:textId="77777777" w:rsidTr="00672D2A">
        <w:tc>
          <w:tcPr>
            <w:tcW w:w="991" w:type="dxa"/>
          </w:tcPr>
          <w:p w14:paraId="0150967E"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0030</w:t>
            </w:r>
          </w:p>
        </w:tc>
        <w:tc>
          <w:tcPr>
            <w:tcW w:w="7871" w:type="dxa"/>
          </w:tcPr>
          <w:p w14:paraId="0BAA11C1"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TOUTES LES AUTRES DEVISES (y compris les OPC traités comme des devises différentes)</w:t>
            </w:r>
          </w:p>
          <w:p w14:paraId="1677D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D3AFD1" w14:textId="4128E688" w:rsidR="000B0B09" w:rsidRPr="002D60D7" w:rsidRDefault="000B0B09"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Positions et exigences de fonds propres correspondantes pour les devises soumises à la procédure générale visée à l’article 351 et à l’article 352, paragraphes 2 et 4, du règlement (UE) nº 575/2013.</w:t>
            </w:r>
          </w:p>
          <w:p w14:paraId="0D0C93F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69470C9" w14:textId="2C612C05" w:rsidR="000B0B09" w:rsidRPr="002D60D7" w:rsidRDefault="000B0B09" w:rsidP="004C445F">
            <w:pPr>
              <w:suppressAutoHyphens/>
              <w:autoSpaceDE w:val="0"/>
              <w:autoSpaceDN w:val="0"/>
              <w:adjustRightInd w:val="0"/>
              <w:spacing w:before="0" w:after="0"/>
              <w:rPr>
                <w:bCs/>
                <w:sz w:val="24"/>
                <w:u w:val="single"/>
                <w:rFonts w:ascii="Times New Roman" w:hAnsi="Times New Roman"/>
              </w:rPr>
            </w:pPr>
            <w:r>
              <w:rPr>
                <w:sz w:val="24"/>
                <w:u w:val="single"/>
                <w:rFonts w:ascii="Times New Roman" w:hAnsi="Times New Roman"/>
              </w:rPr>
              <w:t xml:space="preserve">Déclaration d’OPC traitées comme des devises distinctes conformément à l’article 353 du règlement (UE) nº 575/2013:</w:t>
            </w:r>
          </w:p>
          <w:p w14:paraId="77B7A43F" w14:textId="77777777" w:rsidR="000B0B09" w:rsidRPr="002D60D7" w:rsidRDefault="000B0B09" w:rsidP="004C445F">
            <w:pPr>
              <w:suppressAutoHyphens/>
              <w:autoSpaceDE w:val="0"/>
              <w:autoSpaceDN w:val="0"/>
              <w:adjustRightInd w:val="0"/>
              <w:spacing w:before="0" w:after="0"/>
              <w:rPr>
                <w:bCs/>
                <w:sz w:val="24"/>
                <w:rFonts w:ascii="Times New Roman" w:hAnsi="Times New Roman"/>
              </w:rPr>
            </w:pPr>
            <w:r>
              <w:rPr>
                <w:sz w:val="24"/>
                <w:rFonts w:ascii="Times New Roman" w:hAnsi="Times New Roman"/>
              </w:rPr>
              <w:t xml:space="preserve">Il existe deux traitements différents des OPC traitées comme des devises distinctes pour le calcul des exigences de fonds propres:</w:t>
            </w:r>
          </w:p>
          <w:p w14:paraId="5B250982" w14:textId="5A8D3F48" w:rsidR="000B0B09" w:rsidRPr="002D60D7" w:rsidRDefault="00EA7544" w:rsidP="004C445F">
            <w:pPr>
              <w:suppressAutoHyphens/>
              <w:autoSpaceDE w:val="0"/>
              <w:autoSpaceDN w:val="0"/>
              <w:adjustRightInd w:val="0"/>
              <w:spacing w:before="0" w:after="0"/>
              <w:ind w:left="720" w:hanging="360"/>
              <w:rPr>
                <w:bCs/>
                <w:sz w:val="24"/>
                <w:rFonts w:ascii="Times New Roman" w:hAnsi="Times New Roman"/>
              </w:rPr>
            </w:pPr>
            <w:r>
              <w:rPr>
                <w:sz w:val="24"/>
                <w:rFonts w:ascii="Times New Roman" w:hAnsi="Times New Roman"/>
              </w:rPr>
              <w:t xml:space="preserve">a) la méthode relative à l’or modifiée, lorsque la direction des investissements de l’OPC est inconnue (ces OPC seront additionnées aux positions de change nettes globales de l’établissement);</w:t>
            </w:r>
          </w:p>
          <w:p w14:paraId="36EAAD8C" w14:textId="570B6ECE" w:rsidR="000B0B09" w:rsidRPr="002D60D7" w:rsidRDefault="00EA7544" w:rsidP="004C445F">
            <w:pPr>
              <w:suppressAutoHyphens/>
              <w:autoSpaceDE w:val="0"/>
              <w:autoSpaceDN w:val="0"/>
              <w:adjustRightInd w:val="0"/>
              <w:spacing w:before="0" w:after="0"/>
              <w:ind w:left="720" w:hanging="360"/>
              <w:rPr>
                <w:bCs/>
                <w:sz w:val="24"/>
                <w:rFonts w:ascii="Times New Roman" w:hAnsi="Times New Roman"/>
              </w:rPr>
            </w:pPr>
            <w:r>
              <w:rPr>
                <w:sz w:val="24"/>
                <w:rFonts w:ascii="Times New Roman" w:hAnsi="Times New Roman"/>
              </w:rPr>
              <w:t xml:space="preserve">b) lorsque la direction des investissements de l’OPC est connue, ces OPC seront additionnées au total des positions de change ouvertes (longues ou courtes, en fonction de la direction de l’OPC).</w:t>
            </w:r>
          </w:p>
          <w:p w14:paraId="6410AE39" w14:textId="77777777" w:rsidR="000B0B09" w:rsidRPr="002D60D7" w:rsidRDefault="000B0B09" w:rsidP="004C445F">
            <w:pPr>
              <w:suppressAutoHyphens/>
              <w:autoSpaceDE w:val="0"/>
              <w:autoSpaceDN w:val="0"/>
              <w:adjustRightInd w:val="0"/>
              <w:spacing w:before="0" w:after="0"/>
              <w:rPr>
                <w:bCs/>
                <w:sz w:val="24"/>
                <w:u w:val="single"/>
                <w:rFonts w:ascii="Times New Roman" w:hAnsi="Times New Roman"/>
              </w:rPr>
            </w:pPr>
            <w:r>
              <w:rPr>
                <w:sz w:val="24"/>
                <w:rFonts w:ascii="Times New Roman" w:hAnsi="Times New Roman"/>
              </w:rPr>
              <w:t xml:space="preserve">La déclaration de ces OPC suivra le calcul des exigences de fonds propres.</w:t>
            </w:r>
          </w:p>
          <w:p w14:paraId="6EF89CCB"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3074F2FD" w14:textId="77777777" w:rsidTr="00672D2A">
        <w:tc>
          <w:tcPr>
            <w:tcW w:w="991" w:type="dxa"/>
          </w:tcPr>
          <w:p w14:paraId="77D3A983"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0040</w:t>
            </w:r>
          </w:p>
        </w:tc>
        <w:tc>
          <w:tcPr>
            <w:tcW w:w="7871" w:type="dxa"/>
          </w:tcPr>
          <w:p w14:paraId="0E1B066C"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OR</w:t>
            </w:r>
          </w:p>
          <w:p w14:paraId="3DD20C3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E2B6F8D" w14:textId="0A74E970" w:rsidR="000B0B09" w:rsidRPr="002D60D7" w:rsidRDefault="000B0B09"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Positions et exigences de fonds propres correspondantes pour les devises soumises à la procédure générale visée à l’article 351 et à l’article 352, paragraphes 2 et 4, du règlement (UE) nº 575/2013.</w:t>
            </w:r>
            <w:r>
              <w:rPr>
                <w:sz w:val="24"/>
                <w:rFonts w:ascii="Times New Roman" w:hAnsi="Times New Roman"/>
              </w:rPr>
              <w:t xml:space="preserve"> </w:t>
            </w:r>
          </w:p>
          <w:p w14:paraId="2363385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6FC5B51" w14:textId="77777777" w:rsidTr="00672D2A">
        <w:tc>
          <w:tcPr>
            <w:tcW w:w="991" w:type="dxa"/>
          </w:tcPr>
          <w:p w14:paraId="119AB326"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0050-0090</w:t>
            </w:r>
          </w:p>
        </w:tc>
        <w:tc>
          <w:tcPr>
            <w:tcW w:w="7871" w:type="dxa"/>
          </w:tcPr>
          <w:p w14:paraId="76D7671B"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rStyle w:val="InstructionsTabelleberschrift"/>
                <w:sz w:val="24"/>
                <w:rFonts w:ascii="Times New Roman" w:hAnsi="Times New Roman"/>
              </w:rPr>
              <w:t xml:space="preserve">EXIGENCES SUPPLÉMENTAIRES POUR RISQUES SUR OPTIONS (RISQUES NON DELTA)</w:t>
            </w:r>
          </w:p>
          <w:p w14:paraId="409B80C0" w14:textId="3123C3E4" w:rsidR="000B0B09" w:rsidRPr="002D60D7" w:rsidRDefault="000B0B09" w:rsidP="004C445F">
            <w:pPr>
              <w:suppressAutoHyphens/>
              <w:autoSpaceDE w:val="0"/>
              <w:autoSpaceDN w:val="0"/>
              <w:adjustRightInd w:val="0"/>
              <w:spacing w:after="0"/>
              <w:rPr>
                <w:sz w:val="24"/>
                <w:rFonts w:ascii="Times New Roman" w:hAnsi="Times New Roman"/>
              </w:rPr>
            </w:pPr>
            <w:r>
              <w:rPr>
                <w:sz w:val="24"/>
                <w:rFonts w:ascii="Times New Roman" w:hAnsi="Times New Roman"/>
              </w:rPr>
              <w:t xml:space="preserve">Article 352, paragraphes 5 et 6, du règlement (UE) nº 575/2013.</w:t>
            </w:r>
            <w:r>
              <w:rPr>
                <w:sz w:val="24"/>
                <w:rFonts w:ascii="Times New Roman" w:hAnsi="Times New Roman"/>
              </w:rPr>
              <w:t xml:space="preserve"> </w:t>
            </w:r>
          </w:p>
          <w:p w14:paraId="28A72F0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0C3DAE3" w14:textId="77777777" w:rsidR="000B0B09" w:rsidRPr="002D60D7" w:rsidRDefault="000B0B09"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Les exigences supplémentaires pour les options liées aux risques autres que le risque delta seront déclarées en les ventilant en fonction de la méthode appliquée pour leur calcul.</w:t>
            </w:r>
            <w:r>
              <w:rPr>
                <w:sz w:val="24"/>
                <w:rFonts w:ascii="Times New Roman" w:hAnsi="Times New Roman"/>
              </w:rPr>
              <w:t xml:space="preserve"> </w:t>
            </w:r>
          </w:p>
          <w:p w14:paraId="64B10AE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FB6CAB6" w14:textId="77777777" w:rsidTr="00672D2A">
        <w:tc>
          <w:tcPr>
            <w:tcW w:w="991" w:type="dxa"/>
          </w:tcPr>
          <w:p w14:paraId="4A4827FD"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0100-0120</w:t>
            </w:r>
          </w:p>
        </w:tc>
        <w:tc>
          <w:tcPr>
            <w:tcW w:w="7871" w:type="dxa"/>
          </w:tcPr>
          <w:p w14:paraId="4D32EE99"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Répartition du total des positions (devise de la déclaration comprise) par catégorie d’exposition</w:t>
            </w:r>
          </w:p>
          <w:p w14:paraId="35F84DA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1C8EDD8" w14:textId="77777777" w:rsidR="000B0B09" w:rsidRPr="002D60D7" w:rsidRDefault="000B0B09"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Le total des positions sera réparti entre dérivés, autres éléments d’actif et de passif, et éléments de hors bilan.</w:t>
            </w:r>
          </w:p>
          <w:p w14:paraId="645944F1"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2C3A573" w14:textId="77777777" w:rsidTr="00672D2A">
        <w:tc>
          <w:tcPr>
            <w:tcW w:w="991" w:type="dxa"/>
          </w:tcPr>
          <w:p w14:paraId="328B76F1"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0100</w:t>
            </w:r>
          </w:p>
        </w:tc>
        <w:tc>
          <w:tcPr>
            <w:tcW w:w="7871" w:type="dxa"/>
          </w:tcPr>
          <w:p w14:paraId="2B5ED8B0"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Éléments d’actif et de passif autres que les éléments de hors bilan et les dérivés</w:t>
            </w:r>
          </w:p>
          <w:p w14:paraId="70ABA94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48B1F95" w14:textId="77777777" w:rsidR="00DE48EF" w:rsidRPr="002D60D7" w:rsidRDefault="000B0B09"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Les positions qui ne figurent pas dans les lignes 0110 ou 0120 seront déclarées ici.</w:t>
            </w:r>
            <w:r>
              <w:rPr>
                <w:sz w:val="24"/>
                <w:rFonts w:ascii="Times New Roman" w:hAnsi="Times New Roman"/>
              </w:rPr>
              <w:t xml:space="preserve"> </w:t>
            </w:r>
          </w:p>
          <w:p w14:paraId="68474F8C"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sz w:val="24"/>
                <w:rFonts w:ascii="Times New Roman" w:hAnsi="Times New Roman"/>
              </w:rPr>
              <w:t xml:space="preserve"> </w:t>
            </w:r>
          </w:p>
        </w:tc>
      </w:tr>
      <w:tr w:rsidR="000B0B09" w:rsidRPr="002D60D7" w14:paraId="68F25686" w14:textId="77777777" w:rsidTr="00672D2A">
        <w:tc>
          <w:tcPr>
            <w:tcW w:w="991" w:type="dxa"/>
          </w:tcPr>
          <w:p w14:paraId="76AEDC5B"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0110</w:t>
            </w:r>
          </w:p>
        </w:tc>
        <w:tc>
          <w:tcPr>
            <w:tcW w:w="7871" w:type="dxa"/>
          </w:tcPr>
          <w:p w14:paraId="2D487603"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Éléments de hors bilan</w:t>
            </w:r>
          </w:p>
          <w:p w14:paraId="4FE41AB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7CE2DA10" w14:textId="441EBF45" w:rsidR="000B0B09" w:rsidRPr="002D60D7" w:rsidRDefault="000B0B09"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Éléments relevant de l’article 352 du règlement (UE) nº 575/2013, quelle que soit la devise dans laquelle ils sont libellés, qui sont inclus dans l’annexe I dudit règlement, à l’exception de ceux inclus en tant qu’opérations de financement sur titres et opérations à règlement différé ou issus d’une convention de compensation multiproduits.</w:t>
            </w:r>
          </w:p>
          <w:p w14:paraId="25D49F5C"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C61B439" w14:textId="77777777" w:rsidTr="00672D2A">
        <w:tc>
          <w:tcPr>
            <w:tcW w:w="991" w:type="dxa"/>
          </w:tcPr>
          <w:p w14:paraId="33EE452C"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0120</w:t>
            </w:r>
          </w:p>
        </w:tc>
        <w:tc>
          <w:tcPr>
            <w:tcW w:w="7871" w:type="dxa"/>
          </w:tcPr>
          <w:p w14:paraId="56E07170"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Dérivés</w:t>
            </w:r>
          </w:p>
          <w:p w14:paraId="7B6CC85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74E14E9" w14:textId="61FBE982" w:rsidR="000B0B09" w:rsidRPr="002D60D7" w:rsidRDefault="000B0B09"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Positions calculées conformément à l’article 352 du règlement (UE) nº 575/2013:</w:t>
            </w:r>
          </w:p>
          <w:p w14:paraId="2984F2C2" w14:textId="77777777" w:rsidR="00902EFC" w:rsidRPr="002D60D7" w:rsidRDefault="00902EFC"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D32A9CF" w14:textId="77777777" w:rsidTr="00672D2A">
        <w:tc>
          <w:tcPr>
            <w:tcW w:w="991" w:type="dxa"/>
          </w:tcPr>
          <w:p w14:paraId="7B4BCDF0" w14:textId="0459354E"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0130-0470</w:t>
            </w:r>
          </w:p>
        </w:tc>
        <w:tc>
          <w:tcPr>
            <w:tcW w:w="7871" w:type="dxa"/>
          </w:tcPr>
          <w:p w14:paraId="26286B4C" w14:textId="38433819" w:rsidR="000B0B09" w:rsidRPr="002D60D7" w:rsidRDefault="000B0B09" w:rsidP="004C445F">
            <w:pPr>
              <w:suppressAutoHyphens/>
              <w:autoSpaceDE w:val="0"/>
              <w:autoSpaceDN w:val="0"/>
              <w:adjustRightInd w:val="0"/>
              <w:spacing w:before="0" w:after="0"/>
              <w:rPr>
                <w:sz w:val="24"/>
                <w:rFonts w:ascii="Times New Roman" w:hAnsi="Times New Roman"/>
              </w:rPr>
            </w:pPr>
            <w:r>
              <w:rPr>
                <w:b/>
                <w:sz w:val="24"/>
                <w:u w:val="single"/>
                <w:rFonts w:ascii="Times New Roman" w:hAnsi="Times New Roman"/>
              </w:rPr>
              <w:t xml:space="preserve">ÉLÉMENTS POUR MÉMOIRE:</w:t>
            </w:r>
            <w:r>
              <w:rPr>
                <w:b/>
                <w:sz w:val="24"/>
                <w:u w:val="single"/>
                <w:rFonts w:ascii="Times New Roman" w:hAnsi="Times New Roman"/>
              </w:rPr>
              <w:t xml:space="preserve"> </w:t>
            </w:r>
            <w:r>
              <w:rPr>
                <w:b/>
                <w:sz w:val="24"/>
                <w:u w:val="single"/>
                <w:rFonts w:ascii="Times New Roman" w:hAnsi="Times New Roman"/>
              </w:rPr>
              <w:t xml:space="preserve">POSITIONS EN DEVISES</w:t>
            </w:r>
          </w:p>
          <w:p w14:paraId="77A906DE" w14:textId="77777777" w:rsidR="000B0B09" w:rsidRPr="002D60D7" w:rsidRDefault="000B0B09" w:rsidP="004C445F">
            <w:pPr>
              <w:suppressAutoHyphens/>
              <w:autoSpaceDE w:val="0"/>
              <w:autoSpaceDN w:val="0"/>
              <w:adjustRightInd w:val="0"/>
              <w:spacing w:before="0" w:after="0"/>
              <w:rPr>
                <w:rFonts w:ascii="Times New Roman" w:hAnsi="Times New Roman"/>
                <w:b/>
                <w:bCs/>
                <w:sz w:val="24"/>
                <w:lang w:eastAsia="de-DE"/>
              </w:rPr>
            </w:pPr>
          </w:p>
          <w:p w14:paraId="31EAE6A1" w14:textId="77777777" w:rsidR="000B0B09" w:rsidRPr="002D60D7" w:rsidRDefault="000B0B09"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Les postes pour mémoire du modèle seront remplies séparément pour toutes les devises des États membres de l’Union, pour GBP, USD, CHF, JPY, RUB, TRY, AUD, CAD, RSD, ALL, UAH, MKD, EGP, ARS, BRL, MXN, HKD, ICK, TWD, NZD, NOK, SGD, KRW, CNY et pour toutes les autres devises.</w:t>
            </w:r>
            <w:r>
              <w:rPr>
                <w:sz w:val="24"/>
                <w:rFonts w:ascii="Times New Roman" w:hAnsi="Times New Roman"/>
              </w:rPr>
              <w:t xml:space="preserve"> </w:t>
            </w:r>
          </w:p>
          <w:p w14:paraId="09723CAF" w14:textId="77777777" w:rsidR="003E0950" w:rsidRPr="002D60D7" w:rsidRDefault="003E0950" w:rsidP="004C445F">
            <w:pPr>
              <w:suppressAutoHyphens/>
              <w:autoSpaceDE w:val="0"/>
              <w:autoSpaceDN w:val="0"/>
              <w:adjustRightInd w:val="0"/>
              <w:spacing w:before="0" w:after="0"/>
              <w:rPr>
                <w:rFonts w:ascii="Times New Roman" w:hAnsi="Times New Roman"/>
                <w:sz w:val="24"/>
                <w:lang w:eastAsia="de-DE"/>
              </w:rPr>
            </w:pPr>
          </w:p>
          <w:p w14:paraId="7255FEE1" w14:textId="50F8E32F" w:rsidR="00A433ED" w:rsidRPr="002D60D7" w:rsidRDefault="00A433ED"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Les positions en or et les positions en OPC traitées comme une monnaie distincte conformément à l’article 353, paragraphe 3, du règlement (UE) nº 575/2013 sont incluses dans la ligne 0470.</w:t>
            </w:r>
          </w:p>
          <w:p w14:paraId="2A795EB2" w14:textId="3FA18151" w:rsidR="0055144E" w:rsidRPr="002D60D7" w:rsidRDefault="0055144E" w:rsidP="004C445F">
            <w:pPr>
              <w:suppressAutoHyphens/>
              <w:autoSpaceDE w:val="0"/>
              <w:autoSpaceDN w:val="0"/>
              <w:adjustRightInd w:val="0"/>
              <w:spacing w:before="0" w:after="0"/>
              <w:rPr>
                <w:rStyle w:val="InstructionsTabelleText"/>
                <w:rFonts w:ascii="Times New Roman" w:hAnsi="Times New Roman"/>
                <w:sz w:val="24"/>
              </w:rPr>
            </w:pPr>
          </w:p>
        </w:tc>
      </w:tr>
    </w:tbl>
    <w:p w14:paraId="6BA92730" w14:textId="77777777" w:rsidR="000B0B09" w:rsidRPr="002D60D7" w:rsidRDefault="000B0B09" w:rsidP="004C445F">
      <w:pPr>
        <w:suppressAutoHyphens/>
        <w:rPr>
          <w:rFonts w:ascii="Times New Roman" w:hAnsi="Times New Roman"/>
          <w:sz w:val="24"/>
        </w:rPr>
      </w:pPr>
    </w:p>
    <w:p w14:paraId="53515718" w14:textId="54673A1A" w:rsidR="000B0B09" w:rsidRPr="002D60D7" w:rsidRDefault="00C22B34" w:rsidP="004C445F">
      <w:pPr>
        <w:pStyle w:val="Instructionsberschrift2"/>
        <w:numPr>
          <w:ilvl w:val="0"/>
          <w:numId w:val="0"/>
        </w:numPr>
        <w:suppressAutoHyphens/>
        <w:ind w:left="357" w:hanging="357"/>
        <w:rPr>
          <w:sz w:val="24"/>
          <w:rFonts w:ascii="Times New Roman" w:hAnsi="Times New Roman" w:cs="Times New Roman"/>
        </w:rPr>
      </w:pPr>
      <w:bookmarkStart w:id="137" w:name="_Toc262566435"/>
      <w:bookmarkStart w:id="138" w:name="_Toc295830011"/>
      <w:bookmarkStart w:id="139" w:name="_Toc308426688"/>
      <w:bookmarkStart w:id="140" w:name="_Toc310415072"/>
      <w:bookmarkStart w:id="141" w:name="_Toc360188407"/>
      <w:bookmarkStart w:id="142" w:name="_Toc473561047"/>
      <w:bookmarkStart w:id="143" w:name="_Toc210732264"/>
      <w:r>
        <w:rPr>
          <w:sz w:val="24"/>
          <w:u w:val="none"/>
          <w:rFonts w:ascii="Times New Roman" w:hAnsi="Times New Roman"/>
        </w:rPr>
        <w:t xml:space="preserve">7.</w:t>
      </w:r>
      <w:r>
        <w:tab/>
      </w:r>
      <w:r>
        <w:rPr>
          <w:sz w:val="24"/>
          <w:rFonts w:ascii="Times New Roman" w:hAnsi="Times New Roman"/>
        </w:rPr>
        <w:t xml:space="preserve">C 23.00 – Risque de marché:</w:t>
      </w:r>
      <w:r>
        <w:rPr>
          <w:sz w:val="24"/>
          <w:rFonts w:ascii="Times New Roman" w:hAnsi="Times New Roman"/>
        </w:rPr>
        <w:t xml:space="preserve"> </w:t>
      </w:r>
      <w:r>
        <w:rPr>
          <w:sz w:val="24"/>
          <w:rFonts w:ascii="Times New Roman" w:hAnsi="Times New Roman"/>
        </w:rPr>
        <w:t xml:space="preserve">approches standard pour les matières premières</w:t>
      </w:r>
      <w:bookmarkEnd w:id="137"/>
      <w:bookmarkEnd w:id="138"/>
      <w:bookmarkEnd w:id="139"/>
      <w:bookmarkEnd w:id="140"/>
      <w:bookmarkEnd w:id="141"/>
      <w:r>
        <w:rPr>
          <w:sz w:val="24"/>
          <w:rFonts w:ascii="Times New Roman" w:hAnsi="Times New Roman"/>
        </w:rPr>
        <w:t xml:space="preserve"> (MKR SA COM)</w:t>
      </w:r>
      <w:bookmarkEnd w:id="142"/>
      <w:bookmarkEnd w:id="143"/>
    </w:p>
    <w:p w14:paraId="72871AE4" w14:textId="0AF1A4EA" w:rsidR="000B0B09" w:rsidRPr="002D60D7" w:rsidRDefault="00C22B34" w:rsidP="004C445F">
      <w:pPr>
        <w:pStyle w:val="Instructionsberschrift2"/>
        <w:numPr>
          <w:ilvl w:val="0"/>
          <w:numId w:val="0"/>
        </w:numPr>
        <w:suppressAutoHyphens/>
        <w:ind w:left="357" w:hanging="357"/>
        <w:rPr>
          <w:sz w:val="24"/>
          <w:rFonts w:ascii="Times New Roman" w:hAnsi="Times New Roman" w:cs="Times New Roman"/>
        </w:rPr>
      </w:pPr>
      <w:bookmarkStart w:id="144" w:name="_Toc262566436"/>
      <w:bookmarkStart w:id="145" w:name="_Toc295830012"/>
      <w:bookmarkStart w:id="146" w:name="_Toc308426689"/>
      <w:bookmarkStart w:id="147" w:name="_Toc310415073"/>
      <w:bookmarkStart w:id="148" w:name="_Toc360188408"/>
      <w:bookmarkStart w:id="149" w:name="_Toc473561048"/>
      <w:bookmarkStart w:id="150" w:name="_Toc210732265"/>
      <w:r>
        <w:rPr>
          <w:sz w:val="24"/>
          <w:u w:val="none"/>
          <w:rFonts w:ascii="Times New Roman" w:hAnsi="Times New Roman"/>
        </w:rPr>
        <w:t xml:space="preserve">7.1.</w:t>
      </w:r>
      <w:r>
        <w:tab/>
      </w:r>
      <w:r>
        <w:rPr>
          <w:sz w:val="24"/>
          <w:rFonts w:ascii="Times New Roman" w:hAnsi="Times New Roman"/>
        </w:rPr>
        <w:t xml:space="preserve">Remarques générales</w:t>
      </w:r>
      <w:bookmarkEnd w:id="144"/>
      <w:bookmarkEnd w:id="145"/>
      <w:bookmarkEnd w:id="146"/>
      <w:bookmarkEnd w:id="147"/>
      <w:bookmarkEnd w:id="148"/>
      <w:bookmarkEnd w:id="149"/>
      <w:bookmarkEnd w:id="150"/>
    </w:p>
    <w:p w14:paraId="441FA19A" w14:textId="36832BFC" w:rsidR="000B0B09" w:rsidRPr="002D60D7" w:rsidRDefault="000B0B09" w:rsidP="00E172EA">
      <w:pPr>
        <w:pStyle w:val="InstructionsText2"/>
        <w:numPr>
          <w:ilvl w:val="0"/>
          <w:numId w:val="29"/>
        </w:numPr>
        <w:suppressAutoHyphens/>
      </w:pPr>
      <w:r>
        <w:t xml:space="preserve">Ce modèle rassemble des informations sur les positions sur matières premières et les exigences de fonds propres correspondantes traitées selon l’approche standard.</w:t>
      </w:r>
    </w:p>
    <w:p w14:paraId="0C8765B1" w14:textId="613B31E5" w:rsidR="000B0B09" w:rsidRPr="002D60D7" w:rsidRDefault="00C22B34" w:rsidP="004C445F">
      <w:pPr>
        <w:pStyle w:val="Instructionsberschrift2"/>
        <w:numPr>
          <w:ilvl w:val="0"/>
          <w:numId w:val="0"/>
        </w:numPr>
        <w:suppressAutoHyphens/>
        <w:ind w:left="357" w:hanging="357"/>
        <w:rPr>
          <w:sz w:val="24"/>
          <w:rFonts w:ascii="Times New Roman" w:hAnsi="Times New Roman" w:cs="Times New Roman"/>
        </w:rPr>
      </w:pPr>
      <w:bookmarkStart w:id="151" w:name="_Toc262566437"/>
      <w:bookmarkStart w:id="152" w:name="_Toc295830013"/>
      <w:bookmarkStart w:id="153" w:name="_Toc308426690"/>
      <w:bookmarkStart w:id="154" w:name="_Toc310415074"/>
      <w:bookmarkStart w:id="155" w:name="_Toc360188409"/>
      <w:bookmarkStart w:id="156" w:name="_Toc473561049"/>
      <w:bookmarkStart w:id="157" w:name="_Toc210732266"/>
      <w:r>
        <w:rPr>
          <w:sz w:val="24"/>
          <w:u w:val="none"/>
          <w:rFonts w:ascii="Times New Roman" w:hAnsi="Times New Roman"/>
        </w:rPr>
        <w:t xml:space="preserve">7.2.</w:t>
      </w:r>
      <w:r>
        <w:tab/>
      </w:r>
      <w:r>
        <w:rPr>
          <w:sz w:val="24"/>
          <w:rFonts w:ascii="Times New Roman" w:hAnsi="Times New Roman"/>
        </w:rPr>
        <w:t xml:space="preserve">Instructions concernant certaines positions</w:t>
      </w:r>
      <w:bookmarkEnd w:id="151"/>
      <w:bookmarkEnd w:id="152"/>
      <w:bookmarkEnd w:id="153"/>
      <w:bookmarkEnd w:id="154"/>
      <w:bookmarkEnd w:id="155"/>
      <w:bookmarkEnd w:id="156"/>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7876"/>
      </w:tblGrid>
      <w:tr w:rsidR="000B0B09" w:rsidRPr="002D60D7" w14:paraId="7440A91F" w14:textId="77777777" w:rsidTr="00672D2A">
        <w:trPr>
          <w:trHeight w:val="591"/>
        </w:trPr>
        <w:tc>
          <w:tcPr>
            <w:tcW w:w="8862" w:type="dxa"/>
            <w:gridSpan w:val="2"/>
            <w:shd w:val="clear" w:color="auto" w:fill="CCCCCC"/>
          </w:tcPr>
          <w:p w14:paraId="4154FB7C" w14:textId="77777777" w:rsidR="000B0B09" w:rsidRPr="002D60D7" w:rsidRDefault="000B0B09" w:rsidP="004C445F">
            <w:pPr>
              <w:suppressAutoHyphens/>
              <w:autoSpaceDE w:val="0"/>
              <w:autoSpaceDN w:val="0"/>
              <w:adjustRightInd w:val="0"/>
              <w:spacing w:after="0"/>
              <w:rPr>
                <w:b/>
                <w:sz w:val="24"/>
                <w:rFonts w:ascii="Times New Roman" w:hAnsi="Times New Roman"/>
              </w:rPr>
            </w:pPr>
            <w:r>
              <w:rPr>
                <w:b/>
                <w:sz w:val="24"/>
                <w:rFonts w:ascii="Times New Roman" w:hAnsi="Times New Roman"/>
              </w:rPr>
              <w:t xml:space="preserve">Colonnes</w:t>
            </w:r>
          </w:p>
        </w:tc>
      </w:tr>
      <w:tr w:rsidR="000B0B09" w:rsidRPr="002D60D7" w14:paraId="12CECACA" w14:textId="77777777" w:rsidTr="00672D2A">
        <w:tc>
          <w:tcPr>
            <w:tcW w:w="986" w:type="dxa"/>
          </w:tcPr>
          <w:p w14:paraId="6FA50BBC"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0010-0020</w:t>
            </w:r>
          </w:p>
        </w:tc>
        <w:tc>
          <w:tcPr>
            <w:tcW w:w="7876" w:type="dxa"/>
          </w:tcPr>
          <w:p w14:paraId="29C026B5"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TOUTES LES POSITIONS (LONGUES ET COURTES)</w:t>
            </w:r>
          </w:p>
          <w:p w14:paraId="4B99A78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60BC9B3E" w14:textId="0549CCC8" w:rsidR="000B0B09" w:rsidRPr="002D60D7" w:rsidRDefault="000B0B09"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Positions longues/courtes brutes considérées comme des positions sur la même matière première, conformément à l’article 357, paragraphe 4, du règlement (UE) nº 575/2013 (voir également l’article 359, paragraphe 1, dudit règlement).</w:t>
            </w:r>
          </w:p>
          <w:p w14:paraId="3E9C7204" w14:textId="77777777" w:rsidR="000B0B09" w:rsidRPr="002D60D7" w:rsidRDefault="000B0B09"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 </w:t>
            </w:r>
          </w:p>
        </w:tc>
      </w:tr>
      <w:tr w:rsidR="000B0B09" w:rsidRPr="002D60D7" w14:paraId="4AB4396B" w14:textId="77777777" w:rsidTr="00672D2A">
        <w:tc>
          <w:tcPr>
            <w:tcW w:w="986" w:type="dxa"/>
          </w:tcPr>
          <w:p w14:paraId="224657DD"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0030-0040</w:t>
            </w:r>
            <w:r>
              <w:rPr>
                <w:sz w:val="24"/>
                <w:rFonts w:ascii="Times New Roman" w:hAnsi="Times New Roman"/>
              </w:rPr>
              <w:t xml:space="preserve"> </w:t>
            </w:r>
          </w:p>
        </w:tc>
        <w:tc>
          <w:tcPr>
            <w:tcW w:w="7876" w:type="dxa"/>
          </w:tcPr>
          <w:p w14:paraId="7FA580C3"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POSITIONS NETTES (LONGUES ET COURTES)</w:t>
            </w:r>
          </w:p>
          <w:p w14:paraId="0B49C3F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7F059DD" w14:textId="7B41C090" w:rsidR="000B0B09" w:rsidRPr="002D60D7" w:rsidRDefault="000B0B09" w:rsidP="004C445F">
            <w:pPr>
              <w:suppressAutoHyphens/>
              <w:autoSpaceDE w:val="0"/>
              <w:autoSpaceDN w:val="0"/>
              <w:adjustRightInd w:val="0"/>
              <w:spacing w:before="0"/>
              <w:rPr>
                <w:sz w:val="24"/>
                <w:rFonts w:ascii="Times New Roman" w:hAnsi="Times New Roman"/>
              </w:rPr>
            </w:pPr>
            <w:r>
              <w:rPr>
                <w:sz w:val="24"/>
                <w:rFonts w:ascii="Times New Roman" w:hAnsi="Times New Roman"/>
              </w:rPr>
              <w:t xml:space="preserve">Procédure visée à l’article 357, paragraphe 3, du règlement (UE) nº 575/2013.</w:t>
            </w:r>
            <w:r>
              <w:rPr>
                <w:sz w:val="24"/>
                <w:rFonts w:ascii="Times New Roman" w:hAnsi="Times New Roman"/>
              </w:rPr>
              <w:t xml:space="preserve"> </w:t>
            </w:r>
          </w:p>
        </w:tc>
      </w:tr>
      <w:tr w:rsidR="000B0B09" w:rsidRPr="002D60D7" w14:paraId="0A46320C" w14:textId="77777777" w:rsidTr="00672D2A">
        <w:tc>
          <w:tcPr>
            <w:tcW w:w="986" w:type="dxa"/>
          </w:tcPr>
          <w:p w14:paraId="7F0B984E"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0050</w:t>
            </w:r>
          </w:p>
        </w:tc>
        <w:tc>
          <w:tcPr>
            <w:tcW w:w="7876" w:type="dxa"/>
          </w:tcPr>
          <w:p w14:paraId="7ADEF1C0"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POSITIONS SOUMISES AUX EXIGENCES DE FONDS PROPRES</w:t>
            </w:r>
          </w:p>
          <w:p w14:paraId="55ED580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D57A399" w14:textId="58FF94B4" w:rsidR="000B0B09" w:rsidRPr="002D60D7" w:rsidRDefault="000B0B09"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Positions nettes qui, conformément aux différentes approches envisagées dans la troisième partie, titre IV, chapitre 4, du règlement (UE) nº 575/2013, sont soumises à une exigence de fonds propres.</w:t>
            </w:r>
          </w:p>
          <w:p w14:paraId="762BD2E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37B5E6C" w14:textId="77777777" w:rsidTr="00672D2A">
        <w:tc>
          <w:tcPr>
            <w:tcW w:w="986" w:type="dxa"/>
          </w:tcPr>
          <w:p w14:paraId="41FAB945"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0060</w:t>
            </w:r>
          </w:p>
        </w:tc>
        <w:tc>
          <w:tcPr>
            <w:tcW w:w="7876" w:type="dxa"/>
          </w:tcPr>
          <w:p w14:paraId="4AA26DC6"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EXIGENCES DE FONDS PROPRES</w:t>
            </w:r>
          </w:p>
          <w:p w14:paraId="545A195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F8C468D" w14:textId="7E2236D4" w:rsidR="000B0B09" w:rsidRPr="002D60D7" w:rsidRDefault="000B0B09" w:rsidP="004C445F">
            <w:pPr>
              <w:suppressAutoHyphens/>
              <w:autoSpaceDE w:val="0"/>
              <w:autoSpaceDN w:val="0"/>
              <w:adjustRightInd w:val="0"/>
              <w:spacing w:before="0"/>
              <w:rPr>
                <w:b/>
                <w:bCs/>
                <w:sz w:val="24"/>
                <w:u w:val="single"/>
                <w:rFonts w:ascii="Times New Roman" w:hAnsi="Times New Roman"/>
              </w:rPr>
            </w:pPr>
            <w:r>
              <w:rPr>
                <w:sz w:val="24"/>
                <w:rFonts w:ascii="Times New Roman" w:hAnsi="Times New Roman"/>
              </w:rPr>
              <w:t xml:space="preserve">Exigence de fonds propres calculée conformément à la troisième partie, titre IV, chapitre 4, du règlement (UE) nº 575/2013 pour toute position pertinente.</w:t>
            </w:r>
          </w:p>
        </w:tc>
      </w:tr>
      <w:tr w:rsidR="000B0B09" w:rsidRPr="002D60D7" w14:paraId="380AB4E0" w14:textId="77777777" w:rsidTr="00672D2A">
        <w:tc>
          <w:tcPr>
            <w:tcW w:w="986" w:type="dxa"/>
          </w:tcPr>
          <w:p w14:paraId="0EE22EDA"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0070</w:t>
            </w:r>
          </w:p>
        </w:tc>
        <w:tc>
          <w:tcPr>
            <w:tcW w:w="7876" w:type="dxa"/>
          </w:tcPr>
          <w:p w14:paraId="162C1DF7" w14:textId="77777777" w:rsidR="000B0B09" w:rsidRPr="002D60D7" w:rsidRDefault="000B0B09" w:rsidP="004C445F">
            <w:pPr>
              <w:tabs>
                <w:tab w:val="left" w:pos="1665"/>
              </w:tabs>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MONTANT TOTAL D’EXPOSITION AU RISQUE</w:t>
            </w:r>
          </w:p>
          <w:p w14:paraId="35864C1F"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7C230E5C" w14:textId="027F150A" w:rsidR="00A2757B" w:rsidRPr="002D60D7" w:rsidRDefault="000B0B09" w:rsidP="004C445F">
            <w:pPr>
              <w:tabs>
                <w:tab w:val="left" w:pos="1665"/>
              </w:tabs>
              <w:suppressAutoHyphens/>
              <w:autoSpaceDE w:val="0"/>
              <w:autoSpaceDN w:val="0"/>
              <w:adjustRightInd w:val="0"/>
              <w:spacing w:before="0"/>
              <w:rPr>
                <w:sz w:val="24"/>
                <w:rFonts w:ascii="Times New Roman" w:hAnsi="Times New Roman"/>
              </w:rPr>
            </w:pPr>
            <w:r>
              <w:rPr>
                <w:sz w:val="24"/>
                <w:rFonts w:ascii="Times New Roman" w:hAnsi="Times New Roman"/>
              </w:rPr>
              <w:t xml:space="preserve">Article 92, paragraphe 6, point b), du règlement (UE) nº 575/2013.</w:t>
            </w:r>
            <w:r>
              <w:rPr>
                <w:sz w:val="24"/>
                <w:rFonts w:ascii="Times New Roman" w:hAnsi="Times New Roman"/>
              </w:rPr>
              <w:t xml:space="preserve"> </w:t>
            </w:r>
          </w:p>
          <w:p w14:paraId="67EADC1A" w14:textId="77777777" w:rsidR="000B0B09" w:rsidRPr="002D60D7" w:rsidRDefault="000B0B09" w:rsidP="004C445F">
            <w:pPr>
              <w:tabs>
                <w:tab w:val="left" w:pos="1665"/>
              </w:tabs>
              <w:suppressAutoHyphens/>
              <w:autoSpaceDE w:val="0"/>
              <w:autoSpaceDN w:val="0"/>
              <w:adjustRightInd w:val="0"/>
              <w:spacing w:before="0"/>
              <w:rPr>
                <w:b/>
                <w:bCs/>
                <w:sz w:val="24"/>
                <w:u w:val="single"/>
                <w:rFonts w:ascii="Times New Roman" w:hAnsi="Times New Roman"/>
              </w:rPr>
            </w:pPr>
            <w:r>
              <w:rPr>
                <w:sz w:val="24"/>
                <w:rFonts w:ascii="Times New Roman" w:hAnsi="Times New Roman"/>
              </w:rPr>
              <w:t xml:space="preserve">Résultat de la multiplication par 12,5 des exigences de fonds propres.</w:t>
            </w:r>
          </w:p>
        </w:tc>
      </w:tr>
    </w:tbl>
    <w:p w14:paraId="0DC9D0A4"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0386B5FC" w14:textId="77777777" w:rsidTr="00672D2A">
        <w:trPr>
          <w:trHeight w:val="483"/>
        </w:trPr>
        <w:tc>
          <w:tcPr>
            <w:tcW w:w="8862" w:type="dxa"/>
            <w:gridSpan w:val="2"/>
            <w:shd w:val="clear" w:color="auto" w:fill="CCCCCC"/>
          </w:tcPr>
          <w:p w14:paraId="1255E033" w14:textId="77777777" w:rsidR="000B0B09" w:rsidRPr="002D60D7" w:rsidRDefault="000B0B09" w:rsidP="004C445F">
            <w:pPr>
              <w:suppressAutoHyphens/>
              <w:autoSpaceDE w:val="0"/>
              <w:autoSpaceDN w:val="0"/>
              <w:adjustRightInd w:val="0"/>
              <w:spacing w:after="0"/>
              <w:rPr>
                <w:b/>
                <w:sz w:val="24"/>
                <w:rFonts w:ascii="Times New Roman" w:hAnsi="Times New Roman"/>
              </w:rPr>
            </w:pPr>
            <w:r>
              <w:rPr>
                <w:b/>
                <w:sz w:val="24"/>
                <w:rFonts w:ascii="Times New Roman" w:hAnsi="Times New Roman"/>
              </w:rPr>
              <w:t xml:space="preserve">Lignes</w:t>
            </w:r>
          </w:p>
        </w:tc>
      </w:tr>
      <w:tr w:rsidR="000B0B09" w:rsidRPr="002D60D7" w14:paraId="3F19FB75" w14:textId="77777777" w:rsidTr="00672D2A">
        <w:tc>
          <w:tcPr>
            <w:tcW w:w="987" w:type="dxa"/>
          </w:tcPr>
          <w:p w14:paraId="62003386"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0010</w:t>
            </w:r>
          </w:p>
        </w:tc>
        <w:tc>
          <w:tcPr>
            <w:tcW w:w="7875" w:type="dxa"/>
          </w:tcPr>
          <w:p w14:paraId="3CC5979D"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TOTAL DES POSITIONS SUR MATIÈRES PREMIÈRES</w:t>
            </w:r>
          </w:p>
          <w:p w14:paraId="0356262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p>
          <w:p w14:paraId="1B02378E" w14:textId="7E4205C6" w:rsidR="000B0B09" w:rsidRPr="002D60D7" w:rsidRDefault="000B0B09" w:rsidP="004C445F">
            <w:pPr>
              <w:suppressAutoHyphens/>
              <w:autoSpaceDE w:val="0"/>
              <w:autoSpaceDN w:val="0"/>
              <w:adjustRightInd w:val="0"/>
              <w:spacing w:before="0"/>
              <w:rPr>
                <w:sz w:val="24"/>
                <w:rFonts w:ascii="Times New Roman" w:hAnsi="Times New Roman"/>
              </w:rPr>
            </w:pPr>
            <w:r>
              <w:rPr>
                <w:sz w:val="24"/>
                <w:rFonts w:ascii="Times New Roman" w:hAnsi="Times New Roman"/>
              </w:rPr>
              <w:t xml:space="preserve">Positions sur matières premières et exigences de fonds propres correspondantes pour risque de marché calculées conformément à l’article 92, paragraphe 4, point c), du règlement (UE) nº 575/2013 et à la troisième partie, titre IV, chapitre 4, dudit règlement.</w:t>
            </w:r>
            <w:r>
              <w:rPr>
                <w:sz w:val="24"/>
                <w:rFonts w:ascii="Times New Roman" w:hAnsi="Times New Roman"/>
              </w:rPr>
              <w:t xml:space="preserve"> </w:t>
            </w:r>
          </w:p>
        </w:tc>
      </w:tr>
      <w:tr w:rsidR="000B0B09" w:rsidRPr="002D60D7" w14:paraId="216F1AEE" w14:textId="77777777" w:rsidTr="00672D2A">
        <w:tc>
          <w:tcPr>
            <w:tcW w:w="987" w:type="dxa"/>
          </w:tcPr>
          <w:p w14:paraId="62D08C2C"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0020-0060</w:t>
            </w:r>
          </w:p>
        </w:tc>
        <w:tc>
          <w:tcPr>
            <w:tcW w:w="7875" w:type="dxa"/>
          </w:tcPr>
          <w:p w14:paraId="759E5790"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POSITIONS EN FONCTION DES CATÉGORIES DE MATIÈRES PREMIÈRES</w:t>
            </w:r>
          </w:p>
          <w:p w14:paraId="5692188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DC33454" w14:textId="09121CFD" w:rsidR="000B0B09" w:rsidRPr="002D60D7" w:rsidRDefault="000B0B09"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Aux fins de la déclaration, les matières premières sont regroupées selon les quatre catégories visées dans le tableau 2 de l’article 361 du règlement (UE) nº 575/2013.</w:t>
            </w:r>
          </w:p>
          <w:p w14:paraId="04BB5316" w14:textId="77777777" w:rsidR="000B0B09" w:rsidRPr="002D60D7" w:rsidRDefault="000B0B09"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 </w:t>
            </w:r>
          </w:p>
        </w:tc>
      </w:tr>
      <w:tr w:rsidR="000B0B09" w:rsidRPr="002D60D7" w14:paraId="50CBB22D" w14:textId="77777777" w:rsidTr="00672D2A">
        <w:tc>
          <w:tcPr>
            <w:tcW w:w="987" w:type="dxa"/>
          </w:tcPr>
          <w:p w14:paraId="3E68EF2F"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0070</w:t>
            </w:r>
          </w:p>
        </w:tc>
        <w:tc>
          <w:tcPr>
            <w:tcW w:w="7875" w:type="dxa"/>
          </w:tcPr>
          <w:p w14:paraId="5AACA5EE"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APPROCHE DU TABLEAU D’ÉCHÉANCES</w:t>
            </w:r>
          </w:p>
          <w:p w14:paraId="2C667CB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2CB6FD7" w14:textId="0EBD6A78" w:rsidR="000B0B09" w:rsidRPr="002D60D7" w:rsidRDefault="000B0B09"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Positions sur matières premières soumises à l’approche du tableau d’échéances visée à l’article 359 du règlement (UE) nº 575/2013.</w:t>
            </w:r>
          </w:p>
          <w:p w14:paraId="018E7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D4187B0" w14:textId="77777777" w:rsidTr="00672D2A">
        <w:tc>
          <w:tcPr>
            <w:tcW w:w="987" w:type="dxa"/>
          </w:tcPr>
          <w:p w14:paraId="317F5718"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0080</w:t>
            </w:r>
          </w:p>
        </w:tc>
        <w:tc>
          <w:tcPr>
            <w:tcW w:w="7875" w:type="dxa"/>
          </w:tcPr>
          <w:p w14:paraId="7D3D047D"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APPROCHE DU TABLEAU D’ÉCHÉANCES ÉLARGIE</w:t>
            </w:r>
          </w:p>
          <w:p w14:paraId="28E2284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72FB876" w14:textId="13AA387E" w:rsidR="000B0B09" w:rsidRPr="002D60D7" w:rsidRDefault="000B0B09"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Positions sur matières premières soumises à l’approche du tableau d’échéances élargie visée à l’article 361 du règlement (UE) nº 575/2013.</w:t>
            </w:r>
          </w:p>
          <w:p w14:paraId="4CC42EB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8D8BBC0" w14:textId="77777777" w:rsidTr="00672D2A">
        <w:tc>
          <w:tcPr>
            <w:tcW w:w="987" w:type="dxa"/>
          </w:tcPr>
          <w:p w14:paraId="75FF36E9"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0090</w:t>
            </w:r>
          </w:p>
        </w:tc>
        <w:tc>
          <w:tcPr>
            <w:tcW w:w="7875" w:type="dxa"/>
          </w:tcPr>
          <w:p w14:paraId="5AEA8FE4"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APPROCHE SIMPLIFIÉE</w:t>
            </w:r>
          </w:p>
          <w:p w14:paraId="739EF26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3C6F5D9" w14:textId="7485AEDA" w:rsidR="000B0B09" w:rsidRPr="002D60D7" w:rsidRDefault="000B0B09"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Positions sur matières premières soumises à l’approche simplifiée visée à l’article 360 du règlement (UE) nº 575/2013.</w:t>
            </w:r>
            <w:r>
              <w:rPr>
                <w:sz w:val="24"/>
                <w:rFonts w:ascii="Times New Roman" w:hAnsi="Times New Roman"/>
              </w:rPr>
              <w:t xml:space="preserve"> </w:t>
            </w:r>
          </w:p>
          <w:p w14:paraId="72D24CC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6AF081D" w14:textId="77777777" w:rsidTr="00672D2A">
        <w:tc>
          <w:tcPr>
            <w:tcW w:w="987" w:type="dxa"/>
          </w:tcPr>
          <w:p w14:paraId="7DA76A9F" w14:textId="77777777" w:rsidR="000B0B09" w:rsidRPr="002D60D7" w:rsidRDefault="002F79EA"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0100-0140</w:t>
            </w:r>
          </w:p>
        </w:tc>
        <w:tc>
          <w:tcPr>
            <w:tcW w:w="7875" w:type="dxa"/>
          </w:tcPr>
          <w:p w14:paraId="1AB2469B" w14:textId="77777777" w:rsidR="000B0B09" w:rsidRPr="002D60D7" w:rsidRDefault="000B0B09" w:rsidP="004C445F">
            <w:pPr>
              <w:suppressAutoHyphens/>
              <w:autoSpaceDE w:val="0"/>
              <w:autoSpaceDN w:val="0"/>
              <w:adjustRightInd w:val="0"/>
              <w:spacing w:before="0" w:after="0"/>
              <w:rPr>
                <w:b/>
                <w:bCs/>
                <w:sz w:val="24"/>
                <w:u w:val="single"/>
                <w:rFonts w:ascii="Times New Roman" w:hAnsi="Times New Roman"/>
              </w:rPr>
            </w:pPr>
            <w:r>
              <w:rPr>
                <w:rStyle w:val="InstructionsTabelleberschrift"/>
                <w:sz w:val="24"/>
                <w:rFonts w:ascii="Times New Roman" w:hAnsi="Times New Roman"/>
              </w:rPr>
              <w:t xml:space="preserve">EXIGENCES SUPPLÉMENTAIRES POUR RISQUES SUR OPTIONS (RISQUES NON DELTA)</w:t>
            </w:r>
          </w:p>
          <w:p w14:paraId="444B7110" w14:textId="08585130" w:rsidR="000B0B09" w:rsidRPr="002D60D7" w:rsidRDefault="000B0B09" w:rsidP="004C445F">
            <w:pPr>
              <w:suppressAutoHyphens/>
              <w:autoSpaceDE w:val="0"/>
              <w:autoSpaceDN w:val="0"/>
              <w:adjustRightInd w:val="0"/>
              <w:rPr>
                <w:sz w:val="24"/>
                <w:rFonts w:ascii="Times New Roman" w:hAnsi="Times New Roman"/>
              </w:rPr>
            </w:pPr>
            <w:r>
              <w:rPr>
                <w:sz w:val="24"/>
                <w:rFonts w:ascii="Times New Roman" w:hAnsi="Times New Roman"/>
              </w:rPr>
              <w:t xml:space="preserve">Article 358, paragraphe 4, du règlement (UE) nº 575/2013.</w:t>
            </w:r>
            <w:r>
              <w:rPr>
                <w:sz w:val="24"/>
                <w:rFonts w:ascii="Times New Roman" w:hAnsi="Times New Roman"/>
              </w:rPr>
              <w:t xml:space="preserve"> </w:t>
            </w:r>
          </w:p>
          <w:p w14:paraId="1D3D5AF7" w14:textId="77777777" w:rsidR="000B0B09" w:rsidRPr="002D60D7" w:rsidRDefault="000B0B09"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Les exigences supplémentaires pour les options liées aux risques autres que le risque delta seront déclarées dans la méthode appliquée pour leur calcul.</w:t>
            </w:r>
          </w:p>
          <w:p w14:paraId="55D77BA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tc>
      </w:tr>
    </w:tbl>
    <w:p w14:paraId="43D70997" w14:textId="77777777" w:rsidR="000B0B09" w:rsidRPr="002D60D7" w:rsidRDefault="000B0B09" w:rsidP="004C445F">
      <w:pPr>
        <w:suppressAutoHyphens/>
        <w:rPr>
          <w:rFonts w:ascii="Times New Roman" w:hAnsi="Times New Roman"/>
          <w:sz w:val="24"/>
        </w:rPr>
      </w:pPr>
    </w:p>
    <w:p w14:paraId="60EF2674" w14:textId="77777777" w:rsidR="000B0B09" w:rsidRPr="002D60D7" w:rsidRDefault="000B0B09" w:rsidP="004C445F">
      <w:pPr>
        <w:suppressAutoHyphens/>
        <w:spacing w:before="0" w:after="0"/>
        <w:jc w:val="left"/>
        <w:rPr>
          <w:rStyle w:val="InstructionsTabelleText"/>
          <w:rFonts w:ascii="Times New Roman" w:hAnsi="Times New Roman"/>
          <w:sz w:val="24"/>
        </w:rPr>
      </w:pPr>
    </w:p>
    <w:p w14:paraId="47562548" w14:textId="0B23E4C1" w:rsidR="005970B6" w:rsidRPr="002D60D7" w:rsidRDefault="00C82BBD" w:rsidP="004C445F">
      <w:pPr>
        <w:pStyle w:val="Instructionsberschrift2"/>
        <w:numPr>
          <w:ilvl w:val="0"/>
          <w:numId w:val="0"/>
        </w:numPr>
        <w:suppressAutoHyphens/>
        <w:ind w:left="357" w:hanging="357"/>
        <w:rPr>
          <w:sz w:val="24"/>
          <w:rFonts w:ascii="Times New Roman" w:hAnsi="Times New Roman"/>
        </w:rPr>
      </w:pPr>
      <w:bookmarkStart w:id="158" w:name="_Toc210732267"/>
      <w:r>
        <w:rPr>
          <w:sz w:val="24"/>
          <w:rFonts w:ascii="Times New Roman" w:hAnsi="Times New Roman"/>
        </w:rPr>
        <w:t xml:space="preserve">8.</w:t>
      </w:r>
      <w:r>
        <w:tab/>
      </w:r>
      <w:r>
        <w:rPr>
          <w:sz w:val="24"/>
          <w:rFonts w:ascii="Times New Roman" w:hAnsi="Times New Roman"/>
        </w:rPr>
        <w:t xml:space="preserve">C 24.00 - Risque de marché selon l’approche fondée sur les modèles internes (MKR IM)</w:t>
      </w:r>
      <w:bookmarkEnd w:id="158"/>
    </w:p>
    <w:p w14:paraId="4EE11059" w14:textId="6831F2FC" w:rsidR="005970B6" w:rsidRPr="002D60D7" w:rsidRDefault="00C82BBD" w:rsidP="004C445F">
      <w:pPr>
        <w:pStyle w:val="Instructionsberschrift2"/>
        <w:numPr>
          <w:ilvl w:val="0"/>
          <w:numId w:val="0"/>
        </w:numPr>
        <w:suppressAutoHyphens/>
        <w:ind w:left="357" w:hanging="357"/>
        <w:rPr>
          <w:sz w:val="24"/>
          <w:rFonts w:ascii="Times New Roman" w:hAnsi="Times New Roman" w:cs="Times New Roman"/>
        </w:rPr>
      </w:pPr>
      <w:bookmarkStart w:id="159" w:name="_Toc151714505"/>
      <w:bookmarkStart w:id="160" w:name="_Toc210732268"/>
      <w:r>
        <w:rPr>
          <w:sz w:val="24"/>
          <w:u w:val="none"/>
          <w:rFonts w:ascii="Times New Roman" w:hAnsi="Times New Roman"/>
        </w:rPr>
        <w:t xml:space="preserve">8.1.</w:t>
      </w:r>
      <w:r>
        <w:tab/>
      </w:r>
      <w:r>
        <w:rPr>
          <w:sz w:val="24"/>
          <w:rFonts w:ascii="Times New Roman" w:hAnsi="Times New Roman"/>
        </w:rPr>
        <w:t xml:space="preserve">Remarques générales</w:t>
      </w:r>
      <w:bookmarkEnd w:id="159"/>
      <w:bookmarkEnd w:id="160"/>
    </w:p>
    <w:p w14:paraId="2B3D1454" w14:textId="708078C0" w:rsidR="005970B6" w:rsidRPr="002D60D7" w:rsidRDefault="005970B6" w:rsidP="00E172EA">
      <w:pPr>
        <w:pStyle w:val="InstructionsText2"/>
        <w:numPr>
          <w:ilvl w:val="0"/>
          <w:numId w:val="29"/>
        </w:numPr>
        <w:suppressAutoHyphens/>
      </w:pPr>
      <w:r>
        <w:t xml:space="preserve">Ce modèle fournit une ventilation des valeurs en risque (VaR) et des valeurs en risque en situation de tensions (sVaR), en fonction des différents risques de marché (dette, actions, change, matières premières), ainsi que d’autres informations pertinentes pour le calcul des exigences de fonds propres.</w:t>
      </w:r>
    </w:p>
    <w:p w14:paraId="6141A6DE" w14:textId="106A2D11" w:rsidR="005970B6" w:rsidRDefault="005970B6" w:rsidP="00E172EA">
      <w:pPr>
        <w:pStyle w:val="InstructionsText2"/>
        <w:numPr>
          <w:ilvl w:val="0"/>
          <w:numId w:val="29"/>
        </w:numPr>
        <w:suppressAutoHyphens/>
      </w:pPr>
      <w:r>
        <w:t xml:space="preserve">En règle générale, le fait que les chiffres pour le risque général et pour le risque spécifique peuvent être déterminés et déclarés séparément ou bien uniquement sous la forme d’un total dépend de la structure du modèle des entreprises d’investissement.</w:t>
      </w:r>
      <w:r>
        <w:t xml:space="preserve"> </w:t>
      </w:r>
      <w:r>
        <w:t xml:space="preserve">Il en va de même pour la décomposition des VaR/sVaR selon les catégories de risques (risque de taux d’intérêt, risque lié aux actions, risque sur matières premières et risque de change).</w:t>
      </w:r>
      <w:r>
        <w:t xml:space="preserve"> </w:t>
      </w:r>
      <w:r>
        <w:t xml:space="preserve">Un établissement peut s’abstenir de déclarer ces décompositions s’il démontre que déclarer ces chiffres représenterait une contrainte excessive.</w:t>
      </w:r>
      <w:r>
        <w:t xml:space="preserve"> </w:t>
      </w:r>
    </w:p>
    <w:p w14:paraId="2EAB7003" w14:textId="035AB67F" w:rsidR="005970B6" w:rsidRPr="002D60D7" w:rsidRDefault="00C82BBD" w:rsidP="004C445F">
      <w:pPr>
        <w:pStyle w:val="Instructionsberschrift2"/>
        <w:numPr>
          <w:ilvl w:val="0"/>
          <w:numId w:val="0"/>
        </w:numPr>
        <w:suppressAutoHyphens/>
        <w:ind w:left="357" w:hanging="357"/>
        <w:rPr>
          <w:sz w:val="24"/>
          <w:rFonts w:ascii="Times New Roman" w:hAnsi="Times New Roman" w:cs="Times New Roman"/>
        </w:rPr>
      </w:pPr>
      <w:bookmarkStart w:id="161" w:name="_Toc151714506"/>
      <w:bookmarkStart w:id="162" w:name="_Toc210732269"/>
      <w:r>
        <w:rPr>
          <w:sz w:val="24"/>
          <w:u w:val="none"/>
          <w:rFonts w:ascii="Times New Roman" w:hAnsi="Times New Roman"/>
        </w:rPr>
        <w:t xml:space="preserve">8.2.</w:t>
      </w:r>
      <w:r>
        <w:tab/>
      </w:r>
      <w:r>
        <w:rPr>
          <w:sz w:val="24"/>
          <w:rFonts w:ascii="Times New Roman" w:hAnsi="Times New Roman"/>
        </w:rPr>
        <w:t xml:space="preserve">Instructions concernant certaines positions</w:t>
      </w:r>
      <w:bookmarkEnd w:id="161"/>
      <w:bookmarkEnd w:id="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69"/>
      </w:tblGrid>
      <w:tr w:rsidR="005970B6" w:rsidRPr="002D60D7" w14:paraId="2AB574E2" w14:textId="77777777">
        <w:tc>
          <w:tcPr>
            <w:tcW w:w="8862" w:type="dxa"/>
            <w:gridSpan w:val="2"/>
            <w:shd w:val="clear" w:color="auto" w:fill="BFBFBF"/>
          </w:tcPr>
          <w:p w14:paraId="01F4E302"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Colonnes</w:t>
            </w:r>
          </w:p>
        </w:tc>
      </w:tr>
      <w:tr w:rsidR="005970B6" w:rsidRPr="002D60D7" w14:paraId="52E77425" w14:textId="77777777">
        <w:tc>
          <w:tcPr>
            <w:tcW w:w="993" w:type="dxa"/>
          </w:tcPr>
          <w:p w14:paraId="0E51BB94"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0030-0040</w:t>
            </w:r>
          </w:p>
        </w:tc>
        <w:tc>
          <w:tcPr>
            <w:tcW w:w="7869" w:type="dxa"/>
          </w:tcPr>
          <w:p w14:paraId="7095CD17" w14:textId="77777777" w:rsidR="005970B6" w:rsidRPr="002D60D7" w:rsidRDefault="005970B6"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Valeur en risque (VaR)</w:t>
            </w:r>
          </w:p>
          <w:p w14:paraId="3DE9F1A1" w14:textId="77777777" w:rsidR="005970B6" w:rsidRPr="002D60D7" w:rsidRDefault="005970B6" w:rsidP="004C445F">
            <w:pPr>
              <w:suppressAutoHyphens/>
              <w:autoSpaceDE w:val="0"/>
              <w:autoSpaceDN w:val="0"/>
              <w:adjustRightInd w:val="0"/>
              <w:rPr>
                <w:b/>
                <w:bCs/>
                <w:sz w:val="24"/>
                <w:u w:val="single"/>
                <w:rFonts w:ascii="Times New Roman" w:hAnsi="Times New Roman"/>
              </w:rPr>
            </w:pPr>
            <w:r>
              <w:rPr>
                <w:sz w:val="24"/>
                <w:rFonts w:ascii="Times New Roman" w:hAnsi="Times New Roman"/>
              </w:rPr>
              <w:t xml:space="preserve">La valeur en risque (VaR) désigne la perte potentielle maximale qui résulterait d’une variation du prix selon une probabilité donnée et dans un délai spécifique.</w:t>
            </w:r>
          </w:p>
        </w:tc>
      </w:tr>
      <w:tr w:rsidR="005970B6" w:rsidRPr="002D60D7" w14:paraId="0C4757E9" w14:textId="77777777">
        <w:tc>
          <w:tcPr>
            <w:tcW w:w="993" w:type="dxa"/>
          </w:tcPr>
          <w:p w14:paraId="145F944C"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0030</w:t>
            </w:r>
          </w:p>
        </w:tc>
        <w:tc>
          <w:tcPr>
            <w:tcW w:w="7869" w:type="dxa"/>
          </w:tcPr>
          <w:p w14:paraId="31C8EDD2" w14:textId="77777777" w:rsidR="005970B6" w:rsidRPr="002D60D7" w:rsidRDefault="005970B6"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Facteur de multiplication (mc) x moyenne de la VaR sur les 60 derniers jours ouvrés (VaRavg)</w:t>
            </w:r>
          </w:p>
          <w:p w14:paraId="04584C5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4A7537D0" w14:textId="7FFEC143"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Article 364, paragraphe 1, point a) ii), et article 365, paragraphe 1, du règlement (UE) nº 575/2013.</w:t>
            </w:r>
            <w:r>
              <w:rPr>
                <w:sz w:val="24"/>
                <w:rFonts w:ascii="Times New Roman" w:hAnsi="Times New Roman"/>
              </w:rPr>
              <w:t xml:space="preserve"> </w:t>
            </w:r>
          </w:p>
          <w:p w14:paraId="0DEB05BA"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072FF466" w14:textId="77777777">
        <w:tc>
          <w:tcPr>
            <w:tcW w:w="993" w:type="dxa"/>
          </w:tcPr>
          <w:p w14:paraId="280446FC"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0040</w:t>
            </w:r>
          </w:p>
        </w:tc>
        <w:tc>
          <w:tcPr>
            <w:tcW w:w="7869" w:type="dxa"/>
          </w:tcPr>
          <w:p w14:paraId="4723F402" w14:textId="77777777" w:rsidR="005970B6" w:rsidRPr="002D60D7" w:rsidRDefault="005970B6"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VaR de la veille (VaRt-1)</w:t>
            </w:r>
          </w:p>
          <w:p w14:paraId="4954CEF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559586B7" w14:textId="29F64A6A"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Article 364, paragraphe 1, point a) i), et article 365, paragraphe 1, du règlement (UE) nº 575/2013.</w:t>
            </w:r>
            <w:r>
              <w:rPr>
                <w:sz w:val="24"/>
                <w:rFonts w:ascii="Times New Roman" w:hAnsi="Times New Roman"/>
              </w:rPr>
              <w:t xml:space="preserve"> </w:t>
            </w:r>
          </w:p>
          <w:p w14:paraId="645E0D45"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301A77B0" w14:textId="77777777">
        <w:tc>
          <w:tcPr>
            <w:tcW w:w="993" w:type="dxa"/>
          </w:tcPr>
          <w:p w14:paraId="55BFA8D9"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0050-0060</w:t>
            </w:r>
          </w:p>
        </w:tc>
        <w:tc>
          <w:tcPr>
            <w:tcW w:w="7869" w:type="dxa"/>
          </w:tcPr>
          <w:p w14:paraId="34BD64B9" w14:textId="77777777" w:rsidR="005970B6" w:rsidRPr="002D60D7" w:rsidRDefault="005970B6"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VaR en situation de tensions</w:t>
            </w:r>
          </w:p>
          <w:p w14:paraId="60CDE98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68464C3" w14:textId="77777777" w:rsidR="005970B6" w:rsidRPr="002D60D7" w:rsidRDefault="005970B6" w:rsidP="004C445F">
            <w:pPr>
              <w:suppressAutoHyphens/>
              <w:autoSpaceDE w:val="0"/>
              <w:autoSpaceDN w:val="0"/>
              <w:adjustRightInd w:val="0"/>
              <w:spacing w:before="0"/>
              <w:rPr>
                <w:sz w:val="24"/>
                <w:rFonts w:ascii="Times New Roman" w:hAnsi="Times New Roman"/>
              </w:rPr>
            </w:pPr>
            <w:r>
              <w:rPr>
                <w:sz w:val="24"/>
                <w:rFonts w:ascii="Times New Roman" w:hAnsi="Times New Roman"/>
              </w:rPr>
              <w:t xml:space="preserve">La valeur en risque en situation de tensions (sVaR) désigne la perte potentielle maximale qui résulterait d’une variation du prix selon une probabilité donnée et dans un délai spécifique, déterminée sur la base des données d’entrée calibrées par rapport aux données historiques afférentes à une période de tensions financières d’une durée continue de douze mois pertinentes pour le portefeuille de l’établissement.</w:t>
            </w:r>
          </w:p>
        </w:tc>
      </w:tr>
      <w:tr w:rsidR="005970B6" w:rsidRPr="002D60D7" w14:paraId="3411CEBC" w14:textId="77777777">
        <w:tc>
          <w:tcPr>
            <w:tcW w:w="993" w:type="dxa"/>
          </w:tcPr>
          <w:p w14:paraId="026E7588"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0050</w:t>
            </w:r>
          </w:p>
        </w:tc>
        <w:tc>
          <w:tcPr>
            <w:tcW w:w="7869" w:type="dxa"/>
          </w:tcPr>
          <w:p w14:paraId="629F86AB" w14:textId="77777777" w:rsidR="005970B6" w:rsidRPr="002D60D7" w:rsidRDefault="005970B6"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Facteur de multiplication (ms) x moyenne des 60 derniers jours ouvrés (SVaRavg)</w:t>
            </w:r>
          </w:p>
          <w:p w14:paraId="1CFE4B08"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p w14:paraId="62913484" w14:textId="351187F2" w:rsidR="005970B6" w:rsidRPr="002D60D7" w:rsidRDefault="005970B6" w:rsidP="004C445F">
            <w:pPr>
              <w:suppressAutoHyphens/>
              <w:autoSpaceDE w:val="0"/>
              <w:autoSpaceDN w:val="0"/>
              <w:adjustRightInd w:val="0"/>
              <w:spacing w:before="0" w:after="0"/>
              <w:rPr>
                <w:rStyle w:val="InstructionsTabelleberschrift"/>
                <w:b w:val="0"/>
                <w:bCs w:val="0"/>
                <w:sz w:val="24"/>
                <w:rFonts w:ascii="Times New Roman" w:hAnsi="Times New Roman"/>
              </w:rPr>
            </w:pPr>
            <w:r>
              <w:rPr>
                <w:sz w:val="24"/>
                <w:rFonts w:ascii="Times New Roman" w:hAnsi="Times New Roman"/>
              </w:rPr>
              <w:t xml:space="preserve">Article 364, paragraphe 1, point b) ii), et article 365, paragraphe 1, du règlement (UE) nº 575/2013.</w:t>
            </w:r>
            <w:r>
              <w:rPr>
                <w:sz w:val="24"/>
                <w:rStyle w:val="InstructionsTabelleberschrift"/>
                <w:rFonts w:ascii="Times New Roman" w:hAnsi="Times New Roman"/>
              </w:rPr>
              <w:t xml:space="preserve"> </w:t>
            </w:r>
          </w:p>
          <w:p w14:paraId="77989826"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tc>
      </w:tr>
      <w:tr w:rsidR="005970B6" w:rsidRPr="002D60D7" w14:paraId="41A38D20" w14:textId="77777777">
        <w:tc>
          <w:tcPr>
            <w:tcW w:w="993" w:type="dxa"/>
          </w:tcPr>
          <w:p w14:paraId="2A34CF8D"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0060</w:t>
            </w:r>
          </w:p>
        </w:tc>
        <w:tc>
          <w:tcPr>
            <w:tcW w:w="7869" w:type="dxa"/>
          </w:tcPr>
          <w:p w14:paraId="470B121D" w14:textId="77777777" w:rsidR="005970B6" w:rsidRPr="002D60D7" w:rsidRDefault="005970B6"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Dernière mesure disponible (SVaRt-1)</w:t>
            </w:r>
          </w:p>
          <w:p w14:paraId="0EC2BDB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5FF53E38" w14:textId="0054C4CA"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Article 364, paragraphe 1, point b) i), et article 365, paragraphe 1, du règlement (UE) nº 575/2013.</w:t>
            </w:r>
            <w:r>
              <w:rPr>
                <w:sz w:val="24"/>
                <w:rFonts w:ascii="Times New Roman" w:hAnsi="Times New Roman"/>
              </w:rPr>
              <w:t xml:space="preserve"> </w:t>
            </w:r>
          </w:p>
          <w:p w14:paraId="5E60C64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de-DE"/>
              </w:rPr>
            </w:pPr>
          </w:p>
        </w:tc>
      </w:tr>
      <w:tr w:rsidR="005970B6" w:rsidRPr="002D60D7" w14:paraId="7F2569E5" w14:textId="77777777">
        <w:tc>
          <w:tcPr>
            <w:tcW w:w="993" w:type="dxa"/>
          </w:tcPr>
          <w:p w14:paraId="3A69DDB7"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0070-0080</w:t>
            </w:r>
          </w:p>
        </w:tc>
        <w:tc>
          <w:tcPr>
            <w:tcW w:w="7869" w:type="dxa"/>
          </w:tcPr>
          <w:p w14:paraId="0A6B8E33" w14:textId="77777777" w:rsidR="005970B6" w:rsidRPr="002D60D7" w:rsidRDefault="005970B6"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EXIGENCES DE FONDS PROPRES POUR RISQUES SUPPLÉMENTAIRES DE DÉFAUT ET DE MIGRATION</w:t>
            </w:r>
          </w:p>
          <w:p w14:paraId="5B3AF066" w14:textId="72000B27" w:rsidR="005970B6" w:rsidRPr="002D60D7" w:rsidRDefault="005970B6" w:rsidP="004C445F">
            <w:pPr>
              <w:suppressAutoHyphens/>
              <w:rPr>
                <w:b/>
                <w:bCs/>
                <w:sz w:val="24"/>
                <w:u w:val="single"/>
                <w:rFonts w:ascii="Times New Roman" w:hAnsi="Times New Roman"/>
              </w:rPr>
            </w:pPr>
            <w:r>
              <w:rPr>
                <w:sz w:val="24"/>
                <w:rFonts w:ascii="Times New Roman" w:hAnsi="Times New Roman"/>
              </w:rPr>
              <w:t xml:space="preserve">Les exigences de fonds propres pour risques supplémentaires de défaut et de migration désignent la perte potentielle maximale qui résulterait d’une variation de prix liée à des risques de défaut et de migration, calculée conformément à l’article 364, paragraphe 2, point b), en lien avec la troisième partie, titre IV, chapitre 5, section 4, du règlement (UE) nº 575/2013.</w:t>
            </w:r>
            <w:r>
              <w:rPr>
                <w:sz w:val="24"/>
                <w:rFonts w:ascii="Times New Roman" w:hAnsi="Times New Roman"/>
              </w:rPr>
              <w:t xml:space="preserve"> </w:t>
            </w:r>
          </w:p>
        </w:tc>
      </w:tr>
      <w:tr w:rsidR="005970B6" w:rsidRPr="002D60D7" w14:paraId="17515745" w14:textId="77777777">
        <w:tc>
          <w:tcPr>
            <w:tcW w:w="993" w:type="dxa"/>
          </w:tcPr>
          <w:p w14:paraId="595C6529"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0070</w:t>
            </w:r>
          </w:p>
        </w:tc>
        <w:tc>
          <w:tcPr>
            <w:tcW w:w="7869" w:type="dxa"/>
          </w:tcPr>
          <w:p w14:paraId="48A1B02F" w14:textId="77777777" w:rsidR="005970B6" w:rsidRPr="002D60D7" w:rsidRDefault="005970B6"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Mesure moyenne sur 12 semaines</w:t>
            </w:r>
          </w:p>
          <w:p w14:paraId="7DF0D03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1A6FCED4" w14:textId="280A30E8"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Article 364, paragraphe 2, point b), ii), en lien avec la troisième partie, titre IV, chapitre 5, section 4, du règlement (UE) nº 575/2013.</w:t>
            </w:r>
          </w:p>
          <w:p w14:paraId="4E5E6B9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2AD55A6" w14:textId="77777777">
        <w:tc>
          <w:tcPr>
            <w:tcW w:w="993" w:type="dxa"/>
          </w:tcPr>
          <w:p w14:paraId="268DB162"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0080</w:t>
            </w:r>
          </w:p>
        </w:tc>
        <w:tc>
          <w:tcPr>
            <w:tcW w:w="7869" w:type="dxa"/>
          </w:tcPr>
          <w:p w14:paraId="24DAC2BD" w14:textId="77777777" w:rsidR="005970B6" w:rsidRPr="002D60D7" w:rsidRDefault="005970B6"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Dernière mesure</w:t>
            </w:r>
          </w:p>
          <w:p w14:paraId="776D80B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3EF08F5A" w14:textId="1718D564"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Article 364, paragraphe 2, point b) i), en lien avec la troisième partie, titre IV, chapitre 5, section 4, du règlement (UE) nº 575/2013.</w:t>
            </w:r>
          </w:p>
          <w:p w14:paraId="2DB84EA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6406A7A" w14:textId="77777777">
        <w:tc>
          <w:tcPr>
            <w:tcW w:w="993" w:type="dxa"/>
          </w:tcPr>
          <w:p w14:paraId="1EBB8F02"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0090-0110</w:t>
            </w:r>
          </w:p>
        </w:tc>
        <w:tc>
          <w:tcPr>
            <w:tcW w:w="7869" w:type="dxa"/>
          </w:tcPr>
          <w:p w14:paraId="1C6A0111" w14:textId="77777777" w:rsidR="005970B6" w:rsidRPr="002D60D7" w:rsidRDefault="005970B6"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EXIGENCES DE FONDS PROPRES TOUS RISQUES DE PRIX POUR LE PORTEFEUILLE DE NÉGOCIATION EN CORRÉLATION</w:t>
            </w:r>
          </w:p>
          <w:p w14:paraId="29B7ABA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616A8BA" w14:textId="77777777">
        <w:tc>
          <w:tcPr>
            <w:tcW w:w="993" w:type="dxa"/>
          </w:tcPr>
          <w:p w14:paraId="70419120"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0090</w:t>
            </w:r>
          </w:p>
        </w:tc>
        <w:tc>
          <w:tcPr>
            <w:tcW w:w="7869" w:type="dxa"/>
          </w:tcPr>
          <w:p w14:paraId="1E696B6B" w14:textId="77777777" w:rsidR="005970B6" w:rsidRPr="002D60D7" w:rsidRDefault="005970B6"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PLANCHER</w:t>
            </w:r>
          </w:p>
          <w:p w14:paraId="4D4AA5D6" w14:textId="77777777" w:rsidR="005970B6" w:rsidRPr="002D60D7" w:rsidRDefault="005970B6" w:rsidP="004C445F">
            <w:pPr>
              <w:suppressAutoHyphens/>
              <w:rPr>
                <w:sz w:val="24"/>
                <w:rFonts w:ascii="Times New Roman" w:hAnsi="Times New Roman"/>
              </w:rPr>
            </w:pPr>
            <w:r>
              <w:rPr>
                <w:sz w:val="24"/>
                <w:rFonts w:ascii="Times New Roman" w:hAnsi="Times New Roman"/>
              </w:rPr>
              <w:t xml:space="preserve">Article 364, paragraphe 3, point c), du règlement (UE) nº 575/2013.</w:t>
            </w:r>
          </w:p>
          <w:p w14:paraId="43C8E4E6" w14:textId="77777777" w:rsidR="005970B6" w:rsidRPr="002D60D7" w:rsidRDefault="005970B6" w:rsidP="004C445F">
            <w:pPr>
              <w:suppressAutoHyphens/>
              <w:autoSpaceDE w:val="0"/>
              <w:autoSpaceDN w:val="0"/>
              <w:adjustRightInd w:val="0"/>
              <w:spacing w:before="0" w:after="0"/>
              <w:rPr>
                <w:b/>
                <w:bCs/>
                <w:sz w:val="24"/>
                <w:u w:val="single"/>
                <w:rFonts w:ascii="Times New Roman" w:hAnsi="Times New Roman"/>
              </w:rPr>
            </w:pPr>
            <w:r>
              <w:rPr>
                <w:sz w:val="24"/>
                <w:rFonts w:ascii="Times New Roman" w:hAnsi="Times New Roman"/>
              </w:rPr>
              <w:t xml:space="preserve">8 % de l’exigence de fonds propres qui serait calculée conformément à l’article 338, paragraphe 1, du règlement (UE) nº 575/2013, pour toutes les positions prises en compte dans les exigences de fonds propres “tous risques de prix”.</w:t>
            </w:r>
            <w:r>
              <w:rPr>
                <w:sz w:val="24"/>
                <w:b/>
                <w:u w:val="single"/>
                <w:rFonts w:ascii="Times New Roman" w:hAnsi="Times New Roman"/>
              </w:rPr>
              <w:t xml:space="preserve"> </w:t>
            </w:r>
          </w:p>
          <w:p w14:paraId="0D022373"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8CB1AF7" w14:textId="77777777">
        <w:tc>
          <w:tcPr>
            <w:tcW w:w="993" w:type="dxa"/>
          </w:tcPr>
          <w:p w14:paraId="4E53B904"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0100-0110</w:t>
            </w:r>
          </w:p>
        </w:tc>
        <w:tc>
          <w:tcPr>
            <w:tcW w:w="7869" w:type="dxa"/>
          </w:tcPr>
          <w:p w14:paraId="7CEDB94C" w14:textId="77777777" w:rsidR="005970B6" w:rsidRPr="002D60D7" w:rsidRDefault="005970B6"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MESURE MOYENNE SUR 12 SEMAINES ET DERNIÈRE MESURE</w:t>
            </w:r>
          </w:p>
          <w:p w14:paraId="46EA9990" w14:textId="77777777" w:rsidR="005970B6" w:rsidRPr="002D60D7" w:rsidRDefault="005970B6" w:rsidP="004C445F">
            <w:pPr>
              <w:suppressAutoHyphens/>
              <w:autoSpaceDE w:val="0"/>
              <w:autoSpaceDN w:val="0"/>
              <w:adjustRightInd w:val="0"/>
              <w:spacing w:after="0"/>
              <w:rPr>
                <w:bCs/>
                <w:sz w:val="24"/>
                <w:rFonts w:ascii="Times New Roman" w:hAnsi="Times New Roman"/>
              </w:rPr>
            </w:pPr>
            <w:r>
              <w:rPr>
                <w:sz w:val="24"/>
                <w:rFonts w:ascii="Times New Roman" w:hAnsi="Times New Roman"/>
              </w:rPr>
              <w:t xml:space="preserve">Article 364, paragraphe 3, point b), du règlement (UE) nº 575/2013.</w:t>
            </w:r>
          </w:p>
          <w:p w14:paraId="3111F404" w14:textId="77777777" w:rsidR="005970B6" w:rsidRPr="002D60D7" w:rsidRDefault="005970B6" w:rsidP="004C445F">
            <w:pPr>
              <w:suppressAutoHyphens/>
              <w:autoSpaceDE w:val="0"/>
              <w:autoSpaceDN w:val="0"/>
              <w:adjustRightInd w:val="0"/>
              <w:spacing w:before="0" w:after="0"/>
              <w:rPr>
                <w:rFonts w:ascii="Times New Roman" w:hAnsi="Times New Roman"/>
                <w:bCs/>
                <w:sz w:val="24"/>
                <w:u w:val="single"/>
                <w:lang w:eastAsia="nl-BE"/>
              </w:rPr>
            </w:pPr>
          </w:p>
        </w:tc>
      </w:tr>
      <w:tr w:rsidR="005970B6" w:rsidRPr="002D60D7" w14:paraId="320867DB" w14:textId="77777777">
        <w:tc>
          <w:tcPr>
            <w:tcW w:w="993" w:type="dxa"/>
          </w:tcPr>
          <w:p w14:paraId="42D64395"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0110</w:t>
            </w:r>
          </w:p>
        </w:tc>
        <w:tc>
          <w:tcPr>
            <w:tcW w:w="7869" w:type="dxa"/>
          </w:tcPr>
          <w:p w14:paraId="30EB7A67" w14:textId="77777777" w:rsidR="005970B6" w:rsidRPr="002D60D7" w:rsidRDefault="005970B6" w:rsidP="004C445F">
            <w:pPr>
              <w:suppressAutoHyphens/>
              <w:autoSpaceDE w:val="0"/>
              <w:autoSpaceDN w:val="0"/>
              <w:adjustRightInd w:val="0"/>
              <w:spacing w:before="0"/>
              <w:rPr>
                <w:b/>
                <w:bCs/>
                <w:sz w:val="24"/>
                <w:u w:val="single"/>
                <w:rFonts w:ascii="Times New Roman" w:hAnsi="Times New Roman"/>
              </w:rPr>
            </w:pPr>
            <w:r>
              <w:rPr>
                <w:b/>
                <w:sz w:val="24"/>
                <w:u w:val="single"/>
                <w:rFonts w:ascii="Times New Roman" w:hAnsi="Times New Roman"/>
              </w:rPr>
              <w:t xml:space="preserve">DERNIÈRE MESURE</w:t>
            </w:r>
          </w:p>
          <w:p w14:paraId="54C3A200" w14:textId="77777777" w:rsidR="005970B6" w:rsidRPr="002D60D7" w:rsidRDefault="005970B6" w:rsidP="004C445F">
            <w:pPr>
              <w:suppressAutoHyphens/>
              <w:autoSpaceDE w:val="0"/>
              <w:autoSpaceDN w:val="0"/>
              <w:adjustRightInd w:val="0"/>
              <w:spacing w:before="0" w:after="0"/>
              <w:rPr>
                <w:bCs/>
                <w:sz w:val="24"/>
                <w:rFonts w:ascii="Times New Roman" w:hAnsi="Times New Roman"/>
              </w:rPr>
            </w:pPr>
            <w:r>
              <w:rPr>
                <w:sz w:val="24"/>
                <w:rFonts w:ascii="Times New Roman" w:hAnsi="Times New Roman"/>
              </w:rPr>
              <w:t xml:space="preserve">Article 364, paragraphe 3, point a), du règlement (UE) nº 575/2013.</w:t>
            </w:r>
          </w:p>
          <w:p w14:paraId="702AB9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6AF4AFCB" w14:textId="77777777">
        <w:tc>
          <w:tcPr>
            <w:tcW w:w="993" w:type="dxa"/>
          </w:tcPr>
          <w:p w14:paraId="07850638"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0120</w:t>
            </w:r>
          </w:p>
        </w:tc>
        <w:tc>
          <w:tcPr>
            <w:tcW w:w="7869" w:type="dxa"/>
          </w:tcPr>
          <w:p w14:paraId="154C34AA" w14:textId="77777777" w:rsidR="005970B6" w:rsidRPr="002D60D7" w:rsidRDefault="005970B6"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EXIGENCES DE FONDS PROPRES</w:t>
            </w:r>
          </w:p>
          <w:p w14:paraId="278D1894" w14:textId="31D5182C" w:rsidR="005970B6" w:rsidRPr="002D60D7" w:rsidRDefault="005970B6" w:rsidP="004C445F">
            <w:pPr>
              <w:suppressAutoHyphens/>
              <w:autoSpaceDE w:val="0"/>
              <w:autoSpaceDN w:val="0"/>
              <w:adjustRightInd w:val="0"/>
              <w:rPr>
                <w:b/>
                <w:bCs/>
                <w:sz w:val="24"/>
                <w:u w:val="single"/>
                <w:rFonts w:ascii="Times New Roman" w:hAnsi="Times New Roman"/>
              </w:rPr>
            </w:pPr>
            <w:r>
              <w:rPr>
                <w:sz w:val="24"/>
                <w:rFonts w:ascii="Times New Roman" w:hAnsi="Times New Roman"/>
              </w:rPr>
              <w:t xml:space="preserve">Exigences de fonds propres visées à l’article 364 du règlement (UE) nº 575/2013 pour tous les facteurs de risque, compte tenu des effets de corrélation, le cas échéant, ainsi que des risques supplémentaires de défaut et de migration et de tous les risques de prix pour le CTP, à l’exclusion toutefois des exigences de fonds propres pour les titrisations et les dérivés de crédit au nième défaut conformément à l’article 364, paragraphe 2, dudit règlement.</w:t>
            </w:r>
            <w:r>
              <w:rPr>
                <w:sz w:val="24"/>
                <w:rFonts w:ascii="Times New Roman" w:hAnsi="Times New Roman"/>
              </w:rPr>
              <w:t xml:space="preserve"> </w:t>
            </w:r>
          </w:p>
        </w:tc>
      </w:tr>
      <w:tr w:rsidR="005970B6" w:rsidRPr="002D60D7" w14:paraId="321F7641" w14:textId="77777777">
        <w:tc>
          <w:tcPr>
            <w:tcW w:w="993" w:type="dxa"/>
          </w:tcPr>
          <w:p w14:paraId="4808EA45"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0130</w:t>
            </w:r>
          </w:p>
        </w:tc>
        <w:tc>
          <w:tcPr>
            <w:tcW w:w="7869" w:type="dxa"/>
          </w:tcPr>
          <w:p w14:paraId="191025B9" w14:textId="77777777" w:rsidR="005970B6" w:rsidRPr="002D60D7" w:rsidRDefault="005970B6"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MONTANT TOTAL D’EXPOSITION AU RISQUE</w:t>
            </w:r>
          </w:p>
          <w:p w14:paraId="1B83D6B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2BD10046" w14:textId="2F594400"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Article 92, paragraphe 6, point b), du règlement (UE) nº 575/2013.</w:t>
            </w:r>
            <w:r>
              <w:rPr>
                <w:sz w:val="24"/>
                <w:rFonts w:ascii="Times New Roman" w:hAnsi="Times New Roman"/>
              </w:rPr>
              <w:t xml:space="preserve"> </w:t>
            </w:r>
          </w:p>
          <w:p w14:paraId="0C045673" w14:textId="570D1A63"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Résultat de la multiplication par 12,5 des exigences de fonds propres.</w:t>
            </w:r>
          </w:p>
          <w:p w14:paraId="1D75252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30D32EA" w14:textId="77777777">
        <w:tc>
          <w:tcPr>
            <w:tcW w:w="993" w:type="dxa"/>
          </w:tcPr>
          <w:p w14:paraId="7C0865B7"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0140</w:t>
            </w:r>
          </w:p>
        </w:tc>
        <w:tc>
          <w:tcPr>
            <w:tcW w:w="7869" w:type="dxa"/>
          </w:tcPr>
          <w:p w14:paraId="69330FF8" w14:textId="77777777" w:rsidR="005970B6" w:rsidRPr="002D60D7" w:rsidRDefault="005970B6" w:rsidP="004C445F">
            <w:pPr>
              <w:suppressAutoHyphens/>
              <w:autoSpaceDE w:val="0"/>
              <w:autoSpaceDN w:val="0"/>
              <w:adjustRightInd w:val="0"/>
              <w:spacing w:before="0"/>
              <w:rPr>
                <w:b/>
                <w:bCs/>
                <w:sz w:val="24"/>
                <w:u w:val="single"/>
                <w:rFonts w:ascii="Times New Roman" w:hAnsi="Times New Roman"/>
              </w:rPr>
            </w:pPr>
            <w:r>
              <w:rPr>
                <w:b/>
                <w:sz w:val="24"/>
                <w:u w:val="single"/>
                <w:rFonts w:ascii="Times New Roman" w:hAnsi="Times New Roman"/>
              </w:rPr>
              <w:t xml:space="preserve">Nombre de dépassements (au cours des 250 derniers jours ouvrés)</w:t>
            </w:r>
          </w:p>
          <w:p w14:paraId="66F88BE9" w14:textId="77777777" w:rsidR="005970B6" w:rsidRPr="002D60D7" w:rsidRDefault="005970B6" w:rsidP="004C445F">
            <w:pPr>
              <w:suppressAutoHyphens/>
              <w:autoSpaceDE w:val="0"/>
              <w:autoSpaceDN w:val="0"/>
              <w:adjustRightInd w:val="0"/>
              <w:spacing w:before="0"/>
              <w:rPr>
                <w:sz w:val="24"/>
                <w:rFonts w:ascii="Times New Roman" w:hAnsi="Times New Roman"/>
              </w:rPr>
            </w:pPr>
            <w:r>
              <w:rPr>
                <w:sz w:val="24"/>
                <w:rFonts w:ascii="Times New Roman" w:hAnsi="Times New Roman"/>
              </w:rPr>
              <w:t xml:space="preserve">Visés à l’article 366 du règlement (UE) nº 575/2013.</w:t>
            </w:r>
          </w:p>
          <w:p w14:paraId="681C5C48" w14:textId="5946ADCD" w:rsidR="005970B6" w:rsidRPr="002D60D7" w:rsidRDefault="005970B6" w:rsidP="004C445F">
            <w:pPr>
              <w:suppressAutoHyphens/>
              <w:autoSpaceDE w:val="0"/>
              <w:autoSpaceDN w:val="0"/>
              <w:adjustRightInd w:val="0"/>
              <w:spacing w:before="0"/>
              <w:rPr>
                <w:b/>
                <w:bCs/>
                <w:sz w:val="24"/>
                <w:u w:val="single"/>
                <w:rFonts w:ascii="Times New Roman" w:hAnsi="Times New Roman"/>
              </w:rPr>
            </w:pPr>
            <w:r>
              <w:rPr>
                <w:sz w:val="24"/>
                <w:rFonts w:ascii="Times New Roman" w:hAnsi="Times New Roman"/>
              </w:rPr>
              <w:t xml:space="preserve">L’établissement indique ici le nombre de dépassements sur la base duquel le cumulateur est déterminé.</w:t>
            </w:r>
            <w:r>
              <w:rPr>
                <w:sz w:val="24"/>
                <w:rFonts w:ascii="Times New Roman" w:hAnsi="Times New Roman"/>
              </w:rPr>
              <w:t xml:space="preserve"> </w:t>
            </w:r>
            <w:r>
              <w:rPr>
                <w:sz w:val="24"/>
                <w:rFonts w:ascii="Times New Roman" w:hAnsi="Times New Roman"/>
              </w:rPr>
              <w:t xml:space="preserve">Si les entreprises d’investissement sont autorisées, en vertu de l’article 500 </w:t>
            </w:r>
            <w:r>
              <w:rPr>
                <w:sz w:val="24"/>
                <w:i/>
                <w:rFonts w:ascii="Times New Roman" w:hAnsi="Times New Roman"/>
              </w:rPr>
              <w:t xml:space="preserve">quater</w:t>
            </w:r>
            <w:r>
              <w:rPr>
                <w:sz w:val="24"/>
                <w:rFonts w:ascii="Times New Roman" w:hAnsi="Times New Roman"/>
              </w:rPr>
              <w:t xml:space="preserve"> du règlement (UE) nº 575/2013, à exclure certains dépassements du calcul du cumulateur, le nombre de dépassements déclaré dans cette colonne doit être net de ces dépassements exclus.</w:t>
            </w:r>
          </w:p>
        </w:tc>
      </w:tr>
      <w:tr w:rsidR="005970B6" w:rsidRPr="002D60D7" w14:paraId="44599020" w14:textId="77777777">
        <w:tc>
          <w:tcPr>
            <w:tcW w:w="993" w:type="dxa"/>
          </w:tcPr>
          <w:p w14:paraId="4C66FF0B"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0150-0160</w:t>
            </w:r>
          </w:p>
        </w:tc>
        <w:tc>
          <w:tcPr>
            <w:tcW w:w="7869" w:type="dxa"/>
          </w:tcPr>
          <w:p w14:paraId="26532024" w14:textId="77777777" w:rsidR="005970B6" w:rsidRPr="002D60D7" w:rsidRDefault="005970B6" w:rsidP="004C445F">
            <w:pPr>
              <w:suppressAutoHyphens/>
              <w:autoSpaceDE w:val="0"/>
              <w:autoSpaceDN w:val="0"/>
              <w:adjustRightInd w:val="0"/>
              <w:spacing w:before="0"/>
              <w:rPr>
                <w:b/>
                <w:bCs/>
                <w:sz w:val="24"/>
                <w:u w:val="single"/>
                <w:rFonts w:ascii="Times New Roman" w:hAnsi="Times New Roman"/>
              </w:rPr>
            </w:pPr>
            <w:r>
              <w:rPr>
                <w:b/>
                <w:sz w:val="24"/>
                <w:u w:val="single"/>
                <w:rFonts w:ascii="Times New Roman" w:hAnsi="Times New Roman"/>
              </w:rPr>
              <w:t xml:space="preserve">Facteur de multiplication de la valeur en risque (mc) et facteur de multiplication de la valeur en risque en situation de tensions (ms)</w:t>
            </w:r>
          </w:p>
          <w:p w14:paraId="5E04C211" w14:textId="77777777" w:rsidR="005970B6" w:rsidRPr="002D60D7" w:rsidRDefault="005970B6" w:rsidP="004C445F">
            <w:pPr>
              <w:suppressAutoHyphens/>
              <w:autoSpaceDE w:val="0"/>
              <w:autoSpaceDN w:val="0"/>
              <w:adjustRightInd w:val="0"/>
              <w:spacing w:before="0"/>
              <w:rPr>
                <w:sz w:val="24"/>
                <w:rFonts w:ascii="Times New Roman" w:hAnsi="Times New Roman"/>
              </w:rPr>
            </w:pPr>
            <w:r>
              <w:rPr>
                <w:sz w:val="24"/>
                <w:rFonts w:ascii="Times New Roman" w:hAnsi="Times New Roman"/>
              </w:rPr>
              <w:t xml:space="preserve">Comme indiqué à l’article 366 du règlement (UE) nº 575/2013.</w:t>
            </w:r>
          </w:p>
          <w:p w14:paraId="779600D5" w14:textId="77777777" w:rsidR="005970B6" w:rsidRPr="002D60D7" w:rsidRDefault="005970B6" w:rsidP="004C445F">
            <w:pPr>
              <w:suppressAutoHyphens/>
              <w:autoSpaceDE w:val="0"/>
              <w:autoSpaceDN w:val="0"/>
              <w:adjustRightInd w:val="0"/>
              <w:spacing w:before="0" w:after="0"/>
              <w:rPr>
                <w:rStyle w:val="InstructionsTabelleberschrift"/>
              </w:rPr>
            </w:pPr>
            <w:r>
              <w:rPr>
                <w:sz w:val="24"/>
                <w:rFonts w:ascii="Times New Roman" w:hAnsi="Times New Roman"/>
              </w:rPr>
              <w:t xml:space="preserve">Les facteurs de multiplication effectivement applicables pour le calcul des exigences de fonds propres sont déclarés;</w:t>
            </w:r>
            <w:r>
              <w:rPr>
                <w:sz w:val="24"/>
                <w:rFonts w:ascii="Times New Roman" w:hAnsi="Times New Roman"/>
              </w:rPr>
              <w:t xml:space="preserve"> </w:t>
            </w:r>
            <w:r>
              <w:rPr>
                <w:sz w:val="24"/>
                <w:rFonts w:ascii="Times New Roman" w:hAnsi="Times New Roman"/>
              </w:rPr>
              <w:t xml:space="preserve">le cas échéant, après application de l’article 500 </w:t>
            </w:r>
            <w:r>
              <w:rPr>
                <w:sz w:val="24"/>
                <w:i/>
                <w:rFonts w:ascii="Times New Roman" w:hAnsi="Times New Roman"/>
              </w:rPr>
              <w:t xml:space="preserve">quater</w:t>
            </w:r>
            <w:r>
              <w:rPr>
                <w:sz w:val="24"/>
                <w:rFonts w:ascii="Times New Roman" w:hAnsi="Times New Roman"/>
              </w:rPr>
              <w:t xml:space="preserve"> du règlement (UE) nº 575/2013.</w:t>
            </w:r>
          </w:p>
          <w:p w14:paraId="50AAD27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tc>
      </w:tr>
      <w:tr w:rsidR="005970B6" w:rsidRPr="002D60D7" w14:paraId="470DEC4A" w14:textId="77777777">
        <w:tc>
          <w:tcPr>
            <w:tcW w:w="993" w:type="dxa"/>
          </w:tcPr>
          <w:p w14:paraId="3AFAF47E"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0170-0180</w:t>
            </w:r>
          </w:p>
        </w:tc>
        <w:tc>
          <w:tcPr>
            <w:tcW w:w="7869" w:type="dxa"/>
          </w:tcPr>
          <w:p w14:paraId="48824995" w14:textId="77777777" w:rsidR="005970B6" w:rsidRPr="002D60D7" w:rsidRDefault="005970B6"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EXIGENCE PRÉSUMÉE POUR LE PLANCHER DU PORTEFEUILLE DE NÉGOCIATION EN CORRÉLATION - POSITIONS LONGUES/COURTES NETTES PONDÉRÉES APRÈS APPLICATION DU PLAFOND</w:t>
            </w:r>
          </w:p>
          <w:p w14:paraId="494DC1BB" w14:textId="2CBA2FF8" w:rsidR="005970B6" w:rsidRPr="002D60D7" w:rsidRDefault="005970B6" w:rsidP="004C445F">
            <w:pPr>
              <w:suppressAutoHyphens/>
              <w:autoSpaceDE w:val="0"/>
              <w:autoSpaceDN w:val="0"/>
              <w:adjustRightInd w:val="0"/>
              <w:rPr>
                <w:rStyle w:val="InstructionsTabelleberschrift"/>
                <w:sz w:val="24"/>
                <w:rFonts w:ascii="Times New Roman" w:hAnsi="Times New Roman"/>
              </w:rPr>
            </w:pPr>
            <w:r>
              <w:rPr>
                <w:sz w:val="24"/>
                <w:rFonts w:ascii="Times New Roman" w:hAnsi="Times New Roman"/>
              </w:rPr>
              <w:t xml:space="preserve">Le montant déclaré, qui sert de base au calcul de l’exigence plancher de fonds propres pour tous les risques de prix, conformément à l’article 364, paragraphe 3, point c), du règlement (UE) nº 575/2013, compte tenu de la marge d’appréciation établie à l’article 335 dudit règlement, qui dispose qu’un établissement peut plafonner le produit de la pondération et de la position nette à la perte maximale possible liée à un défaut.</w:t>
            </w:r>
            <w:r>
              <w:rPr>
                <w:sz w:val="24"/>
                <w:rFonts w:ascii="Times New Roman" w:hAnsi="Times New Roman"/>
              </w:rPr>
              <w:t xml:space="preserve"> </w:t>
            </w:r>
          </w:p>
        </w:tc>
      </w:tr>
    </w:tbl>
    <w:p w14:paraId="7C2EA60D" w14:textId="77777777" w:rsidR="005970B6" w:rsidRPr="002D60D7" w:rsidRDefault="005970B6" w:rsidP="004C445F">
      <w:pPr>
        <w:suppressAutoHyphens/>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03"/>
      </w:tblGrid>
      <w:tr w:rsidR="005970B6" w:rsidRPr="002D60D7" w14:paraId="708AEEEE" w14:textId="77777777" w:rsidTr="00332B2A">
        <w:trPr>
          <w:trHeight w:val="566"/>
        </w:trPr>
        <w:tc>
          <w:tcPr>
            <w:tcW w:w="8896" w:type="dxa"/>
            <w:gridSpan w:val="2"/>
            <w:shd w:val="clear" w:color="auto" w:fill="CCCCCC"/>
          </w:tcPr>
          <w:p w14:paraId="24A53264" w14:textId="77777777" w:rsidR="005970B6" w:rsidRPr="002D60D7" w:rsidRDefault="005970B6" w:rsidP="004C445F">
            <w:pPr>
              <w:suppressAutoHyphens/>
              <w:autoSpaceDE w:val="0"/>
              <w:autoSpaceDN w:val="0"/>
              <w:adjustRightInd w:val="0"/>
              <w:spacing w:after="0"/>
              <w:rPr>
                <w:b/>
                <w:sz w:val="24"/>
                <w:rFonts w:ascii="Times New Roman" w:hAnsi="Times New Roman"/>
              </w:rPr>
            </w:pPr>
            <w:r>
              <w:rPr>
                <w:b/>
                <w:sz w:val="24"/>
                <w:rFonts w:ascii="Times New Roman" w:hAnsi="Times New Roman"/>
              </w:rPr>
              <w:t xml:space="preserve">Lignes</w:t>
            </w:r>
          </w:p>
        </w:tc>
      </w:tr>
      <w:tr w:rsidR="005970B6" w:rsidRPr="002D60D7" w14:paraId="02CF19A0" w14:textId="77777777" w:rsidTr="00332B2A">
        <w:tc>
          <w:tcPr>
            <w:tcW w:w="993" w:type="dxa"/>
          </w:tcPr>
          <w:p w14:paraId="1CFD210A"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0010</w:t>
            </w:r>
          </w:p>
        </w:tc>
        <w:tc>
          <w:tcPr>
            <w:tcW w:w="7903" w:type="dxa"/>
          </w:tcPr>
          <w:p w14:paraId="35E94AC9" w14:textId="77777777" w:rsidR="005970B6" w:rsidRPr="002D60D7" w:rsidRDefault="005970B6"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TOTAL DES POSITIONS</w:t>
            </w:r>
          </w:p>
          <w:p w14:paraId="51E6C5C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1D3F3FF0" w14:textId="7DCEF510" w:rsidR="005970B6" w:rsidRPr="002D60D7" w:rsidRDefault="005970B6" w:rsidP="004C445F">
            <w:pPr>
              <w:suppressAutoHyphens/>
              <w:autoSpaceDE w:val="0"/>
              <w:autoSpaceDN w:val="0"/>
              <w:adjustRightInd w:val="0"/>
              <w:spacing w:before="0"/>
              <w:rPr>
                <w:sz w:val="24"/>
                <w:rFonts w:ascii="Times New Roman" w:hAnsi="Times New Roman"/>
              </w:rPr>
            </w:pPr>
            <w:r>
              <w:rPr>
                <w:sz w:val="24"/>
                <w:rFonts w:ascii="Times New Roman" w:hAnsi="Times New Roman"/>
              </w:rPr>
              <w:t xml:space="preserve">Correspond à la portion du risque de position, du risque de change et du risque sur matières premières, visés à l’article 363, paragraphe 1, du règlement (UE) nº 575/2013, liée aux facteurs de risque visés à l’article 367, paragraphe 2, dudit règlement.</w:t>
            </w:r>
          </w:p>
          <w:p w14:paraId="1E849456"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En ce qui concerne les colonnes 0030 à 0060 (VaR et sVaR), les chiffres de la ligne du total ne sont pas égaux à la décomposition des chiffres pour la VaR/sVaR des composantes de risque pertinentes.</w:t>
            </w:r>
          </w:p>
          <w:p w14:paraId="5F3B58EB"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fr-FR"/>
              </w:rPr>
            </w:pPr>
          </w:p>
        </w:tc>
      </w:tr>
      <w:tr w:rsidR="005970B6" w:rsidRPr="002D60D7" w14:paraId="38DA43E4" w14:textId="77777777" w:rsidTr="00332B2A">
        <w:tc>
          <w:tcPr>
            <w:tcW w:w="993" w:type="dxa"/>
          </w:tcPr>
          <w:p w14:paraId="5E16B1F7"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0020</w:t>
            </w:r>
          </w:p>
        </w:tc>
        <w:tc>
          <w:tcPr>
            <w:tcW w:w="7903" w:type="dxa"/>
          </w:tcPr>
          <w:p w14:paraId="27B63C55" w14:textId="77777777" w:rsidR="005970B6" w:rsidRPr="002D60D7" w:rsidRDefault="005970B6"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TITRES DE CRÉANCE NÉGOCIÉS</w:t>
            </w:r>
          </w:p>
          <w:p w14:paraId="15354D11" w14:textId="079C5AF5" w:rsidR="005970B6" w:rsidRPr="002D60D7" w:rsidRDefault="005970B6" w:rsidP="004C445F">
            <w:pPr>
              <w:suppressAutoHyphens/>
              <w:autoSpaceDE w:val="0"/>
              <w:autoSpaceDN w:val="0"/>
              <w:adjustRightInd w:val="0"/>
              <w:rPr>
                <w:sz w:val="24"/>
                <w:rFonts w:ascii="Times New Roman" w:hAnsi="Times New Roman"/>
              </w:rPr>
            </w:pPr>
            <w:r>
              <w:rPr>
                <w:sz w:val="24"/>
                <w:rFonts w:ascii="Times New Roman" w:hAnsi="Times New Roman"/>
              </w:rPr>
              <w:t xml:space="preserve">Correspond à la portion du risque de position visé à l’article 363, paragraphe 1, du règlement (UE) nº 575/2013 qui est liée aux facteurs de risque de taux d’intérêt visés à l’article 367, paragraphe 2, point a), dudit règlement.</w:t>
            </w:r>
          </w:p>
        </w:tc>
      </w:tr>
      <w:tr w:rsidR="005970B6" w:rsidRPr="002D60D7" w14:paraId="49E5F163" w14:textId="77777777" w:rsidTr="00332B2A">
        <w:tc>
          <w:tcPr>
            <w:tcW w:w="993" w:type="dxa"/>
          </w:tcPr>
          <w:p w14:paraId="286B5CF1"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0030</w:t>
            </w:r>
          </w:p>
        </w:tc>
        <w:tc>
          <w:tcPr>
            <w:tcW w:w="7903" w:type="dxa"/>
          </w:tcPr>
          <w:p w14:paraId="39D95E98" w14:textId="77777777" w:rsidR="005970B6" w:rsidRPr="002D60D7" w:rsidRDefault="005970B6"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TITRES DE CRÉANCE NÉGOCIÉS – RISQUE GÉNÉRAL</w:t>
            </w:r>
          </w:p>
          <w:p w14:paraId="630ECD46" w14:textId="77777777" w:rsidR="005970B6" w:rsidRPr="002D60D7" w:rsidRDefault="005970B6" w:rsidP="004C445F">
            <w:pPr>
              <w:suppressAutoHyphens/>
              <w:autoSpaceDE w:val="0"/>
              <w:autoSpaceDN w:val="0"/>
              <w:adjustRightInd w:val="0"/>
              <w:rPr>
                <w:sz w:val="24"/>
                <w:rFonts w:ascii="Times New Roman" w:hAnsi="Times New Roman"/>
              </w:rPr>
            </w:pPr>
            <w:r>
              <w:rPr>
                <w:sz w:val="24"/>
                <w:rFonts w:ascii="Times New Roman" w:hAnsi="Times New Roman"/>
              </w:rPr>
              <w:t xml:space="preserve">Composante “risque général” visée à l’article 362 du règlement (UE) nº 575/2013.</w:t>
            </w:r>
            <w:r>
              <w:rPr>
                <w:sz w:val="24"/>
                <w:rFonts w:ascii="Times New Roman" w:hAnsi="Times New Roman"/>
              </w:rPr>
              <w:t xml:space="preserve"> </w:t>
            </w:r>
          </w:p>
        </w:tc>
      </w:tr>
      <w:tr w:rsidR="005970B6" w:rsidRPr="002D60D7" w14:paraId="2085F588" w14:textId="77777777" w:rsidTr="00332B2A">
        <w:tc>
          <w:tcPr>
            <w:tcW w:w="993" w:type="dxa"/>
          </w:tcPr>
          <w:p w14:paraId="156A3F94"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0040</w:t>
            </w:r>
          </w:p>
        </w:tc>
        <w:tc>
          <w:tcPr>
            <w:tcW w:w="7903" w:type="dxa"/>
          </w:tcPr>
          <w:p w14:paraId="2815D7B9" w14:textId="77777777" w:rsidR="005970B6" w:rsidRPr="002D60D7" w:rsidRDefault="005970B6"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TITRES DE CRÉANCE NÉGOCIÉS – RISQUE SPÉCIFIQUE</w:t>
            </w:r>
          </w:p>
          <w:p w14:paraId="6901AE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0092F321" w14:textId="77777777" w:rsidR="005970B6" w:rsidRPr="002D60D7" w:rsidRDefault="005970B6" w:rsidP="004C445F">
            <w:pPr>
              <w:suppressAutoHyphens/>
              <w:autoSpaceDE w:val="0"/>
              <w:autoSpaceDN w:val="0"/>
              <w:adjustRightInd w:val="0"/>
              <w:rPr>
                <w:b/>
                <w:bCs/>
                <w:sz w:val="24"/>
                <w:u w:val="single"/>
                <w:rFonts w:ascii="Times New Roman" w:hAnsi="Times New Roman"/>
              </w:rPr>
            </w:pPr>
            <w:r>
              <w:rPr>
                <w:sz w:val="24"/>
                <w:rFonts w:ascii="Times New Roman" w:hAnsi="Times New Roman"/>
              </w:rPr>
              <w:t xml:space="preserve">Composante “risque spécifique” visée à l’article 362 du règlement (UE) nº 575/2013.</w:t>
            </w:r>
            <w:r>
              <w:rPr>
                <w:sz w:val="24"/>
                <w:rFonts w:ascii="Times New Roman" w:hAnsi="Times New Roman"/>
              </w:rPr>
              <w:t xml:space="preserve"> </w:t>
            </w:r>
          </w:p>
        </w:tc>
      </w:tr>
      <w:tr w:rsidR="005970B6" w:rsidRPr="002D60D7" w14:paraId="3B749D99" w14:textId="77777777" w:rsidTr="00332B2A">
        <w:tc>
          <w:tcPr>
            <w:tcW w:w="993" w:type="dxa"/>
          </w:tcPr>
          <w:p w14:paraId="4E293341"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0050</w:t>
            </w:r>
          </w:p>
        </w:tc>
        <w:tc>
          <w:tcPr>
            <w:tcW w:w="7903" w:type="dxa"/>
          </w:tcPr>
          <w:p w14:paraId="1DA02995" w14:textId="77777777" w:rsidR="005970B6" w:rsidRPr="002D60D7" w:rsidRDefault="005970B6"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ACTIONS</w:t>
            </w:r>
          </w:p>
          <w:p w14:paraId="2467F6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436B16C8" w14:textId="145A0B19"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Correspond à la portion du risque de position visé à l’article 363, paragraphe 1, du règlement (UE) nº 575/2013 qui est liée aux facteurs de risque sur actions visés à l’article 367, paragraphe 2, point c), dudit règlement.</w:t>
            </w:r>
            <w:r>
              <w:rPr>
                <w:sz w:val="24"/>
                <w:rFonts w:ascii="Times New Roman" w:hAnsi="Times New Roman"/>
              </w:rPr>
              <w:t xml:space="preserve"> </w:t>
            </w:r>
          </w:p>
          <w:p w14:paraId="7E55C50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B6B921A" w14:textId="77777777" w:rsidTr="00332B2A">
        <w:tc>
          <w:tcPr>
            <w:tcW w:w="993" w:type="dxa"/>
          </w:tcPr>
          <w:p w14:paraId="03CEBA65"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0060</w:t>
            </w:r>
          </w:p>
        </w:tc>
        <w:tc>
          <w:tcPr>
            <w:tcW w:w="7903" w:type="dxa"/>
          </w:tcPr>
          <w:p w14:paraId="2CD176EE" w14:textId="77777777" w:rsidR="005970B6" w:rsidRPr="002D60D7" w:rsidRDefault="005970B6"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ACTIONS – RISQUE GÉNÉRAL</w:t>
            </w:r>
          </w:p>
          <w:p w14:paraId="7ACC51D0" w14:textId="77777777" w:rsidR="005970B6" w:rsidRPr="002D60D7" w:rsidRDefault="005970B6" w:rsidP="004C445F">
            <w:pPr>
              <w:suppressAutoHyphens/>
              <w:autoSpaceDE w:val="0"/>
              <w:autoSpaceDN w:val="0"/>
              <w:adjustRightInd w:val="0"/>
              <w:rPr>
                <w:b/>
                <w:bCs/>
                <w:sz w:val="24"/>
                <w:u w:val="single"/>
                <w:rFonts w:ascii="Times New Roman" w:hAnsi="Times New Roman"/>
              </w:rPr>
            </w:pPr>
            <w:r>
              <w:rPr>
                <w:sz w:val="24"/>
                <w:rFonts w:ascii="Times New Roman" w:hAnsi="Times New Roman"/>
              </w:rPr>
              <w:t xml:space="preserve">Composante “risque général” visée à l’article 362 du règlement (UE) nº 575/2013.</w:t>
            </w:r>
          </w:p>
        </w:tc>
      </w:tr>
      <w:tr w:rsidR="005970B6" w:rsidRPr="002D60D7" w14:paraId="50D0A347" w14:textId="77777777" w:rsidTr="00332B2A">
        <w:tc>
          <w:tcPr>
            <w:tcW w:w="993" w:type="dxa"/>
          </w:tcPr>
          <w:p w14:paraId="38D09489"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0070</w:t>
            </w:r>
          </w:p>
        </w:tc>
        <w:tc>
          <w:tcPr>
            <w:tcW w:w="7903" w:type="dxa"/>
          </w:tcPr>
          <w:p w14:paraId="34DF223D" w14:textId="77777777" w:rsidR="005970B6" w:rsidRPr="002D60D7" w:rsidRDefault="005970B6"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ACTIONS – RISQUE SPÉCIFIQUE</w:t>
            </w:r>
          </w:p>
          <w:p w14:paraId="6F314929" w14:textId="77777777" w:rsidR="005970B6" w:rsidRPr="002D60D7" w:rsidRDefault="005970B6" w:rsidP="004C445F">
            <w:pPr>
              <w:suppressAutoHyphens/>
              <w:autoSpaceDE w:val="0"/>
              <w:autoSpaceDN w:val="0"/>
              <w:adjustRightInd w:val="0"/>
              <w:rPr>
                <w:b/>
                <w:bCs/>
                <w:sz w:val="24"/>
                <w:u w:val="single"/>
                <w:rFonts w:ascii="Times New Roman" w:hAnsi="Times New Roman"/>
              </w:rPr>
            </w:pPr>
            <w:r>
              <w:rPr>
                <w:sz w:val="24"/>
                <w:rFonts w:ascii="Times New Roman" w:hAnsi="Times New Roman"/>
              </w:rPr>
              <w:t xml:space="preserve">Composante “risque spécifique” visée à l’article 362 du règlement (UE) nº 575/2013.</w:t>
            </w:r>
            <w:r>
              <w:rPr>
                <w:sz w:val="24"/>
                <w:rFonts w:ascii="Times New Roman" w:hAnsi="Times New Roman"/>
              </w:rPr>
              <w:t xml:space="preserve"> </w:t>
            </w:r>
          </w:p>
        </w:tc>
      </w:tr>
      <w:tr w:rsidR="005970B6" w:rsidRPr="002D60D7" w14:paraId="5B986D45" w14:textId="77777777" w:rsidTr="00332B2A">
        <w:tc>
          <w:tcPr>
            <w:tcW w:w="993" w:type="dxa"/>
          </w:tcPr>
          <w:p w14:paraId="6F14BE85"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0080</w:t>
            </w:r>
          </w:p>
        </w:tc>
        <w:tc>
          <w:tcPr>
            <w:tcW w:w="7903" w:type="dxa"/>
          </w:tcPr>
          <w:p w14:paraId="09DDEB75" w14:textId="77777777" w:rsidR="005970B6" w:rsidRPr="002D60D7" w:rsidRDefault="005970B6"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RISQUE DE CHANGE</w:t>
            </w:r>
          </w:p>
          <w:p w14:paraId="219E93CA" w14:textId="77777777" w:rsidR="005970B6" w:rsidRPr="002D60D7" w:rsidRDefault="005970B6" w:rsidP="004C445F">
            <w:pPr>
              <w:suppressAutoHyphens/>
              <w:autoSpaceDE w:val="0"/>
              <w:autoSpaceDN w:val="0"/>
              <w:adjustRightInd w:val="0"/>
              <w:rPr>
                <w:b/>
                <w:bCs/>
                <w:sz w:val="24"/>
                <w:u w:val="single"/>
                <w:rFonts w:ascii="Times New Roman" w:hAnsi="Times New Roman"/>
              </w:rPr>
            </w:pPr>
            <w:r>
              <w:rPr>
                <w:sz w:val="24"/>
                <w:rFonts w:ascii="Times New Roman" w:hAnsi="Times New Roman"/>
              </w:rPr>
              <w:t xml:space="preserve">Article 363, paragraphe 1, et article 367, paragraphe 2, point b), du règlement (UE) nº 575/2013.</w:t>
            </w:r>
          </w:p>
        </w:tc>
      </w:tr>
      <w:tr w:rsidR="005970B6" w:rsidRPr="002D60D7" w14:paraId="6242B7DB" w14:textId="77777777" w:rsidTr="00332B2A">
        <w:tc>
          <w:tcPr>
            <w:tcW w:w="993" w:type="dxa"/>
          </w:tcPr>
          <w:p w14:paraId="01A4D573"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0090</w:t>
            </w:r>
          </w:p>
        </w:tc>
        <w:tc>
          <w:tcPr>
            <w:tcW w:w="7903" w:type="dxa"/>
          </w:tcPr>
          <w:p w14:paraId="2B9D470A" w14:textId="77777777" w:rsidR="005970B6" w:rsidRPr="002D60D7" w:rsidRDefault="005970B6"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RISQUE SUR MATIÈRES PREMIÈRES</w:t>
            </w:r>
          </w:p>
          <w:p w14:paraId="4BBB0F31" w14:textId="4679FFC1" w:rsidR="005970B6" w:rsidRPr="002D60D7" w:rsidRDefault="005970B6" w:rsidP="004C445F">
            <w:pPr>
              <w:suppressAutoHyphens/>
              <w:autoSpaceDE w:val="0"/>
              <w:autoSpaceDN w:val="0"/>
              <w:adjustRightInd w:val="0"/>
              <w:rPr>
                <w:b/>
                <w:bCs/>
                <w:sz w:val="24"/>
                <w:u w:val="single"/>
                <w:rFonts w:ascii="Times New Roman" w:hAnsi="Times New Roman"/>
              </w:rPr>
            </w:pPr>
            <w:r>
              <w:rPr>
                <w:sz w:val="24"/>
                <w:rFonts w:ascii="Times New Roman" w:hAnsi="Times New Roman"/>
              </w:rPr>
              <w:t xml:space="preserve">Article 363, paragraphe 1, et article 367, paragraphe 2, point d), du règlement (UE) nº 575/2013.</w:t>
            </w:r>
            <w:r>
              <w:rPr>
                <w:sz w:val="24"/>
                <w:rFonts w:ascii="Times New Roman" w:hAnsi="Times New Roman"/>
              </w:rPr>
              <w:t xml:space="preserve"> </w:t>
            </w:r>
          </w:p>
        </w:tc>
      </w:tr>
      <w:tr w:rsidR="005970B6" w:rsidRPr="002D60D7" w14:paraId="5165C26D" w14:textId="77777777" w:rsidTr="00332B2A">
        <w:tc>
          <w:tcPr>
            <w:tcW w:w="993" w:type="dxa"/>
          </w:tcPr>
          <w:p w14:paraId="3494480B"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0100</w:t>
            </w:r>
          </w:p>
        </w:tc>
        <w:tc>
          <w:tcPr>
            <w:tcW w:w="7903" w:type="dxa"/>
          </w:tcPr>
          <w:p w14:paraId="379C8EA9" w14:textId="77777777" w:rsidR="005970B6" w:rsidRPr="002D60D7" w:rsidRDefault="005970B6"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MONTANT TOTAL RISQUE GÉNÉRAL</w:t>
            </w:r>
          </w:p>
          <w:p w14:paraId="0C19B9D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1FC56A2" w14:textId="77777777" w:rsidR="005970B6" w:rsidRPr="002D60D7" w:rsidRDefault="005970B6" w:rsidP="004C445F">
            <w:pPr>
              <w:suppressAutoHyphens/>
              <w:autoSpaceDE w:val="0"/>
              <w:autoSpaceDN w:val="0"/>
              <w:adjustRightInd w:val="0"/>
              <w:spacing w:before="0" w:after="0"/>
              <w:rPr>
                <w:b/>
                <w:bCs/>
                <w:sz w:val="24"/>
                <w:u w:val="single"/>
                <w:rFonts w:ascii="Times New Roman" w:hAnsi="Times New Roman"/>
              </w:rPr>
            </w:pPr>
            <w:r>
              <w:rPr>
                <w:rStyle w:val="InstructionsTabelleText"/>
                <w:sz w:val="24"/>
                <w:rFonts w:ascii="Times New Roman" w:hAnsi="Times New Roman"/>
              </w:rPr>
              <w:t xml:space="preserve">Risque de marché provoqué par des mouvements généraux des marchés des titres de créance négociés, des actions, des changes et des matières premières.</w:t>
            </w:r>
            <w:r>
              <w:rPr>
                <w:rStyle w:val="InstructionsTabelleText"/>
                <w:sz w:val="24"/>
                <w:rFonts w:ascii="Times New Roman" w:hAnsi="Times New Roman"/>
              </w:rPr>
              <w:t xml:space="preserve"> </w:t>
            </w:r>
            <w:r>
              <w:rPr>
                <w:rStyle w:val="InstructionsTabelleText"/>
                <w:sz w:val="24"/>
                <w:rFonts w:ascii="Times New Roman" w:hAnsi="Times New Roman"/>
              </w:rPr>
              <w:t xml:space="preserve">VaR pour risque général de tous les facteurs de risque (compte tenu des effets de corrélation, le cas échéant).</w:t>
            </w:r>
            <w:r>
              <w:rPr>
                <w:rStyle w:val="InstructionsTabelleText"/>
                <w:sz w:val="24"/>
                <w:rFonts w:ascii="Times New Roman" w:hAnsi="Times New Roman"/>
              </w:rPr>
              <w:t xml:space="preserve"> </w:t>
            </w:r>
          </w:p>
          <w:p w14:paraId="58946EA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696301" w14:paraId="5EA545F0" w14:textId="77777777" w:rsidTr="00332B2A">
        <w:tc>
          <w:tcPr>
            <w:tcW w:w="993" w:type="dxa"/>
          </w:tcPr>
          <w:p w14:paraId="47E0AD8F" w14:textId="77777777" w:rsidR="005970B6" w:rsidRPr="002D60D7" w:rsidRDefault="005970B6" w:rsidP="004C445F">
            <w:pPr>
              <w:suppressAutoHyphens/>
              <w:autoSpaceDE w:val="0"/>
              <w:autoSpaceDN w:val="0"/>
              <w:adjustRightInd w:val="0"/>
              <w:spacing w:before="0" w:after="0"/>
              <w:rPr>
                <w:sz w:val="24"/>
                <w:rFonts w:ascii="Times New Roman" w:hAnsi="Times New Roman"/>
              </w:rPr>
            </w:pPr>
            <w:r>
              <w:rPr>
                <w:sz w:val="24"/>
                <w:rFonts w:ascii="Times New Roman" w:hAnsi="Times New Roman"/>
              </w:rPr>
              <w:t xml:space="preserve">0110</w:t>
            </w:r>
          </w:p>
        </w:tc>
        <w:tc>
          <w:tcPr>
            <w:tcW w:w="7903" w:type="dxa"/>
          </w:tcPr>
          <w:p w14:paraId="116F1840" w14:textId="77777777" w:rsidR="005970B6" w:rsidRPr="002D60D7" w:rsidRDefault="005970B6" w:rsidP="004C445F">
            <w:pPr>
              <w:suppressAutoHyphens/>
              <w:autoSpaceDE w:val="0"/>
              <w:autoSpaceDN w:val="0"/>
              <w:adjustRightInd w:val="0"/>
              <w:spacing w:before="0" w:after="0"/>
              <w:rPr>
                <w:b/>
                <w:bCs/>
                <w:sz w:val="24"/>
                <w:u w:val="single"/>
                <w:rFonts w:ascii="Times New Roman" w:hAnsi="Times New Roman"/>
              </w:rPr>
            </w:pPr>
            <w:r>
              <w:rPr>
                <w:b/>
                <w:sz w:val="24"/>
                <w:u w:val="single"/>
                <w:rFonts w:ascii="Times New Roman" w:hAnsi="Times New Roman"/>
              </w:rPr>
              <w:t xml:space="preserve">MONTANT TOTAL RISQUE SPÉCIFIQUE</w:t>
            </w:r>
          </w:p>
          <w:p w14:paraId="6E0205CC" w14:textId="77777777" w:rsidR="005970B6" w:rsidRPr="00696301" w:rsidRDefault="005970B6" w:rsidP="004C445F">
            <w:pPr>
              <w:suppressAutoHyphens/>
              <w:autoSpaceDE w:val="0"/>
              <w:autoSpaceDN w:val="0"/>
              <w:adjustRightInd w:val="0"/>
              <w:rPr>
                <w:b/>
                <w:bCs/>
                <w:sz w:val="24"/>
                <w:u w:val="single"/>
                <w:rFonts w:ascii="Times New Roman" w:hAnsi="Times New Roman"/>
              </w:rPr>
            </w:pPr>
            <w:r>
              <w:rPr>
                <w:rStyle w:val="InstructionsTabelleText"/>
                <w:sz w:val="24"/>
                <w:rFonts w:ascii="Times New Roman" w:hAnsi="Times New Roman"/>
              </w:rPr>
              <w:t xml:space="preserve">Composante de risque spécifique des titres de créance négociés et des actions.</w:t>
            </w:r>
            <w:r>
              <w:rPr>
                <w:rStyle w:val="InstructionsTabelleText"/>
                <w:sz w:val="24"/>
                <w:rFonts w:ascii="Times New Roman" w:hAnsi="Times New Roman"/>
              </w:rPr>
              <w:t xml:space="preserve"> </w:t>
            </w:r>
            <w:r>
              <w:rPr>
                <w:rStyle w:val="InstructionsTabelleText"/>
                <w:sz w:val="24"/>
                <w:rFonts w:ascii="Times New Roman" w:hAnsi="Times New Roman"/>
              </w:rPr>
              <w:t xml:space="preserve">VaR pour risque spécifique lié aux actions et aux titres de créance négociés du portefeuille de négociation (compte tenu des effets de corrélation, le cas échéant).</w:t>
            </w:r>
          </w:p>
        </w:tc>
      </w:tr>
    </w:tbl>
    <w:p w14:paraId="0578F882" w14:textId="77777777" w:rsidR="005970B6" w:rsidRPr="00696301" w:rsidRDefault="005970B6" w:rsidP="004C445F">
      <w:pPr>
        <w:suppressAutoHyphens/>
        <w:spacing w:before="0" w:after="0"/>
        <w:jc w:val="left"/>
        <w:rPr>
          <w:rStyle w:val="InstructionsTabelleText"/>
          <w:rFonts w:ascii="Times New Roman" w:hAnsi="Times New Roman"/>
          <w:sz w:val="24"/>
        </w:rPr>
      </w:pPr>
    </w:p>
    <w:p w14:paraId="59BBB927" w14:textId="10C25CE3" w:rsidR="00DD00B4" w:rsidRPr="00696301" w:rsidRDefault="0076375E" w:rsidP="004C445F">
      <w:pPr>
        <w:suppressAutoHyphens/>
        <w:spacing w:before="0" w:after="0"/>
        <w:jc w:val="left"/>
        <w:rPr>
          <w:rStyle w:val="InstructionsTabelleText"/>
          <w:sz w:val="24"/>
          <w:rFonts w:ascii="Times New Roman" w:hAnsi="Times New Roman"/>
        </w:rPr>
      </w:pPr>
      <w:r>
        <w:rPr>
          <w:rStyle w:val="InstructionsTabelleText"/>
          <w:sz w:val="24"/>
          <w:rFonts w:ascii="Times New Roman" w:hAnsi="Times New Roman"/>
        </w:rPr>
        <w:t xml:space="preserve">»</w:t>
      </w:r>
    </w:p>
    <w:sectPr w:rsidR="00DD00B4" w:rsidRPr="00696301" w:rsidSect="00B51F42">
      <w:headerReference w:type="even" r:id="rId17"/>
      <w:headerReference w:type="default" r:id="rId18"/>
      <w:footerReference w:type="even" r:id="rId19"/>
      <w:footerReference w:type="default" r:id="rId20"/>
      <w:headerReference w:type="first" r:id="rId21"/>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1557" w14:textId="77777777" w:rsidR="001D7222" w:rsidRDefault="001D7222" w:rsidP="00D946DB">
      <w:pPr>
        <w:spacing w:before="0" w:after="0"/>
      </w:pPr>
      <w:r>
        <w:separator/>
      </w:r>
    </w:p>
  </w:endnote>
  <w:endnote w:type="continuationSeparator" w:id="0">
    <w:p w14:paraId="78405556" w14:textId="77777777" w:rsidR="001D7222" w:rsidRDefault="001D7222" w:rsidP="00D946DB">
      <w:pPr>
        <w:spacing w:before="0" w:after="0"/>
      </w:pPr>
      <w:r>
        <w:continuationSeparator/>
      </w:r>
    </w:p>
  </w:endnote>
  <w:endnote w:type="continuationNotice" w:id="1">
    <w:p w14:paraId="1E4D48D1" w14:textId="77777777" w:rsidR="001D7222" w:rsidRDefault="001D72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6FB1" w14:textId="77777777" w:rsidR="004E7DCF" w:rsidRDefault="004E7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685E" w14:textId="7A2643B3" w:rsidR="00C3070C" w:rsidRPr="00ED1956" w:rsidRDefault="00C3070C">
    <w:pPr>
      <w:pStyle w:val="Footer"/>
      <w:jc w:val="right"/>
      <w:rPr>
        <w:sz w:val="22"/>
        <w:szCs w:val="22"/>
        <w:rFonts w:ascii="Times New Roman" w:hAnsi="Times New Roman"/>
      </w:rPr>
    </w:pPr>
    <w:r>
      <w:rPr>
        <w:sz w:val="22"/>
        <w:rFonts w:ascii="Times New Roman" w:hAnsi="Times New Roman"/>
      </w:rPr>
      <w:fldChar w:fldCharType="begin"/>
    </w:r>
    <w:r>
      <w:rPr>
        <w:sz w:val="22"/>
        <w:rFonts w:ascii="Times New Roman" w:hAnsi="Times New Roman"/>
      </w:rPr>
      <w:instrText xml:space="preserve"> PAGE   \* MERGEFORMAT </w:instrText>
    </w:r>
    <w:r>
      <w:rPr>
        <w:sz w:val="22"/>
        <w:rFonts w:ascii="Times New Roman" w:hAnsi="Times New Roman"/>
      </w:rPr>
      <w:fldChar w:fldCharType="separate"/>
    </w:r>
    <w:r>
      <w:rPr>
        <w:sz w:val="22"/>
        <w:rFonts w:ascii="Times New Roman" w:hAnsi="Times New Roman"/>
      </w:rPr>
      <w:t xml:space="preserve">8</w:t>
    </w:r>
    <w:r>
      <w:rPr>
        <w:sz w:val="22"/>
        <w:rFonts w:ascii="Times New Roman" w:hAnsi="Times New Roman"/>
      </w:rPr>
      <w:fldChar w:fldCharType="end"/>
    </w:r>
  </w:p>
  <w:p w14:paraId="4D97BBA9" w14:textId="77777777" w:rsidR="00C3070C" w:rsidRDefault="00C30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102A" w14:textId="7C6C6999" w:rsidR="00C3070C" w:rsidRPr="00E85358" w:rsidRDefault="00C3070C">
    <w:pPr>
      <w:pStyle w:val="Footer"/>
      <w:jc w:val="right"/>
      <w:rPr>
        <w:sz w:val="22"/>
        <w:szCs w:val="22"/>
      </w:rPr>
    </w:pPr>
    <w:r>
      <w:rPr>
        <w:sz w:val="22"/>
      </w:rPr>
      <w:fldChar w:fldCharType="begin"/>
    </w:r>
    <w:r>
      <w:rPr>
        <w:sz w:val="22"/>
      </w:rPr>
      <w:instrText xml:space="preserve"> PAGE   \* MERGEFORMAT </w:instrText>
    </w:r>
    <w:r>
      <w:rPr>
        <w:sz w:val="22"/>
      </w:rPr>
      <w:fldChar w:fldCharType="separate"/>
    </w:r>
    <w:r>
      <w:rPr>
        <w:sz w:val="22"/>
      </w:rPr>
      <w:t xml:space="preserve">1</w:t>
    </w:r>
    <w:r>
      <w:rPr>
        <w:sz w:val="22"/>
      </w:rPr>
      <w:fldChar w:fldCharType="end"/>
    </w:r>
  </w:p>
  <w:p w14:paraId="0503D57B" w14:textId="77777777" w:rsidR="00C3070C" w:rsidRDefault="00C30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E4A5" w14:textId="77777777" w:rsidR="00C3070C" w:rsidRDefault="00C3070C">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 xml:space="preserve">183</w:t>
    </w:r>
    <w:r>
      <w:rPr>
        <w:rStyle w:val="PageNumber"/>
      </w:rPr>
      <w:fldChar w:fldCharType="end"/>
    </w:r>
  </w:p>
  <w:p w14:paraId="468B5799" w14:textId="77777777" w:rsidR="00C3070C" w:rsidRDefault="00C3070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5885" w14:textId="71A1082C" w:rsidR="00C3070C" w:rsidRPr="00ED1956" w:rsidRDefault="00C3070C">
    <w:pPr>
      <w:pStyle w:val="Footer"/>
      <w:jc w:val="right"/>
      <w:rPr>
        <w:sz w:val="20"/>
        <w:szCs w:val="20"/>
        <w:rFonts w:ascii="Times New Roman" w:hAnsi="Times New Roman"/>
      </w:rPr>
    </w:pPr>
    <w:r>
      <w:rPr>
        <w:sz w:val="20"/>
        <w:rFonts w:ascii="Times New Roman" w:hAnsi="Times New Roman"/>
      </w:rPr>
      <w:fldChar w:fldCharType="begin"/>
    </w:r>
    <w:r>
      <w:rPr>
        <w:sz w:val="20"/>
        <w:rFonts w:ascii="Times New Roman" w:hAnsi="Times New Roman"/>
      </w:rPr>
      <w:instrText xml:space="preserve"> PAGE   \* MERGEFORMAT </w:instrText>
    </w:r>
    <w:r>
      <w:rPr>
        <w:sz w:val="20"/>
        <w:rFonts w:ascii="Times New Roman" w:hAnsi="Times New Roman"/>
      </w:rPr>
      <w:fldChar w:fldCharType="separate"/>
    </w:r>
    <w:r>
      <w:rPr>
        <w:sz w:val="20"/>
        <w:rFonts w:ascii="Times New Roman" w:hAnsi="Times New Roman"/>
      </w:rPr>
      <w:t xml:space="preserve">42</w:t>
    </w:r>
    <w:r>
      <w:rPr>
        <w:sz w:val="20"/>
        <w:rFonts w:ascii="Times New Roman" w:hAnsi="Times New Roman"/>
      </w:rPr>
      <w:fldChar w:fldCharType="end"/>
    </w:r>
  </w:p>
  <w:p w14:paraId="416ED6B6" w14:textId="77777777" w:rsidR="00C3070C" w:rsidRPr="00A772B4" w:rsidRDefault="00C3070C"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7FAA" w14:textId="77777777" w:rsidR="001D7222" w:rsidRDefault="001D7222" w:rsidP="00D946DB">
      <w:pPr>
        <w:spacing w:before="0" w:after="0"/>
      </w:pPr>
      <w:r>
        <w:separator/>
      </w:r>
    </w:p>
  </w:footnote>
  <w:footnote w:type="continuationSeparator" w:id="0">
    <w:p w14:paraId="6DB92C41" w14:textId="77777777" w:rsidR="001D7222" w:rsidRDefault="001D7222" w:rsidP="00D946DB">
      <w:pPr>
        <w:spacing w:before="0" w:after="0"/>
      </w:pPr>
      <w:r>
        <w:continuationSeparator/>
      </w:r>
    </w:p>
  </w:footnote>
  <w:footnote w:type="continuationNotice" w:id="1">
    <w:p w14:paraId="7F31BD24" w14:textId="77777777" w:rsidR="001D7222" w:rsidRDefault="001D7222">
      <w:pPr>
        <w:spacing w:before="0" w:after="0"/>
      </w:pPr>
    </w:p>
  </w:footnote>
  <w:footnote w:id="2">
    <w:p w14:paraId="3507A652" w14:textId="1546AF66" w:rsidR="00C3070C" w:rsidRPr="00B828CC" w:rsidRDefault="00C3070C" w:rsidP="00C91751">
      <w:r>
        <w:rPr>
          <w:rStyle w:val="FootnoteReference"/>
        </w:rPr>
        <w:footnoteRef/>
      </w:r>
      <w:r>
        <w:tab/>
      </w:r>
      <w:r>
        <w:rPr>
          <w:rFonts w:ascii="Times New Roman" w:hAnsi="Times New Roman"/>
        </w:rPr>
        <w:t xml:space="preserve">Règlement délégué (UE) nº 525/2014 de la Commission du 12 mars 2014 complétant le règlement (UE) nº 575/2013 du Parlement européen et du Conseil en ce qui concerne les normes techniques de réglementation portant définition du terme “marché” (JO L 148 du 20.5.2014, p. 15,</w:t>
      </w:r>
      <w:r>
        <w:t xml:space="preserve"> </w:t>
      </w:r>
      <w:r>
        <w:rPr>
          <w:rFonts w:ascii="Times New Roman" w:hAnsi="Times New Roman"/>
        </w:rPr>
        <w:t xml:space="preserve">ELI:</w:t>
      </w:r>
      <w:r>
        <w:rPr>
          <w:rFonts w:ascii="Times New Roman" w:hAnsi="Times New Roman"/>
        </w:rPr>
        <w:t xml:space="preserve"> </w:t>
      </w:r>
      <w:r>
        <w:rPr>
          <w:rFonts w:ascii="Times New Roman" w:hAnsi="Times New Roman"/>
        </w:rPr>
        <w:t xml:space="preserve">http://data.europa.eu/eli/reg_del/2014/525/oj)</w:t>
      </w:r>
      <w:r>
        <w:rPr>
          <w:i/>
          <w:rFonts w:ascii="Times New Roman" w:hAnsi="Times New Roman"/>
        </w:rPr>
        <w:t xml:space="preserve">.</w:t>
      </w:r>
    </w:p>
  </w:footnote>
  <w:footnote w:id="3">
    <w:p w14:paraId="018474C7" w14:textId="4B859446" w:rsidR="00C3070C" w:rsidRPr="00A11C6E" w:rsidRDefault="00C3070C">
      <w:pPr>
        <w:pStyle w:val="FootnoteText"/>
      </w:pPr>
      <w:r>
        <w:rPr>
          <w:rStyle w:val="FootnoteReference"/>
        </w:rPr>
        <w:footnoteRef/>
      </w:r>
      <w:r>
        <w:tab/>
      </w:r>
      <w:r>
        <w:t xml:space="preserve">Règlement d’exécution (UE) nº 945/2014 de la Commission du 4 septembre 2014 définissant des normes techniques d’exécution en ce qui concerne le recours à des indices pertinents dûment diversifiés, conformément au règlement (UE) nº 575/2013 du Parlement européen et du Conseil (JO L 265 du 5.9.2014, p. 3, ELI:</w:t>
      </w:r>
      <w:r>
        <w:t xml:space="preserve"> </w:t>
      </w:r>
      <w:r>
        <w:t xml:space="preserve">http://data.europa.eu/eli/reg_impl/2014/945/oj).</w:t>
      </w:r>
    </w:p>
  </w:footnote>
  <w:footnote w:id="4">
    <w:p w14:paraId="22A9C113" w14:textId="5D688A5C" w:rsidR="0014702F" w:rsidRPr="006B7076" w:rsidRDefault="0014702F" w:rsidP="006B7076">
      <w:pPr>
        <w:pStyle w:val="FootnoteText"/>
        <w:jc w:val="left"/>
      </w:pPr>
      <w:r>
        <w:rPr>
          <w:rStyle w:val="FootnoteReference"/>
        </w:rPr>
        <w:footnoteRef/>
      </w:r>
      <w:r>
        <w:tab/>
      </w:r>
      <w:r>
        <w:t xml:space="preserve">Directive 2014/65/UE </w:t>
      </w:r>
      <w:bookmarkStart w:id="129" w:name="_Hlk204078738"/>
      <w:r>
        <w:t xml:space="preserve">du Parlement européen et du Conseil</w:t>
      </w:r>
      <w:bookmarkEnd w:id="129"/>
      <w:r>
        <w:t xml:space="preserve"> du 15 mai 2014 concernant les marchés d’instruments financiers et modifiant la directive 2002/92/CE et la directive 2011/61/UE (JO L 173 du 12.6.2014, p. 349, ELI:</w:t>
      </w:r>
      <w:r>
        <w:t xml:space="preserve"> </w:t>
      </w:r>
      <w:r>
        <w:t xml:space="preserve">http://data.europa.eu/eli/dir/2014/65/oj).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E71A" w14:textId="7B4511CB" w:rsidR="00C3070C" w:rsidRDefault="00C3070C">
    <w:pPr>
      <w:pStyle w:val="Header"/>
    </w:pPr>
    <w:r>
      <mc:AlternateContent>
        <mc:Choice Requires="wps">
          <w:drawing>
            <wp:anchor distT="0" distB="0" distL="0" distR="0" simplePos="0" relativeHeight="251658240" behindDoc="0" locked="0" layoutInCell="1" allowOverlap="1" wp14:anchorId="23C8943B" wp14:editId="41043202">
              <wp:simplePos x="635" y="635"/>
              <wp:positionH relativeFrom="leftMargin">
                <wp:align>left</wp:align>
              </wp:positionH>
              <wp:positionV relativeFrom="paragraph">
                <wp:posOffset>635</wp:posOffset>
              </wp:positionV>
              <wp:extent cx="443865" cy="443865"/>
              <wp:effectExtent l="0" t="0" r="3175" b="4445"/>
              <wp:wrapSquare wrapText="bothSides"/>
              <wp:docPr id="18" name="Text Box 18" descr="À l’usage ordinaire de l’AB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175392" w14:textId="4AEDF1D6" w:rsidR="00C3070C" w:rsidRPr="003B6094" w:rsidRDefault="00C3070C">
                          <w:pPr>
                            <w:rPr>
                              <w:color w:val="000000"/>
                              <w:sz w:val="24"/>
                              <w:rFonts w:ascii="Calibri" w:eastAsia="Calibri" w:hAnsi="Calibri" w:cs="Calibri"/>
                            </w:rPr>
                          </w:pPr>
                          <w:r>
                            <w:rPr>
                              <w:color w:val="000000"/>
                              <w:sz w:val="24"/>
                              <w:rFonts w:ascii="Calibri" w:hAnsi="Calibri"/>
                            </w:rPr>
                            <w:t xml:space="preserve">À l’usage ordinaire de l’ABE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C8943B" id="_x0000_t202" coordsize="21600,21600" o:spt="202" path="m,l,21600r21600,l21600,xe">
              <v:stroke joinstyle="miter"/>
              <v:path gradientshapeok="t" o:connecttype="rect"/>
            </v:shapetype>
            <v:shape id="Text Box 18" o:spid="_x0000_s1026" type="#_x0000_t202" alt="Title:  - Description: À l’usage ordinaire de l’AB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5175392" w14:textId="4AEDF1D6" w:rsidR="00C3070C" w:rsidRPr="003B6094" w:rsidRDefault="00C3070C">
                    <w:pPr>
                      <w:rPr>
                        <w:color w:val="000000"/>
                        <w:sz w:val="24"/>
                        <w:rFonts w:ascii="Calibri" w:eastAsia="Calibri" w:hAnsi="Calibri" w:cs="Calibri"/>
                      </w:rPr>
                    </w:pPr>
                    <w:r>
                      <w:rPr>
                        <w:color w:val="000000"/>
                        <w:sz w:val="24"/>
                        <w:rFonts w:ascii="Calibri" w:hAnsi="Calibri"/>
                      </w:rPr>
                      <w:t xml:space="preserve">À l’usage ordinaire de l’ABE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7757" w14:textId="77777777" w:rsidR="004E7DCF" w:rsidRDefault="004E7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03B2" w14:textId="77777777" w:rsidR="004E7DCF" w:rsidRDefault="004E7D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98C1" w14:textId="7C971337" w:rsidR="00C3070C" w:rsidRDefault="00C3070C">
    <w:pPr>
      <w:pStyle w:val="Header"/>
    </w:pPr>
    <w:r>
      <mc:AlternateContent>
        <mc:Choice Requires="wps">
          <w:drawing>
            <wp:anchor distT="0" distB="0" distL="0" distR="0" simplePos="0" relativeHeight="251658242"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À l’usage ordinaire de l’AB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3B6094" w:rsidRDefault="00C3070C">
                          <w:pPr>
                            <w:rPr>
                              <w:color w:val="000000"/>
                              <w:sz w:val="24"/>
                              <w:rFonts w:ascii="Calibri" w:eastAsia="Calibri" w:hAnsi="Calibri" w:cs="Calibri"/>
                            </w:rPr>
                          </w:pPr>
                          <w:r>
                            <w:rPr>
                              <w:color w:val="000000"/>
                              <w:sz w:val="24"/>
                              <w:rFonts w:ascii="Calibri" w:hAnsi="Calibri"/>
                            </w:rPr>
                            <w:t xml:space="preserve">À l’usage ordinaire de l’ABE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7" type="#_x0000_t202" alt="Title:  - Description: À l’usage ordinaire de l’AB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E3DFA35" w14:textId="0AB4BE24" w:rsidR="00C3070C" w:rsidRPr="003B6094" w:rsidRDefault="00C3070C">
                    <w:pPr>
                      <w:rPr>
                        <w:color w:val="000000"/>
                        <w:sz w:val="24"/>
                        <w:rFonts w:ascii="Calibri" w:eastAsia="Calibri" w:hAnsi="Calibri" w:cs="Calibri"/>
                      </w:rPr>
                    </w:pPr>
                    <w:r>
                      <w:rPr>
                        <w:color w:val="000000"/>
                        <w:sz w:val="24"/>
                        <w:rFonts w:ascii="Calibri" w:hAnsi="Calibri"/>
                      </w:rPr>
                      <w:t xml:space="preserve">À l’usage ordinaire de l’ABE</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BBC0" w14:textId="57E2581D" w:rsidR="00C3070C" w:rsidRDefault="00C307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755F" w14:textId="0211D059" w:rsidR="00C3070C" w:rsidRDefault="00C3070C">
    <w:pPr>
      <w:rPr>
        <w:rFonts w:ascii="Arial" w:hAnsi="Arial" w:cs="Arial"/>
      </w:rPr>
    </w:pPr>
    <w:r>
      <w:rPr>
        <w:rFonts w:ascii="Arial" w:hAnsi="Arial"/>
      </w:rPr>
      <mc:AlternateContent>
        <mc:Choice Requires="wps">
          <w:drawing>
            <wp:anchor distT="0" distB="0" distL="0" distR="0" simplePos="0" relativeHeight="251658241"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À l’usage ordinaire de l’AB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3B6094" w:rsidRDefault="00C3070C">
                          <w:pPr>
                            <w:rPr>
                              <w:color w:val="000000"/>
                              <w:sz w:val="24"/>
                              <w:rFonts w:ascii="Calibri" w:eastAsia="Calibri" w:hAnsi="Calibri" w:cs="Calibri"/>
                            </w:rPr>
                          </w:pPr>
                          <w:r>
                            <w:rPr>
                              <w:color w:val="000000"/>
                              <w:sz w:val="24"/>
                              <w:rFonts w:ascii="Calibri" w:hAnsi="Calibri"/>
                            </w:rPr>
                            <w:t xml:space="preserve">À l’usage ordinaire de l’ABE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Title:  - Description: À l’usage ordinaire de l’AB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38E9168" w14:textId="7F6D1353" w:rsidR="00C3070C" w:rsidRPr="003B6094" w:rsidRDefault="00C3070C">
                    <w:pPr>
                      <w:rPr>
                        <w:color w:val="000000"/>
                        <w:sz w:val="24"/>
                        <w:rFonts w:ascii="Calibri" w:eastAsia="Calibri" w:hAnsi="Calibri" w:cs="Calibri"/>
                      </w:rPr>
                    </w:pPr>
                    <w:r>
                      <w:rPr>
                        <w:color w:val="000000"/>
                        <w:sz w:val="24"/>
                        <w:rFonts w:ascii="Calibri" w:hAnsi="Calibri"/>
                      </w:rPr>
                      <w:t xml:space="preserve">À l’usage ordinaire de l’ABE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5"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7D7F02"/>
    <w:multiLevelType w:val="multilevel"/>
    <w:tmpl w:val="0407001D"/>
    <w:numStyleLink w:val="Formatvorlage3"/>
  </w:abstractNum>
  <w:abstractNum w:abstractNumId="10"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1"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E0F25"/>
    <w:multiLevelType w:val="hybridMultilevel"/>
    <w:tmpl w:val="756E5EAE"/>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6"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C2500"/>
    <w:multiLevelType w:val="hybridMultilevel"/>
    <w:tmpl w:val="76A055C0"/>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2027752466">
    <w:abstractNumId w:val="3"/>
  </w:num>
  <w:num w:numId="2" w16cid:durableId="873691100">
    <w:abstractNumId w:val="21"/>
  </w:num>
  <w:num w:numId="3" w16cid:durableId="64646718">
    <w:abstractNumId w:val="29"/>
  </w:num>
  <w:num w:numId="4" w16cid:durableId="2143423029">
    <w:abstractNumId w:val="15"/>
  </w:num>
  <w:num w:numId="5" w16cid:durableId="248462709">
    <w:abstractNumId w:val="24"/>
  </w:num>
  <w:num w:numId="6" w16cid:durableId="1615551260">
    <w:abstractNumId w:val="13"/>
  </w:num>
  <w:num w:numId="7" w16cid:durableId="1802721498">
    <w:abstractNumId w:val="28"/>
  </w:num>
  <w:num w:numId="8" w16cid:durableId="1196040528">
    <w:abstractNumId w:val="5"/>
  </w:num>
  <w:num w:numId="9" w16cid:durableId="394359329">
    <w:abstractNumId w:val="22"/>
  </w:num>
  <w:num w:numId="10" w16cid:durableId="919633677">
    <w:abstractNumId w:val="11"/>
  </w:num>
  <w:num w:numId="11" w16cid:durableId="666446483">
    <w:abstractNumId w:val="17"/>
  </w:num>
  <w:num w:numId="12" w16cid:durableId="1545752287">
    <w:abstractNumId w:val="6"/>
  </w:num>
  <w:num w:numId="13" w16cid:durableId="318656491">
    <w:abstractNumId w:val="23"/>
  </w:num>
  <w:num w:numId="14" w16cid:durableId="943851024">
    <w:abstractNumId w:val="20"/>
  </w:num>
  <w:num w:numId="15" w16cid:durableId="2068988913">
    <w:abstractNumId w:val="10"/>
  </w:num>
  <w:num w:numId="16" w16cid:durableId="750932434">
    <w:abstractNumId w:val="16"/>
  </w:num>
  <w:num w:numId="17" w16cid:durableId="1147473194">
    <w:abstractNumId w:val="9"/>
  </w:num>
  <w:num w:numId="18" w16cid:durableId="916598601">
    <w:abstractNumId w:val="25"/>
  </w:num>
  <w:num w:numId="19" w16cid:durableId="420293218">
    <w:abstractNumId w:val="4"/>
  </w:num>
  <w:num w:numId="20" w16cid:durableId="963775391">
    <w:abstractNumId w:val="14"/>
  </w:num>
  <w:num w:numId="21" w16cid:durableId="813450315">
    <w:abstractNumId w:val="2"/>
  </w:num>
  <w:num w:numId="22" w16cid:durableId="367880198">
    <w:abstractNumId w:val="12"/>
  </w:num>
  <w:num w:numId="23" w16cid:durableId="1272010103">
    <w:abstractNumId w:val="27"/>
  </w:num>
  <w:num w:numId="24" w16cid:durableId="1006593110">
    <w:abstractNumId w:val="1"/>
  </w:num>
  <w:num w:numId="25" w16cid:durableId="1965580885">
    <w:abstractNumId w:val="26"/>
  </w:num>
  <w:num w:numId="26" w16cid:durableId="402915401">
    <w:abstractNumId w:val="18"/>
  </w:num>
  <w:num w:numId="27" w16cid:durableId="627201129">
    <w:abstractNumId w:val="0"/>
  </w:num>
  <w:num w:numId="28" w16cid:durableId="297565844">
    <w:abstractNumId w:val="7"/>
  </w:num>
  <w:num w:numId="29" w16cid:durableId="1297876156">
    <w:abstractNumId w:val="19"/>
  </w:num>
  <w:num w:numId="30" w16cid:durableId="247811965">
    <w:abstractNumId w:val="8"/>
  </w:num>
  <w:num w:numId="31" w16cid:durableId="344554180">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cs-CZ"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70"/>
    <w:rsid w:val="000017F3"/>
    <w:rsid w:val="00001AF1"/>
    <w:rsid w:val="000020E5"/>
    <w:rsid w:val="00002933"/>
    <w:rsid w:val="00002D28"/>
    <w:rsid w:val="00002E14"/>
    <w:rsid w:val="00004478"/>
    <w:rsid w:val="000044B7"/>
    <w:rsid w:val="00004978"/>
    <w:rsid w:val="00004D21"/>
    <w:rsid w:val="00004FE8"/>
    <w:rsid w:val="00005078"/>
    <w:rsid w:val="00005765"/>
    <w:rsid w:val="00005FFC"/>
    <w:rsid w:val="00007605"/>
    <w:rsid w:val="00007D0D"/>
    <w:rsid w:val="00010124"/>
    <w:rsid w:val="00011AFA"/>
    <w:rsid w:val="00011BD0"/>
    <w:rsid w:val="000120EB"/>
    <w:rsid w:val="00014890"/>
    <w:rsid w:val="00014DC3"/>
    <w:rsid w:val="0001693F"/>
    <w:rsid w:val="000169A0"/>
    <w:rsid w:val="00020200"/>
    <w:rsid w:val="00020516"/>
    <w:rsid w:val="00020857"/>
    <w:rsid w:val="00020AF9"/>
    <w:rsid w:val="000212B7"/>
    <w:rsid w:val="0002157C"/>
    <w:rsid w:val="00021A05"/>
    <w:rsid w:val="0002267E"/>
    <w:rsid w:val="00023102"/>
    <w:rsid w:val="000232E2"/>
    <w:rsid w:val="00023383"/>
    <w:rsid w:val="000242CC"/>
    <w:rsid w:val="000243CE"/>
    <w:rsid w:val="0002657F"/>
    <w:rsid w:val="00027235"/>
    <w:rsid w:val="00027D90"/>
    <w:rsid w:val="000313B7"/>
    <w:rsid w:val="00031FA5"/>
    <w:rsid w:val="000326C1"/>
    <w:rsid w:val="00032937"/>
    <w:rsid w:val="00033301"/>
    <w:rsid w:val="00033B7C"/>
    <w:rsid w:val="00033C55"/>
    <w:rsid w:val="00034431"/>
    <w:rsid w:val="000346A9"/>
    <w:rsid w:val="00034834"/>
    <w:rsid w:val="000359E1"/>
    <w:rsid w:val="00035DCC"/>
    <w:rsid w:val="00035E44"/>
    <w:rsid w:val="000364CE"/>
    <w:rsid w:val="00037093"/>
    <w:rsid w:val="000377CC"/>
    <w:rsid w:val="00037FCC"/>
    <w:rsid w:val="00041480"/>
    <w:rsid w:val="000433C4"/>
    <w:rsid w:val="00043C7C"/>
    <w:rsid w:val="00045036"/>
    <w:rsid w:val="0004590F"/>
    <w:rsid w:val="00050E97"/>
    <w:rsid w:val="00052CAE"/>
    <w:rsid w:val="000530BC"/>
    <w:rsid w:val="0005400A"/>
    <w:rsid w:val="000548A2"/>
    <w:rsid w:val="0005609F"/>
    <w:rsid w:val="000565B6"/>
    <w:rsid w:val="00056C0F"/>
    <w:rsid w:val="00056C8D"/>
    <w:rsid w:val="00057154"/>
    <w:rsid w:val="00057362"/>
    <w:rsid w:val="0005746D"/>
    <w:rsid w:val="00061C24"/>
    <w:rsid w:val="00061E48"/>
    <w:rsid w:val="00062A1F"/>
    <w:rsid w:val="00063085"/>
    <w:rsid w:val="00063B3F"/>
    <w:rsid w:val="00064158"/>
    <w:rsid w:val="0006666B"/>
    <w:rsid w:val="00067DC1"/>
    <w:rsid w:val="00067EEA"/>
    <w:rsid w:val="00070113"/>
    <w:rsid w:val="00070518"/>
    <w:rsid w:val="00070AF9"/>
    <w:rsid w:val="00070E18"/>
    <w:rsid w:val="00071341"/>
    <w:rsid w:val="00071622"/>
    <w:rsid w:val="000716F4"/>
    <w:rsid w:val="00071D95"/>
    <w:rsid w:val="000726BC"/>
    <w:rsid w:val="000737D3"/>
    <w:rsid w:val="000758FE"/>
    <w:rsid w:val="00076091"/>
    <w:rsid w:val="000763E0"/>
    <w:rsid w:val="00076880"/>
    <w:rsid w:val="00077C5F"/>
    <w:rsid w:val="00080DDC"/>
    <w:rsid w:val="0008111C"/>
    <w:rsid w:val="0008126E"/>
    <w:rsid w:val="00082265"/>
    <w:rsid w:val="000828C6"/>
    <w:rsid w:val="00084339"/>
    <w:rsid w:val="000843B3"/>
    <w:rsid w:val="00084A4D"/>
    <w:rsid w:val="00085019"/>
    <w:rsid w:val="000858A9"/>
    <w:rsid w:val="000860B6"/>
    <w:rsid w:val="00086A31"/>
    <w:rsid w:val="00086C6E"/>
    <w:rsid w:val="00087700"/>
    <w:rsid w:val="00087E1A"/>
    <w:rsid w:val="000903FA"/>
    <w:rsid w:val="000904F3"/>
    <w:rsid w:val="00090583"/>
    <w:rsid w:val="000911FE"/>
    <w:rsid w:val="0009195D"/>
    <w:rsid w:val="00091CBC"/>
    <w:rsid w:val="000921E0"/>
    <w:rsid w:val="0009290C"/>
    <w:rsid w:val="00092F67"/>
    <w:rsid w:val="00093686"/>
    <w:rsid w:val="00093BF7"/>
    <w:rsid w:val="00094D25"/>
    <w:rsid w:val="00095191"/>
    <w:rsid w:val="00095CAD"/>
    <w:rsid w:val="00096566"/>
    <w:rsid w:val="00096876"/>
    <w:rsid w:val="0009761E"/>
    <w:rsid w:val="00097A17"/>
    <w:rsid w:val="00097C81"/>
    <w:rsid w:val="00097E91"/>
    <w:rsid w:val="000A0FC4"/>
    <w:rsid w:val="000A1955"/>
    <w:rsid w:val="000A368E"/>
    <w:rsid w:val="000A3B1A"/>
    <w:rsid w:val="000A46E0"/>
    <w:rsid w:val="000A4B61"/>
    <w:rsid w:val="000A4C10"/>
    <w:rsid w:val="000A57BC"/>
    <w:rsid w:val="000A6BBC"/>
    <w:rsid w:val="000A7D27"/>
    <w:rsid w:val="000A7F37"/>
    <w:rsid w:val="000B0694"/>
    <w:rsid w:val="000B0B09"/>
    <w:rsid w:val="000B0E46"/>
    <w:rsid w:val="000B0EBE"/>
    <w:rsid w:val="000B13A1"/>
    <w:rsid w:val="000B22F6"/>
    <w:rsid w:val="000B267A"/>
    <w:rsid w:val="000B3C33"/>
    <w:rsid w:val="000B3E00"/>
    <w:rsid w:val="000B4DFF"/>
    <w:rsid w:val="000B6A14"/>
    <w:rsid w:val="000B70E1"/>
    <w:rsid w:val="000B73C4"/>
    <w:rsid w:val="000C0127"/>
    <w:rsid w:val="000C0A34"/>
    <w:rsid w:val="000C24B5"/>
    <w:rsid w:val="000C30A6"/>
    <w:rsid w:val="000C4A6C"/>
    <w:rsid w:val="000C5A1A"/>
    <w:rsid w:val="000C5EA7"/>
    <w:rsid w:val="000C6938"/>
    <w:rsid w:val="000C7632"/>
    <w:rsid w:val="000C7B1D"/>
    <w:rsid w:val="000C7EAA"/>
    <w:rsid w:val="000D04B6"/>
    <w:rsid w:val="000D0A23"/>
    <w:rsid w:val="000D194E"/>
    <w:rsid w:val="000D1FBE"/>
    <w:rsid w:val="000D220D"/>
    <w:rsid w:val="000D3222"/>
    <w:rsid w:val="000D3CBC"/>
    <w:rsid w:val="000D4352"/>
    <w:rsid w:val="000D5292"/>
    <w:rsid w:val="000D5958"/>
    <w:rsid w:val="000D6B9B"/>
    <w:rsid w:val="000E093A"/>
    <w:rsid w:val="000E1572"/>
    <w:rsid w:val="000E197A"/>
    <w:rsid w:val="000E2774"/>
    <w:rsid w:val="000E29C9"/>
    <w:rsid w:val="000E3F99"/>
    <w:rsid w:val="000E40DD"/>
    <w:rsid w:val="000E6835"/>
    <w:rsid w:val="000E7BA8"/>
    <w:rsid w:val="000E7F08"/>
    <w:rsid w:val="000F0D99"/>
    <w:rsid w:val="000F11B2"/>
    <w:rsid w:val="000F13F9"/>
    <w:rsid w:val="000F1CEA"/>
    <w:rsid w:val="000F2470"/>
    <w:rsid w:val="000F2EC8"/>
    <w:rsid w:val="000F2F09"/>
    <w:rsid w:val="000F33AF"/>
    <w:rsid w:val="000F46D5"/>
    <w:rsid w:val="000F4702"/>
    <w:rsid w:val="000F6A80"/>
    <w:rsid w:val="000F6B25"/>
    <w:rsid w:val="000F7045"/>
    <w:rsid w:val="000F70EC"/>
    <w:rsid w:val="0010177C"/>
    <w:rsid w:val="00102C6F"/>
    <w:rsid w:val="00104370"/>
    <w:rsid w:val="0010455D"/>
    <w:rsid w:val="00104A65"/>
    <w:rsid w:val="0010559F"/>
    <w:rsid w:val="00105A75"/>
    <w:rsid w:val="0010605A"/>
    <w:rsid w:val="00106FC5"/>
    <w:rsid w:val="001102E5"/>
    <w:rsid w:val="00110F40"/>
    <w:rsid w:val="0011240A"/>
    <w:rsid w:val="00113D25"/>
    <w:rsid w:val="00113E45"/>
    <w:rsid w:val="00113EA5"/>
    <w:rsid w:val="001151C1"/>
    <w:rsid w:val="0011539B"/>
    <w:rsid w:val="00115685"/>
    <w:rsid w:val="0012049B"/>
    <w:rsid w:val="00121008"/>
    <w:rsid w:val="001219C2"/>
    <w:rsid w:val="00121BFD"/>
    <w:rsid w:val="001235ED"/>
    <w:rsid w:val="00123D62"/>
    <w:rsid w:val="00124A44"/>
    <w:rsid w:val="00124B85"/>
    <w:rsid w:val="001250CC"/>
    <w:rsid w:val="00125707"/>
    <w:rsid w:val="00125D44"/>
    <w:rsid w:val="00125DEE"/>
    <w:rsid w:val="00126395"/>
    <w:rsid w:val="001273B5"/>
    <w:rsid w:val="00127986"/>
    <w:rsid w:val="00127FEA"/>
    <w:rsid w:val="00130586"/>
    <w:rsid w:val="00130EEF"/>
    <w:rsid w:val="001323BF"/>
    <w:rsid w:val="00132563"/>
    <w:rsid w:val="00132778"/>
    <w:rsid w:val="00133107"/>
    <w:rsid w:val="001331F5"/>
    <w:rsid w:val="00133396"/>
    <w:rsid w:val="00133AC1"/>
    <w:rsid w:val="001357A2"/>
    <w:rsid w:val="00136316"/>
    <w:rsid w:val="001379D4"/>
    <w:rsid w:val="00137AC5"/>
    <w:rsid w:val="00137C09"/>
    <w:rsid w:val="001402DB"/>
    <w:rsid w:val="00140571"/>
    <w:rsid w:val="001409D9"/>
    <w:rsid w:val="00140F6E"/>
    <w:rsid w:val="00141DD1"/>
    <w:rsid w:val="0014209A"/>
    <w:rsid w:val="0014210E"/>
    <w:rsid w:val="00142917"/>
    <w:rsid w:val="001432EE"/>
    <w:rsid w:val="00144F03"/>
    <w:rsid w:val="001452FC"/>
    <w:rsid w:val="0014657C"/>
    <w:rsid w:val="00146D50"/>
    <w:rsid w:val="0014702F"/>
    <w:rsid w:val="001474E0"/>
    <w:rsid w:val="0015008C"/>
    <w:rsid w:val="00151071"/>
    <w:rsid w:val="00151B44"/>
    <w:rsid w:val="00151D8A"/>
    <w:rsid w:val="0015288B"/>
    <w:rsid w:val="00152B33"/>
    <w:rsid w:val="00153BEC"/>
    <w:rsid w:val="00154859"/>
    <w:rsid w:val="001550FA"/>
    <w:rsid w:val="00155114"/>
    <w:rsid w:val="00156555"/>
    <w:rsid w:val="00156849"/>
    <w:rsid w:val="001570C4"/>
    <w:rsid w:val="00157883"/>
    <w:rsid w:val="00157B19"/>
    <w:rsid w:val="0016072E"/>
    <w:rsid w:val="0016282F"/>
    <w:rsid w:val="001628F4"/>
    <w:rsid w:val="00162CCF"/>
    <w:rsid w:val="00162E47"/>
    <w:rsid w:val="0016365E"/>
    <w:rsid w:val="00163DBA"/>
    <w:rsid w:val="001644B8"/>
    <w:rsid w:val="00164970"/>
    <w:rsid w:val="00164B62"/>
    <w:rsid w:val="00167602"/>
    <w:rsid w:val="00167619"/>
    <w:rsid w:val="00167E59"/>
    <w:rsid w:val="001721BD"/>
    <w:rsid w:val="001734AB"/>
    <w:rsid w:val="0017440D"/>
    <w:rsid w:val="00175957"/>
    <w:rsid w:val="00176495"/>
    <w:rsid w:val="001771A4"/>
    <w:rsid w:val="00181174"/>
    <w:rsid w:val="00181888"/>
    <w:rsid w:val="00181AC7"/>
    <w:rsid w:val="001822DF"/>
    <w:rsid w:val="00183B7A"/>
    <w:rsid w:val="00184045"/>
    <w:rsid w:val="001840A5"/>
    <w:rsid w:val="001843F9"/>
    <w:rsid w:val="0018450D"/>
    <w:rsid w:val="00184E8A"/>
    <w:rsid w:val="0018533B"/>
    <w:rsid w:val="001854F6"/>
    <w:rsid w:val="00185877"/>
    <w:rsid w:val="00185A19"/>
    <w:rsid w:val="00185FA8"/>
    <w:rsid w:val="00187348"/>
    <w:rsid w:val="00187488"/>
    <w:rsid w:val="0019088A"/>
    <w:rsid w:val="00190FA3"/>
    <w:rsid w:val="001919E9"/>
    <w:rsid w:val="001924F4"/>
    <w:rsid w:val="00192744"/>
    <w:rsid w:val="0019394E"/>
    <w:rsid w:val="001959EF"/>
    <w:rsid w:val="00195FDC"/>
    <w:rsid w:val="0019727D"/>
    <w:rsid w:val="00197C28"/>
    <w:rsid w:val="001A0143"/>
    <w:rsid w:val="001A2115"/>
    <w:rsid w:val="001A217F"/>
    <w:rsid w:val="001A370B"/>
    <w:rsid w:val="001A388F"/>
    <w:rsid w:val="001A3980"/>
    <w:rsid w:val="001A40DB"/>
    <w:rsid w:val="001A44B3"/>
    <w:rsid w:val="001A523B"/>
    <w:rsid w:val="001A531E"/>
    <w:rsid w:val="001A627D"/>
    <w:rsid w:val="001A741B"/>
    <w:rsid w:val="001A7742"/>
    <w:rsid w:val="001A7FE5"/>
    <w:rsid w:val="001B023A"/>
    <w:rsid w:val="001B140A"/>
    <w:rsid w:val="001B1531"/>
    <w:rsid w:val="001B17E6"/>
    <w:rsid w:val="001B1F77"/>
    <w:rsid w:val="001B21AE"/>
    <w:rsid w:val="001B21EA"/>
    <w:rsid w:val="001B43AF"/>
    <w:rsid w:val="001B43BD"/>
    <w:rsid w:val="001B44EE"/>
    <w:rsid w:val="001B4EA5"/>
    <w:rsid w:val="001B5499"/>
    <w:rsid w:val="001B5725"/>
    <w:rsid w:val="001B6114"/>
    <w:rsid w:val="001B6D4D"/>
    <w:rsid w:val="001B7D0F"/>
    <w:rsid w:val="001B7F1A"/>
    <w:rsid w:val="001C1392"/>
    <w:rsid w:val="001C1571"/>
    <w:rsid w:val="001C24B0"/>
    <w:rsid w:val="001C2A41"/>
    <w:rsid w:val="001C2BA5"/>
    <w:rsid w:val="001C3443"/>
    <w:rsid w:val="001C36B0"/>
    <w:rsid w:val="001C3D30"/>
    <w:rsid w:val="001C5557"/>
    <w:rsid w:val="001C5CA8"/>
    <w:rsid w:val="001C6166"/>
    <w:rsid w:val="001C6416"/>
    <w:rsid w:val="001C743D"/>
    <w:rsid w:val="001C7897"/>
    <w:rsid w:val="001C79CB"/>
    <w:rsid w:val="001C7AB7"/>
    <w:rsid w:val="001C7F2A"/>
    <w:rsid w:val="001D1D37"/>
    <w:rsid w:val="001D1F64"/>
    <w:rsid w:val="001D2FE6"/>
    <w:rsid w:val="001D3409"/>
    <w:rsid w:val="001D3CE7"/>
    <w:rsid w:val="001D4848"/>
    <w:rsid w:val="001D4B9D"/>
    <w:rsid w:val="001D5403"/>
    <w:rsid w:val="001D54D3"/>
    <w:rsid w:val="001D6D7C"/>
    <w:rsid w:val="001D7222"/>
    <w:rsid w:val="001D7382"/>
    <w:rsid w:val="001D7C9D"/>
    <w:rsid w:val="001E01BA"/>
    <w:rsid w:val="001E0C80"/>
    <w:rsid w:val="001E332C"/>
    <w:rsid w:val="001E38FD"/>
    <w:rsid w:val="001E39E5"/>
    <w:rsid w:val="001E3EF1"/>
    <w:rsid w:val="001E4D45"/>
    <w:rsid w:val="001E5A75"/>
    <w:rsid w:val="001E6127"/>
    <w:rsid w:val="001E6B9D"/>
    <w:rsid w:val="001E71B5"/>
    <w:rsid w:val="001E7AE4"/>
    <w:rsid w:val="001E7EA7"/>
    <w:rsid w:val="001F0111"/>
    <w:rsid w:val="001F0D60"/>
    <w:rsid w:val="001F1711"/>
    <w:rsid w:val="001F1B80"/>
    <w:rsid w:val="001F2389"/>
    <w:rsid w:val="001F2830"/>
    <w:rsid w:val="001F2920"/>
    <w:rsid w:val="001F3BBE"/>
    <w:rsid w:val="001F3D6A"/>
    <w:rsid w:val="001F4225"/>
    <w:rsid w:val="001F5AC3"/>
    <w:rsid w:val="001F5BC1"/>
    <w:rsid w:val="001F60B8"/>
    <w:rsid w:val="001F6487"/>
    <w:rsid w:val="001F73EA"/>
    <w:rsid w:val="00200D6E"/>
    <w:rsid w:val="00200E8E"/>
    <w:rsid w:val="002013B1"/>
    <w:rsid w:val="00201704"/>
    <w:rsid w:val="00201F3E"/>
    <w:rsid w:val="00202198"/>
    <w:rsid w:val="00202466"/>
    <w:rsid w:val="00202742"/>
    <w:rsid w:val="0020282E"/>
    <w:rsid w:val="00204265"/>
    <w:rsid w:val="00204383"/>
    <w:rsid w:val="00205AE8"/>
    <w:rsid w:val="00206687"/>
    <w:rsid w:val="00206BD0"/>
    <w:rsid w:val="00206D7E"/>
    <w:rsid w:val="00211293"/>
    <w:rsid w:val="00213102"/>
    <w:rsid w:val="0021389C"/>
    <w:rsid w:val="00213DC3"/>
    <w:rsid w:val="00213E0E"/>
    <w:rsid w:val="00214FDA"/>
    <w:rsid w:val="002154E5"/>
    <w:rsid w:val="00215548"/>
    <w:rsid w:val="00215CD7"/>
    <w:rsid w:val="00216D67"/>
    <w:rsid w:val="0021767A"/>
    <w:rsid w:val="00220265"/>
    <w:rsid w:val="00220B85"/>
    <w:rsid w:val="00221103"/>
    <w:rsid w:val="00221C2F"/>
    <w:rsid w:val="00222596"/>
    <w:rsid w:val="002229FF"/>
    <w:rsid w:val="00222AC6"/>
    <w:rsid w:val="00222CD3"/>
    <w:rsid w:val="0022311E"/>
    <w:rsid w:val="0022315F"/>
    <w:rsid w:val="00224016"/>
    <w:rsid w:val="00224828"/>
    <w:rsid w:val="002249DB"/>
    <w:rsid w:val="00224FE5"/>
    <w:rsid w:val="0022597E"/>
    <w:rsid w:val="00225D42"/>
    <w:rsid w:val="002272E2"/>
    <w:rsid w:val="002300C6"/>
    <w:rsid w:val="002301C6"/>
    <w:rsid w:val="00230536"/>
    <w:rsid w:val="002305D2"/>
    <w:rsid w:val="00230DA8"/>
    <w:rsid w:val="00230E9F"/>
    <w:rsid w:val="00232217"/>
    <w:rsid w:val="00232702"/>
    <w:rsid w:val="0023276A"/>
    <w:rsid w:val="002327CE"/>
    <w:rsid w:val="00232921"/>
    <w:rsid w:val="002331CC"/>
    <w:rsid w:val="00233577"/>
    <w:rsid w:val="002339F2"/>
    <w:rsid w:val="0023488F"/>
    <w:rsid w:val="00234E7D"/>
    <w:rsid w:val="0023571F"/>
    <w:rsid w:val="002357EA"/>
    <w:rsid w:val="00235897"/>
    <w:rsid w:val="002367E6"/>
    <w:rsid w:val="00236E33"/>
    <w:rsid w:val="0023700C"/>
    <w:rsid w:val="00237276"/>
    <w:rsid w:val="0023738B"/>
    <w:rsid w:val="0023769E"/>
    <w:rsid w:val="002376B2"/>
    <w:rsid w:val="002409C1"/>
    <w:rsid w:val="00240B06"/>
    <w:rsid w:val="00241190"/>
    <w:rsid w:val="00241845"/>
    <w:rsid w:val="00242134"/>
    <w:rsid w:val="002423CA"/>
    <w:rsid w:val="0024244E"/>
    <w:rsid w:val="0024258C"/>
    <w:rsid w:val="002446F1"/>
    <w:rsid w:val="00244B6A"/>
    <w:rsid w:val="002450B6"/>
    <w:rsid w:val="002451F4"/>
    <w:rsid w:val="00245325"/>
    <w:rsid w:val="00245E37"/>
    <w:rsid w:val="00246BCA"/>
    <w:rsid w:val="00246F65"/>
    <w:rsid w:val="00247193"/>
    <w:rsid w:val="00250176"/>
    <w:rsid w:val="002506A3"/>
    <w:rsid w:val="002514C9"/>
    <w:rsid w:val="00251CF4"/>
    <w:rsid w:val="00251F24"/>
    <w:rsid w:val="00252454"/>
    <w:rsid w:val="0025267A"/>
    <w:rsid w:val="0025290C"/>
    <w:rsid w:val="00253022"/>
    <w:rsid w:val="002530E8"/>
    <w:rsid w:val="002540B2"/>
    <w:rsid w:val="002547C1"/>
    <w:rsid w:val="00254DF6"/>
    <w:rsid w:val="00255BA9"/>
    <w:rsid w:val="0025607F"/>
    <w:rsid w:val="002562F9"/>
    <w:rsid w:val="00257BF5"/>
    <w:rsid w:val="00257FBC"/>
    <w:rsid w:val="002601AB"/>
    <w:rsid w:val="00260AA2"/>
    <w:rsid w:val="002618F4"/>
    <w:rsid w:val="00261B63"/>
    <w:rsid w:val="002625C0"/>
    <w:rsid w:val="00262B22"/>
    <w:rsid w:val="00262B48"/>
    <w:rsid w:val="00262C1B"/>
    <w:rsid w:val="002630FB"/>
    <w:rsid w:val="0026352F"/>
    <w:rsid w:val="002647D2"/>
    <w:rsid w:val="0026485D"/>
    <w:rsid w:val="002648B0"/>
    <w:rsid w:val="00264C8C"/>
    <w:rsid w:val="002664C7"/>
    <w:rsid w:val="002669F8"/>
    <w:rsid w:val="002678CE"/>
    <w:rsid w:val="00267A21"/>
    <w:rsid w:val="0027034D"/>
    <w:rsid w:val="00271C8B"/>
    <w:rsid w:val="00272F65"/>
    <w:rsid w:val="00273432"/>
    <w:rsid w:val="002735FE"/>
    <w:rsid w:val="00273A4D"/>
    <w:rsid w:val="002754C0"/>
    <w:rsid w:val="00276720"/>
    <w:rsid w:val="00276B41"/>
    <w:rsid w:val="00277058"/>
    <w:rsid w:val="002771C5"/>
    <w:rsid w:val="002805FD"/>
    <w:rsid w:val="0028072E"/>
    <w:rsid w:val="00280B99"/>
    <w:rsid w:val="002816EA"/>
    <w:rsid w:val="00283B5F"/>
    <w:rsid w:val="00283C5E"/>
    <w:rsid w:val="00284A6D"/>
    <w:rsid w:val="0028519C"/>
    <w:rsid w:val="00285E2F"/>
    <w:rsid w:val="0028628A"/>
    <w:rsid w:val="00290286"/>
    <w:rsid w:val="0029097C"/>
    <w:rsid w:val="00290CAD"/>
    <w:rsid w:val="002917CA"/>
    <w:rsid w:val="002920FF"/>
    <w:rsid w:val="00292409"/>
    <w:rsid w:val="00292A20"/>
    <w:rsid w:val="00294B07"/>
    <w:rsid w:val="0029520F"/>
    <w:rsid w:val="00295225"/>
    <w:rsid w:val="0029630E"/>
    <w:rsid w:val="00297074"/>
    <w:rsid w:val="0029716F"/>
    <w:rsid w:val="0029726F"/>
    <w:rsid w:val="002A04D3"/>
    <w:rsid w:val="002A09D5"/>
    <w:rsid w:val="002A1B49"/>
    <w:rsid w:val="002A36BB"/>
    <w:rsid w:val="002A4B85"/>
    <w:rsid w:val="002A5969"/>
    <w:rsid w:val="002A5BC5"/>
    <w:rsid w:val="002A677E"/>
    <w:rsid w:val="002A67C8"/>
    <w:rsid w:val="002A6913"/>
    <w:rsid w:val="002A7C84"/>
    <w:rsid w:val="002B004B"/>
    <w:rsid w:val="002B15B5"/>
    <w:rsid w:val="002B1600"/>
    <w:rsid w:val="002B2B6E"/>
    <w:rsid w:val="002B2BA3"/>
    <w:rsid w:val="002B3E36"/>
    <w:rsid w:val="002B5403"/>
    <w:rsid w:val="002B5492"/>
    <w:rsid w:val="002B5B50"/>
    <w:rsid w:val="002B5CD1"/>
    <w:rsid w:val="002B5F2D"/>
    <w:rsid w:val="002B66BD"/>
    <w:rsid w:val="002C0206"/>
    <w:rsid w:val="002C053E"/>
    <w:rsid w:val="002C06FD"/>
    <w:rsid w:val="002C0985"/>
    <w:rsid w:val="002C1068"/>
    <w:rsid w:val="002C1251"/>
    <w:rsid w:val="002C1FEC"/>
    <w:rsid w:val="002C37D9"/>
    <w:rsid w:val="002C41F1"/>
    <w:rsid w:val="002C4D74"/>
    <w:rsid w:val="002C5671"/>
    <w:rsid w:val="002C6263"/>
    <w:rsid w:val="002C66A4"/>
    <w:rsid w:val="002C674A"/>
    <w:rsid w:val="002D102E"/>
    <w:rsid w:val="002D2C75"/>
    <w:rsid w:val="002D318D"/>
    <w:rsid w:val="002D31E5"/>
    <w:rsid w:val="002D3982"/>
    <w:rsid w:val="002D4561"/>
    <w:rsid w:val="002D4E10"/>
    <w:rsid w:val="002D4F6A"/>
    <w:rsid w:val="002D60D7"/>
    <w:rsid w:val="002D68CE"/>
    <w:rsid w:val="002D6B9E"/>
    <w:rsid w:val="002D7779"/>
    <w:rsid w:val="002E0148"/>
    <w:rsid w:val="002E0174"/>
    <w:rsid w:val="002E053A"/>
    <w:rsid w:val="002E0DDB"/>
    <w:rsid w:val="002E12E6"/>
    <w:rsid w:val="002E136A"/>
    <w:rsid w:val="002E2061"/>
    <w:rsid w:val="002E2164"/>
    <w:rsid w:val="002E27B0"/>
    <w:rsid w:val="002E3720"/>
    <w:rsid w:val="002E4EB7"/>
    <w:rsid w:val="002E5096"/>
    <w:rsid w:val="002E587F"/>
    <w:rsid w:val="002E58AF"/>
    <w:rsid w:val="002E7287"/>
    <w:rsid w:val="002E796C"/>
    <w:rsid w:val="002F07EA"/>
    <w:rsid w:val="002F0FB3"/>
    <w:rsid w:val="002F1163"/>
    <w:rsid w:val="002F11F3"/>
    <w:rsid w:val="002F170E"/>
    <w:rsid w:val="002F1920"/>
    <w:rsid w:val="002F19BB"/>
    <w:rsid w:val="002F1E8D"/>
    <w:rsid w:val="002F2663"/>
    <w:rsid w:val="002F29AF"/>
    <w:rsid w:val="002F29CB"/>
    <w:rsid w:val="002F3261"/>
    <w:rsid w:val="002F39A7"/>
    <w:rsid w:val="002F4A67"/>
    <w:rsid w:val="002F4A87"/>
    <w:rsid w:val="002F5571"/>
    <w:rsid w:val="002F707B"/>
    <w:rsid w:val="002F78EA"/>
    <w:rsid w:val="002F79EA"/>
    <w:rsid w:val="002F7E28"/>
    <w:rsid w:val="00300224"/>
    <w:rsid w:val="00302C3F"/>
    <w:rsid w:val="003030A3"/>
    <w:rsid w:val="00303974"/>
    <w:rsid w:val="00304CA5"/>
    <w:rsid w:val="0030572F"/>
    <w:rsid w:val="00306163"/>
    <w:rsid w:val="00306AD1"/>
    <w:rsid w:val="00306F71"/>
    <w:rsid w:val="00306F8E"/>
    <w:rsid w:val="003073B2"/>
    <w:rsid w:val="0031001C"/>
    <w:rsid w:val="0031055A"/>
    <w:rsid w:val="003105C6"/>
    <w:rsid w:val="00310F05"/>
    <w:rsid w:val="00310F96"/>
    <w:rsid w:val="00311119"/>
    <w:rsid w:val="00311B2D"/>
    <w:rsid w:val="00312BA3"/>
    <w:rsid w:val="00313274"/>
    <w:rsid w:val="003132E6"/>
    <w:rsid w:val="003137B9"/>
    <w:rsid w:val="00313D20"/>
    <w:rsid w:val="003141F6"/>
    <w:rsid w:val="00314971"/>
    <w:rsid w:val="003150E6"/>
    <w:rsid w:val="003172C8"/>
    <w:rsid w:val="00317451"/>
    <w:rsid w:val="003175FE"/>
    <w:rsid w:val="00320BB4"/>
    <w:rsid w:val="00321A3B"/>
    <w:rsid w:val="003220BD"/>
    <w:rsid w:val="003232D5"/>
    <w:rsid w:val="00325654"/>
    <w:rsid w:val="003259DA"/>
    <w:rsid w:val="0032635E"/>
    <w:rsid w:val="0032755B"/>
    <w:rsid w:val="003276AF"/>
    <w:rsid w:val="003300FF"/>
    <w:rsid w:val="00330199"/>
    <w:rsid w:val="00331FE6"/>
    <w:rsid w:val="00332B2A"/>
    <w:rsid w:val="00333A44"/>
    <w:rsid w:val="00334093"/>
    <w:rsid w:val="0033476C"/>
    <w:rsid w:val="003374C1"/>
    <w:rsid w:val="00337849"/>
    <w:rsid w:val="00337BEA"/>
    <w:rsid w:val="00340094"/>
    <w:rsid w:val="003400BB"/>
    <w:rsid w:val="00342261"/>
    <w:rsid w:val="00342B6A"/>
    <w:rsid w:val="00342BB2"/>
    <w:rsid w:val="00342C4B"/>
    <w:rsid w:val="003438E8"/>
    <w:rsid w:val="003459F8"/>
    <w:rsid w:val="00345A82"/>
    <w:rsid w:val="00345E53"/>
    <w:rsid w:val="00346C65"/>
    <w:rsid w:val="0034786E"/>
    <w:rsid w:val="00347FF9"/>
    <w:rsid w:val="00350AC4"/>
    <w:rsid w:val="00350DDB"/>
    <w:rsid w:val="00351DD4"/>
    <w:rsid w:val="00352A45"/>
    <w:rsid w:val="00352C6E"/>
    <w:rsid w:val="00352FB3"/>
    <w:rsid w:val="00353D40"/>
    <w:rsid w:val="0035403D"/>
    <w:rsid w:val="003541BA"/>
    <w:rsid w:val="003556A3"/>
    <w:rsid w:val="003557B5"/>
    <w:rsid w:val="00356773"/>
    <w:rsid w:val="00357CD1"/>
    <w:rsid w:val="00357F63"/>
    <w:rsid w:val="003616A1"/>
    <w:rsid w:val="00361D60"/>
    <w:rsid w:val="00363505"/>
    <w:rsid w:val="00363969"/>
    <w:rsid w:val="0036415F"/>
    <w:rsid w:val="00364EBB"/>
    <w:rsid w:val="00366794"/>
    <w:rsid w:val="00366CAF"/>
    <w:rsid w:val="00370576"/>
    <w:rsid w:val="0037077A"/>
    <w:rsid w:val="00370D79"/>
    <w:rsid w:val="00371593"/>
    <w:rsid w:val="00371653"/>
    <w:rsid w:val="00373E3E"/>
    <w:rsid w:val="00375C47"/>
    <w:rsid w:val="00380D47"/>
    <w:rsid w:val="003812AC"/>
    <w:rsid w:val="003813DF"/>
    <w:rsid w:val="0038147E"/>
    <w:rsid w:val="00381685"/>
    <w:rsid w:val="003826D9"/>
    <w:rsid w:val="00383D4B"/>
    <w:rsid w:val="00383FF2"/>
    <w:rsid w:val="00384770"/>
    <w:rsid w:val="00386492"/>
    <w:rsid w:val="00387E40"/>
    <w:rsid w:val="003908C5"/>
    <w:rsid w:val="00390DDA"/>
    <w:rsid w:val="00391406"/>
    <w:rsid w:val="003927BE"/>
    <w:rsid w:val="00392C11"/>
    <w:rsid w:val="00392FFD"/>
    <w:rsid w:val="0039346B"/>
    <w:rsid w:val="00393539"/>
    <w:rsid w:val="00393FF2"/>
    <w:rsid w:val="00394410"/>
    <w:rsid w:val="00394FF1"/>
    <w:rsid w:val="003953E6"/>
    <w:rsid w:val="00397314"/>
    <w:rsid w:val="00397A77"/>
    <w:rsid w:val="003A0532"/>
    <w:rsid w:val="003A07D6"/>
    <w:rsid w:val="003A0835"/>
    <w:rsid w:val="003A0C05"/>
    <w:rsid w:val="003A1469"/>
    <w:rsid w:val="003A1B96"/>
    <w:rsid w:val="003A200A"/>
    <w:rsid w:val="003A3877"/>
    <w:rsid w:val="003A3899"/>
    <w:rsid w:val="003A449C"/>
    <w:rsid w:val="003A497B"/>
    <w:rsid w:val="003A4C8B"/>
    <w:rsid w:val="003A5266"/>
    <w:rsid w:val="003A5743"/>
    <w:rsid w:val="003A5D8C"/>
    <w:rsid w:val="003A7214"/>
    <w:rsid w:val="003A7336"/>
    <w:rsid w:val="003B00F4"/>
    <w:rsid w:val="003B05AE"/>
    <w:rsid w:val="003B06B9"/>
    <w:rsid w:val="003B09EA"/>
    <w:rsid w:val="003B0B15"/>
    <w:rsid w:val="003B20D7"/>
    <w:rsid w:val="003B219A"/>
    <w:rsid w:val="003B256A"/>
    <w:rsid w:val="003B25F0"/>
    <w:rsid w:val="003B2712"/>
    <w:rsid w:val="003B3112"/>
    <w:rsid w:val="003B3533"/>
    <w:rsid w:val="003B3DBB"/>
    <w:rsid w:val="003B43BA"/>
    <w:rsid w:val="003B6094"/>
    <w:rsid w:val="003B66A1"/>
    <w:rsid w:val="003B7060"/>
    <w:rsid w:val="003C050A"/>
    <w:rsid w:val="003C0FB5"/>
    <w:rsid w:val="003C1BB1"/>
    <w:rsid w:val="003C2409"/>
    <w:rsid w:val="003C2566"/>
    <w:rsid w:val="003C3168"/>
    <w:rsid w:val="003C3AAB"/>
    <w:rsid w:val="003C3B79"/>
    <w:rsid w:val="003C3FD5"/>
    <w:rsid w:val="003C4307"/>
    <w:rsid w:val="003C4BA6"/>
    <w:rsid w:val="003C60B9"/>
    <w:rsid w:val="003C76A2"/>
    <w:rsid w:val="003C7853"/>
    <w:rsid w:val="003D07E3"/>
    <w:rsid w:val="003D10E9"/>
    <w:rsid w:val="003D11AD"/>
    <w:rsid w:val="003D14AE"/>
    <w:rsid w:val="003D1657"/>
    <w:rsid w:val="003D17D0"/>
    <w:rsid w:val="003D199D"/>
    <w:rsid w:val="003D3CED"/>
    <w:rsid w:val="003D431C"/>
    <w:rsid w:val="003D485B"/>
    <w:rsid w:val="003D56DE"/>
    <w:rsid w:val="003D655D"/>
    <w:rsid w:val="003D69CB"/>
    <w:rsid w:val="003D725D"/>
    <w:rsid w:val="003D7822"/>
    <w:rsid w:val="003D7F50"/>
    <w:rsid w:val="003E02B3"/>
    <w:rsid w:val="003E0950"/>
    <w:rsid w:val="003E098F"/>
    <w:rsid w:val="003E3102"/>
    <w:rsid w:val="003E47C5"/>
    <w:rsid w:val="003E4EF2"/>
    <w:rsid w:val="003E5145"/>
    <w:rsid w:val="003E52DA"/>
    <w:rsid w:val="003E7AEC"/>
    <w:rsid w:val="003F0298"/>
    <w:rsid w:val="003F05A0"/>
    <w:rsid w:val="003F0E76"/>
    <w:rsid w:val="003F1103"/>
    <w:rsid w:val="003F15BB"/>
    <w:rsid w:val="003F17BB"/>
    <w:rsid w:val="003F19BA"/>
    <w:rsid w:val="003F3523"/>
    <w:rsid w:val="00401111"/>
    <w:rsid w:val="0040156B"/>
    <w:rsid w:val="00401E48"/>
    <w:rsid w:val="00402284"/>
    <w:rsid w:val="00403B9F"/>
    <w:rsid w:val="0040521E"/>
    <w:rsid w:val="00405C0A"/>
    <w:rsid w:val="00407110"/>
    <w:rsid w:val="00407505"/>
    <w:rsid w:val="00407936"/>
    <w:rsid w:val="00410796"/>
    <w:rsid w:val="004120DF"/>
    <w:rsid w:val="004127F7"/>
    <w:rsid w:val="004129D0"/>
    <w:rsid w:val="00412D44"/>
    <w:rsid w:val="004133D9"/>
    <w:rsid w:val="004134E6"/>
    <w:rsid w:val="004157CC"/>
    <w:rsid w:val="00415A1B"/>
    <w:rsid w:val="00417984"/>
    <w:rsid w:val="00422449"/>
    <w:rsid w:val="00422B88"/>
    <w:rsid w:val="00423372"/>
    <w:rsid w:val="00423556"/>
    <w:rsid w:val="00423D6C"/>
    <w:rsid w:val="00423F7E"/>
    <w:rsid w:val="004255D6"/>
    <w:rsid w:val="0042594B"/>
    <w:rsid w:val="00425F4C"/>
    <w:rsid w:val="0042766A"/>
    <w:rsid w:val="0043001B"/>
    <w:rsid w:val="004304C0"/>
    <w:rsid w:val="00430F6F"/>
    <w:rsid w:val="0043168D"/>
    <w:rsid w:val="004317F7"/>
    <w:rsid w:val="004319EB"/>
    <w:rsid w:val="0043231D"/>
    <w:rsid w:val="004350F2"/>
    <w:rsid w:val="004357B9"/>
    <w:rsid w:val="00435BA9"/>
    <w:rsid w:val="00435EB0"/>
    <w:rsid w:val="00436204"/>
    <w:rsid w:val="00436490"/>
    <w:rsid w:val="00436A46"/>
    <w:rsid w:val="00436BBC"/>
    <w:rsid w:val="004377DA"/>
    <w:rsid w:val="004377E2"/>
    <w:rsid w:val="004408E7"/>
    <w:rsid w:val="004415C8"/>
    <w:rsid w:val="00441F78"/>
    <w:rsid w:val="00443003"/>
    <w:rsid w:val="00443DD0"/>
    <w:rsid w:val="0044539D"/>
    <w:rsid w:val="00445E06"/>
    <w:rsid w:val="0044639C"/>
    <w:rsid w:val="00446FAC"/>
    <w:rsid w:val="0045099E"/>
    <w:rsid w:val="00450A2E"/>
    <w:rsid w:val="00451220"/>
    <w:rsid w:val="00451B63"/>
    <w:rsid w:val="0045251C"/>
    <w:rsid w:val="00452AB0"/>
    <w:rsid w:val="00452FEF"/>
    <w:rsid w:val="00453999"/>
    <w:rsid w:val="00454026"/>
    <w:rsid w:val="00454082"/>
    <w:rsid w:val="00454139"/>
    <w:rsid w:val="00454CFC"/>
    <w:rsid w:val="00455314"/>
    <w:rsid w:val="00455364"/>
    <w:rsid w:val="00455B49"/>
    <w:rsid w:val="004600E4"/>
    <w:rsid w:val="004603C7"/>
    <w:rsid w:val="00460A9C"/>
    <w:rsid w:val="00461A5A"/>
    <w:rsid w:val="004629A2"/>
    <w:rsid w:val="00462BAB"/>
    <w:rsid w:val="00463E3C"/>
    <w:rsid w:val="00463F88"/>
    <w:rsid w:val="00464DCB"/>
    <w:rsid w:val="00464F34"/>
    <w:rsid w:val="0046517B"/>
    <w:rsid w:val="004656E1"/>
    <w:rsid w:val="00467F08"/>
    <w:rsid w:val="00467F65"/>
    <w:rsid w:val="00471159"/>
    <w:rsid w:val="00471A96"/>
    <w:rsid w:val="00474C49"/>
    <w:rsid w:val="0047503C"/>
    <w:rsid w:val="0047563E"/>
    <w:rsid w:val="00475B6A"/>
    <w:rsid w:val="0047602E"/>
    <w:rsid w:val="00476209"/>
    <w:rsid w:val="00476566"/>
    <w:rsid w:val="004766D4"/>
    <w:rsid w:val="0047693D"/>
    <w:rsid w:val="004773AB"/>
    <w:rsid w:val="00477C45"/>
    <w:rsid w:val="00477CB6"/>
    <w:rsid w:val="00480A69"/>
    <w:rsid w:val="00480AF8"/>
    <w:rsid w:val="0048116C"/>
    <w:rsid w:val="0048143B"/>
    <w:rsid w:val="0048345E"/>
    <w:rsid w:val="00483FC9"/>
    <w:rsid w:val="00484DDA"/>
    <w:rsid w:val="004852B9"/>
    <w:rsid w:val="00486DA5"/>
    <w:rsid w:val="00487597"/>
    <w:rsid w:val="00487A02"/>
    <w:rsid w:val="004901BE"/>
    <w:rsid w:val="0049092A"/>
    <w:rsid w:val="004913CE"/>
    <w:rsid w:val="00491F4D"/>
    <w:rsid w:val="004928AC"/>
    <w:rsid w:val="00492D77"/>
    <w:rsid w:val="00493D5E"/>
    <w:rsid w:val="00495C50"/>
    <w:rsid w:val="00496C53"/>
    <w:rsid w:val="00496F5D"/>
    <w:rsid w:val="004970FA"/>
    <w:rsid w:val="00497D60"/>
    <w:rsid w:val="004A01BF"/>
    <w:rsid w:val="004A0885"/>
    <w:rsid w:val="004A0D4A"/>
    <w:rsid w:val="004A11BD"/>
    <w:rsid w:val="004A1D97"/>
    <w:rsid w:val="004A3247"/>
    <w:rsid w:val="004A3A58"/>
    <w:rsid w:val="004A3B3D"/>
    <w:rsid w:val="004A47BA"/>
    <w:rsid w:val="004A5880"/>
    <w:rsid w:val="004A6C52"/>
    <w:rsid w:val="004A6FAC"/>
    <w:rsid w:val="004A705D"/>
    <w:rsid w:val="004A7B60"/>
    <w:rsid w:val="004B031B"/>
    <w:rsid w:val="004B135C"/>
    <w:rsid w:val="004B2A17"/>
    <w:rsid w:val="004B38D3"/>
    <w:rsid w:val="004B38D7"/>
    <w:rsid w:val="004B3B58"/>
    <w:rsid w:val="004B4075"/>
    <w:rsid w:val="004B4DF9"/>
    <w:rsid w:val="004B572C"/>
    <w:rsid w:val="004B584D"/>
    <w:rsid w:val="004B5870"/>
    <w:rsid w:val="004B67ED"/>
    <w:rsid w:val="004B6F60"/>
    <w:rsid w:val="004B7F4A"/>
    <w:rsid w:val="004C03BC"/>
    <w:rsid w:val="004C0508"/>
    <w:rsid w:val="004C15A0"/>
    <w:rsid w:val="004C1ACF"/>
    <w:rsid w:val="004C445F"/>
    <w:rsid w:val="004C4478"/>
    <w:rsid w:val="004C6E6F"/>
    <w:rsid w:val="004C74EC"/>
    <w:rsid w:val="004D0C15"/>
    <w:rsid w:val="004D2031"/>
    <w:rsid w:val="004D2753"/>
    <w:rsid w:val="004D36B6"/>
    <w:rsid w:val="004D3C0E"/>
    <w:rsid w:val="004D4419"/>
    <w:rsid w:val="004D45AA"/>
    <w:rsid w:val="004D4BDB"/>
    <w:rsid w:val="004D5161"/>
    <w:rsid w:val="004D6755"/>
    <w:rsid w:val="004D6C74"/>
    <w:rsid w:val="004D780C"/>
    <w:rsid w:val="004E0244"/>
    <w:rsid w:val="004E04BF"/>
    <w:rsid w:val="004E081B"/>
    <w:rsid w:val="004E0A91"/>
    <w:rsid w:val="004E2725"/>
    <w:rsid w:val="004E28B1"/>
    <w:rsid w:val="004E2BE7"/>
    <w:rsid w:val="004E5B02"/>
    <w:rsid w:val="004E6AC0"/>
    <w:rsid w:val="004E6D5F"/>
    <w:rsid w:val="004E7936"/>
    <w:rsid w:val="004E7D09"/>
    <w:rsid w:val="004E7DCF"/>
    <w:rsid w:val="004E7DF2"/>
    <w:rsid w:val="004F0068"/>
    <w:rsid w:val="004F0474"/>
    <w:rsid w:val="004F0D16"/>
    <w:rsid w:val="004F0F3D"/>
    <w:rsid w:val="004F1DDB"/>
    <w:rsid w:val="004F2AB4"/>
    <w:rsid w:val="004F2B30"/>
    <w:rsid w:val="004F3766"/>
    <w:rsid w:val="004F458D"/>
    <w:rsid w:val="004F4775"/>
    <w:rsid w:val="004F4BB8"/>
    <w:rsid w:val="004F50AF"/>
    <w:rsid w:val="004F5C89"/>
    <w:rsid w:val="004F6B6B"/>
    <w:rsid w:val="00502363"/>
    <w:rsid w:val="00502FC6"/>
    <w:rsid w:val="0050394C"/>
    <w:rsid w:val="0050399F"/>
    <w:rsid w:val="00503F93"/>
    <w:rsid w:val="00504A16"/>
    <w:rsid w:val="005050CE"/>
    <w:rsid w:val="00505B5C"/>
    <w:rsid w:val="005067A1"/>
    <w:rsid w:val="00507065"/>
    <w:rsid w:val="00512CC7"/>
    <w:rsid w:val="005130D9"/>
    <w:rsid w:val="005135D6"/>
    <w:rsid w:val="00513822"/>
    <w:rsid w:val="00514158"/>
    <w:rsid w:val="00514783"/>
    <w:rsid w:val="00517EE9"/>
    <w:rsid w:val="00520B00"/>
    <w:rsid w:val="00521D56"/>
    <w:rsid w:val="00522F33"/>
    <w:rsid w:val="0052367C"/>
    <w:rsid w:val="00523DD6"/>
    <w:rsid w:val="0052490C"/>
    <w:rsid w:val="0052508A"/>
    <w:rsid w:val="00525295"/>
    <w:rsid w:val="0053078D"/>
    <w:rsid w:val="00530BA1"/>
    <w:rsid w:val="00530FC7"/>
    <w:rsid w:val="00531FC9"/>
    <w:rsid w:val="00532026"/>
    <w:rsid w:val="0053327A"/>
    <w:rsid w:val="00533D6A"/>
    <w:rsid w:val="00533D84"/>
    <w:rsid w:val="00533E53"/>
    <w:rsid w:val="005342A5"/>
    <w:rsid w:val="00535350"/>
    <w:rsid w:val="00535792"/>
    <w:rsid w:val="00535A98"/>
    <w:rsid w:val="00536B6D"/>
    <w:rsid w:val="0053702D"/>
    <w:rsid w:val="0054122B"/>
    <w:rsid w:val="0054224E"/>
    <w:rsid w:val="005429A0"/>
    <w:rsid w:val="00542C33"/>
    <w:rsid w:val="00542EAE"/>
    <w:rsid w:val="00543964"/>
    <w:rsid w:val="00543DBD"/>
    <w:rsid w:val="00544DA4"/>
    <w:rsid w:val="00544E37"/>
    <w:rsid w:val="00547047"/>
    <w:rsid w:val="005474CB"/>
    <w:rsid w:val="00550113"/>
    <w:rsid w:val="00550997"/>
    <w:rsid w:val="005511AD"/>
    <w:rsid w:val="00551271"/>
    <w:rsid w:val="0055144E"/>
    <w:rsid w:val="0055245C"/>
    <w:rsid w:val="005528C1"/>
    <w:rsid w:val="00552A83"/>
    <w:rsid w:val="00552BF3"/>
    <w:rsid w:val="00552E3E"/>
    <w:rsid w:val="00554261"/>
    <w:rsid w:val="00554886"/>
    <w:rsid w:val="00554A32"/>
    <w:rsid w:val="005563DA"/>
    <w:rsid w:val="0055657F"/>
    <w:rsid w:val="0055791B"/>
    <w:rsid w:val="00557D09"/>
    <w:rsid w:val="0056002D"/>
    <w:rsid w:val="00560A14"/>
    <w:rsid w:val="005617F7"/>
    <w:rsid w:val="00562181"/>
    <w:rsid w:val="00563313"/>
    <w:rsid w:val="005643EA"/>
    <w:rsid w:val="00564A89"/>
    <w:rsid w:val="00565031"/>
    <w:rsid w:val="00566665"/>
    <w:rsid w:val="005666F4"/>
    <w:rsid w:val="00566A45"/>
    <w:rsid w:val="00566DB5"/>
    <w:rsid w:val="005723E9"/>
    <w:rsid w:val="00572C82"/>
    <w:rsid w:val="0057350E"/>
    <w:rsid w:val="00573DB4"/>
    <w:rsid w:val="00576215"/>
    <w:rsid w:val="0057632A"/>
    <w:rsid w:val="00576664"/>
    <w:rsid w:val="00577AA3"/>
    <w:rsid w:val="005808DE"/>
    <w:rsid w:val="00581FA5"/>
    <w:rsid w:val="00582399"/>
    <w:rsid w:val="00582923"/>
    <w:rsid w:val="00583884"/>
    <w:rsid w:val="00584165"/>
    <w:rsid w:val="00585466"/>
    <w:rsid w:val="00585B5B"/>
    <w:rsid w:val="0058617B"/>
    <w:rsid w:val="00587E96"/>
    <w:rsid w:val="00590386"/>
    <w:rsid w:val="005911AC"/>
    <w:rsid w:val="0059138D"/>
    <w:rsid w:val="00592A08"/>
    <w:rsid w:val="00593E1F"/>
    <w:rsid w:val="00595FAD"/>
    <w:rsid w:val="0059657D"/>
    <w:rsid w:val="005965CE"/>
    <w:rsid w:val="005970B6"/>
    <w:rsid w:val="00597BBC"/>
    <w:rsid w:val="005A020C"/>
    <w:rsid w:val="005A1898"/>
    <w:rsid w:val="005A18FB"/>
    <w:rsid w:val="005A2182"/>
    <w:rsid w:val="005A2363"/>
    <w:rsid w:val="005A2C21"/>
    <w:rsid w:val="005A43B1"/>
    <w:rsid w:val="005A6305"/>
    <w:rsid w:val="005A760D"/>
    <w:rsid w:val="005A7CA9"/>
    <w:rsid w:val="005B02DE"/>
    <w:rsid w:val="005B0463"/>
    <w:rsid w:val="005B04C9"/>
    <w:rsid w:val="005B0C8D"/>
    <w:rsid w:val="005B13A0"/>
    <w:rsid w:val="005B321D"/>
    <w:rsid w:val="005B3AEF"/>
    <w:rsid w:val="005B3B7C"/>
    <w:rsid w:val="005B5390"/>
    <w:rsid w:val="005B54BB"/>
    <w:rsid w:val="005B57EC"/>
    <w:rsid w:val="005B591C"/>
    <w:rsid w:val="005B5C89"/>
    <w:rsid w:val="005B5D85"/>
    <w:rsid w:val="005B76D3"/>
    <w:rsid w:val="005C0B75"/>
    <w:rsid w:val="005C14B0"/>
    <w:rsid w:val="005C1BC9"/>
    <w:rsid w:val="005C287F"/>
    <w:rsid w:val="005C29CD"/>
    <w:rsid w:val="005C2A1D"/>
    <w:rsid w:val="005C5136"/>
    <w:rsid w:val="005C517E"/>
    <w:rsid w:val="005C6CF7"/>
    <w:rsid w:val="005C6DEB"/>
    <w:rsid w:val="005C7542"/>
    <w:rsid w:val="005C7A65"/>
    <w:rsid w:val="005C7A91"/>
    <w:rsid w:val="005D0B5D"/>
    <w:rsid w:val="005D2F62"/>
    <w:rsid w:val="005D3034"/>
    <w:rsid w:val="005D3318"/>
    <w:rsid w:val="005D35A0"/>
    <w:rsid w:val="005D3DD9"/>
    <w:rsid w:val="005D3E00"/>
    <w:rsid w:val="005D40D9"/>
    <w:rsid w:val="005D411E"/>
    <w:rsid w:val="005D423C"/>
    <w:rsid w:val="005D479B"/>
    <w:rsid w:val="005D5914"/>
    <w:rsid w:val="005E0301"/>
    <w:rsid w:val="005E03B8"/>
    <w:rsid w:val="005E0917"/>
    <w:rsid w:val="005E1B10"/>
    <w:rsid w:val="005E3471"/>
    <w:rsid w:val="005E3ABC"/>
    <w:rsid w:val="005E4BEC"/>
    <w:rsid w:val="005E5070"/>
    <w:rsid w:val="005E59EB"/>
    <w:rsid w:val="005E61A3"/>
    <w:rsid w:val="005E7377"/>
    <w:rsid w:val="005E7DF2"/>
    <w:rsid w:val="005E7F24"/>
    <w:rsid w:val="005E7FAD"/>
    <w:rsid w:val="005F05ED"/>
    <w:rsid w:val="005F1095"/>
    <w:rsid w:val="005F12F9"/>
    <w:rsid w:val="005F1957"/>
    <w:rsid w:val="005F1EB8"/>
    <w:rsid w:val="005F266B"/>
    <w:rsid w:val="005F3409"/>
    <w:rsid w:val="005F3BBE"/>
    <w:rsid w:val="005F5B6B"/>
    <w:rsid w:val="005F5DF8"/>
    <w:rsid w:val="005F6354"/>
    <w:rsid w:val="005F6603"/>
    <w:rsid w:val="005F6FDF"/>
    <w:rsid w:val="0060043C"/>
    <w:rsid w:val="00600733"/>
    <w:rsid w:val="00601450"/>
    <w:rsid w:val="006015FF"/>
    <w:rsid w:val="0060179C"/>
    <w:rsid w:val="006022CB"/>
    <w:rsid w:val="00602764"/>
    <w:rsid w:val="00602FA5"/>
    <w:rsid w:val="0060500C"/>
    <w:rsid w:val="00605A9A"/>
    <w:rsid w:val="00605F23"/>
    <w:rsid w:val="00606735"/>
    <w:rsid w:val="0060673F"/>
    <w:rsid w:val="00606885"/>
    <w:rsid w:val="0060723F"/>
    <w:rsid w:val="00607523"/>
    <w:rsid w:val="006108B8"/>
    <w:rsid w:val="00610920"/>
    <w:rsid w:val="00610B56"/>
    <w:rsid w:val="00611073"/>
    <w:rsid w:val="0061222C"/>
    <w:rsid w:val="0061248F"/>
    <w:rsid w:val="00612780"/>
    <w:rsid w:val="006128D7"/>
    <w:rsid w:val="00613578"/>
    <w:rsid w:val="0061382B"/>
    <w:rsid w:val="00614509"/>
    <w:rsid w:val="006147CF"/>
    <w:rsid w:val="0061482E"/>
    <w:rsid w:val="00615252"/>
    <w:rsid w:val="0061552A"/>
    <w:rsid w:val="006161E5"/>
    <w:rsid w:val="00616264"/>
    <w:rsid w:val="00616690"/>
    <w:rsid w:val="00616E90"/>
    <w:rsid w:val="00620AB3"/>
    <w:rsid w:val="006219A7"/>
    <w:rsid w:val="00622B37"/>
    <w:rsid w:val="00622B8C"/>
    <w:rsid w:val="00622DF8"/>
    <w:rsid w:val="0062362F"/>
    <w:rsid w:val="00623BD2"/>
    <w:rsid w:val="00623EAD"/>
    <w:rsid w:val="00624117"/>
    <w:rsid w:val="00624624"/>
    <w:rsid w:val="0062558D"/>
    <w:rsid w:val="006259C7"/>
    <w:rsid w:val="006269F7"/>
    <w:rsid w:val="00626A88"/>
    <w:rsid w:val="00627143"/>
    <w:rsid w:val="00630711"/>
    <w:rsid w:val="00630EF6"/>
    <w:rsid w:val="00631405"/>
    <w:rsid w:val="006317A9"/>
    <w:rsid w:val="0063337F"/>
    <w:rsid w:val="00633D3C"/>
    <w:rsid w:val="00633DEB"/>
    <w:rsid w:val="0063493E"/>
    <w:rsid w:val="00634EC4"/>
    <w:rsid w:val="00635440"/>
    <w:rsid w:val="006364E5"/>
    <w:rsid w:val="0063773C"/>
    <w:rsid w:val="00640475"/>
    <w:rsid w:val="006418A0"/>
    <w:rsid w:val="00643011"/>
    <w:rsid w:val="00643362"/>
    <w:rsid w:val="00643B18"/>
    <w:rsid w:val="0064497A"/>
    <w:rsid w:val="006452A4"/>
    <w:rsid w:val="00645573"/>
    <w:rsid w:val="006455B0"/>
    <w:rsid w:val="00646287"/>
    <w:rsid w:val="00646D1B"/>
    <w:rsid w:val="006477B8"/>
    <w:rsid w:val="00647F9C"/>
    <w:rsid w:val="00650529"/>
    <w:rsid w:val="00650B6C"/>
    <w:rsid w:val="00650D5A"/>
    <w:rsid w:val="00650DB8"/>
    <w:rsid w:val="00651C18"/>
    <w:rsid w:val="00652460"/>
    <w:rsid w:val="00652DF7"/>
    <w:rsid w:val="00652F11"/>
    <w:rsid w:val="00652FA2"/>
    <w:rsid w:val="00654A02"/>
    <w:rsid w:val="00655B6E"/>
    <w:rsid w:val="00656BF0"/>
    <w:rsid w:val="00661595"/>
    <w:rsid w:val="0066173C"/>
    <w:rsid w:val="0066186C"/>
    <w:rsid w:val="00662545"/>
    <w:rsid w:val="00662E37"/>
    <w:rsid w:val="00664361"/>
    <w:rsid w:val="006646B6"/>
    <w:rsid w:val="00664874"/>
    <w:rsid w:val="006657C2"/>
    <w:rsid w:val="006660B9"/>
    <w:rsid w:val="00666996"/>
    <w:rsid w:val="00667262"/>
    <w:rsid w:val="006674B5"/>
    <w:rsid w:val="00670758"/>
    <w:rsid w:val="00672D2A"/>
    <w:rsid w:val="0067375E"/>
    <w:rsid w:val="006746DB"/>
    <w:rsid w:val="00674BF5"/>
    <w:rsid w:val="00674FCA"/>
    <w:rsid w:val="006750B8"/>
    <w:rsid w:val="00676B42"/>
    <w:rsid w:val="00676B98"/>
    <w:rsid w:val="006771CE"/>
    <w:rsid w:val="006778A2"/>
    <w:rsid w:val="00677A91"/>
    <w:rsid w:val="00680478"/>
    <w:rsid w:val="00681382"/>
    <w:rsid w:val="00684DC8"/>
    <w:rsid w:val="00685182"/>
    <w:rsid w:val="006855AB"/>
    <w:rsid w:val="0068594D"/>
    <w:rsid w:val="00690B40"/>
    <w:rsid w:val="00690D01"/>
    <w:rsid w:val="006916DC"/>
    <w:rsid w:val="00691F49"/>
    <w:rsid w:val="00691F9C"/>
    <w:rsid w:val="00692A55"/>
    <w:rsid w:val="00692B10"/>
    <w:rsid w:val="0069572F"/>
    <w:rsid w:val="00695A63"/>
    <w:rsid w:val="00695ABB"/>
    <w:rsid w:val="00696301"/>
    <w:rsid w:val="00696434"/>
    <w:rsid w:val="006966FF"/>
    <w:rsid w:val="00696F12"/>
    <w:rsid w:val="006972E8"/>
    <w:rsid w:val="006A01F5"/>
    <w:rsid w:val="006A14F6"/>
    <w:rsid w:val="006A20A0"/>
    <w:rsid w:val="006A2ED8"/>
    <w:rsid w:val="006A3201"/>
    <w:rsid w:val="006A3A82"/>
    <w:rsid w:val="006A4B1B"/>
    <w:rsid w:val="006A6049"/>
    <w:rsid w:val="006A66C9"/>
    <w:rsid w:val="006A6822"/>
    <w:rsid w:val="006A6CCF"/>
    <w:rsid w:val="006A7AEE"/>
    <w:rsid w:val="006A7EC8"/>
    <w:rsid w:val="006B08A5"/>
    <w:rsid w:val="006B0EEE"/>
    <w:rsid w:val="006B19A0"/>
    <w:rsid w:val="006B1A77"/>
    <w:rsid w:val="006B2333"/>
    <w:rsid w:val="006B2A31"/>
    <w:rsid w:val="006B2B59"/>
    <w:rsid w:val="006B2C9D"/>
    <w:rsid w:val="006B36C2"/>
    <w:rsid w:val="006B3BAE"/>
    <w:rsid w:val="006B42A7"/>
    <w:rsid w:val="006B4AC8"/>
    <w:rsid w:val="006B4E35"/>
    <w:rsid w:val="006B5308"/>
    <w:rsid w:val="006B55D6"/>
    <w:rsid w:val="006B5A2B"/>
    <w:rsid w:val="006B5BA8"/>
    <w:rsid w:val="006B7076"/>
    <w:rsid w:val="006B7228"/>
    <w:rsid w:val="006B72F3"/>
    <w:rsid w:val="006C0691"/>
    <w:rsid w:val="006C0915"/>
    <w:rsid w:val="006C0EF3"/>
    <w:rsid w:val="006C11BB"/>
    <w:rsid w:val="006C163A"/>
    <w:rsid w:val="006C1758"/>
    <w:rsid w:val="006C1FB5"/>
    <w:rsid w:val="006C2F61"/>
    <w:rsid w:val="006C35BA"/>
    <w:rsid w:val="006C3FF9"/>
    <w:rsid w:val="006C4136"/>
    <w:rsid w:val="006C4174"/>
    <w:rsid w:val="006C45C6"/>
    <w:rsid w:val="006C4A8F"/>
    <w:rsid w:val="006C4D76"/>
    <w:rsid w:val="006C52E6"/>
    <w:rsid w:val="006C5419"/>
    <w:rsid w:val="006C5A49"/>
    <w:rsid w:val="006C66DB"/>
    <w:rsid w:val="006C6D3F"/>
    <w:rsid w:val="006C6EE0"/>
    <w:rsid w:val="006C7201"/>
    <w:rsid w:val="006D0C24"/>
    <w:rsid w:val="006D1BC0"/>
    <w:rsid w:val="006D2499"/>
    <w:rsid w:val="006D35FC"/>
    <w:rsid w:val="006D3B1A"/>
    <w:rsid w:val="006D49F3"/>
    <w:rsid w:val="006D665A"/>
    <w:rsid w:val="006D6AE0"/>
    <w:rsid w:val="006D7512"/>
    <w:rsid w:val="006E01DA"/>
    <w:rsid w:val="006E0809"/>
    <w:rsid w:val="006E0E76"/>
    <w:rsid w:val="006E3440"/>
    <w:rsid w:val="006E347B"/>
    <w:rsid w:val="006E52E7"/>
    <w:rsid w:val="006E5764"/>
    <w:rsid w:val="006E5D07"/>
    <w:rsid w:val="006E6778"/>
    <w:rsid w:val="006E6AEF"/>
    <w:rsid w:val="006F07BF"/>
    <w:rsid w:val="006F0968"/>
    <w:rsid w:val="006F1CCF"/>
    <w:rsid w:val="006F20A4"/>
    <w:rsid w:val="006F2637"/>
    <w:rsid w:val="006F2989"/>
    <w:rsid w:val="006F3626"/>
    <w:rsid w:val="006F3B33"/>
    <w:rsid w:val="006F503D"/>
    <w:rsid w:val="006F53D7"/>
    <w:rsid w:val="00700D33"/>
    <w:rsid w:val="00700DE8"/>
    <w:rsid w:val="00700DFD"/>
    <w:rsid w:val="007027F2"/>
    <w:rsid w:val="007038D5"/>
    <w:rsid w:val="00703C87"/>
    <w:rsid w:val="00705025"/>
    <w:rsid w:val="007062FD"/>
    <w:rsid w:val="007063EE"/>
    <w:rsid w:val="007065FE"/>
    <w:rsid w:val="00706D25"/>
    <w:rsid w:val="00706FD8"/>
    <w:rsid w:val="0070781A"/>
    <w:rsid w:val="007079CE"/>
    <w:rsid w:val="007106FB"/>
    <w:rsid w:val="007111B3"/>
    <w:rsid w:val="00711F3A"/>
    <w:rsid w:val="00711F45"/>
    <w:rsid w:val="007121C9"/>
    <w:rsid w:val="00712B6C"/>
    <w:rsid w:val="00712C8C"/>
    <w:rsid w:val="00712DE1"/>
    <w:rsid w:val="00712F56"/>
    <w:rsid w:val="0071377A"/>
    <w:rsid w:val="00713E91"/>
    <w:rsid w:val="00714734"/>
    <w:rsid w:val="007158B2"/>
    <w:rsid w:val="007172B2"/>
    <w:rsid w:val="00717926"/>
    <w:rsid w:val="00720ADC"/>
    <w:rsid w:val="00721A22"/>
    <w:rsid w:val="00721CEA"/>
    <w:rsid w:val="0072265E"/>
    <w:rsid w:val="00722A10"/>
    <w:rsid w:val="007233B1"/>
    <w:rsid w:val="00723A50"/>
    <w:rsid w:val="00724108"/>
    <w:rsid w:val="007241D3"/>
    <w:rsid w:val="007247ED"/>
    <w:rsid w:val="007248BD"/>
    <w:rsid w:val="007260DA"/>
    <w:rsid w:val="00727756"/>
    <w:rsid w:val="00730040"/>
    <w:rsid w:val="0073242B"/>
    <w:rsid w:val="00732D6D"/>
    <w:rsid w:val="00733B77"/>
    <w:rsid w:val="00733F21"/>
    <w:rsid w:val="007345D3"/>
    <w:rsid w:val="0073473E"/>
    <w:rsid w:val="0073527C"/>
    <w:rsid w:val="0073581C"/>
    <w:rsid w:val="00735F76"/>
    <w:rsid w:val="00736AD5"/>
    <w:rsid w:val="00736D27"/>
    <w:rsid w:val="00736F34"/>
    <w:rsid w:val="00741BA6"/>
    <w:rsid w:val="007420C6"/>
    <w:rsid w:val="007421F4"/>
    <w:rsid w:val="007434D0"/>
    <w:rsid w:val="007445C4"/>
    <w:rsid w:val="00745142"/>
    <w:rsid w:val="00745369"/>
    <w:rsid w:val="007463E2"/>
    <w:rsid w:val="007466A4"/>
    <w:rsid w:val="00747FFA"/>
    <w:rsid w:val="007503D4"/>
    <w:rsid w:val="0075112B"/>
    <w:rsid w:val="00751FBE"/>
    <w:rsid w:val="00752B94"/>
    <w:rsid w:val="0075303E"/>
    <w:rsid w:val="0075306B"/>
    <w:rsid w:val="00754ADC"/>
    <w:rsid w:val="0075517F"/>
    <w:rsid w:val="0075706D"/>
    <w:rsid w:val="007574C3"/>
    <w:rsid w:val="00757C76"/>
    <w:rsid w:val="007608E4"/>
    <w:rsid w:val="00760D4A"/>
    <w:rsid w:val="007615A8"/>
    <w:rsid w:val="00761856"/>
    <w:rsid w:val="00761891"/>
    <w:rsid w:val="0076257F"/>
    <w:rsid w:val="0076375E"/>
    <w:rsid w:val="00763A4B"/>
    <w:rsid w:val="00763B4B"/>
    <w:rsid w:val="00764BC5"/>
    <w:rsid w:val="00764E61"/>
    <w:rsid w:val="00765008"/>
    <w:rsid w:val="007676ED"/>
    <w:rsid w:val="007679BF"/>
    <w:rsid w:val="00770830"/>
    <w:rsid w:val="0077085A"/>
    <w:rsid w:val="00770D40"/>
    <w:rsid w:val="00770EAF"/>
    <w:rsid w:val="00770F0C"/>
    <w:rsid w:val="00771068"/>
    <w:rsid w:val="007711E7"/>
    <w:rsid w:val="007715D6"/>
    <w:rsid w:val="00771E97"/>
    <w:rsid w:val="0077276E"/>
    <w:rsid w:val="007745EB"/>
    <w:rsid w:val="0077559A"/>
    <w:rsid w:val="0078015D"/>
    <w:rsid w:val="00781160"/>
    <w:rsid w:val="007827A3"/>
    <w:rsid w:val="00782DD2"/>
    <w:rsid w:val="00783881"/>
    <w:rsid w:val="00783DA7"/>
    <w:rsid w:val="00784477"/>
    <w:rsid w:val="00784A19"/>
    <w:rsid w:val="0078506A"/>
    <w:rsid w:val="00785E60"/>
    <w:rsid w:val="00785F3E"/>
    <w:rsid w:val="00785F88"/>
    <w:rsid w:val="007864CA"/>
    <w:rsid w:val="00787028"/>
    <w:rsid w:val="00787733"/>
    <w:rsid w:val="00787CDE"/>
    <w:rsid w:val="00790738"/>
    <w:rsid w:val="00791DA9"/>
    <w:rsid w:val="0079311D"/>
    <w:rsid w:val="00795EC6"/>
    <w:rsid w:val="007968EE"/>
    <w:rsid w:val="007969A4"/>
    <w:rsid w:val="00796EBB"/>
    <w:rsid w:val="00797715"/>
    <w:rsid w:val="00797C89"/>
    <w:rsid w:val="007A00D6"/>
    <w:rsid w:val="007A0CE8"/>
    <w:rsid w:val="007A1067"/>
    <w:rsid w:val="007A1D61"/>
    <w:rsid w:val="007A1E2E"/>
    <w:rsid w:val="007A212A"/>
    <w:rsid w:val="007A3184"/>
    <w:rsid w:val="007A40CB"/>
    <w:rsid w:val="007A49AC"/>
    <w:rsid w:val="007A4CFD"/>
    <w:rsid w:val="007B0068"/>
    <w:rsid w:val="007B025E"/>
    <w:rsid w:val="007B0AC3"/>
    <w:rsid w:val="007B16A3"/>
    <w:rsid w:val="007B2006"/>
    <w:rsid w:val="007B2F85"/>
    <w:rsid w:val="007B4067"/>
    <w:rsid w:val="007B42DB"/>
    <w:rsid w:val="007B4F0B"/>
    <w:rsid w:val="007B4FD3"/>
    <w:rsid w:val="007B54D6"/>
    <w:rsid w:val="007B5523"/>
    <w:rsid w:val="007B741C"/>
    <w:rsid w:val="007C099C"/>
    <w:rsid w:val="007C2334"/>
    <w:rsid w:val="007C2F65"/>
    <w:rsid w:val="007C3B71"/>
    <w:rsid w:val="007C4C33"/>
    <w:rsid w:val="007C5DF2"/>
    <w:rsid w:val="007C64F7"/>
    <w:rsid w:val="007C6E13"/>
    <w:rsid w:val="007C6E66"/>
    <w:rsid w:val="007C795D"/>
    <w:rsid w:val="007C7C9C"/>
    <w:rsid w:val="007D0ABB"/>
    <w:rsid w:val="007D1696"/>
    <w:rsid w:val="007D183F"/>
    <w:rsid w:val="007D1F12"/>
    <w:rsid w:val="007D2AEF"/>
    <w:rsid w:val="007D2CE6"/>
    <w:rsid w:val="007D4FF8"/>
    <w:rsid w:val="007D633B"/>
    <w:rsid w:val="007D63B3"/>
    <w:rsid w:val="007D7D73"/>
    <w:rsid w:val="007E16E5"/>
    <w:rsid w:val="007E18BB"/>
    <w:rsid w:val="007E33D4"/>
    <w:rsid w:val="007E39E6"/>
    <w:rsid w:val="007E3DCF"/>
    <w:rsid w:val="007E475F"/>
    <w:rsid w:val="007E4981"/>
    <w:rsid w:val="007E5285"/>
    <w:rsid w:val="007E617C"/>
    <w:rsid w:val="007E6F35"/>
    <w:rsid w:val="007E7340"/>
    <w:rsid w:val="007F0343"/>
    <w:rsid w:val="007F0442"/>
    <w:rsid w:val="007F097C"/>
    <w:rsid w:val="007F0999"/>
    <w:rsid w:val="007F1856"/>
    <w:rsid w:val="007F1970"/>
    <w:rsid w:val="007F3089"/>
    <w:rsid w:val="007F360A"/>
    <w:rsid w:val="007F5225"/>
    <w:rsid w:val="007F5488"/>
    <w:rsid w:val="007F638B"/>
    <w:rsid w:val="007F6D99"/>
    <w:rsid w:val="007F6E9E"/>
    <w:rsid w:val="007F7831"/>
    <w:rsid w:val="007F7842"/>
    <w:rsid w:val="007F7A60"/>
    <w:rsid w:val="007F7D3B"/>
    <w:rsid w:val="007F7FC3"/>
    <w:rsid w:val="008004DF"/>
    <w:rsid w:val="008015A0"/>
    <w:rsid w:val="00802421"/>
    <w:rsid w:val="008024B2"/>
    <w:rsid w:val="00802958"/>
    <w:rsid w:val="00803C30"/>
    <w:rsid w:val="00804D12"/>
    <w:rsid w:val="00804D43"/>
    <w:rsid w:val="00805255"/>
    <w:rsid w:val="00810D73"/>
    <w:rsid w:val="00810F87"/>
    <w:rsid w:val="0081176B"/>
    <w:rsid w:val="008122CC"/>
    <w:rsid w:val="00812582"/>
    <w:rsid w:val="008125D7"/>
    <w:rsid w:val="008126F5"/>
    <w:rsid w:val="008136B4"/>
    <w:rsid w:val="00813B8E"/>
    <w:rsid w:val="008143A4"/>
    <w:rsid w:val="008145C0"/>
    <w:rsid w:val="008151A6"/>
    <w:rsid w:val="00815EE9"/>
    <w:rsid w:val="00816B32"/>
    <w:rsid w:val="00816F2D"/>
    <w:rsid w:val="0082014C"/>
    <w:rsid w:val="00820E23"/>
    <w:rsid w:val="0082105B"/>
    <w:rsid w:val="008221EB"/>
    <w:rsid w:val="008226CF"/>
    <w:rsid w:val="00822727"/>
    <w:rsid w:val="008233A4"/>
    <w:rsid w:val="008241B9"/>
    <w:rsid w:val="008248E0"/>
    <w:rsid w:val="00826E25"/>
    <w:rsid w:val="00827BBD"/>
    <w:rsid w:val="00827C9A"/>
    <w:rsid w:val="008304E8"/>
    <w:rsid w:val="00830F86"/>
    <w:rsid w:val="0083278B"/>
    <w:rsid w:val="0083285E"/>
    <w:rsid w:val="00833EC0"/>
    <w:rsid w:val="008343BD"/>
    <w:rsid w:val="0083444D"/>
    <w:rsid w:val="00834E93"/>
    <w:rsid w:val="00836845"/>
    <w:rsid w:val="00837612"/>
    <w:rsid w:val="00840A22"/>
    <w:rsid w:val="00840F72"/>
    <w:rsid w:val="00841322"/>
    <w:rsid w:val="00841645"/>
    <w:rsid w:val="008420D9"/>
    <w:rsid w:val="008427C5"/>
    <w:rsid w:val="00842A5C"/>
    <w:rsid w:val="00843119"/>
    <w:rsid w:val="00844689"/>
    <w:rsid w:val="00845545"/>
    <w:rsid w:val="00845551"/>
    <w:rsid w:val="008469DF"/>
    <w:rsid w:val="008503E1"/>
    <w:rsid w:val="00850412"/>
    <w:rsid w:val="00850C75"/>
    <w:rsid w:val="00851278"/>
    <w:rsid w:val="00852CAD"/>
    <w:rsid w:val="00852EA6"/>
    <w:rsid w:val="00854146"/>
    <w:rsid w:val="00854E5A"/>
    <w:rsid w:val="0085520E"/>
    <w:rsid w:val="00855D5F"/>
    <w:rsid w:val="00855EAC"/>
    <w:rsid w:val="008564FF"/>
    <w:rsid w:val="00856854"/>
    <w:rsid w:val="0085692D"/>
    <w:rsid w:val="00856E42"/>
    <w:rsid w:val="00860B35"/>
    <w:rsid w:val="0086119A"/>
    <w:rsid w:val="0086634C"/>
    <w:rsid w:val="00866C27"/>
    <w:rsid w:val="00867C62"/>
    <w:rsid w:val="00867EDC"/>
    <w:rsid w:val="00870531"/>
    <w:rsid w:val="00871877"/>
    <w:rsid w:val="00871CAF"/>
    <w:rsid w:val="008726CA"/>
    <w:rsid w:val="00872B0F"/>
    <w:rsid w:val="008737EA"/>
    <w:rsid w:val="00873855"/>
    <w:rsid w:val="00873BC6"/>
    <w:rsid w:val="0087411F"/>
    <w:rsid w:val="008744A5"/>
    <w:rsid w:val="008745D3"/>
    <w:rsid w:val="0087489F"/>
    <w:rsid w:val="00874F0C"/>
    <w:rsid w:val="00875044"/>
    <w:rsid w:val="00875C7F"/>
    <w:rsid w:val="00877CEF"/>
    <w:rsid w:val="00880E92"/>
    <w:rsid w:val="008815DE"/>
    <w:rsid w:val="0088172D"/>
    <w:rsid w:val="00881778"/>
    <w:rsid w:val="00882103"/>
    <w:rsid w:val="008824B3"/>
    <w:rsid w:val="00883142"/>
    <w:rsid w:val="00884384"/>
    <w:rsid w:val="00884B2C"/>
    <w:rsid w:val="00884FEB"/>
    <w:rsid w:val="00885185"/>
    <w:rsid w:val="00885309"/>
    <w:rsid w:val="0088587E"/>
    <w:rsid w:val="0088630E"/>
    <w:rsid w:val="00887637"/>
    <w:rsid w:val="00887929"/>
    <w:rsid w:val="00887A83"/>
    <w:rsid w:val="0089010B"/>
    <w:rsid w:val="00893133"/>
    <w:rsid w:val="008932B5"/>
    <w:rsid w:val="00894221"/>
    <w:rsid w:val="008968A4"/>
    <w:rsid w:val="00897812"/>
    <w:rsid w:val="008A05EC"/>
    <w:rsid w:val="008A0983"/>
    <w:rsid w:val="008A1203"/>
    <w:rsid w:val="008A15A6"/>
    <w:rsid w:val="008A1A1E"/>
    <w:rsid w:val="008A1C51"/>
    <w:rsid w:val="008A301C"/>
    <w:rsid w:val="008A3152"/>
    <w:rsid w:val="008A3D96"/>
    <w:rsid w:val="008A49E8"/>
    <w:rsid w:val="008A509C"/>
    <w:rsid w:val="008A5DBC"/>
    <w:rsid w:val="008A61B3"/>
    <w:rsid w:val="008A7A5D"/>
    <w:rsid w:val="008B17E8"/>
    <w:rsid w:val="008B1A0F"/>
    <w:rsid w:val="008B2119"/>
    <w:rsid w:val="008B23C9"/>
    <w:rsid w:val="008B2F5E"/>
    <w:rsid w:val="008B37B1"/>
    <w:rsid w:val="008B3A5F"/>
    <w:rsid w:val="008B3E8F"/>
    <w:rsid w:val="008B6066"/>
    <w:rsid w:val="008B695F"/>
    <w:rsid w:val="008B6B86"/>
    <w:rsid w:val="008B7267"/>
    <w:rsid w:val="008B73EE"/>
    <w:rsid w:val="008C017D"/>
    <w:rsid w:val="008C09FE"/>
    <w:rsid w:val="008C1133"/>
    <w:rsid w:val="008C122C"/>
    <w:rsid w:val="008C2330"/>
    <w:rsid w:val="008C26F8"/>
    <w:rsid w:val="008C2DC4"/>
    <w:rsid w:val="008C5233"/>
    <w:rsid w:val="008C5886"/>
    <w:rsid w:val="008C624D"/>
    <w:rsid w:val="008C66C7"/>
    <w:rsid w:val="008C6A9B"/>
    <w:rsid w:val="008C6E0B"/>
    <w:rsid w:val="008C732E"/>
    <w:rsid w:val="008D0D6A"/>
    <w:rsid w:val="008D1D6C"/>
    <w:rsid w:val="008D2210"/>
    <w:rsid w:val="008D230A"/>
    <w:rsid w:val="008D24A6"/>
    <w:rsid w:val="008D274F"/>
    <w:rsid w:val="008D2979"/>
    <w:rsid w:val="008D30F0"/>
    <w:rsid w:val="008D4535"/>
    <w:rsid w:val="008D53B8"/>
    <w:rsid w:val="008D5CDE"/>
    <w:rsid w:val="008D6256"/>
    <w:rsid w:val="008D6581"/>
    <w:rsid w:val="008D696E"/>
    <w:rsid w:val="008D7455"/>
    <w:rsid w:val="008D7D83"/>
    <w:rsid w:val="008E0688"/>
    <w:rsid w:val="008E0E86"/>
    <w:rsid w:val="008E0F08"/>
    <w:rsid w:val="008E10EF"/>
    <w:rsid w:val="008E20BD"/>
    <w:rsid w:val="008E38E8"/>
    <w:rsid w:val="008E3CA9"/>
    <w:rsid w:val="008E47D2"/>
    <w:rsid w:val="008E5ADB"/>
    <w:rsid w:val="008F0BB5"/>
    <w:rsid w:val="008F1D51"/>
    <w:rsid w:val="008F2C6B"/>
    <w:rsid w:val="008F2D4E"/>
    <w:rsid w:val="008F3052"/>
    <w:rsid w:val="008F42E6"/>
    <w:rsid w:val="008F50DF"/>
    <w:rsid w:val="008F54B0"/>
    <w:rsid w:val="008F5BFE"/>
    <w:rsid w:val="008F6C88"/>
    <w:rsid w:val="008F7C56"/>
    <w:rsid w:val="0090036A"/>
    <w:rsid w:val="00900C1D"/>
    <w:rsid w:val="00901501"/>
    <w:rsid w:val="00901574"/>
    <w:rsid w:val="00902B4D"/>
    <w:rsid w:val="00902BCE"/>
    <w:rsid w:val="00902EFC"/>
    <w:rsid w:val="00905EA9"/>
    <w:rsid w:val="009068C9"/>
    <w:rsid w:val="00907115"/>
    <w:rsid w:val="00907513"/>
    <w:rsid w:val="00907AF9"/>
    <w:rsid w:val="00910210"/>
    <w:rsid w:val="009109C8"/>
    <w:rsid w:val="009118EE"/>
    <w:rsid w:val="00912DF5"/>
    <w:rsid w:val="00913A2F"/>
    <w:rsid w:val="00913FC0"/>
    <w:rsid w:val="00914623"/>
    <w:rsid w:val="00916197"/>
    <w:rsid w:val="00920491"/>
    <w:rsid w:val="00921700"/>
    <w:rsid w:val="00922B19"/>
    <w:rsid w:val="00922F04"/>
    <w:rsid w:val="009239A1"/>
    <w:rsid w:val="0092451B"/>
    <w:rsid w:val="009247A0"/>
    <w:rsid w:val="00924EEF"/>
    <w:rsid w:val="00924FE7"/>
    <w:rsid w:val="009258A2"/>
    <w:rsid w:val="009265F9"/>
    <w:rsid w:val="009270FE"/>
    <w:rsid w:val="00927A7A"/>
    <w:rsid w:val="00927A8B"/>
    <w:rsid w:val="00927B49"/>
    <w:rsid w:val="00927F02"/>
    <w:rsid w:val="009301D3"/>
    <w:rsid w:val="0093055F"/>
    <w:rsid w:val="00930817"/>
    <w:rsid w:val="009308DB"/>
    <w:rsid w:val="00931528"/>
    <w:rsid w:val="009317AA"/>
    <w:rsid w:val="0093202C"/>
    <w:rsid w:val="00932E47"/>
    <w:rsid w:val="009339C1"/>
    <w:rsid w:val="00933C5E"/>
    <w:rsid w:val="00934BDB"/>
    <w:rsid w:val="00934F04"/>
    <w:rsid w:val="00936395"/>
    <w:rsid w:val="00936BB3"/>
    <w:rsid w:val="00936DD1"/>
    <w:rsid w:val="009371BA"/>
    <w:rsid w:val="00937A7D"/>
    <w:rsid w:val="0094162B"/>
    <w:rsid w:val="00941843"/>
    <w:rsid w:val="00942368"/>
    <w:rsid w:val="009433BC"/>
    <w:rsid w:val="0094380A"/>
    <w:rsid w:val="00944530"/>
    <w:rsid w:val="00945ED3"/>
    <w:rsid w:val="00947028"/>
    <w:rsid w:val="00947A01"/>
    <w:rsid w:val="00950950"/>
    <w:rsid w:val="00950EE5"/>
    <w:rsid w:val="00951204"/>
    <w:rsid w:val="00952ECC"/>
    <w:rsid w:val="0095353C"/>
    <w:rsid w:val="00954485"/>
    <w:rsid w:val="00954A0C"/>
    <w:rsid w:val="00955AA6"/>
    <w:rsid w:val="00955C81"/>
    <w:rsid w:val="00955F25"/>
    <w:rsid w:val="00960B47"/>
    <w:rsid w:val="00962BBD"/>
    <w:rsid w:val="009633A5"/>
    <w:rsid w:val="0096378F"/>
    <w:rsid w:val="00964E1D"/>
    <w:rsid w:val="00965272"/>
    <w:rsid w:val="00965D27"/>
    <w:rsid w:val="00966663"/>
    <w:rsid w:val="00967868"/>
    <w:rsid w:val="00967FAE"/>
    <w:rsid w:val="00971A2C"/>
    <w:rsid w:val="009720F9"/>
    <w:rsid w:val="009721E6"/>
    <w:rsid w:val="00972A1C"/>
    <w:rsid w:val="00973707"/>
    <w:rsid w:val="00973973"/>
    <w:rsid w:val="00973B8E"/>
    <w:rsid w:val="00974150"/>
    <w:rsid w:val="009742FC"/>
    <w:rsid w:val="00974E3F"/>
    <w:rsid w:val="00974F0C"/>
    <w:rsid w:val="00975344"/>
    <w:rsid w:val="00975CA2"/>
    <w:rsid w:val="00975F7F"/>
    <w:rsid w:val="009769DE"/>
    <w:rsid w:val="009807C6"/>
    <w:rsid w:val="00981540"/>
    <w:rsid w:val="009817E3"/>
    <w:rsid w:val="0098182F"/>
    <w:rsid w:val="0098245F"/>
    <w:rsid w:val="00984A5C"/>
    <w:rsid w:val="00985397"/>
    <w:rsid w:val="00985B99"/>
    <w:rsid w:val="00986D41"/>
    <w:rsid w:val="00986FA9"/>
    <w:rsid w:val="0098757C"/>
    <w:rsid w:val="0098778D"/>
    <w:rsid w:val="00991C37"/>
    <w:rsid w:val="00991D59"/>
    <w:rsid w:val="009921F0"/>
    <w:rsid w:val="0099270E"/>
    <w:rsid w:val="00992C04"/>
    <w:rsid w:val="00994D07"/>
    <w:rsid w:val="00995A7F"/>
    <w:rsid w:val="00995B12"/>
    <w:rsid w:val="0099694B"/>
    <w:rsid w:val="009A0C4E"/>
    <w:rsid w:val="009A1317"/>
    <w:rsid w:val="009A1662"/>
    <w:rsid w:val="009A1A9B"/>
    <w:rsid w:val="009A2864"/>
    <w:rsid w:val="009A2E43"/>
    <w:rsid w:val="009A3874"/>
    <w:rsid w:val="009A4399"/>
    <w:rsid w:val="009A455A"/>
    <w:rsid w:val="009A47E2"/>
    <w:rsid w:val="009A4B3E"/>
    <w:rsid w:val="009A6E08"/>
    <w:rsid w:val="009A7A38"/>
    <w:rsid w:val="009B09F5"/>
    <w:rsid w:val="009B0E38"/>
    <w:rsid w:val="009B25C7"/>
    <w:rsid w:val="009B3008"/>
    <w:rsid w:val="009B355E"/>
    <w:rsid w:val="009B4D6A"/>
    <w:rsid w:val="009B511B"/>
    <w:rsid w:val="009B526D"/>
    <w:rsid w:val="009B591B"/>
    <w:rsid w:val="009B5985"/>
    <w:rsid w:val="009B627A"/>
    <w:rsid w:val="009B688D"/>
    <w:rsid w:val="009B6CE4"/>
    <w:rsid w:val="009C001E"/>
    <w:rsid w:val="009C083D"/>
    <w:rsid w:val="009C2C58"/>
    <w:rsid w:val="009C3801"/>
    <w:rsid w:val="009C3D16"/>
    <w:rsid w:val="009C3DD6"/>
    <w:rsid w:val="009C4291"/>
    <w:rsid w:val="009C43C7"/>
    <w:rsid w:val="009C44E7"/>
    <w:rsid w:val="009C4702"/>
    <w:rsid w:val="009C5582"/>
    <w:rsid w:val="009C68BF"/>
    <w:rsid w:val="009C7899"/>
    <w:rsid w:val="009C7D6A"/>
    <w:rsid w:val="009D288A"/>
    <w:rsid w:val="009D30AF"/>
    <w:rsid w:val="009D3244"/>
    <w:rsid w:val="009D50E7"/>
    <w:rsid w:val="009D5501"/>
    <w:rsid w:val="009D5D1A"/>
    <w:rsid w:val="009D6EDB"/>
    <w:rsid w:val="009D7A90"/>
    <w:rsid w:val="009E283E"/>
    <w:rsid w:val="009E2BBD"/>
    <w:rsid w:val="009E42EE"/>
    <w:rsid w:val="009E4A27"/>
    <w:rsid w:val="009E4FA0"/>
    <w:rsid w:val="009E563E"/>
    <w:rsid w:val="009E5CC6"/>
    <w:rsid w:val="009E5DCC"/>
    <w:rsid w:val="009E61D8"/>
    <w:rsid w:val="009E655E"/>
    <w:rsid w:val="009E718A"/>
    <w:rsid w:val="009E7D0C"/>
    <w:rsid w:val="009E7D4D"/>
    <w:rsid w:val="009E7DDE"/>
    <w:rsid w:val="009F0653"/>
    <w:rsid w:val="009F1084"/>
    <w:rsid w:val="009F1550"/>
    <w:rsid w:val="009F19E9"/>
    <w:rsid w:val="009F1F3F"/>
    <w:rsid w:val="009F2B54"/>
    <w:rsid w:val="009F362C"/>
    <w:rsid w:val="009F3AD0"/>
    <w:rsid w:val="009F3BF5"/>
    <w:rsid w:val="009F45B7"/>
    <w:rsid w:val="009F5262"/>
    <w:rsid w:val="009F78B4"/>
    <w:rsid w:val="009F7C08"/>
    <w:rsid w:val="00A01C72"/>
    <w:rsid w:val="00A0239C"/>
    <w:rsid w:val="00A02850"/>
    <w:rsid w:val="00A03C89"/>
    <w:rsid w:val="00A03DC9"/>
    <w:rsid w:val="00A045D1"/>
    <w:rsid w:val="00A0483F"/>
    <w:rsid w:val="00A04CFA"/>
    <w:rsid w:val="00A07646"/>
    <w:rsid w:val="00A10210"/>
    <w:rsid w:val="00A10C90"/>
    <w:rsid w:val="00A11C6E"/>
    <w:rsid w:val="00A12B66"/>
    <w:rsid w:val="00A136CD"/>
    <w:rsid w:val="00A14679"/>
    <w:rsid w:val="00A159E2"/>
    <w:rsid w:val="00A15AAC"/>
    <w:rsid w:val="00A16FFF"/>
    <w:rsid w:val="00A201CF"/>
    <w:rsid w:val="00A20B73"/>
    <w:rsid w:val="00A2220F"/>
    <w:rsid w:val="00A232F8"/>
    <w:rsid w:val="00A24751"/>
    <w:rsid w:val="00A248E2"/>
    <w:rsid w:val="00A26662"/>
    <w:rsid w:val="00A2674E"/>
    <w:rsid w:val="00A2757B"/>
    <w:rsid w:val="00A27BBC"/>
    <w:rsid w:val="00A30C4C"/>
    <w:rsid w:val="00A31125"/>
    <w:rsid w:val="00A31E59"/>
    <w:rsid w:val="00A320B1"/>
    <w:rsid w:val="00A325F5"/>
    <w:rsid w:val="00A33695"/>
    <w:rsid w:val="00A33C55"/>
    <w:rsid w:val="00A34026"/>
    <w:rsid w:val="00A3453C"/>
    <w:rsid w:val="00A369B8"/>
    <w:rsid w:val="00A369C3"/>
    <w:rsid w:val="00A37988"/>
    <w:rsid w:val="00A37A04"/>
    <w:rsid w:val="00A402A8"/>
    <w:rsid w:val="00A41661"/>
    <w:rsid w:val="00A4281F"/>
    <w:rsid w:val="00A4309F"/>
    <w:rsid w:val="00A4319E"/>
    <w:rsid w:val="00A433ED"/>
    <w:rsid w:val="00A44410"/>
    <w:rsid w:val="00A4645E"/>
    <w:rsid w:val="00A50EB7"/>
    <w:rsid w:val="00A51AA9"/>
    <w:rsid w:val="00A5221E"/>
    <w:rsid w:val="00A53185"/>
    <w:rsid w:val="00A532F5"/>
    <w:rsid w:val="00A53C11"/>
    <w:rsid w:val="00A5427A"/>
    <w:rsid w:val="00A5527A"/>
    <w:rsid w:val="00A55DC4"/>
    <w:rsid w:val="00A56F0F"/>
    <w:rsid w:val="00A60195"/>
    <w:rsid w:val="00A6393D"/>
    <w:rsid w:val="00A6394C"/>
    <w:rsid w:val="00A64421"/>
    <w:rsid w:val="00A648C2"/>
    <w:rsid w:val="00A66053"/>
    <w:rsid w:val="00A6683C"/>
    <w:rsid w:val="00A66EC6"/>
    <w:rsid w:val="00A6706B"/>
    <w:rsid w:val="00A672A8"/>
    <w:rsid w:val="00A675D9"/>
    <w:rsid w:val="00A700A3"/>
    <w:rsid w:val="00A70159"/>
    <w:rsid w:val="00A70245"/>
    <w:rsid w:val="00A707F3"/>
    <w:rsid w:val="00A72DF3"/>
    <w:rsid w:val="00A73282"/>
    <w:rsid w:val="00A732AE"/>
    <w:rsid w:val="00A7376F"/>
    <w:rsid w:val="00A74B40"/>
    <w:rsid w:val="00A74D8D"/>
    <w:rsid w:val="00A75338"/>
    <w:rsid w:val="00A76381"/>
    <w:rsid w:val="00A767BE"/>
    <w:rsid w:val="00A772B4"/>
    <w:rsid w:val="00A774C1"/>
    <w:rsid w:val="00A779E9"/>
    <w:rsid w:val="00A801A9"/>
    <w:rsid w:val="00A807E1"/>
    <w:rsid w:val="00A80A02"/>
    <w:rsid w:val="00A80C2E"/>
    <w:rsid w:val="00A826E9"/>
    <w:rsid w:val="00A8286E"/>
    <w:rsid w:val="00A82F95"/>
    <w:rsid w:val="00A8318E"/>
    <w:rsid w:val="00A840BE"/>
    <w:rsid w:val="00A840D5"/>
    <w:rsid w:val="00A85CE0"/>
    <w:rsid w:val="00A85E91"/>
    <w:rsid w:val="00A85EDB"/>
    <w:rsid w:val="00A86139"/>
    <w:rsid w:val="00A86C99"/>
    <w:rsid w:val="00A86EB4"/>
    <w:rsid w:val="00A90BDF"/>
    <w:rsid w:val="00A92865"/>
    <w:rsid w:val="00A92CFF"/>
    <w:rsid w:val="00A92F0D"/>
    <w:rsid w:val="00A94497"/>
    <w:rsid w:val="00A94F5F"/>
    <w:rsid w:val="00A94FBC"/>
    <w:rsid w:val="00A95150"/>
    <w:rsid w:val="00A9559C"/>
    <w:rsid w:val="00A95FD0"/>
    <w:rsid w:val="00A97C62"/>
    <w:rsid w:val="00A97DCA"/>
    <w:rsid w:val="00A97FED"/>
    <w:rsid w:val="00AA02BE"/>
    <w:rsid w:val="00AA1B66"/>
    <w:rsid w:val="00AA3189"/>
    <w:rsid w:val="00AA629F"/>
    <w:rsid w:val="00AA6A66"/>
    <w:rsid w:val="00AA72D7"/>
    <w:rsid w:val="00AA7658"/>
    <w:rsid w:val="00AB01A1"/>
    <w:rsid w:val="00AB0412"/>
    <w:rsid w:val="00AB0885"/>
    <w:rsid w:val="00AB1C4B"/>
    <w:rsid w:val="00AB2389"/>
    <w:rsid w:val="00AB2C97"/>
    <w:rsid w:val="00AB2F46"/>
    <w:rsid w:val="00AB393F"/>
    <w:rsid w:val="00AB3FE1"/>
    <w:rsid w:val="00AB4C74"/>
    <w:rsid w:val="00AB4E51"/>
    <w:rsid w:val="00AB5C94"/>
    <w:rsid w:val="00AB63E5"/>
    <w:rsid w:val="00AB6610"/>
    <w:rsid w:val="00AB67AA"/>
    <w:rsid w:val="00AB68B2"/>
    <w:rsid w:val="00AB7835"/>
    <w:rsid w:val="00AB7B8D"/>
    <w:rsid w:val="00AB7EF6"/>
    <w:rsid w:val="00AC06B8"/>
    <w:rsid w:val="00AC0C9F"/>
    <w:rsid w:val="00AC0F2C"/>
    <w:rsid w:val="00AC14E2"/>
    <w:rsid w:val="00AC1F38"/>
    <w:rsid w:val="00AC3054"/>
    <w:rsid w:val="00AC4299"/>
    <w:rsid w:val="00AC4E3A"/>
    <w:rsid w:val="00AC5975"/>
    <w:rsid w:val="00AC5D72"/>
    <w:rsid w:val="00AC5F45"/>
    <w:rsid w:val="00AC6255"/>
    <w:rsid w:val="00AC654C"/>
    <w:rsid w:val="00AC6570"/>
    <w:rsid w:val="00AC6619"/>
    <w:rsid w:val="00AC7107"/>
    <w:rsid w:val="00AD061B"/>
    <w:rsid w:val="00AD0C6F"/>
    <w:rsid w:val="00AD1A08"/>
    <w:rsid w:val="00AD4571"/>
    <w:rsid w:val="00AD70F1"/>
    <w:rsid w:val="00AD7567"/>
    <w:rsid w:val="00AE0C1B"/>
    <w:rsid w:val="00AE1CD7"/>
    <w:rsid w:val="00AE3D79"/>
    <w:rsid w:val="00AE7CD3"/>
    <w:rsid w:val="00AF003B"/>
    <w:rsid w:val="00AF07E2"/>
    <w:rsid w:val="00AF1037"/>
    <w:rsid w:val="00AF1E50"/>
    <w:rsid w:val="00AF1F57"/>
    <w:rsid w:val="00AF2910"/>
    <w:rsid w:val="00AF3C10"/>
    <w:rsid w:val="00AF3C69"/>
    <w:rsid w:val="00AF3D7A"/>
    <w:rsid w:val="00AF4ED2"/>
    <w:rsid w:val="00AF61D0"/>
    <w:rsid w:val="00AF6219"/>
    <w:rsid w:val="00AF62BC"/>
    <w:rsid w:val="00AF672F"/>
    <w:rsid w:val="00AF6862"/>
    <w:rsid w:val="00AF6F2C"/>
    <w:rsid w:val="00AF7FA5"/>
    <w:rsid w:val="00B006E9"/>
    <w:rsid w:val="00B01163"/>
    <w:rsid w:val="00B024AD"/>
    <w:rsid w:val="00B024D7"/>
    <w:rsid w:val="00B03CD3"/>
    <w:rsid w:val="00B048F1"/>
    <w:rsid w:val="00B049B4"/>
    <w:rsid w:val="00B04D23"/>
    <w:rsid w:val="00B057CA"/>
    <w:rsid w:val="00B06C38"/>
    <w:rsid w:val="00B11505"/>
    <w:rsid w:val="00B11D0D"/>
    <w:rsid w:val="00B12E10"/>
    <w:rsid w:val="00B12EA6"/>
    <w:rsid w:val="00B13F06"/>
    <w:rsid w:val="00B14047"/>
    <w:rsid w:val="00B14253"/>
    <w:rsid w:val="00B145A2"/>
    <w:rsid w:val="00B15280"/>
    <w:rsid w:val="00B15761"/>
    <w:rsid w:val="00B15DB6"/>
    <w:rsid w:val="00B15F2D"/>
    <w:rsid w:val="00B17100"/>
    <w:rsid w:val="00B171C0"/>
    <w:rsid w:val="00B17999"/>
    <w:rsid w:val="00B20317"/>
    <w:rsid w:val="00B20E5D"/>
    <w:rsid w:val="00B212C5"/>
    <w:rsid w:val="00B21DE2"/>
    <w:rsid w:val="00B21E50"/>
    <w:rsid w:val="00B22110"/>
    <w:rsid w:val="00B22E27"/>
    <w:rsid w:val="00B23005"/>
    <w:rsid w:val="00B267A1"/>
    <w:rsid w:val="00B26927"/>
    <w:rsid w:val="00B30046"/>
    <w:rsid w:val="00B31D8A"/>
    <w:rsid w:val="00B32AFB"/>
    <w:rsid w:val="00B34001"/>
    <w:rsid w:val="00B34B0B"/>
    <w:rsid w:val="00B34B77"/>
    <w:rsid w:val="00B34DD6"/>
    <w:rsid w:val="00B35F80"/>
    <w:rsid w:val="00B3602B"/>
    <w:rsid w:val="00B36BA6"/>
    <w:rsid w:val="00B36EAA"/>
    <w:rsid w:val="00B4088C"/>
    <w:rsid w:val="00B4177D"/>
    <w:rsid w:val="00B429FB"/>
    <w:rsid w:val="00B431BD"/>
    <w:rsid w:val="00B439B1"/>
    <w:rsid w:val="00B43C2A"/>
    <w:rsid w:val="00B43F29"/>
    <w:rsid w:val="00B4423C"/>
    <w:rsid w:val="00B442BD"/>
    <w:rsid w:val="00B44FD0"/>
    <w:rsid w:val="00B4512A"/>
    <w:rsid w:val="00B45BCF"/>
    <w:rsid w:val="00B47F0C"/>
    <w:rsid w:val="00B50194"/>
    <w:rsid w:val="00B50C55"/>
    <w:rsid w:val="00B50D11"/>
    <w:rsid w:val="00B51A5D"/>
    <w:rsid w:val="00B51CC6"/>
    <w:rsid w:val="00B51F42"/>
    <w:rsid w:val="00B522A4"/>
    <w:rsid w:val="00B52872"/>
    <w:rsid w:val="00B53030"/>
    <w:rsid w:val="00B53847"/>
    <w:rsid w:val="00B53939"/>
    <w:rsid w:val="00B542AB"/>
    <w:rsid w:val="00B62635"/>
    <w:rsid w:val="00B64EB6"/>
    <w:rsid w:val="00B65593"/>
    <w:rsid w:val="00B65598"/>
    <w:rsid w:val="00B704AB"/>
    <w:rsid w:val="00B71CD5"/>
    <w:rsid w:val="00B71DAC"/>
    <w:rsid w:val="00B723C6"/>
    <w:rsid w:val="00B72E87"/>
    <w:rsid w:val="00B730C7"/>
    <w:rsid w:val="00B734C4"/>
    <w:rsid w:val="00B7350E"/>
    <w:rsid w:val="00B74792"/>
    <w:rsid w:val="00B74827"/>
    <w:rsid w:val="00B7583B"/>
    <w:rsid w:val="00B759BA"/>
    <w:rsid w:val="00B811B0"/>
    <w:rsid w:val="00B814CA"/>
    <w:rsid w:val="00B816A3"/>
    <w:rsid w:val="00B822A4"/>
    <w:rsid w:val="00B828CC"/>
    <w:rsid w:val="00B83834"/>
    <w:rsid w:val="00B83DDE"/>
    <w:rsid w:val="00B846EC"/>
    <w:rsid w:val="00B8560C"/>
    <w:rsid w:val="00B856D5"/>
    <w:rsid w:val="00B8575F"/>
    <w:rsid w:val="00B85B8C"/>
    <w:rsid w:val="00B85C48"/>
    <w:rsid w:val="00B85F75"/>
    <w:rsid w:val="00B86114"/>
    <w:rsid w:val="00B86CA9"/>
    <w:rsid w:val="00B912BF"/>
    <w:rsid w:val="00B91440"/>
    <w:rsid w:val="00B918B1"/>
    <w:rsid w:val="00B92AAD"/>
    <w:rsid w:val="00B93FA1"/>
    <w:rsid w:val="00B94F66"/>
    <w:rsid w:val="00B96FBD"/>
    <w:rsid w:val="00B976B5"/>
    <w:rsid w:val="00B976CF"/>
    <w:rsid w:val="00B97F1B"/>
    <w:rsid w:val="00BA05FE"/>
    <w:rsid w:val="00BA1BF6"/>
    <w:rsid w:val="00BA1C6C"/>
    <w:rsid w:val="00BA1CD6"/>
    <w:rsid w:val="00BA2863"/>
    <w:rsid w:val="00BA325A"/>
    <w:rsid w:val="00BA4A8E"/>
    <w:rsid w:val="00BA5699"/>
    <w:rsid w:val="00BA58FE"/>
    <w:rsid w:val="00BA5C1F"/>
    <w:rsid w:val="00BA6384"/>
    <w:rsid w:val="00BA6E03"/>
    <w:rsid w:val="00BA7308"/>
    <w:rsid w:val="00BA7CE0"/>
    <w:rsid w:val="00BB169C"/>
    <w:rsid w:val="00BB18C2"/>
    <w:rsid w:val="00BB1DFE"/>
    <w:rsid w:val="00BB225B"/>
    <w:rsid w:val="00BB22D4"/>
    <w:rsid w:val="00BB3CBE"/>
    <w:rsid w:val="00BB50BB"/>
    <w:rsid w:val="00BB5B5D"/>
    <w:rsid w:val="00BB6397"/>
    <w:rsid w:val="00BB6B9C"/>
    <w:rsid w:val="00BB73C8"/>
    <w:rsid w:val="00BB7E19"/>
    <w:rsid w:val="00BC068F"/>
    <w:rsid w:val="00BC0A7F"/>
    <w:rsid w:val="00BC1220"/>
    <w:rsid w:val="00BC177F"/>
    <w:rsid w:val="00BC2C58"/>
    <w:rsid w:val="00BC3A29"/>
    <w:rsid w:val="00BC3F13"/>
    <w:rsid w:val="00BC40B5"/>
    <w:rsid w:val="00BC43FD"/>
    <w:rsid w:val="00BC47BF"/>
    <w:rsid w:val="00BC4F1C"/>
    <w:rsid w:val="00BC51F5"/>
    <w:rsid w:val="00BC61CD"/>
    <w:rsid w:val="00BC61F2"/>
    <w:rsid w:val="00BC67C0"/>
    <w:rsid w:val="00BC6F32"/>
    <w:rsid w:val="00BC6F41"/>
    <w:rsid w:val="00BC793E"/>
    <w:rsid w:val="00BC7E64"/>
    <w:rsid w:val="00BD1270"/>
    <w:rsid w:val="00BD1342"/>
    <w:rsid w:val="00BD1379"/>
    <w:rsid w:val="00BD2FE7"/>
    <w:rsid w:val="00BD36DE"/>
    <w:rsid w:val="00BD4E13"/>
    <w:rsid w:val="00BD52C3"/>
    <w:rsid w:val="00BD5485"/>
    <w:rsid w:val="00BD5A14"/>
    <w:rsid w:val="00BD5F43"/>
    <w:rsid w:val="00BD661B"/>
    <w:rsid w:val="00BD687C"/>
    <w:rsid w:val="00BD6DB9"/>
    <w:rsid w:val="00BD71A3"/>
    <w:rsid w:val="00BD75D1"/>
    <w:rsid w:val="00BE0363"/>
    <w:rsid w:val="00BE0A45"/>
    <w:rsid w:val="00BE1233"/>
    <w:rsid w:val="00BE1277"/>
    <w:rsid w:val="00BE1311"/>
    <w:rsid w:val="00BE19C2"/>
    <w:rsid w:val="00BE358B"/>
    <w:rsid w:val="00BE4109"/>
    <w:rsid w:val="00BE447B"/>
    <w:rsid w:val="00BE4782"/>
    <w:rsid w:val="00BE47D8"/>
    <w:rsid w:val="00BE4FD9"/>
    <w:rsid w:val="00BE57BF"/>
    <w:rsid w:val="00BE5D73"/>
    <w:rsid w:val="00BE6DFE"/>
    <w:rsid w:val="00BE79AB"/>
    <w:rsid w:val="00BF0637"/>
    <w:rsid w:val="00BF124A"/>
    <w:rsid w:val="00BF37A9"/>
    <w:rsid w:val="00BF3C23"/>
    <w:rsid w:val="00BF4770"/>
    <w:rsid w:val="00BF540A"/>
    <w:rsid w:val="00BF67D7"/>
    <w:rsid w:val="00BF6EC1"/>
    <w:rsid w:val="00BF7257"/>
    <w:rsid w:val="00BF7347"/>
    <w:rsid w:val="00C017D1"/>
    <w:rsid w:val="00C029BC"/>
    <w:rsid w:val="00C04D37"/>
    <w:rsid w:val="00C05941"/>
    <w:rsid w:val="00C0657C"/>
    <w:rsid w:val="00C074C4"/>
    <w:rsid w:val="00C10CD4"/>
    <w:rsid w:val="00C11B8D"/>
    <w:rsid w:val="00C12AE0"/>
    <w:rsid w:val="00C12FEB"/>
    <w:rsid w:val="00C1357C"/>
    <w:rsid w:val="00C140C6"/>
    <w:rsid w:val="00C144EF"/>
    <w:rsid w:val="00C1534E"/>
    <w:rsid w:val="00C211DC"/>
    <w:rsid w:val="00C2135F"/>
    <w:rsid w:val="00C22B34"/>
    <w:rsid w:val="00C233C6"/>
    <w:rsid w:val="00C23D4E"/>
    <w:rsid w:val="00C24ED2"/>
    <w:rsid w:val="00C24F3F"/>
    <w:rsid w:val="00C25670"/>
    <w:rsid w:val="00C259E2"/>
    <w:rsid w:val="00C2636B"/>
    <w:rsid w:val="00C26C3A"/>
    <w:rsid w:val="00C27140"/>
    <w:rsid w:val="00C277FB"/>
    <w:rsid w:val="00C27CEA"/>
    <w:rsid w:val="00C30639"/>
    <w:rsid w:val="00C306B3"/>
    <w:rsid w:val="00C306F6"/>
    <w:rsid w:val="00C3070C"/>
    <w:rsid w:val="00C3194E"/>
    <w:rsid w:val="00C31BBB"/>
    <w:rsid w:val="00C3220C"/>
    <w:rsid w:val="00C345ED"/>
    <w:rsid w:val="00C34837"/>
    <w:rsid w:val="00C348B3"/>
    <w:rsid w:val="00C34F38"/>
    <w:rsid w:val="00C3548F"/>
    <w:rsid w:val="00C356C8"/>
    <w:rsid w:val="00C367B4"/>
    <w:rsid w:val="00C36B2D"/>
    <w:rsid w:val="00C37615"/>
    <w:rsid w:val="00C37B29"/>
    <w:rsid w:val="00C40D60"/>
    <w:rsid w:val="00C43A7D"/>
    <w:rsid w:val="00C4425F"/>
    <w:rsid w:val="00C44421"/>
    <w:rsid w:val="00C44A04"/>
    <w:rsid w:val="00C44C83"/>
    <w:rsid w:val="00C46058"/>
    <w:rsid w:val="00C4623C"/>
    <w:rsid w:val="00C46DB1"/>
    <w:rsid w:val="00C4706F"/>
    <w:rsid w:val="00C47BD3"/>
    <w:rsid w:val="00C47E57"/>
    <w:rsid w:val="00C504D3"/>
    <w:rsid w:val="00C536B3"/>
    <w:rsid w:val="00C53836"/>
    <w:rsid w:val="00C53B22"/>
    <w:rsid w:val="00C53C4E"/>
    <w:rsid w:val="00C53D24"/>
    <w:rsid w:val="00C542A9"/>
    <w:rsid w:val="00C54763"/>
    <w:rsid w:val="00C55547"/>
    <w:rsid w:val="00C55649"/>
    <w:rsid w:val="00C563A1"/>
    <w:rsid w:val="00C576F8"/>
    <w:rsid w:val="00C57F07"/>
    <w:rsid w:val="00C604F5"/>
    <w:rsid w:val="00C61583"/>
    <w:rsid w:val="00C61B48"/>
    <w:rsid w:val="00C61FF5"/>
    <w:rsid w:val="00C62CD3"/>
    <w:rsid w:val="00C635CF"/>
    <w:rsid w:val="00C635FD"/>
    <w:rsid w:val="00C63986"/>
    <w:rsid w:val="00C64027"/>
    <w:rsid w:val="00C66473"/>
    <w:rsid w:val="00C67004"/>
    <w:rsid w:val="00C679E4"/>
    <w:rsid w:val="00C7073E"/>
    <w:rsid w:val="00C707EE"/>
    <w:rsid w:val="00C7103D"/>
    <w:rsid w:val="00C717C8"/>
    <w:rsid w:val="00C7187C"/>
    <w:rsid w:val="00C71AF2"/>
    <w:rsid w:val="00C71B86"/>
    <w:rsid w:val="00C71D62"/>
    <w:rsid w:val="00C723EA"/>
    <w:rsid w:val="00C731CE"/>
    <w:rsid w:val="00C76804"/>
    <w:rsid w:val="00C76E4A"/>
    <w:rsid w:val="00C80231"/>
    <w:rsid w:val="00C80731"/>
    <w:rsid w:val="00C80811"/>
    <w:rsid w:val="00C81C8B"/>
    <w:rsid w:val="00C82BBD"/>
    <w:rsid w:val="00C82C15"/>
    <w:rsid w:val="00C82F83"/>
    <w:rsid w:val="00C839AF"/>
    <w:rsid w:val="00C84BAF"/>
    <w:rsid w:val="00C84C64"/>
    <w:rsid w:val="00C8571F"/>
    <w:rsid w:val="00C85EAB"/>
    <w:rsid w:val="00C86C33"/>
    <w:rsid w:val="00C87CEE"/>
    <w:rsid w:val="00C9009E"/>
    <w:rsid w:val="00C91751"/>
    <w:rsid w:val="00C917B0"/>
    <w:rsid w:val="00C91DC9"/>
    <w:rsid w:val="00C931A3"/>
    <w:rsid w:val="00C93697"/>
    <w:rsid w:val="00C93FC2"/>
    <w:rsid w:val="00C941FF"/>
    <w:rsid w:val="00C94812"/>
    <w:rsid w:val="00C94AFD"/>
    <w:rsid w:val="00C95414"/>
    <w:rsid w:val="00C95E48"/>
    <w:rsid w:val="00C960CE"/>
    <w:rsid w:val="00C9673B"/>
    <w:rsid w:val="00C973FB"/>
    <w:rsid w:val="00CA0C40"/>
    <w:rsid w:val="00CA126C"/>
    <w:rsid w:val="00CA13B9"/>
    <w:rsid w:val="00CA21CA"/>
    <w:rsid w:val="00CA236C"/>
    <w:rsid w:val="00CA270D"/>
    <w:rsid w:val="00CA2E80"/>
    <w:rsid w:val="00CA2E92"/>
    <w:rsid w:val="00CA4EB2"/>
    <w:rsid w:val="00CA61EE"/>
    <w:rsid w:val="00CA6F54"/>
    <w:rsid w:val="00CB1F27"/>
    <w:rsid w:val="00CB256D"/>
    <w:rsid w:val="00CB3146"/>
    <w:rsid w:val="00CB3376"/>
    <w:rsid w:val="00CB3C8D"/>
    <w:rsid w:val="00CB484B"/>
    <w:rsid w:val="00CB4E0C"/>
    <w:rsid w:val="00CB5059"/>
    <w:rsid w:val="00CB6C8D"/>
    <w:rsid w:val="00CB7F46"/>
    <w:rsid w:val="00CC030A"/>
    <w:rsid w:val="00CC112B"/>
    <w:rsid w:val="00CC2508"/>
    <w:rsid w:val="00CC26A6"/>
    <w:rsid w:val="00CC2B5B"/>
    <w:rsid w:val="00CC2F2F"/>
    <w:rsid w:val="00CC47A1"/>
    <w:rsid w:val="00CC4F4F"/>
    <w:rsid w:val="00CC4F94"/>
    <w:rsid w:val="00CC6811"/>
    <w:rsid w:val="00CC6A7B"/>
    <w:rsid w:val="00CC7195"/>
    <w:rsid w:val="00CC73DA"/>
    <w:rsid w:val="00CD1420"/>
    <w:rsid w:val="00CD1762"/>
    <w:rsid w:val="00CD1B30"/>
    <w:rsid w:val="00CD33AB"/>
    <w:rsid w:val="00CD35F2"/>
    <w:rsid w:val="00CD385E"/>
    <w:rsid w:val="00CD3F0E"/>
    <w:rsid w:val="00CD4356"/>
    <w:rsid w:val="00CD6CEB"/>
    <w:rsid w:val="00CD7623"/>
    <w:rsid w:val="00CD7D5B"/>
    <w:rsid w:val="00CD7ED8"/>
    <w:rsid w:val="00CE04E5"/>
    <w:rsid w:val="00CE1093"/>
    <w:rsid w:val="00CE2A31"/>
    <w:rsid w:val="00CE2B78"/>
    <w:rsid w:val="00CE31F7"/>
    <w:rsid w:val="00CE47AF"/>
    <w:rsid w:val="00CE4BEB"/>
    <w:rsid w:val="00CE4C49"/>
    <w:rsid w:val="00CE51FF"/>
    <w:rsid w:val="00CE5491"/>
    <w:rsid w:val="00CE5754"/>
    <w:rsid w:val="00CE5ACF"/>
    <w:rsid w:val="00CE7048"/>
    <w:rsid w:val="00CE7221"/>
    <w:rsid w:val="00CE797B"/>
    <w:rsid w:val="00CE7F91"/>
    <w:rsid w:val="00CF0568"/>
    <w:rsid w:val="00CF0D1C"/>
    <w:rsid w:val="00CF1093"/>
    <w:rsid w:val="00CF206F"/>
    <w:rsid w:val="00CF2D64"/>
    <w:rsid w:val="00CF4C30"/>
    <w:rsid w:val="00CF5466"/>
    <w:rsid w:val="00CF5957"/>
    <w:rsid w:val="00CF5CD0"/>
    <w:rsid w:val="00CF6B09"/>
    <w:rsid w:val="00CF6D85"/>
    <w:rsid w:val="00CF6F63"/>
    <w:rsid w:val="00D02151"/>
    <w:rsid w:val="00D021AF"/>
    <w:rsid w:val="00D024BD"/>
    <w:rsid w:val="00D02770"/>
    <w:rsid w:val="00D02E89"/>
    <w:rsid w:val="00D054C0"/>
    <w:rsid w:val="00D057A6"/>
    <w:rsid w:val="00D05A94"/>
    <w:rsid w:val="00D06F70"/>
    <w:rsid w:val="00D10700"/>
    <w:rsid w:val="00D11201"/>
    <w:rsid w:val="00D11D41"/>
    <w:rsid w:val="00D11E4C"/>
    <w:rsid w:val="00D1223C"/>
    <w:rsid w:val="00D14A32"/>
    <w:rsid w:val="00D14EE0"/>
    <w:rsid w:val="00D15808"/>
    <w:rsid w:val="00D16380"/>
    <w:rsid w:val="00D1690D"/>
    <w:rsid w:val="00D16FBF"/>
    <w:rsid w:val="00D17259"/>
    <w:rsid w:val="00D1786A"/>
    <w:rsid w:val="00D2018B"/>
    <w:rsid w:val="00D20799"/>
    <w:rsid w:val="00D209AF"/>
    <w:rsid w:val="00D20C67"/>
    <w:rsid w:val="00D212FE"/>
    <w:rsid w:val="00D21548"/>
    <w:rsid w:val="00D21B29"/>
    <w:rsid w:val="00D2428D"/>
    <w:rsid w:val="00D24331"/>
    <w:rsid w:val="00D2506C"/>
    <w:rsid w:val="00D27F99"/>
    <w:rsid w:val="00D300D9"/>
    <w:rsid w:val="00D30A68"/>
    <w:rsid w:val="00D30BE6"/>
    <w:rsid w:val="00D30C04"/>
    <w:rsid w:val="00D314D5"/>
    <w:rsid w:val="00D318BC"/>
    <w:rsid w:val="00D31C7A"/>
    <w:rsid w:val="00D32447"/>
    <w:rsid w:val="00D33AA1"/>
    <w:rsid w:val="00D3421C"/>
    <w:rsid w:val="00D34F75"/>
    <w:rsid w:val="00D35BD5"/>
    <w:rsid w:val="00D35C30"/>
    <w:rsid w:val="00D36501"/>
    <w:rsid w:val="00D3686E"/>
    <w:rsid w:val="00D412C0"/>
    <w:rsid w:val="00D4194D"/>
    <w:rsid w:val="00D424CA"/>
    <w:rsid w:val="00D42942"/>
    <w:rsid w:val="00D42EDE"/>
    <w:rsid w:val="00D4457C"/>
    <w:rsid w:val="00D44F8B"/>
    <w:rsid w:val="00D459F5"/>
    <w:rsid w:val="00D45B15"/>
    <w:rsid w:val="00D47551"/>
    <w:rsid w:val="00D47CD7"/>
    <w:rsid w:val="00D51A17"/>
    <w:rsid w:val="00D52387"/>
    <w:rsid w:val="00D5285D"/>
    <w:rsid w:val="00D52A03"/>
    <w:rsid w:val="00D52FC3"/>
    <w:rsid w:val="00D52FEA"/>
    <w:rsid w:val="00D533DD"/>
    <w:rsid w:val="00D53774"/>
    <w:rsid w:val="00D5433B"/>
    <w:rsid w:val="00D548CD"/>
    <w:rsid w:val="00D54C42"/>
    <w:rsid w:val="00D550E7"/>
    <w:rsid w:val="00D55777"/>
    <w:rsid w:val="00D5668A"/>
    <w:rsid w:val="00D5689B"/>
    <w:rsid w:val="00D56AF5"/>
    <w:rsid w:val="00D57780"/>
    <w:rsid w:val="00D60795"/>
    <w:rsid w:val="00D60F96"/>
    <w:rsid w:val="00D61651"/>
    <w:rsid w:val="00D618CD"/>
    <w:rsid w:val="00D634CB"/>
    <w:rsid w:val="00D645B2"/>
    <w:rsid w:val="00D6494A"/>
    <w:rsid w:val="00D64ADE"/>
    <w:rsid w:val="00D64B66"/>
    <w:rsid w:val="00D6607A"/>
    <w:rsid w:val="00D66CAA"/>
    <w:rsid w:val="00D66F87"/>
    <w:rsid w:val="00D67483"/>
    <w:rsid w:val="00D70AD1"/>
    <w:rsid w:val="00D70F07"/>
    <w:rsid w:val="00D7242F"/>
    <w:rsid w:val="00D731E3"/>
    <w:rsid w:val="00D742A8"/>
    <w:rsid w:val="00D74308"/>
    <w:rsid w:val="00D75438"/>
    <w:rsid w:val="00D768D3"/>
    <w:rsid w:val="00D77799"/>
    <w:rsid w:val="00D8096D"/>
    <w:rsid w:val="00D81422"/>
    <w:rsid w:val="00D81C35"/>
    <w:rsid w:val="00D8254C"/>
    <w:rsid w:val="00D826AC"/>
    <w:rsid w:val="00D82913"/>
    <w:rsid w:val="00D82B60"/>
    <w:rsid w:val="00D8369E"/>
    <w:rsid w:val="00D8416E"/>
    <w:rsid w:val="00D84EB7"/>
    <w:rsid w:val="00D8545A"/>
    <w:rsid w:val="00D85AC7"/>
    <w:rsid w:val="00D8617F"/>
    <w:rsid w:val="00D87007"/>
    <w:rsid w:val="00D87BAB"/>
    <w:rsid w:val="00D90713"/>
    <w:rsid w:val="00D90BFF"/>
    <w:rsid w:val="00D92396"/>
    <w:rsid w:val="00D946DB"/>
    <w:rsid w:val="00D95045"/>
    <w:rsid w:val="00D95228"/>
    <w:rsid w:val="00D956C2"/>
    <w:rsid w:val="00D967FA"/>
    <w:rsid w:val="00D96E61"/>
    <w:rsid w:val="00DA040A"/>
    <w:rsid w:val="00DA0B84"/>
    <w:rsid w:val="00DA0BDB"/>
    <w:rsid w:val="00DA0D0F"/>
    <w:rsid w:val="00DA0DB4"/>
    <w:rsid w:val="00DA1253"/>
    <w:rsid w:val="00DA1525"/>
    <w:rsid w:val="00DA3B36"/>
    <w:rsid w:val="00DA3E72"/>
    <w:rsid w:val="00DA3FEB"/>
    <w:rsid w:val="00DA4727"/>
    <w:rsid w:val="00DA4A2F"/>
    <w:rsid w:val="00DA4AAA"/>
    <w:rsid w:val="00DA4AAE"/>
    <w:rsid w:val="00DA4D9D"/>
    <w:rsid w:val="00DA6CB8"/>
    <w:rsid w:val="00DA77E1"/>
    <w:rsid w:val="00DA7C34"/>
    <w:rsid w:val="00DA7F01"/>
    <w:rsid w:val="00DB0274"/>
    <w:rsid w:val="00DB0F07"/>
    <w:rsid w:val="00DB2DD0"/>
    <w:rsid w:val="00DB3B68"/>
    <w:rsid w:val="00DB3EEA"/>
    <w:rsid w:val="00DB40CA"/>
    <w:rsid w:val="00DB4C59"/>
    <w:rsid w:val="00DB5503"/>
    <w:rsid w:val="00DB61BB"/>
    <w:rsid w:val="00DC03E0"/>
    <w:rsid w:val="00DC0817"/>
    <w:rsid w:val="00DC09EA"/>
    <w:rsid w:val="00DC0A81"/>
    <w:rsid w:val="00DC1E40"/>
    <w:rsid w:val="00DC1FD1"/>
    <w:rsid w:val="00DC2D05"/>
    <w:rsid w:val="00DC3A83"/>
    <w:rsid w:val="00DC3B38"/>
    <w:rsid w:val="00DC40DA"/>
    <w:rsid w:val="00DC4CE4"/>
    <w:rsid w:val="00DD00B4"/>
    <w:rsid w:val="00DD07FF"/>
    <w:rsid w:val="00DD092D"/>
    <w:rsid w:val="00DD156E"/>
    <w:rsid w:val="00DD1906"/>
    <w:rsid w:val="00DD1E64"/>
    <w:rsid w:val="00DD2C1E"/>
    <w:rsid w:val="00DD41BE"/>
    <w:rsid w:val="00DD4CFC"/>
    <w:rsid w:val="00DD5F87"/>
    <w:rsid w:val="00DD60DF"/>
    <w:rsid w:val="00DD6D54"/>
    <w:rsid w:val="00DD6F35"/>
    <w:rsid w:val="00DD72AA"/>
    <w:rsid w:val="00DD791B"/>
    <w:rsid w:val="00DE0157"/>
    <w:rsid w:val="00DE08E6"/>
    <w:rsid w:val="00DE0962"/>
    <w:rsid w:val="00DE21B5"/>
    <w:rsid w:val="00DE223B"/>
    <w:rsid w:val="00DE230A"/>
    <w:rsid w:val="00DE26F2"/>
    <w:rsid w:val="00DE3389"/>
    <w:rsid w:val="00DE4001"/>
    <w:rsid w:val="00DE489B"/>
    <w:rsid w:val="00DE48EF"/>
    <w:rsid w:val="00DE4EF2"/>
    <w:rsid w:val="00DE583B"/>
    <w:rsid w:val="00DE5A31"/>
    <w:rsid w:val="00DE73B4"/>
    <w:rsid w:val="00DE7B41"/>
    <w:rsid w:val="00DE7C81"/>
    <w:rsid w:val="00DF0BF5"/>
    <w:rsid w:val="00DF0EF2"/>
    <w:rsid w:val="00DF30EB"/>
    <w:rsid w:val="00DF3475"/>
    <w:rsid w:val="00DF4FF2"/>
    <w:rsid w:val="00DF65DF"/>
    <w:rsid w:val="00DF70AE"/>
    <w:rsid w:val="00DF7382"/>
    <w:rsid w:val="00E01601"/>
    <w:rsid w:val="00E0175F"/>
    <w:rsid w:val="00E01F9D"/>
    <w:rsid w:val="00E026FB"/>
    <w:rsid w:val="00E02F76"/>
    <w:rsid w:val="00E03E51"/>
    <w:rsid w:val="00E03E93"/>
    <w:rsid w:val="00E050F3"/>
    <w:rsid w:val="00E052A9"/>
    <w:rsid w:val="00E0639C"/>
    <w:rsid w:val="00E06628"/>
    <w:rsid w:val="00E06E19"/>
    <w:rsid w:val="00E07C8E"/>
    <w:rsid w:val="00E10726"/>
    <w:rsid w:val="00E10B85"/>
    <w:rsid w:val="00E11731"/>
    <w:rsid w:val="00E11F7B"/>
    <w:rsid w:val="00E120F4"/>
    <w:rsid w:val="00E1421C"/>
    <w:rsid w:val="00E143FD"/>
    <w:rsid w:val="00E14C4D"/>
    <w:rsid w:val="00E16498"/>
    <w:rsid w:val="00E1685B"/>
    <w:rsid w:val="00E1696D"/>
    <w:rsid w:val="00E172EA"/>
    <w:rsid w:val="00E1750A"/>
    <w:rsid w:val="00E17AB7"/>
    <w:rsid w:val="00E20FAC"/>
    <w:rsid w:val="00E2178E"/>
    <w:rsid w:val="00E2447E"/>
    <w:rsid w:val="00E249EF"/>
    <w:rsid w:val="00E25862"/>
    <w:rsid w:val="00E26CB6"/>
    <w:rsid w:val="00E27969"/>
    <w:rsid w:val="00E31A99"/>
    <w:rsid w:val="00E3279F"/>
    <w:rsid w:val="00E32BAE"/>
    <w:rsid w:val="00E32DA2"/>
    <w:rsid w:val="00E33BF7"/>
    <w:rsid w:val="00E340D7"/>
    <w:rsid w:val="00E34533"/>
    <w:rsid w:val="00E41A58"/>
    <w:rsid w:val="00E41E4F"/>
    <w:rsid w:val="00E42A4D"/>
    <w:rsid w:val="00E4334F"/>
    <w:rsid w:val="00E43CD2"/>
    <w:rsid w:val="00E440D2"/>
    <w:rsid w:val="00E44336"/>
    <w:rsid w:val="00E449CC"/>
    <w:rsid w:val="00E45F52"/>
    <w:rsid w:val="00E46936"/>
    <w:rsid w:val="00E46AC0"/>
    <w:rsid w:val="00E473B0"/>
    <w:rsid w:val="00E47B54"/>
    <w:rsid w:val="00E47CCD"/>
    <w:rsid w:val="00E50750"/>
    <w:rsid w:val="00E509EA"/>
    <w:rsid w:val="00E50E79"/>
    <w:rsid w:val="00E50FA0"/>
    <w:rsid w:val="00E515D5"/>
    <w:rsid w:val="00E52782"/>
    <w:rsid w:val="00E53E55"/>
    <w:rsid w:val="00E543B2"/>
    <w:rsid w:val="00E54B05"/>
    <w:rsid w:val="00E5703B"/>
    <w:rsid w:val="00E5715E"/>
    <w:rsid w:val="00E60B53"/>
    <w:rsid w:val="00E60C82"/>
    <w:rsid w:val="00E610EA"/>
    <w:rsid w:val="00E61840"/>
    <w:rsid w:val="00E6373B"/>
    <w:rsid w:val="00E63DC8"/>
    <w:rsid w:val="00E64990"/>
    <w:rsid w:val="00E64BFE"/>
    <w:rsid w:val="00E66040"/>
    <w:rsid w:val="00E6616A"/>
    <w:rsid w:val="00E67B4A"/>
    <w:rsid w:val="00E67F16"/>
    <w:rsid w:val="00E70AB0"/>
    <w:rsid w:val="00E71171"/>
    <w:rsid w:val="00E7205D"/>
    <w:rsid w:val="00E721D9"/>
    <w:rsid w:val="00E72404"/>
    <w:rsid w:val="00E73F4B"/>
    <w:rsid w:val="00E74C2C"/>
    <w:rsid w:val="00E75993"/>
    <w:rsid w:val="00E764E7"/>
    <w:rsid w:val="00E80172"/>
    <w:rsid w:val="00E804CC"/>
    <w:rsid w:val="00E81DB9"/>
    <w:rsid w:val="00E81F69"/>
    <w:rsid w:val="00E822F7"/>
    <w:rsid w:val="00E8231C"/>
    <w:rsid w:val="00E8262F"/>
    <w:rsid w:val="00E84C8E"/>
    <w:rsid w:val="00E85358"/>
    <w:rsid w:val="00E863C1"/>
    <w:rsid w:val="00E86638"/>
    <w:rsid w:val="00E86B98"/>
    <w:rsid w:val="00E871FE"/>
    <w:rsid w:val="00E87B6C"/>
    <w:rsid w:val="00E91D08"/>
    <w:rsid w:val="00E9217C"/>
    <w:rsid w:val="00E921F1"/>
    <w:rsid w:val="00E92C04"/>
    <w:rsid w:val="00E92C65"/>
    <w:rsid w:val="00E92EE4"/>
    <w:rsid w:val="00E93AB5"/>
    <w:rsid w:val="00E96511"/>
    <w:rsid w:val="00E96A85"/>
    <w:rsid w:val="00E9758A"/>
    <w:rsid w:val="00E979E9"/>
    <w:rsid w:val="00E97CD2"/>
    <w:rsid w:val="00EA050A"/>
    <w:rsid w:val="00EA0754"/>
    <w:rsid w:val="00EA0BAB"/>
    <w:rsid w:val="00EA0F2F"/>
    <w:rsid w:val="00EA11F0"/>
    <w:rsid w:val="00EA1C37"/>
    <w:rsid w:val="00EA1F5A"/>
    <w:rsid w:val="00EA2AFF"/>
    <w:rsid w:val="00EA3FEF"/>
    <w:rsid w:val="00EA4108"/>
    <w:rsid w:val="00EA419C"/>
    <w:rsid w:val="00EA45F4"/>
    <w:rsid w:val="00EA4F4F"/>
    <w:rsid w:val="00EA56D1"/>
    <w:rsid w:val="00EA6388"/>
    <w:rsid w:val="00EA7544"/>
    <w:rsid w:val="00EB0EE6"/>
    <w:rsid w:val="00EB154B"/>
    <w:rsid w:val="00EB1DBE"/>
    <w:rsid w:val="00EB1EEE"/>
    <w:rsid w:val="00EB5013"/>
    <w:rsid w:val="00EB53AD"/>
    <w:rsid w:val="00EB5804"/>
    <w:rsid w:val="00EB5C9A"/>
    <w:rsid w:val="00EB6224"/>
    <w:rsid w:val="00EB62C2"/>
    <w:rsid w:val="00EB6DEA"/>
    <w:rsid w:val="00EB6E04"/>
    <w:rsid w:val="00EB6FC2"/>
    <w:rsid w:val="00EC0AAB"/>
    <w:rsid w:val="00EC0B74"/>
    <w:rsid w:val="00EC153B"/>
    <w:rsid w:val="00EC19AE"/>
    <w:rsid w:val="00EC1EA0"/>
    <w:rsid w:val="00EC2E9B"/>
    <w:rsid w:val="00EC3017"/>
    <w:rsid w:val="00EC38B2"/>
    <w:rsid w:val="00EC4E70"/>
    <w:rsid w:val="00EC5046"/>
    <w:rsid w:val="00EC53E0"/>
    <w:rsid w:val="00EC5513"/>
    <w:rsid w:val="00EC57C6"/>
    <w:rsid w:val="00EC5FA2"/>
    <w:rsid w:val="00EC7AB4"/>
    <w:rsid w:val="00EC7E81"/>
    <w:rsid w:val="00ED048B"/>
    <w:rsid w:val="00ED1379"/>
    <w:rsid w:val="00ED1956"/>
    <w:rsid w:val="00ED1D0F"/>
    <w:rsid w:val="00ED1D99"/>
    <w:rsid w:val="00ED20CB"/>
    <w:rsid w:val="00ED4629"/>
    <w:rsid w:val="00ED52BC"/>
    <w:rsid w:val="00ED55F7"/>
    <w:rsid w:val="00ED66A4"/>
    <w:rsid w:val="00ED6B13"/>
    <w:rsid w:val="00ED6D84"/>
    <w:rsid w:val="00ED78AD"/>
    <w:rsid w:val="00ED7C8E"/>
    <w:rsid w:val="00ED7F35"/>
    <w:rsid w:val="00EE079A"/>
    <w:rsid w:val="00EE0B9D"/>
    <w:rsid w:val="00EE2205"/>
    <w:rsid w:val="00EE2BDA"/>
    <w:rsid w:val="00EE2BEA"/>
    <w:rsid w:val="00EE2CD5"/>
    <w:rsid w:val="00EE34F2"/>
    <w:rsid w:val="00EE5691"/>
    <w:rsid w:val="00EE63B4"/>
    <w:rsid w:val="00EE690D"/>
    <w:rsid w:val="00EE6F6C"/>
    <w:rsid w:val="00EF03E6"/>
    <w:rsid w:val="00EF0C0C"/>
    <w:rsid w:val="00EF0DA4"/>
    <w:rsid w:val="00EF36D2"/>
    <w:rsid w:val="00EF3F40"/>
    <w:rsid w:val="00EF451F"/>
    <w:rsid w:val="00EF6FD5"/>
    <w:rsid w:val="00F004BA"/>
    <w:rsid w:val="00F006CF"/>
    <w:rsid w:val="00F00A38"/>
    <w:rsid w:val="00F015E6"/>
    <w:rsid w:val="00F02E37"/>
    <w:rsid w:val="00F0322C"/>
    <w:rsid w:val="00F04C31"/>
    <w:rsid w:val="00F052D1"/>
    <w:rsid w:val="00F1041F"/>
    <w:rsid w:val="00F1062E"/>
    <w:rsid w:val="00F11185"/>
    <w:rsid w:val="00F114E6"/>
    <w:rsid w:val="00F117D1"/>
    <w:rsid w:val="00F12EA3"/>
    <w:rsid w:val="00F1455C"/>
    <w:rsid w:val="00F14A2E"/>
    <w:rsid w:val="00F14A91"/>
    <w:rsid w:val="00F14B07"/>
    <w:rsid w:val="00F163FF"/>
    <w:rsid w:val="00F176BA"/>
    <w:rsid w:val="00F177C6"/>
    <w:rsid w:val="00F17B2E"/>
    <w:rsid w:val="00F20C33"/>
    <w:rsid w:val="00F215C7"/>
    <w:rsid w:val="00F217D5"/>
    <w:rsid w:val="00F219A4"/>
    <w:rsid w:val="00F2228C"/>
    <w:rsid w:val="00F22648"/>
    <w:rsid w:val="00F23247"/>
    <w:rsid w:val="00F249CD"/>
    <w:rsid w:val="00F24D8C"/>
    <w:rsid w:val="00F2521E"/>
    <w:rsid w:val="00F25413"/>
    <w:rsid w:val="00F26B14"/>
    <w:rsid w:val="00F26CE4"/>
    <w:rsid w:val="00F271B3"/>
    <w:rsid w:val="00F30076"/>
    <w:rsid w:val="00F30E8D"/>
    <w:rsid w:val="00F315FD"/>
    <w:rsid w:val="00F325B9"/>
    <w:rsid w:val="00F32D09"/>
    <w:rsid w:val="00F33ABB"/>
    <w:rsid w:val="00F34382"/>
    <w:rsid w:val="00F348D2"/>
    <w:rsid w:val="00F356CE"/>
    <w:rsid w:val="00F358AF"/>
    <w:rsid w:val="00F36287"/>
    <w:rsid w:val="00F372AF"/>
    <w:rsid w:val="00F37BEE"/>
    <w:rsid w:val="00F41508"/>
    <w:rsid w:val="00F423F0"/>
    <w:rsid w:val="00F42FE9"/>
    <w:rsid w:val="00F4393C"/>
    <w:rsid w:val="00F45359"/>
    <w:rsid w:val="00F45413"/>
    <w:rsid w:val="00F46113"/>
    <w:rsid w:val="00F463F5"/>
    <w:rsid w:val="00F47628"/>
    <w:rsid w:val="00F47A9F"/>
    <w:rsid w:val="00F47CA5"/>
    <w:rsid w:val="00F50709"/>
    <w:rsid w:val="00F5132F"/>
    <w:rsid w:val="00F519A4"/>
    <w:rsid w:val="00F52DF6"/>
    <w:rsid w:val="00F52FC6"/>
    <w:rsid w:val="00F530D8"/>
    <w:rsid w:val="00F535E7"/>
    <w:rsid w:val="00F5381F"/>
    <w:rsid w:val="00F5524C"/>
    <w:rsid w:val="00F56546"/>
    <w:rsid w:val="00F56641"/>
    <w:rsid w:val="00F56956"/>
    <w:rsid w:val="00F57838"/>
    <w:rsid w:val="00F57A08"/>
    <w:rsid w:val="00F57ED1"/>
    <w:rsid w:val="00F60315"/>
    <w:rsid w:val="00F60F37"/>
    <w:rsid w:val="00F61095"/>
    <w:rsid w:val="00F61AC4"/>
    <w:rsid w:val="00F620A2"/>
    <w:rsid w:val="00F63080"/>
    <w:rsid w:val="00F63903"/>
    <w:rsid w:val="00F63AB7"/>
    <w:rsid w:val="00F63BA7"/>
    <w:rsid w:val="00F65282"/>
    <w:rsid w:val="00F65D43"/>
    <w:rsid w:val="00F66294"/>
    <w:rsid w:val="00F66371"/>
    <w:rsid w:val="00F66830"/>
    <w:rsid w:val="00F66DFB"/>
    <w:rsid w:val="00F67634"/>
    <w:rsid w:val="00F71DF2"/>
    <w:rsid w:val="00F73854"/>
    <w:rsid w:val="00F7387F"/>
    <w:rsid w:val="00F75233"/>
    <w:rsid w:val="00F75FD2"/>
    <w:rsid w:val="00F777C7"/>
    <w:rsid w:val="00F800B6"/>
    <w:rsid w:val="00F8071F"/>
    <w:rsid w:val="00F80A11"/>
    <w:rsid w:val="00F811C6"/>
    <w:rsid w:val="00F811F8"/>
    <w:rsid w:val="00F82AF8"/>
    <w:rsid w:val="00F834C3"/>
    <w:rsid w:val="00F8411E"/>
    <w:rsid w:val="00F84B2D"/>
    <w:rsid w:val="00F84BC7"/>
    <w:rsid w:val="00F855D5"/>
    <w:rsid w:val="00F85D06"/>
    <w:rsid w:val="00F87E46"/>
    <w:rsid w:val="00F913DC"/>
    <w:rsid w:val="00F9145F"/>
    <w:rsid w:val="00F91E30"/>
    <w:rsid w:val="00F93400"/>
    <w:rsid w:val="00F93B5F"/>
    <w:rsid w:val="00F9591C"/>
    <w:rsid w:val="00FA3858"/>
    <w:rsid w:val="00FA3865"/>
    <w:rsid w:val="00FA46C8"/>
    <w:rsid w:val="00FA4E19"/>
    <w:rsid w:val="00FA610E"/>
    <w:rsid w:val="00FA641C"/>
    <w:rsid w:val="00FA67D6"/>
    <w:rsid w:val="00FA6E69"/>
    <w:rsid w:val="00FA77E4"/>
    <w:rsid w:val="00FB1578"/>
    <w:rsid w:val="00FB199D"/>
    <w:rsid w:val="00FB1C26"/>
    <w:rsid w:val="00FB1D44"/>
    <w:rsid w:val="00FB2410"/>
    <w:rsid w:val="00FB25EE"/>
    <w:rsid w:val="00FB2CD7"/>
    <w:rsid w:val="00FB2E7B"/>
    <w:rsid w:val="00FB4960"/>
    <w:rsid w:val="00FB5258"/>
    <w:rsid w:val="00FB5985"/>
    <w:rsid w:val="00FC019F"/>
    <w:rsid w:val="00FC04E6"/>
    <w:rsid w:val="00FC0624"/>
    <w:rsid w:val="00FC0B81"/>
    <w:rsid w:val="00FC0DB2"/>
    <w:rsid w:val="00FC1030"/>
    <w:rsid w:val="00FC1715"/>
    <w:rsid w:val="00FC20DD"/>
    <w:rsid w:val="00FC223C"/>
    <w:rsid w:val="00FC371D"/>
    <w:rsid w:val="00FC41EC"/>
    <w:rsid w:val="00FC4A4B"/>
    <w:rsid w:val="00FC4D06"/>
    <w:rsid w:val="00FC5515"/>
    <w:rsid w:val="00FC6275"/>
    <w:rsid w:val="00FC6D7A"/>
    <w:rsid w:val="00FC70BF"/>
    <w:rsid w:val="00FC7C03"/>
    <w:rsid w:val="00FD0193"/>
    <w:rsid w:val="00FD0FAA"/>
    <w:rsid w:val="00FD16F5"/>
    <w:rsid w:val="00FD239F"/>
    <w:rsid w:val="00FD2AE8"/>
    <w:rsid w:val="00FD380B"/>
    <w:rsid w:val="00FD3883"/>
    <w:rsid w:val="00FD38B8"/>
    <w:rsid w:val="00FD457C"/>
    <w:rsid w:val="00FD54FC"/>
    <w:rsid w:val="00FD5ABD"/>
    <w:rsid w:val="00FD6675"/>
    <w:rsid w:val="00FD6CCB"/>
    <w:rsid w:val="00FD6D27"/>
    <w:rsid w:val="00FD7524"/>
    <w:rsid w:val="00FD7960"/>
    <w:rsid w:val="00FD7CAF"/>
    <w:rsid w:val="00FD7E66"/>
    <w:rsid w:val="00FD7FB3"/>
    <w:rsid w:val="00FE052A"/>
    <w:rsid w:val="00FE219F"/>
    <w:rsid w:val="00FE21F5"/>
    <w:rsid w:val="00FE28F4"/>
    <w:rsid w:val="00FE30C1"/>
    <w:rsid w:val="00FE3BD8"/>
    <w:rsid w:val="00FE43D5"/>
    <w:rsid w:val="00FE4AE0"/>
    <w:rsid w:val="00FE4D22"/>
    <w:rsid w:val="00FE5F0E"/>
    <w:rsid w:val="00FE6995"/>
    <w:rsid w:val="00FE69AC"/>
    <w:rsid w:val="00FE6CFB"/>
    <w:rsid w:val="00FE74CE"/>
    <w:rsid w:val="00FF0040"/>
    <w:rsid w:val="00FF1422"/>
    <w:rsid w:val="00FF15C6"/>
    <w:rsid w:val="00FF1617"/>
    <w:rsid w:val="00FF208F"/>
    <w:rsid w:val="00FF2658"/>
    <w:rsid w:val="00FF2818"/>
    <w:rsid w:val="00FF2D0E"/>
    <w:rsid w:val="00FF36A5"/>
    <w:rsid w:val="00FF3B3B"/>
    <w:rsid w:val="00FF75CC"/>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15:docId w15:val="{FA6400FB-6AD4-4A30-AE61-1F1D2D07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fr-FR"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EB"/>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val="fr-FR"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val="fr-FR"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val="fr-FR"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val="fr-FR"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val="fr-FR"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val="fr-FR"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val="fr-FR"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fr-FR"/>
    </w:rPr>
  </w:style>
  <w:style w:type="character" w:customStyle="1" w:styleId="Heading2Char">
    <w:name w:val="Heading 2 Char"/>
    <w:link w:val="Heading2"/>
    <w:uiPriority w:val="99"/>
    <w:locked/>
    <w:rsid w:val="00EC5046"/>
    <w:rPr>
      <w:rFonts w:ascii="Verdana" w:hAnsi="Verdana" w:cs="Times New Roman"/>
      <w:b/>
      <w:sz w:val="24"/>
      <w:szCs w:val="24"/>
      <w:u w:val="single"/>
      <w:lang w:val="fr-FR"/>
    </w:rPr>
  </w:style>
  <w:style w:type="character" w:customStyle="1" w:styleId="Heading3Char">
    <w:name w:val="Heading 3 Char"/>
    <w:aliases w:val="Title 2 Char"/>
    <w:uiPriority w:val="99"/>
    <w:locked/>
    <w:rsid w:val="00884FEB"/>
    <w:rPr>
      <w:rFonts w:cs="Times New Roman"/>
      <w:sz w:val="24"/>
      <w:szCs w:val="24"/>
      <w:lang w:val="fr-FR"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val="fr-FR"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val="fr-FR"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val="fr-FR"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val="fr-FR"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val="fr-FR"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val="fr-FR" w:eastAsia="x-none"/>
    </w:rPr>
  </w:style>
  <w:style w:type="character" w:customStyle="1" w:styleId="CommentTextChar">
    <w:name w:val="Comment Text Char"/>
    <w:link w:val="CommentText"/>
    <w:uiPriority w:val="99"/>
    <w:locked/>
    <w:rsid w:val="00884FEB"/>
    <w:rPr>
      <w:rFonts w:ascii="Verdana" w:hAnsi="Verdana" w:cs="Times New Roman"/>
      <w:sz w:val="20"/>
      <w:szCs w:val="20"/>
      <w:lang w:val="fr-FR"/>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val="fr-FR" w:eastAsia="x-none"/>
    </w:rPr>
  </w:style>
  <w:style w:type="character" w:customStyle="1" w:styleId="BalloonTextChar">
    <w:name w:val="Balloon Text Char"/>
    <w:link w:val="BalloonText"/>
    <w:uiPriority w:val="99"/>
    <w:locked/>
    <w:rsid w:val="00884FEB"/>
    <w:rPr>
      <w:rFonts w:ascii="Tahoma" w:hAnsi="Tahoma" w:cs="Tahoma"/>
      <w:sz w:val="16"/>
      <w:szCs w:val="16"/>
      <w:lang w:val="fr-FR"/>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fr-FR"/>
    </w:rPr>
  </w:style>
  <w:style w:type="table" w:styleId="TableGrid">
    <w:name w:val="Table Grid"/>
    <w:aliases w:val="Tabla CUADROS"/>
    <w:basedOn w:val="TableNormal"/>
    <w:uiPriority w:val="59"/>
    <w:rsid w:val="00884FEB"/>
    <w:rPr>
      <w:rFonts w:ascii="Times New Roman" w:eastAsia="Times New Roman" w:hAnsi="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val="fr-FR"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B212C5"/>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val="fr-FR" w:eastAsia="es-ES_tradnl"/>
    </w:rPr>
  </w:style>
  <w:style w:type="character" w:customStyle="1" w:styleId="PlainTextChar">
    <w:name w:val="Plain Text Char"/>
    <w:link w:val="PlainText"/>
    <w:uiPriority w:val="99"/>
    <w:locked/>
    <w:rsid w:val="00884FEB"/>
    <w:rPr>
      <w:rFonts w:ascii="Verdana" w:hAnsi="Verdana" w:cs="Times New Roman"/>
      <w:sz w:val="20"/>
      <w:szCs w:val="20"/>
      <w:lang w:val="fr-FR"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B212C5"/>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val="fr-FR"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fr-FR"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lang w:val="fr-FR"/>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val="fr-FR" w:eastAsia="x-none"/>
    </w:rPr>
  </w:style>
  <w:style w:type="character" w:customStyle="1" w:styleId="DocumentMapChar">
    <w:name w:val="Document Map Char"/>
    <w:link w:val="DocumentMap"/>
    <w:uiPriority w:val="99"/>
    <w:semiHidden/>
    <w:locked/>
    <w:rsid w:val="0088630E"/>
    <w:rPr>
      <w:rFonts w:ascii="Tahoma" w:hAnsi="Tahoma" w:cs="Tahoma"/>
      <w:sz w:val="16"/>
      <w:szCs w:val="16"/>
      <w:lang w:val="fr-FR"/>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fr-FR"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fr-FR"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fr-FR"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val="fr-FR"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val="fr-FR"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val="fr-FR"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val="fr-FR"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val="fr-FR"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val="fr-FR"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val="fr-FR"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val="fr-FR"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val="fr-FR"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val="fr-FR"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val="fr-FR"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val="fr-FR"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val="fr-FR"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val="fr-FR"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val="fr-FR"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val="fr-FR"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lang w:val="fr-FR"/>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fr-FR"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val="fr-FR"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lang w:val="fr-FR"/>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lang w:val="fr-FR"/>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val="fr-FR"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val="fr-FR"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val="fr-FR"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val="fr-FR"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A3453C"/>
    <w:rPr>
      <w:color w:val="605E5C"/>
      <w:shd w:val="clear" w:color="auto" w:fill="E1DFDD"/>
    </w:rPr>
  </w:style>
  <w:style w:type="paragraph" w:customStyle="1" w:styleId="LegalNumPar">
    <w:name w:val="LegalNumPar"/>
    <w:basedOn w:val="Normal"/>
    <w:rsid w:val="00A92865"/>
    <w:pPr>
      <w:numPr>
        <w:numId w:val="30"/>
      </w:numPr>
      <w:spacing w:line="360" w:lineRule="auto"/>
    </w:pPr>
    <w:rPr>
      <w:sz w:val="24"/>
    </w:rPr>
  </w:style>
  <w:style w:type="paragraph" w:customStyle="1" w:styleId="LegalNumPar2">
    <w:name w:val="LegalNumPar2"/>
    <w:basedOn w:val="Normal"/>
    <w:rsid w:val="00A92865"/>
    <w:pPr>
      <w:numPr>
        <w:ilvl w:val="1"/>
        <w:numId w:val="30"/>
      </w:numPr>
      <w:spacing w:line="360" w:lineRule="auto"/>
    </w:pPr>
    <w:rPr>
      <w:sz w:val="24"/>
    </w:rPr>
  </w:style>
  <w:style w:type="paragraph" w:customStyle="1" w:styleId="LegalNumPar3">
    <w:name w:val="LegalNumPar3"/>
    <w:basedOn w:val="Normal"/>
    <w:rsid w:val="00A92865"/>
    <w:pPr>
      <w:numPr>
        <w:ilvl w:val="2"/>
        <w:numId w:val="30"/>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563683181">
      <w:bodyDiv w:val="1"/>
      <w:marLeft w:val="0"/>
      <w:marRight w:val="0"/>
      <w:marTop w:val="0"/>
      <w:marBottom w:val="0"/>
      <w:divBdr>
        <w:top w:val="none" w:sz="0" w:space="0" w:color="auto"/>
        <w:left w:val="none" w:sz="0" w:space="0" w:color="auto"/>
        <w:bottom w:val="none" w:sz="0" w:space="0" w:color="auto"/>
        <w:right w:val="none" w:sz="0" w:space="0" w:color="auto"/>
      </w:divBdr>
      <w:divsChild>
        <w:div w:id="392656648">
          <w:marLeft w:val="0"/>
          <w:marRight w:val="0"/>
          <w:marTop w:val="0"/>
          <w:marBottom w:val="0"/>
          <w:divBdr>
            <w:top w:val="none" w:sz="0" w:space="0" w:color="auto"/>
            <w:left w:val="none" w:sz="0" w:space="0" w:color="auto"/>
            <w:bottom w:val="none" w:sz="0" w:space="0" w:color="auto"/>
            <w:right w:val="none" w:sz="0" w:space="0" w:color="auto"/>
          </w:divBdr>
          <w:divsChild>
            <w:div w:id="19446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18991263">
      <w:bodyDiv w:val="1"/>
      <w:marLeft w:val="0"/>
      <w:marRight w:val="0"/>
      <w:marTop w:val="0"/>
      <w:marBottom w:val="0"/>
      <w:divBdr>
        <w:top w:val="none" w:sz="0" w:space="0" w:color="auto"/>
        <w:left w:val="none" w:sz="0" w:space="0" w:color="auto"/>
        <w:bottom w:val="none" w:sz="0" w:space="0" w:color="auto"/>
        <w:right w:val="none" w:sz="0" w:space="0" w:color="auto"/>
      </w:divBdr>
      <w:divsChild>
        <w:div w:id="1222013779">
          <w:marLeft w:val="0"/>
          <w:marRight w:val="0"/>
          <w:marTop w:val="0"/>
          <w:marBottom w:val="0"/>
          <w:divBdr>
            <w:top w:val="none" w:sz="0" w:space="0" w:color="auto"/>
            <w:left w:val="none" w:sz="0" w:space="0" w:color="auto"/>
            <w:bottom w:val="none" w:sz="0" w:space="0" w:color="auto"/>
            <w:right w:val="none" w:sz="0" w:space="0" w:color="auto"/>
          </w:divBdr>
          <w:divsChild>
            <w:div w:id="12690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358239719">
      <w:bodyDiv w:val="1"/>
      <w:marLeft w:val="0"/>
      <w:marRight w:val="0"/>
      <w:marTop w:val="0"/>
      <w:marBottom w:val="0"/>
      <w:divBdr>
        <w:top w:val="none" w:sz="0" w:space="0" w:color="auto"/>
        <w:left w:val="none" w:sz="0" w:space="0" w:color="auto"/>
        <w:bottom w:val="none" w:sz="0" w:space="0" w:color="auto"/>
        <w:right w:val="none" w:sz="0" w:space="0" w:color="auto"/>
      </w:divBdr>
      <w:divsChild>
        <w:div w:id="830485595">
          <w:marLeft w:val="0"/>
          <w:marRight w:val="0"/>
          <w:marTop w:val="0"/>
          <w:marBottom w:val="0"/>
          <w:divBdr>
            <w:top w:val="none" w:sz="0" w:space="0" w:color="auto"/>
            <w:left w:val="none" w:sz="0" w:space="0" w:color="auto"/>
            <w:bottom w:val="none" w:sz="0" w:space="0" w:color="auto"/>
            <w:right w:val="none" w:sz="0" w:space="0" w:color="auto"/>
          </w:divBdr>
          <w:divsChild>
            <w:div w:id="11159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C3AAD-8455-486E-BE4D-E17672BF9E69}">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75DD7EF5-F4B4-4298-BB10-9571695752A2}">
  <ds:schemaRefs>
    <ds:schemaRef ds:uri="http://schemas.microsoft.com/sharepoint/v3/contenttype/forms"/>
  </ds:schemaRefs>
</ds:datastoreItem>
</file>

<file path=customXml/itemProps3.xml><?xml version="1.0" encoding="utf-8"?>
<ds:datastoreItem xmlns:ds="http://schemas.openxmlformats.org/officeDocument/2006/customXml" ds:itemID="{A9C7FCEC-B9F8-4143-9AC6-DB4208C0D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93</TotalTime>
  <Pages>22</Pages>
  <Words>6578</Words>
  <Characters>37965</Characters>
  <Application>Microsoft Office Word</Application>
  <DocSecurity>0</DocSecurity>
  <Lines>1116</Lines>
  <Paragraphs>655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Gheorghe-Cristian (FISMA)</dc:creator>
  <cp:keywords/>
  <cp:lastModifiedBy>PETRE Gheorghe-Cristian (FISMA)</cp:lastModifiedBy>
  <cp:revision>8</cp:revision>
  <dcterms:created xsi:type="dcterms:W3CDTF">2025-10-06T12:40:00Z</dcterms:created>
  <dcterms:modified xsi:type="dcterms:W3CDTF">2025-10-07T10:25:00Z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11,12,13,14,15,16</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y fmtid="{D5CDD505-2E9C-101B-9397-08002B2CF9AE}" pid="5" name="MSIP_Label_5c7eb9de-735b-4a68-8fe4-c9c62709b012_Enabled">
    <vt:lpwstr>true</vt:lpwstr>
  </property>
  <property fmtid="{D5CDD505-2E9C-101B-9397-08002B2CF9AE}" pid="6" name="MSIP_Label_5c7eb9de-735b-4a68-8fe4-c9c62709b012_SetDate">
    <vt:lpwstr>2022-02-23T15:37:29Z</vt:lpwstr>
  </property>
  <property fmtid="{D5CDD505-2E9C-101B-9397-08002B2CF9AE}" pid="7" name="MSIP_Label_5c7eb9de-735b-4a68-8fe4-c9c62709b012_Method">
    <vt:lpwstr>Standard</vt:lpwstr>
  </property>
  <property fmtid="{D5CDD505-2E9C-101B-9397-08002B2CF9AE}" pid="8" name="MSIP_Label_5c7eb9de-735b-4a68-8fe4-c9c62709b012_Name">
    <vt:lpwstr>EBA Regular Use</vt:lpwstr>
  </property>
  <property fmtid="{D5CDD505-2E9C-101B-9397-08002B2CF9AE}" pid="9" name="MSIP_Label_5c7eb9de-735b-4a68-8fe4-c9c62709b012_SiteId">
    <vt:lpwstr>3bacb4ff-f1a2-4c92-b96c-e99fec826b68</vt:lpwstr>
  </property>
  <property fmtid="{D5CDD505-2E9C-101B-9397-08002B2CF9AE}" pid="10" name="MSIP_Label_5c7eb9de-735b-4a68-8fe4-c9c62709b012_ActionId">
    <vt:lpwstr>c0e9743e-53b1-40b4-9ccb-01bae716cb10</vt:lpwstr>
  </property>
  <property fmtid="{D5CDD505-2E9C-101B-9397-08002B2CF9AE}" pid="11" name="MSIP_Label_5c7eb9de-735b-4a68-8fe4-c9c62709b012_ContentBits">
    <vt:lpwstr>1</vt:lpwstr>
  </property>
  <property fmtid="{D5CDD505-2E9C-101B-9397-08002B2CF9AE}" pid="12" name="MSIP_Label_6bd9ddd1-4d20-43f6-abfa-fc3c07406f94_Enabled">
    <vt:lpwstr>true</vt:lpwstr>
  </property>
  <property fmtid="{D5CDD505-2E9C-101B-9397-08002B2CF9AE}" pid="13" name="MSIP_Label_6bd9ddd1-4d20-43f6-abfa-fc3c07406f94_SetDate">
    <vt:lpwstr>2025-06-27T15:01:33Z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9200d526-cd81-4958-bd82-a146b1debf77</vt:lpwstr>
  </property>
  <property fmtid="{D5CDD505-2E9C-101B-9397-08002B2CF9AE}" pid="18" name="MSIP_Label_6bd9ddd1-4d20-43f6-abfa-fc3c07406f94_ContentBits">
    <vt:lpwstr>0</vt:lpwstr>
  </property>
  <property fmtid="{D5CDD505-2E9C-101B-9397-08002B2CF9AE}" pid="19" name="ContentTypeId">
    <vt:lpwstr>0x010100BAD999D84E12C74482EA5120F5227F6F00217DECAAC21D6B43958DFE68658C192E</vt:lpwstr>
  </property>
  <property fmtid="{D5CDD505-2E9C-101B-9397-08002B2CF9AE}" pid="20" name="MediaServiceImageTags">
    <vt:lpwstr/>
  </property>
</Properties>
</file>