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A83C" w14:textId="0B721961" w:rsidR="009E7D0C" w:rsidRPr="00696301" w:rsidRDefault="009E7D0C" w:rsidP="0076375E">
      <w:pPr>
        <w:jc w:val="center"/>
        <w:rPr>
          <w:rFonts w:ascii="Times New Roman" w:hAnsi="Times New Roman"/>
          <w:sz w:val="24"/>
        </w:rPr>
      </w:pPr>
      <w:bookmarkStart w:id="0" w:name="_Toc262568021"/>
      <w:bookmarkStart w:id="1" w:name="_Toc295829847"/>
      <w:r>
        <w:rPr>
          <w:rFonts w:ascii="Times New Roman" w:hAnsi="Times New Roman"/>
          <w:sz w:val="24"/>
        </w:rPr>
        <w:t>EL</w:t>
      </w:r>
    </w:p>
    <w:p w14:paraId="24333E7A" w14:textId="068FF302" w:rsidR="008D696E" w:rsidRDefault="008D696E" w:rsidP="00A33695">
      <w:pPr>
        <w:jc w:val="center"/>
        <w:rPr>
          <w:rFonts w:ascii="Times New Roman" w:hAnsi="Times New Roman"/>
          <w:sz w:val="24"/>
        </w:rPr>
      </w:pPr>
      <w:r>
        <w:rPr>
          <w:rFonts w:ascii="Times New Roman" w:hAnsi="Times New Roman"/>
          <w:sz w:val="24"/>
        </w:rPr>
        <w:t>ΠΑΡΑΡΤΗΜΑ II</w:t>
      </w:r>
    </w:p>
    <w:p w14:paraId="37362007" w14:textId="08E6D03A" w:rsidR="002648B0" w:rsidRPr="00696301" w:rsidRDefault="008D696E" w:rsidP="00A33695">
      <w:pPr>
        <w:jc w:val="center"/>
        <w:rPr>
          <w:rFonts w:ascii="Times New Roman" w:hAnsi="Times New Roman"/>
          <w:sz w:val="24"/>
        </w:rPr>
      </w:pPr>
      <w:r>
        <w:rPr>
          <w:rFonts w:ascii="Times New Roman" w:hAnsi="Times New Roman"/>
          <w:sz w:val="24"/>
        </w:rPr>
        <w:t xml:space="preserve">«ΠΑΡΑΡΤΗΜΑ XI </w:t>
      </w:r>
    </w:p>
    <w:p w14:paraId="2C40683C" w14:textId="0A6110F7" w:rsidR="00436204" w:rsidRPr="00696301" w:rsidRDefault="00D11E4C" w:rsidP="004E7DCF">
      <w:pPr>
        <w:jc w:val="center"/>
        <w:rPr>
          <w:rFonts w:ascii="Times New Roman" w:hAnsi="Times New Roman"/>
          <w:b/>
          <w:sz w:val="24"/>
        </w:rPr>
      </w:pPr>
      <w:r>
        <w:rPr>
          <w:rFonts w:ascii="Times New Roman" w:hAnsi="Times New Roman"/>
          <w:b/>
          <w:sz w:val="24"/>
        </w:rPr>
        <w:t>ΟΔΗΓΙΕΣ ΓΙΑ ΤΗΝ ΥΠΟΒΟΛΗ ΑΝΑΦΟΡΩΝ ΣΧΕΤΙΚΑ ΜΕ ΤΗΝ ΑΠΑΙΤΗΣΗ</w:t>
      </w:r>
      <w:r w:rsidR="00F53AB6">
        <w:rPr>
          <w:rFonts w:ascii="Times New Roman" w:hAnsi="Times New Roman"/>
          <w:b/>
          <w:sz w:val="24"/>
        </w:rPr>
        <w:br/>
      </w:r>
      <w:r>
        <w:rPr>
          <w:rFonts w:ascii="Times New Roman" w:hAnsi="Times New Roman"/>
          <w:b/>
          <w:sz w:val="24"/>
        </w:rPr>
        <w:t>Π</w:t>
      </w:r>
      <w:r w:rsidR="00F53AB6">
        <w:rPr>
          <w:rFonts w:ascii="Times New Roman" w:hAnsi="Times New Roman"/>
          <w:b/>
          <w:sz w:val="24"/>
        </w:rPr>
        <w:t>Α</w:t>
      </w:r>
      <w:r>
        <w:rPr>
          <w:rFonts w:ascii="Times New Roman" w:hAnsi="Times New Roman"/>
          <w:b/>
          <w:sz w:val="24"/>
        </w:rPr>
        <w:t>ΡΑΓΟΝΤΑ Κ RtM ΜΕ ΒΑΣΗ ΤΟΝ ΠΑΡΑΓΟΝΤΑ K-NPR</w:t>
      </w:r>
    </w:p>
    <w:p w14:paraId="3DEB94EC" w14:textId="77777777" w:rsidR="00783881" w:rsidRPr="00696301" w:rsidRDefault="002648B0" w:rsidP="00487A02">
      <w:pPr>
        <w:pStyle w:val="InstructionsText"/>
      </w:pPr>
      <w:r>
        <w:t>Πίνακας περιεχομένων</w:t>
      </w:r>
    </w:p>
    <w:p w14:paraId="3B91B76B" w14:textId="29E7B4C1" w:rsidR="00F53AB6" w:rsidRDefault="00745369">
      <w:pPr>
        <w:pStyle w:val="TOC2"/>
        <w:rPr>
          <w:rFonts w:asciiTheme="minorHAnsi" w:eastAsiaTheme="minorEastAsia" w:hAnsiTheme="minorHAnsi" w:cstheme="minorBidi"/>
          <w:b w:val="0"/>
          <w:smallCaps w:val="0"/>
          <w:kern w:val="2"/>
          <w:sz w:val="24"/>
          <w:szCs w:val="24"/>
          <w:lang w:val="en-US"/>
          <w14:ligatures w14:val="standardContextual"/>
        </w:rPr>
      </w:pPr>
      <w:r>
        <w:rPr>
          <w:rFonts w:ascii="Times New Roman" w:hAnsi="Times New Roman"/>
          <w:sz w:val="24"/>
        </w:rPr>
        <w:fldChar w:fldCharType="begin"/>
      </w:r>
      <w:r>
        <w:rPr>
          <w:rFonts w:ascii="Times New Roman" w:hAnsi="Times New Roman"/>
          <w:sz w:val="24"/>
        </w:rPr>
        <w:instrText xml:space="preserve"> TOC \o "1-3" \h \z \u </w:instrText>
      </w:r>
      <w:r>
        <w:rPr>
          <w:rFonts w:ascii="Times New Roman" w:hAnsi="Times New Roman"/>
          <w:sz w:val="24"/>
        </w:rPr>
        <w:fldChar w:fldCharType="separate"/>
      </w:r>
      <w:hyperlink w:anchor="_Toc210914178" w:history="1">
        <w:r w:rsidR="00F53AB6" w:rsidRPr="00A13AE3">
          <w:rPr>
            <w:rStyle w:val="Hyperlink"/>
            <w:rFonts w:ascii="Times New Roman" w:hAnsi="Times New Roman"/>
          </w:rPr>
          <w:t>ΜΕΡΟΣ I: ΓΕΝΙΚΕΣ ΟΔΗΓΙΕΣ</w:t>
        </w:r>
        <w:r w:rsidR="00F53AB6">
          <w:rPr>
            <w:webHidden/>
          </w:rPr>
          <w:tab/>
        </w:r>
        <w:r w:rsidR="00F53AB6">
          <w:rPr>
            <w:webHidden/>
          </w:rPr>
          <w:fldChar w:fldCharType="begin"/>
        </w:r>
        <w:r w:rsidR="00F53AB6">
          <w:rPr>
            <w:webHidden/>
          </w:rPr>
          <w:instrText xml:space="preserve"> PAGEREF _Toc210914178 \h </w:instrText>
        </w:r>
        <w:r w:rsidR="00F53AB6">
          <w:rPr>
            <w:webHidden/>
          </w:rPr>
        </w:r>
        <w:r w:rsidR="00F53AB6">
          <w:rPr>
            <w:webHidden/>
          </w:rPr>
          <w:fldChar w:fldCharType="separate"/>
        </w:r>
        <w:r w:rsidR="00F53AB6">
          <w:rPr>
            <w:webHidden/>
          </w:rPr>
          <w:t>2</w:t>
        </w:r>
        <w:r w:rsidR="00F53AB6">
          <w:rPr>
            <w:webHidden/>
          </w:rPr>
          <w:fldChar w:fldCharType="end"/>
        </w:r>
      </w:hyperlink>
    </w:p>
    <w:p w14:paraId="6036552B" w14:textId="163F0B58"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179" w:history="1">
        <w:r w:rsidRPr="00A13AE3">
          <w:rPr>
            <w:rStyle w:val="Hyperlink"/>
            <w:rFonts w:ascii="Times New Roman" w:hAnsi="Times New Roman"/>
          </w:rPr>
          <w:t>1.</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ΣΥΜΒΑΣΕΙΣ</w:t>
        </w:r>
        <w:r>
          <w:rPr>
            <w:webHidden/>
          </w:rPr>
          <w:tab/>
        </w:r>
        <w:r>
          <w:rPr>
            <w:webHidden/>
          </w:rPr>
          <w:fldChar w:fldCharType="begin"/>
        </w:r>
        <w:r>
          <w:rPr>
            <w:webHidden/>
          </w:rPr>
          <w:instrText xml:space="preserve"> PAGEREF _Toc210914179 \h </w:instrText>
        </w:r>
        <w:r>
          <w:rPr>
            <w:webHidden/>
          </w:rPr>
        </w:r>
        <w:r>
          <w:rPr>
            <w:webHidden/>
          </w:rPr>
          <w:fldChar w:fldCharType="separate"/>
        </w:r>
        <w:r>
          <w:rPr>
            <w:webHidden/>
          </w:rPr>
          <w:t>2</w:t>
        </w:r>
        <w:r>
          <w:rPr>
            <w:webHidden/>
          </w:rPr>
          <w:fldChar w:fldCharType="end"/>
        </w:r>
      </w:hyperlink>
    </w:p>
    <w:p w14:paraId="1F6E2F89" w14:textId="33131296"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180" w:history="1">
        <w:r w:rsidRPr="00A13AE3">
          <w:rPr>
            <w:rStyle w:val="Hyperlink"/>
            <w:rFonts w:ascii="Times New Roman" w:hAnsi="Times New Roman"/>
          </w:rPr>
          <w:t>1.1.</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Κανόνες αρίθμησης</w:t>
        </w:r>
        <w:r>
          <w:rPr>
            <w:webHidden/>
          </w:rPr>
          <w:tab/>
        </w:r>
        <w:r>
          <w:rPr>
            <w:webHidden/>
          </w:rPr>
          <w:fldChar w:fldCharType="begin"/>
        </w:r>
        <w:r>
          <w:rPr>
            <w:webHidden/>
          </w:rPr>
          <w:instrText xml:space="preserve"> PAGEREF _Toc210914180 \h </w:instrText>
        </w:r>
        <w:r>
          <w:rPr>
            <w:webHidden/>
          </w:rPr>
        </w:r>
        <w:r>
          <w:rPr>
            <w:webHidden/>
          </w:rPr>
          <w:fldChar w:fldCharType="separate"/>
        </w:r>
        <w:r>
          <w:rPr>
            <w:webHidden/>
          </w:rPr>
          <w:t>2</w:t>
        </w:r>
        <w:r>
          <w:rPr>
            <w:webHidden/>
          </w:rPr>
          <w:fldChar w:fldCharType="end"/>
        </w:r>
      </w:hyperlink>
    </w:p>
    <w:p w14:paraId="6122573C" w14:textId="0E567291"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181" w:history="1">
        <w:r w:rsidRPr="00A13AE3">
          <w:rPr>
            <w:rStyle w:val="Hyperlink"/>
            <w:rFonts w:ascii="Times New Roman" w:hAnsi="Times New Roman"/>
          </w:rPr>
          <w:t>1.2.</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Κανόνες χρήσης προσήμου</w:t>
        </w:r>
        <w:r>
          <w:rPr>
            <w:webHidden/>
          </w:rPr>
          <w:tab/>
        </w:r>
        <w:r>
          <w:rPr>
            <w:webHidden/>
          </w:rPr>
          <w:fldChar w:fldCharType="begin"/>
        </w:r>
        <w:r>
          <w:rPr>
            <w:webHidden/>
          </w:rPr>
          <w:instrText xml:space="preserve"> PAGEREF _Toc210914181 \h </w:instrText>
        </w:r>
        <w:r>
          <w:rPr>
            <w:webHidden/>
          </w:rPr>
        </w:r>
        <w:r>
          <w:rPr>
            <w:webHidden/>
          </w:rPr>
          <w:fldChar w:fldCharType="separate"/>
        </w:r>
        <w:r>
          <w:rPr>
            <w:webHidden/>
          </w:rPr>
          <w:t>2</w:t>
        </w:r>
        <w:r>
          <w:rPr>
            <w:webHidden/>
          </w:rPr>
          <w:fldChar w:fldCharType="end"/>
        </w:r>
      </w:hyperlink>
    </w:p>
    <w:p w14:paraId="7D798909" w14:textId="5D906CBB"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182" w:history="1">
        <w:r w:rsidRPr="00A13AE3">
          <w:rPr>
            <w:rStyle w:val="Hyperlink"/>
            <w:rFonts w:ascii="Times New Roman" w:hAnsi="Times New Roman"/>
          </w:rPr>
          <w:t>1.3.</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Παραπομπές στον κανονισμό (ΕΕ) αριθ. 575/2013</w:t>
        </w:r>
        <w:r>
          <w:rPr>
            <w:webHidden/>
          </w:rPr>
          <w:tab/>
        </w:r>
        <w:r>
          <w:rPr>
            <w:webHidden/>
          </w:rPr>
          <w:fldChar w:fldCharType="begin"/>
        </w:r>
        <w:r>
          <w:rPr>
            <w:webHidden/>
          </w:rPr>
          <w:instrText xml:space="preserve"> PAGEREF _Toc210914182 \h </w:instrText>
        </w:r>
        <w:r>
          <w:rPr>
            <w:webHidden/>
          </w:rPr>
        </w:r>
        <w:r>
          <w:rPr>
            <w:webHidden/>
          </w:rPr>
          <w:fldChar w:fldCharType="separate"/>
        </w:r>
        <w:r>
          <w:rPr>
            <w:webHidden/>
          </w:rPr>
          <w:t>2</w:t>
        </w:r>
        <w:r>
          <w:rPr>
            <w:webHidden/>
          </w:rPr>
          <w:fldChar w:fldCharType="end"/>
        </w:r>
      </w:hyperlink>
    </w:p>
    <w:p w14:paraId="3A8B2238" w14:textId="7C104377"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183" w:history="1">
        <w:r w:rsidRPr="00A13AE3">
          <w:rPr>
            <w:rStyle w:val="Hyperlink"/>
            <w:rFonts w:ascii="Times New Roman" w:hAnsi="Times New Roman"/>
          </w:rPr>
          <w:t>ΜΕΡΟΣ II: ΟΔΗΓΙΕΣ ΣΧΕΤΙΚΑ ΜΕ ΤΑ ΥΠΟΔΕΙΓΜΑΤΑ: ΥΠΟΔΕΙΓΜΑΤΑ ΚΙΝΔΥΝΟΥ ΑΓΟΡΑΣ</w:t>
        </w:r>
        <w:r>
          <w:rPr>
            <w:webHidden/>
          </w:rPr>
          <w:tab/>
        </w:r>
        <w:r>
          <w:rPr>
            <w:webHidden/>
          </w:rPr>
          <w:fldChar w:fldCharType="begin"/>
        </w:r>
        <w:r>
          <w:rPr>
            <w:webHidden/>
          </w:rPr>
          <w:instrText xml:space="preserve"> PAGEREF _Toc210914183 \h </w:instrText>
        </w:r>
        <w:r>
          <w:rPr>
            <w:webHidden/>
          </w:rPr>
        </w:r>
        <w:r>
          <w:rPr>
            <w:webHidden/>
          </w:rPr>
          <w:fldChar w:fldCharType="separate"/>
        </w:r>
        <w:r>
          <w:rPr>
            <w:webHidden/>
          </w:rPr>
          <w:t>3</w:t>
        </w:r>
        <w:r>
          <w:rPr>
            <w:webHidden/>
          </w:rPr>
          <w:fldChar w:fldCharType="end"/>
        </w:r>
      </w:hyperlink>
    </w:p>
    <w:p w14:paraId="06AC933E" w14:textId="0BDB589A"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184" w:history="1">
        <w:r w:rsidRPr="00A13AE3">
          <w:rPr>
            <w:rStyle w:val="Hyperlink"/>
            <w:rFonts w:ascii="Times New Roman" w:hAnsi="Times New Roman"/>
          </w:rPr>
          <w:t>1.</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Γενικές παρατηρήσεις</w:t>
        </w:r>
        <w:r>
          <w:rPr>
            <w:webHidden/>
          </w:rPr>
          <w:tab/>
        </w:r>
        <w:r>
          <w:rPr>
            <w:webHidden/>
          </w:rPr>
          <w:fldChar w:fldCharType="begin"/>
        </w:r>
        <w:r>
          <w:rPr>
            <w:webHidden/>
          </w:rPr>
          <w:instrText xml:space="preserve"> PAGEREF _Toc210914184 \h </w:instrText>
        </w:r>
        <w:r>
          <w:rPr>
            <w:webHidden/>
          </w:rPr>
        </w:r>
        <w:r>
          <w:rPr>
            <w:webHidden/>
          </w:rPr>
          <w:fldChar w:fldCharType="separate"/>
        </w:r>
        <w:r>
          <w:rPr>
            <w:webHidden/>
          </w:rPr>
          <w:t>3</w:t>
        </w:r>
        <w:r>
          <w:rPr>
            <w:webHidden/>
          </w:rPr>
          <w:fldChar w:fldCharType="end"/>
        </w:r>
      </w:hyperlink>
    </w:p>
    <w:p w14:paraId="25995D49" w14:textId="3E29A772"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185" w:history="1">
        <w:r w:rsidRPr="00A13AE3">
          <w:rPr>
            <w:rStyle w:val="Hyperlink"/>
            <w:rFonts w:ascii="Times New Roman" w:hAnsi="Times New Roman"/>
          </w:rPr>
          <w:t>2.</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C 18.00 – Κίνδυνος Αγοράς: Τυποποιημένη προσέγγιση για κινδύνους θέσης σε διαπραγματεύσιμους χρεωστικούς τίτλους (MKR SA TDI)</w:t>
        </w:r>
        <w:r>
          <w:rPr>
            <w:webHidden/>
          </w:rPr>
          <w:tab/>
        </w:r>
        <w:r>
          <w:rPr>
            <w:webHidden/>
          </w:rPr>
          <w:fldChar w:fldCharType="begin"/>
        </w:r>
        <w:r>
          <w:rPr>
            <w:webHidden/>
          </w:rPr>
          <w:instrText xml:space="preserve"> PAGEREF _Toc210914185 \h </w:instrText>
        </w:r>
        <w:r>
          <w:rPr>
            <w:webHidden/>
          </w:rPr>
        </w:r>
        <w:r>
          <w:rPr>
            <w:webHidden/>
          </w:rPr>
          <w:fldChar w:fldCharType="separate"/>
        </w:r>
        <w:r>
          <w:rPr>
            <w:webHidden/>
          </w:rPr>
          <w:t>3</w:t>
        </w:r>
        <w:r>
          <w:rPr>
            <w:webHidden/>
          </w:rPr>
          <w:fldChar w:fldCharType="end"/>
        </w:r>
      </w:hyperlink>
    </w:p>
    <w:p w14:paraId="079C6FFF" w14:textId="1044D6A5"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186" w:history="1">
        <w:r w:rsidRPr="00A13AE3">
          <w:rPr>
            <w:rStyle w:val="Hyperlink"/>
            <w:rFonts w:ascii="Times New Roman" w:hAnsi="Times New Roman"/>
          </w:rPr>
          <w:t>2.1.</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Γενικές παρατηρήσεις</w:t>
        </w:r>
        <w:r>
          <w:rPr>
            <w:webHidden/>
          </w:rPr>
          <w:tab/>
        </w:r>
        <w:r>
          <w:rPr>
            <w:webHidden/>
          </w:rPr>
          <w:fldChar w:fldCharType="begin"/>
        </w:r>
        <w:r>
          <w:rPr>
            <w:webHidden/>
          </w:rPr>
          <w:instrText xml:space="preserve"> PAGEREF _Toc210914186 \h </w:instrText>
        </w:r>
        <w:r>
          <w:rPr>
            <w:webHidden/>
          </w:rPr>
        </w:r>
        <w:r>
          <w:rPr>
            <w:webHidden/>
          </w:rPr>
          <w:fldChar w:fldCharType="separate"/>
        </w:r>
        <w:r>
          <w:rPr>
            <w:webHidden/>
          </w:rPr>
          <w:t>3</w:t>
        </w:r>
        <w:r>
          <w:rPr>
            <w:webHidden/>
          </w:rPr>
          <w:fldChar w:fldCharType="end"/>
        </w:r>
      </w:hyperlink>
    </w:p>
    <w:p w14:paraId="17813F23" w14:textId="14283C83"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187" w:history="1">
        <w:r w:rsidRPr="00A13AE3">
          <w:rPr>
            <w:rStyle w:val="Hyperlink"/>
            <w:rFonts w:ascii="Times New Roman" w:hAnsi="Times New Roman"/>
          </w:rPr>
          <w:t>2.2.</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Οδηγίες για συγκεκριμένες θέσεις</w:t>
        </w:r>
        <w:r>
          <w:rPr>
            <w:webHidden/>
          </w:rPr>
          <w:tab/>
        </w:r>
        <w:r>
          <w:rPr>
            <w:webHidden/>
          </w:rPr>
          <w:fldChar w:fldCharType="begin"/>
        </w:r>
        <w:r>
          <w:rPr>
            <w:webHidden/>
          </w:rPr>
          <w:instrText xml:space="preserve"> PAGEREF _Toc210914187 \h </w:instrText>
        </w:r>
        <w:r>
          <w:rPr>
            <w:webHidden/>
          </w:rPr>
        </w:r>
        <w:r>
          <w:rPr>
            <w:webHidden/>
          </w:rPr>
          <w:fldChar w:fldCharType="separate"/>
        </w:r>
        <w:r>
          <w:rPr>
            <w:webHidden/>
          </w:rPr>
          <w:t>4</w:t>
        </w:r>
        <w:r>
          <w:rPr>
            <w:webHidden/>
          </w:rPr>
          <w:fldChar w:fldCharType="end"/>
        </w:r>
      </w:hyperlink>
    </w:p>
    <w:p w14:paraId="545FEFB7" w14:textId="5488BB4C"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188" w:history="1">
        <w:r w:rsidRPr="00A13AE3">
          <w:rPr>
            <w:rStyle w:val="Hyperlink"/>
            <w:rFonts w:ascii="Times New Roman" w:hAnsi="Times New Roman"/>
          </w:rPr>
          <w:t>3.</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C 19.00 – ΚΙΝΔΥΝΟΣ ΑΓΟΡΑΣ: ΤΥΠΟΠΟΙΗΜΕΝΗ ΠΡΟΣΕΓΓΙΣΗ ΓΙΑ ΤΟΝ ΕΙΔΙΚΟ ΚΙΝΔΥΝΟ ΣΕ ΤΙΤΛΟΠΟΙΗΣΕΙΣ (MKR SA SEC)</w:t>
        </w:r>
        <w:r>
          <w:rPr>
            <w:webHidden/>
          </w:rPr>
          <w:tab/>
        </w:r>
        <w:r>
          <w:rPr>
            <w:webHidden/>
          </w:rPr>
          <w:fldChar w:fldCharType="begin"/>
        </w:r>
        <w:r>
          <w:rPr>
            <w:webHidden/>
          </w:rPr>
          <w:instrText xml:space="preserve"> PAGEREF _Toc210914188 \h </w:instrText>
        </w:r>
        <w:r>
          <w:rPr>
            <w:webHidden/>
          </w:rPr>
        </w:r>
        <w:r>
          <w:rPr>
            <w:webHidden/>
          </w:rPr>
          <w:fldChar w:fldCharType="separate"/>
        </w:r>
        <w:r>
          <w:rPr>
            <w:webHidden/>
          </w:rPr>
          <w:t>6</w:t>
        </w:r>
        <w:r>
          <w:rPr>
            <w:webHidden/>
          </w:rPr>
          <w:fldChar w:fldCharType="end"/>
        </w:r>
      </w:hyperlink>
    </w:p>
    <w:p w14:paraId="7F7C1CB0" w14:textId="36D75C82"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189" w:history="1">
        <w:r w:rsidRPr="00A13AE3">
          <w:rPr>
            <w:rStyle w:val="Hyperlink"/>
            <w:rFonts w:ascii="Times New Roman" w:hAnsi="Times New Roman"/>
          </w:rPr>
          <w:t>3.1.</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Γενικές παρατηρήσεις</w:t>
        </w:r>
        <w:r>
          <w:rPr>
            <w:webHidden/>
          </w:rPr>
          <w:tab/>
        </w:r>
        <w:r>
          <w:rPr>
            <w:webHidden/>
          </w:rPr>
          <w:fldChar w:fldCharType="begin"/>
        </w:r>
        <w:r>
          <w:rPr>
            <w:webHidden/>
          </w:rPr>
          <w:instrText xml:space="preserve"> PAGEREF _Toc210914189 \h </w:instrText>
        </w:r>
        <w:r>
          <w:rPr>
            <w:webHidden/>
          </w:rPr>
        </w:r>
        <w:r>
          <w:rPr>
            <w:webHidden/>
          </w:rPr>
          <w:fldChar w:fldCharType="separate"/>
        </w:r>
        <w:r>
          <w:rPr>
            <w:webHidden/>
          </w:rPr>
          <w:t>6</w:t>
        </w:r>
        <w:r>
          <w:rPr>
            <w:webHidden/>
          </w:rPr>
          <w:fldChar w:fldCharType="end"/>
        </w:r>
      </w:hyperlink>
    </w:p>
    <w:p w14:paraId="57658AA4" w14:textId="503666F8"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190" w:history="1">
        <w:r w:rsidRPr="00A13AE3">
          <w:rPr>
            <w:rStyle w:val="Hyperlink"/>
            <w:rFonts w:ascii="Times New Roman" w:hAnsi="Times New Roman"/>
          </w:rPr>
          <w:t>3.2.</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Οδηγίες για συγκεκριμένες θέσεις</w:t>
        </w:r>
        <w:r>
          <w:rPr>
            <w:webHidden/>
          </w:rPr>
          <w:tab/>
        </w:r>
        <w:r>
          <w:rPr>
            <w:webHidden/>
          </w:rPr>
          <w:fldChar w:fldCharType="begin"/>
        </w:r>
        <w:r>
          <w:rPr>
            <w:webHidden/>
          </w:rPr>
          <w:instrText xml:space="preserve"> PAGEREF _Toc210914190 \h </w:instrText>
        </w:r>
        <w:r>
          <w:rPr>
            <w:webHidden/>
          </w:rPr>
        </w:r>
        <w:r>
          <w:rPr>
            <w:webHidden/>
          </w:rPr>
          <w:fldChar w:fldCharType="separate"/>
        </w:r>
        <w:r>
          <w:rPr>
            <w:webHidden/>
          </w:rPr>
          <w:t>7</w:t>
        </w:r>
        <w:r>
          <w:rPr>
            <w:webHidden/>
          </w:rPr>
          <w:fldChar w:fldCharType="end"/>
        </w:r>
      </w:hyperlink>
    </w:p>
    <w:p w14:paraId="6D849569" w14:textId="616F6A91"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191" w:history="1">
        <w:r w:rsidRPr="00A13AE3">
          <w:rPr>
            <w:rStyle w:val="Hyperlink"/>
            <w:rFonts w:ascii="Times New Roman" w:hAnsi="Times New Roman"/>
          </w:rPr>
          <w:t>4.</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C 20.00 – ΚΙΝΔΥΝΟΣ ΑΓΟΡΑΣ: ΤΥΠΟΠΟΙΗΜΕΝΗ ΠΡΟΣΕΓΓΙΣΗ ΓΙΑ ΕΙΔΙΚΟ ΚΙΝΔΥΝΟ ΘΕΣΕΩΝ ΣΤΟ ΧΑΡΤΟΦΥΛΑΚΙΟ ΔΙΑΠΡΑΓΜΑΤΕΥΣΗΣ ΣΥΣΧΕΤΙΣΕΩΝ (MKR SA CTP)</w:t>
        </w:r>
        <w:r>
          <w:rPr>
            <w:webHidden/>
          </w:rPr>
          <w:tab/>
        </w:r>
        <w:r>
          <w:rPr>
            <w:webHidden/>
          </w:rPr>
          <w:fldChar w:fldCharType="begin"/>
        </w:r>
        <w:r>
          <w:rPr>
            <w:webHidden/>
          </w:rPr>
          <w:instrText xml:space="preserve"> PAGEREF _Toc210914191 \h </w:instrText>
        </w:r>
        <w:r>
          <w:rPr>
            <w:webHidden/>
          </w:rPr>
        </w:r>
        <w:r>
          <w:rPr>
            <w:webHidden/>
          </w:rPr>
          <w:fldChar w:fldCharType="separate"/>
        </w:r>
        <w:r>
          <w:rPr>
            <w:webHidden/>
          </w:rPr>
          <w:t>9</w:t>
        </w:r>
        <w:r>
          <w:rPr>
            <w:webHidden/>
          </w:rPr>
          <w:fldChar w:fldCharType="end"/>
        </w:r>
      </w:hyperlink>
    </w:p>
    <w:p w14:paraId="1264C333" w14:textId="24A2AFA2"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192" w:history="1">
        <w:r w:rsidRPr="00A13AE3">
          <w:rPr>
            <w:rStyle w:val="Hyperlink"/>
            <w:rFonts w:ascii="Times New Roman" w:hAnsi="Times New Roman"/>
          </w:rPr>
          <w:t>4.1.</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Γενικές παρατηρήσεις</w:t>
        </w:r>
        <w:r>
          <w:rPr>
            <w:webHidden/>
          </w:rPr>
          <w:tab/>
        </w:r>
        <w:r>
          <w:rPr>
            <w:webHidden/>
          </w:rPr>
          <w:fldChar w:fldCharType="begin"/>
        </w:r>
        <w:r>
          <w:rPr>
            <w:webHidden/>
          </w:rPr>
          <w:instrText xml:space="preserve"> PAGEREF _Toc210914192 \h </w:instrText>
        </w:r>
        <w:r>
          <w:rPr>
            <w:webHidden/>
          </w:rPr>
        </w:r>
        <w:r>
          <w:rPr>
            <w:webHidden/>
          </w:rPr>
          <w:fldChar w:fldCharType="separate"/>
        </w:r>
        <w:r>
          <w:rPr>
            <w:webHidden/>
          </w:rPr>
          <w:t>9</w:t>
        </w:r>
        <w:r>
          <w:rPr>
            <w:webHidden/>
          </w:rPr>
          <w:fldChar w:fldCharType="end"/>
        </w:r>
      </w:hyperlink>
    </w:p>
    <w:p w14:paraId="3EA13E4A" w14:textId="7775A856"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193" w:history="1">
        <w:r w:rsidRPr="00A13AE3">
          <w:rPr>
            <w:rStyle w:val="Hyperlink"/>
            <w:rFonts w:ascii="Times New Roman" w:hAnsi="Times New Roman"/>
          </w:rPr>
          <w:t>4.2.</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Οδηγίες για συγκεκριμένες θέσεις</w:t>
        </w:r>
        <w:r>
          <w:rPr>
            <w:webHidden/>
          </w:rPr>
          <w:tab/>
        </w:r>
        <w:r>
          <w:rPr>
            <w:webHidden/>
          </w:rPr>
          <w:fldChar w:fldCharType="begin"/>
        </w:r>
        <w:r>
          <w:rPr>
            <w:webHidden/>
          </w:rPr>
          <w:instrText xml:space="preserve"> PAGEREF _Toc210914193 \h </w:instrText>
        </w:r>
        <w:r>
          <w:rPr>
            <w:webHidden/>
          </w:rPr>
        </w:r>
        <w:r>
          <w:rPr>
            <w:webHidden/>
          </w:rPr>
          <w:fldChar w:fldCharType="separate"/>
        </w:r>
        <w:r>
          <w:rPr>
            <w:webHidden/>
          </w:rPr>
          <w:t>10</w:t>
        </w:r>
        <w:r>
          <w:rPr>
            <w:webHidden/>
          </w:rPr>
          <w:fldChar w:fldCharType="end"/>
        </w:r>
      </w:hyperlink>
    </w:p>
    <w:p w14:paraId="4ADF70A7" w14:textId="3FA3C0E7"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194" w:history="1">
        <w:r w:rsidRPr="00A13AE3">
          <w:rPr>
            <w:rStyle w:val="Hyperlink"/>
            <w:rFonts w:ascii="Times New Roman" w:hAnsi="Times New Roman"/>
          </w:rPr>
          <w:t>5.</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C 21.00 – Κίνδυνος Αγοράς: Τυποποιημένη προσέγγιση για τον κίνδυνο θέσης σε μετοχικά κεφάλαια (MKR SA EQU)</w:t>
        </w:r>
        <w:r>
          <w:rPr>
            <w:webHidden/>
          </w:rPr>
          <w:tab/>
        </w:r>
        <w:r>
          <w:rPr>
            <w:webHidden/>
          </w:rPr>
          <w:fldChar w:fldCharType="begin"/>
        </w:r>
        <w:r>
          <w:rPr>
            <w:webHidden/>
          </w:rPr>
          <w:instrText xml:space="preserve"> PAGEREF _Toc210914194 \h </w:instrText>
        </w:r>
        <w:r>
          <w:rPr>
            <w:webHidden/>
          </w:rPr>
        </w:r>
        <w:r>
          <w:rPr>
            <w:webHidden/>
          </w:rPr>
          <w:fldChar w:fldCharType="separate"/>
        </w:r>
        <w:r>
          <w:rPr>
            <w:webHidden/>
          </w:rPr>
          <w:t>13</w:t>
        </w:r>
        <w:r>
          <w:rPr>
            <w:webHidden/>
          </w:rPr>
          <w:fldChar w:fldCharType="end"/>
        </w:r>
      </w:hyperlink>
    </w:p>
    <w:p w14:paraId="78F1935A" w14:textId="12DD5C3C"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195" w:history="1">
        <w:r w:rsidRPr="00A13AE3">
          <w:rPr>
            <w:rStyle w:val="Hyperlink"/>
            <w:rFonts w:ascii="Times New Roman" w:hAnsi="Times New Roman"/>
          </w:rPr>
          <w:t>5.1.</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Γενικές παρατηρήσεις</w:t>
        </w:r>
        <w:r>
          <w:rPr>
            <w:webHidden/>
          </w:rPr>
          <w:tab/>
        </w:r>
        <w:r>
          <w:rPr>
            <w:webHidden/>
          </w:rPr>
          <w:fldChar w:fldCharType="begin"/>
        </w:r>
        <w:r>
          <w:rPr>
            <w:webHidden/>
          </w:rPr>
          <w:instrText xml:space="preserve"> PAGEREF _Toc210914195 \h </w:instrText>
        </w:r>
        <w:r>
          <w:rPr>
            <w:webHidden/>
          </w:rPr>
        </w:r>
        <w:r>
          <w:rPr>
            <w:webHidden/>
          </w:rPr>
          <w:fldChar w:fldCharType="separate"/>
        </w:r>
        <w:r>
          <w:rPr>
            <w:webHidden/>
          </w:rPr>
          <w:t>13</w:t>
        </w:r>
        <w:r>
          <w:rPr>
            <w:webHidden/>
          </w:rPr>
          <w:fldChar w:fldCharType="end"/>
        </w:r>
      </w:hyperlink>
    </w:p>
    <w:p w14:paraId="66AED7FB" w14:textId="320F7805"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196" w:history="1">
        <w:r w:rsidRPr="00A13AE3">
          <w:rPr>
            <w:rStyle w:val="Hyperlink"/>
            <w:rFonts w:ascii="Times New Roman" w:hAnsi="Times New Roman"/>
          </w:rPr>
          <w:t>5.2.</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Οδηγίες για συγκεκριμένες θέσεις</w:t>
        </w:r>
        <w:r>
          <w:rPr>
            <w:webHidden/>
          </w:rPr>
          <w:tab/>
        </w:r>
        <w:r>
          <w:rPr>
            <w:webHidden/>
          </w:rPr>
          <w:fldChar w:fldCharType="begin"/>
        </w:r>
        <w:r>
          <w:rPr>
            <w:webHidden/>
          </w:rPr>
          <w:instrText xml:space="preserve"> PAGEREF _Toc210914196 \h </w:instrText>
        </w:r>
        <w:r>
          <w:rPr>
            <w:webHidden/>
          </w:rPr>
        </w:r>
        <w:r>
          <w:rPr>
            <w:webHidden/>
          </w:rPr>
          <w:fldChar w:fldCharType="separate"/>
        </w:r>
        <w:r>
          <w:rPr>
            <w:webHidden/>
          </w:rPr>
          <w:t>13</w:t>
        </w:r>
        <w:r>
          <w:rPr>
            <w:webHidden/>
          </w:rPr>
          <w:fldChar w:fldCharType="end"/>
        </w:r>
      </w:hyperlink>
    </w:p>
    <w:p w14:paraId="5CA0B4CA" w14:textId="5F0482AB"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197" w:history="1">
        <w:r w:rsidRPr="00A13AE3">
          <w:rPr>
            <w:rStyle w:val="Hyperlink"/>
            <w:rFonts w:ascii="Times New Roman" w:hAnsi="Times New Roman"/>
          </w:rPr>
          <w:t>6.</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C 22.00 – Κίνδυνος Αγοράς: Τυποποιημένες προσεγγίσεις για τον κίνδυνο συναλλάγματος (MKR SA FX)</w:t>
        </w:r>
        <w:r>
          <w:rPr>
            <w:webHidden/>
          </w:rPr>
          <w:tab/>
        </w:r>
        <w:r>
          <w:rPr>
            <w:webHidden/>
          </w:rPr>
          <w:fldChar w:fldCharType="begin"/>
        </w:r>
        <w:r>
          <w:rPr>
            <w:webHidden/>
          </w:rPr>
          <w:instrText xml:space="preserve"> PAGEREF _Toc210914197 \h </w:instrText>
        </w:r>
        <w:r>
          <w:rPr>
            <w:webHidden/>
          </w:rPr>
        </w:r>
        <w:r>
          <w:rPr>
            <w:webHidden/>
          </w:rPr>
          <w:fldChar w:fldCharType="separate"/>
        </w:r>
        <w:r>
          <w:rPr>
            <w:webHidden/>
          </w:rPr>
          <w:t>15</w:t>
        </w:r>
        <w:r>
          <w:rPr>
            <w:webHidden/>
          </w:rPr>
          <w:fldChar w:fldCharType="end"/>
        </w:r>
      </w:hyperlink>
    </w:p>
    <w:p w14:paraId="1C4485D9" w14:textId="79D2D66D"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198" w:history="1">
        <w:r w:rsidRPr="00A13AE3">
          <w:rPr>
            <w:rStyle w:val="Hyperlink"/>
            <w:rFonts w:ascii="Times New Roman" w:hAnsi="Times New Roman"/>
          </w:rPr>
          <w:t>6.1.</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Γενικές παρατηρήσεις</w:t>
        </w:r>
        <w:r>
          <w:rPr>
            <w:webHidden/>
          </w:rPr>
          <w:tab/>
        </w:r>
        <w:r>
          <w:rPr>
            <w:webHidden/>
          </w:rPr>
          <w:fldChar w:fldCharType="begin"/>
        </w:r>
        <w:r>
          <w:rPr>
            <w:webHidden/>
          </w:rPr>
          <w:instrText xml:space="preserve"> PAGEREF _Toc210914198 \h </w:instrText>
        </w:r>
        <w:r>
          <w:rPr>
            <w:webHidden/>
          </w:rPr>
        </w:r>
        <w:r>
          <w:rPr>
            <w:webHidden/>
          </w:rPr>
          <w:fldChar w:fldCharType="separate"/>
        </w:r>
        <w:r>
          <w:rPr>
            <w:webHidden/>
          </w:rPr>
          <w:t>15</w:t>
        </w:r>
        <w:r>
          <w:rPr>
            <w:webHidden/>
          </w:rPr>
          <w:fldChar w:fldCharType="end"/>
        </w:r>
      </w:hyperlink>
    </w:p>
    <w:p w14:paraId="0BCF8EDB" w14:textId="789CF18E"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199" w:history="1">
        <w:r w:rsidRPr="00A13AE3">
          <w:rPr>
            <w:rStyle w:val="Hyperlink"/>
            <w:rFonts w:ascii="Times New Roman" w:hAnsi="Times New Roman"/>
          </w:rPr>
          <w:t>6.2.</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Οδηγίες για συγκεκριμένες θέσεις</w:t>
        </w:r>
        <w:r>
          <w:rPr>
            <w:webHidden/>
          </w:rPr>
          <w:tab/>
        </w:r>
        <w:r>
          <w:rPr>
            <w:webHidden/>
          </w:rPr>
          <w:fldChar w:fldCharType="begin"/>
        </w:r>
        <w:r>
          <w:rPr>
            <w:webHidden/>
          </w:rPr>
          <w:instrText xml:space="preserve"> PAGEREF _Toc210914199 \h </w:instrText>
        </w:r>
        <w:r>
          <w:rPr>
            <w:webHidden/>
          </w:rPr>
        </w:r>
        <w:r>
          <w:rPr>
            <w:webHidden/>
          </w:rPr>
          <w:fldChar w:fldCharType="separate"/>
        </w:r>
        <w:r>
          <w:rPr>
            <w:webHidden/>
          </w:rPr>
          <w:t>16</w:t>
        </w:r>
        <w:r>
          <w:rPr>
            <w:webHidden/>
          </w:rPr>
          <w:fldChar w:fldCharType="end"/>
        </w:r>
      </w:hyperlink>
    </w:p>
    <w:p w14:paraId="34A823CD" w14:textId="5D90C440"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200" w:history="1">
        <w:r w:rsidRPr="00A13AE3">
          <w:rPr>
            <w:rStyle w:val="Hyperlink"/>
            <w:rFonts w:ascii="Times New Roman" w:hAnsi="Times New Roman"/>
          </w:rPr>
          <w:t>7.</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C 23.00 – Κίνδυνος Αγοράς: Τυποποιημένες προσεγγίσεις για βασικά εμπορεύματα (MKR SA COM)</w:t>
        </w:r>
        <w:r>
          <w:rPr>
            <w:webHidden/>
          </w:rPr>
          <w:tab/>
        </w:r>
        <w:r>
          <w:rPr>
            <w:webHidden/>
          </w:rPr>
          <w:fldChar w:fldCharType="begin"/>
        </w:r>
        <w:r>
          <w:rPr>
            <w:webHidden/>
          </w:rPr>
          <w:instrText xml:space="preserve"> PAGEREF _Toc210914200 \h </w:instrText>
        </w:r>
        <w:r>
          <w:rPr>
            <w:webHidden/>
          </w:rPr>
        </w:r>
        <w:r>
          <w:rPr>
            <w:webHidden/>
          </w:rPr>
          <w:fldChar w:fldCharType="separate"/>
        </w:r>
        <w:r>
          <w:rPr>
            <w:webHidden/>
          </w:rPr>
          <w:t>19</w:t>
        </w:r>
        <w:r>
          <w:rPr>
            <w:webHidden/>
          </w:rPr>
          <w:fldChar w:fldCharType="end"/>
        </w:r>
      </w:hyperlink>
    </w:p>
    <w:p w14:paraId="31724AD0" w14:textId="18DFC073"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201" w:history="1">
        <w:r w:rsidRPr="00A13AE3">
          <w:rPr>
            <w:rStyle w:val="Hyperlink"/>
            <w:rFonts w:ascii="Times New Roman" w:hAnsi="Times New Roman"/>
          </w:rPr>
          <w:t>7.1.</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Γενικές παρατηρήσεις</w:t>
        </w:r>
        <w:r>
          <w:rPr>
            <w:webHidden/>
          </w:rPr>
          <w:tab/>
        </w:r>
        <w:r>
          <w:rPr>
            <w:webHidden/>
          </w:rPr>
          <w:fldChar w:fldCharType="begin"/>
        </w:r>
        <w:r>
          <w:rPr>
            <w:webHidden/>
          </w:rPr>
          <w:instrText xml:space="preserve"> PAGEREF _Toc210914201 \h </w:instrText>
        </w:r>
        <w:r>
          <w:rPr>
            <w:webHidden/>
          </w:rPr>
        </w:r>
        <w:r>
          <w:rPr>
            <w:webHidden/>
          </w:rPr>
          <w:fldChar w:fldCharType="separate"/>
        </w:r>
        <w:r>
          <w:rPr>
            <w:webHidden/>
          </w:rPr>
          <w:t>19</w:t>
        </w:r>
        <w:r>
          <w:rPr>
            <w:webHidden/>
          </w:rPr>
          <w:fldChar w:fldCharType="end"/>
        </w:r>
      </w:hyperlink>
    </w:p>
    <w:p w14:paraId="08ACD127" w14:textId="43D0AE5D"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202" w:history="1">
        <w:r w:rsidRPr="00A13AE3">
          <w:rPr>
            <w:rStyle w:val="Hyperlink"/>
            <w:rFonts w:ascii="Times New Roman" w:hAnsi="Times New Roman"/>
          </w:rPr>
          <w:t>7.2.</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Οδηγίες για συγκεκριμένες θέσεις</w:t>
        </w:r>
        <w:r>
          <w:rPr>
            <w:webHidden/>
          </w:rPr>
          <w:tab/>
        </w:r>
        <w:r>
          <w:rPr>
            <w:webHidden/>
          </w:rPr>
          <w:fldChar w:fldCharType="begin"/>
        </w:r>
        <w:r>
          <w:rPr>
            <w:webHidden/>
          </w:rPr>
          <w:instrText xml:space="preserve"> PAGEREF _Toc210914202 \h </w:instrText>
        </w:r>
        <w:r>
          <w:rPr>
            <w:webHidden/>
          </w:rPr>
        </w:r>
        <w:r>
          <w:rPr>
            <w:webHidden/>
          </w:rPr>
          <w:fldChar w:fldCharType="separate"/>
        </w:r>
        <w:r>
          <w:rPr>
            <w:webHidden/>
          </w:rPr>
          <w:t>19</w:t>
        </w:r>
        <w:r>
          <w:rPr>
            <w:webHidden/>
          </w:rPr>
          <w:fldChar w:fldCharType="end"/>
        </w:r>
      </w:hyperlink>
    </w:p>
    <w:p w14:paraId="68E0727F" w14:textId="105DF8BA"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203" w:history="1">
        <w:r w:rsidRPr="00A13AE3">
          <w:rPr>
            <w:rStyle w:val="Hyperlink"/>
            <w:rFonts w:ascii="Times New Roman" w:hAnsi="Times New Roman"/>
          </w:rPr>
          <w:t>8.</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C 24.00 – Εσωτερικό υπόδειγμα κινδύνου αγοράς (MKR IM)</w:t>
        </w:r>
        <w:r>
          <w:rPr>
            <w:webHidden/>
          </w:rPr>
          <w:tab/>
        </w:r>
        <w:r>
          <w:rPr>
            <w:webHidden/>
          </w:rPr>
          <w:fldChar w:fldCharType="begin"/>
        </w:r>
        <w:r>
          <w:rPr>
            <w:webHidden/>
          </w:rPr>
          <w:instrText xml:space="preserve"> PAGEREF _Toc210914203 \h </w:instrText>
        </w:r>
        <w:r>
          <w:rPr>
            <w:webHidden/>
          </w:rPr>
        </w:r>
        <w:r>
          <w:rPr>
            <w:webHidden/>
          </w:rPr>
          <w:fldChar w:fldCharType="separate"/>
        </w:r>
        <w:r>
          <w:rPr>
            <w:webHidden/>
          </w:rPr>
          <w:t>21</w:t>
        </w:r>
        <w:r>
          <w:rPr>
            <w:webHidden/>
          </w:rPr>
          <w:fldChar w:fldCharType="end"/>
        </w:r>
      </w:hyperlink>
    </w:p>
    <w:p w14:paraId="05956E39" w14:textId="1AA0C45C"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204" w:history="1">
        <w:r w:rsidRPr="00A13AE3">
          <w:rPr>
            <w:rStyle w:val="Hyperlink"/>
            <w:rFonts w:ascii="Times New Roman" w:hAnsi="Times New Roman"/>
          </w:rPr>
          <w:t>8.1.</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Γενικές παρατηρήσεις</w:t>
        </w:r>
        <w:r>
          <w:rPr>
            <w:webHidden/>
          </w:rPr>
          <w:tab/>
        </w:r>
        <w:r>
          <w:rPr>
            <w:webHidden/>
          </w:rPr>
          <w:fldChar w:fldCharType="begin"/>
        </w:r>
        <w:r>
          <w:rPr>
            <w:webHidden/>
          </w:rPr>
          <w:instrText xml:space="preserve"> PAGEREF _Toc210914204 \h </w:instrText>
        </w:r>
        <w:r>
          <w:rPr>
            <w:webHidden/>
          </w:rPr>
        </w:r>
        <w:r>
          <w:rPr>
            <w:webHidden/>
          </w:rPr>
          <w:fldChar w:fldCharType="separate"/>
        </w:r>
        <w:r>
          <w:rPr>
            <w:webHidden/>
          </w:rPr>
          <w:t>21</w:t>
        </w:r>
        <w:r>
          <w:rPr>
            <w:webHidden/>
          </w:rPr>
          <w:fldChar w:fldCharType="end"/>
        </w:r>
      </w:hyperlink>
    </w:p>
    <w:p w14:paraId="50B22C64" w14:textId="549980A5" w:rsidR="00F53AB6" w:rsidRDefault="00F53AB6">
      <w:pPr>
        <w:pStyle w:val="TOC2"/>
        <w:rPr>
          <w:rFonts w:asciiTheme="minorHAnsi" w:eastAsiaTheme="minorEastAsia" w:hAnsiTheme="minorHAnsi" w:cstheme="minorBidi"/>
          <w:b w:val="0"/>
          <w:smallCaps w:val="0"/>
          <w:kern w:val="2"/>
          <w:sz w:val="24"/>
          <w:szCs w:val="24"/>
          <w:lang w:val="en-US"/>
          <w14:ligatures w14:val="standardContextual"/>
        </w:rPr>
      </w:pPr>
      <w:hyperlink w:anchor="_Toc210914205" w:history="1">
        <w:r w:rsidRPr="00A13AE3">
          <w:rPr>
            <w:rStyle w:val="Hyperlink"/>
            <w:rFonts w:ascii="Times New Roman" w:hAnsi="Times New Roman"/>
          </w:rPr>
          <w:t>8.2.</w:t>
        </w:r>
        <w:r>
          <w:rPr>
            <w:rFonts w:asciiTheme="minorHAnsi" w:eastAsiaTheme="minorEastAsia" w:hAnsiTheme="minorHAnsi" w:cstheme="minorBidi"/>
            <w:b w:val="0"/>
            <w:smallCaps w:val="0"/>
            <w:kern w:val="2"/>
            <w:sz w:val="24"/>
            <w:szCs w:val="24"/>
            <w:lang w:val="en-US"/>
            <w14:ligatures w14:val="standardContextual"/>
          </w:rPr>
          <w:tab/>
        </w:r>
        <w:r w:rsidRPr="00A13AE3">
          <w:rPr>
            <w:rStyle w:val="Hyperlink"/>
            <w:rFonts w:ascii="Times New Roman" w:hAnsi="Times New Roman"/>
          </w:rPr>
          <w:t>Οδηγίες για συγκεκριμένες θέσεις</w:t>
        </w:r>
        <w:r>
          <w:rPr>
            <w:webHidden/>
          </w:rPr>
          <w:tab/>
        </w:r>
        <w:r>
          <w:rPr>
            <w:webHidden/>
          </w:rPr>
          <w:fldChar w:fldCharType="begin"/>
        </w:r>
        <w:r>
          <w:rPr>
            <w:webHidden/>
          </w:rPr>
          <w:instrText xml:space="preserve"> PAGEREF _Toc210914205 \h </w:instrText>
        </w:r>
        <w:r>
          <w:rPr>
            <w:webHidden/>
          </w:rPr>
        </w:r>
        <w:r>
          <w:rPr>
            <w:webHidden/>
          </w:rPr>
          <w:fldChar w:fldCharType="separate"/>
        </w:r>
        <w:r>
          <w:rPr>
            <w:webHidden/>
          </w:rPr>
          <w:t>21</w:t>
        </w:r>
        <w:r>
          <w:rPr>
            <w:webHidden/>
          </w:rPr>
          <w:fldChar w:fldCharType="end"/>
        </w:r>
      </w:hyperlink>
    </w:p>
    <w:p w14:paraId="4325A1DC" w14:textId="5E5DCE32" w:rsidR="002648B0" w:rsidRPr="00696301" w:rsidRDefault="00745369" w:rsidP="00005FFC">
      <w:pPr>
        <w:rPr>
          <w:rFonts w:ascii="Times New Roman" w:hAnsi="Times New Roman"/>
          <w:sz w:val="24"/>
        </w:rPr>
        <w:sectPr w:rsidR="002648B0" w:rsidRPr="00696301" w:rsidSect="004D441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7" w:right="1417" w:bottom="1134" w:left="1417" w:header="708" w:footer="708" w:gutter="0"/>
          <w:cols w:space="708"/>
          <w:titlePg/>
          <w:docGrid w:linePitch="360"/>
        </w:sectPr>
      </w:pPr>
      <w:r>
        <w:rPr>
          <w:rFonts w:ascii="Times New Roman" w:hAnsi="Times New Roman"/>
          <w:sz w:val="24"/>
        </w:rPr>
        <w:fldChar w:fldCharType="end"/>
      </w:r>
    </w:p>
    <w:p w14:paraId="65DEB04A" w14:textId="77777777" w:rsidR="002648B0" w:rsidRPr="002D60D7" w:rsidRDefault="002648B0" w:rsidP="004C445F">
      <w:pPr>
        <w:pStyle w:val="Heading2"/>
        <w:suppressAutoHyphens/>
        <w:rPr>
          <w:rFonts w:ascii="Times New Roman" w:hAnsi="Times New Roman"/>
        </w:rPr>
      </w:pPr>
      <w:bookmarkStart w:id="2" w:name="_Toc264038394"/>
      <w:bookmarkStart w:id="3" w:name="_Toc360188317"/>
      <w:bookmarkStart w:id="4" w:name="_Toc473560865"/>
      <w:bookmarkStart w:id="5" w:name="_Toc210914178"/>
      <w:r>
        <w:rPr>
          <w:rFonts w:ascii="Times New Roman" w:hAnsi="Times New Roman"/>
        </w:rPr>
        <w:lastRenderedPageBreak/>
        <w:t>ΜΕΡΟΣ I:</w:t>
      </w:r>
      <w:bookmarkEnd w:id="2"/>
      <w:r>
        <w:rPr>
          <w:rFonts w:ascii="Times New Roman" w:hAnsi="Times New Roman"/>
        </w:rPr>
        <w:t xml:space="preserve"> ΓΕΝΙΚΕΣ ΟΔΗΓΙΕΣ</w:t>
      </w:r>
      <w:bookmarkEnd w:id="3"/>
      <w:bookmarkEnd w:id="4"/>
      <w:bookmarkEnd w:id="5"/>
    </w:p>
    <w:p w14:paraId="2B1DE452" w14:textId="3C4AA749"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6" w:name="_Toc360188318"/>
      <w:bookmarkStart w:id="7" w:name="_Toc473560866"/>
      <w:bookmarkStart w:id="8" w:name="_Toc210914179"/>
      <w:r>
        <w:rPr>
          <w:rFonts w:ascii="Times New Roman" w:hAnsi="Times New Roman"/>
          <w:sz w:val="24"/>
          <w:u w:val="none"/>
        </w:rPr>
        <w:t>1.</w:t>
      </w:r>
      <w:r w:rsidRPr="00861C69">
        <w:rPr>
          <w:u w:val="none"/>
        </w:rPr>
        <w:tab/>
      </w:r>
      <w:r>
        <w:rPr>
          <w:rFonts w:ascii="Times New Roman" w:hAnsi="Times New Roman"/>
          <w:sz w:val="24"/>
          <w:u w:val="none"/>
        </w:rPr>
        <w:t>ΣΥΜΒΑΣΕΙΣ</w:t>
      </w:r>
      <w:bookmarkEnd w:id="6"/>
      <w:bookmarkEnd w:id="7"/>
      <w:bookmarkEnd w:id="8"/>
    </w:p>
    <w:p w14:paraId="691FE691" w14:textId="6FA2FF51"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9" w:name="_Toc360188320"/>
      <w:bookmarkStart w:id="10" w:name="_Toc473560868"/>
      <w:bookmarkStart w:id="11" w:name="_Toc210914180"/>
      <w:bookmarkStart w:id="12" w:name="_Toc264038399"/>
      <w:bookmarkStart w:id="13" w:name="_Toc294018834"/>
      <w:r>
        <w:rPr>
          <w:rFonts w:ascii="Times New Roman" w:hAnsi="Times New Roman"/>
          <w:sz w:val="24"/>
          <w:u w:val="none"/>
        </w:rPr>
        <w:t>1.1.</w:t>
      </w:r>
      <w:r w:rsidRPr="00861C69">
        <w:rPr>
          <w:u w:val="none"/>
        </w:rPr>
        <w:tab/>
      </w:r>
      <w:r>
        <w:rPr>
          <w:rFonts w:ascii="Times New Roman" w:hAnsi="Times New Roman"/>
          <w:sz w:val="24"/>
          <w:u w:val="none"/>
        </w:rPr>
        <w:t>Κανόνες αρίθμησης</w:t>
      </w:r>
      <w:bookmarkEnd w:id="9"/>
      <w:bookmarkEnd w:id="10"/>
      <w:bookmarkEnd w:id="11"/>
    </w:p>
    <w:p w14:paraId="07DD29A3" w14:textId="3ADB010A" w:rsidR="002648B0" w:rsidRPr="002D60D7" w:rsidRDefault="002648B0" w:rsidP="00E172EA">
      <w:pPr>
        <w:pStyle w:val="InstructionsText2"/>
        <w:numPr>
          <w:ilvl w:val="0"/>
          <w:numId w:val="29"/>
        </w:numPr>
        <w:suppressAutoHyphens/>
      </w:pPr>
      <w:r>
        <w:t>Το έγγραφο ακολουθεί τους κανόνες σήμανσης που ορίζονται στα σημεία 2 έως 5, όταν γίνεται παραπομπή στις στήλες, τις γραμμές και τα κελιά των υποδειγμάτων. Οι συγκεκριμένοι αριθμητικοί κωδικοί χρησιμοποιούνται εκτεταμένα στους κανόνες επικύρωσης.</w:t>
      </w:r>
    </w:p>
    <w:p w14:paraId="4A930757" w14:textId="35786EEA" w:rsidR="005643EA" w:rsidRPr="002D60D7" w:rsidRDefault="002648B0" w:rsidP="00E172EA">
      <w:pPr>
        <w:pStyle w:val="InstructionsText2"/>
        <w:numPr>
          <w:ilvl w:val="0"/>
          <w:numId w:val="29"/>
        </w:numPr>
        <w:suppressAutoHyphens/>
      </w:pPr>
      <w:r>
        <w:t>Στις οδηγίες χρησιμοποιείται το ακόλουθο γενικό σύμβολο: {Υπόδειγμα, Γραμμή, Στήλη}.</w:t>
      </w:r>
    </w:p>
    <w:p w14:paraId="058D6622" w14:textId="0D8EC818" w:rsidR="002648B0" w:rsidRPr="002D60D7" w:rsidRDefault="002648B0" w:rsidP="00E172EA">
      <w:pPr>
        <w:pStyle w:val="InstructionsText2"/>
        <w:numPr>
          <w:ilvl w:val="0"/>
          <w:numId w:val="29"/>
        </w:numPr>
        <w:suppressAutoHyphens/>
      </w:pPr>
      <w:r>
        <w:t>Στην περίπτωση επικυρώσεων εντός ενός υποδείγματος στο οποίο χρησιμοποιούνται μόνο τα σημεία δεδομένων του συγκεκριμένου υποδείγματος, τα σύμβολα δεν αναφέρονται σε υπόδειγμα: {Γραμμή, Στήλη}.</w:t>
      </w:r>
    </w:p>
    <w:p w14:paraId="1C93CB72" w14:textId="27E06172" w:rsidR="005643EA" w:rsidRPr="002D60D7" w:rsidRDefault="002648B0" w:rsidP="00E172EA">
      <w:pPr>
        <w:pStyle w:val="InstructionsText2"/>
        <w:numPr>
          <w:ilvl w:val="0"/>
          <w:numId w:val="29"/>
        </w:numPr>
        <w:suppressAutoHyphens/>
      </w:pPr>
      <w:r>
        <w:t>Στην περίπτωση υποδειγμάτων με μόνο μία στήλη, αναφέρονται μόνον οι γραμμές. {Υπόδειγμα· Γραμμή}.</w:t>
      </w:r>
    </w:p>
    <w:p w14:paraId="6CF08484" w14:textId="337CEEA0" w:rsidR="002648B0" w:rsidRPr="002D60D7" w:rsidRDefault="002648B0" w:rsidP="00E172EA">
      <w:pPr>
        <w:pStyle w:val="InstructionsText2"/>
        <w:numPr>
          <w:ilvl w:val="0"/>
          <w:numId w:val="29"/>
        </w:numPr>
        <w:suppressAutoHyphens/>
      </w:pPr>
      <w:r>
        <w:t>Ο αστερίσκος χρησιμοποιείται για να εκφράσει την επικύρωση γραμμών ή στηλών που έχουν προσδιοριστεί προηγουμένως.</w:t>
      </w:r>
    </w:p>
    <w:p w14:paraId="6218AD51" w14:textId="365F36D8"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14" w:name="_Toc360188321"/>
      <w:bookmarkStart w:id="15" w:name="_Toc473560869"/>
      <w:bookmarkStart w:id="16" w:name="_Toc210914181"/>
      <w:r>
        <w:rPr>
          <w:rFonts w:ascii="Times New Roman" w:hAnsi="Times New Roman"/>
          <w:sz w:val="24"/>
          <w:u w:val="none"/>
        </w:rPr>
        <w:t>1.2.</w:t>
      </w:r>
      <w:r w:rsidRPr="00861C69">
        <w:rPr>
          <w:u w:val="none"/>
        </w:rPr>
        <w:tab/>
      </w:r>
      <w:r>
        <w:rPr>
          <w:rFonts w:ascii="Times New Roman" w:hAnsi="Times New Roman"/>
          <w:sz w:val="24"/>
          <w:u w:val="none"/>
        </w:rPr>
        <w:t>Κανόνες χρήσης προσήμου</w:t>
      </w:r>
      <w:bookmarkEnd w:id="12"/>
      <w:bookmarkEnd w:id="13"/>
      <w:bookmarkEnd w:id="14"/>
      <w:bookmarkEnd w:id="15"/>
      <w:bookmarkEnd w:id="16"/>
    </w:p>
    <w:p w14:paraId="67BDF5E2" w14:textId="769DF459" w:rsidR="002648B0" w:rsidRDefault="002648B0" w:rsidP="00E172EA">
      <w:pPr>
        <w:pStyle w:val="InstructionsText2"/>
        <w:numPr>
          <w:ilvl w:val="0"/>
          <w:numId w:val="29"/>
        </w:numPr>
        <w:suppressAutoHyphens/>
      </w:pPr>
      <w:r>
        <w:t>Οποιοδήποτε ποσό αυξάνει τα ίδια κεφάλαια ή τις κεφαλαιακές απαιτήσεις αναφέρεται ως θετικό. Αντιθέτως, οποιοδήποτε ποσό μειώνει τα συνολικά ίδια κεφάλαια ή τις κεφαλαιακές απαιτήσεις αναφέρεται ως αρνητικό. Όπου υπάρχει αρνητικό πρόσημο (-) πριν από τον τίτλο ενός στοιχείου, δεν αναμένεται να αναφερθεί θετική τιμή για το στοιχείο αυτό.</w:t>
      </w:r>
    </w:p>
    <w:p w14:paraId="21FCA11B" w14:textId="044801DB" w:rsidR="00843119" w:rsidRPr="00843119" w:rsidRDefault="00843119" w:rsidP="00843119">
      <w:pPr>
        <w:pStyle w:val="Instructionsberschrift2"/>
        <w:numPr>
          <w:ilvl w:val="0"/>
          <w:numId w:val="0"/>
        </w:numPr>
        <w:suppressAutoHyphens/>
        <w:ind w:left="357" w:hanging="357"/>
        <w:rPr>
          <w:rFonts w:ascii="Times New Roman" w:hAnsi="Times New Roman" w:cs="Times New Roman"/>
          <w:sz w:val="24"/>
          <w:u w:val="none"/>
        </w:rPr>
      </w:pPr>
      <w:bookmarkStart w:id="17" w:name="_Toc210914182"/>
      <w:r>
        <w:rPr>
          <w:rFonts w:ascii="Times New Roman" w:hAnsi="Times New Roman"/>
          <w:sz w:val="24"/>
          <w:u w:val="none"/>
        </w:rPr>
        <w:t>1.3.</w:t>
      </w:r>
      <w:r w:rsidRPr="00861C69">
        <w:rPr>
          <w:u w:val="none"/>
        </w:rPr>
        <w:tab/>
      </w:r>
      <w:r>
        <w:rPr>
          <w:rFonts w:ascii="Times New Roman" w:hAnsi="Times New Roman"/>
          <w:sz w:val="24"/>
          <w:u w:val="none"/>
        </w:rPr>
        <w:t>Παραπομπές στον κανονισμό (ΕΕ) αριθ. 575/2013</w:t>
      </w:r>
      <w:bookmarkEnd w:id="17"/>
    </w:p>
    <w:p w14:paraId="59845808" w14:textId="11AE211B" w:rsidR="00843119" w:rsidRPr="002D60D7" w:rsidRDefault="00843119" w:rsidP="00E172EA">
      <w:pPr>
        <w:pStyle w:val="InstructionsText2"/>
        <w:numPr>
          <w:ilvl w:val="0"/>
          <w:numId w:val="29"/>
        </w:numPr>
        <w:suppressAutoHyphens/>
      </w:pPr>
      <w:r>
        <w:t xml:space="preserve">Όλες οι παραπομπές στα άρθρα 325 έως 377 του κανονισμού (ΕΕ) αριθ. 575/2013 νοούνται ως παραπομπές στην έκδοση του εν λόγω κανονισμού που ίσχυε στις 26 Ιουνίου 2019. </w:t>
      </w:r>
    </w:p>
    <w:p w14:paraId="178F0A93" w14:textId="77777777" w:rsidR="00843119" w:rsidRPr="002D60D7" w:rsidRDefault="00843119" w:rsidP="00843119">
      <w:pPr>
        <w:pStyle w:val="InstructionsText2"/>
        <w:numPr>
          <w:ilvl w:val="0"/>
          <w:numId w:val="0"/>
        </w:numPr>
        <w:suppressAutoHyphens/>
      </w:pPr>
    </w:p>
    <w:p w14:paraId="69E08A1F" w14:textId="26A864E9" w:rsidR="00304CA5" w:rsidRPr="002D60D7" w:rsidRDefault="00304CA5" w:rsidP="004C445F">
      <w:pPr>
        <w:pStyle w:val="InstructionsText2"/>
        <w:numPr>
          <w:ilvl w:val="0"/>
          <w:numId w:val="0"/>
        </w:numPr>
        <w:suppressAutoHyphens/>
        <w:ind w:left="1353" w:hanging="360"/>
      </w:pPr>
    </w:p>
    <w:p w14:paraId="661FC092" w14:textId="77777777" w:rsidR="00304CA5" w:rsidRPr="002D60D7" w:rsidRDefault="00304CA5" w:rsidP="004C445F">
      <w:pPr>
        <w:pStyle w:val="InstructionsText2"/>
        <w:numPr>
          <w:ilvl w:val="0"/>
          <w:numId w:val="0"/>
        </w:numPr>
        <w:suppressAutoHyphens/>
        <w:ind w:left="1353" w:hanging="360"/>
      </w:pPr>
    </w:p>
    <w:p w14:paraId="6B2B7DCC" w14:textId="77777777" w:rsidR="002648B0" w:rsidRPr="002D60D7" w:rsidRDefault="002648B0" w:rsidP="004C445F">
      <w:pPr>
        <w:pStyle w:val="InstructionsText2"/>
        <w:suppressAutoHyphens/>
        <w:sectPr w:rsidR="002648B0" w:rsidRPr="002D60D7" w:rsidSect="00A801A9">
          <w:endnotePr>
            <w:numFmt w:val="decimal"/>
          </w:endnotePr>
          <w:pgSz w:w="11906" w:h="16838"/>
          <w:pgMar w:top="1417" w:right="1417" w:bottom="1134" w:left="1417" w:header="708" w:footer="708" w:gutter="0"/>
          <w:cols w:space="708"/>
          <w:rtlGutter/>
          <w:docGrid w:linePitch="360"/>
        </w:sectPr>
      </w:pPr>
    </w:p>
    <w:p w14:paraId="7E85F65D" w14:textId="77777777" w:rsidR="002648B0" w:rsidRPr="002D60D7" w:rsidRDefault="002648B0" w:rsidP="004C445F">
      <w:pPr>
        <w:suppressAutoHyphens/>
        <w:rPr>
          <w:rFonts w:ascii="Times New Roman" w:hAnsi="Times New Roman"/>
          <w:sz w:val="24"/>
        </w:rPr>
      </w:pPr>
    </w:p>
    <w:p w14:paraId="5C0CD8F3" w14:textId="25D58192" w:rsidR="00AC6255" w:rsidRPr="002D60D7" w:rsidRDefault="002648B0" w:rsidP="004C445F">
      <w:pPr>
        <w:pStyle w:val="Heading2"/>
        <w:suppressAutoHyphens/>
        <w:rPr>
          <w:rStyle w:val="InstructionsTabelleText"/>
          <w:rFonts w:ascii="Times New Roman" w:hAnsi="Times New Roman"/>
          <w:sz w:val="24"/>
        </w:rPr>
      </w:pPr>
      <w:bookmarkStart w:id="18" w:name="_Toc360188322"/>
      <w:bookmarkStart w:id="19" w:name="_Toc473560870"/>
      <w:bookmarkStart w:id="20" w:name="_Toc210914183"/>
      <w:r>
        <w:rPr>
          <w:rFonts w:ascii="Times New Roman" w:hAnsi="Times New Roman"/>
        </w:rPr>
        <w:t>ΜΕΡΟΣ II: ΟΔΗΓΙΕΣ ΣΧΕΤΙΚΑ ΜΕ ΤΑ ΥΠΟΔΕΙΓΜΑΤΑ</w:t>
      </w:r>
      <w:bookmarkEnd w:id="18"/>
      <w:bookmarkEnd w:id="19"/>
      <w:r>
        <w:rPr>
          <w:rFonts w:ascii="Times New Roman" w:hAnsi="Times New Roman"/>
        </w:rPr>
        <w:t>: ΥΠΟΔΕΙΓΜΑΤΑ ΚΙΝΔΥΝΟΥ ΑΓΟΡΑΣ</w:t>
      </w:r>
      <w:bookmarkEnd w:id="0"/>
      <w:bookmarkEnd w:id="1"/>
      <w:bookmarkEnd w:id="20"/>
    </w:p>
    <w:p w14:paraId="73EBDC1C" w14:textId="2EF76A90" w:rsidR="000B0B09" w:rsidRPr="002D60D7" w:rsidRDefault="00033301" w:rsidP="004C445F">
      <w:pPr>
        <w:pStyle w:val="Instructionsberschrift2"/>
        <w:numPr>
          <w:ilvl w:val="0"/>
          <w:numId w:val="0"/>
        </w:numPr>
        <w:suppressAutoHyphens/>
        <w:ind w:left="357" w:hanging="357"/>
        <w:rPr>
          <w:rFonts w:ascii="Times New Roman" w:hAnsi="Times New Roman" w:cs="Times New Roman"/>
          <w:sz w:val="24"/>
        </w:rPr>
      </w:pPr>
      <w:bookmarkStart w:id="21" w:name="_Toc295829995"/>
      <w:bookmarkStart w:id="22" w:name="_Toc262566425"/>
      <w:bookmarkStart w:id="23" w:name="_Toc308426671"/>
      <w:bookmarkStart w:id="24" w:name="_Toc310415056"/>
      <w:bookmarkStart w:id="25" w:name="_Toc360188391"/>
      <w:bookmarkStart w:id="26" w:name="_Toc473561031"/>
      <w:bookmarkStart w:id="27" w:name="_Toc210914184"/>
      <w:r>
        <w:rPr>
          <w:rFonts w:ascii="Times New Roman" w:hAnsi="Times New Roman"/>
          <w:sz w:val="24"/>
          <w:u w:val="none"/>
        </w:rPr>
        <w:t>1.</w:t>
      </w:r>
      <w:r w:rsidRPr="00861C69">
        <w:rPr>
          <w:u w:val="none"/>
        </w:rPr>
        <w:tab/>
      </w:r>
      <w:bookmarkEnd w:id="21"/>
      <w:bookmarkEnd w:id="22"/>
      <w:bookmarkEnd w:id="23"/>
      <w:bookmarkEnd w:id="24"/>
      <w:bookmarkEnd w:id="25"/>
      <w:bookmarkEnd w:id="26"/>
      <w:r>
        <w:rPr>
          <w:rFonts w:ascii="Times New Roman" w:hAnsi="Times New Roman"/>
          <w:sz w:val="24"/>
        </w:rPr>
        <w:t>Γενικές παρατηρήσεις</w:t>
      </w:r>
      <w:bookmarkEnd w:id="27"/>
    </w:p>
    <w:p w14:paraId="3A680559" w14:textId="018BA68A" w:rsidR="000B0B09" w:rsidRPr="002D60D7" w:rsidRDefault="000B0B09" w:rsidP="00E172EA">
      <w:pPr>
        <w:pStyle w:val="InstructionsText2"/>
        <w:numPr>
          <w:ilvl w:val="0"/>
          <w:numId w:val="29"/>
        </w:numPr>
        <w:suppressAutoHyphens/>
      </w:pPr>
      <w:bookmarkStart w:id="28" w:name="_Toc308426672"/>
      <w:r>
        <w:t xml:space="preserve">Οι οδηγίες αυτές αφορούν τα υποδείγματα για την αναφορά του υπολογισμού των απαιτήσεων ιδίων κεφαλαίων σύμφωνα με την τυποποιημένη προσέγγιση για τον κίνδυνο συναλλάγματος (MKR SA FX), τον κίνδυνο βασικού εμπορεύματος (MKR SA COM), τον κίνδυνο επιτοκίου (MKR SA TDI, MKR SA SEC, MKR SA CTP) και τον κίνδυνο μετοχικών τίτλων (MKR SA EQU). Επίσης, στο συγκεκριμένο μέρος περιλαμβάνονται οδηγίες σχετικά με το υπόδειγμα για την αναφορά του υπολογισμού των απαιτήσεων ιδίων κεφαλαίων σύμφωνα με την προσέγγιση των εσωτερικών υποδειγμάτων (MKR IM). </w:t>
      </w:r>
    </w:p>
    <w:p w14:paraId="43A205D1" w14:textId="5DC446A2" w:rsidR="000B0B09" w:rsidRPr="002D60D7" w:rsidRDefault="000B0B09" w:rsidP="00E172EA">
      <w:pPr>
        <w:pStyle w:val="InstructionsText2"/>
        <w:numPr>
          <w:ilvl w:val="0"/>
          <w:numId w:val="29"/>
        </w:numPr>
        <w:suppressAutoHyphens/>
      </w:pPr>
      <w:r>
        <w:t xml:space="preserve">Ο κίνδυνος θέσης για έναν διαπραγματεύσιμο χρεωστικό τίτλο ή μια μετοχή (ή παράγωγο μέσο χρεωστικού τίτλου ή παράγωγο μέσο που βασίζεται σε μετοχή), διαιρείται σε δύο συνιστώσες, προκειμένου να υπολογιστεί η κεφαλαιακή απαίτηση για την κάλυψή του εν λόγω κινδύνου θέσης. Η πρώτη συνιστώσα καλύπτει τον ειδικό κίνδυνο που ενέχει η θέση —δηλαδή τον κίνδυνο μεταβολής της τιμής του σχετικού μέσου λόγω της επίδρασης παραγόντων που σχετίζονται με τον εκδότη του ή, στην περίπτωση ενός παράγωγου μέσου, με τον εκδότη του υποκείμενου μέσου. Η δεύτερη συνιστώσα καλύπτει τον γενικό κίνδυνο της θέσης – δηλαδή τον κίνδυνο μεταβολής της τιμής του σχετικού μέσου, λόγω μεταβολής στο επίπεδο των επιτοκίων (στην περίπτωση διαπραγματεύσιμου χρεωστικού τίτλου ή παράγωγου μέσου χρεωστικού τίτλου) ή λόγω ευρείας μεταβολής στην αγορά μετοχών που δεν σχετίζεται με συγκεκριμένα χαρακτηριστικά μεμονωμένων τίτλων (στην περίπτωση μετοχής ή παράγωγου μέσου που βασίζεται σε μετοχή). </w:t>
      </w:r>
      <w:bookmarkEnd w:id="28"/>
      <w:r>
        <w:t xml:space="preserve">Η γενική αντιμετώπιση συγκεκριμένων μέσων και διαδικασιών συμψηφισμού ορίζεται στα άρθρα 326 έως 333 του κανονισμού (ΕΕ) αριθ. 575/2013. </w:t>
      </w:r>
    </w:p>
    <w:p w14:paraId="39C5FEA4" w14:textId="3A15092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29" w:name="_Toc239157393"/>
      <w:bookmarkStart w:id="30" w:name="_Toc262566426"/>
      <w:bookmarkStart w:id="31" w:name="_Toc295829996"/>
      <w:bookmarkStart w:id="32" w:name="_Toc308426673"/>
      <w:bookmarkStart w:id="33" w:name="_Toc310415057"/>
      <w:bookmarkStart w:id="34" w:name="_Toc360188392"/>
      <w:bookmarkStart w:id="35" w:name="_Toc473561032"/>
      <w:bookmarkStart w:id="36" w:name="_Toc210914185"/>
      <w:r>
        <w:rPr>
          <w:rFonts w:ascii="Times New Roman" w:hAnsi="Times New Roman"/>
          <w:sz w:val="24"/>
          <w:u w:val="none"/>
        </w:rPr>
        <w:t>2.</w:t>
      </w:r>
      <w:r w:rsidRPr="00861C69">
        <w:rPr>
          <w:u w:val="none"/>
        </w:rPr>
        <w:tab/>
      </w:r>
      <w:r>
        <w:rPr>
          <w:rFonts w:ascii="Times New Roman" w:hAnsi="Times New Roman"/>
          <w:sz w:val="24"/>
        </w:rPr>
        <w:t>C 18.00 – Κίνδυνος Αγοράς: Τυποποιημένη προσέγγιση για κινδύνους θέσης σε διαπραγματεύσιμους χρεωστικούς τίτλους</w:t>
      </w:r>
      <w:bookmarkEnd w:id="29"/>
      <w:bookmarkEnd w:id="30"/>
      <w:bookmarkEnd w:id="31"/>
      <w:bookmarkEnd w:id="32"/>
      <w:bookmarkEnd w:id="33"/>
      <w:bookmarkEnd w:id="34"/>
      <w:r>
        <w:rPr>
          <w:rFonts w:ascii="Times New Roman" w:hAnsi="Times New Roman"/>
          <w:sz w:val="24"/>
        </w:rPr>
        <w:t xml:space="preserve"> (MKR SA TDI)</w:t>
      </w:r>
      <w:bookmarkEnd w:id="35"/>
      <w:bookmarkEnd w:id="36"/>
    </w:p>
    <w:p w14:paraId="7BC699A3" w14:textId="5102524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37" w:name="_Toc262566427"/>
      <w:bookmarkStart w:id="38" w:name="_Toc295829997"/>
      <w:bookmarkStart w:id="39" w:name="_Toc308426674"/>
      <w:bookmarkStart w:id="40" w:name="_Toc310415058"/>
      <w:bookmarkStart w:id="41" w:name="_Toc360188393"/>
      <w:bookmarkStart w:id="42" w:name="_Toc473561033"/>
      <w:bookmarkStart w:id="43" w:name="_Toc210914186"/>
      <w:r>
        <w:rPr>
          <w:rFonts w:ascii="Times New Roman" w:hAnsi="Times New Roman"/>
          <w:sz w:val="24"/>
          <w:u w:val="none"/>
        </w:rPr>
        <w:t>2.1.</w:t>
      </w:r>
      <w:r w:rsidRPr="00861C69">
        <w:rPr>
          <w:u w:val="none"/>
        </w:rPr>
        <w:tab/>
      </w:r>
      <w:r>
        <w:rPr>
          <w:rFonts w:ascii="Times New Roman" w:hAnsi="Times New Roman"/>
          <w:sz w:val="24"/>
        </w:rPr>
        <w:t>Γενικές παρατηρήσεις</w:t>
      </w:r>
      <w:bookmarkEnd w:id="37"/>
      <w:bookmarkEnd w:id="38"/>
      <w:bookmarkEnd w:id="39"/>
      <w:bookmarkEnd w:id="40"/>
      <w:bookmarkEnd w:id="41"/>
      <w:bookmarkEnd w:id="42"/>
      <w:bookmarkEnd w:id="43"/>
    </w:p>
    <w:p w14:paraId="0D010E09" w14:textId="7FC9D177" w:rsidR="000B0B09" w:rsidRPr="002D60D7" w:rsidRDefault="000B0B09" w:rsidP="00E172EA">
      <w:pPr>
        <w:pStyle w:val="InstructionsText2"/>
        <w:numPr>
          <w:ilvl w:val="0"/>
          <w:numId w:val="29"/>
        </w:numPr>
        <w:suppressAutoHyphens/>
        <w:ind w:left="1349" w:hanging="357"/>
      </w:pPr>
      <w:r>
        <w:t>Στο παρόν υπόδειγμα παρουσιάζονται οι θέσεις και οι σχετικές απαιτήσεις ιδίων κεφαλαίων για τους κινδύνους θέσης σε διαπραγματεύσιμους χρεωστικούς τίτλους με βάση την τυποποιημένη προσέγγιση [άρθρο 325 παράγραφος 2 στοιχείο α) του κανονισμού (ΕΕ) αριθ. 575/2013]. Οι διάφοροι κίνδυνοι και οι μέθοδοι που είναι διαθέσιμες βάσει του κανονισμού (ΕΕ) αριθ. 575/2013 παρουσιάζονται στις επιμέρους γραμμές. Ο ειδικός κίνδυνος που σχετίζεται με ανοίγματα που αναφέρονται στα υποδείγματα MKR SA SEC και MKR SA CTP αναφέρεται μόνο στο υπόδειγμα «Total» του MKR SA TDI. Οι απαιτήσεις ιδίων κεφαλαίων που αναφέρονται στα υποδείγματα αυτά μεταφέρονται στο κελί {0325;0060} (τιτλοποιήσεις) και στο κελί {0330;0060} (CTP) αντιστοίχως.</w:t>
      </w:r>
    </w:p>
    <w:p w14:paraId="7C8420A5" w14:textId="3BAA75DB" w:rsidR="000B0B09" w:rsidRPr="002D60D7" w:rsidRDefault="000B0B09" w:rsidP="00E172EA">
      <w:pPr>
        <w:pStyle w:val="InstructionsText2"/>
        <w:numPr>
          <w:ilvl w:val="0"/>
          <w:numId w:val="29"/>
        </w:numPr>
        <w:suppressAutoHyphens/>
      </w:pPr>
      <w:r>
        <w:t xml:space="preserve">Το υπόδειγμα αυτό συμπληρώνεται χωριστά για το «Σύνολο», καθώς και για προκαθορισμένο κατάλογο των ακόλουθων νομισμάτων: </w:t>
      </w:r>
      <w:bookmarkStart w:id="44" w:name="OLE_LINK1"/>
      <w:r>
        <w:t xml:space="preserve">EUR, ALL, BGN, </w:t>
      </w:r>
      <w:r>
        <w:lastRenderedPageBreak/>
        <w:t xml:space="preserve">CZK, DKK, EGP, GBP, HUF, ISK, JPY, MKD, NOK, PLN, RON, RUB, RSD, SEK, CHF, TRY, UAH, USD </w:t>
      </w:r>
      <w:bookmarkEnd w:id="44"/>
      <w:r>
        <w:t xml:space="preserve">και ένα τελευταίο υπόδειγμα για όλα τα άλλα νομίσματα. </w:t>
      </w:r>
    </w:p>
    <w:p w14:paraId="73E54EAD" w14:textId="5995991C"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45" w:name="_Toc262566428"/>
      <w:bookmarkStart w:id="46" w:name="_Toc295829998"/>
      <w:bookmarkStart w:id="47" w:name="_Toc308426675"/>
      <w:bookmarkStart w:id="48" w:name="_Toc310415059"/>
      <w:bookmarkStart w:id="49" w:name="_Toc360188394"/>
      <w:bookmarkStart w:id="50" w:name="_Toc473561034"/>
      <w:bookmarkStart w:id="51" w:name="_Toc210914187"/>
      <w:r>
        <w:rPr>
          <w:rFonts w:ascii="Times New Roman" w:hAnsi="Times New Roman"/>
          <w:sz w:val="24"/>
          <w:u w:val="none"/>
        </w:rPr>
        <w:t>2.2.</w:t>
      </w:r>
      <w:r w:rsidRPr="00861C69">
        <w:rPr>
          <w:u w:val="none"/>
        </w:rPr>
        <w:tab/>
      </w:r>
      <w:r>
        <w:rPr>
          <w:rFonts w:ascii="Times New Roman" w:hAnsi="Times New Roman"/>
          <w:sz w:val="24"/>
        </w:rPr>
        <w:t>Οδηγίες για συγκεκριμένες θέσεις</w:t>
      </w:r>
      <w:bookmarkEnd w:id="45"/>
      <w:bookmarkEnd w:id="46"/>
      <w:bookmarkEnd w:id="47"/>
      <w:bookmarkEnd w:id="48"/>
      <w:bookmarkEnd w:id="49"/>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3B011B78" w14:textId="77777777" w:rsidTr="00672D2A">
        <w:trPr>
          <w:trHeight w:val="569"/>
        </w:trPr>
        <w:tc>
          <w:tcPr>
            <w:tcW w:w="8862" w:type="dxa"/>
            <w:gridSpan w:val="2"/>
            <w:shd w:val="clear" w:color="auto" w:fill="CCCCCC"/>
          </w:tcPr>
          <w:p w14:paraId="3F08430D"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Στήλες</w:t>
            </w:r>
          </w:p>
        </w:tc>
      </w:tr>
      <w:tr w:rsidR="000B0B09" w:rsidRPr="002D60D7" w14:paraId="2FB66B69" w14:textId="77777777" w:rsidTr="00672D2A">
        <w:tc>
          <w:tcPr>
            <w:tcW w:w="988" w:type="dxa"/>
          </w:tcPr>
          <w:p w14:paraId="3487AAF4"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3B61C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ΟΛΕΣ ΟΙ ΘΕΣΕΙΣ (ΘΕΤΙΚΕΣ ΚΑΙ ΑΡΝΗΤΙΚΕΣ)</w:t>
            </w:r>
          </w:p>
          <w:p w14:paraId="0C799784" w14:textId="3AE5C422" w:rsidR="000B0B09" w:rsidRPr="002D60D7" w:rsidRDefault="000B0B09" w:rsidP="004C445F">
            <w:pPr>
              <w:suppressAutoHyphens/>
              <w:rPr>
                <w:rFonts w:ascii="Times New Roman" w:hAnsi="Times New Roman"/>
                <w:sz w:val="24"/>
              </w:rPr>
            </w:pPr>
            <w:r>
              <w:rPr>
                <w:rFonts w:ascii="Times New Roman" w:hAnsi="Times New Roman"/>
                <w:sz w:val="24"/>
              </w:rPr>
              <w:t>Άρθρο 102 και άρθρο 105 παράγραφος 1 του κανονισμού (ΕΕ) αριθ. 575/2013. Πρόκειται για ακαθάριστες θέσεις που δεν έχουν συμψηφιστεί με τίτλους αφαιρώντας τις θέσεις αναδοχής που έχουν αναληφθεί ή υποαναληφθεί από τρίτους, σύμφωνα με το άρθρο 345 παράγραφος 1 πρώτο εδάφιο δεύτερη περίοδος του κανονισμού (ΕΕ) αριθ. 575/2013. Όσον αφορά τη διάκριση μεταξύ θετικών και αρνητικών θέσεων, που ισχύει επίσης για τις συγκεκριμένες ακαθάριστες θέσεις, βλέπε άρθρο 328 παράγραφος 2 του εν λόγω κανονισμού.</w:t>
            </w:r>
          </w:p>
        </w:tc>
      </w:tr>
      <w:tr w:rsidR="000B0B09" w:rsidRPr="002D60D7" w14:paraId="05A2AFD3" w14:textId="77777777" w:rsidTr="00672D2A">
        <w:tc>
          <w:tcPr>
            <w:tcW w:w="988" w:type="dxa"/>
          </w:tcPr>
          <w:p w14:paraId="0443676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28E370A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ΚΑΘΑΡΕΣ ΘΕΣΕΙΣ (ΘΕΤΙΚΕΣ ΚΑΙ ΑΡΝΗΤΙΚΕΣ)</w:t>
            </w:r>
          </w:p>
          <w:p w14:paraId="38649486" w14:textId="2801053C" w:rsidR="000B0B09" w:rsidRPr="002D60D7" w:rsidRDefault="000B0B09" w:rsidP="004C445F">
            <w:pPr>
              <w:suppressAutoHyphens/>
              <w:rPr>
                <w:rFonts w:ascii="Times New Roman" w:hAnsi="Times New Roman"/>
                <w:sz w:val="24"/>
              </w:rPr>
            </w:pPr>
            <w:r>
              <w:rPr>
                <w:rFonts w:ascii="Times New Roman" w:hAnsi="Times New Roman"/>
                <w:sz w:val="24"/>
              </w:rPr>
              <w:t>Άρθρα 327 έως 329 και άρθρο 334 του κανονισμού (ΕΕ) αριθ. 575/2013. Όσον αφορά τη διάκριση μεταξύ θετικών και αρνητικών θέσεων, βλέπε άρθρο 328 παράγραφος 2 του εν λόγω κανονισμού.</w:t>
            </w:r>
          </w:p>
        </w:tc>
      </w:tr>
      <w:tr w:rsidR="000B0B09" w:rsidRPr="002D60D7" w14:paraId="4C7D46FF" w14:textId="77777777" w:rsidTr="00672D2A">
        <w:tc>
          <w:tcPr>
            <w:tcW w:w="988" w:type="dxa"/>
          </w:tcPr>
          <w:p w14:paraId="4D3FEEA5"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B3043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ΘΕΣΕΙΣ ΠΟΥ ΥΠΟΚΕΙΝΤΑΙ ΣΕ ΚΕΦΑΛΑΙΑΚΗ ΕΠΙΒΑΡΥΝΣΗ</w:t>
            </w:r>
          </w:p>
          <w:p w14:paraId="76B658E5" w14:textId="79039FA9" w:rsidR="000B0B09" w:rsidRPr="002D60D7" w:rsidRDefault="000B0B09" w:rsidP="004C445F">
            <w:pPr>
              <w:suppressAutoHyphens/>
              <w:rPr>
                <w:rFonts w:ascii="Times New Roman" w:hAnsi="Times New Roman"/>
                <w:b/>
                <w:bCs/>
                <w:sz w:val="24"/>
                <w:u w:val="single"/>
              </w:rPr>
            </w:pPr>
            <w:r>
              <w:rPr>
                <w:rFonts w:ascii="Times New Roman" w:hAnsi="Times New Roman"/>
                <w:sz w:val="24"/>
              </w:rPr>
              <w:t>Οι καθαρές θέσεις οι οποίες, σύμφωνα με τις διαφορετικές προσεγγίσεις που εξετάζονται στο τρίτο μέρος τίτλος IV κεφάλαιο 2 του κανονισμού (ΕΕ) αριθ. 575/2013, υπόκεινται σε κεφαλαιακή επιβάρυνση.</w:t>
            </w:r>
          </w:p>
        </w:tc>
      </w:tr>
      <w:tr w:rsidR="000B0B09" w:rsidRPr="002D60D7" w14:paraId="017C014C" w14:textId="77777777" w:rsidTr="00672D2A">
        <w:tc>
          <w:tcPr>
            <w:tcW w:w="988" w:type="dxa"/>
          </w:tcPr>
          <w:p w14:paraId="7D197D9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55F3618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ΑΠΑΙΤΗΣΕΙΣ ΙΔΙΩΝ ΚΕΦΑΛΑΙΩΝ</w:t>
            </w:r>
          </w:p>
          <w:p w14:paraId="74F1F61F" w14:textId="12ADC1C1" w:rsidR="000B0B09" w:rsidRPr="002D60D7" w:rsidRDefault="000B0B09" w:rsidP="004C445F">
            <w:pPr>
              <w:suppressAutoHyphens/>
              <w:rPr>
                <w:rFonts w:ascii="Times New Roman" w:hAnsi="Times New Roman"/>
                <w:b/>
                <w:bCs/>
                <w:sz w:val="24"/>
                <w:u w:val="single"/>
              </w:rPr>
            </w:pPr>
            <w:r>
              <w:rPr>
                <w:rFonts w:ascii="Times New Roman" w:hAnsi="Times New Roman"/>
                <w:sz w:val="24"/>
              </w:rPr>
              <w:t>Η κεφαλαιακή επιβάρυνση για κάθε σχετική θέση, σύμφωνα με το τρίτο μέρος τίτλος IV κεφάλαιο 2 του κανονισμού (ΕΕ) αριθ. 575/2013.</w:t>
            </w:r>
          </w:p>
        </w:tc>
      </w:tr>
      <w:tr w:rsidR="000B0B09" w:rsidRPr="002D60D7" w14:paraId="56717AD1" w14:textId="77777777" w:rsidTr="00672D2A">
        <w:tc>
          <w:tcPr>
            <w:tcW w:w="988" w:type="dxa"/>
          </w:tcPr>
          <w:p w14:paraId="0D4A61CE"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7996E138"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ΣΥΝΟΛΙΚΟ ΠΟΣΟ ΑΝΟΙΓΜΑΤΟΣ ΣΕ ΚΙΝΔΥΝΟ</w:t>
            </w:r>
          </w:p>
          <w:p w14:paraId="2C4B0E54" w14:textId="5566DB68" w:rsidR="000B0B09" w:rsidRPr="002D60D7" w:rsidRDefault="000B0B09" w:rsidP="004C445F">
            <w:pPr>
              <w:suppressAutoHyphens/>
              <w:rPr>
                <w:rFonts w:ascii="Times New Roman" w:hAnsi="Times New Roman"/>
                <w:b/>
                <w:bCs/>
                <w:sz w:val="24"/>
                <w:u w:val="single"/>
              </w:rPr>
            </w:pPr>
            <w:r>
              <w:rPr>
                <w:rFonts w:ascii="Times New Roman" w:hAnsi="Times New Roman"/>
                <w:sz w:val="24"/>
              </w:rPr>
              <w:t xml:space="preserve">Άρθρο 92 παράγραφος 6 στοιχείο β) του κανονισμού (ΕΕ) αριθ. 575/2013. Αποτέλεσμα του πολλαπλασιασμού των απαιτήσεων ιδίων κεφαλαίων επί 12,5. </w:t>
            </w:r>
          </w:p>
        </w:tc>
      </w:tr>
    </w:tbl>
    <w:p w14:paraId="5A8176A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33B18629"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64300D2A" w14:textId="77777777" w:rsidTr="00672D2A">
        <w:trPr>
          <w:trHeight w:val="533"/>
        </w:trPr>
        <w:tc>
          <w:tcPr>
            <w:tcW w:w="8862" w:type="dxa"/>
            <w:gridSpan w:val="2"/>
            <w:shd w:val="clear" w:color="auto" w:fill="CCCCCC"/>
          </w:tcPr>
          <w:p w14:paraId="3C74B42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Γραμμές</w:t>
            </w:r>
          </w:p>
        </w:tc>
      </w:tr>
      <w:tr w:rsidR="000B0B09" w:rsidRPr="002D60D7" w14:paraId="278DCECA" w14:textId="77777777" w:rsidTr="00672D2A">
        <w:trPr>
          <w:trHeight w:val="1168"/>
        </w:trPr>
        <w:tc>
          <w:tcPr>
            <w:tcW w:w="987" w:type="dxa"/>
          </w:tcPr>
          <w:p w14:paraId="2275EBA9"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0010-0350</w:t>
            </w:r>
          </w:p>
        </w:tc>
        <w:tc>
          <w:tcPr>
            <w:tcW w:w="7875" w:type="dxa"/>
          </w:tcPr>
          <w:p w14:paraId="20DE7F5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ΔΙΑΠΡΑΓΜΑΤΕΥΣΙΜΟΙ ΧΡΕΩΣΤΙΚΟΙ ΤΙΤΛΟΙ ΣΤΟ ΧΑΡΤΟΦΥΛΑΚΙΟ ΣΥΝΑΛΛΑΓΩΝ</w:t>
            </w:r>
          </w:p>
          <w:p w14:paraId="12C841B7" w14:textId="65FC0FB4" w:rsidR="000B0B09" w:rsidRPr="002D60D7" w:rsidRDefault="000B0B09" w:rsidP="004C445F">
            <w:pPr>
              <w:suppressAutoHyphens/>
              <w:rPr>
                <w:rFonts w:ascii="Times New Roman" w:hAnsi="Times New Roman"/>
                <w:sz w:val="24"/>
              </w:rPr>
            </w:pPr>
            <w:r>
              <w:rPr>
                <w:rFonts w:ascii="Times New Roman" w:hAnsi="Times New Roman"/>
                <w:sz w:val="24"/>
              </w:rPr>
              <w:t>Οι θέσεις σε διαπραγματεύσιμους χρεωστικούς τίτλους στο χαρτοφυλάκιο συναλλαγών και οι αντίστοιχες απαιτήσεις ιδίων κεφαλαίων τους για τον κίνδυνο θέσης, σύμφωνα με το άρθρο 92 παράγραφος 4 στοιχείο β) σημείο i) του κανονισμού (ΕΕ) αριθ. 575/2013 και το τρίτο μέρος κεφάλαιο 2 τίτλος IV του εν λόγω κανονισμού, αναφέρονται ανάλογα με την κατηγορία κινδύνου, τη ληκτότητα και την εφαρμοζόμενη προσέγγιση.</w:t>
            </w:r>
          </w:p>
        </w:tc>
      </w:tr>
      <w:tr w:rsidR="000B0B09" w:rsidRPr="002D60D7" w14:paraId="2272E4A5" w14:textId="77777777" w:rsidTr="00672D2A">
        <w:tc>
          <w:tcPr>
            <w:tcW w:w="987" w:type="dxa"/>
          </w:tcPr>
          <w:p w14:paraId="0642F5E6"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0011</w:t>
            </w:r>
          </w:p>
        </w:tc>
        <w:tc>
          <w:tcPr>
            <w:tcW w:w="7875" w:type="dxa"/>
          </w:tcPr>
          <w:p w14:paraId="51E03C3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 xml:space="preserve">ΓΕΝΙΚΟΣ ΚΙΝΔΥΝΟΣ. </w:t>
            </w:r>
          </w:p>
        </w:tc>
      </w:tr>
      <w:tr w:rsidR="000B0B09" w:rsidRPr="002D60D7" w14:paraId="55F30C33" w14:textId="77777777" w:rsidTr="00672D2A">
        <w:tc>
          <w:tcPr>
            <w:tcW w:w="987" w:type="dxa"/>
          </w:tcPr>
          <w:p w14:paraId="2CBA5F8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0012</w:t>
            </w:r>
          </w:p>
        </w:tc>
        <w:tc>
          <w:tcPr>
            <w:tcW w:w="7875" w:type="dxa"/>
          </w:tcPr>
          <w:p w14:paraId="04F0038F"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Παράγωγα</w:t>
            </w:r>
          </w:p>
          <w:p w14:paraId="06C530F0" w14:textId="7A78F919" w:rsidR="000B0B09" w:rsidRPr="002D60D7" w:rsidRDefault="000B0B09" w:rsidP="004C445F">
            <w:pPr>
              <w:suppressAutoHyphens/>
              <w:rPr>
                <w:rFonts w:ascii="Times New Roman" w:hAnsi="Times New Roman"/>
                <w:b/>
                <w:bCs/>
                <w:sz w:val="24"/>
                <w:u w:val="single"/>
              </w:rPr>
            </w:pPr>
            <w:r>
              <w:rPr>
                <w:rFonts w:ascii="Times New Roman" w:hAnsi="Times New Roman"/>
                <w:sz w:val="24"/>
              </w:rPr>
              <w:lastRenderedPageBreak/>
              <w:t>Παράγωγα που περιλαμβάνονται στον υπολογισμό του κινδύνου επιτοκίου των θέσεων του χαρτοφυλακίου συναλλαγών, λαμβανομένων υπόψη των άρθρων 328 έως 331 του κανονισμού (ΕΕ) αριθ. 575/2013, κατά περίπτωση.</w:t>
            </w:r>
          </w:p>
        </w:tc>
      </w:tr>
      <w:tr w:rsidR="000B0B09" w:rsidRPr="002D60D7" w14:paraId="36851B46" w14:textId="77777777" w:rsidTr="00672D2A">
        <w:tc>
          <w:tcPr>
            <w:tcW w:w="987" w:type="dxa"/>
          </w:tcPr>
          <w:p w14:paraId="6827F66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0013</w:t>
            </w:r>
          </w:p>
        </w:tc>
        <w:tc>
          <w:tcPr>
            <w:tcW w:w="7875" w:type="dxa"/>
          </w:tcPr>
          <w:p w14:paraId="6024297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Άλλα στοιχεία του ενεργητικού και του παθητικού</w:t>
            </w:r>
          </w:p>
          <w:p w14:paraId="665719C9" w14:textId="77777777" w:rsidR="000B0B09" w:rsidRPr="002D60D7" w:rsidRDefault="000B0B09" w:rsidP="004C445F">
            <w:pPr>
              <w:suppressAutoHyphens/>
              <w:rPr>
                <w:rFonts w:ascii="Times New Roman" w:hAnsi="Times New Roman"/>
                <w:b/>
                <w:bCs/>
                <w:sz w:val="24"/>
                <w:u w:val="single"/>
              </w:rPr>
            </w:pPr>
            <w:r>
              <w:rPr>
                <w:rFonts w:ascii="Times New Roman" w:hAnsi="Times New Roman"/>
                <w:sz w:val="24"/>
              </w:rPr>
              <w:t xml:space="preserve">Τίτλοι, εκτός των παραγώγων, που περιλαμβάνονται στον υπολογισμό του κινδύνου επιτοκίου των θέσεων του χαρτοφυλακίου συναλλαγών. </w:t>
            </w:r>
          </w:p>
        </w:tc>
      </w:tr>
      <w:tr w:rsidR="000B0B09" w:rsidRPr="002D60D7" w14:paraId="177EBA5C" w14:textId="77777777" w:rsidTr="00672D2A">
        <w:tc>
          <w:tcPr>
            <w:tcW w:w="987" w:type="dxa"/>
          </w:tcPr>
          <w:p w14:paraId="2B740B7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0020-0200</w:t>
            </w:r>
          </w:p>
        </w:tc>
        <w:tc>
          <w:tcPr>
            <w:tcW w:w="7875" w:type="dxa"/>
          </w:tcPr>
          <w:p w14:paraId="1DE7E50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ΠΡΟΣΕΓΓΙΣΗ ΒΑΣΕΙ ΤΗΣ ΜΕΘΟΔΟΥ ΤΗΣ ΛΗΚΤΟΤΗΤΑΣ</w:t>
            </w:r>
          </w:p>
          <w:p w14:paraId="644A7531" w14:textId="671AD153" w:rsidR="000B0B09" w:rsidRPr="002D60D7" w:rsidRDefault="000B0B09" w:rsidP="004C445F">
            <w:pPr>
              <w:suppressAutoHyphens/>
              <w:rPr>
                <w:rFonts w:ascii="Times New Roman" w:hAnsi="Times New Roman"/>
                <w:b/>
                <w:bCs/>
                <w:sz w:val="24"/>
                <w:u w:val="single"/>
              </w:rPr>
            </w:pPr>
            <w:r>
              <w:rPr>
                <w:rFonts w:ascii="Times New Roman" w:hAnsi="Times New Roman"/>
                <w:sz w:val="24"/>
              </w:rPr>
              <w:t>Θέσεις σε διαπραγματεύσιμους χρεωστικούς τίτλους που υπόκεινται στη μέθοδο της ληκτότητας, όπως προβλέπεται στο άρθρο 339 παράγραφοι 1 έως 8 του κανονισμού (ΕΕ) αριθ. 575/2013, και οι αντίστοιχες απαιτήσεις ιδίων κεφαλαίων υπολογιζόμενες σύμφωνα με το άρθρο 339 παράγραφος 9 του εν λόγω κανονισμού. Η θέση κατανέμεται στις ζώνες 1, 2 και 3 και οι εν λόγω ζώνες κατανέμονται βάσει της ληκτότητας των μέσων.</w:t>
            </w:r>
          </w:p>
        </w:tc>
      </w:tr>
      <w:tr w:rsidR="000B0B09" w:rsidRPr="002D60D7" w14:paraId="79DAC997" w14:textId="77777777" w:rsidTr="00672D2A">
        <w:tc>
          <w:tcPr>
            <w:tcW w:w="987" w:type="dxa"/>
          </w:tcPr>
          <w:p w14:paraId="73C021E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0210-0240</w:t>
            </w:r>
          </w:p>
        </w:tc>
        <w:tc>
          <w:tcPr>
            <w:tcW w:w="7875" w:type="dxa"/>
          </w:tcPr>
          <w:p w14:paraId="2CE27E6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ΓΕΝΙΚΟΣ ΚΙΝΔΥΝΟΣ. ΠΡΟΣΕΓΓΙΣΗ ΒΑΣΕΙ ΤΗΣ ΜΕΘΟΔΟΥ ΤΗΣ ΔΙΑΡΚΕΙΑΣ</w:t>
            </w:r>
          </w:p>
          <w:p w14:paraId="08171DB1" w14:textId="5B3E8AB1" w:rsidR="000B0B09" w:rsidRPr="002D60D7" w:rsidRDefault="000B0B09" w:rsidP="004C445F">
            <w:pPr>
              <w:suppressAutoHyphens/>
              <w:rPr>
                <w:rFonts w:ascii="Times New Roman" w:hAnsi="Times New Roman"/>
                <w:b/>
                <w:bCs/>
                <w:sz w:val="24"/>
                <w:u w:val="single"/>
              </w:rPr>
            </w:pPr>
            <w:r>
              <w:rPr>
                <w:rFonts w:ascii="Times New Roman" w:hAnsi="Times New Roman"/>
                <w:sz w:val="24"/>
              </w:rPr>
              <w:t>Θέσεις σε διαπραγματεύσιμους χρεωστικούς τίτλους που υπόκεινται στη μέθοδο της διάρκειας, όπως προβλέπεται στο άρθρο 340 παράγραφοι 1 έως 6 του κανονισμού (ΕΕ) αριθ. 575/2013, και οι αντίστοιχες απαιτήσεις ιδίων κεφαλαίων υπολογιζόμενες σύμφωνα με το άρθρο 340 παράγραφος 7 του εν λόγω κανονισμού. Η θέση κατανέμεται στις ζώνες 1, 2 και 3.</w:t>
            </w:r>
          </w:p>
        </w:tc>
      </w:tr>
      <w:tr w:rsidR="000B0B09" w:rsidRPr="002D60D7" w14:paraId="7DD483EC" w14:textId="77777777" w:rsidTr="00672D2A">
        <w:tc>
          <w:tcPr>
            <w:tcW w:w="987" w:type="dxa"/>
          </w:tcPr>
          <w:p w14:paraId="5974B23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0250</w:t>
            </w:r>
          </w:p>
        </w:tc>
        <w:tc>
          <w:tcPr>
            <w:tcW w:w="7875" w:type="dxa"/>
          </w:tcPr>
          <w:p w14:paraId="6CE50A3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ΕΙΔΙΚΟΣ ΚΙΝΔΥΝΟΣ</w:t>
            </w:r>
          </w:p>
          <w:p w14:paraId="29C6E3D0" w14:textId="77777777" w:rsidR="000B0B09" w:rsidRPr="002D60D7" w:rsidRDefault="000B0B09" w:rsidP="004C445F">
            <w:pPr>
              <w:suppressAutoHyphens/>
              <w:rPr>
                <w:rFonts w:ascii="Times New Roman" w:hAnsi="Times New Roman"/>
                <w:sz w:val="24"/>
              </w:rPr>
            </w:pPr>
            <w:r>
              <w:rPr>
                <w:rFonts w:ascii="Times New Roman" w:hAnsi="Times New Roman"/>
                <w:sz w:val="24"/>
              </w:rPr>
              <w:t xml:space="preserve">Άθροισμα των ποσών που αναφέρονται στις γραμμές 0251, 0325 και 0330. </w:t>
            </w:r>
          </w:p>
          <w:p w14:paraId="4E1E5CA2" w14:textId="0C1E6FCB" w:rsidR="000B0B09" w:rsidRPr="002D60D7" w:rsidRDefault="000B0B09" w:rsidP="004C445F">
            <w:pPr>
              <w:suppressAutoHyphens/>
              <w:rPr>
                <w:rFonts w:ascii="Times New Roman" w:hAnsi="Times New Roman"/>
                <w:b/>
                <w:bCs/>
                <w:sz w:val="24"/>
                <w:u w:val="single"/>
              </w:rPr>
            </w:pPr>
            <w:r>
              <w:rPr>
                <w:rFonts w:ascii="Times New Roman" w:hAnsi="Times New Roman"/>
                <w:sz w:val="24"/>
              </w:rPr>
              <w:t>Θέσεις σε διαπραγματεύσιμους χρεωστικούς τίτλους υποκείμενους στις κεφαλαιακές απαιτήσεις έναντι του ειδικού κινδύνου και οι αντίστοιχες κεφαλαιακές απαιτήσεις τους σύμφωνα με το άρθρο 92 παράγραφος 3 στοιχείο β), το άρθρο 335, το άρθρο 336 παράγραφοι 1, 2 και 3 και τα άρθρα 337 και 338 του κανονισμού (ΕΕ) αριθ. 575/2013. Ιδιαίτερη προσοχή πρέπει να δίνεται στην τελευταία περίοδο του άρθρου 327 παράγραφος 1 του εν λόγω κανονισμού.</w:t>
            </w:r>
          </w:p>
        </w:tc>
      </w:tr>
      <w:tr w:rsidR="000B0B09" w:rsidRPr="002D60D7" w14:paraId="6F8691E7" w14:textId="77777777" w:rsidTr="00672D2A">
        <w:tc>
          <w:tcPr>
            <w:tcW w:w="987" w:type="dxa"/>
          </w:tcPr>
          <w:p w14:paraId="5CD5E31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0251-0321</w:t>
            </w:r>
          </w:p>
        </w:tc>
        <w:tc>
          <w:tcPr>
            <w:tcW w:w="7875" w:type="dxa"/>
          </w:tcPr>
          <w:p w14:paraId="14764BB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Απαίτηση ιδίων κεφαλαίων για χρεωστικούς τίτλους που δεν αποτελούν θέσεις τιτλοποίησης</w:t>
            </w:r>
          </w:p>
          <w:p w14:paraId="19437B35" w14:textId="77777777" w:rsidR="000B0B09" w:rsidRPr="002D60D7" w:rsidRDefault="000B0B09" w:rsidP="004C445F">
            <w:pPr>
              <w:suppressAutoHyphens/>
              <w:rPr>
                <w:rFonts w:ascii="Times New Roman" w:hAnsi="Times New Roman"/>
                <w:sz w:val="24"/>
              </w:rPr>
            </w:pPr>
            <w:r>
              <w:rPr>
                <w:rFonts w:ascii="Times New Roman" w:hAnsi="Times New Roman"/>
                <w:sz w:val="24"/>
              </w:rPr>
              <w:t>Άθροισμα των ποσών που αναφέρονται στις γραμμές 260 έως 321.</w:t>
            </w:r>
          </w:p>
          <w:p w14:paraId="4CDA5DEB" w14:textId="4AB00123" w:rsidR="000B0B09" w:rsidRPr="002D60D7" w:rsidRDefault="000B0B09" w:rsidP="004C445F">
            <w:pPr>
              <w:suppressAutoHyphens/>
              <w:rPr>
                <w:rFonts w:ascii="Times New Roman" w:hAnsi="Times New Roman"/>
                <w:sz w:val="24"/>
              </w:rPr>
            </w:pPr>
            <w:r>
              <w:rPr>
                <w:rFonts w:ascii="Times New Roman" w:hAnsi="Times New Roman"/>
                <w:sz w:val="24"/>
              </w:rPr>
              <w:t xml:space="preserve">Η απαίτηση ιδίων κεφαλαίων των πιστωτικών παραγώγων νιοστού βαθμού αθέτησης που δεν διαβαθμίζονται εξωτερικά υπολογίζεται αθροίζοντας τους συντελεστές στάθμισης κινδύνου των οντοτήτων αναφοράς [άρθρο 332 παράγραφος 1 στοιχείο ε) και άρθρο 332 παράγραφος 1 δεύτερο εδάφιο του κανονισμού (ΕΕ) αριθ. 575/2013 — «εξέταση»]. Τα πιστωτικά παράγωγα νιοστού βαθμού αθέτησης που διαβαθμίζονται εξωτερικά [άρθρο 332 παράγραφος 1 τρίτο εδάφιο του κανονισμού (ΕΕ) αριθ. 575/2013] αναφέρονται χωριστά στη γραμμή 321. </w:t>
            </w:r>
          </w:p>
          <w:p w14:paraId="7051ED04" w14:textId="439958FE" w:rsidR="000B0B09" w:rsidRPr="002D60D7" w:rsidRDefault="000B0B09" w:rsidP="004C445F">
            <w:pPr>
              <w:suppressAutoHyphens/>
              <w:rPr>
                <w:rFonts w:ascii="Times New Roman" w:hAnsi="Times New Roman"/>
                <w:sz w:val="24"/>
              </w:rPr>
            </w:pPr>
            <w:r>
              <w:rPr>
                <w:rFonts w:ascii="Times New Roman" w:hAnsi="Times New Roman"/>
                <w:sz w:val="24"/>
              </w:rPr>
              <w:t xml:space="preserve">Αναφορά θέσεων υποκείμενων στο άρθρο 336 παράγραφος 3 του κανονισμού (ΕΕ) αριθ. 575/2013: Πρόκειται για ειδική αντιμετώπιση ομολόγων που λαμβάνουν συντελεστή στάθμισης κινδύνου 10 % εντός του τραπεζικού χαρτοφυλακίου, σύμφωνα με το άρθρο 129 παράγραφος 3 του εν λόγω κανονισμού (καλυμμένα ομόλογα). Οι ειδικές απαιτήσεις ιδίων κεφαλαίων είναι </w:t>
            </w:r>
            <w:r>
              <w:rPr>
                <w:rFonts w:ascii="Times New Roman" w:hAnsi="Times New Roman"/>
                <w:sz w:val="24"/>
              </w:rPr>
              <w:lastRenderedPageBreak/>
              <w:t>το ήμισυ του ποσοστού της δεύτερης κατηγορίας που προβλέπεται στον πίνακα 1 του άρθρου 336 του κανονισμού (ΕΕ) αριθ. 575/2013. Οι θέσεις αυτές καταλογίζονται στις γραμμές 0280-0300 ανάλογα με την εναπομένουσα διάρκεια μέχρι την τελική ληκτότητα.</w:t>
            </w:r>
          </w:p>
          <w:p w14:paraId="11FE9AD5" w14:textId="6CF7D4D9" w:rsidR="000B0B09" w:rsidRPr="002D60D7" w:rsidRDefault="00F41508" w:rsidP="004C445F">
            <w:pPr>
              <w:suppressAutoHyphens/>
              <w:rPr>
                <w:rFonts w:ascii="Times New Roman" w:hAnsi="Times New Roman"/>
                <w:b/>
                <w:bCs/>
                <w:sz w:val="24"/>
                <w:u w:val="single"/>
              </w:rPr>
            </w:pPr>
            <w:r>
              <w:rPr>
                <w:rFonts w:ascii="Times New Roman" w:hAnsi="Times New Roman"/>
                <w:sz w:val="24"/>
              </w:rPr>
              <w:t xml:space="preserve">Εάν ο γενικός κίνδυνος των θέσεων επιτοκίου αντισταθμίζεται με πιστωτικό παράγωγο, εφαρμόζονται τα άρθρα 346 και 347 του κανονισμού (ΕΕ) αριθ. 575/2013. </w:t>
            </w:r>
          </w:p>
        </w:tc>
      </w:tr>
      <w:tr w:rsidR="000B0B09" w:rsidRPr="002D60D7" w14:paraId="3F2475A8" w14:textId="77777777" w:rsidTr="00672D2A">
        <w:tc>
          <w:tcPr>
            <w:tcW w:w="987" w:type="dxa"/>
          </w:tcPr>
          <w:p w14:paraId="1898316C"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0325</w:t>
            </w:r>
          </w:p>
        </w:tc>
        <w:tc>
          <w:tcPr>
            <w:tcW w:w="7875" w:type="dxa"/>
          </w:tcPr>
          <w:p w14:paraId="21ACC24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Απαίτηση ιδίων κεφαλαίων για μέσα τιτλοποίησης</w:t>
            </w:r>
          </w:p>
          <w:p w14:paraId="7BA68AB7"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t>Συνολικές απαιτήσεις ιδίων κεφαλαίων που αναφέρονται στη στήλη 0601 του υποδείγματος MKR SA SEC. Οι εν λόγω συνολικές απαιτήσεις ιδίων κεφαλαίων αναφέρονται μόνο στο επίπεδο “Total” του υποδείγματος MKR SA TDI.</w:t>
            </w:r>
          </w:p>
        </w:tc>
      </w:tr>
      <w:tr w:rsidR="000B0B09" w:rsidRPr="002D60D7" w14:paraId="55688787" w14:textId="77777777" w:rsidTr="00672D2A">
        <w:tc>
          <w:tcPr>
            <w:tcW w:w="987" w:type="dxa"/>
          </w:tcPr>
          <w:p w14:paraId="74C28C83"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0330</w:t>
            </w:r>
          </w:p>
        </w:tc>
        <w:tc>
          <w:tcPr>
            <w:tcW w:w="7875" w:type="dxa"/>
          </w:tcPr>
          <w:p w14:paraId="66957FA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Απαίτηση ιδίων κεφαλαίων για το χαρτοφυλάκιο διαπραγμάτευσης συσχετίσεων</w:t>
            </w:r>
          </w:p>
          <w:p w14:paraId="104F8330"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t>Συνολικές απαιτήσεις ιδίων κεφαλαίων που αναφέρονται στη στήλη 0450 του υποδείγματος MKR SA CTP. Οι εν λόγω συνολικές απαιτήσεις ιδίων κεφαλαίων αναφέρονται μόνο στο επίπεδο «Σύνολο» του υποδείγματος MKR SA TDI.</w:t>
            </w:r>
          </w:p>
        </w:tc>
      </w:tr>
      <w:tr w:rsidR="000B0B09" w:rsidRPr="002D60D7" w14:paraId="230D0723" w14:textId="77777777" w:rsidTr="00672D2A">
        <w:tc>
          <w:tcPr>
            <w:tcW w:w="987" w:type="dxa"/>
          </w:tcPr>
          <w:p w14:paraId="26241DA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0350-0390</w:t>
            </w:r>
          </w:p>
        </w:tc>
        <w:tc>
          <w:tcPr>
            <w:tcW w:w="7875" w:type="dxa"/>
          </w:tcPr>
          <w:p w14:paraId="5291B6A7" w14:textId="77777777" w:rsidR="000B0B09" w:rsidRPr="002D60D7" w:rsidRDefault="000B0B09"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berschrift"/>
                <w:rFonts w:ascii="Times New Roman" w:hAnsi="Times New Roman"/>
                <w:sz w:val="24"/>
              </w:rPr>
              <w:t xml:space="preserve">ΠΡΟΣΘΕΤΕΣ ΑΠΑΙΤΗΣΕΙΣ ΓΙΑ ΤΑ ΔΙΚΑΙΩΜΑΤΑ ΠΡΟΑΙΡΕΣΗΣ (ΚΙΝΔΥΝΟΙ ΠΟΥ ΔΕΝ ΥΠΟΚΕΙΝΤΑΙ ΣΤΟΝ ΣΥΝΤΕΛΕΣΤΗ ΔΕΛΤΑ) </w:t>
            </w:r>
          </w:p>
          <w:p w14:paraId="3B19069A" w14:textId="2AE3D272" w:rsidR="000B0B09" w:rsidRPr="002D60D7" w:rsidRDefault="000B0B09" w:rsidP="004C445F">
            <w:pPr>
              <w:suppressAutoHyphens/>
              <w:rPr>
                <w:rFonts w:ascii="Times New Roman" w:hAnsi="Times New Roman"/>
                <w:sz w:val="24"/>
              </w:rPr>
            </w:pPr>
            <w:r>
              <w:rPr>
                <w:rFonts w:ascii="Times New Roman" w:hAnsi="Times New Roman"/>
                <w:sz w:val="24"/>
              </w:rPr>
              <w:t>Άρθρο 329 παράγραφος 3 του κανονισμού (ΕΕ) αριθ. 575/2013.</w:t>
            </w:r>
          </w:p>
          <w:p w14:paraId="4A1F04EE" w14:textId="77777777" w:rsidR="000B0B09" w:rsidRPr="002D60D7" w:rsidRDefault="000B0B09" w:rsidP="004C445F">
            <w:pPr>
              <w:suppressAutoHyphens/>
              <w:rPr>
                <w:rFonts w:ascii="Times New Roman" w:hAnsi="Times New Roman"/>
                <w:bCs/>
                <w:sz w:val="24"/>
              </w:rPr>
            </w:pPr>
            <w:r>
              <w:rPr>
                <w:rFonts w:ascii="Times New Roman" w:hAnsi="Times New Roman"/>
                <w:sz w:val="24"/>
              </w:rPr>
              <w:t>Οι πρόσθετες απαιτήσεις για τα δικαιώματα προαίρεσης που σχετίζονται με κινδύνους που δεν υπόκεινται στον συντελεστή δέλτα κατανέμονται με βάση τη μέθοδο που χρησιμοποιείται για τον υπολογισμό τους.</w:t>
            </w:r>
          </w:p>
        </w:tc>
      </w:tr>
    </w:tbl>
    <w:p w14:paraId="45D79A0A"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7B3D40AE" w14:textId="1AB0D7C7"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2" w:name="_Toc294172370"/>
      <w:bookmarkStart w:id="53" w:name="_Toc295829999"/>
      <w:bookmarkStart w:id="54" w:name="_Toc308426676"/>
      <w:bookmarkStart w:id="55" w:name="_Toc310415060"/>
      <w:bookmarkStart w:id="56" w:name="_Toc360188395"/>
      <w:bookmarkStart w:id="57" w:name="_Toc473561035"/>
      <w:bookmarkStart w:id="58" w:name="_Toc210914188"/>
      <w:r>
        <w:rPr>
          <w:rFonts w:ascii="Times New Roman" w:hAnsi="Times New Roman"/>
          <w:sz w:val="24"/>
          <w:u w:val="none"/>
        </w:rPr>
        <w:t>3.</w:t>
      </w:r>
      <w:r w:rsidRPr="00861C69">
        <w:rPr>
          <w:u w:val="none"/>
        </w:rPr>
        <w:tab/>
      </w:r>
      <w:r>
        <w:rPr>
          <w:rFonts w:ascii="Times New Roman" w:hAnsi="Times New Roman"/>
          <w:sz w:val="24"/>
        </w:rPr>
        <w:t>C 19.00 – ΚΙΝΔΥΝΟΣ ΑΓΟΡΑΣ: ΤΥΠΟΠΟΙΗΜΕΝΗ ΠΡΟΣΕΓΓΙΣΗ ΓΙΑ ΤΟΝ ΕΙΔΙΚΟ ΚΙΝΔΥΝΟ ΣΕ ΤΙΤΛΟΠΟΙΗΣΕΙΣ (MKR SA SEC)</w:t>
      </w:r>
      <w:bookmarkEnd w:id="52"/>
      <w:bookmarkEnd w:id="53"/>
      <w:bookmarkEnd w:id="54"/>
      <w:bookmarkEnd w:id="55"/>
      <w:bookmarkEnd w:id="56"/>
      <w:bookmarkEnd w:id="57"/>
      <w:bookmarkEnd w:id="58"/>
    </w:p>
    <w:p w14:paraId="77E74540" w14:textId="159B56B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9" w:name="_Toc294172371"/>
      <w:bookmarkStart w:id="60" w:name="_Toc295830000"/>
      <w:bookmarkStart w:id="61" w:name="_Toc308426677"/>
      <w:bookmarkStart w:id="62" w:name="_Toc310415061"/>
      <w:bookmarkStart w:id="63" w:name="_Toc360188396"/>
      <w:bookmarkStart w:id="64" w:name="_Toc473561036"/>
      <w:bookmarkStart w:id="65" w:name="_Toc210914189"/>
      <w:r>
        <w:rPr>
          <w:rFonts w:ascii="Times New Roman" w:hAnsi="Times New Roman"/>
          <w:sz w:val="24"/>
          <w:u w:val="none"/>
        </w:rPr>
        <w:t>3.1.</w:t>
      </w:r>
      <w:r w:rsidRPr="00861C69">
        <w:rPr>
          <w:u w:val="none"/>
        </w:rPr>
        <w:tab/>
      </w:r>
      <w:r>
        <w:rPr>
          <w:rFonts w:ascii="Times New Roman" w:hAnsi="Times New Roman"/>
          <w:sz w:val="24"/>
        </w:rPr>
        <w:t>Γενικές παρατηρήσεις</w:t>
      </w:r>
      <w:bookmarkEnd w:id="59"/>
      <w:bookmarkEnd w:id="60"/>
      <w:bookmarkEnd w:id="61"/>
      <w:bookmarkEnd w:id="62"/>
      <w:bookmarkEnd w:id="63"/>
      <w:bookmarkEnd w:id="64"/>
      <w:bookmarkEnd w:id="65"/>
    </w:p>
    <w:p w14:paraId="7E5893C5" w14:textId="18DD7193" w:rsidR="00FC6275" w:rsidRPr="002D60D7" w:rsidRDefault="00FC6275" w:rsidP="00E172EA">
      <w:pPr>
        <w:pStyle w:val="InstructionsText2"/>
        <w:numPr>
          <w:ilvl w:val="0"/>
          <w:numId w:val="29"/>
        </w:numPr>
        <w:suppressAutoHyphens/>
      </w:pPr>
      <w:bookmarkStart w:id="66" w:name="_Toc294172372"/>
      <w:bookmarkStart w:id="67" w:name="_Toc295830001"/>
      <w:bookmarkStart w:id="68" w:name="_Toc308426678"/>
      <w:bookmarkStart w:id="69" w:name="_Toc310415062"/>
      <w:bookmarkStart w:id="70" w:name="_Toc360188397"/>
      <w:bookmarkStart w:id="71" w:name="_Toc473561037"/>
      <w:r>
        <w:t xml:space="preserve">Στο συγκεκριμένο υπόδειγμα ζητούνται πληροφορίες για θέσεις (συνολικές/καθαρές και θετικές/αρνητικές) και τις σχετικές απαιτήσεις ιδίων κεφαλαίων για τη συνιστώσα ειδικού κινδύνου του κινδύνου θέσης σε τιτλοποιήσεις / επανατιτλοποιήσεις που τηρούνται στο χαρτοφυλάκιο συναλλαγών (μη επιλέξιμες για το χαρτοφυλάκιο διαπραγμάτευσης συσχετίσεων), με βάση την τυποποιημένη προσέγγιση. </w:t>
      </w:r>
    </w:p>
    <w:p w14:paraId="2729DF95" w14:textId="1BA228E4" w:rsidR="00FC6275" w:rsidRPr="002D60D7" w:rsidRDefault="00FC6275" w:rsidP="00E172EA">
      <w:pPr>
        <w:pStyle w:val="InstructionsText2"/>
        <w:numPr>
          <w:ilvl w:val="0"/>
          <w:numId w:val="29"/>
        </w:numPr>
        <w:suppressAutoHyphens/>
      </w:pPr>
      <w:r>
        <w:t xml:space="preserve">Το υπόδειγμα MKR SA SEC παρουσιάζει την απαίτηση ιδίων κεφαλαίων μόνο για τον ειδικό κίνδυνο θέσεων τιτλοποίησης, σύμφωνα με το άρθρο 335 του κανονισμού (ΕΕ) αριθ. 575/2013 σε συνδυασμό με το άρθρο 337 του εν λόγω κανονισμού. Εάν οι θέσεις τιτλοποίησης του χαρτοφυλακίου συναλλαγών αντισταθμίζονται με πιστωτικά παράγωγα, εφαρμόζονται τα άρθρα 346 και 347 του κανονισμού (ΕΕ) αριθ. 575/2013. Υπάρχει μόνο ένα υπόδειγμα για όλες τις θέσεις του χαρτοφυλακίου συναλλαγών, ανεξαρτήτως της προσέγγισης που εφαρμόζεται από τις επιχειρήσεις επενδύσεων για τον προσδιορισμό του συντελεστή στάθμισης κινδύνου για κάθε θέση σύμφωνα με το τρίτο μέρος τίτλος II κεφάλαιο 5 του κανονισμού (ΕΕ) αριθ. 575/2013. Οι απαιτήσεις ιδίων </w:t>
      </w:r>
      <w:r>
        <w:lastRenderedPageBreak/>
        <w:t xml:space="preserve">κεφαλαίων του γενικού κινδύνου των θέσεων αυτών αναφέρονται στο υπόδειγμα MKR SA TDI ή στο υπόδειγμα MKR IM. </w:t>
      </w:r>
    </w:p>
    <w:p w14:paraId="0C732A14" w14:textId="3FF74494" w:rsidR="00FC6275" w:rsidRPr="002D60D7" w:rsidRDefault="00FC6275" w:rsidP="00E172EA">
      <w:pPr>
        <w:pStyle w:val="InstructionsText2"/>
        <w:numPr>
          <w:ilvl w:val="0"/>
          <w:numId w:val="29"/>
        </w:numPr>
        <w:suppressAutoHyphens/>
      </w:pPr>
      <w:r>
        <w:t>Οι θέσεις που λαμβάνουν συντελεστή στάθμισης 1 250 % μπορούν εναλλακτικά να αφαιρεθούν από το κεφάλαιο CET1 [βλέπε άρθρο 244 παράγραφος 1 στοιχείο β), άρθρο 245 παράγραφος 1 στοιχείο β) και άρθρο 253 του κανονισμού (ΕΕ) αριθ. 575/2013]. Οι θέσεις αυτές αναφέρονται στο παρόν υπόδειγμα, ακόμη και αν το ίδρυμα κάνει χρήση της ανωτέρω δυνατότητας αφαίρεσης.</w:t>
      </w:r>
    </w:p>
    <w:p w14:paraId="3921F7AA" w14:textId="2BCB0F9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2" w:name="_Toc210914190"/>
      <w:r>
        <w:rPr>
          <w:rFonts w:ascii="Times New Roman" w:hAnsi="Times New Roman"/>
          <w:sz w:val="24"/>
          <w:u w:val="none"/>
        </w:rPr>
        <w:t>3.2.</w:t>
      </w:r>
      <w:r w:rsidRPr="00861C69">
        <w:rPr>
          <w:u w:val="none"/>
        </w:rPr>
        <w:tab/>
      </w:r>
      <w:r>
        <w:rPr>
          <w:rFonts w:ascii="Times New Roman" w:hAnsi="Times New Roman"/>
          <w:sz w:val="24"/>
        </w:rPr>
        <w:t>Οδηγίες για συγκεκριμένες θέσεις</w:t>
      </w:r>
      <w:bookmarkEnd w:id="66"/>
      <w:bookmarkEnd w:id="67"/>
      <w:bookmarkEnd w:id="68"/>
      <w:bookmarkEnd w:id="69"/>
      <w:bookmarkEnd w:id="70"/>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05"/>
      </w:tblGrid>
      <w:tr w:rsidR="00C55547" w:rsidRPr="002D60D7" w14:paraId="5FAA1DCA" w14:textId="77777777" w:rsidTr="00E10B85">
        <w:trPr>
          <w:trHeight w:val="631"/>
        </w:trPr>
        <w:tc>
          <w:tcPr>
            <w:tcW w:w="9018" w:type="dxa"/>
            <w:gridSpan w:val="2"/>
            <w:shd w:val="clear" w:color="auto" w:fill="CCCCCC"/>
          </w:tcPr>
          <w:p w14:paraId="672709A6"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Στήλες</w:t>
            </w:r>
          </w:p>
        </w:tc>
      </w:tr>
      <w:tr w:rsidR="00C55547" w:rsidRPr="002D60D7" w14:paraId="25DD94D3" w14:textId="77777777" w:rsidTr="000911FE">
        <w:tc>
          <w:tcPr>
            <w:tcW w:w="1413" w:type="dxa"/>
          </w:tcPr>
          <w:p w14:paraId="1C45AB39"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605" w:type="dxa"/>
          </w:tcPr>
          <w:p w14:paraId="37C65F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ΟΛΕΣ ΟΙ ΘΕΣΕΙΣ (ΘΕΤΙΚΕΣ ΚΑΙ ΑΡΝΗΤΙΚΕΣ)</w:t>
            </w:r>
          </w:p>
          <w:p w14:paraId="503F4241" w14:textId="0DAFF941" w:rsidR="00C55547" w:rsidRPr="002D60D7" w:rsidRDefault="00C55547" w:rsidP="004C445F">
            <w:pPr>
              <w:suppressAutoHyphens/>
              <w:rPr>
                <w:rFonts w:ascii="Times New Roman" w:hAnsi="Times New Roman"/>
                <w:sz w:val="24"/>
              </w:rPr>
            </w:pPr>
            <w:r>
              <w:rPr>
                <w:rFonts w:ascii="Times New Roman" w:hAnsi="Times New Roman"/>
                <w:sz w:val="24"/>
              </w:rPr>
              <w:t xml:space="preserve">Άρθρο </w:t>
            </w:r>
            <w:r>
              <w:rPr>
                <w:rStyle w:val="InstructionsTabelleText"/>
                <w:rFonts w:ascii="Times New Roman" w:hAnsi="Times New Roman"/>
                <w:sz w:val="24"/>
              </w:rPr>
              <w:t>102 και άρθρο 105 παράγραφος 1</w:t>
            </w:r>
            <w:r>
              <w:rPr>
                <w:rFonts w:ascii="Times New Roman" w:hAnsi="Times New Roman"/>
                <w:sz w:val="24"/>
              </w:rPr>
              <w:t xml:space="preserve"> του κανονισμού (ΕΕ) αριθ. 575/2013 </w:t>
            </w:r>
            <w:r>
              <w:rPr>
                <w:rStyle w:val="InstructionsTabelleText"/>
                <w:rFonts w:ascii="Times New Roman" w:hAnsi="Times New Roman"/>
                <w:sz w:val="24"/>
              </w:rPr>
              <w:t>σε συνδυασμό με το άρθρο 337</w:t>
            </w:r>
            <w:r>
              <w:rPr>
                <w:rFonts w:ascii="Times New Roman" w:hAnsi="Times New Roman"/>
                <w:sz w:val="24"/>
              </w:rPr>
              <w:t xml:space="preserve"> του εν λόγω κανονισμού </w:t>
            </w:r>
            <w:r>
              <w:rPr>
                <w:rStyle w:val="InstructionsTabelleText"/>
                <w:rFonts w:ascii="Times New Roman" w:hAnsi="Times New Roman"/>
                <w:sz w:val="24"/>
              </w:rPr>
              <w:t>(θέσεις τιτλοποίησης)</w:t>
            </w:r>
            <w:r>
              <w:rPr>
                <w:rFonts w:ascii="Times New Roman" w:hAnsi="Times New Roman"/>
                <w:sz w:val="24"/>
              </w:rPr>
              <w:t>.</w:t>
            </w:r>
            <w:r>
              <w:rPr>
                <w:rStyle w:val="InstructionsTabelleText"/>
                <w:rFonts w:ascii="Times New Roman" w:hAnsi="Times New Roman"/>
                <w:sz w:val="24"/>
              </w:rPr>
              <w:t xml:space="preserve"> Όσον αφορά τη διάκριση μεταξύ θετικών και αρνητικών θέσεων, που ισχύει επίσης για τις συγκεκριμένες ακαθάριστες θέσεις, βλέπε άρθρο 328 παράγραφος 2</w:t>
            </w:r>
            <w:r>
              <w:rPr>
                <w:rFonts w:ascii="Times New Roman" w:hAnsi="Times New Roman"/>
                <w:sz w:val="24"/>
              </w:rPr>
              <w:t xml:space="preserve"> του εν λόγω κανονισμού</w:t>
            </w:r>
            <w:r>
              <w:rPr>
                <w:rStyle w:val="InstructionsTabelleText"/>
                <w:rFonts w:ascii="Times New Roman" w:hAnsi="Times New Roman"/>
                <w:sz w:val="24"/>
              </w:rPr>
              <w:t xml:space="preserve">. </w:t>
            </w:r>
          </w:p>
        </w:tc>
      </w:tr>
      <w:tr w:rsidR="00C55547" w:rsidRPr="002D60D7" w14:paraId="22839602" w14:textId="77777777" w:rsidTr="000911FE">
        <w:tc>
          <w:tcPr>
            <w:tcW w:w="1413" w:type="dxa"/>
          </w:tcPr>
          <w:p w14:paraId="40A33AF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605" w:type="dxa"/>
          </w:tcPr>
          <w:p w14:paraId="511B020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ΘΕΣΕΙΣ ΠΟΥ ΑΦΑΙΡΟΥΝΤΑΙ ΑΠΟ ΤΑ ΙΔΙΑ ΚΕΦΑΛΑΙΑ</w:t>
            </w:r>
            <w:r>
              <w:rPr>
                <w:rFonts w:ascii="Times New Roman" w:hAnsi="Times New Roman"/>
                <w:b/>
                <w:sz w:val="24"/>
                <w:u w:val="single"/>
              </w:rPr>
              <w:t xml:space="preserve"> (ΘΕΤΙΚΕΣ ΚΑΙ ΑΡΝΗΤΙΚΕΣ)</w:t>
            </w:r>
          </w:p>
          <w:p w14:paraId="1429CBFE" w14:textId="1A440B37" w:rsidR="00C55547" w:rsidRPr="002D60D7" w:rsidRDefault="00705025" w:rsidP="004C445F">
            <w:pPr>
              <w:suppressAutoHyphens/>
              <w:rPr>
                <w:rStyle w:val="InstructionsTabelleText"/>
                <w:rFonts w:ascii="Times New Roman" w:hAnsi="Times New Roman"/>
                <w:sz w:val="24"/>
              </w:rPr>
            </w:pPr>
            <w:r>
              <w:rPr>
                <w:rStyle w:val="InstructionsTabelleText"/>
                <w:rFonts w:ascii="Times New Roman" w:hAnsi="Times New Roman"/>
                <w:sz w:val="24"/>
              </w:rPr>
              <w:t xml:space="preserve"> Άρθρο 244 παράγραφος 1 στοιχείο β), άρθρο 245 παράγραφος 1 στοιχείο β) και άρθρο 253</w:t>
            </w:r>
            <w:r>
              <w:rPr>
                <w:rFonts w:ascii="Times New Roman" w:hAnsi="Times New Roman"/>
                <w:sz w:val="24"/>
              </w:rPr>
              <w:t xml:space="preserve"> του κανονισμού (ΕΕ) αριθ. 575/2013.</w:t>
            </w:r>
          </w:p>
        </w:tc>
      </w:tr>
      <w:tr w:rsidR="00C55547" w:rsidRPr="002D60D7" w14:paraId="16C58348" w14:textId="77777777" w:rsidTr="000911FE">
        <w:tc>
          <w:tcPr>
            <w:tcW w:w="1413" w:type="dxa"/>
          </w:tcPr>
          <w:p w14:paraId="2D1E9030"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605" w:type="dxa"/>
          </w:tcPr>
          <w:p w14:paraId="088E438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ΚΑΘΑΡΕΣ ΘΕΣΕΙΣ</w:t>
            </w:r>
            <w:r>
              <w:rPr>
                <w:rFonts w:ascii="Times New Roman" w:hAnsi="Times New Roman"/>
                <w:b/>
                <w:sz w:val="24"/>
                <w:u w:val="single"/>
              </w:rPr>
              <w:t xml:space="preserve"> (ΘΕΤΙΚΕΣ ΚΑΙ ΑΡΝΗΤΙΚΕΣ)</w:t>
            </w:r>
          </w:p>
          <w:p w14:paraId="54C14D76" w14:textId="32F9EC29" w:rsidR="00C55547" w:rsidRPr="002D60D7" w:rsidRDefault="00C55547" w:rsidP="004C445F">
            <w:pPr>
              <w:suppressAutoHyphens/>
              <w:rPr>
                <w:rStyle w:val="InstructionsTabelleText"/>
                <w:rFonts w:ascii="Times New Roman" w:hAnsi="Times New Roman"/>
                <w:sz w:val="24"/>
              </w:rPr>
            </w:pPr>
            <w:r>
              <w:rPr>
                <w:rFonts w:ascii="Times New Roman" w:hAnsi="Times New Roman"/>
                <w:sz w:val="24"/>
              </w:rPr>
              <w:t xml:space="preserve">Άρθρο </w:t>
            </w:r>
            <w:r>
              <w:rPr>
                <w:rStyle w:val="InstructionsTabelleText"/>
                <w:rFonts w:ascii="Times New Roman" w:hAnsi="Times New Roman"/>
                <w:sz w:val="24"/>
              </w:rPr>
              <w:t xml:space="preserve">327, 328, 329 και 334 </w:t>
            </w:r>
            <w:r>
              <w:rPr>
                <w:rFonts w:ascii="Times New Roman" w:hAnsi="Times New Roman"/>
                <w:sz w:val="24"/>
              </w:rPr>
              <w:t>του κανονισμού (ΕΕ) αριθ. 575/2013</w:t>
            </w:r>
            <w:r>
              <w:rPr>
                <w:rStyle w:val="InstructionsTabelleText"/>
                <w:rFonts w:ascii="Times New Roman" w:hAnsi="Times New Roman"/>
                <w:sz w:val="24"/>
              </w:rPr>
              <w:t>. Όσον αφορά τη διάκριση μεταξύ θετικών και αρνητικών θέσεων, βλέπε άρθρο 328 παράγραφος 2</w:t>
            </w:r>
            <w:r>
              <w:rPr>
                <w:rFonts w:ascii="Times New Roman" w:hAnsi="Times New Roman"/>
                <w:sz w:val="24"/>
              </w:rPr>
              <w:t xml:space="preserve"> του εν λόγω κανονισμού</w:t>
            </w:r>
            <w:r>
              <w:rPr>
                <w:rStyle w:val="InstructionsTabelleText"/>
                <w:rFonts w:ascii="Times New Roman" w:hAnsi="Times New Roman"/>
                <w:sz w:val="24"/>
              </w:rPr>
              <w:t>.</w:t>
            </w:r>
          </w:p>
        </w:tc>
      </w:tr>
      <w:tr w:rsidR="00C55547" w:rsidRPr="002D60D7" w14:paraId="0BDF729C" w14:textId="77777777" w:rsidTr="000911FE">
        <w:tc>
          <w:tcPr>
            <w:tcW w:w="1413" w:type="dxa"/>
          </w:tcPr>
          <w:p w14:paraId="324A2BB6"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0061-0104</w:t>
            </w:r>
          </w:p>
        </w:tc>
        <w:tc>
          <w:tcPr>
            <w:tcW w:w="7605" w:type="dxa"/>
          </w:tcPr>
          <w:p w14:paraId="627BB4B0"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ΚΑΤΑΝΟΜΗ ΤΩΝ ΚΑΘΑΡΩΝ ΘΕΣΕΩΝ ΜΕ ΒΑΣΗ ΤΟΥΣ ΣΥΝΤΕΛΕΣΤΕΣ ΣΤΑΘΜΙΣΗΣ ΚΙΝΔΥΝΟΥ</w:t>
            </w:r>
          </w:p>
          <w:p w14:paraId="3ECFC065" w14:textId="41D71775" w:rsidR="00C3548F"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Άρθρα 259 έως 262, άρθρο 263 πίνακες 1 και 2, άρθρο 264 πίνακες 3 και 4 και άρθρο 266</w:t>
            </w:r>
            <w:r>
              <w:rPr>
                <w:rFonts w:ascii="Times New Roman" w:hAnsi="Times New Roman"/>
                <w:sz w:val="24"/>
              </w:rPr>
              <w:t xml:space="preserve"> του κανονισμού (ΕΕ) αριθ. 575/2013</w:t>
            </w:r>
            <w:r>
              <w:rPr>
                <w:rStyle w:val="InstructionsTabelleText"/>
                <w:rFonts w:ascii="Times New Roman" w:hAnsi="Times New Roman"/>
                <w:sz w:val="24"/>
              </w:rPr>
              <w:t xml:space="preserve">. </w:t>
            </w:r>
          </w:p>
          <w:p w14:paraId="4314B137" w14:textId="77777777" w:rsidR="00C55547"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Η κατανομή πραγματοποιείται χωριστά για τις θετικές και για τις αρνητικές θέσεις.</w:t>
            </w:r>
          </w:p>
        </w:tc>
      </w:tr>
      <w:tr w:rsidR="00C55547" w:rsidRPr="002D60D7" w14:paraId="2A20E80A" w14:textId="77777777" w:rsidTr="000911FE">
        <w:tc>
          <w:tcPr>
            <w:tcW w:w="1413" w:type="dxa"/>
          </w:tcPr>
          <w:p w14:paraId="163C862B"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0402-0406</w:t>
            </w:r>
          </w:p>
        </w:tc>
        <w:tc>
          <w:tcPr>
            <w:tcW w:w="7605" w:type="dxa"/>
          </w:tcPr>
          <w:p w14:paraId="2AF3DB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ΚΑΤΑΝΟΜΗ ΤΩΝ ΚΑΘΑΡΩΝ ΘΕΣΕΩΝ ΜΕ ΒΑΣΗ ΤΙΣ ΠΡΟΣΕΓΓΙΣΕΙΣ</w:t>
            </w:r>
          </w:p>
          <w:p w14:paraId="683DE902" w14:textId="55DF04AD" w:rsidR="00C55547" w:rsidRPr="002D60D7" w:rsidRDefault="00C55547" w:rsidP="004C445F">
            <w:pPr>
              <w:suppressAutoHyphens/>
              <w:rPr>
                <w:rFonts w:ascii="Times New Roman" w:hAnsi="Times New Roman"/>
                <w:b/>
                <w:bCs/>
                <w:sz w:val="24"/>
                <w:u w:val="single"/>
              </w:rPr>
            </w:pPr>
            <w:r>
              <w:rPr>
                <w:rFonts w:ascii="Times New Roman" w:hAnsi="Times New Roman"/>
                <w:sz w:val="24"/>
              </w:rPr>
              <w:t xml:space="preserve">Άρθρο </w:t>
            </w:r>
            <w:r>
              <w:rPr>
                <w:rStyle w:val="InstructionsTabelleText"/>
                <w:rFonts w:ascii="Times New Roman" w:hAnsi="Times New Roman"/>
                <w:sz w:val="24"/>
              </w:rPr>
              <w:t>254</w:t>
            </w:r>
            <w:r>
              <w:rPr>
                <w:rFonts w:ascii="Times New Roman" w:hAnsi="Times New Roman"/>
                <w:sz w:val="24"/>
              </w:rPr>
              <w:t xml:space="preserve"> του κανονισμού (ΕΕ) αριθ. 575/2013</w:t>
            </w:r>
            <w:r>
              <w:rPr>
                <w:rStyle w:val="InstructionsTabelleText"/>
                <w:rFonts w:ascii="Times New Roman" w:hAnsi="Times New Roman"/>
                <w:sz w:val="24"/>
              </w:rPr>
              <w:t xml:space="preserve"> </w:t>
            </w:r>
          </w:p>
        </w:tc>
      </w:tr>
      <w:tr w:rsidR="00C55547" w:rsidRPr="002D60D7" w14:paraId="6061874B" w14:textId="77777777" w:rsidTr="000911FE">
        <w:tc>
          <w:tcPr>
            <w:tcW w:w="1413" w:type="dxa"/>
          </w:tcPr>
          <w:p w14:paraId="4B729A34"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w:t>
            </w:r>
          </w:p>
        </w:tc>
        <w:tc>
          <w:tcPr>
            <w:tcW w:w="7605" w:type="dxa"/>
          </w:tcPr>
          <w:p w14:paraId="06929D2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41A48A7C" w14:textId="67C34C11"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 xml:space="preserve">Άρθρο 259 και 260 </w:t>
            </w:r>
            <w:r>
              <w:rPr>
                <w:rFonts w:ascii="Times New Roman" w:hAnsi="Times New Roman"/>
                <w:sz w:val="24"/>
              </w:rPr>
              <w:t>του κανονισμού (ΕΕ) αριθ. 575/2013</w:t>
            </w:r>
          </w:p>
        </w:tc>
      </w:tr>
      <w:tr w:rsidR="00C55547" w:rsidRPr="002D60D7" w14:paraId="16BB3DCB" w14:textId="77777777" w:rsidTr="000911FE">
        <w:tc>
          <w:tcPr>
            <w:tcW w:w="1413" w:type="dxa"/>
          </w:tcPr>
          <w:p w14:paraId="189036B1"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0403</w:t>
            </w:r>
          </w:p>
        </w:tc>
        <w:tc>
          <w:tcPr>
            <w:tcW w:w="7605" w:type="dxa"/>
          </w:tcPr>
          <w:p w14:paraId="6F8EF419"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5A374E14" w14:textId="4A4A259B" w:rsidR="00C55547" w:rsidRPr="002D60D7" w:rsidRDefault="00C55547" w:rsidP="004C445F">
            <w:pPr>
              <w:suppressAutoHyphens/>
              <w:autoSpaceDE w:val="0"/>
              <w:autoSpaceDN w:val="0"/>
              <w:adjustRightInd w:val="0"/>
              <w:jc w:val="left"/>
              <w:rPr>
                <w:rFonts w:ascii="Times New Roman" w:hAnsi="Times New Roman"/>
                <w:b/>
                <w:bCs/>
                <w:sz w:val="24"/>
                <w:u w:val="single"/>
              </w:rPr>
            </w:pPr>
            <w:r>
              <w:rPr>
                <w:rStyle w:val="InstructionsTabelleText"/>
                <w:rFonts w:ascii="Times New Roman" w:hAnsi="Times New Roman"/>
                <w:sz w:val="24"/>
              </w:rPr>
              <w:t xml:space="preserve">Άρθρο 261 και 262 </w:t>
            </w:r>
            <w:r>
              <w:rPr>
                <w:rFonts w:ascii="Times New Roman" w:hAnsi="Times New Roman"/>
                <w:sz w:val="24"/>
              </w:rPr>
              <w:t>του κανονισμού (ΕΕ) αριθ. 575/2013</w:t>
            </w:r>
          </w:p>
        </w:tc>
      </w:tr>
      <w:tr w:rsidR="00C55547" w:rsidRPr="002D60D7" w14:paraId="0B1E8511" w14:textId="77777777" w:rsidTr="000911FE">
        <w:tc>
          <w:tcPr>
            <w:tcW w:w="1413" w:type="dxa"/>
          </w:tcPr>
          <w:p w14:paraId="283E5722"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0404</w:t>
            </w:r>
          </w:p>
        </w:tc>
        <w:tc>
          <w:tcPr>
            <w:tcW w:w="7605" w:type="dxa"/>
          </w:tcPr>
          <w:p w14:paraId="7AA18A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2250A6DF" w14:textId="199187B3"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 xml:space="preserve">Άρθρο 263 και 264 </w:t>
            </w:r>
            <w:r>
              <w:rPr>
                <w:rFonts w:ascii="Times New Roman" w:hAnsi="Times New Roman"/>
                <w:sz w:val="24"/>
              </w:rPr>
              <w:t>του κανονισμού (ΕΕ) αριθ. 575/2013</w:t>
            </w:r>
          </w:p>
        </w:tc>
      </w:tr>
      <w:tr w:rsidR="00C55547" w:rsidRPr="002D60D7" w14:paraId="76051CC7" w14:textId="77777777" w:rsidTr="000911FE">
        <w:tc>
          <w:tcPr>
            <w:tcW w:w="1413" w:type="dxa"/>
          </w:tcPr>
          <w:p w14:paraId="2CE39EA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0405</w:t>
            </w:r>
          </w:p>
        </w:tc>
        <w:tc>
          <w:tcPr>
            <w:tcW w:w="7605" w:type="dxa"/>
          </w:tcPr>
          <w:p w14:paraId="334AB028"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ΠΡΟΣΕΓΓΙΣΗ ΕΣΩΤΕΡΙΚΗΣ ΑΞΙΟΛΟΓΗΣΗΣ</w:t>
            </w:r>
          </w:p>
          <w:p w14:paraId="5354C48C" w14:textId="38E5A78D" w:rsidR="00C55547" w:rsidRPr="002D60D7" w:rsidRDefault="00C55547" w:rsidP="004C445F">
            <w:pPr>
              <w:suppressAutoHyphens/>
              <w:rPr>
                <w:rFonts w:ascii="Times New Roman" w:hAnsi="Times New Roman"/>
                <w:bCs/>
                <w:sz w:val="24"/>
                <w:u w:val="single"/>
              </w:rPr>
            </w:pPr>
            <w:r>
              <w:rPr>
                <w:rStyle w:val="InstructionsTabelleText"/>
                <w:rFonts w:ascii="Times New Roman" w:hAnsi="Times New Roman"/>
                <w:sz w:val="24"/>
              </w:rPr>
              <w:t xml:space="preserve">Άρθρο 254, άρθρο 265 και άρθρο 266 παράγραφος 5 </w:t>
            </w:r>
            <w:r>
              <w:rPr>
                <w:rFonts w:ascii="Times New Roman" w:hAnsi="Times New Roman"/>
                <w:sz w:val="24"/>
              </w:rPr>
              <w:t>του κανονισμού (ΕΕ) αριθ. 575/2013</w:t>
            </w:r>
            <w:r>
              <w:rPr>
                <w:rStyle w:val="InstructionsTabelleText"/>
                <w:rFonts w:ascii="Times New Roman" w:hAnsi="Times New Roman"/>
                <w:sz w:val="24"/>
              </w:rPr>
              <w:t>.</w:t>
            </w:r>
          </w:p>
        </w:tc>
      </w:tr>
      <w:tr w:rsidR="0033476C" w:rsidRPr="002D60D7" w14:paraId="00803C23" w14:textId="77777777" w:rsidTr="000911FE">
        <w:tc>
          <w:tcPr>
            <w:tcW w:w="1413" w:type="dxa"/>
          </w:tcPr>
          <w:p w14:paraId="6969B7D6" w14:textId="7D0DF91C" w:rsidR="0033476C" w:rsidRPr="002D60D7" w:rsidRDefault="0033476C"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0900</w:t>
            </w:r>
          </w:p>
        </w:tc>
        <w:tc>
          <w:tcPr>
            <w:tcW w:w="7605" w:type="dxa"/>
          </w:tcPr>
          <w:p w14:paraId="1E2E9907" w14:textId="3152DD84" w:rsidR="0033476C" w:rsidRPr="002D60D7" w:rsidRDefault="0033476C" w:rsidP="004C445F">
            <w:pPr>
              <w:suppressAutoHyphens/>
              <w:spacing w:before="0" w:after="0"/>
              <w:jc w:val="left"/>
              <w:rPr>
                <w:rFonts w:ascii="Times New Roman" w:hAnsi="Times New Roman"/>
                <w:b/>
                <w:sz w:val="24"/>
                <w:u w:val="single"/>
              </w:rPr>
            </w:pPr>
            <w:r>
              <w:rPr>
                <w:rFonts w:ascii="Times New Roman" w:hAnsi="Times New Roman"/>
                <w:b/>
                <w:sz w:val="24"/>
                <w:u w:val="single"/>
              </w:rPr>
              <w:t>ΣΥΓΚΕΚΡΙΜΕΝΗ ΑΝΤΙΜΕΤΩΠΙΣΗ ΓΙΑ ΤΜΗΜΑΤΑ ΥΨΗΛΟΤΕΡΗΣ ΕΞΑΣΦΑΛΙΣΗΣ ΤΙΤΛΟΠΟΙΗΣΕΩΝ ΜΕΑ ΠΟΥ ΠΛΗΡΟΥΝ ΤΙΣ ΠΡΟΫΠΟΘΕΣΕΙΣ</w:t>
            </w:r>
          </w:p>
          <w:p w14:paraId="17BE744C" w14:textId="40B8EA94" w:rsidR="0033476C" w:rsidRPr="002D60D7" w:rsidRDefault="0033476C" w:rsidP="004C445F">
            <w:pPr>
              <w:suppressAutoHyphens/>
              <w:rPr>
                <w:rFonts w:ascii="Times New Roman" w:hAnsi="Times New Roman"/>
                <w:b/>
                <w:bCs/>
                <w:sz w:val="24"/>
                <w:u w:val="single"/>
              </w:rPr>
            </w:pPr>
            <w:r>
              <w:rPr>
                <w:rFonts w:ascii="Times New Roman" w:hAnsi="Times New Roman"/>
                <w:sz w:val="24"/>
              </w:rPr>
              <w:t>Άρθρο 269α παράγραφος 3 του κανονισμού (ΕΕ) αριθ. 575/2013</w:t>
            </w:r>
          </w:p>
        </w:tc>
      </w:tr>
      <w:tr w:rsidR="00C55547" w:rsidRPr="002D60D7" w14:paraId="05BEB883" w14:textId="77777777" w:rsidTr="000911FE">
        <w:tc>
          <w:tcPr>
            <w:tcW w:w="1413" w:type="dxa"/>
          </w:tcPr>
          <w:p w14:paraId="3D2DEA0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0406</w:t>
            </w:r>
          </w:p>
        </w:tc>
        <w:tc>
          <w:tcPr>
            <w:tcW w:w="7605" w:type="dxa"/>
          </w:tcPr>
          <w:p w14:paraId="25786344" w14:textId="4EFB7A5E"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ΑΛΛΑ (RW = 1 250</w:t>
            </w:r>
            <w:r>
              <w:t> </w:t>
            </w:r>
            <w:r>
              <w:rPr>
                <w:rFonts w:ascii="Times New Roman" w:hAnsi="Times New Roman"/>
                <w:b/>
                <w:sz w:val="24"/>
                <w:u w:val="single"/>
              </w:rPr>
              <w:t>%)</w:t>
            </w:r>
          </w:p>
          <w:p w14:paraId="1684F52F" w14:textId="43F3FE5E"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 xml:space="preserve">Άρθρο 254 παράγραφος 7 </w:t>
            </w:r>
            <w:r>
              <w:rPr>
                <w:rFonts w:ascii="Times New Roman" w:hAnsi="Times New Roman"/>
                <w:sz w:val="24"/>
              </w:rPr>
              <w:t>του κανονισμού (ΕΕ) αριθ. 575/2013</w:t>
            </w:r>
          </w:p>
        </w:tc>
      </w:tr>
      <w:tr w:rsidR="00C55547" w:rsidRPr="002D60D7" w14:paraId="11316298" w14:textId="77777777" w:rsidTr="000911FE">
        <w:tc>
          <w:tcPr>
            <w:tcW w:w="1413" w:type="dxa"/>
          </w:tcPr>
          <w:p w14:paraId="00B9220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0530-0540</w:t>
            </w:r>
          </w:p>
        </w:tc>
        <w:tc>
          <w:tcPr>
            <w:tcW w:w="7605" w:type="dxa"/>
          </w:tcPr>
          <w:p w14:paraId="595C29DB"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ΣΥΝΟΛΙΚΟ ΑΠΟΤΕΛΕΣΜΑ (ΠΡΟΣΑΡΜΟΓΗ) ΛΟΓΩ ΠΑΡΑΒΙΑΣΗΣ ΤΟΥ ΚΕΦΑΛΑΙΟΥ 2 ΤΟΥ ΚΑΝΟΝΙΣΜΟΥ (ΕΕ) 2017/2402</w:t>
            </w:r>
          </w:p>
          <w:p w14:paraId="3FBEAE4C" w14:textId="027236BE"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 xml:space="preserve">Άρθρο 270α </w:t>
            </w:r>
            <w:r>
              <w:rPr>
                <w:rFonts w:ascii="Times New Roman" w:hAnsi="Times New Roman"/>
                <w:sz w:val="24"/>
              </w:rPr>
              <w:t>του κανονισμού (ΕΕ) αριθ. 575/2013</w:t>
            </w:r>
          </w:p>
        </w:tc>
      </w:tr>
      <w:tr w:rsidR="00C55547" w:rsidRPr="002D60D7" w14:paraId="2BA98A90" w14:textId="77777777" w:rsidTr="000911FE">
        <w:tc>
          <w:tcPr>
            <w:tcW w:w="1413" w:type="dxa"/>
          </w:tcPr>
          <w:p w14:paraId="2EA0118D"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0570</w:t>
            </w:r>
          </w:p>
        </w:tc>
        <w:tc>
          <w:tcPr>
            <w:tcW w:w="7605" w:type="dxa"/>
          </w:tcPr>
          <w:p w14:paraId="4DCE07C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ΠΡΙΝ ΑΠΟ ΤΟ ΑΝΩΤΑΤΟ ΟΡΙΟ </w:t>
            </w:r>
          </w:p>
          <w:p w14:paraId="740CD739" w14:textId="54EB1279" w:rsidR="00C55547" w:rsidRPr="002D60D7" w:rsidRDefault="00C55547" w:rsidP="004C445F">
            <w:pPr>
              <w:suppressAutoHyphens/>
              <w:rPr>
                <w:rFonts w:ascii="Times New Roman" w:hAnsi="Times New Roman"/>
                <w:bCs/>
                <w:sz w:val="24"/>
              </w:rPr>
            </w:pPr>
            <w:r>
              <w:rPr>
                <w:rFonts w:ascii="Times New Roman" w:hAnsi="Times New Roman"/>
                <w:sz w:val="24"/>
              </w:rPr>
              <w:t>Άρθρο 337 του κανονισμού (ΕΕ) αριθ. 575/2013, χωρίς να λαμβάνεται υπόψη η διακριτική ευχέρεια που ορίζεται στο άρθρο 335 του εν λόγω κανονισμού, βάσει του οποίου επιτρέπεται σε ένα ίδρυμα να θέτει ανώτατο όριο στο γινόμενο του συντελεστή στάθμισης επί την καθαρή θέση ίσο με τη μέγιστη πιθανή ζημία που σχετίζεται με τον κίνδυνο αθέτησης.</w:t>
            </w:r>
          </w:p>
        </w:tc>
      </w:tr>
      <w:tr w:rsidR="00C55547" w:rsidRPr="002D60D7" w14:paraId="247B0FB8" w14:textId="77777777" w:rsidTr="000911FE">
        <w:tc>
          <w:tcPr>
            <w:tcW w:w="1413" w:type="dxa"/>
          </w:tcPr>
          <w:p w14:paraId="22357CAC"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0601</w:t>
            </w:r>
          </w:p>
        </w:tc>
        <w:tc>
          <w:tcPr>
            <w:tcW w:w="7605" w:type="dxa"/>
          </w:tcPr>
          <w:p w14:paraId="78FC9B76"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ΜΕΤΑ ΤΟ ΑΝΩΤΑΤΟ ΟΡΙΟ / ΣΥΝΟΛΙΚΕΣ ΑΠΑΙΤΗΣΕΙΣ ΙΔΙΩΝ ΚΕΦΑΛΑΙΩΝ </w:t>
            </w:r>
          </w:p>
          <w:p w14:paraId="0DE4FAED" w14:textId="59308D5D" w:rsidR="00C55547" w:rsidRPr="002D60D7" w:rsidRDefault="00C55547" w:rsidP="004C445F">
            <w:pPr>
              <w:suppressAutoHyphens/>
              <w:rPr>
                <w:rFonts w:ascii="Times New Roman" w:hAnsi="Times New Roman"/>
                <w:bCs/>
                <w:sz w:val="24"/>
              </w:rPr>
            </w:pPr>
            <w:r>
              <w:rPr>
                <w:rFonts w:ascii="Times New Roman" w:hAnsi="Times New Roman"/>
                <w:sz w:val="24"/>
              </w:rPr>
              <w:t xml:space="preserve">Άρθρο 337 του κανονισμού (ΕΕ) αριθ. 575/2013, λαμβανομένης </w:t>
            </w:r>
            <w:r>
              <w:rPr>
                <w:rStyle w:val="InstructionsTabelleText"/>
                <w:rFonts w:ascii="Times New Roman" w:hAnsi="Times New Roman"/>
                <w:sz w:val="24"/>
              </w:rPr>
              <w:t xml:space="preserve">υπόψη </w:t>
            </w:r>
            <w:r>
              <w:rPr>
                <w:rFonts w:ascii="Times New Roman" w:hAnsi="Times New Roman"/>
                <w:sz w:val="24"/>
              </w:rPr>
              <w:t>της διακριτικής ευχέρειας του άρθρου 335 του εν λόγω κανονισμού.</w:t>
            </w:r>
          </w:p>
        </w:tc>
      </w:tr>
    </w:tbl>
    <w:p w14:paraId="2016D379"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537"/>
      </w:tblGrid>
      <w:tr w:rsidR="00C55547" w:rsidRPr="002D60D7" w14:paraId="02A9F41A" w14:textId="77777777" w:rsidTr="00E10B85">
        <w:trPr>
          <w:trHeight w:val="537"/>
        </w:trPr>
        <w:tc>
          <w:tcPr>
            <w:tcW w:w="8950" w:type="dxa"/>
            <w:gridSpan w:val="2"/>
            <w:shd w:val="clear" w:color="auto" w:fill="BFBFBF"/>
          </w:tcPr>
          <w:p w14:paraId="26BB8354"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Γραμμές</w:t>
            </w:r>
          </w:p>
        </w:tc>
      </w:tr>
      <w:tr w:rsidR="00C55547" w:rsidRPr="002D60D7" w14:paraId="32F42F75" w14:textId="77777777" w:rsidTr="000911FE">
        <w:tc>
          <w:tcPr>
            <w:tcW w:w="1413" w:type="dxa"/>
          </w:tcPr>
          <w:p w14:paraId="4D0640F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537" w:type="dxa"/>
          </w:tcPr>
          <w:p w14:paraId="03F7346E" w14:textId="77777777" w:rsidR="00C55547" w:rsidRPr="002D60D7" w:rsidRDefault="00C55547" w:rsidP="004C445F">
            <w:pPr>
              <w:suppressAutoHyphens/>
              <w:rPr>
                <w:rFonts w:ascii="Times New Roman" w:hAnsi="Times New Roman"/>
                <w:sz w:val="24"/>
              </w:rPr>
            </w:pPr>
            <w:r>
              <w:rPr>
                <w:rStyle w:val="InstructionsTabelleberschrift"/>
                <w:rFonts w:ascii="Times New Roman" w:hAnsi="Times New Roman"/>
                <w:sz w:val="24"/>
              </w:rPr>
              <w:t>ΣΥΝΟΛΙΚΑ ΑΝΟΙΓΜΑΤΑ</w:t>
            </w:r>
          </w:p>
          <w:p w14:paraId="3DA30B45" w14:textId="36AC07B8" w:rsidR="00C55547" w:rsidRPr="002D60D7" w:rsidRDefault="00C55547" w:rsidP="004C445F">
            <w:pPr>
              <w:suppressAutoHyphens/>
              <w:autoSpaceDE w:val="0"/>
              <w:autoSpaceDN w:val="0"/>
              <w:adjustRightInd w:val="0"/>
              <w:spacing w:before="0" w:after="0"/>
              <w:rPr>
                <w:rFonts w:ascii="Times New Roman" w:hAnsi="Times New Roman"/>
                <w:sz w:val="24"/>
              </w:rPr>
            </w:pPr>
            <w:r>
              <w:rPr>
                <w:rStyle w:val="InstructionsTabelleText"/>
                <w:rFonts w:ascii="Times New Roman" w:hAnsi="Times New Roman"/>
                <w:sz w:val="24"/>
              </w:rPr>
              <w:t>Συνολικό ποσό εκκρεμών τιτλοποιήσεων και επανατιτλοποιήσεων (που τηρούνται στο χαρτοφυλάκιο συναλλαγών) τις οποίες αναφέρει το ίδρυμα που διαδραματίζει τον ρόλο της μεταβιβάζουσας οντότητας ή του επενδυτή ή της αναδόχου οντότητας.</w:t>
            </w:r>
          </w:p>
        </w:tc>
      </w:tr>
      <w:tr w:rsidR="00C55547" w:rsidRPr="002D60D7" w14:paraId="21E51D59" w14:textId="77777777" w:rsidTr="000911FE">
        <w:tc>
          <w:tcPr>
            <w:tcW w:w="1413" w:type="dxa"/>
          </w:tcPr>
          <w:p w14:paraId="5CCD69B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και 0100</w:t>
            </w:r>
          </w:p>
        </w:tc>
        <w:tc>
          <w:tcPr>
            <w:tcW w:w="7537" w:type="dxa"/>
          </w:tcPr>
          <w:p w14:paraId="4F5DF6A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ΘΕΣΕΙΣ ΤΙΤΛΟΠΟΙΗΣΗΣ</w:t>
            </w:r>
          </w:p>
          <w:p w14:paraId="62CD89EA" w14:textId="30BF22B1" w:rsidR="00C55547" w:rsidRPr="002D60D7" w:rsidRDefault="0053202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 Άρθρο 4 παράγραφος 1 σημείο 62 του κανονισμού (ΕΕ) αριθ. 575/2013.</w:t>
            </w:r>
          </w:p>
          <w:p w14:paraId="0230B6E5"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4D9AAB18" w14:textId="77777777" w:rsidTr="000911FE">
        <w:tc>
          <w:tcPr>
            <w:tcW w:w="1413" w:type="dxa"/>
          </w:tcPr>
          <w:p w14:paraId="6DA3B4F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 0050, 0080 και 0110</w:t>
            </w:r>
          </w:p>
        </w:tc>
        <w:tc>
          <w:tcPr>
            <w:tcW w:w="7537" w:type="dxa"/>
          </w:tcPr>
          <w:p w14:paraId="3C62BCE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ΘΕΣΕΙΣ ΕΠΑΝΑΤΙΤΛΟΠΟΙΗΣΗΣ</w:t>
            </w:r>
          </w:p>
          <w:p w14:paraId="32F5BAEB" w14:textId="2FA2B3C6"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Άρθρο 4 παράγραφος 1 σημείο 64 του κανονισμού (ΕΕ) αριθ. 575/2013.</w:t>
            </w:r>
          </w:p>
          <w:p w14:paraId="18108A69"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51A33F7" w14:textId="77777777" w:rsidTr="000911FE">
        <w:tc>
          <w:tcPr>
            <w:tcW w:w="1413" w:type="dxa"/>
          </w:tcPr>
          <w:p w14:paraId="41A2A67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0041, 0071 και 0101</w:t>
            </w:r>
          </w:p>
        </w:tc>
        <w:tc>
          <w:tcPr>
            <w:tcW w:w="7537" w:type="dxa"/>
          </w:tcPr>
          <w:p w14:paraId="17D8E88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ΕΚ ΤΩΝ ΟΠΟΙΩΝ: ΠΟΥ ΠΛΗΡΟΥΝ ΤΙΣ ΠΡΟΫΠΟΘΕΣΕΙΣ ΓΙΑ ΔΙΑΦΟΡΟΠΟΙΗΜΕΝΗ ΚΕΦΑΛΑΙΑΚΗ ΑΝΤΙΜΕΤΩΠΙΣΗ</w:t>
            </w:r>
          </w:p>
          <w:p w14:paraId="775DD0A5" w14:textId="5E8A13EA" w:rsidR="00C55547" w:rsidRPr="002D60D7" w:rsidRDefault="00C55547" w:rsidP="004C445F">
            <w:pPr>
              <w:suppressAutoHyphens/>
              <w:rPr>
                <w:rStyle w:val="InstructionsTabelleberschrift"/>
                <w:rFonts w:ascii="Times New Roman" w:hAnsi="Times New Roman"/>
                <w:sz w:val="24"/>
              </w:rPr>
            </w:pPr>
            <w:r>
              <w:rPr>
                <w:rFonts w:ascii="Times New Roman" w:hAnsi="Times New Roman"/>
                <w:sz w:val="24"/>
              </w:rPr>
              <w:t xml:space="preserve">Το συνολικό ποσό θέσεων τιτλοποίησης που πληρούν τα κριτήρια του άρθρου 243 ή του άρθρου 270 του κανονισμού (ΕΕ) αριθ. 575/2013 και, </w:t>
            </w:r>
            <w:r>
              <w:rPr>
                <w:rFonts w:ascii="Times New Roman" w:hAnsi="Times New Roman"/>
                <w:sz w:val="24"/>
              </w:rPr>
              <w:lastRenderedPageBreak/>
              <w:t xml:space="preserve">συνεπώς, τις προϋποθέσεις για τη διαφοροποιημένη κεφαλαιακή αντιμετώπιση. </w:t>
            </w:r>
          </w:p>
        </w:tc>
      </w:tr>
      <w:tr w:rsidR="00C55547" w:rsidRPr="002D60D7" w14:paraId="5FAF4052" w14:textId="77777777" w:rsidTr="000911FE">
        <w:tc>
          <w:tcPr>
            <w:tcW w:w="1413" w:type="dxa"/>
          </w:tcPr>
          <w:p w14:paraId="39486578"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0030-0050</w:t>
            </w:r>
          </w:p>
        </w:tc>
        <w:tc>
          <w:tcPr>
            <w:tcW w:w="7537" w:type="dxa"/>
          </w:tcPr>
          <w:p w14:paraId="29698529"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ΜΕΤΑΒΙΒΑΖΟΥΣΑ ΟΝΤΟΤΗΤΑ</w:t>
            </w:r>
          </w:p>
          <w:p w14:paraId="50264432" w14:textId="0FD773BF"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Άρθρο 4 παράγραφος 1 σημείο 13 του κανονισμού (ΕΕ) αριθ. 575/2013.</w:t>
            </w:r>
          </w:p>
          <w:p w14:paraId="671304E2"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1241B5AC" w14:textId="77777777" w:rsidTr="000911FE">
        <w:tc>
          <w:tcPr>
            <w:tcW w:w="1413" w:type="dxa"/>
          </w:tcPr>
          <w:p w14:paraId="61436B0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537" w:type="dxa"/>
          </w:tcPr>
          <w:p w14:paraId="726E7C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ΕΠΕΝΔΥΤΗΣ</w:t>
            </w:r>
          </w:p>
          <w:p w14:paraId="13A59676" w14:textId="722AE4F3" w:rsidR="00C55547" w:rsidRPr="002D60D7" w:rsidRDefault="00C55547"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Πιστωτικό ίδρυμα που κατέχει θέση τιτλοποίησης σε συναλλαγή τιτλοποίησης στην οποία δεν είναι ούτε μεταβιβάζουσα οντότητα, ούτε ανάδοχος οντότητα, ούτε αρχικός δανειστής. </w:t>
            </w:r>
          </w:p>
          <w:p w14:paraId="5289F9D1"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6D8A55A" w14:textId="77777777" w:rsidTr="000911FE">
        <w:tc>
          <w:tcPr>
            <w:tcW w:w="1413" w:type="dxa"/>
          </w:tcPr>
          <w:p w14:paraId="7DE34CC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537" w:type="dxa"/>
          </w:tcPr>
          <w:p w14:paraId="1405E24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ΑΝΑΔΟΧΟΣ ΟΝΤΟΤΗΤΑ</w:t>
            </w:r>
          </w:p>
          <w:p w14:paraId="40C5E800" w14:textId="57801E6F" w:rsidR="000242CC" w:rsidRPr="002D60D7" w:rsidRDefault="00D24331" w:rsidP="004C445F">
            <w:pPr>
              <w:suppressAutoHyphens/>
              <w:autoSpaceDE w:val="0"/>
              <w:autoSpaceDN w:val="0"/>
              <w:adjustRightInd w:val="0"/>
              <w:spacing w:before="0" w:after="0"/>
              <w:rPr>
                <w:rStyle w:val="InstructionsTabelleText"/>
                <w:rFonts w:ascii="Times New Roman" w:hAnsi="Times New Roman"/>
                <w:sz w:val="24"/>
              </w:rPr>
            </w:pPr>
            <w:r>
              <w:rPr>
                <w:rFonts w:ascii="Times New Roman" w:hAnsi="Times New Roman"/>
                <w:sz w:val="24"/>
              </w:rPr>
              <w:t>Άρθρο 4 παράγραφος 1 σημείο 14 του κανονισμού (ΕΕ) αριθ. 575/2013</w:t>
            </w:r>
            <w:r>
              <w:rPr>
                <w:rStyle w:val="InstructionsTabelleText"/>
                <w:rFonts w:ascii="Times New Roman" w:hAnsi="Times New Roman"/>
                <w:sz w:val="24"/>
              </w:rPr>
              <w:t xml:space="preserve">. </w:t>
            </w:r>
          </w:p>
          <w:p w14:paraId="036222AB" w14:textId="77777777" w:rsidR="00C55547" w:rsidRPr="002D60D7" w:rsidRDefault="00532026" w:rsidP="004C445F">
            <w:pPr>
              <w:suppressAutoHyphens/>
              <w:autoSpaceDE w:val="0"/>
              <w:autoSpaceDN w:val="0"/>
              <w:adjustRightInd w:val="0"/>
              <w:spacing w:before="0" w:after="0"/>
              <w:rPr>
                <w:rStyle w:val="InstructionsTabelleText"/>
                <w:rFonts w:ascii="Times New Roman" w:hAnsi="Times New Roman"/>
                <w:sz w:val="24"/>
              </w:rPr>
            </w:pPr>
            <w:r>
              <w:rPr>
                <w:rStyle w:val="InstructionsTabelleText"/>
                <w:rFonts w:ascii="Times New Roman" w:hAnsi="Times New Roman"/>
                <w:sz w:val="24"/>
              </w:rPr>
              <w:t>Μια ανάδοχος οντότητα που τιτλοποιεί επίσης δικά της στοιχεία ενεργητικού, συμπληρώνει στις γραμμές που αφορούν τη μεταβιβάζουσα οντότητα πληροφορίες σχετικά με τα δικά της τιτλοποιημένα στοιχεία ενεργητικού.</w:t>
            </w:r>
          </w:p>
        </w:tc>
      </w:tr>
    </w:tbl>
    <w:p w14:paraId="2E044F0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7658B148" w14:textId="1570163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3" w:name="_Toc294172373"/>
      <w:bookmarkStart w:id="74" w:name="_Toc295830002"/>
      <w:bookmarkStart w:id="75" w:name="_Toc308426679"/>
      <w:bookmarkStart w:id="76" w:name="_Toc310415063"/>
      <w:bookmarkStart w:id="77" w:name="_Toc360188398"/>
      <w:bookmarkStart w:id="78" w:name="_Toc473561038"/>
      <w:bookmarkStart w:id="79" w:name="_Toc210914191"/>
      <w:r>
        <w:rPr>
          <w:rFonts w:ascii="Times New Roman" w:hAnsi="Times New Roman"/>
          <w:sz w:val="24"/>
          <w:u w:val="none"/>
        </w:rPr>
        <w:t>4.</w:t>
      </w:r>
      <w:r w:rsidRPr="00861C69">
        <w:rPr>
          <w:u w:val="none"/>
        </w:rPr>
        <w:tab/>
      </w:r>
      <w:r>
        <w:rPr>
          <w:rFonts w:ascii="Times New Roman" w:hAnsi="Times New Roman"/>
          <w:sz w:val="24"/>
        </w:rPr>
        <w:t>C 20.00 – ΚΙΝΔΥΝΟΣ ΑΓΟΡΑΣ: ΤΥΠΟΠΟΙΗΜΕΝΗ ΠΡΟΣΕΓΓΙΣΗ ΓΙΑ ΕΙΔΙΚΟ ΚΙΝΔΥΝΟ ΘΕΣΕΩΝ ΣΤΟ ΧΑΡΤΟΦΥΛΑΚΙΟ ΔΙΑΠΡΑΓΜΑΤΕΥΣΗΣ ΣΥΣΧΕΤΙΣΕΩΝ (MKR SA CTP</w:t>
      </w:r>
      <w:bookmarkEnd w:id="73"/>
      <w:bookmarkEnd w:id="74"/>
      <w:bookmarkEnd w:id="75"/>
      <w:bookmarkEnd w:id="76"/>
      <w:r>
        <w:rPr>
          <w:rFonts w:ascii="Times New Roman" w:hAnsi="Times New Roman"/>
          <w:sz w:val="24"/>
        </w:rPr>
        <w:t>)</w:t>
      </w:r>
      <w:bookmarkEnd w:id="77"/>
      <w:bookmarkEnd w:id="78"/>
      <w:bookmarkEnd w:id="79"/>
    </w:p>
    <w:p w14:paraId="43960D05" w14:textId="0A1B0018"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80" w:name="_Toc294172374"/>
      <w:bookmarkStart w:id="81" w:name="_Toc295830003"/>
      <w:bookmarkStart w:id="82" w:name="_Toc308426680"/>
      <w:bookmarkStart w:id="83" w:name="_Toc310415064"/>
      <w:bookmarkStart w:id="84" w:name="_Toc360188399"/>
      <w:bookmarkStart w:id="85" w:name="_Toc473561039"/>
      <w:bookmarkStart w:id="86" w:name="_Toc210914192"/>
      <w:r>
        <w:rPr>
          <w:rFonts w:ascii="Times New Roman" w:hAnsi="Times New Roman"/>
          <w:sz w:val="24"/>
          <w:u w:val="none"/>
        </w:rPr>
        <w:t>4.1.</w:t>
      </w:r>
      <w:r w:rsidRPr="00861C69">
        <w:rPr>
          <w:u w:val="none"/>
        </w:rPr>
        <w:tab/>
      </w:r>
      <w:r>
        <w:rPr>
          <w:rFonts w:ascii="Times New Roman" w:hAnsi="Times New Roman"/>
          <w:sz w:val="24"/>
        </w:rPr>
        <w:t>Γενικές παρατηρήσεις</w:t>
      </w:r>
      <w:bookmarkEnd w:id="80"/>
      <w:bookmarkEnd w:id="81"/>
      <w:bookmarkEnd w:id="82"/>
      <w:bookmarkEnd w:id="83"/>
      <w:bookmarkEnd w:id="84"/>
      <w:bookmarkEnd w:id="85"/>
      <w:bookmarkEnd w:id="86"/>
    </w:p>
    <w:p w14:paraId="6E7E4803" w14:textId="7EB80912" w:rsidR="00C55547" w:rsidRPr="002D60D7" w:rsidRDefault="00C55547" w:rsidP="00E172EA">
      <w:pPr>
        <w:pStyle w:val="InstructionsText2"/>
        <w:numPr>
          <w:ilvl w:val="0"/>
          <w:numId w:val="29"/>
        </w:numPr>
        <w:suppressAutoHyphens/>
      </w:pPr>
      <w:bookmarkStart w:id="87" w:name="_Toc294172375"/>
      <w:bookmarkStart w:id="88" w:name="_Toc295830004"/>
      <w:bookmarkStart w:id="89" w:name="_Toc308426681"/>
      <w:bookmarkStart w:id="90" w:name="_Toc310415065"/>
      <w:bookmarkStart w:id="91" w:name="_Toc360188400"/>
      <w:bookmarkStart w:id="92" w:name="_Toc473561040"/>
      <w:r>
        <w:t>Στο συγκεκριμένο υπόδειγμα ζητούνται πληροφορίες για θέσεις του χαρτοφυλακίου διαπραγμάτευσης συσχετίσεων [που περιλαμβάνουν τιτλοποιήσεις, πιστωτικά παράγωγα νιοστού βαθμού αθέτησης και άλλες θέσεις του χαρτοφυλακίου διαπραγμάτευσης συσχετίσεων, σύμφωνα με το άρθρο 338 παράγραφος 3 του κανονισμού (ΕΕ) αριθ. 575/2013] και τις αντίστοιχες απαιτήσεις ιδίων κεφαλαίων με βάση την τυποποιημένη προσέγγιση.</w:t>
      </w:r>
    </w:p>
    <w:p w14:paraId="7D9D9B10" w14:textId="1F1EFDEB" w:rsidR="00C55547" w:rsidRPr="002D60D7" w:rsidRDefault="00C55547" w:rsidP="00E172EA">
      <w:pPr>
        <w:pStyle w:val="InstructionsText2"/>
        <w:numPr>
          <w:ilvl w:val="0"/>
          <w:numId w:val="29"/>
        </w:numPr>
        <w:suppressAutoHyphens/>
      </w:pPr>
      <w:r>
        <w:t>Το υπόδειγμα MKR SA CTP παρουσιάζει την απαίτηση ιδίων κεφαλαίων μόνο για τον ειδικό κίνδυνο θέσεων εντός του χαρτοφυλακίου διαπραγμάτευσης συσχετίσεων, σύμφωνα με το άρθρο 335 του κανονισμού (ΕΕ) αριθ. 575/2013 σε συνδυασμό με το άρθρο 338 παράγραφοι 2 και 3 του εν λόγω κανονισμού. Εάν οι θέσεις του χαρτοφυλακίου διαπραγμάτευσης συσχετίσεων εντός του χαρτοφυλακίου συναλλαγών αντισταθμίζονται με πιστωτικά παράγωγα, εφαρμόζονται τα άρθρα 346 και 347 του κανονισμού (ΕΕ) αριθ. 575/2013. Υπάρχει μόνο ένα υπόδειγμα για όλες τις θέσεις του χαρτοφυλακίου διαπραγμάτευσης συσχετίσεων εντός του χαρτοφυλακίου συναλλαγών, ανεξαρτήτως της προσέγγισης που εφαρμόζεται από τις επιχειρήσεις επενδύσεων για τον προσδιορισμό του συντελεστή στάθμισης κινδύνου για κάθε θέση σύμφωνα με το τρίτο μέρος τίτλος II κεφάλαιο 5 του κανονισμού (ΕΕ) αριθ. 575/2013. Οι απαιτήσεις ιδίων κεφαλαίων για τον γενικό κίνδυνο των εν λόγω θέσεων αναφέρονται στο υπόδειγμα MKR SA TDI ή στο υπόδειγμα MKR IM.</w:t>
      </w:r>
    </w:p>
    <w:p w14:paraId="2252BE4F" w14:textId="4513CABA" w:rsidR="00C55547" w:rsidRPr="002D60D7" w:rsidRDefault="00C55547" w:rsidP="00E172EA">
      <w:pPr>
        <w:pStyle w:val="InstructionsText2"/>
        <w:numPr>
          <w:ilvl w:val="0"/>
          <w:numId w:val="29"/>
        </w:numPr>
        <w:suppressAutoHyphens/>
      </w:pPr>
      <w:r>
        <w:lastRenderedPageBreak/>
        <w:t xml:space="preserve">Το υπόδειγμα αυτό διαχωρίζει τις θέσεις τιτλοποίησης, τα πιστωτικά παράγωγα νιοστού βαθμού αθέτησης και τις άλλες θέσεις του χαρτοφυλακίου διαπραγμάτευσης συσχετίσεων. Οι θέσεις τιτλοποίησης αναφέρονται πάντοτε στις γραμμές 0030, 0060 ή 0090 (ανάλογα με τον ρόλο του ιδρύματος στην τιτλοποίηση). Τα πιστωτικά παράγωγα νιοστού βαθμού αθέτησης αναφέρονται πάντοτε στη γραμμή 0110. Οι «άλλες θέσεις του χαρτοφυλακίου διαπραγμάτευσης συσχετίσεων» δεν είναι ούτε θέσεις τιτλοποίησης ούτε πιστωτικά παράγωγα νιοστού βαθμού αθέτησης [βλέπε άρθρο 338 παράγραφος 3 του κανονισμού (ΕΕ) αριθ. 575/2013], αλλά είναι σαφώς «συνδεδεμένες» με μία από αυτές τις δύο θέσεις (λόγω της πρόθεσης αντιστάθμισης). </w:t>
      </w:r>
    </w:p>
    <w:p w14:paraId="5B5B9C2A" w14:textId="127C8328" w:rsidR="00C55547" w:rsidRPr="002D60D7" w:rsidRDefault="00C55547" w:rsidP="00E172EA">
      <w:pPr>
        <w:pStyle w:val="InstructionsText2"/>
        <w:numPr>
          <w:ilvl w:val="0"/>
          <w:numId w:val="29"/>
        </w:numPr>
        <w:suppressAutoHyphens/>
      </w:pPr>
      <w:r>
        <w:t>Οι θέσεις που λαμβάνουν συντελεστή στάθμισης 1 250 % μπορούν εναλλακτικά να αφαιρεθούν από το κεφάλαιο CET1 [βλέπε άρθρο 244 παράγραφος 1 στοιχείο β), άρθρο 245 παράγραφος 1 στοιχείο β) και άρθρο 253 του κανονισμού (ΕΕ) αριθ. 575/2013]. Οι θέσεις αυτές αναφέρονται στο παρόν υπόδειγμα, ακόμη και αν το ίδρυμα κάνει χρήση της ανωτέρω δυνατότητας αφαίρεσης.</w:t>
      </w:r>
    </w:p>
    <w:p w14:paraId="6482CB53" w14:textId="4A90E23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3" w:name="_Toc210914193"/>
      <w:r>
        <w:rPr>
          <w:rFonts w:ascii="Times New Roman" w:hAnsi="Times New Roman"/>
          <w:sz w:val="24"/>
          <w:u w:val="none"/>
        </w:rPr>
        <w:t>4.2.</w:t>
      </w:r>
      <w:r w:rsidRPr="00861C69">
        <w:rPr>
          <w:u w:val="none"/>
        </w:rPr>
        <w:tab/>
      </w:r>
      <w:r>
        <w:rPr>
          <w:rFonts w:ascii="Times New Roman" w:hAnsi="Times New Roman"/>
          <w:sz w:val="24"/>
        </w:rPr>
        <w:t>Οδηγίες για συγκεκριμένες θέσεις</w:t>
      </w:r>
      <w:bookmarkEnd w:id="87"/>
      <w:bookmarkEnd w:id="88"/>
      <w:bookmarkEnd w:id="89"/>
      <w:bookmarkEnd w:id="90"/>
      <w:bookmarkEnd w:id="91"/>
      <w:bookmarkEnd w:id="92"/>
      <w:bookmarkEnd w:id="93"/>
    </w:p>
    <w:p w14:paraId="08BF27B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874"/>
      </w:tblGrid>
      <w:tr w:rsidR="00C55547" w:rsidRPr="002D60D7" w14:paraId="05BDB97B" w14:textId="77777777" w:rsidTr="00E10B85">
        <w:trPr>
          <w:trHeight w:val="602"/>
        </w:trPr>
        <w:tc>
          <w:tcPr>
            <w:tcW w:w="8890" w:type="dxa"/>
            <w:gridSpan w:val="2"/>
            <w:shd w:val="clear" w:color="auto" w:fill="CCCCCC"/>
          </w:tcPr>
          <w:p w14:paraId="286354EC"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Στήλες</w:t>
            </w:r>
          </w:p>
        </w:tc>
      </w:tr>
      <w:tr w:rsidR="00C55547" w:rsidRPr="002D60D7" w14:paraId="697D3EB6" w14:textId="77777777" w:rsidTr="00E10B85">
        <w:tc>
          <w:tcPr>
            <w:tcW w:w="1016" w:type="dxa"/>
          </w:tcPr>
          <w:p w14:paraId="5A814BB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2D41C5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ΟΛΕΣ ΟΙ ΘΕΣΕΙΣ (ΘΕΤΙΚΕΣ ΚΑΙ ΑΡΝΗΤΙΚΕΣ)</w:t>
            </w:r>
          </w:p>
          <w:p w14:paraId="4F3CF7CB" w14:textId="3DE2B427" w:rsidR="005C14B0" w:rsidRPr="002D60D7" w:rsidRDefault="00C55547" w:rsidP="004C445F">
            <w:pPr>
              <w:suppressAutoHyphens/>
              <w:rPr>
                <w:rFonts w:ascii="Times New Roman" w:hAnsi="Times New Roman"/>
                <w:sz w:val="24"/>
              </w:rPr>
            </w:pPr>
            <w:r>
              <w:rPr>
                <w:rFonts w:ascii="Times New Roman" w:hAnsi="Times New Roman"/>
                <w:sz w:val="24"/>
              </w:rPr>
              <w:t>Άρθρο 102 και άρθρο 105 παράγραφος 1 του κανονισμού (ΕΕ) αριθ. 575/2013 σε συνδυασμό με το άρθρο 338 παράγραφοι 2 και 3 του εν λόγω κανονισμού (θέσεις εντός του χαρτοφυλακίου διαπραγμάτευσης συσχετίσεων)</w:t>
            </w:r>
          </w:p>
          <w:p w14:paraId="70FB0860" w14:textId="54994400" w:rsidR="00C55547" w:rsidRPr="002D60D7" w:rsidRDefault="00C55547" w:rsidP="004C445F">
            <w:pPr>
              <w:suppressAutoHyphens/>
              <w:rPr>
                <w:rFonts w:ascii="Times New Roman" w:hAnsi="Times New Roman"/>
                <w:sz w:val="24"/>
              </w:rPr>
            </w:pPr>
            <w:r>
              <w:rPr>
                <w:rFonts w:ascii="Times New Roman" w:hAnsi="Times New Roman"/>
                <w:sz w:val="24"/>
              </w:rPr>
              <w:t>Όσον αφορά τη διάκριση μεταξύ θετικών και αρνητικών θέσεων, που ισχύει επίσης για τις συγκεκριμένες ακαθάριστες θέσεις, βλέπε άρθρο 328 παράγραφος 2 του κανονισμού (ΕΕ) αριθ. 575/2013.</w:t>
            </w:r>
          </w:p>
        </w:tc>
      </w:tr>
      <w:tr w:rsidR="00C55547" w:rsidRPr="002D60D7" w14:paraId="3641769F" w14:textId="77777777" w:rsidTr="00E10B85">
        <w:tc>
          <w:tcPr>
            <w:tcW w:w="1016" w:type="dxa"/>
          </w:tcPr>
          <w:p w14:paraId="04DBC56E"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7E31C3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ΘΕΣΕΙΣ ΠΟΥ ΑΦΑΙΡΟΥΝΤΑΙ ΑΠΟ ΤΑ ΙΔΙΑ ΚΕΦΑΛΑΙΑ (ΘΕΤΙΚΕΣ ΚΑΙ ΑΡΝΗΤΙΚΕΣ)</w:t>
            </w:r>
          </w:p>
          <w:p w14:paraId="56207551" w14:textId="0069D39B" w:rsidR="00C55547" w:rsidRPr="002D60D7" w:rsidRDefault="00C55547" w:rsidP="004C445F">
            <w:pPr>
              <w:suppressAutoHyphens/>
              <w:rPr>
                <w:rFonts w:ascii="Times New Roman" w:hAnsi="Times New Roman"/>
                <w:sz w:val="24"/>
              </w:rPr>
            </w:pPr>
            <w:r>
              <w:rPr>
                <w:rFonts w:ascii="Times New Roman" w:hAnsi="Times New Roman"/>
                <w:sz w:val="24"/>
              </w:rPr>
              <w:t xml:space="preserve">Άρθρο 253 του κανονισμού (ΕΕ) αριθ. 575/2013 </w:t>
            </w:r>
          </w:p>
        </w:tc>
      </w:tr>
      <w:tr w:rsidR="00C55547" w:rsidRPr="002D60D7" w14:paraId="6E312180" w14:textId="77777777" w:rsidTr="00E10B85">
        <w:tc>
          <w:tcPr>
            <w:tcW w:w="1016" w:type="dxa"/>
          </w:tcPr>
          <w:p w14:paraId="0870959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74" w:type="dxa"/>
          </w:tcPr>
          <w:p w14:paraId="6226B3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ΚΑΘΑΡΕΣ ΘΕΣΕΙΣ (ΘΕΤΙΚΕΣ ΚΑΙ ΑΡΝΗΤΙΚΕΣ)</w:t>
            </w:r>
          </w:p>
          <w:p w14:paraId="01BDDE40" w14:textId="76E789A7" w:rsidR="005C14B0" w:rsidRPr="002D60D7" w:rsidRDefault="00C55547" w:rsidP="004C445F">
            <w:pPr>
              <w:suppressAutoHyphens/>
              <w:rPr>
                <w:rFonts w:ascii="Times New Roman" w:hAnsi="Times New Roman"/>
                <w:sz w:val="24"/>
              </w:rPr>
            </w:pPr>
            <w:r>
              <w:rPr>
                <w:rFonts w:ascii="Times New Roman" w:hAnsi="Times New Roman"/>
                <w:sz w:val="24"/>
              </w:rPr>
              <w:t xml:space="preserve">Άρθρο 327, 328, 329 και 334 του κανονισμού (ΕΕ) αριθ. 575/2013 </w:t>
            </w:r>
          </w:p>
          <w:p w14:paraId="6C03F093" w14:textId="3D25FE7B" w:rsidR="00C55547" w:rsidRPr="002D60D7" w:rsidRDefault="00C55547" w:rsidP="004C445F">
            <w:pPr>
              <w:suppressAutoHyphens/>
              <w:rPr>
                <w:rFonts w:ascii="Times New Roman" w:hAnsi="Times New Roman"/>
                <w:sz w:val="24"/>
              </w:rPr>
            </w:pPr>
            <w:r>
              <w:rPr>
                <w:rFonts w:ascii="Times New Roman" w:hAnsi="Times New Roman"/>
                <w:sz w:val="24"/>
              </w:rPr>
              <w:t>Όσον αφορά τη διάκριση μεταξύ θετικών και αρνητικών θέσεων, βλέπε άρθρο 328 παράγραφος 2 του εν λόγω κανονισμού.</w:t>
            </w:r>
          </w:p>
        </w:tc>
      </w:tr>
      <w:tr w:rsidR="00C55547" w:rsidRPr="002D60D7" w14:paraId="6F83AB99" w14:textId="77777777" w:rsidTr="00E10B85">
        <w:tc>
          <w:tcPr>
            <w:tcW w:w="1016" w:type="dxa"/>
          </w:tcPr>
          <w:p w14:paraId="6DDF2435"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0071-0097</w:t>
            </w:r>
          </w:p>
        </w:tc>
        <w:tc>
          <w:tcPr>
            <w:tcW w:w="7874" w:type="dxa"/>
          </w:tcPr>
          <w:p w14:paraId="247CF712"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ΚΑΤΑΝΟΜΗ ΤΩΝ ΚΑΘΑΡΩΝ ΘΕΣΕΩΝ ΜΕ ΒΑΣΗ ΤΟΥΣ ΣΥΝΤΕΛΕΣΤΕΣ ΣΤΑΘΜΙΣΗΣ ΚΙΝΔΥΝΟΥ</w:t>
            </w:r>
          </w:p>
          <w:p w14:paraId="691F4414" w14:textId="75A08501" w:rsidR="00C55547" w:rsidRPr="002D60D7" w:rsidRDefault="00133396" w:rsidP="004C445F">
            <w:pPr>
              <w:suppressAutoHyphens/>
              <w:rPr>
                <w:rFonts w:ascii="Times New Roman" w:hAnsi="Times New Roman"/>
                <w:sz w:val="24"/>
              </w:rPr>
            </w:pPr>
            <w:r>
              <w:rPr>
                <w:rStyle w:val="InstructionsTabelleText"/>
                <w:rFonts w:ascii="Times New Roman" w:hAnsi="Times New Roman"/>
                <w:sz w:val="24"/>
              </w:rPr>
              <w:t>Άρθρα 259 έως 262, άρθρο 263 πίνακες 1 και 2, άρθρο 264 πίνακες 3 και 4 και άρθρο 266</w:t>
            </w:r>
            <w:r>
              <w:rPr>
                <w:rFonts w:ascii="Times New Roman" w:hAnsi="Times New Roman"/>
                <w:sz w:val="24"/>
              </w:rPr>
              <w:t xml:space="preserve"> του κανονισμού (ΕΕ) αριθ. 575/2013</w:t>
            </w:r>
          </w:p>
        </w:tc>
      </w:tr>
      <w:tr w:rsidR="00C55547" w:rsidRPr="002D60D7" w14:paraId="495D2FD0" w14:textId="77777777" w:rsidTr="00E10B85">
        <w:tc>
          <w:tcPr>
            <w:tcW w:w="1016" w:type="dxa"/>
          </w:tcPr>
          <w:p w14:paraId="295B01D9" w14:textId="77777777" w:rsidR="00C55547" w:rsidRPr="002D60D7" w:rsidRDefault="002F79EA" w:rsidP="004C445F">
            <w:pPr>
              <w:suppressAutoHyphens/>
              <w:rPr>
                <w:rFonts w:ascii="Times New Roman" w:hAnsi="Times New Roman"/>
                <w:sz w:val="24"/>
              </w:rPr>
            </w:pPr>
            <w:r>
              <w:rPr>
                <w:rFonts w:ascii="Times New Roman" w:hAnsi="Times New Roman"/>
                <w:sz w:val="24"/>
              </w:rPr>
              <w:t>0402-0406</w:t>
            </w:r>
          </w:p>
        </w:tc>
        <w:tc>
          <w:tcPr>
            <w:tcW w:w="7874" w:type="dxa"/>
          </w:tcPr>
          <w:p w14:paraId="23629FA6" w14:textId="77777777" w:rsidR="00C55547" w:rsidRPr="002D60D7" w:rsidRDefault="00543964"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ΚΑΤΑΝΟΜΗ ΤΩΝ ΚΑΘΑΡΩΝ ΘΕΣΕΩΝ ΜΕ ΒΑΣΗ ΤΙΣ ΠΡΟΣΕΓΓΙΣΕΙΣ</w:t>
            </w:r>
          </w:p>
          <w:p w14:paraId="19937787" w14:textId="465ADE79" w:rsidR="00C55547" w:rsidRPr="002D60D7" w:rsidRDefault="00C55547"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Text"/>
                <w:rFonts w:ascii="Times New Roman" w:hAnsi="Times New Roman"/>
                <w:sz w:val="24"/>
              </w:rPr>
              <w:t>Άρθρο 254</w:t>
            </w:r>
            <w:r>
              <w:rPr>
                <w:rFonts w:ascii="Times New Roman" w:hAnsi="Times New Roman"/>
                <w:sz w:val="24"/>
              </w:rPr>
              <w:t xml:space="preserve"> του κανονισμού (ΕΕ) αριθ. 575/2013</w:t>
            </w:r>
            <w:r>
              <w:rPr>
                <w:rStyle w:val="InstructionsTabelleText"/>
                <w:rFonts w:ascii="Times New Roman" w:hAnsi="Times New Roman"/>
                <w:sz w:val="24"/>
              </w:rPr>
              <w:t xml:space="preserve"> </w:t>
            </w:r>
          </w:p>
        </w:tc>
      </w:tr>
      <w:tr w:rsidR="00C55547" w:rsidRPr="002D60D7" w14:paraId="18FE6247" w14:textId="77777777" w:rsidTr="00E10B85">
        <w:tc>
          <w:tcPr>
            <w:tcW w:w="1016" w:type="dxa"/>
          </w:tcPr>
          <w:p w14:paraId="17001A21" w14:textId="77777777" w:rsidR="00C55547" w:rsidRPr="002D60D7" w:rsidRDefault="002F79EA" w:rsidP="004C445F">
            <w:pPr>
              <w:suppressAutoHyphens/>
              <w:rPr>
                <w:rFonts w:ascii="Times New Roman" w:hAnsi="Times New Roman"/>
                <w:sz w:val="24"/>
              </w:rPr>
            </w:pPr>
            <w:r>
              <w:rPr>
                <w:rFonts w:ascii="Times New Roman" w:hAnsi="Times New Roman"/>
                <w:sz w:val="24"/>
              </w:rPr>
              <w:lastRenderedPageBreak/>
              <w:t>0402</w:t>
            </w:r>
          </w:p>
        </w:tc>
        <w:tc>
          <w:tcPr>
            <w:tcW w:w="7874" w:type="dxa"/>
          </w:tcPr>
          <w:p w14:paraId="79F7161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1718443C" w14:textId="27159510"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 xml:space="preserve">Άρθρο 259 και 260 </w:t>
            </w:r>
            <w:r>
              <w:rPr>
                <w:rFonts w:ascii="Times New Roman" w:hAnsi="Times New Roman"/>
                <w:sz w:val="24"/>
              </w:rPr>
              <w:t>του κανονισμού (ΕΕ) αριθ. 575/2013</w:t>
            </w:r>
          </w:p>
        </w:tc>
      </w:tr>
      <w:tr w:rsidR="00C55547" w:rsidRPr="002D60D7" w14:paraId="35656008" w14:textId="77777777" w:rsidTr="00E10B85">
        <w:tc>
          <w:tcPr>
            <w:tcW w:w="1016" w:type="dxa"/>
          </w:tcPr>
          <w:p w14:paraId="720D0546" w14:textId="77777777" w:rsidR="00C55547" w:rsidRPr="002D60D7" w:rsidRDefault="002F79EA" w:rsidP="004C445F">
            <w:pPr>
              <w:suppressAutoHyphens/>
              <w:rPr>
                <w:rFonts w:ascii="Times New Roman" w:hAnsi="Times New Roman"/>
                <w:sz w:val="24"/>
              </w:rPr>
            </w:pPr>
            <w:r>
              <w:rPr>
                <w:rFonts w:ascii="Times New Roman" w:hAnsi="Times New Roman"/>
                <w:sz w:val="24"/>
              </w:rPr>
              <w:t>0403</w:t>
            </w:r>
          </w:p>
        </w:tc>
        <w:tc>
          <w:tcPr>
            <w:tcW w:w="7874" w:type="dxa"/>
          </w:tcPr>
          <w:p w14:paraId="789033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4F095DEE" w14:textId="02044DC6"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 xml:space="preserve">Άρθρο 261 και 262 </w:t>
            </w:r>
            <w:r>
              <w:rPr>
                <w:rFonts w:ascii="Times New Roman" w:hAnsi="Times New Roman"/>
                <w:sz w:val="24"/>
              </w:rPr>
              <w:t>του κανονισμού (ΕΕ) αριθ. 575/2013</w:t>
            </w:r>
          </w:p>
        </w:tc>
      </w:tr>
      <w:tr w:rsidR="00C55547" w:rsidRPr="002D60D7" w14:paraId="7B54B7CF" w14:textId="77777777" w:rsidTr="00E10B85">
        <w:tc>
          <w:tcPr>
            <w:tcW w:w="1016" w:type="dxa"/>
          </w:tcPr>
          <w:p w14:paraId="0D21F451" w14:textId="77777777" w:rsidR="00C55547" w:rsidRPr="002D60D7" w:rsidRDefault="002F79EA" w:rsidP="004C445F">
            <w:pPr>
              <w:suppressAutoHyphens/>
              <w:rPr>
                <w:rFonts w:ascii="Times New Roman" w:hAnsi="Times New Roman"/>
                <w:sz w:val="24"/>
              </w:rPr>
            </w:pPr>
            <w:r>
              <w:rPr>
                <w:rFonts w:ascii="Times New Roman" w:hAnsi="Times New Roman"/>
                <w:sz w:val="24"/>
              </w:rPr>
              <w:t>0404</w:t>
            </w:r>
          </w:p>
        </w:tc>
        <w:tc>
          <w:tcPr>
            <w:tcW w:w="7874" w:type="dxa"/>
          </w:tcPr>
          <w:p w14:paraId="6AA67FFF"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108938CD" w14:textId="7A2858ED"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 xml:space="preserve">Άρθρο 263 και 264 </w:t>
            </w:r>
            <w:r>
              <w:rPr>
                <w:rFonts w:ascii="Times New Roman" w:hAnsi="Times New Roman"/>
                <w:sz w:val="24"/>
              </w:rPr>
              <w:t>του κανονισμού (ΕΕ) αριθ. 575/2013</w:t>
            </w:r>
          </w:p>
        </w:tc>
      </w:tr>
      <w:tr w:rsidR="00C55547" w:rsidRPr="002D60D7" w14:paraId="7979A32D" w14:textId="77777777" w:rsidTr="00E10B85">
        <w:tc>
          <w:tcPr>
            <w:tcW w:w="1016" w:type="dxa"/>
          </w:tcPr>
          <w:p w14:paraId="7C1C67E6" w14:textId="77777777" w:rsidR="00C55547" w:rsidRPr="002D60D7" w:rsidRDefault="002F79EA" w:rsidP="004C445F">
            <w:pPr>
              <w:suppressAutoHyphens/>
              <w:rPr>
                <w:rFonts w:ascii="Times New Roman" w:hAnsi="Times New Roman"/>
                <w:sz w:val="24"/>
              </w:rPr>
            </w:pPr>
            <w:r>
              <w:rPr>
                <w:rFonts w:ascii="Times New Roman" w:hAnsi="Times New Roman"/>
                <w:sz w:val="24"/>
              </w:rPr>
              <w:t>0405</w:t>
            </w:r>
          </w:p>
        </w:tc>
        <w:tc>
          <w:tcPr>
            <w:tcW w:w="7874" w:type="dxa"/>
          </w:tcPr>
          <w:p w14:paraId="68CACB61"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ΠΡΟΣΕΓΓΙΣΗ ΕΣΩΤΕΡΙΚΗΣ ΑΞΙΟΛΟΓΗΣΗΣ</w:t>
            </w:r>
          </w:p>
          <w:p w14:paraId="46E92693" w14:textId="2A1B6CC7"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 xml:space="preserve">Άρθρα 254 και 265 και άρθρο 266 παράγραφος 5 </w:t>
            </w:r>
            <w:r>
              <w:rPr>
                <w:rFonts w:ascii="Times New Roman" w:hAnsi="Times New Roman"/>
                <w:sz w:val="24"/>
              </w:rPr>
              <w:t>του κανονισμού (ΕΕ) αριθ. 575/2013</w:t>
            </w:r>
          </w:p>
        </w:tc>
      </w:tr>
      <w:tr w:rsidR="00A97C62" w:rsidRPr="002D60D7" w14:paraId="412C0D2A" w14:textId="77777777" w:rsidTr="00E10B85">
        <w:tc>
          <w:tcPr>
            <w:tcW w:w="1016" w:type="dxa"/>
          </w:tcPr>
          <w:p w14:paraId="184EAC6C" w14:textId="26696219" w:rsidR="00A97C62" w:rsidRPr="002D60D7" w:rsidRDefault="00A97C62" w:rsidP="004C445F">
            <w:pPr>
              <w:suppressAutoHyphens/>
              <w:rPr>
                <w:rFonts w:ascii="Times New Roman" w:hAnsi="Times New Roman"/>
                <w:sz w:val="24"/>
              </w:rPr>
            </w:pPr>
            <w:r>
              <w:rPr>
                <w:rFonts w:ascii="Times New Roman" w:hAnsi="Times New Roman"/>
                <w:sz w:val="24"/>
              </w:rPr>
              <w:t>0900</w:t>
            </w:r>
          </w:p>
        </w:tc>
        <w:tc>
          <w:tcPr>
            <w:tcW w:w="7874" w:type="dxa"/>
          </w:tcPr>
          <w:p w14:paraId="33E51780" w14:textId="77777777" w:rsidR="00A97C62" w:rsidRPr="002D60D7" w:rsidRDefault="00A97C62" w:rsidP="004C445F">
            <w:pPr>
              <w:suppressAutoHyphens/>
              <w:spacing w:before="0" w:after="0"/>
              <w:jc w:val="left"/>
              <w:rPr>
                <w:rFonts w:ascii="Times New Roman" w:hAnsi="Times New Roman"/>
                <w:b/>
                <w:sz w:val="24"/>
                <w:u w:val="single"/>
              </w:rPr>
            </w:pPr>
            <w:r>
              <w:rPr>
                <w:rFonts w:ascii="Times New Roman" w:hAnsi="Times New Roman"/>
                <w:b/>
                <w:sz w:val="24"/>
                <w:u w:val="single"/>
              </w:rPr>
              <w:t>ΣΥΓΚΕΚΡΙΜΕΝΗ ΑΝΤΙΜΕΤΩΠΙΣΗ ΓΙΑ ΤΜΗΜΑΤΑ ΥΨΗΛΟΤΕΡΗΣ ΕΞΑΣΦΑΛΙΣΗΣ ΤΙΤΛΟΠΟΙΗΣΕΩΝ ΜΕΑ ΠΟΥ ΠΛΗΡΟΥΝ ΤΙΣ ΠΡΟΫΠΟΘΕΣΕΙΣ</w:t>
            </w:r>
          </w:p>
          <w:p w14:paraId="1D397AE3" w14:textId="76C348BD" w:rsidR="00A97C62" w:rsidRPr="002D60D7" w:rsidRDefault="00A97C62" w:rsidP="004C445F">
            <w:pPr>
              <w:suppressAutoHyphens/>
              <w:autoSpaceDE w:val="0"/>
              <w:autoSpaceDN w:val="0"/>
              <w:adjustRightInd w:val="0"/>
              <w:jc w:val="left"/>
              <w:rPr>
                <w:rFonts w:ascii="Times New Roman" w:hAnsi="Times New Roman"/>
                <w:b/>
                <w:bCs/>
                <w:sz w:val="24"/>
                <w:u w:val="single"/>
              </w:rPr>
            </w:pPr>
            <w:r>
              <w:rPr>
                <w:rFonts w:ascii="Times New Roman" w:hAnsi="Times New Roman"/>
                <w:sz w:val="24"/>
              </w:rPr>
              <w:t xml:space="preserve">Άρθρο </w:t>
            </w:r>
            <w:r>
              <w:rPr>
                <w:rStyle w:val="InstructionsTabelleText"/>
                <w:rFonts w:ascii="Times New Roman" w:hAnsi="Times New Roman"/>
                <w:sz w:val="24"/>
              </w:rPr>
              <w:t>269α</w:t>
            </w:r>
            <w:r>
              <w:rPr>
                <w:rFonts w:ascii="Times New Roman" w:hAnsi="Times New Roman"/>
                <w:sz w:val="24"/>
              </w:rPr>
              <w:t xml:space="preserve"> παράγραφος 3 του κανονισμού (ΕΕ) αριθ. 575/2013</w:t>
            </w:r>
          </w:p>
        </w:tc>
      </w:tr>
      <w:tr w:rsidR="00C55547" w:rsidRPr="002D60D7" w14:paraId="5C0D49CC" w14:textId="77777777" w:rsidTr="00E10B85">
        <w:tc>
          <w:tcPr>
            <w:tcW w:w="1016" w:type="dxa"/>
          </w:tcPr>
          <w:p w14:paraId="4A75E404" w14:textId="77777777" w:rsidR="00C55547" w:rsidRPr="002D60D7" w:rsidRDefault="002F79EA" w:rsidP="004C445F">
            <w:pPr>
              <w:suppressAutoHyphens/>
              <w:rPr>
                <w:rFonts w:ascii="Times New Roman" w:hAnsi="Times New Roman"/>
                <w:sz w:val="24"/>
              </w:rPr>
            </w:pPr>
            <w:r>
              <w:rPr>
                <w:rFonts w:ascii="Times New Roman" w:hAnsi="Times New Roman"/>
                <w:sz w:val="24"/>
              </w:rPr>
              <w:t>0406</w:t>
            </w:r>
          </w:p>
        </w:tc>
        <w:tc>
          <w:tcPr>
            <w:tcW w:w="7874" w:type="dxa"/>
          </w:tcPr>
          <w:p w14:paraId="27B9523C" w14:textId="26593451"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ΑΛΛΑ (RW = 1 250</w:t>
            </w:r>
            <w:r>
              <w:t> </w:t>
            </w:r>
            <w:r>
              <w:rPr>
                <w:rFonts w:ascii="Times New Roman" w:hAnsi="Times New Roman"/>
                <w:b/>
                <w:sz w:val="24"/>
                <w:u w:val="single"/>
              </w:rPr>
              <w:t>%)</w:t>
            </w:r>
          </w:p>
          <w:p w14:paraId="0B94870A" w14:textId="0A4BBAC5"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 xml:space="preserve">Άρθρο 254 παράγραφος 7 </w:t>
            </w:r>
            <w:r>
              <w:rPr>
                <w:rFonts w:ascii="Times New Roman" w:hAnsi="Times New Roman"/>
                <w:sz w:val="24"/>
              </w:rPr>
              <w:t>του κανονισμού (ΕΕ) αριθ. 575/2013</w:t>
            </w:r>
          </w:p>
        </w:tc>
      </w:tr>
      <w:tr w:rsidR="00C55547" w:rsidRPr="002D60D7" w14:paraId="16A48520" w14:textId="77777777" w:rsidTr="00E10B85">
        <w:tc>
          <w:tcPr>
            <w:tcW w:w="1016" w:type="dxa"/>
          </w:tcPr>
          <w:p w14:paraId="04D4F5AC" w14:textId="77777777" w:rsidR="00C55547" w:rsidRPr="002D60D7" w:rsidRDefault="002F79EA" w:rsidP="004C445F">
            <w:pPr>
              <w:suppressAutoHyphens/>
              <w:rPr>
                <w:rFonts w:ascii="Times New Roman" w:hAnsi="Times New Roman"/>
                <w:sz w:val="24"/>
              </w:rPr>
            </w:pPr>
            <w:r>
              <w:rPr>
                <w:rFonts w:ascii="Times New Roman" w:hAnsi="Times New Roman"/>
                <w:sz w:val="24"/>
              </w:rPr>
              <w:t>0410-0420</w:t>
            </w:r>
          </w:p>
        </w:tc>
        <w:tc>
          <w:tcPr>
            <w:tcW w:w="7874" w:type="dxa"/>
          </w:tcPr>
          <w:p w14:paraId="78E183CC"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ΣΤΑΘΜΙΣΜΕΝΕΣ ΚΑΘΑΡΕΣ ΘΕΤΙΚΕΣ/ΑΡΝΗΤΙΚΕΣ ΘΕΣΕΙΣ ΠΡΙΝ ΑΠΟ ΤΟ ΑΝΩΤΑΤΟ ΟΡΙΟ</w:t>
            </w:r>
          </w:p>
          <w:p w14:paraId="7E8A31C6" w14:textId="7928DA0B" w:rsidR="00C55547" w:rsidRPr="002D60D7" w:rsidRDefault="00C55547" w:rsidP="004C445F">
            <w:pPr>
              <w:suppressAutoHyphens/>
              <w:rPr>
                <w:rFonts w:ascii="Times New Roman" w:hAnsi="Times New Roman"/>
                <w:sz w:val="24"/>
              </w:rPr>
            </w:pPr>
            <w:r>
              <w:rPr>
                <w:rFonts w:ascii="Times New Roman" w:hAnsi="Times New Roman"/>
                <w:sz w:val="24"/>
              </w:rPr>
              <w:t xml:space="preserve">Άρθρο 338 του κανονισμού (ΕΕ) αριθ. 575/2013, χωρίς να λαμβάνεται υπόψη η διακριτική ευχέρεια που προβλέπεται στο άρθρο 335 του εν λόγω κανονισμού </w:t>
            </w:r>
          </w:p>
        </w:tc>
      </w:tr>
      <w:tr w:rsidR="00C55547" w:rsidRPr="002D60D7" w14:paraId="566ACCB3" w14:textId="77777777" w:rsidTr="00E10B85">
        <w:tc>
          <w:tcPr>
            <w:tcW w:w="1016" w:type="dxa"/>
          </w:tcPr>
          <w:p w14:paraId="4093CA68" w14:textId="77777777" w:rsidR="00C55547" w:rsidRPr="002D60D7" w:rsidRDefault="002F79EA" w:rsidP="004C445F">
            <w:pPr>
              <w:suppressAutoHyphens/>
              <w:rPr>
                <w:rFonts w:ascii="Times New Roman" w:hAnsi="Times New Roman"/>
                <w:sz w:val="24"/>
              </w:rPr>
            </w:pPr>
            <w:r>
              <w:rPr>
                <w:rFonts w:ascii="Times New Roman" w:hAnsi="Times New Roman"/>
                <w:sz w:val="24"/>
              </w:rPr>
              <w:t>0430-0440</w:t>
            </w:r>
          </w:p>
        </w:tc>
        <w:tc>
          <w:tcPr>
            <w:tcW w:w="7874" w:type="dxa"/>
          </w:tcPr>
          <w:p w14:paraId="00C8D0F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ΣΤΑΘΜΙΣΜΕΝΕΣ ΚΑΘΑΡΕΣ ΘΕΤΙΚΕΣ/ΑΡΝΗΤΙΚΕΣ ΘΕΣΕΙΣ ΜΕΤΑ ΤΟ ΑΝΩΤΑΤΟ ΟΡΙΟ</w:t>
            </w:r>
          </w:p>
          <w:p w14:paraId="3304B399" w14:textId="2F41CA57" w:rsidR="00C55547" w:rsidRPr="002D60D7" w:rsidRDefault="00C55547" w:rsidP="004C445F">
            <w:pPr>
              <w:suppressAutoHyphens/>
              <w:rPr>
                <w:rFonts w:ascii="Times New Roman" w:hAnsi="Times New Roman"/>
                <w:sz w:val="24"/>
              </w:rPr>
            </w:pPr>
            <w:r>
              <w:rPr>
                <w:rFonts w:ascii="Times New Roman" w:hAnsi="Times New Roman"/>
                <w:sz w:val="24"/>
              </w:rPr>
              <w:t xml:space="preserve">Άρθρο 338 του κανονισμού (ΕΕ) αριθ. 575/2013, λαμβανομένης υπόψη της διακριτικής ευχέρειας του άρθρου 335 του εν λόγω κανονισμού </w:t>
            </w:r>
          </w:p>
        </w:tc>
      </w:tr>
      <w:tr w:rsidR="00C55547" w:rsidRPr="002D60D7" w14:paraId="23063B74" w14:textId="77777777" w:rsidTr="00E10B85">
        <w:tc>
          <w:tcPr>
            <w:tcW w:w="1016" w:type="dxa"/>
          </w:tcPr>
          <w:p w14:paraId="5A3BC562" w14:textId="77777777" w:rsidR="00C55547" w:rsidRPr="002D60D7" w:rsidRDefault="002F79EA" w:rsidP="004C445F">
            <w:pPr>
              <w:suppressAutoHyphens/>
              <w:rPr>
                <w:rFonts w:ascii="Times New Roman" w:hAnsi="Times New Roman"/>
                <w:sz w:val="24"/>
              </w:rPr>
            </w:pPr>
            <w:r>
              <w:rPr>
                <w:rFonts w:ascii="Times New Roman" w:hAnsi="Times New Roman"/>
                <w:sz w:val="24"/>
              </w:rPr>
              <w:t>0450</w:t>
            </w:r>
          </w:p>
        </w:tc>
        <w:tc>
          <w:tcPr>
            <w:tcW w:w="7874" w:type="dxa"/>
          </w:tcPr>
          <w:p w14:paraId="4210145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ΣΥΝΟΛΙΚΕΣ ΑΠΑΙΤΗΣΕΙΣ ΙΔΙΩΝ ΚΕΦΑΛΑΙΩΝ</w:t>
            </w:r>
          </w:p>
          <w:p w14:paraId="58A6824C" w14:textId="7AE8FACA" w:rsidR="00733F21" w:rsidRPr="002D60D7" w:rsidRDefault="00C55547" w:rsidP="004C445F">
            <w:pPr>
              <w:suppressAutoHyphens/>
              <w:rPr>
                <w:rFonts w:ascii="Times New Roman" w:hAnsi="Times New Roman"/>
                <w:sz w:val="24"/>
              </w:rPr>
            </w:pPr>
            <w:r>
              <w:rPr>
                <w:rFonts w:ascii="Times New Roman" w:hAnsi="Times New Roman"/>
                <w:sz w:val="24"/>
              </w:rPr>
              <w:t>Η απαίτηση ιδίων κεφαλαίων προσδιορίζεται ως το μεγαλύτερο από τα ακόλουθα ποσά:</w:t>
            </w:r>
          </w:p>
          <w:p w14:paraId="6F610485" w14:textId="33CC9A69" w:rsidR="00733F21" w:rsidRPr="002D60D7" w:rsidRDefault="00A92865" w:rsidP="004C445F">
            <w:pPr>
              <w:suppressAutoHyphens/>
              <w:rPr>
                <w:rFonts w:ascii="Times New Roman" w:hAnsi="Times New Roman"/>
                <w:sz w:val="24"/>
              </w:rPr>
            </w:pPr>
            <w:r>
              <w:rPr>
                <w:rFonts w:ascii="Times New Roman" w:hAnsi="Times New Roman"/>
                <w:sz w:val="24"/>
              </w:rPr>
              <w:t>α) η κεφαλαιακή στάθμιση ειδικού κινδύνου που εφαρμόζεται μόνο στις καθαρές θετικές θέσεις (στήλη 0430)·</w:t>
            </w:r>
          </w:p>
          <w:p w14:paraId="7DEA5D32" w14:textId="370772D1" w:rsidR="00C55547" w:rsidRPr="002D60D7" w:rsidRDefault="00A92865" w:rsidP="004C445F">
            <w:pPr>
              <w:suppressAutoHyphens/>
              <w:rPr>
                <w:rFonts w:ascii="Times New Roman" w:hAnsi="Times New Roman"/>
                <w:sz w:val="24"/>
              </w:rPr>
            </w:pPr>
            <w:r>
              <w:rPr>
                <w:rFonts w:ascii="Times New Roman" w:hAnsi="Times New Roman"/>
                <w:sz w:val="24"/>
              </w:rPr>
              <w:t>β) η κεφαλαιακή στάθμιση ειδικού κινδύνου που εφαρμόζεται μόνο στις καθαρές αρνητικές θέσεις (στήλη 0440).</w:t>
            </w:r>
          </w:p>
        </w:tc>
      </w:tr>
      <w:tr w:rsidR="00A92865" w:rsidRPr="002D60D7" w14:paraId="17D4431B" w14:textId="77777777" w:rsidTr="00E10B85">
        <w:tc>
          <w:tcPr>
            <w:tcW w:w="1016" w:type="dxa"/>
          </w:tcPr>
          <w:p w14:paraId="3DE8C69F" w14:textId="77777777" w:rsidR="00A92865" w:rsidRPr="002D60D7" w:rsidRDefault="00A92865" w:rsidP="004C445F">
            <w:pPr>
              <w:suppressAutoHyphens/>
              <w:rPr>
                <w:rFonts w:ascii="Times New Roman" w:hAnsi="Times New Roman"/>
                <w:sz w:val="24"/>
              </w:rPr>
            </w:pPr>
          </w:p>
        </w:tc>
        <w:tc>
          <w:tcPr>
            <w:tcW w:w="7874" w:type="dxa"/>
          </w:tcPr>
          <w:p w14:paraId="26189336" w14:textId="77777777" w:rsidR="00A92865" w:rsidRPr="002D60D7" w:rsidRDefault="00A92865" w:rsidP="004C445F">
            <w:pPr>
              <w:suppressAutoHyphens/>
              <w:rPr>
                <w:rStyle w:val="InstructionsTabelleberschrift"/>
                <w:rFonts w:ascii="Times New Roman" w:hAnsi="Times New Roman"/>
                <w:sz w:val="24"/>
              </w:rPr>
            </w:pPr>
          </w:p>
        </w:tc>
      </w:tr>
    </w:tbl>
    <w:p w14:paraId="4123A762"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p w14:paraId="0FD93711"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8060"/>
      </w:tblGrid>
      <w:tr w:rsidR="00C55547" w:rsidRPr="002D60D7" w14:paraId="0C05A0C6" w14:textId="77777777" w:rsidTr="00E10B85">
        <w:trPr>
          <w:trHeight w:val="642"/>
        </w:trPr>
        <w:tc>
          <w:tcPr>
            <w:tcW w:w="9212" w:type="dxa"/>
            <w:gridSpan w:val="2"/>
            <w:shd w:val="clear" w:color="auto" w:fill="CCCCCC"/>
          </w:tcPr>
          <w:p w14:paraId="1B224033"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Γραμμές</w:t>
            </w:r>
          </w:p>
        </w:tc>
      </w:tr>
      <w:tr w:rsidR="00C55547" w:rsidRPr="002D60D7" w14:paraId="51303CB0" w14:textId="77777777" w:rsidTr="00E10B85">
        <w:tc>
          <w:tcPr>
            <w:tcW w:w="1008" w:type="dxa"/>
          </w:tcPr>
          <w:p w14:paraId="4EF580E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8204" w:type="dxa"/>
          </w:tcPr>
          <w:p w14:paraId="3B5F07DE"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ΣΥΝΟΛΙΚΑ ΑΝΟΙΓΜΑΤΑ</w:t>
            </w:r>
          </w:p>
          <w:p w14:paraId="47BDA358" w14:textId="43CE2ADE" w:rsidR="00C55547" w:rsidRPr="002D60D7" w:rsidRDefault="00C55547" w:rsidP="004C445F">
            <w:pPr>
              <w:suppressAutoHyphens/>
              <w:rPr>
                <w:rFonts w:ascii="Times New Roman" w:hAnsi="Times New Roman"/>
                <w:sz w:val="24"/>
              </w:rPr>
            </w:pPr>
            <w:r>
              <w:rPr>
                <w:rFonts w:ascii="Times New Roman" w:hAnsi="Times New Roman"/>
                <w:sz w:val="24"/>
              </w:rPr>
              <w:lastRenderedPageBreak/>
              <w:t>Συνολικό ποσό εκκρεμών θέσεων (που τηρούνται στο χαρτοφυλάκιο διαπραγμάτευσης συσχετίσεων) τις οποίες αναφέρει το ίδρυμα που διαδραματίζει τον ρόλο της μεταβιβάζουσας οντότητας, του επενδυτή ή της αναδόχου οντότητας.</w:t>
            </w:r>
          </w:p>
        </w:tc>
      </w:tr>
      <w:tr w:rsidR="00C55547" w:rsidRPr="002D60D7" w14:paraId="4F9E3B66" w14:textId="77777777" w:rsidTr="00E10B85">
        <w:tc>
          <w:tcPr>
            <w:tcW w:w="1008" w:type="dxa"/>
          </w:tcPr>
          <w:p w14:paraId="4294FDFC"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0020-0040</w:t>
            </w:r>
          </w:p>
        </w:tc>
        <w:tc>
          <w:tcPr>
            <w:tcW w:w="8204" w:type="dxa"/>
          </w:tcPr>
          <w:p w14:paraId="68E082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ΜΕΤΑΒΙΒΑΖΟΥΣΑ ΟΝΤΟΤΗΤΑ</w:t>
            </w:r>
          </w:p>
          <w:p w14:paraId="07F7FC7F" w14:textId="691C5D11" w:rsidR="00C55547" w:rsidRPr="002D60D7" w:rsidRDefault="00C55547" w:rsidP="004C445F">
            <w:pPr>
              <w:suppressAutoHyphens/>
              <w:rPr>
                <w:rFonts w:ascii="Times New Roman" w:hAnsi="Times New Roman"/>
                <w:sz w:val="24"/>
              </w:rPr>
            </w:pPr>
            <w:r>
              <w:rPr>
                <w:rFonts w:ascii="Times New Roman" w:hAnsi="Times New Roman"/>
                <w:sz w:val="24"/>
              </w:rPr>
              <w:t xml:space="preserve">Άρθρο 4 παράγραφος 1 σημείο 13 του κανονισμού (ΕΕ) αριθ. 575/2013. </w:t>
            </w:r>
          </w:p>
        </w:tc>
      </w:tr>
      <w:tr w:rsidR="00C55547" w:rsidRPr="002D60D7" w14:paraId="1113CFCE" w14:textId="77777777" w:rsidTr="00E10B85">
        <w:tc>
          <w:tcPr>
            <w:tcW w:w="1008" w:type="dxa"/>
          </w:tcPr>
          <w:p w14:paraId="045998C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0050-0070</w:t>
            </w:r>
          </w:p>
        </w:tc>
        <w:tc>
          <w:tcPr>
            <w:tcW w:w="8204" w:type="dxa"/>
          </w:tcPr>
          <w:p w14:paraId="7C4743F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ΕΠΕΝΔΥΤΗΣ</w:t>
            </w:r>
          </w:p>
          <w:p w14:paraId="5507389D" w14:textId="574F527A" w:rsidR="00C55547" w:rsidRPr="002D60D7" w:rsidRDefault="00C55547" w:rsidP="004C445F">
            <w:pPr>
              <w:suppressAutoHyphens/>
              <w:rPr>
                <w:rFonts w:ascii="Times New Roman" w:hAnsi="Times New Roman"/>
                <w:sz w:val="24"/>
              </w:rPr>
            </w:pPr>
            <w:r>
              <w:rPr>
                <w:rFonts w:ascii="Times New Roman" w:hAnsi="Times New Roman"/>
                <w:sz w:val="24"/>
              </w:rPr>
              <w:t>Πιστωτικό ίδρυμα που κατέχει θέση τιτλοποίησης σε συναλλαγή τιτλοποίησης στην οποία δεν είναι ούτε μεταβιβάζουσα οντότητα, ούτε ανάδοχος οντότητα, ούτε αρχικός δανειστής.</w:t>
            </w:r>
          </w:p>
        </w:tc>
      </w:tr>
      <w:tr w:rsidR="00C55547" w:rsidRPr="002D60D7" w14:paraId="3AE4557E" w14:textId="77777777" w:rsidTr="00E10B85">
        <w:tc>
          <w:tcPr>
            <w:tcW w:w="1008" w:type="dxa"/>
          </w:tcPr>
          <w:p w14:paraId="4017D3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0080-0100</w:t>
            </w:r>
          </w:p>
        </w:tc>
        <w:tc>
          <w:tcPr>
            <w:tcW w:w="8204" w:type="dxa"/>
          </w:tcPr>
          <w:p w14:paraId="6D18A74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ΑΝΑΔΟΧΟΣ ΟΝΤΟΤΗΤΑ</w:t>
            </w:r>
          </w:p>
          <w:p w14:paraId="65D6B605" w14:textId="002B3FBA" w:rsidR="005C14B0" w:rsidRPr="002D60D7" w:rsidRDefault="00E64BFE" w:rsidP="004C445F">
            <w:pPr>
              <w:suppressAutoHyphens/>
              <w:rPr>
                <w:rFonts w:ascii="Times New Roman" w:hAnsi="Times New Roman"/>
                <w:sz w:val="24"/>
              </w:rPr>
            </w:pPr>
            <w:r>
              <w:rPr>
                <w:rFonts w:ascii="Times New Roman" w:hAnsi="Times New Roman"/>
                <w:sz w:val="24"/>
              </w:rPr>
              <w:t xml:space="preserve"> Άρθρο 4 παράγραφος 1 σημείο 14 του κανονισμού (ΕΕ) αριθ. 575/2013. </w:t>
            </w:r>
          </w:p>
          <w:p w14:paraId="7911CCA2" w14:textId="77777777" w:rsidR="00C55547" w:rsidRPr="002D60D7" w:rsidRDefault="005F3BBE" w:rsidP="004C445F">
            <w:pPr>
              <w:suppressAutoHyphens/>
              <w:rPr>
                <w:rFonts w:ascii="Times New Roman" w:hAnsi="Times New Roman"/>
                <w:sz w:val="24"/>
              </w:rPr>
            </w:pPr>
            <w:r>
              <w:rPr>
                <w:rFonts w:ascii="Times New Roman" w:hAnsi="Times New Roman"/>
                <w:sz w:val="24"/>
              </w:rPr>
              <w:t>Μια ανάδοχος οντότητα που τιτλοποιεί επίσης δικά της στοιχεία ενεργητικού, συμπληρώνει στις γραμμές που αφορούν τη μεταβιβάζουσα οντότητα πληροφορίες σχετικά με τα δικά της τιτλοποιημένα στοιχεία ενεργητικού.</w:t>
            </w:r>
          </w:p>
        </w:tc>
      </w:tr>
      <w:tr w:rsidR="00C55547" w:rsidRPr="002D60D7" w14:paraId="5A0251A3" w14:textId="77777777" w:rsidTr="00E10B85">
        <w:tc>
          <w:tcPr>
            <w:tcW w:w="1008" w:type="dxa"/>
          </w:tcPr>
          <w:p w14:paraId="64B09950"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 0060 και 0090</w:t>
            </w:r>
          </w:p>
        </w:tc>
        <w:tc>
          <w:tcPr>
            <w:tcW w:w="8204" w:type="dxa"/>
          </w:tcPr>
          <w:p w14:paraId="65F68A65"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ΘΕΣΕΙΣ ΤΙΤΛΟΠΟΙΗΣΗΣ</w:t>
            </w:r>
          </w:p>
          <w:p w14:paraId="3E2839F4" w14:textId="5E373E76" w:rsidR="00C55547" w:rsidRPr="002D60D7" w:rsidRDefault="00C55547" w:rsidP="004C445F">
            <w:pPr>
              <w:suppressAutoHyphens/>
              <w:rPr>
                <w:rFonts w:ascii="Times New Roman" w:hAnsi="Times New Roman"/>
                <w:sz w:val="24"/>
              </w:rPr>
            </w:pPr>
            <w:r>
              <w:rPr>
                <w:rFonts w:ascii="Times New Roman" w:hAnsi="Times New Roman"/>
                <w:sz w:val="24"/>
              </w:rPr>
              <w:t>Το χαρτοφυλάκιο διαπραγμάτευσης συσχετίσεων περιλαμβάνει τιτλοποιήσεις, πιστωτικά παράγωγα νιοστού βαθμού αθέτησης και, ενδεχομένως, άλλες θέσεις αντιστάθμισης που πληρούν τα κριτήρια που καθορίζονται στο άρθρο 338 παράγραφοι 2 και 3 του κανονισμού (ΕΕ) αριθ. 575/2013.</w:t>
            </w:r>
          </w:p>
          <w:p w14:paraId="284429BF" w14:textId="77777777" w:rsidR="00C55547" w:rsidRPr="002D60D7" w:rsidRDefault="00C55547" w:rsidP="004C445F">
            <w:pPr>
              <w:suppressAutoHyphens/>
              <w:rPr>
                <w:rFonts w:ascii="Times New Roman" w:hAnsi="Times New Roman"/>
                <w:sz w:val="24"/>
              </w:rPr>
            </w:pPr>
            <w:r>
              <w:rPr>
                <w:rFonts w:ascii="Times New Roman" w:hAnsi="Times New Roman"/>
                <w:sz w:val="24"/>
              </w:rPr>
              <w:t>Τα παράγωγα ανοιγμάτων τιτλοποίησης που παρέχουν κατ’ αναλογία μερίδιο, καθώς και οι θέσεις που αντισταθμίζουν θέσεις του χαρτοφυλακίου διαπραγμάτευσης συσχετίσεων (CTP), περιλαμβάνονται στη γραμμή «Άλλες θέσεις CTP».</w:t>
            </w:r>
          </w:p>
        </w:tc>
      </w:tr>
      <w:tr w:rsidR="00C55547" w:rsidRPr="002D60D7" w14:paraId="310FE06B" w14:textId="77777777" w:rsidTr="00E10B85">
        <w:tc>
          <w:tcPr>
            <w:tcW w:w="1008" w:type="dxa"/>
          </w:tcPr>
          <w:p w14:paraId="2602BE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8204" w:type="dxa"/>
          </w:tcPr>
          <w:p w14:paraId="5251DCC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ΠΙΣΤΩΤΙΚΑ ΠΑΡΑΓΩΓΑ ΝΙΟΣΤΟΥ ΒΑΘΜΟΥ ΑΘΕΤΗΣΗΣ</w:t>
            </w:r>
          </w:p>
          <w:p w14:paraId="298FC0AB" w14:textId="5115C116" w:rsidR="00C55547" w:rsidRPr="002D60D7" w:rsidRDefault="00C55547" w:rsidP="004C445F">
            <w:pPr>
              <w:suppressAutoHyphens/>
              <w:rPr>
                <w:rFonts w:ascii="Times New Roman" w:hAnsi="Times New Roman"/>
                <w:sz w:val="24"/>
              </w:rPr>
            </w:pPr>
            <w:r>
              <w:rPr>
                <w:rFonts w:ascii="Times New Roman" w:hAnsi="Times New Roman"/>
                <w:sz w:val="24"/>
              </w:rPr>
              <w:t>Στο συγκεκριμένο σημείο αναφέρονται πιστωτικά παράγωγα νιοστού βαθμού αθέτησης που αντισταθμίζονται με πιστωτικά παράγωγα νιοστού βαθμού αθέτησης, σύμφωνα με το άρθρο 347 του κανονισμού (ΕΕ) αριθ. 575/2013.</w:t>
            </w:r>
          </w:p>
          <w:p w14:paraId="0ADF3C10" w14:textId="08643021" w:rsidR="00C55547" w:rsidRPr="002D60D7" w:rsidRDefault="00C55547" w:rsidP="004C445F">
            <w:pPr>
              <w:suppressAutoHyphens/>
              <w:rPr>
                <w:rFonts w:ascii="Times New Roman" w:hAnsi="Times New Roman"/>
                <w:sz w:val="24"/>
              </w:rPr>
            </w:pPr>
            <w:r>
              <w:rPr>
                <w:rFonts w:ascii="Times New Roman" w:hAnsi="Times New Roman"/>
                <w:sz w:val="24"/>
              </w:rPr>
              <w:t>Οι θέσεις μεταβιβάζουσας οντότητας, επενδυτή και αναδόχου οντότητας δεν είναι κατάλληλες για πιστωτικά παράγωγα νιοστού βαθμού αθέτησης. Κατά συνέπεια, δεν θα υπάρχει κατανομή, όπως για τις θέσεις τιτλοποίησης, για τα πιστωτικά παράγωγα νιοστού βαθμού αθέτησης.</w:t>
            </w:r>
          </w:p>
        </w:tc>
      </w:tr>
      <w:tr w:rsidR="00C55547" w:rsidRPr="002D60D7" w14:paraId="3804EA7A" w14:textId="77777777" w:rsidTr="00E10B85">
        <w:tc>
          <w:tcPr>
            <w:tcW w:w="1008" w:type="dxa"/>
          </w:tcPr>
          <w:p w14:paraId="492141F6"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0100 και 0120</w:t>
            </w:r>
          </w:p>
        </w:tc>
        <w:tc>
          <w:tcPr>
            <w:tcW w:w="8204" w:type="dxa"/>
          </w:tcPr>
          <w:p w14:paraId="1BEC531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ΑΛΛΕΣ ΘΕΣΕΙΣ CTP</w:t>
            </w:r>
          </w:p>
          <w:p w14:paraId="543C28DD" w14:textId="77777777" w:rsidR="00C55547" w:rsidRPr="002D60D7" w:rsidRDefault="00C55547" w:rsidP="004C445F">
            <w:pPr>
              <w:suppressAutoHyphens/>
              <w:rPr>
                <w:rFonts w:ascii="Times New Roman" w:hAnsi="Times New Roman"/>
                <w:sz w:val="24"/>
              </w:rPr>
            </w:pPr>
            <w:r>
              <w:rPr>
                <w:rFonts w:ascii="Times New Roman" w:hAnsi="Times New Roman"/>
                <w:sz w:val="24"/>
              </w:rPr>
              <w:t xml:space="preserve">Συμπεριλαμβάνονται οι ακόλουθες θέσεις: </w:t>
            </w:r>
          </w:p>
          <w:p w14:paraId="009DBFDC" w14:textId="71465A30" w:rsidR="002272E2"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παράγωγα ανοιγμάτων τιτλοποίησης που παρέχουν κατ’ αναλογία μερίδιο, καθώς και οι θέσεις που αντισταθμίζουν θέσεις του χαρτοφυλακίου διαπραγμάτευσης συσχετίσεων (CTP)·</w:t>
            </w:r>
          </w:p>
          <w:p w14:paraId="6225E087" w14:textId="0E1CE11C" w:rsidR="002272E2" w:rsidRPr="002D60D7" w:rsidRDefault="00C55547"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θέσεις του χαρτοφυλακίου διαπραγμάτευσης συσχετίσεων που αντισταθμίζονται από πιστωτικά παράγωγα, σύμφωνα με το άρθρο 346 του κανονισμού (ΕΕ) αριθ. 575/2013·</w:t>
            </w:r>
          </w:p>
          <w:p w14:paraId="37D9C26F" w14:textId="118835A5" w:rsidR="00C55547"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lastRenderedPageBreak/>
              <w:t>άλλες θέσεις που πληρούν τις απαιτήσεις του άρθρου 338 παράγραφος 3 του κανονισμού (ΕΕ) αριθ. 575/2013.</w:t>
            </w:r>
          </w:p>
        </w:tc>
      </w:tr>
    </w:tbl>
    <w:p w14:paraId="2FA40F1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3E44EE8" w14:textId="0CB90CC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4" w:name="_Toc262566429"/>
      <w:bookmarkStart w:id="95" w:name="_Toc295830005"/>
      <w:bookmarkStart w:id="96" w:name="_Toc308426682"/>
      <w:bookmarkStart w:id="97" w:name="_Toc310415066"/>
      <w:bookmarkStart w:id="98" w:name="_Toc360188401"/>
      <w:bookmarkStart w:id="99" w:name="_Toc473561041"/>
      <w:bookmarkStart w:id="100" w:name="_Toc210914194"/>
      <w:r>
        <w:rPr>
          <w:rFonts w:ascii="Times New Roman" w:hAnsi="Times New Roman"/>
          <w:sz w:val="24"/>
          <w:u w:val="none"/>
        </w:rPr>
        <w:t>5.</w:t>
      </w:r>
      <w:r w:rsidRPr="00861C69">
        <w:rPr>
          <w:u w:val="none"/>
        </w:rPr>
        <w:tab/>
      </w:r>
      <w:r>
        <w:rPr>
          <w:rFonts w:ascii="Times New Roman" w:hAnsi="Times New Roman"/>
          <w:sz w:val="24"/>
        </w:rPr>
        <w:t>C 21.00 – Κίνδυνος Αγοράς: Τυποποιημένη προσέγγιση για τον κίνδυνο θέσης σε μετοχικά κεφάλαια</w:t>
      </w:r>
      <w:bookmarkEnd w:id="94"/>
      <w:bookmarkEnd w:id="95"/>
      <w:bookmarkEnd w:id="96"/>
      <w:bookmarkEnd w:id="97"/>
      <w:bookmarkEnd w:id="98"/>
      <w:r>
        <w:rPr>
          <w:rFonts w:ascii="Times New Roman" w:hAnsi="Times New Roman"/>
          <w:sz w:val="24"/>
        </w:rPr>
        <w:t xml:space="preserve"> (MKR SA EQU)</w:t>
      </w:r>
      <w:bookmarkEnd w:id="99"/>
      <w:bookmarkEnd w:id="100"/>
    </w:p>
    <w:p w14:paraId="28B3FACA" w14:textId="344FF54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1" w:name="_Toc262566430"/>
      <w:bookmarkStart w:id="102" w:name="_Toc295830006"/>
      <w:bookmarkStart w:id="103" w:name="_Toc308426683"/>
      <w:bookmarkStart w:id="104" w:name="_Toc310415067"/>
      <w:bookmarkStart w:id="105" w:name="_Toc360188402"/>
      <w:bookmarkStart w:id="106" w:name="_Toc473561042"/>
      <w:bookmarkStart w:id="107" w:name="_Toc210914195"/>
      <w:r>
        <w:rPr>
          <w:rFonts w:ascii="Times New Roman" w:hAnsi="Times New Roman"/>
          <w:sz w:val="24"/>
          <w:u w:val="none"/>
        </w:rPr>
        <w:t>5.1.</w:t>
      </w:r>
      <w:r w:rsidRPr="00861C69">
        <w:rPr>
          <w:u w:val="none"/>
        </w:rPr>
        <w:tab/>
      </w:r>
      <w:r>
        <w:rPr>
          <w:rFonts w:ascii="Times New Roman" w:hAnsi="Times New Roman"/>
          <w:sz w:val="24"/>
        </w:rPr>
        <w:t>Γενικές παρατηρήσεις</w:t>
      </w:r>
      <w:bookmarkEnd w:id="101"/>
      <w:bookmarkEnd w:id="102"/>
      <w:bookmarkEnd w:id="103"/>
      <w:bookmarkEnd w:id="104"/>
      <w:bookmarkEnd w:id="105"/>
      <w:bookmarkEnd w:id="106"/>
      <w:bookmarkEnd w:id="107"/>
    </w:p>
    <w:p w14:paraId="1BA8EF6D" w14:textId="368B1B75" w:rsidR="000B0B09" w:rsidRPr="002D60D7" w:rsidRDefault="000B0B09" w:rsidP="00E172EA">
      <w:pPr>
        <w:pStyle w:val="InstructionsText2"/>
        <w:numPr>
          <w:ilvl w:val="0"/>
          <w:numId w:val="29"/>
        </w:numPr>
        <w:suppressAutoHyphens/>
      </w:pPr>
      <w:r>
        <w:t>Στο συγκεκριμένο υπόδειγμα ζητούνται πληροφορίες για τις θέσεις και τις αντίστοιχες απαιτήσεις ιδίων κεφαλαίων για τον κίνδυνο θέσης σε μετοχικά κεφάλαια, που τηρούνται στο χαρτοφυλάκιο συναλλαγών και αντιμετωπίζονται βάσει της τυποποιημένης προσέγγισης.</w:t>
      </w:r>
    </w:p>
    <w:p w14:paraId="3AF5EC7C" w14:textId="570FEDBA" w:rsidR="00B828CC" w:rsidRPr="002D60D7" w:rsidRDefault="000B0B09" w:rsidP="00E172EA">
      <w:pPr>
        <w:pStyle w:val="InstructionsText2"/>
        <w:numPr>
          <w:ilvl w:val="0"/>
          <w:numId w:val="29"/>
        </w:numPr>
        <w:suppressAutoHyphens/>
      </w:pPr>
      <w:r>
        <w:t>Το υπόδειγμα αυτό συμπληρώνεται χωριστά για το «Σύνολο», καθώς και για έναν στατικό προκαθορισμένο κατάλογο των ακόλουθων αγορών: Βουλγαρία, Τσεχική Δημοκρατία, Δανία, Αίγυπτος, Ουγγαρία, Ισλανδία, Λιχτενστάιν, Νορβηγία, Πολωνία, Ρουμανία, Σουηδία, Ηνωμένο Βασίλειο, Αλβανία, Ιαπωνία, πρώην Γιουγκοσλαβική Δημοκρατία της Μακεδονίας, Ρωσική Ομοσπονδία, Σερβία, Ελβετία, Τουρκία, Ουκρανία, ΗΠΑ, Ζώνη του ευρώ, ενώ συμπληρώνεται και ένα εναπομένον υπόδειγμα για όλες τις άλλες αγορές. Για την παρούσα απαίτηση υποβολής αναφοράς, ο όρος «αγορά» σημαίνει «χώρα» (με εξαίρεση τις χώρες που ανήκουν στη ζώνη του ευρώ, βλέπε κατ’ εξουσιοδότηση κανονισμό (ΕΕ) αριθ. 525/2014 της Επιτροπής</w:t>
      </w:r>
      <w:r>
        <w:rPr>
          <w:rStyle w:val="FootnoteReference"/>
        </w:rPr>
        <w:footnoteReference w:id="2"/>
      </w:r>
      <w:r>
        <w:t>).</w:t>
      </w:r>
    </w:p>
    <w:p w14:paraId="077E1A41" w14:textId="7E9E2DA4"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8" w:name="_Toc262566431"/>
      <w:bookmarkStart w:id="109" w:name="_Toc295830007"/>
      <w:bookmarkStart w:id="110" w:name="_Toc308426684"/>
      <w:bookmarkStart w:id="111" w:name="_Toc310415068"/>
      <w:bookmarkStart w:id="112" w:name="_Toc360188403"/>
      <w:bookmarkStart w:id="113" w:name="_Toc473561043"/>
      <w:bookmarkStart w:id="114" w:name="_Toc210914196"/>
      <w:r>
        <w:rPr>
          <w:rFonts w:ascii="Times New Roman" w:hAnsi="Times New Roman"/>
          <w:sz w:val="24"/>
          <w:u w:val="none"/>
        </w:rPr>
        <w:t>5.2.</w:t>
      </w:r>
      <w:r w:rsidRPr="00861C69">
        <w:rPr>
          <w:u w:val="none"/>
        </w:rPr>
        <w:tab/>
      </w:r>
      <w:r>
        <w:rPr>
          <w:rFonts w:ascii="Times New Roman" w:hAnsi="Times New Roman"/>
          <w:sz w:val="24"/>
        </w:rPr>
        <w:t>Οδηγίες για συγκεκριμένες θέσεις</w:t>
      </w:r>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2ADAFC61" w14:textId="77777777" w:rsidTr="00672D2A">
        <w:trPr>
          <w:trHeight w:val="626"/>
        </w:trPr>
        <w:tc>
          <w:tcPr>
            <w:tcW w:w="8862" w:type="dxa"/>
            <w:gridSpan w:val="2"/>
            <w:shd w:val="clear" w:color="auto" w:fill="CCCCCC"/>
          </w:tcPr>
          <w:p w14:paraId="0BC1F4DA"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Στήλες</w:t>
            </w:r>
          </w:p>
        </w:tc>
      </w:tr>
      <w:tr w:rsidR="000B0B09" w:rsidRPr="002D60D7" w14:paraId="1B6DCA2D" w14:textId="77777777" w:rsidTr="00672D2A">
        <w:tc>
          <w:tcPr>
            <w:tcW w:w="988" w:type="dxa"/>
          </w:tcPr>
          <w:p w14:paraId="2E10DD0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7FBE31B"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b/>
                <w:sz w:val="24"/>
                <w:u w:val="single"/>
              </w:rPr>
              <w:t>ΟΛΕΣ ΟΙ ΘΕΣΕΙΣ (ΘΕΤΙΚΕΣ ΚΑΙ ΑΡΝΗΤΙΚΕΣ)</w:t>
            </w:r>
          </w:p>
          <w:p w14:paraId="754457ED" w14:textId="6411188D"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Άρθρο 102 και άρθρο 105 παράγραφος 1 του κανονισμού (ΕΕ) αριθ. 575/2013. </w:t>
            </w:r>
          </w:p>
          <w:p w14:paraId="59EE061F" w14:textId="31066C7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Πρόκειται για ακαθάριστες θέσεις που δεν έχουν συμψηφιστεί με τίτλους αφαιρώντας τις θέσεις αναδοχής που έχουν αναληφθεί ή υποαναληφθεί από τρίτους, όπως προβλέπεται στο άρθρο 345 παράγραφος 1 πρώτο εδάφιο δεύτερη περίοδος του εν λόγω κανονισμού. </w:t>
            </w:r>
          </w:p>
        </w:tc>
      </w:tr>
      <w:tr w:rsidR="000B0B09" w:rsidRPr="002D60D7" w14:paraId="518A8218" w14:textId="77777777" w:rsidTr="00672D2A">
        <w:tc>
          <w:tcPr>
            <w:tcW w:w="988" w:type="dxa"/>
          </w:tcPr>
          <w:p w14:paraId="5DF1DDF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0030-0040 </w:t>
            </w:r>
          </w:p>
        </w:tc>
        <w:tc>
          <w:tcPr>
            <w:tcW w:w="7874" w:type="dxa"/>
          </w:tcPr>
          <w:p w14:paraId="22DC25D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ΚΑΘΑΡΕΣ ΘΕΣΕΙΣ (ΘΕΤΙΚΕΣ ΚΑΙ ΑΡΝΗΤΙΚΕΣ)</w:t>
            </w:r>
          </w:p>
          <w:p w14:paraId="72A57BC7" w14:textId="1B6E0BBC"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Άρθρο 327, 329, 332, 341 και 345 του ΚΚΑ του κανονισμού (ΕΕ) αριθ. 575/2013. </w:t>
            </w:r>
          </w:p>
        </w:tc>
      </w:tr>
      <w:tr w:rsidR="000B0B09" w:rsidRPr="002D60D7" w14:paraId="1ED40A34" w14:textId="77777777" w:rsidTr="00672D2A">
        <w:tc>
          <w:tcPr>
            <w:tcW w:w="988" w:type="dxa"/>
          </w:tcPr>
          <w:p w14:paraId="49ADB5D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262B96" w14:textId="77777777" w:rsidR="000B0B09" w:rsidRPr="002D60D7" w:rsidRDefault="000B0B09" w:rsidP="004C445F">
            <w:pPr>
              <w:tabs>
                <w:tab w:val="left" w:pos="579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ΘΕΣΕΙΣ ΠΟΥ ΥΠΟΚΕΙΝΤΑΙ ΣΕ ΚΕΦΑΛΑΙΑΚΗ ΕΠΙΒΑΡΥΝΣΗ</w:t>
            </w:r>
          </w:p>
          <w:p w14:paraId="5B62E698" w14:textId="1711E988"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 xml:space="preserve">Οι καθαρές θέσεις οι οποίες, σύμφωνα με τις διαφορετικές προσεγγίσεις που εξετάζονται στο τρίτο μέρος τίτλος IV κεφάλαιο 2 του κανονισμού (ΕΕ) αριθ. 575/2013, υπόκεινται σε κεφαλαιακή επιβάρυνση. Η κεφαλαιακή </w:t>
            </w:r>
            <w:r>
              <w:rPr>
                <w:rFonts w:ascii="Times New Roman" w:hAnsi="Times New Roman"/>
                <w:sz w:val="24"/>
              </w:rPr>
              <w:lastRenderedPageBreak/>
              <w:t>επιβάρυνση υπολογίζεται χωριστά για κάθε εθνική αγορά. Οι θέσεις σε συμβόλαια μελλοντικής εκπλήρωσης επί δείκτη μετοχών, όπως προβλέπεται στο άρθρο 344 παράγραφος 4 δεύτερη περίοδος του κανονισμού (ΕΕ) αριθ. 575/2013, δεν περιλαμβάνονται στη συγκεκριμένη στήλη.</w:t>
            </w:r>
          </w:p>
          <w:p w14:paraId="7C352B8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7DD60D2" w14:textId="77777777" w:rsidTr="00672D2A">
        <w:tc>
          <w:tcPr>
            <w:tcW w:w="988" w:type="dxa"/>
          </w:tcPr>
          <w:p w14:paraId="479821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0060</w:t>
            </w:r>
          </w:p>
        </w:tc>
        <w:tc>
          <w:tcPr>
            <w:tcW w:w="7874" w:type="dxa"/>
          </w:tcPr>
          <w:p w14:paraId="3258053C"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ΑΠΑΙΤΗΣΕΙΣ ΙΔΙΩΝ ΚΕΦΑΛΑΙΩΝ</w:t>
            </w:r>
          </w:p>
          <w:p w14:paraId="75CDA27D" w14:textId="087571B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Η απαίτηση ιδίων κεφαλαίων σύμφωνα με το τρίτο μέρος τίτλος IV κεφάλαιο 2 του κανονισμού (ΕΕ) αριθ. 575/2013 για κάθε σχετική θέση</w:t>
            </w:r>
          </w:p>
          <w:p w14:paraId="6CDF917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2F4C373" w14:textId="77777777" w:rsidTr="00672D2A">
        <w:tc>
          <w:tcPr>
            <w:tcW w:w="988" w:type="dxa"/>
          </w:tcPr>
          <w:p w14:paraId="62D82E3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1A727463"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ΣΥΝΟΛΙΚΟ ΠΟΣΟ ΑΝΟΙΓΜΑΤΟΣ ΣΕ ΚΙΝΔΥΝΟ</w:t>
            </w:r>
          </w:p>
          <w:p w14:paraId="33E7C378" w14:textId="4FC9A55B" w:rsidR="00E64BFE" w:rsidRPr="002D60D7" w:rsidRDefault="000B0B09" w:rsidP="004C445F">
            <w:pPr>
              <w:tabs>
                <w:tab w:val="left" w:pos="1665"/>
              </w:tabs>
              <w:suppressAutoHyphens/>
              <w:autoSpaceDE w:val="0"/>
              <w:autoSpaceDN w:val="0"/>
              <w:adjustRightInd w:val="0"/>
              <w:spacing w:after="0"/>
              <w:rPr>
                <w:rFonts w:ascii="Times New Roman" w:hAnsi="Times New Roman"/>
                <w:sz w:val="24"/>
              </w:rPr>
            </w:pPr>
            <w:r>
              <w:rPr>
                <w:rFonts w:ascii="Times New Roman" w:hAnsi="Times New Roman"/>
                <w:sz w:val="24"/>
              </w:rPr>
              <w:t xml:space="preserve">Άρθρο 92 παράγραφος 6 στοιχείο β) του κανονισμού (ΕΕ) αριθ. 575/2013. </w:t>
            </w:r>
          </w:p>
          <w:p w14:paraId="5D42B3B3" w14:textId="77777777"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 xml:space="preserve">Αποτέλεσμα του πολλαπλασιασμού των απαιτήσεων ιδίων κεφαλαίων επί 12,5. </w:t>
            </w:r>
          </w:p>
        </w:tc>
      </w:tr>
    </w:tbl>
    <w:p w14:paraId="62FB026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8060"/>
      </w:tblGrid>
      <w:tr w:rsidR="000B0B09" w:rsidRPr="002D60D7" w14:paraId="4775591D" w14:textId="77777777" w:rsidTr="00672D2A">
        <w:trPr>
          <w:trHeight w:val="662"/>
        </w:trPr>
        <w:tc>
          <w:tcPr>
            <w:tcW w:w="9212" w:type="dxa"/>
            <w:gridSpan w:val="2"/>
            <w:shd w:val="clear" w:color="auto" w:fill="CCCCCC"/>
          </w:tcPr>
          <w:p w14:paraId="5298B570"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Γραμμές</w:t>
            </w:r>
          </w:p>
        </w:tc>
      </w:tr>
      <w:tr w:rsidR="000B0B09" w:rsidRPr="002D60D7" w14:paraId="7546B05C" w14:textId="77777777" w:rsidTr="00672D2A">
        <w:tc>
          <w:tcPr>
            <w:tcW w:w="1008" w:type="dxa"/>
          </w:tcPr>
          <w:p w14:paraId="7BE875B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0010-0130</w:t>
            </w:r>
          </w:p>
        </w:tc>
        <w:tc>
          <w:tcPr>
            <w:tcW w:w="8204" w:type="dxa"/>
          </w:tcPr>
          <w:p w14:paraId="1FF7DE1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ΜΕΤΟΧΕΣ ΕΝΤΟΣ ΧΑΡΤΟΦΥΛΑΚΙΟΥ ΣΥΝΑΛΛΑΓΩΝ</w:t>
            </w:r>
          </w:p>
          <w:p w14:paraId="030F1935" w14:textId="785DC9DE"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Απαιτήσεις ιδίων κεφαλαίων για τον κίνδυνο θέσης, όπως προβλέπεται στο άρθρο 92 παράγραφος 3 στοιχείο β) i) του κανονισμού (ΕΕ) αριθ. 575/2013 και στο τρίτο μέρος τίτλος IV κεφάλαιο 2 τμήμα 3 του εν λόγω κανονισμού</w:t>
            </w:r>
          </w:p>
        </w:tc>
      </w:tr>
      <w:tr w:rsidR="000B0B09" w:rsidRPr="002D60D7" w14:paraId="06FCC7F1" w14:textId="77777777" w:rsidTr="00672D2A">
        <w:tc>
          <w:tcPr>
            <w:tcW w:w="1008" w:type="dxa"/>
          </w:tcPr>
          <w:p w14:paraId="33E8BCC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0020-0040</w:t>
            </w:r>
          </w:p>
        </w:tc>
        <w:tc>
          <w:tcPr>
            <w:tcW w:w="8204" w:type="dxa"/>
          </w:tcPr>
          <w:p w14:paraId="029ED2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ΓΕΝΙΚΟΣ ΚΙΝΔΥΝΟΣ</w:t>
            </w:r>
          </w:p>
          <w:p w14:paraId="21F94335" w14:textId="41165158"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Θέσεις σε μετοχές που υπόκεινται σε γενικό κίνδυνο [άρθρο 343 του κανονισμού (ΕΕ) αριθ. 575/2013] και οι αντίστοιχες απαιτήσεις ιδίων κεφαλαίων τους, σύμφωνα με το τρίτο μέρος τίτλος IV κεφάλαιο 2 τμήμα 3 του εν λόγω κανονισμού </w:t>
            </w:r>
          </w:p>
          <w:p w14:paraId="729400AD" w14:textId="77777777" w:rsidR="001E0C8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Αμφότερες οι κατανομές (γραμμές 0021/0022, καθώς και γραμμές 0030/0040) είναι κατανομές σε σχέση με όλες τις θέσεις που υπόκεινται σε γενικό κίνδυνο.</w:t>
            </w:r>
          </w:p>
          <w:p w14:paraId="32EAD513" w14:textId="77777777" w:rsidR="004E2725"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Στις γραμμές 0021 και 0022 ζητούνται πληροφορίες σχετικά με την κατανομή ανά μέσο. </w:t>
            </w:r>
          </w:p>
          <w:p w14:paraId="75FD06DA" w14:textId="77777777"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Μόνο η κατανομή στις γραμμές 0030 και 0040 χρησιμοποιείται ως βάση για τον υπολογισμό των απαιτήσεων ιδίων κεφαλαίων.</w:t>
            </w:r>
          </w:p>
        </w:tc>
      </w:tr>
      <w:tr w:rsidR="000B0B09" w:rsidRPr="002D60D7" w14:paraId="7E2E7066" w14:textId="77777777" w:rsidTr="00672D2A">
        <w:tc>
          <w:tcPr>
            <w:tcW w:w="1008" w:type="dxa"/>
          </w:tcPr>
          <w:p w14:paraId="2A8F2E0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0021</w:t>
            </w:r>
          </w:p>
        </w:tc>
        <w:tc>
          <w:tcPr>
            <w:tcW w:w="8204" w:type="dxa"/>
          </w:tcPr>
          <w:p w14:paraId="51E4EB2D"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Παράγωγα</w:t>
            </w:r>
          </w:p>
          <w:p w14:paraId="561EFF21" w14:textId="424FAD2D"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Παράγωγα που περιλαμβάνονται στον υπολογισμό του κινδύνου μετοχικών τίτλων των θέσεων του χαρτοφυλακίου συναλλαγών, λαμβανομένων υπόψη των άρθρων 329 και 332 του κανονισμού (ΕΕ) αριθ. 575/2013, κατά περίπτωση.</w:t>
            </w:r>
          </w:p>
        </w:tc>
      </w:tr>
      <w:tr w:rsidR="000B0B09" w:rsidRPr="002D60D7" w14:paraId="70CC2A6A" w14:textId="77777777" w:rsidTr="00672D2A">
        <w:tc>
          <w:tcPr>
            <w:tcW w:w="1008" w:type="dxa"/>
          </w:tcPr>
          <w:p w14:paraId="569AE9F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0022</w:t>
            </w:r>
          </w:p>
        </w:tc>
        <w:tc>
          <w:tcPr>
            <w:tcW w:w="8204" w:type="dxa"/>
          </w:tcPr>
          <w:p w14:paraId="100EC51C"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Άλλα στοιχεία του ενεργητικού και του παθητικού</w:t>
            </w:r>
          </w:p>
          <w:p w14:paraId="21AC79DF"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Τίτλοι, εκτός των παραγώγων, που περιλαμβάνονται στον υπολογισμό του κινδύνου μετοχικών τίτλων των θέσεων του χαρτοφυλακίου συναλλαγών. </w:t>
            </w:r>
          </w:p>
        </w:tc>
      </w:tr>
      <w:tr w:rsidR="000B0B09" w:rsidRPr="002D60D7" w14:paraId="2ECBC519" w14:textId="77777777" w:rsidTr="00672D2A">
        <w:tc>
          <w:tcPr>
            <w:tcW w:w="1008" w:type="dxa"/>
          </w:tcPr>
          <w:p w14:paraId="63840C82"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8204" w:type="dxa"/>
          </w:tcPr>
          <w:p w14:paraId="5BE0B58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Διαπραγματεύσιμα στο χρηματιστήριο συμβόλαια μελλοντικής εκπλήρωσης επί δείκτη μετοχών ευρέως διαφοροποιημένα που υπόκεινται σε ειδική προσέγγιση</w:t>
            </w:r>
          </w:p>
          <w:p w14:paraId="56A22316" w14:textId="77777777" w:rsidR="005C14B0"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lastRenderedPageBreak/>
              <w:t>Διαπραγματεύσιμα στο χρηματιστήριο συμβόλαια μελλοντικής εκπλήρωσης επί δείκτη μετοχών ευρέως διαφοροποιημένα που υπόκεινται σε ειδική προσέγγιση, σύμφωνα με τον εκτελεστικό κανονισμό (ΕΕ) αριθ. 945/2014 της Επιτροπής</w:t>
            </w:r>
            <w:r>
              <w:rPr>
                <w:rStyle w:val="FootnoteReference"/>
              </w:rPr>
              <w:footnoteReference w:id="3"/>
            </w:r>
          </w:p>
          <w:p w14:paraId="2528F1AA" w14:textId="103B7503"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Οι θέσεις αυτές υπόκεινται μόνο σε γενικό κίνδυνο και, επομένως, δεν αναφέρονται στη γραμμή 0050.</w:t>
            </w:r>
          </w:p>
        </w:tc>
      </w:tr>
      <w:tr w:rsidR="000B0B09" w:rsidRPr="002D60D7" w14:paraId="132F7A31" w14:textId="77777777" w:rsidTr="00672D2A">
        <w:tc>
          <w:tcPr>
            <w:tcW w:w="1008" w:type="dxa"/>
          </w:tcPr>
          <w:p w14:paraId="5A552EB7"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0040</w:t>
            </w:r>
          </w:p>
        </w:tc>
        <w:tc>
          <w:tcPr>
            <w:tcW w:w="8204" w:type="dxa"/>
          </w:tcPr>
          <w:p w14:paraId="10EE0C2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Άλλες μετοχές πλην των διαπραγματεύσιμων στο χρηματιστήριο συμβολαίων μελλοντικής εκπλήρωσης επί δείκτη μετοχών ευρέως διαφοροποιημένων</w:t>
            </w:r>
          </w:p>
          <w:p w14:paraId="17542C2D" w14:textId="5412BB06"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Άλλες θέσεις σε μετοχές που υπόκεινται σε ειδικό κίνδυνο και οι αντίστοιχες απαιτήσεις ιδίων κεφαλαίων σύμφωνα με το άρθρο 343 του κανονισμού (ΕΕ) αριθ. 575/2013, συμπεριλαμβανομένων των θέσεων σε συμβόλαια μελλοντικής εκπλήρωσης επί δείκτη μετοχών που αντιμετωπίζονται σύμφωνα με το άρθρο 344 παράγραφος 3 του εν λόγω κανονισμού.</w:t>
            </w:r>
          </w:p>
        </w:tc>
      </w:tr>
      <w:tr w:rsidR="000B0B09" w:rsidRPr="002D60D7" w14:paraId="10C7ACD9" w14:textId="77777777" w:rsidTr="00672D2A">
        <w:tc>
          <w:tcPr>
            <w:tcW w:w="1008" w:type="dxa"/>
          </w:tcPr>
          <w:p w14:paraId="1F6F53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0050 </w:t>
            </w:r>
          </w:p>
        </w:tc>
        <w:tc>
          <w:tcPr>
            <w:tcW w:w="8204" w:type="dxa"/>
          </w:tcPr>
          <w:p w14:paraId="0CF5CE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ΕΙΔΙΚΟΣ ΚΙΝΔΥΝΟΣ</w:t>
            </w:r>
          </w:p>
          <w:p w14:paraId="4CFFEA2D" w14:textId="693CE9A9"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Θέσεις σε μετοχές που υπόκεινται σε ειδικό κίνδυνο και η αντίστοιχη απαίτηση ιδίων κεφαλαίων σύμφωνα με το άρθρο 342 του κανονισμού (ΕΕ) αριθ. 575/2013, εξαιρουμένων των θέσεων σε συμβόλαια μελλοντικής εκπλήρωσης επί δείκτη μετοχών που αντιμετωπίζονται σύμφωνα με το άρθρο 344 παράγραφος 4 δεύτερη περίοδος του εν λόγω κανονισμού. </w:t>
            </w:r>
          </w:p>
        </w:tc>
      </w:tr>
      <w:tr w:rsidR="000B0B09" w:rsidRPr="002D60D7" w14:paraId="63780725" w14:textId="77777777" w:rsidTr="00672D2A">
        <w:tc>
          <w:tcPr>
            <w:tcW w:w="1008" w:type="dxa"/>
          </w:tcPr>
          <w:p w14:paraId="573EB4E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0090-0130</w:t>
            </w:r>
          </w:p>
        </w:tc>
        <w:tc>
          <w:tcPr>
            <w:tcW w:w="8204" w:type="dxa"/>
          </w:tcPr>
          <w:p w14:paraId="1BAF0B5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ΠΡΟΣΘΕΤΕΣ ΑΠΑΙΤΗΣΕΙΣ ΓΙΑ ΤΑ ΔΙΚΑΙΩΜΑΤΑ ΠΡΟΑΙΡΕΣΗΣ (ΚΙΝΔΥΝΟΙ ΠΟΥ ΔΕΝ ΥΠΟΚΕΙΝΤΑΙ ΣΤΟΝ ΣΥΝΤΕΛΕΣΤΗ ΔΕΛΤΑ)</w:t>
            </w:r>
          </w:p>
          <w:p w14:paraId="2552C107" w14:textId="66B48CCE"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Άρθρο 329 παράγραφοι 2 και 3 του κανονισμού (ΕΕ) αριθ. 575/2013. </w:t>
            </w:r>
          </w:p>
          <w:p w14:paraId="72C3FAC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Οι πρόσθετες απαιτήσεις για τα δικαιώματα προαίρεσης που σχετίζονται με κινδύνους που δεν υπόκεινται στον συντελεστή δέλτα αναφέρονται στη μέθοδο που χρησιμοποιείται για τον υπολογισμό τους.</w:t>
            </w:r>
          </w:p>
        </w:tc>
      </w:tr>
    </w:tbl>
    <w:p w14:paraId="0EB6FD79"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1D26B512" w14:textId="2E1A7FF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15" w:name="_Toc262566432"/>
      <w:bookmarkStart w:id="116" w:name="_Toc295830008"/>
      <w:bookmarkStart w:id="117" w:name="_Toc308426685"/>
      <w:bookmarkStart w:id="118" w:name="_Toc310415069"/>
      <w:bookmarkStart w:id="119" w:name="_Toc360188404"/>
      <w:bookmarkStart w:id="120" w:name="_Toc473561044"/>
      <w:bookmarkStart w:id="121" w:name="_Toc210914197"/>
      <w:r>
        <w:rPr>
          <w:rFonts w:ascii="Times New Roman" w:hAnsi="Times New Roman"/>
          <w:sz w:val="24"/>
          <w:u w:val="none"/>
        </w:rPr>
        <w:t>6.</w:t>
      </w:r>
      <w:r w:rsidRPr="00861C69">
        <w:rPr>
          <w:u w:val="none"/>
        </w:rPr>
        <w:tab/>
      </w:r>
      <w:r>
        <w:rPr>
          <w:rFonts w:ascii="Times New Roman" w:hAnsi="Times New Roman"/>
          <w:sz w:val="24"/>
        </w:rPr>
        <w:t>C 22.00 – Κίνδυνος Αγοράς: Τυποποιημένες προσεγγίσεις για τον κίνδυνο συναλλάγματος</w:t>
      </w:r>
      <w:bookmarkEnd w:id="115"/>
      <w:bookmarkEnd w:id="116"/>
      <w:bookmarkEnd w:id="117"/>
      <w:bookmarkEnd w:id="118"/>
      <w:bookmarkEnd w:id="119"/>
      <w:r>
        <w:rPr>
          <w:rFonts w:ascii="Times New Roman" w:hAnsi="Times New Roman"/>
          <w:sz w:val="24"/>
        </w:rPr>
        <w:t xml:space="preserve"> (MKR SA FX)</w:t>
      </w:r>
      <w:bookmarkEnd w:id="120"/>
      <w:bookmarkEnd w:id="121"/>
    </w:p>
    <w:p w14:paraId="70FD2A29" w14:textId="503A292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22" w:name="_Toc262566433"/>
      <w:bookmarkStart w:id="123" w:name="_Toc295830009"/>
      <w:bookmarkStart w:id="124" w:name="_Toc308426686"/>
      <w:bookmarkStart w:id="125" w:name="_Toc310415070"/>
      <w:bookmarkStart w:id="126" w:name="_Toc360188405"/>
      <w:bookmarkStart w:id="127" w:name="_Toc473561045"/>
      <w:bookmarkStart w:id="128" w:name="_Toc210914198"/>
      <w:r>
        <w:rPr>
          <w:rFonts w:ascii="Times New Roman" w:hAnsi="Times New Roman"/>
          <w:sz w:val="24"/>
          <w:u w:val="none"/>
        </w:rPr>
        <w:t>6.1.</w:t>
      </w:r>
      <w:r w:rsidRPr="00861C69">
        <w:rPr>
          <w:u w:val="none"/>
        </w:rPr>
        <w:tab/>
      </w:r>
      <w:r>
        <w:rPr>
          <w:rFonts w:ascii="Times New Roman" w:hAnsi="Times New Roman"/>
          <w:sz w:val="24"/>
        </w:rPr>
        <w:t>Γενικές παρατηρήσεις</w:t>
      </w:r>
      <w:bookmarkEnd w:id="122"/>
      <w:bookmarkEnd w:id="123"/>
      <w:bookmarkEnd w:id="124"/>
      <w:bookmarkEnd w:id="125"/>
      <w:bookmarkEnd w:id="126"/>
      <w:bookmarkEnd w:id="127"/>
      <w:bookmarkEnd w:id="128"/>
    </w:p>
    <w:p w14:paraId="3B4750B2" w14:textId="2C7BE8FA" w:rsidR="00F71DF2" w:rsidRPr="002D60D7" w:rsidRDefault="00A807E1" w:rsidP="00E172EA">
      <w:pPr>
        <w:pStyle w:val="InstructionsText2"/>
        <w:numPr>
          <w:ilvl w:val="0"/>
          <w:numId w:val="29"/>
        </w:numPr>
        <w:suppressAutoHyphens/>
      </w:pPr>
      <w:r>
        <w:t>Οι επιχειρήσεις επενδύσεων αναφέρουν πληροφορίες για τις θέσεις σε κάθε νόμισμα (συμπεριλαμβανομένου του νομίσματος που χρησιμοποιείται για την υποβολή αναφορών) και τις αντίστοιχες απαιτήσεις ιδίων κεφαλαίων για κίνδυνο συναλλάγματος, που αντιμετωπίζονται βάσει της τυποποιημένης προσέγγισης. Η θέση υπολογίζεται για κάθε νόμισμα (συμπεριλαμβανομένου του EUR), για χρυσό και για θέσεις σε ΟΣΕ.</w:t>
      </w:r>
    </w:p>
    <w:p w14:paraId="39EF826C" w14:textId="60814CC7" w:rsidR="000B0B09" w:rsidRPr="002D60D7" w:rsidRDefault="00B31D8A" w:rsidP="00E172EA">
      <w:pPr>
        <w:pStyle w:val="InstructionsText2"/>
        <w:numPr>
          <w:ilvl w:val="0"/>
          <w:numId w:val="29"/>
        </w:numPr>
        <w:suppressAutoHyphens/>
      </w:pPr>
      <w:r>
        <w:t xml:space="preserve">Οι γραμμές 0100 έως 0470 του παρόντος υποδείγματος αναφέρονται όταν οι επιχειρήσεις επενδύσεων έχουν την άδεια να ασκούν τις δραστηριότητες 3 ή 6 που περιλαμβάνονται στο παράρτημα I τμήμα Α της οδηγίας 2014/65/ΕΕ του </w:t>
      </w:r>
      <w:r>
        <w:lastRenderedPageBreak/>
        <w:t>Ευρωπαϊκού Κοινοβουλίου και του Συμβουλίου</w:t>
      </w:r>
      <w:r>
        <w:rPr>
          <w:rStyle w:val="FootnoteReference"/>
        </w:rPr>
        <w:footnoteReference w:id="4"/>
      </w:r>
      <w:r>
        <w:t>, ακόμη και όταν οι εν λόγω επιχειρήσεις επενδύσεων δεν υποχρεούνται να υπολογίζουν τις απαιτήσεις ιδίων κεφαλαίων για τον κίνδυνο συναλλάγματος σύμφωνα με το άρθρο 351 του κανονισμού (ΕΕ) αριθ. 575/2013. Σε αυτά τα υπομνηματικά στοιχεία, όλες οι θέσεις στο νόμισμα που χρησιμοποιείται για την υποβολή αναφορών περιλαμβάνονται στις γραμμές 0100 έως 0470, ανεξάρτητα από το εάν λαμβάνονται υπόψη για τους σκοπούς του άρθρου 354 του κανονισμού (ΕΕ) αριθ. 575/2013. Οι γραμμές 0130 έως 0470 των υπομνηματικών στοιχείων του υποδείγματος συμπληρώνονται χωριστά για όλα τα νομίσματα των κρατών μελών της Ένωσης, τα νομίσματα: GBP, USD, CHF, JPY, RUB, TRY, AUD, CAD, RSD, ALL, UAH, MKD, EGP, ARS, BRL, MXN, HKD, ICK, TWD, NZD, NOK, SGD, KRW, CNY και όλα τα άλλα νομίσματα.</w:t>
      </w:r>
    </w:p>
    <w:p w14:paraId="346B4732" w14:textId="0BDCE786"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0" w:name="_Toc262566434"/>
      <w:bookmarkStart w:id="131" w:name="_Toc295830010"/>
      <w:bookmarkStart w:id="132" w:name="_Toc308426687"/>
      <w:bookmarkStart w:id="133" w:name="_Toc310415071"/>
      <w:bookmarkStart w:id="134" w:name="_Toc360188406"/>
      <w:bookmarkStart w:id="135" w:name="_Toc473561046"/>
      <w:bookmarkStart w:id="136" w:name="_Toc210914199"/>
      <w:r>
        <w:rPr>
          <w:rFonts w:ascii="Times New Roman" w:hAnsi="Times New Roman"/>
          <w:sz w:val="24"/>
          <w:u w:val="none"/>
        </w:rPr>
        <w:t>6.2.</w:t>
      </w:r>
      <w:r w:rsidRPr="00861C69">
        <w:rPr>
          <w:u w:val="none"/>
        </w:rPr>
        <w:tab/>
      </w:r>
      <w:r>
        <w:rPr>
          <w:rFonts w:ascii="Times New Roman" w:hAnsi="Times New Roman"/>
          <w:sz w:val="24"/>
        </w:rPr>
        <w:t>Οδηγίες για συγκεκριμένες θέσεις</w:t>
      </w:r>
      <w:bookmarkEnd w:id="130"/>
      <w:bookmarkEnd w:id="131"/>
      <w:bookmarkEnd w:id="132"/>
      <w:bookmarkEnd w:id="133"/>
      <w:bookmarkEnd w:id="134"/>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49DEFDC7" w14:textId="77777777" w:rsidTr="00672D2A">
        <w:trPr>
          <w:trHeight w:val="595"/>
        </w:trPr>
        <w:tc>
          <w:tcPr>
            <w:tcW w:w="8862" w:type="dxa"/>
            <w:gridSpan w:val="2"/>
            <w:shd w:val="clear" w:color="auto" w:fill="CCCCCC"/>
          </w:tcPr>
          <w:p w14:paraId="12971A7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Στήλες</w:t>
            </w:r>
          </w:p>
        </w:tc>
      </w:tr>
      <w:tr w:rsidR="000B0B09" w:rsidRPr="002D60D7" w14:paraId="159B4B41" w14:textId="77777777" w:rsidTr="00672D2A">
        <w:tc>
          <w:tcPr>
            <w:tcW w:w="988" w:type="dxa"/>
          </w:tcPr>
          <w:p w14:paraId="0ABA9E2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0020-0030</w:t>
            </w:r>
          </w:p>
        </w:tc>
        <w:tc>
          <w:tcPr>
            <w:tcW w:w="7874" w:type="dxa"/>
          </w:tcPr>
          <w:p w14:paraId="3450FB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ΟΛΕΣ ΟΙ ΘΕΣΕΙΣ (ΘΕΤΙΚΕΣ ΚΑΙ ΑΡΝΗΤΙΚΕΣ)</w:t>
            </w:r>
          </w:p>
          <w:p w14:paraId="21CD617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5F204D98" w14:textId="7206E339"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Ακαθάριστες θέσεις λόγω στοιχείων ενεργητικού, ποσών προς είσπραξη και παρόμοιων στοιχείων αναφερόμενων στο άρθρο 352 παράγραφος 1 του κανονισμού (ΕΕ) αριθ. 575/2013.</w:t>
            </w:r>
          </w:p>
          <w:p w14:paraId="754DB1BB" w14:textId="2FEAA29E" w:rsidR="000B0B09" w:rsidRPr="002D60D7" w:rsidRDefault="00BB22D4"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Σύμφωνα με το άρθρο 352 παράγραφος 2 του κανονισμού (ΕΕ) αριθ. 575/2013 και με την επιφύλαξη της άδειας από τις αρμόδιες αρχές, δεν αναφέρονται οι θέσεις που λαμβάνονται ως αντιστάθμιση έναντι των δυσμενών συνεπειών των συναλλαγματικών διακυμάνσεων στους συντελεστές τους, σύμφωνα με το άρθρο 92 παράγραφος 1 του εν λόγω κανονισμού, και οι θέσεις που αφορούν στοιχεία που έχουν ήδη εκπέσει κατά τον υπολογισμό των ιδίων κεφαλαίων.</w:t>
            </w:r>
          </w:p>
          <w:p w14:paraId="40A85A4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5B6C2519" w14:textId="77777777" w:rsidTr="00672D2A">
        <w:tc>
          <w:tcPr>
            <w:tcW w:w="988" w:type="dxa"/>
          </w:tcPr>
          <w:p w14:paraId="01A2B5B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0040-0050</w:t>
            </w:r>
          </w:p>
        </w:tc>
        <w:tc>
          <w:tcPr>
            <w:tcW w:w="7874" w:type="dxa"/>
          </w:tcPr>
          <w:p w14:paraId="5A21CA5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ΚΑΘΑΡΕΣ ΘΕΣΕΙΣ (ΘΕΤΙΚΕΣ ΚΑΙ ΑΡΝΗΤΙΚΕΣ)</w:t>
            </w:r>
          </w:p>
          <w:p w14:paraId="5D5BCFB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63D2EB9" w14:textId="110C5AF2" w:rsidR="00283B5F"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Άρθρο 352 παράγραφος 3, άρθρο 352 παράγραφος 4 πρώτη και δεύτερη περίοδος και άρθρο 353 του κανονισμού (ΕΕ) αριθ. 575/2013</w:t>
            </w:r>
          </w:p>
          <w:p w14:paraId="1436375E" w14:textId="14467FBC"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Οι καθαρές θέσεις υπολογίζονται με βάση κάθε νόμισμα, σύμφωνα με το άρθρο 352 παράγραφος 1 του εν λόγω κανονισμού. Κατά συνέπεια, ενδέχεται να αναφέρονται ταυτόχρονα τόσο θετικές όσο και αρνητικές θέσεις.</w:t>
            </w:r>
          </w:p>
          <w:p w14:paraId="7EF6C18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1DBF3F98" w14:textId="77777777" w:rsidTr="00672D2A">
        <w:tc>
          <w:tcPr>
            <w:tcW w:w="988" w:type="dxa"/>
          </w:tcPr>
          <w:p w14:paraId="5ED8190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874" w:type="dxa"/>
          </w:tcPr>
          <w:p w14:paraId="23461A4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ΘΕΣΕΙΣ ΠΟΥ ΥΠΟΚΕΙΝΤΑΙ ΣΕ ΚΕΦΑΛΑΙΑΚΗ ΕΠΙΒΑΡΥΝΣΗ</w:t>
            </w:r>
          </w:p>
          <w:p w14:paraId="536B211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4FE1162B" w14:textId="273CC04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Άρθρο 352 παράγραφος 4 τρίτη περίοδος και άρθρα 353 και 354 του κανονισμού (ΕΕ) αριθ. 575/2013 </w:t>
            </w:r>
          </w:p>
          <w:p w14:paraId="091C4CE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E36B34" w14:textId="77777777" w:rsidTr="00672D2A">
        <w:tc>
          <w:tcPr>
            <w:tcW w:w="988" w:type="dxa"/>
          </w:tcPr>
          <w:p w14:paraId="4CF75F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0060-0070</w:t>
            </w:r>
          </w:p>
        </w:tc>
        <w:tc>
          <w:tcPr>
            <w:tcW w:w="7874" w:type="dxa"/>
          </w:tcPr>
          <w:p w14:paraId="4917443B"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ΘΕΣΕΙΣ ΠΟΥ ΥΠΟΚΕΙΝΤΑΙ ΣΕ ΚΕΦΑΛΑΙΑΚΗ ΕΠΙΒΑΡΥΝΣΗ (ΘΕΤΙΚΕΣ ΚΑΙ ΑΡΝΗΤΙΚΕΣ)</w:t>
            </w:r>
          </w:p>
          <w:p w14:paraId="1CA17503"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lastRenderedPageBreak/>
              <w:t>Οι θετικές και οι αρνητικές καθαρές θέσεις για κάθε νόμισμα υπολογίζονται αφαιρώντας το σύνολο των αρνητικών θέσεων από το σύνολο των θετικών.</w:t>
            </w:r>
          </w:p>
          <w:p w14:paraId="7912A4F1"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Οι θετικές καθαρές θέσεις για κάθε πράξη σε ένα νόμισμα προστίθενται για τον υπολογισμό της καθαρής θετικής θέσης στο νόμισμα αυτό.</w:t>
            </w:r>
          </w:p>
          <w:p w14:paraId="5B4E9BD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Οι αρνητικές καθαρές θέσεις για κάθε πράξη σε ένα νόμισμα προστίθενται για τον υπολογισμό της καθαρής αρνητικής θέσης στο νόμισμα αυτό.</w:t>
            </w:r>
          </w:p>
          <w:p w14:paraId="71BEB09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Οι μη αντιστοιχισμένες θέσεις σε νομίσματα που δεν χρησιμοποιούνται για την υποβολή αναφορών προστίθενται σε θέσεις που υπόκεινται σε κεφαλαιακή επιβάρυνση για άλλα νομίσματα (γραμμή 030) στη στήλη 060 ή 070, ανάλογα με το αν διατάσσονται θετικά ή αρνητικά.</w:t>
            </w:r>
          </w:p>
          <w:p w14:paraId="3B8AB235"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53E3368" w14:textId="77777777" w:rsidTr="00672D2A">
        <w:tc>
          <w:tcPr>
            <w:tcW w:w="988" w:type="dxa"/>
          </w:tcPr>
          <w:p w14:paraId="79947C7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0080</w:t>
            </w:r>
          </w:p>
        </w:tc>
        <w:tc>
          <w:tcPr>
            <w:tcW w:w="7874" w:type="dxa"/>
          </w:tcPr>
          <w:p w14:paraId="50779B2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ΘΕΣΕΙΣ ΠΟΥ ΥΠΟΚΕΙΝΤΑΙ ΣΕ ΚΕΦΑΛΑΙΑΚΗ ΕΠΙΒΑΡΥΝΣΗ (ΑΝΤΙΣΤΟΙΧΙΣΜΕΝΕΣ)</w:t>
            </w:r>
          </w:p>
          <w:p w14:paraId="1787EA62"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5437627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Αντιστοιχισμένες θέσεις για στενά συσχετιζόμενα νομίσματα.</w:t>
            </w:r>
          </w:p>
          <w:p w14:paraId="6BC8E67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E3750E4" w14:textId="77777777" w:rsidTr="00672D2A">
        <w:tc>
          <w:tcPr>
            <w:tcW w:w="988" w:type="dxa"/>
          </w:tcPr>
          <w:p w14:paraId="0E46DE0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4" w:type="dxa"/>
          </w:tcPr>
          <w:p w14:paraId="4FC12DD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ΑΠΑΙΤΗΣΕΙΣ ΙΔΙΩΝ ΚΕΦΑΛΑΙΩΝ</w:t>
            </w:r>
          </w:p>
          <w:p w14:paraId="4108E69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828234" w14:textId="7D891B7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Η κεφαλαιακή επιβάρυνση για κάθε σχετική θέση σύμφωνα με το τρίτο μέρος τίτλος IV κεφάλαιο 3 του κανονισμού (ΕΕ) αριθ. 575/2013 </w:t>
            </w:r>
          </w:p>
          <w:p w14:paraId="62C9AE7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5A4CD35" w14:textId="77777777" w:rsidTr="00672D2A">
        <w:tc>
          <w:tcPr>
            <w:tcW w:w="988" w:type="dxa"/>
          </w:tcPr>
          <w:p w14:paraId="5B271B1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4" w:type="dxa"/>
          </w:tcPr>
          <w:p w14:paraId="0647EAC0"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ΣΥΝΟΛΙΚΟ ΠΟΣΟ ΑΝΟΙΓΜΑΤΟΣ ΣΕ ΚΙΝΔΥΝΟ</w:t>
            </w:r>
          </w:p>
          <w:p w14:paraId="1005789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3CF09645" w14:textId="05D9758B" w:rsidR="005C14B0"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Άρθρο 92 παράγραφος 6 στοιχείο β) του κανονισμού (ΕΕ) αριθ. 575/2013.</w:t>
            </w:r>
          </w:p>
          <w:p w14:paraId="74C1A53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Αποτέλεσμα του πολλαπλασιασμού των απαιτήσεων ιδίων κεφαλαίων επί 12,5. </w:t>
            </w:r>
          </w:p>
          <w:p w14:paraId="43ECFCA3" w14:textId="77777777" w:rsidR="00DE48EF" w:rsidRPr="002D60D7" w:rsidRDefault="00DE48EF"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bl>
    <w:p w14:paraId="4E615BD8"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871"/>
      </w:tblGrid>
      <w:tr w:rsidR="000B0B09" w:rsidRPr="002D60D7" w14:paraId="0291DB10" w14:textId="77777777" w:rsidTr="00672D2A">
        <w:trPr>
          <w:trHeight w:val="497"/>
        </w:trPr>
        <w:tc>
          <w:tcPr>
            <w:tcW w:w="8862" w:type="dxa"/>
            <w:gridSpan w:val="2"/>
            <w:shd w:val="clear" w:color="auto" w:fill="CCCCCC"/>
          </w:tcPr>
          <w:p w14:paraId="080D5566"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Γραμμές</w:t>
            </w:r>
          </w:p>
        </w:tc>
      </w:tr>
      <w:tr w:rsidR="000B0B09" w:rsidRPr="002D60D7" w14:paraId="7E8F93AD" w14:textId="77777777" w:rsidTr="00672D2A">
        <w:tc>
          <w:tcPr>
            <w:tcW w:w="991" w:type="dxa"/>
          </w:tcPr>
          <w:p w14:paraId="308DA05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1" w:type="dxa"/>
          </w:tcPr>
          <w:p w14:paraId="444D3E4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ΣΥΝΟΛΙΚΕΣ ΘΕΣΕΙΣ</w:t>
            </w:r>
          </w:p>
          <w:p w14:paraId="625A8F9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74297D9" w14:textId="78AA241E" w:rsidR="000B0B09"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Όλες οι θέσεις σε νομίσματα που δεν χρησιμοποιούνται για την υποβολή αναφορών και οι θέσεις στο νόμισμα που χρησιμοποιείται για την υποβολή αναφορών, οι οποίες λαμβάνονται υπόψη για τους σκοπούς του άρθρου 354 του κανονισμού (ΕΕ) αριθ. 575/2013 και οι αντίστοιχες απαιτήσεις ιδίων κεφαλαίων για τον κίνδυνο συναλλάγματος όπως προβλέπεται στο άρθρο 92 παράγραφος 3 στοιχείο γ) σημείο i) του εν λόγω κανονισμού, λαμβανομένου υπόψη του άρθρου 352 παράγραφοι 2 και 4 του κανονισμού (ΕΕ) αριθ. 575/2013 (για τη μετατροπή στο νόμισμα που χρησιμοποιείται για την υποβολή αναφορών).</w:t>
            </w:r>
          </w:p>
          <w:p w14:paraId="60C8486E"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467D9D0D" w14:textId="77777777" w:rsidTr="00672D2A">
        <w:tc>
          <w:tcPr>
            <w:tcW w:w="991" w:type="dxa"/>
          </w:tcPr>
          <w:p w14:paraId="65214D6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w:t>
            </w:r>
          </w:p>
        </w:tc>
        <w:tc>
          <w:tcPr>
            <w:tcW w:w="7871" w:type="dxa"/>
          </w:tcPr>
          <w:p w14:paraId="49A2740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ΣΤΕΝΑ ΣΥΣΧΕΤΙΖΟΜΕΝΑ ΝΟΜΙΣΜΑΤΑ</w:t>
            </w:r>
          </w:p>
          <w:p w14:paraId="784B138D"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339F996" w14:textId="323891C1"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Θέσεις και οι αντίστοιχες απαιτήσεις ιδίων κεφαλαίων τους για τα στενά συσχετιζόμενα νομίσματα όπως προβλέπεται στο άρθρο 354 του κανονισμού (ΕΕ) αριθ. 575/2013.</w:t>
            </w:r>
          </w:p>
          <w:p w14:paraId="1228E8F4"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491F4D" w:rsidRPr="002D60D7" w14:paraId="6BD5BA15" w14:textId="77777777" w:rsidTr="00672D2A">
        <w:tc>
          <w:tcPr>
            <w:tcW w:w="991" w:type="dxa"/>
          </w:tcPr>
          <w:p w14:paraId="5BFECF57" w14:textId="77777777" w:rsidR="00491F4D"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0025</w:t>
            </w:r>
          </w:p>
        </w:tc>
        <w:tc>
          <w:tcPr>
            <w:tcW w:w="7871" w:type="dxa"/>
          </w:tcPr>
          <w:p w14:paraId="596531B8"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Στενά συσχετιζόμενα νομίσματα: </w:t>
            </w:r>
            <w:r>
              <w:rPr>
                <w:rFonts w:ascii="Times New Roman" w:hAnsi="Times New Roman"/>
                <w:b/>
                <w:i/>
                <w:sz w:val="24"/>
                <w:u w:val="single"/>
              </w:rPr>
              <w:t>εκ των οποίων</w:t>
            </w:r>
            <w:r>
              <w:rPr>
                <w:rFonts w:ascii="Times New Roman" w:hAnsi="Times New Roman"/>
                <w:b/>
                <w:sz w:val="24"/>
                <w:u w:val="single"/>
              </w:rPr>
              <w:t>: νόμισμα που χρησιμοποιείται για την υποβολή αναφορών</w:t>
            </w:r>
          </w:p>
          <w:p w14:paraId="1A313604" w14:textId="77777777" w:rsidR="00491F4D" w:rsidRPr="002D60D7" w:rsidRDefault="00491F4D" w:rsidP="004C445F">
            <w:pPr>
              <w:suppressAutoHyphens/>
              <w:autoSpaceDE w:val="0"/>
              <w:autoSpaceDN w:val="0"/>
              <w:adjustRightInd w:val="0"/>
              <w:spacing w:before="0" w:after="0"/>
              <w:rPr>
                <w:rFonts w:ascii="Times New Roman" w:hAnsi="Times New Roman"/>
                <w:sz w:val="24"/>
              </w:rPr>
            </w:pPr>
          </w:p>
          <w:p w14:paraId="6CF1E695" w14:textId="3B11B1C0" w:rsidR="00491F4D"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Θέσεις στο νόμισμα που χρησιμοποιείται για την υποβολή αναφορών, οι οποίες συμπεριλαμβάνονται στον υπολογισμό των κεφαλαιακών απαιτήσεων, σύμφωνα με το άρθρο 354 του κανονισμού (ΕΕ) αριθ. 575/2013.</w:t>
            </w:r>
          </w:p>
          <w:p w14:paraId="1727C5A3"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A3FAA7" w14:textId="77777777" w:rsidTr="00672D2A">
        <w:tc>
          <w:tcPr>
            <w:tcW w:w="991" w:type="dxa"/>
          </w:tcPr>
          <w:p w14:paraId="015096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71" w:type="dxa"/>
          </w:tcPr>
          <w:p w14:paraId="0BAA11C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ΟΛΑ ΤΑ ΑΛΛΑ ΝΟΜΙΣΜΑΤΑ (συμπεριλαμβανομένων των ΟΣΕ που αντιμετωπίζονται ως διαφορετικά νομίσματα)</w:t>
            </w:r>
          </w:p>
          <w:p w14:paraId="1677D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D3AFD1" w14:textId="4128E68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Θέσεις και οι αντίστοιχες απαιτήσεις ιδίων κεφαλαίων τους για τα νομίσματα που υπόκεινται στη γενική διαδικασία που αναφέρεται στο άρθρο 351 και στο άρθρο 352 παράγραφοι 2 και 4 του κανονισμού (ΕΕ) αριθ. 575/2013.</w:t>
            </w:r>
          </w:p>
          <w:p w14:paraId="0D0C93F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69470C9" w14:textId="2C612C05"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u w:val="single"/>
              </w:rPr>
              <w:t>Υποβολή πληροφοριών για ΟΣΕ που αντιμετωπίζονται ως χωριστά νομίσματα σύμφωνα με το άρθρο 353 του κανονισμού (ΕΕ) αριθ. 575/2013:</w:t>
            </w:r>
          </w:p>
          <w:p w14:paraId="77B7A43F" w14:textId="77777777" w:rsidR="000B0B09" w:rsidRPr="002D60D7" w:rsidRDefault="000B0B09"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Υπάρχουν δύο διαφορετικοί τρόποι αντιμετώπισης των ΟΣΕ που αντιμετωπίζονται ως χωριστά νομίσματα για τον υπολογισμό των κεφαλαιακών απαιτήσεων:</w:t>
            </w:r>
          </w:p>
          <w:p w14:paraId="5B250982" w14:textId="5A8D3F48"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α) η τροποποιημένη μέθοδος χρυσού, εάν δεν είναι διαθέσιμη η κατεύθυνση της επένδυσης των ΟΣΕ (οι εν λόγω ΟΣΕ προστίθενται στη συνολική καθαρή θέση συναλλάγματος του ιδρύματος)·</w:t>
            </w:r>
          </w:p>
          <w:p w14:paraId="36EAAD8C" w14:textId="570B6ECE"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β) εάν η κατεύθυνση της επένδυσης των ΟΣΕ είναι διαθέσιμη, οι εν λόγω ΟΣΕ προστίθενται στη συνολική ανοικτή θέση συναλλάγματος (θετική ή αρνητική, ανάλογα με την κατεύθυνση του ΟΣΕ).</w:t>
            </w:r>
          </w:p>
          <w:p w14:paraId="6410AE39" w14:textId="77777777"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rPr>
              <w:t>Η υποβολή πληροφοριών για τους συγκεκριμένους ΟΣΕ συμφωνεί με τον υπολογισμό των κεφαλαιακών απαιτήσεων.</w:t>
            </w:r>
          </w:p>
          <w:p w14:paraId="6EF89CCB"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3074F2FD" w14:textId="77777777" w:rsidTr="00672D2A">
        <w:tc>
          <w:tcPr>
            <w:tcW w:w="991" w:type="dxa"/>
          </w:tcPr>
          <w:p w14:paraId="77D3A98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71" w:type="dxa"/>
          </w:tcPr>
          <w:p w14:paraId="0E1B066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ΧΡΥΣΟΣ</w:t>
            </w:r>
          </w:p>
          <w:p w14:paraId="3DD20C3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E2B6F8D" w14:textId="0A74E970"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Θέσεις και οι αντίστοιχες απαιτήσεις ιδίων κεφαλαίων τους για τα νομίσματα που υπόκεινται στη γενική διαδικασία που αναφέρεται στο άρθρο 351 και στο άρθρο 352 παράγραφοι 2 και 4 του κανονισμού (ΕΕ) αριθ. 575/2013. </w:t>
            </w:r>
          </w:p>
          <w:p w14:paraId="2363385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6FC5B51" w14:textId="77777777" w:rsidTr="00672D2A">
        <w:tc>
          <w:tcPr>
            <w:tcW w:w="991" w:type="dxa"/>
          </w:tcPr>
          <w:p w14:paraId="119AB32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0050 - 0090</w:t>
            </w:r>
          </w:p>
        </w:tc>
        <w:tc>
          <w:tcPr>
            <w:tcW w:w="7871" w:type="dxa"/>
          </w:tcPr>
          <w:p w14:paraId="76D7671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ΠΡΟΣΘΕΤΕΣ ΑΠΑΙΤΗΣΕΙΣ ΓΙΑ ΤΑ ΔΙΚΑΙΩΜΑΤΑ ΠΡΟΑΙΡΕΣΗΣ (ΚΙΝΔΥΝΟΙ ΠΟΥ ΔΕΝ ΥΠΟΚΕΙΝΤΑΙ ΣΤΟΝ ΣΥΝΤΕΛΕΣΤΗ ΔΕΛΤΑ)</w:t>
            </w:r>
          </w:p>
          <w:p w14:paraId="409B80C0" w14:textId="3123C3E4"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 xml:space="preserve">Άρθρο 352 παράγραφοι 5 και 6 του κανονισμού (ΕΕ) αριθ. 575/2013. </w:t>
            </w:r>
          </w:p>
          <w:p w14:paraId="28A72F0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0C3DAE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Οι πρόσθετες απαιτήσεις για τα δικαιώματα προαίρεσης που σχετίζονται με κινδύνους που δεν υπόκεινται στον συντελεστή δέλτα κατανέμονται με βάση τη μέθοδο που χρησιμοποιείται για τον υπολογισμό τους. </w:t>
            </w:r>
          </w:p>
          <w:p w14:paraId="64B10AE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FB6CAB6" w14:textId="77777777" w:rsidTr="00672D2A">
        <w:tc>
          <w:tcPr>
            <w:tcW w:w="991" w:type="dxa"/>
          </w:tcPr>
          <w:p w14:paraId="4A4827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0100-0120</w:t>
            </w:r>
          </w:p>
        </w:tc>
        <w:tc>
          <w:tcPr>
            <w:tcW w:w="7871" w:type="dxa"/>
          </w:tcPr>
          <w:p w14:paraId="4D32EE9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Κατανομή των συνολικών θέσεων (συμπεριλαμβανομένου του νομίσματος που χρησιμοποιείται για την υποβολή αναφορών) ανά είδος ανοίγματος</w:t>
            </w:r>
          </w:p>
          <w:p w14:paraId="35F84DA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1C8EDD8"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Οι συνολικές θέσεις κατανέμονται σε παράγωγα, άλλα στοιχεία ενεργητικού και υποχρεώσεις και εκτός ισολογισμού στοιχεία.</w:t>
            </w:r>
          </w:p>
          <w:p w14:paraId="645944F1"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2C3A573" w14:textId="77777777" w:rsidTr="00672D2A">
        <w:tc>
          <w:tcPr>
            <w:tcW w:w="991" w:type="dxa"/>
          </w:tcPr>
          <w:p w14:paraId="328B76F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0100</w:t>
            </w:r>
          </w:p>
        </w:tc>
        <w:tc>
          <w:tcPr>
            <w:tcW w:w="7871" w:type="dxa"/>
          </w:tcPr>
          <w:p w14:paraId="2B5ED8B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Άλλα στοιχεία του ενεργητικού και υποχρεώσεις εκτός των στοιχείων και παραγώγων εκτός ισολογισμού</w:t>
            </w:r>
          </w:p>
          <w:p w14:paraId="70ABA94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48B1F95" w14:textId="77777777" w:rsidR="00DE48EF"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Στο συγκεκριμένο σημείο αναφέρονται οι θέσεις που δεν περιλαμβάνονται στη γραμμή 0110 ή 0120. </w:t>
            </w:r>
          </w:p>
          <w:p w14:paraId="68474F8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 xml:space="preserve"> </w:t>
            </w:r>
          </w:p>
        </w:tc>
      </w:tr>
      <w:tr w:rsidR="000B0B09" w:rsidRPr="002D60D7" w14:paraId="68F25686" w14:textId="77777777" w:rsidTr="00672D2A">
        <w:tc>
          <w:tcPr>
            <w:tcW w:w="991" w:type="dxa"/>
          </w:tcPr>
          <w:p w14:paraId="76AEDC5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71" w:type="dxa"/>
          </w:tcPr>
          <w:p w14:paraId="2D48760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Στοιχεία εκτός ισολογισμού</w:t>
            </w:r>
          </w:p>
          <w:p w14:paraId="4FE41A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7CE2DA10" w14:textId="441EBF45"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Στοιχεία που εμπίπτουν στο πεδίο εφαρμογής του άρθρου 352 του κανονισμού (ΕΕ) αριθ. 575/2013, ανεξάρτητα από το νόμισμα στο οποίο είναι εκφρασμένα, και που περιλαμβάνονται στο παράρτημα I του εν λόγω κανονισμού, με την εξαίρεση όσων περιλαμβάνονται ως συναλλαγές χρηματοδότησης τίτλων &amp; πράξεις με μακρά προθεσμία διακανονισμού ή από συμβατικό συμψηφισμό μεταξύ προϊόντων.</w:t>
            </w:r>
          </w:p>
          <w:p w14:paraId="25D49F5C"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C61B439" w14:textId="77777777" w:rsidTr="00672D2A">
        <w:tc>
          <w:tcPr>
            <w:tcW w:w="991" w:type="dxa"/>
          </w:tcPr>
          <w:p w14:paraId="33EE45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71" w:type="dxa"/>
          </w:tcPr>
          <w:p w14:paraId="56E0717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Παράγωγα</w:t>
            </w:r>
          </w:p>
          <w:p w14:paraId="7B6CC85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74E14E9" w14:textId="61FBE98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Θέσεις που αποτιμώνται σύμφωνα με το άρθρο 352 του κανονισμού (ΕΕ) αριθ. 575/2013.</w:t>
            </w:r>
          </w:p>
          <w:p w14:paraId="2984F2C2" w14:textId="77777777" w:rsidR="00902EFC" w:rsidRPr="002D60D7" w:rsidRDefault="00902EFC"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D32A9CF" w14:textId="77777777" w:rsidTr="00672D2A">
        <w:tc>
          <w:tcPr>
            <w:tcW w:w="991" w:type="dxa"/>
          </w:tcPr>
          <w:p w14:paraId="7B4BCDF0" w14:textId="0459354E"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0130-0470</w:t>
            </w:r>
          </w:p>
        </w:tc>
        <w:tc>
          <w:tcPr>
            <w:tcW w:w="7871" w:type="dxa"/>
          </w:tcPr>
          <w:p w14:paraId="26286B4C" w14:textId="38433819"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ΥΠΟΜΝΗΜΑΤΙΚΑ ΣΤΟΙΧΕΙΑ: ΘΕΣΕΙΣ ΑΝΑ ΝΟΜΙΣΜΑ</w:t>
            </w:r>
          </w:p>
          <w:p w14:paraId="77A906DE" w14:textId="77777777" w:rsidR="000B0B09" w:rsidRPr="002D60D7" w:rsidRDefault="000B0B09" w:rsidP="004C445F">
            <w:pPr>
              <w:suppressAutoHyphens/>
              <w:autoSpaceDE w:val="0"/>
              <w:autoSpaceDN w:val="0"/>
              <w:adjustRightInd w:val="0"/>
              <w:spacing w:before="0" w:after="0"/>
              <w:rPr>
                <w:rFonts w:ascii="Times New Roman" w:hAnsi="Times New Roman"/>
                <w:b/>
                <w:bCs/>
                <w:sz w:val="24"/>
                <w:lang w:eastAsia="de-DE"/>
              </w:rPr>
            </w:pPr>
          </w:p>
          <w:p w14:paraId="31EAE6A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Τα υπομνηματικά στοιχεία του υποδείγματος συμπληρώνονται χωριστά για όλα τα νομίσματα των κρατών μελών της Ένωσης, GBP, USD, CHF, JPY, RUB, TRY, AUD, CAD, RSD, ALL, UAH, MKD, EGP, ARS, BRL, MXN, HKD, ICK, TWD, NZD, NOK, SGD, KRW, CNY και όλα τα άλλα νομίσματα. </w:t>
            </w:r>
          </w:p>
          <w:p w14:paraId="09723CAF" w14:textId="77777777" w:rsidR="003E0950" w:rsidRPr="002D60D7" w:rsidRDefault="003E0950" w:rsidP="004C445F">
            <w:pPr>
              <w:suppressAutoHyphens/>
              <w:autoSpaceDE w:val="0"/>
              <w:autoSpaceDN w:val="0"/>
              <w:adjustRightInd w:val="0"/>
              <w:spacing w:before="0" w:after="0"/>
              <w:rPr>
                <w:rFonts w:ascii="Times New Roman" w:hAnsi="Times New Roman"/>
                <w:sz w:val="24"/>
                <w:lang w:eastAsia="de-DE"/>
              </w:rPr>
            </w:pPr>
          </w:p>
          <w:p w14:paraId="7255FEE1" w14:textId="50F8E32F" w:rsidR="00A433ED" w:rsidRPr="002D60D7" w:rsidRDefault="00A433E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Οι θέσεις σε χρυσό και οι θέσεις σε ΟΣΕ που αντιμετωπίζονται ως ξεχωριστό νόμισμα σύμφωνα με το άρθρο 353 παράγραφος 3 του κανονισμού (ΕΕ) αριθ. 575/2013 περιλαμβάνονται στη γραμμή 0470.</w:t>
            </w:r>
          </w:p>
          <w:p w14:paraId="2A795EB2" w14:textId="3FA18151" w:rsidR="0055144E" w:rsidRPr="002D60D7" w:rsidRDefault="0055144E" w:rsidP="004C445F">
            <w:pPr>
              <w:suppressAutoHyphens/>
              <w:autoSpaceDE w:val="0"/>
              <w:autoSpaceDN w:val="0"/>
              <w:adjustRightInd w:val="0"/>
              <w:spacing w:before="0" w:after="0"/>
              <w:rPr>
                <w:rStyle w:val="InstructionsTabelleText"/>
                <w:rFonts w:ascii="Times New Roman" w:hAnsi="Times New Roman"/>
                <w:sz w:val="24"/>
              </w:rPr>
            </w:pPr>
          </w:p>
        </w:tc>
      </w:tr>
    </w:tbl>
    <w:p w14:paraId="6BA92730" w14:textId="77777777" w:rsidR="000B0B09" w:rsidRPr="002D60D7" w:rsidRDefault="000B0B09" w:rsidP="004C445F">
      <w:pPr>
        <w:suppressAutoHyphens/>
        <w:rPr>
          <w:rFonts w:ascii="Times New Roman" w:hAnsi="Times New Roman"/>
          <w:sz w:val="24"/>
        </w:rPr>
      </w:pPr>
    </w:p>
    <w:p w14:paraId="53515718" w14:textId="54673A1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7" w:name="_Toc262566435"/>
      <w:bookmarkStart w:id="138" w:name="_Toc295830011"/>
      <w:bookmarkStart w:id="139" w:name="_Toc308426688"/>
      <w:bookmarkStart w:id="140" w:name="_Toc310415072"/>
      <w:bookmarkStart w:id="141" w:name="_Toc360188407"/>
      <w:bookmarkStart w:id="142" w:name="_Toc473561047"/>
      <w:bookmarkStart w:id="143" w:name="_Toc210914200"/>
      <w:r>
        <w:rPr>
          <w:rFonts w:ascii="Times New Roman" w:hAnsi="Times New Roman"/>
          <w:sz w:val="24"/>
          <w:u w:val="none"/>
        </w:rPr>
        <w:t>7.</w:t>
      </w:r>
      <w:r w:rsidRPr="00861C69">
        <w:rPr>
          <w:u w:val="none"/>
        </w:rPr>
        <w:tab/>
      </w:r>
      <w:r>
        <w:rPr>
          <w:rFonts w:ascii="Times New Roman" w:hAnsi="Times New Roman"/>
          <w:sz w:val="24"/>
        </w:rPr>
        <w:t>C 23.00 – Κίνδυνος Αγοράς: Τυποποιημένες προσεγγίσεις για βασικά εμπορεύματα</w:t>
      </w:r>
      <w:bookmarkEnd w:id="137"/>
      <w:bookmarkEnd w:id="138"/>
      <w:bookmarkEnd w:id="139"/>
      <w:bookmarkEnd w:id="140"/>
      <w:bookmarkEnd w:id="141"/>
      <w:r>
        <w:rPr>
          <w:rFonts w:ascii="Times New Roman" w:hAnsi="Times New Roman"/>
          <w:sz w:val="24"/>
        </w:rPr>
        <w:t xml:space="preserve"> (MKR SA COM)</w:t>
      </w:r>
      <w:bookmarkEnd w:id="142"/>
      <w:bookmarkEnd w:id="143"/>
    </w:p>
    <w:p w14:paraId="72871AE4" w14:textId="0AF1A4E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44" w:name="_Toc262566436"/>
      <w:bookmarkStart w:id="145" w:name="_Toc295830012"/>
      <w:bookmarkStart w:id="146" w:name="_Toc308426689"/>
      <w:bookmarkStart w:id="147" w:name="_Toc310415073"/>
      <w:bookmarkStart w:id="148" w:name="_Toc360188408"/>
      <w:bookmarkStart w:id="149" w:name="_Toc473561048"/>
      <w:bookmarkStart w:id="150" w:name="_Toc210914201"/>
      <w:r>
        <w:rPr>
          <w:rFonts w:ascii="Times New Roman" w:hAnsi="Times New Roman"/>
          <w:sz w:val="24"/>
          <w:u w:val="none"/>
        </w:rPr>
        <w:t>7.1.</w:t>
      </w:r>
      <w:r w:rsidRPr="00861C69">
        <w:rPr>
          <w:u w:val="none"/>
        </w:rPr>
        <w:tab/>
      </w:r>
      <w:r>
        <w:rPr>
          <w:rFonts w:ascii="Times New Roman" w:hAnsi="Times New Roman"/>
          <w:sz w:val="24"/>
        </w:rPr>
        <w:t>Γενικές παρατηρήσεις</w:t>
      </w:r>
      <w:bookmarkEnd w:id="144"/>
      <w:bookmarkEnd w:id="145"/>
      <w:bookmarkEnd w:id="146"/>
      <w:bookmarkEnd w:id="147"/>
      <w:bookmarkEnd w:id="148"/>
      <w:bookmarkEnd w:id="149"/>
      <w:bookmarkEnd w:id="150"/>
    </w:p>
    <w:p w14:paraId="441FA19A" w14:textId="36832BFC" w:rsidR="000B0B09" w:rsidRPr="002D60D7" w:rsidRDefault="000B0B09" w:rsidP="00E172EA">
      <w:pPr>
        <w:pStyle w:val="InstructionsText2"/>
        <w:numPr>
          <w:ilvl w:val="0"/>
          <w:numId w:val="29"/>
        </w:numPr>
        <w:suppressAutoHyphens/>
      </w:pPr>
      <w:r>
        <w:t>Στο συγκεκριμένο υπόδειγμα ζητούνται πληροφορίες για τις θέσεις σε βασικά εμπορεύματα και τις αντίστοιχες απαιτήσεις ιδίων κεφαλαίων, που αντιμετωπίζονται βάσει της τυποποιημένης προσέγγισης.</w:t>
      </w:r>
    </w:p>
    <w:p w14:paraId="0C8765B1" w14:textId="613B31E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51" w:name="_Toc262566437"/>
      <w:bookmarkStart w:id="152" w:name="_Toc295830013"/>
      <w:bookmarkStart w:id="153" w:name="_Toc308426690"/>
      <w:bookmarkStart w:id="154" w:name="_Toc310415074"/>
      <w:bookmarkStart w:id="155" w:name="_Toc360188409"/>
      <w:bookmarkStart w:id="156" w:name="_Toc473561049"/>
      <w:bookmarkStart w:id="157" w:name="_Toc210914202"/>
      <w:r>
        <w:rPr>
          <w:rFonts w:ascii="Times New Roman" w:hAnsi="Times New Roman"/>
          <w:sz w:val="24"/>
          <w:u w:val="none"/>
        </w:rPr>
        <w:t>7.2.</w:t>
      </w:r>
      <w:r w:rsidRPr="00861C69">
        <w:rPr>
          <w:u w:val="none"/>
        </w:rPr>
        <w:tab/>
      </w:r>
      <w:r>
        <w:rPr>
          <w:rFonts w:ascii="Times New Roman" w:hAnsi="Times New Roman"/>
          <w:sz w:val="24"/>
        </w:rPr>
        <w:t>Οδηγίες για συγκεκριμένες θέσεις</w:t>
      </w:r>
      <w:bookmarkEnd w:id="151"/>
      <w:bookmarkEnd w:id="152"/>
      <w:bookmarkEnd w:id="153"/>
      <w:bookmarkEnd w:id="154"/>
      <w:bookmarkEnd w:id="155"/>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7876"/>
      </w:tblGrid>
      <w:tr w:rsidR="000B0B09" w:rsidRPr="002D60D7" w14:paraId="7440A91F" w14:textId="77777777" w:rsidTr="00672D2A">
        <w:trPr>
          <w:trHeight w:val="591"/>
        </w:trPr>
        <w:tc>
          <w:tcPr>
            <w:tcW w:w="8862" w:type="dxa"/>
            <w:gridSpan w:val="2"/>
            <w:shd w:val="clear" w:color="auto" w:fill="CCCCCC"/>
          </w:tcPr>
          <w:p w14:paraId="4154FB7C"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Στήλες</w:t>
            </w:r>
          </w:p>
        </w:tc>
      </w:tr>
      <w:tr w:rsidR="000B0B09" w:rsidRPr="002D60D7" w14:paraId="12CECACA" w14:textId="77777777" w:rsidTr="00672D2A">
        <w:tc>
          <w:tcPr>
            <w:tcW w:w="986" w:type="dxa"/>
          </w:tcPr>
          <w:p w14:paraId="6FA50BB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6" w:type="dxa"/>
          </w:tcPr>
          <w:p w14:paraId="29C026B5"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ΟΛΕΣ ΟΙ ΘΕΣΕΙΣ (ΘΕΤΙΚΕΣ ΚΑΙ ΑΡΝΗΤΙΚΕΣ)</w:t>
            </w:r>
          </w:p>
          <w:p w14:paraId="4B99A78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60BC9B3E" w14:textId="0549CCC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Ακαθάριστες θετικές/αρνητικές θέσεις που θεωρούνται θέσεις στο ίδιο βασικό εμπόρευμα, σύμφωνα με το άρθρο 357 παράγραφος 4 του κανονισμού (ΕΕ) </w:t>
            </w:r>
            <w:r>
              <w:rPr>
                <w:rFonts w:ascii="Times New Roman" w:hAnsi="Times New Roman"/>
                <w:sz w:val="24"/>
              </w:rPr>
              <w:lastRenderedPageBreak/>
              <w:t>αριθ. 575/2013 (βλέπε επίσης άρθρο 359 παράγραφος 1 του εν λόγω κανονισμού).</w:t>
            </w:r>
          </w:p>
          <w:p w14:paraId="3E9C720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4AB4396B" w14:textId="77777777" w:rsidTr="00672D2A">
        <w:tc>
          <w:tcPr>
            <w:tcW w:w="986" w:type="dxa"/>
          </w:tcPr>
          <w:p w14:paraId="224657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 xml:space="preserve">0030-0040 </w:t>
            </w:r>
          </w:p>
        </w:tc>
        <w:tc>
          <w:tcPr>
            <w:tcW w:w="7876" w:type="dxa"/>
          </w:tcPr>
          <w:p w14:paraId="7FA580C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ΚΑΘΑΡΕΣ ΘΕΣΕΙΣ (ΘΕΤΙΚΕΣ ΚΑΙ ΑΡΝΗΤΙΚΕΣ)</w:t>
            </w:r>
          </w:p>
          <w:p w14:paraId="0B49C3F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7F059DD" w14:textId="7B41C090"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Όπως αναφέρεται στο άρθρο 357 παράγραφος 3 του κανονισμού (ΕΕ) αριθ. 575/2013 </w:t>
            </w:r>
          </w:p>
        </w:tc>
      </w:tr>
      <w:tr w:rsidR="000B0B09" w:rsidRPr="002D60D7" w14:paraId="0A46320C" w14:textId="77777777" w:rsidTr="00672D2A">
        <w:tc>
          <w:tcPr>
            <w:tcW w:w="986" w:type="dxa"/>
          </w:tcPr>
          <w:p w14:paraId="7F0B984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6" w:type="dxa"/>
          </w:tcPr>
          <w:p w14:paraId="7ADEF1C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ΘΕΣΕΙΣ ΠΟΥ ΥΠΟΚΕΙΝΤΑΙ ΣΕ ΚΕΦΑΛΑΙΑΚΗ ΕΠΙΒΑΡΥΝΣΗ</w:t>
            </w:r>
          </w:p>
          <w:p w14:paraId="55ED580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D57A399" w14:textId="58FF94B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Οι καθαρές θέσεις οι οποίες, σύμφωνα με τις διαφορετικές προσεγγίσεις που εξετάζονται στο τρίτο μέρος τίτλος IV κεφάλαιο 4 του κανονισμού (ΕΕ) αριθ. 575/2013, υπόκεινται σε κεφαλαιακή επιβάρυνση.</w:t>
            </w:r>
          </w:p>
          <w:p w14:paraId="762BD2E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37B5E6C" w14:textId="77777777" w:rsidTr="00672D2A">
        <w:tc>
          <w:tcPr>
            <w:tcW w:w="986" w:type="dxa"/>
          </w:tcPr>
          <w:p w14:paraId="41FAB94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6" w:type="dxa"/>
          </w:tcPr>
          <w:p w14:paraId="4AA26DC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ΑΠΑΙΤΗΣΕΙΣ ΙΔΙΩΝ ΚΕΦΑΛΑΙΩΝ</w:t>
            </w:r>
          </w:p>
          <w:p w14:paraId="545A19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F8C468D" w14:textId="7E2236D4" w:rsidR="000B0B09" w:rsidRPr="002D60D7" w:rsidRDefault="000B0B09"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Η απαίτηση ιδίων κεφαλαίων, υπολογιζόμενη σύμφωνα με το τρίτο μέρος τίτλος IV κεφάλαιο 4 του κανονισμού (ΕΕ) αριθ. 575/2013 για κάθε σχετική θέση</w:t>
            </w:r>
          </w:p>
        </w:tc>
      </w:tr>
      <w:tr w:rsidR="000B0B09" w:rsidRPr="002D60D7" w14:paraId="380AB4E0" w14:textId="77777777" w:rsidTr="00672D2A">
        <w:tc>
          <w:tcPr>
            <w:tcW w:w="986" w:type="dxa"/>
          </w:tcPr>
          <w:p w14:paraId="0EE22EDA"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6" w:type="dxa"/>
          </w:tcPr>
          <w:p w14:paraId="162C1DF7"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ΣΥΝΟΛΙΚΟ ΠΟΣΟ ΑΝΟΙΓΜΑΤΟΣ ΣΕ ΚΙΝΔΥΝΟ</w:t>
            </w:r>
          </w:p>
          <w:p w14:paraId="35864C1F"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7C230E5C" w14:textId="027F150A" w:rsidR="00A2757B"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 xml:space="preserve">Άρθρο 92 παράγραφος 6 στοιχείο β) του κανονισμού (ΕΕ) αριθ. 575/2013. </w:t>
            </w:r>
          </w:p>
          <w:p w14:paraId="67EADC1A" w14:textId="77777777" w:rsidR="000B0B09" w:rsidRPr="002D60D7" w:rsidRDefault="000B0B09" w:rsidP="004C445F">
            <w:pPr>
              <w:tabs>
                <w:tab w:val="left" w:pos="1665"/>
              </w:tabs>
              <w:suppressAutoHyphens/>
              <w:autoSpaceDE w:val="0"/>
              <w:autoSpaceDN w:val="0"/>
              <w:adjustRightInd w:val="0"/>
              <w:spacing w:before="0"/>
              <w:rPr>
                <w:rFonts w:ascii="Times New Roman" w:hAnsi="Times New Roman"/>
                <w:b/>
                <w:bCs/>
                <w:sz w:val="24"/>
                <w:u w:val="single"/>
              </w:rPr>
            </w:pPr>
            <w:r>
              <w:rPr>
                <w:rFonts w:ascii="Times New Roman" w:hAnsi="Times New Roman"/>
                <w:sz w:val="24"/>
              </w:rPr>
              <w:t>Αποτέλεσμα του πολλαπλασιασμού των απαιτήσεων ιδίων κεφαλαίων επί 12,5.</w:t>
            </w:r>
          </w:p>
        </w:tc>
      </w:tr>
    </w:tbl>
    <w:p w14:paraId="0DC9D0A4"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0386B5FC" w14:textId="77777777" w:rsidTr="00672D2A">
        <w:trPr>
          <w:trHeight w:val="483"/>
        </w:trPr>
        <w:tc>
          <w:tcPr>
            <w:tcW w:w="8862" w:type="dxa"/>
            <w:gridSpan w:val="2"/>
            <w:shd w:val="clear" w:color="auto" w:fill="CCCCCC"/>
          </w:tcPr>
          <w:p w14:paraId="1255E033"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Γραμμές</w:t>
            </w:r>
          </w:p>
        </w:tc>
      </w:tr>
      <w:tr w:rsidR="000B0B09" w:rsidRPr="002D60D7" w14:paraId="3F19FB75" w14:textId="77777777" w:rsidTr="00672D2A">
        <w:tc>
          <w:tcPr>
            <w:tcW w:w="987" w:type="dxa"/>
          </w:tcPr>
          <w:p w14:paraId="6200338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5" w:type="dxa"/>
          </w:tcPr>
          <w:p w14:paraId="3CC5979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ΣΥΝΟΛΙΚΕΣ ΘΕΣΕΙΣ ΣΕ ΒΑΣΙΚΑ ΕΜΠΟΡΕΥΜΑΤΑ</w:t>
            </w:r>
          </w:p>
          <w:p w14:paraId="0356262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p>
          <w:p w14:paraId="1B02378E" w14:textId="7E4205C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Θέσεις σε βασικά εμπορεύματα και οι αντίστοιχες απαιτήσεις ιδίων κεφαλαίων τους για τον κίνδυνο αγοράς, υπολογιζόμενες σύμφωνα με το άρθρο 92 παράγραφος 4 στοιχείο γ) του κανονισμού (ΕΕ) αριθ. 575/2013 και το τρίτο μέρος τίτλος IV κεφάλαιο 4 του εν λόγω κανονισμού. </w:t>
            </w:r>
          </w:p>
        </w:tc>
      </w:tr>
      <w:tr w:rsidR="000B0B09" w:rsidRPr="002D60D7" w14:paraId="216F1AEE" w14:textId="77777777" w:rsidTr="00672D2A">
        <w:tc>
          <w:tcPr>
            <w:tcW w:w="987" w:type="dxa"/>
          </w:tcPr>
          <w:p w14:paraId="62D08C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0020-0060</w:t>
            </w:r>
          </w:p>
        </w:tc>
        <w:tc>
          <w:tcPr>
            <w:tcW w:w="7875" w:type="dxa"/>
          </w:tcPr>
          <w:p w14:paraId="759E579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ΘΕΣΕΙΣ ΑΝΑ ΚΑΤΗΓΟΡΙΑ ΒΑΣΙΚΩΝ ΕΜΠΟΡΕΥΜΑΤΩΝ</w:t>
            </w:r>
          </w:p>
          <w:p w14:paraId="5692188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DC33454" w14:textId="09121CFD"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Για τους σκοπούς υποβολής αναφορών, τα βασικά εμπορεύματα ομαδοποιούνται στις τέσσερις ομάδες που αναφέρονται στον πίνακα 2 του άρθρου 361 του κανονισμού (ΕΕ) αριθ. 575/2013.</w:t>
            </w:r>
          </w:p>
          <w:p w14:paraId="04BB531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50CBB22D" w14:textId="77777777" w:rsidTr="00672D2A">
        <w:tc>
          <w:tcPr>
            <w:tcW w:w="987" w:type="dxa"/>
          </w:tcPr>
          <w:p w14:paraId="3E68EF2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5" w:type="dxa"/>
          </w:tcPr>
          <w:p w14:paraId="5AACA5E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ΠΡΟΣΕΓΓΙΣΗ ΜΕ ΒΑΣΗ ΤΟΝ ΠΙΝΑΚΑ ΛΗΚΤΟΤΗΤΑΣ</w:t>
            </w:r>
          </w:p>
          <w:p w14:paraId="2C667CB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2CB6FD7" w14:textId="0EBD6A7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Θέσεις σε βασικά εμπορεύματα που υπόκεινται στην προσέγγιση με βάση τον πίνακα ληκτότητας, όπως προβλέπεται στο άρθρο 359 του κανονισμού (ΕΕ) αριθ. 575/2013.</w:t>
            </w:r>
          </w:p>
          <w:p w14:paraId="018E7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D4187B0" w14:textId="77777777" w:rsidTr="00672D2A">
        <w:tc>
          <w:tcPr>
            <w:tcW w:w="987" w:type="dxa"/>
          </w:tcPr>
          <w:p w14:paraId="317F571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5" w:type="dxa"/>
          </w:tcPr>
          <w:p w14:paraId="7D3D047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ΔΙΕΥΡΥΜΕΝΗ ΠΡΟΣΕΓΓΙΣΗ ΜΕ ΒΑΣΗ ΤΟΝ ΠΙΝΑΚΑ ΛΗΚΤΟΤΗΤΑΣ</w:t>
            </w:r>
          </w:p>
          <w:p w14:paraId="28E2284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72FB876" w14:textId="13AA387E"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Θέσεις σε βασικά εμπορεύματα που υπόκεινται στη διευρυμένη προσέγγιση με βάση τον πίνακα ληκτότητας, όπως προβλέπεται στο άρθρο 361 του κανονισμού (ΕΕ) αριθ. 575/2013.</w:t>
            </w:r>
          </w:p>
          <w:p w14:paraId="4CC42EB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8D8BBC0" w14:textId="77777777" w:rsidTr="00672D2A">
        <w:tc>
          <w:tcPr>
            <w:tcW w:w="987" w:type="dxa"/>
          </w:tcPr>
          <w:p w14:paraId="75FF36E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0090</w:t>
            </w:r>
          </w:p>
        </w:tc>
        <w:tc>
          <w:tcPr>
            <w:tcW w:w="7875" w:type="dxa"/>
          </w:tcPr>
          <w:p w14:paraId="5AEA8FE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ΑΠΛΟΥΣΤΕΥΜΕΝΗ ΠΡΟΣΕΓΓΙΣΗ</w:t>
            </w:r>
          </w:p>
          <w:p w14:paraId="739EF26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3C6F5D9" w14:textId="7485AEDA"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Θέσεις σε βασικά εμπορεύματα που υπόκεινται στην απλουστευμένη προσέγγιση, όπως προβλέπεται στο άρθρο 360 του κανονισμού (ΕΕ) αριθ. 575/2013. </w:t>
            </w:r>
          </w:p>
          <w:p w14:paraId="72D24CC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6AF081D" w14:textId="77777777" w:rsidTr="00672D2A">
        <w:tc>
          <w:tcPr>
            <w:tcW w:w="987" w:type="dxa"/>
          </w:tcPr>
          <w:p w14:paraId="7DA76A9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0100-0140</w:t>
            </w:r>
          </w:p>
        </w:tc>
        <w:tc>
          <w:tcPr>
            <w:tcW w:w="7875" w:type="dxa"/>
          </w:tcPr>
          <w:p w14:paraId="1AB2469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ΠΡΟΣΘΕΤΕΣ ΑΠΑΙΤΗΣΕΙΣ ΓΙΑ ΤΑ ΔΙΚΑΙΩΜΑΤΑ ΠΡΟΑΙΡΕΣΗΣ (ΚΙΝΔΥΝΟΙ ΠΟΥ ΔΕΝ ΥΠΟΚΕΙΝΤΑΙ ΣΤΟΝ ΣΥΝΤΕΛΕΣΤΗ ΔΕΛΤΑ)</w:t>
            </w:r>
          </w:p>
          <w:p w14:paraId="444B7110" w14:textId="08585130"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Άρθρο 358 παράγραφος 4 του κανονισμού (ΕΕ) αριθ. 575/2013 </w:t>
            </w:r>
          </w:p>
          <w:p w14:paraId="1D3D5AF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Οι πρόσθετες απαιτήσεις για τα δικαιώματα προαίρεσης που σχετίζονται με κινδύνους που δεν υπόκεινται στον συντελεστή δέλτα αναφέρονται στη μέθοδο που χρησιμοποιείται για τον υπολογισμό τους.</w:t>
            </w:r>
          </w:p>
          <w:p w14:paraId="55D77BA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tc>
      </w:tr>
    </w:tbl>
    <w:p w14:paraId="43D70997" w14:textId="77777777" w:rsidR="000B0B09" w:rsidRPr="002D60D7" w:rsidRDefault="000B0B09" w:rsidP="004C445F">
      <w:pPr>
        <w:suppressAutoHyphens/>
        <w:rPr>
          <w:rFonts w:ascii="Times New Roman" w:hAnsi="Times New Roman"/>
          <w:sz w:val="24"/>
        </w:rPr>
      </w:pPr>
    </w:p>
    <w:p w14:paraId="60EF2674" w14:textId="77777777" w:rsidR="000B0B09" w:rsidRPr="002D60D7" w:rsidRDefault="000B0B09" w:rsidP="004C445F">
      <w:pPr>
        <w:suppressAutoHyphens/>
        <w:spacing w:before="0" w:after="0"/>
        <w:jc w:val="left"/>
        <w:rPr>
          <w:rStyle w:val="InstructionsTabelleText"/>
          <w:rFonts w:ascii="Times New Roman" w:hAnsi="Times New Roman"/>
          <w:sz w:val="24"/>
        </w:rPr>
      </w:pPr>
    </w:p>
    <w:p w14:paraId="47562548" w14:textId="0B23E4C1" w:rsidR="005970B6" w:rsidRPr="002D60D7" w:rsidRDefault="00C82BBD" w:rsidP="004C445F">
      <w:pPr>
        <w:pStyle w:val="Instructionsberschrift2"/>
        <w:numPr>
          <w:ilvl w:val="0"/>
          <w:numId w:val="0"/>
        </w:numPr>
        <w:suppressAutoHyphens/>
        <w:ind w:left="357" w:hanging="357"/>
        <w:rPr>
          <w:rFonts w:ascii="Times New Roman" w:hAnsi="Times New Roman"/>
          <w:sz w:val="24"/>
        </w:rPr>
      </w:pPr>
      <w:bookmarkStart w:id="158" w:name="_Toc210914203"/>
      <w:r>
        <w:rPr>
          <w:rFonts w:ascii="Times New Roman" w:hAnsi="Times New Roman"/>
          <w:sz w:val="24"/>
        </w:rPr>
        <w:t>8.</w:t>
      </w:r>
      <w:r>
        <w:tab/>
      </w:r>
      <w:r>
        <w:rPr>
          <w:rFonts w:ascii="Times New Roman" w:hAnsi="Times New Roman"/>
          <w:sz w:val="24"/>
        </w:rPr>
        <w:t>C 24.00 – Εσωτερικό υπόδειγμα κινδύνου αγοράς (MKR IM)</w:t>
      </w:r>
      <w:bookmarkEnd w:id="158"/>
    </w:p>
    <w:p w14:paraId="4EE11059" w14:textId="6831F2FC"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59" w:name="_Toc151714505"/>
      <w:bookmarkStart w:id="160" w:name="_Toc210914204"/>
      <w:r>
        <w:rPr>
          <w:rFonts w:ascii="Times New Roman" w:hAnsi="Times New Roman"/>
          <w:sz w:val="24"/>
          <w:u w:val="none"/>
        </w:rPr>
        <w:t>8.1.</w:t>
      </w:r>
      <w:r w:rsidRPr="00861C69">
        <w:rPr>
          <w:u w:val="none"/>
        </w:rPr>
        <w:tab/>
      </w:r>
      <w:r>
        <w:rPr>
          <w:rFonts w:ascii="Times New Roman" w:hAnsi="Times New Roman"/>
          <w:sz w:val="24"/>
        </w:rPr>
        <w:t>Γενικές παρατηρήσεις</w:t>
      </w:r>
      <w:bookmarkEnd w:id="159"/>
      <w:bookmarkEnd w:id="160"/>
    </w:p>
    <w:p w14:paraId="2B3D1454" w14:textId="708078C0" w:rsidR="005970B6" w:rsidRPr="002D60D7" w:rsidRDefault="005970B6" w:rsidP="00E172EA">
      <w:pPr>
        <w:pStyle w:val="InstructionsText2"/>
        <w:numPr>
          <w:ilvl w:val="0"/>
          <w:numId w:val="29"/>
        </w:numPr>
        <w:suppressAutoHyphens/>
      </w:pPr>
      <w:r>
        <w:t>Στο συγκεκριμένο υπόδειγμα παρουσιάζεται η κατανομή των τιμών δυνητικής ζημίας (VaR) και δυνητικής ζημίας ακραίων συνθηκών (sVaR), με βάση τους διαφόρους κινδύνους αγοράς (χρεωστικοί τίτλοι, μετοχικοί τίτλοι, συνάλλαγμα, βασικά εμπορεύματα), και άλλες πληροφορίες που αφορούν τον υπολογισμό των απαιτήσεων ιδίων κεφαλαίων.</w:t>
      </w:r>
    </w:p>
    <w:p w14:paraId="6141A6DE" w14:textId="106A2D11" w:rsidR="005970B6" w:rsidRDefault="005970B6" w:rsidP="00E172EA">
      <w:pPr>
        <w:pStyle w:val="InstructionsText2"/>
        <w:numPr>
          <w:ilvl w:val="0"/>
          <w:numId w:val="29"/>
        </w:numPr>
        <w:suppressAutoHyphens/>
      </w:pPr>
      <w:r>
        <w:t xml:space="preserve">Γενικά, εξαρτάται από τη δομή του υποδείγματος των επιχειρήσεων επενδύσεων, δηλαδή από το εάν τα στοιχεία για τον γενικό και τον ειδικό κίνδυνο μπορούν να καθοριστούν και να υποβληθούν χωριστά ή μόνον ως σύνολο. Το ίδιο ισχύει για την ανάλυση της δυνητικής ζημίας/δυνητικής ζημίας ακραίων συνθηκών στις κατηγορίες κινδύνου (κίνδυνος επιτοκίου, κίνδυνος μετοχικών τίτλων, κίνδυνος βασικού εμπορεύματος και κίνδυνος συναλλάγματος). Ένα ίδρυμα δύναται να αποφύγει την υποβολή αυτών των αναλύσεων, εάν αποδείξει ότι η αναφορά των εν λόγω στοιχείων είναι υπερβολικά επαχθής. </w:t>
      </w:r>
    </w:p>
    <w:p w14:paraId="2EAB7003" w14:textId="035AB67F"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61" w:name="_Toc151714506"/>
      <w:bookmarkStart w:id="162" w:name="_Toc210914205"/>
      <w:r>
        <w:rPr>
          <w:rFonts w:ascii="Times New Roman" w:hAnsi="Times New Roman"/>
          <w:sz w:val="24"/>
          <w:u w:val="none"/>
        </w:rPr>
        <w:t>8.2.</w:t>
      </w:r>
      <w:r w:rsidRPr="00861C69">
        <w:rPr>
          <w:u w:val="none"/>
        </w:rPr>
        <w:tab/>
      </w:r>
      <w:r>
        <w:rPr>
          <w:rFonts w:ascii="Times New Roman" w:hAnsi="Times New Roman"/>
          <w:sz w:val="24"/>
        </w:rPr>
        <w:t>Οδηγίες για συγκεκριμένες θέσεις</w:t>
      </w:r>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69"/>
      </w:tblGrid>
      <w:tr w:rsidR="005970B6" w:rsidRPr="002D60D7" w14:paraId="2AB574E2" w14:textId="77777777">
        <w:tc>
          <w:tcPr>
            <w:tcW w:w="8862" w:type="dxa"/>
            <w:gridSpan w:val="2"/>
            <w:shd w:val="clear" w:color="auto" w:fill="BFBFBF"/>
          </w:tcPr>
          <w:p w14:paraId="01F4E3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Στήλες</w:t>
            </w:r>
          </w:p>
        </w:tc>
      </w:tr>
      <w:tr w:rsidR="005970B6" w:rsidRPr="002D60D7" w14:paraId="52E77425" w14:textId="77777777">
        <w:tc>
          <w:tcPr>
            <w:tcW w:w="993" w:type="dxa"/>
          </w:tcPr>
          <w:p w14:paraId="0E51BB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69" w:type="dxa"/>
          </w:tcPr>
          <w:p w14:paraId="7095CD1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Δυνητική ζημία (VaR)</w:t>
            </w:r>
          </w:p>
          <w:p w14:paraId="3DE9F1A1"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Είναι η μέγιστη ενδεχόμενη ζημία που θα προέκυπτε από μια μεταβολή τιμών με δεδομένη πιθανότητα σε συγκεκριμένο χρονικό ορίζοντα.</w:t>
            </w:r>
          </w:p>
        </w:tc>
      </w:tr>
      <w:tr w:rsidR="005970B6" w:rsidRPr="002D60D7" w14:paraId="0C4757E9" w14:textId="77777777">
        <w:tc>
          <w:tcPr>
            <w:tcW w:w="993" w:type="dxa"/>
          </w:tcPr>
          <w:p w14:paraId="145F944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69" w:type="dxa"/>
          </w:tcPr>
          <w:p w14:paraId="31C8EDD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Πολλαπλασιαστικός συντελεστής (mc) x Μέσος όρος της δυνητικής ζημίας των προηγούμενων 60 εργάσιμων ημερών (VaRavg)</w:t>
            </w:r>
          </w:p>
          <w:p w14:paraId="04584C5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4A7537D0" w14:textId="7FFEC14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 xml:space="preserve">Άρθρο 364 παράγραφος 1 στοιχείο α) σημείο ii) και άρθρο 365 παράγραφος 1 του κανονισμού (ΕΕ) αριθ. 575/2013 </w:t>
            </w:r>
          </w:p>
          <w:p w14:paraId="0DEB05BA"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072FF466" w14:textId="77777777">
        <w:tc>
          <w:tcPr>
            <w:tcW w:w="993" w:type="dxa"/>
          </w:tcPr>
          <w:p w14:paraId="280446F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0040</w:t>
            </w:r>
          </w:p>
        </w:tc>
        <w:tc>
          <w:tcPr>
            <w:tcW w:w="7869" w:type="dxa"/>
          </w:tcPr>
          <w:p w14:paraId="4723F4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Δυνητική ζημία προηγούμενης ημέρας (VaRt-1)</w:t>
            </w:r>
          </w:p>
          <w:p w14:paraId="4954CEF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559586B7" w14:textId="29F64A6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Άρθρο 364 παράγραφος 1 στοιχείο α) σημείο i) και άρθρο 365 παράγραφος 1 του κανονισμού (ΕΕ) αριθ. 575/2013 </w:t>
            </w:r>
          </w:p>
          <w:p w14:paraId="645E0D45"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301A77B0" w14:textId="77777777">
        <w:tc>
          <w:tcPr>
            <w:tcW w:w="993" w:type="dxa"/>
          </w:tcPr>
          <w:p w14:paraId="55BFA8D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69" w:type="dxa"/>
          </w:tcPr>
          <w:p w14:paraId="34BD64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Δυνητική ζημία ακραίων συνθηκών (sVaR)</w:t>
            </w:r>
          </w:p>
          <w:p w14:paraId="60CDE98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68464C3"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Είναι η μέγιστη ενδεχόμενη ζημία που θα προέκυπτε από μια μεταβολή τιμών με δεδομένη πιθανότητα σε συγκεκριμένο χρονικό ορίζοντα, η οποία υπολογίζεται με τη χρησιμοποίηση εισροών ελεγμένων σύμφωνα με ιστορικά δεδομένα από μια συνεχή δωδεκάμηνη περίοδο σημαντικών ακραίων χρηματοοικονομικών συνθηκών συναφών προς το χαρτοφυλάκιο του ιδρύματος.</w:t>
            </w:r>
          </w:p>
        </w:tc>
      </w:tr>
      <w:tr w:rsidR="005970B6" w:rsidRPr="002D60D7" w14:paraId="3411CEBC" w14:textId="77777777">
        <w:tc>
          <w:tcPr>
            <w:tcW w:w="993" w:type="dxa"/>
          </w:tcPr>
          <w:p w14:paraId="026E758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69" w:type="dxa"/>
          </w:tcPr>
          <w:p w14:paraId="629F86A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Πολλαπλασιαστικός συντελεστής (ms) x Μέσος όρος της δυνητικής ζημίας ακραίων συνθηκών των προηγούμενων 60 εργάσιμων ημερών (SVaRavg)</w:t>
            </w:r>
          </w:p>
          <w:p w14:paraId="1CFE4B08"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p w14:paraId="62913484" w14:textId="351187F2"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b w:val="0"/>
                <w:bCs w:val="0"/>
                <w:sz w:val="24"/>
              </w:rPr>
            </w:pPr>
            <w:r>
              <w:rPr>
                <w:rFonts w:ascii="Times New Roman" w:hAnsi="Times New Roman"/>
                <w:sz w:val="24"/>
              </w:rPr>
              <w:t>Άρθρο 364 παράγραφος 1 στοιχείο β) σημείο ii) και άρθρο 365 παράγραφος 1 του κανονισμού (ΕΕ) αριθ. 575/2013</w:t>
            </w:r>
            <w:r>
              <w:rPr>
                <w:rStyle w:val="InstructionsTabelleberschrift"/>
                <w:rFonts w:ascii="Times New Roman" w:hAnsi="Times New Roman"/>
                <w:sz w:val="24"/>
              </w:rPr>
              <w:t xml:space="preserve"> </w:t>
            </w:r>
          </w:p>
          <w:p w14:paraId="77989826"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tc>
      </w:tr>
      <w:tr w:rsidR="005970B6" w:rsidRPr="002D60D7" w14:paraId="41A38D20" w14:textId="77777777">
        <w:tc>
          <w:tcPr>
            <w:tcW w:w="993" w:type="dxa"/>
          </w:tcPr>
          <w:p w14:paraId="2A34CF8D"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69" w:type="dxa"/>
          </w:tcPr>
          <w:p w14:paraId="470B121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Τελευταία διαθέσιμη (SVaRt-1)</w:t>
            </w:r>
          </w:p>
          <w:p w14:paraId="0EC2BDB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5FF53E38" w14:textId="0054C4C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Άρθρο 364 παράγραφος 1 στοιχείο β) σημείο i) και άρθρο 365 παράγραφος 1 του κανονισμού (ΕΕ) αριθ. 575/2013 </w:t>
            </w:r>
          </w:p>
          <w:p w14:paraId="5E60C64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de-DE"/>
              </w:rPr>
            </w:pPr>
          </w:p>
        </w:tc>
      </w:tr>
      <w:tr w:rsidR="005970B6" w:rsidRPr="002D60D7" w14:paraId="7F2569E5" w14:textId="77777777">
        <w:tc>
          <w:tcPr>
            <w:tcW w:w="993" w:type="dxa"/>
          </w:tcPr>
          <w:p w14:paraId="3A69DD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0070-0080</w:t>
            </w:r>
          </w:p>
        </w:tc>
        <w:tc>
          <w:tcPr>
            <w:tcW w:w="7869" w:type="dxa"/>
          </w:tcPr>
          <w:p w14:paraId="0A6B8E3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ΚΕΦΑΛΑΙΑΚΗ ΕΠΙΒΑΡΥΝΣΗ ΓΙΑ ΕΠΙΠΡΟΣΘΕΤΟΥΣ ΚΙΝΔΥΝΟΥΣ ΑΘΕΤΗΣΗΣ ΚΑΙ ΜΕΤΑΒΟΛΗΣ ΤΗΣ ΠΙΣΤΟΛΗΠΤΙΚΗΣ ΑΞΙΟΛΟΓΗΣΗΣ</w:t>
            </w:r>
          </w:p>
          <w:p w14:paraId="5B3AF066" w14:textId="72000B27" w:rsidR="005970B6" w:rsidRPr="002D60D7" w:rsidRDefault="005970B6" w:rsidP="004C445F">
            <w:pPr>
              <w:suppressAutoHyphens/>
              <w:rPr>
                <w:rFonts w:ascii="Times New Roman" w:hAnsi="Times New Roman"/>
                <w:b/>
                <w:bCs/>
                <w:sz w:val="24"/>
                <w:u w:val="single"/>
              </w:rPr>
            </w:pPr>
            <w:r>
              <w:rPr>
                <w:rFonts w:ascii="Times New Roman" w:hAnsi="Times New Roman"/>
                <w:sz w:val="24"/>
              </w:rPr>
              <w:t xml:space="preserve">Ως πρόσθετη κεφαλαιακή επιβάρυνση για κινδύνους αθέτησης και μεταβολής της πιστοληπτικής αξιολόγησης ορίζεται η μέγιστη ενδεχόμενη ζημία που θα προέκυπτε από μεταβολή τιμών συνδεδεμένη με κινδύνους αθέτησης και μεταβολής της πιστοληπτικής αξιολόγησης, η οποία υπολογίζεται σύμφωνα με το άρθρο 364 παράγραφος 2 στοιχείο β), σε συνδυασμό με το τρίτο μέρος τίτλος IV κεφάλαιο 5 τμήμα 4 του κανονισμού (ΕΕ) αριθ. 575/2013. </w:t>
            </w:r>
          </w:p>
        </w:tc>
      </w:tr>
      <w:tr w:rsidR="005970B6" w:rsidRPr="002D60D7" w14:paraId="17515745" w14:textId="77777777">
        <w:tc>
          <w:tcPr>
            <w:tcW w:w="993" w:type="dxa"/>
          </w:tcPr>
          <w:p w14:paraId="595C652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69" w:type="dxa"/>
          </w:tcPr>
          <w:p w14:paraId="48A1B02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Μέση μέτρηση 12 εβδομάδων</w:t>
            </w:r>
          </w:p>
          <w:p w14:paraId="7DF0D03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1A6FCED4" w14:textId="280A30E8"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Άρθρο 364 παράγραφος 2 στοιχείο β) σημείο ii) σε συνδυασμό με το τρίτο μέρος τίτλος IV κεφάλαιο 5 τμήμα 4 του κανονισμού (ΕΕ) αριθ. 575/2013</w:t>
            </w:r>
          </w:p>
          <w:p w14:paraId="4E5E6B9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2AD55A6" w14:textId="77777777">
        <w:tc>
          <w:tcPr>
            <w:tcW w:w="993" w:type="dxa"/>
          </w:tcPr>
          <w:p w14:paraId="268DB16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69" w:type="dxa"/>
          </w:tcPr>
          <w:p w14:paraId="24DAC2B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Τελευταία μέτρηση</w:t>
            </w:r>
          </w:p>
          <w:p w14:paraId="776D80B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3EF08F5A" w14:textId="1718D564"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Άρθρο 364 παράγραφος 2 στοιχείο β) σημείο i) σε συνδυασμό με το τρίτο μέρος τίτλος IV κεφάλαιο 5 τμήμα 4 του κανονισμού (ΕΕ) αριθ. 575/2013</w:t>
            </w:r>
          </w:p>
          <w:p w14:paraId="2DB84E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6406A7A" w14:textId="77777777">
        <w:tc>
          <w:tcPr>
            <w:tcW w:w="993" w:type="dxa"/>
          </w:tcPr>
          <w:p w14:paraId="1EBB8F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0090-0110</w:t>
            </w:r>
          </w:p>
        </w:tc>
        <w:tc>
          <w:tcPr>
            <w:tcW w:w="7869" w:type="dxa"/>
          </w:tcPr>
          <w:p w14:paraId="1C6A0111"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ΚΕΦΑΛΑΙΑΚΗ ΕΠΙΒΑΡΥΝΣΗ ΓΙΑ ΟΛΟΥΣ ΤΟΥΣ ΚΙΝΔΥΝΟΥΣ ΤΙΜΩΝ ΓΙΑ ΤΟ ΧΑΡΤΟΦΥΛΑΚΙΟ ΔΙΑΠΡΑΓΜΑΤΕΥΣΗΣ ΣΥΣΧΕΤΙΣΕΩΝ (CTP)</w:t>
            </w:r>
          </w:p>
          <w:p w14:paraId="29B7ABA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616A8BA" w14:textId="77777777">
        <w:tc>
          <w:tcPr>
            <w:tcW w:w="993" w:type="dxa"/>
          </w:tcPr>
          <w:p w14:paraId="7041912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69" w:type="dxa"/>
          </w:tcPr>
          <w:p w14:paraId="1E696B6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ΚΑΤΩΤΑΤΟ ΟΡΙΟ</w:t>
            </w:r>
          </w:p>
          <w:p w14:paraId="4D4AA5D6" w14:textId="77777777" w:rsidR="005970B6" w:rsidRPr="002D60D7" w:rsidRDefault="005970B6" w:rsidP="004C445F">
            <w:pPr>
              <w:suppressAutoHyphens/>
              <w:rPr>
                <w:rFonts w:ascii="Times New Roman" w:hAnsi="Times New Roman"/>
                <w:sz w:val="24"/>
              </w:rPr>
            </w:pPr>
            <w:r>
              <w:rPr>
                <w:rFonts w:ascii="Times New Roman" w:hAnsi="Times New Roman"/>
                <w:sz w:val="24"/>
              </w:rPr>
              <w:t>Άρθρο 364 παράγραφος 3 στοιχείο γ) του κανονισμού (ΕΕ) αριθ. 575/2013</w:t>
            </w:r>
          </w:p>
          <w:p w14:paraId="43C8E4E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8 % της κεφαλαιακής επιβάρυνσης που υπολογίζεται σύμφωνα με το άρθρο 338 παράγραφος 1 του κανονισμού (ΕΕ) αριθ. 575/2013 για όλες τις θέσεις στην κεφαλαιακή επιβάρυνση για όλους τους κινδύνους τιμών.</w:t>
            </w:r>
            <w:r>
              <w:rPr>
                <w:rFonts w:ascii="Times New Roman" w:hAnsi="Times New Roman"/>
                <w:b/>
                <w:sz w:val="24"/>
                <w:u w:val="single"/>
              </w:rPr>
              <w:t xml:space="preserve"> </w:t>
            </w:r>
          </w:p>
          <w:p w14:paraId="0D02237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8CB1AF7" w14:textId="77777777">
        <w:tc>
          <w:tcPr>
            <w:tcW w:w="993" w:type="dxa"/>
          </w:tcPr>
          <w:p w14:paraId="4E53B90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0100-0110</w:t>
            </w:r>
          </w:p>
        </w:tc>
        <w:tc>
          <w:tcPr>
            <w:tcW w:w="7869" w:type="dxa"/>
          </w:tcPr>
          <w:p w14:paraId="7CEDB94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ΜΕΣΗ ΜΕΤΡΗΣΗ 12 ΕΒΔΟΜΑΔΩΝ ΚΑΙ ΤΕΛΕΥΤΑΙΑ ΜΕΤΡΗΣΗ</w:t>
            </w:r>
          </w:p>
          <w:p w14:paraId="46EA9990" w14:textId="77777777" w:rsidR="005970B6" w:rsidRPr="002D60D7" w:rsidRDefault="005970B6" w:rsidP="004C445F">
            <w:pPr>
              <w:suppressAutoHyphens/>
              <w:autoSpaceDE w:val="0"/>
              <w:autoSpaceDN w:val="0"/>
              <w:adjustRightInd w:val="0"/>
              <w:spacing w:after="0"/>
              <w:rPr>
                <w:rFonts w:ascii="Times New Roman" w:hAnsi="Times New Roman"/>
                <w:bCs/>
                <w:sz w:val="24"/>
              </w:rPr>
            </w:pPr>
            <w:r>
              <w:rPr>
                <w:rFonts w:ascii="Times New Roman" w:hAnsi="Times New Roman"/>
                <w:sz w:val="24"/>
              </w:rPr>
              <w:t>Άρθρο 364 παράγραφος 3 στοιχείο β) του κανονισμού (ΕΕ) αριθ. 575/2013</w:t>
            </w:r>
          </w:p>
          <w:p w14:paraId="3111F404" w14:textId="77777777" w:rsidR="005970B6" w:rsidRPr="002D60D7" w:rsidRDefault="005970B6" w:rsidP="004C445F">
            <w:pPr>
              <w:suppressAutoHyphens/>
              <w:autoSpaceDE w:val="0"/>
              <w:autoSpaceDN w:val="0"/>
              <w:adjustRightInd w:val="0"/>
              <w:spacing w:before="0" w:after="0"/>
              <w:rPr>
                <w:rFonts w:ascii="Times New Roman" w:hAnsi="Times New Roman"/>
                <w:bCs/>
                <w:sz w:val="24"/>
                <w:u w:val="single"/>
                <w:lang w:eastAsia="nl-BE"/>
              </w:rPr>
            </w:pPr>
          </w:p>
        </w:tc>
      </w:tr>
      <w:tr w:rsidR="005970B6" w:rsidRPr="002D60D7" w14:paraId="320867DB" w14:textId="77777777">
        <w:tc>
          <w:tcPr>
            <w:tcW w:w="993" w:type="dxa"/>
          </w:tcPr>
          <w:p w14:paraId="42D6439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69" w:type="dxa"/>
          </w:tcPr>
          <w:p w14:paraId="30EB7A67"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ΤΕΛΕΥΤΑΙΑ ΜΕΤΡΗΣΗ</w:t>
            </w:r>
          </w:p>
          <w:p w14:paraId="54C3A200" w14:textId="77777777" w:rsidR="005970B6" w:rsidRPr="002D60D7" w:rsidRDefault="005970B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Άρθρο 364 παράγραφος 3 στοιχείο α) του κανονισμού (ΕΕ) αριθ. 575/2013</w:t>
            </w:r>
          </w:p>
          <w:p w14:paraId="702AB9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6AF4AFCB" w14:textId="77777777">
        <w:tc>
          <w:tcPr>
            <w:tcW w:w="993" w:type="dxa"/>
          </w:tcPr>
          <w:p w14:paraId="0785063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69" w:type="dxa"/>
          </w:tcPr>
          <w:p w14:paraId="154C34A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ΑΠΑΙΤΗΣΕΙΣ ΙΔΙΩΝ ΚΕΦΑΛΑΙΩΝ</w:t>
            </w:r>
          </w:p>
          <w:p w14:paraId="278D1894" w14:textId="31D5182C"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Απαιτήσεις ιδίων κεφαλαίων όπως προβλέπεται στο άρθρο 364 του κανονισμού (ΕΕ) αριθ. 575/2013 για όλους τους παράγοντες κινδύνου, λαμβανομένων υπόψη των επιπτώσεων συσχέτισης, κατά περίπτωση, συν τους επιπρόσθετους κινδύνους αθέτησης και μεταβολής της πιστοληπτικής αξιολόγησης και όλους τους κινδύνους τιμών για το χαρτοφυλάκιο διαπραγμάτευσης συσχετίσεων, με την εξαίρεση της κεφαλαιακής επιβάρυνσης τιτλοποίησης για τιτλοποιήσεις και πιστωτικά παράγωγα νιοστού βαθμού αθέτησης, σύμφωνα με το άρθρο 364 παράγραφος 2 του εν λόγω κανονισμού </w:t>
            </w:r>
          </w:p>
        </w:tc>
      </w:tr>
      <w:tr w:rsidR="005970B6" w:rsidRPr="002D60D7" w14:paraId="321F7641" w14:textId="77777777">
        <w:tc>
          <w:tcPr>
            <w:tcW w:w="993" w:type="dxa"/>
          </w:tcPr>
          <w:p w14:paraId="4808EA4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w:t>
            </w:r>
          </w:p>
        </w:tc>
        <w:tc>
          <w:tcPr>
            <w:tcW w:w="7869" w:type="dxa"/>
          </w:tcPr>
          <w:p w14:paraId="191025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ΣΥΝΟΛΙΚΟ ΠΟΣΟ ΑΝΟΙΓΜΑΤΟΣ ΣΕ ΚΙΝΔΥΝΟ</w:t>
            </w:r>
          </w:p>
          <w:p w14:paraId="1B83D6B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2BD10046" w14:textId="2F594400"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Άρθρο 92 παράγραφος 6 στοιχείο β) του κανονισμού (ΕΕ) αριθ. 575/2013. </w:t>
            </w:r>
          </w:p>
          <w:p w14:paraId="0C045673" w14:textId="570D1A6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Αποτέλεσμα του πολλαπλασιασμού των απαιτήσεων ιδίων κεφαλαίων επί 12,5.</w:t>
            </w:r>
          </w:p>
          <w:p w14:paraId="1D75252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30D32EA" w14:textId="77777777">
        <w:tc>
          <w:tcPr>
            <w:tcW w:w="993" w:type="dxa"/>
          </w:tcPr>
          <w:p w14:paraId="7C0865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0140</w:t>
            </w:r>
          </w:p>
        </w:tc>
        <w:tc>
          <w:tcPr>
            <w:tcW w:w="7869" w:type="dxa"/>
          </w:tcPr>
          <w:p w14:paraId="69330FF8"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Αριθμός υπερβάσεων (κατά τις προηγούμενες 250 εργάσιμες ημέρες)</w:t>
            </w:r>
          </w:p>
          <w:p w14:paraId="66F88BE9"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Αναφέρεται στο άρθρο 366 του κανονισμού (ΕΕ) αριθ. 575/2013</w:t>
            </w:r>
          </w:p>
          <w:p w14:paraId="681C5C48" w14:textId="5946ADCD"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Αναφέρεται ο αριθμός υπερβάσεων βάσει των οποίων προσδιορίζεται ο προσθετέος. Όταν επιτρέπεται στις επιχειρήσεις επενδύσεων να εξαιρούν συγκεκριμένες υπερβάσεις από τον υπολογισμό του προσθετέου σύμφωνα με το άρθρο 500γ του κανονισμού (ΕΕ) αριθ. 575/2013, ο αριθμός των υπερβάσεων που αναφέρεται στη στήλη αυτή είναι μετά τις εν λόγω εξαιρούμενες υπερβάσεις.</w:t>
            </w:r>
          </w:p>
        </w:tc>
      </w:tr>
      <w:tr w:rsidR="005970B6" w:rsidRPr="002D60D7" w14:paraId="44599020" w14:textId="77777777">
        <w:tc>
          <w:tcPr>
            <w:tcW w:w="993" w:type="dxa"/>
          </w:tcPr>
          <w:p w14:paraId="4C66FF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0150-0160</w:t>
            </w:r>
          </w:p>
        </w:tc>
        <w:tc>
          <w:tcPr>
            <w:tcW w:w="7869" w:type="dxa"/>
          </w:tcPr>
          <w:p w14:paraId="26532024"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Πολλαπλασιαστικός συντελεστής δυνητικής ζημίας (mc) και πολλαπλασιαστικός συντελεστής δυνητικής ζημίας ακραίων συνθηκών (ms)</w:t>
            </w:r>
          </w:p>
          <w:p w14:paraId="5E04C211"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Όπως αναφέρεται στο άρθρο 366 του κανονισμού (ΕΕ) αριθ. 575/2013</w:t>
            </w:r>
          </w:p>
          <w:p w14:paraId="779600D5" w14:textId="77777777" w:rsidR="005970B6" w:rsidRPr="002D60D7" w:rsidRDefault="005970B6" w:rsidP="004C445F">
            <w:pPr>
              <w:suppressAutoHyphens/>
              <w:autoSpaceDE w:val="0"/>
              <w:autoSpaceDN w:val="0"/>
              <w:adjustRightInd w:val="0"/>
              <w:spacing w:before="0" w:after="0"/>
              <w:rPr>
                <w:rStyle w:val="InstructionsTabelleberschrift"/>
              </w:rPr>
            </w:pPr>
            <w:r>
              <w:rPr>
                <w:rFonts w:ascii="Times New Roman" w:hAnsi="Times New Roman"/>
                <w:sz w:val="24"/>
              </w:rPr>
              <w:t>Αναφέρονται οι πολλαπλασιαστικοί συντελεστές που εφαρμόζονται στην πράξη για τον υπολογισμό των απαιτήσεων ιδίων κεφαλαίων, κατά περίπτωση, μετά την εφαρμογή του άρθρου 500γ του κανονισμού (ΕΕ) αριθ. 575/2013.</w:t>
            </w:r>
          </w:p>
          <w:p w14:paraId="50AAD27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tc>
      </w:tr>
      <w:tr w:rsidR="005970B6" w:rsidRPr="002D60D7" w14:paraId="470DEC4A" w14:textId="77777777">
        <w:tc>
          <w:tcPr>
            <w:tcW w:w="993" w:type="dxa"/>
          </w:tcPr>
          <w:p w14:paraId="3AFAF47E"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0170-0180</w:t>
            </w:r>
          </w:p>
        </w:tc>
        <w:tc>
          <w:tcPr>
            <w:tcW w:w="7869" w:type="dxa"/>
          </w:tcPr>
          <w:p w14:paraId="48824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ΕΚΤΙΜΩΜΕΝΗ ΕΠΙΒΑΡΥΝΣΗ ΓΙΑ ΤΟ ΚΑΤΩΤΑΤΟ ΟΡΙΟ CTP – ΣΤΑΘΜΙΣΜΕΝΕΣ ΚΑΘΑΡΕΣ ΘΕΤΙΚΕΣ / ΑΡΝΗΤΙΚΕΣ ΘΕΣΕΙΣ ΜΕΤΑ ΤΟ ΑΝΩΤΑΤΟ ΟΡΙΟ</w:t>
            </w:r>
          </w:p>
          <w:p w14:paraId="494DC1BB" w14:textId="2CBA2FF8" w:rsidR="005970B6" w:rsidRPr="002D60D7" w:rsidRDefault="005970B6" w:rsidP="004C445F">
            <w:pPr>
              <w:suppressAutoHyphens/>
              <w:autoSpaceDE w:val="0"/>
              <w:autoSpaceDN w:val="0"/>
              <w:adjustRightInd w:val="0"/>
              <w:rPr>
                <w:rStyle w:val="InstructionsTabelleberschrift"/>
                <w:rFonts w:ascii="Times New Roman" w:hAnsi="Times New Roman"/>
                <w:sz w:val="24"/>
              </w:rPr>
            </w:pPr>
            <w:r>
              <w:rPr>
                <w:rFonts w:ascii="Times New Roman" w:hAnsi="Times New Roman"/>
                <w:sz w:val="24"/>
              </w:rPr>
              <w:t xml:space="preserve">Το ποσό που αναφέρεται και χρησιμεύει ως βάση για τον υπολογισμό της κεφαλαιακής επιβάρυνσης κατώτατου ορίου για όλους τους κινδύνους τιμών, σύμφωνα με το άρθρο 364 παράγραφος 3 στοιχείο γ) του κανονισμού (ΕΕ) αριθ. 575/2013, λαμβανομένης υπόψη της διακριτικής ευχέρειας του άρθρου 335 του εν λόγω κανονισμού, που ορίζει ότι το ίδρυμα δύναται να θέσει ανώτατο όριο στο γινόμενο του συντελεστή στάθμισης επί την καθαρή θέση το οποίο δεν θα υπερβαίνει τη μέγιστη πιθανή ζημία που σχετίζεται με τον κίνδυνο αθέτησης. </w:t>
            </w:r>
          </w:p>
        </w:tc>
      </w:tr>
    </w:tbl>
    <w:p w14:paraId="7C2EA60D" w14:textId="77777777" w:rsidR="005970B6" w:rsidRPr="002D60D7" w:rsidRDefault="005970B6" w:rsidP="004C445F">
      <w:pPr>
        <w:suppressAutoHyphens/>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03"/>
      </w:tblGrid>
      <w:tr w:rsidR="005970B6" w:rsidRPr="002D60D7" w14:paraId="708AEEEE" w14:textId="77777777" w:rsidTr="00332B2A">
        <w:trPr>
          <w:trHeight w:val="566"/>
        </w:trPr>
        <w:tc>
          <w:tcPr>
            <w:tcW w:w="8896" w:type="dxa"/>
            <w:gridSpan w:val="2"/>
            <w:shd w:val="clear" w:color="auto" w:fill="CCCCCC"/>
          </w:tcPr>
          <w:p w14:paraId="24A53264" w14:textId="77777777" w:rsidR="005970B6" w:rsidRPr="002D60D7" w:rsidRDefault="005970B6"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Γραμμές</w:t>
            </w:r>
          </w:p>
        </w:tc>
      </w:tr>
      <w:tr w:rsidR="005970B6" w:rsidRPr="002D60D7" w14:paraId="02CF19A0" w14:textId="77777777" w:rsidTr="00332B2A">
        <w:tc>
          <w:tcPr>
            <w:tcW w:w="993" w:type="dxa"/>
          </w:tcPr>
          <w:p w14:paraId="1CFD210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903" w:type="dxa"/>
          </w:tcPr>
          <w:p w14:paraId="35E94AC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ΣΥΝΟΛΙΚΕΣ ΘΕΣΕΙΣ</w:t>
            </w:r>
          </w:p>
          <w:p w14:paraId="51E6C5C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1D3F3FF0" w14:textId="7DCEF510"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Αντιστοιχεί στο μέρος του κινδύνου θέσης, συναλλάγματος και βασικού εμπορεύματος, που αναφέρεται στο άρθρο 363 παράγραφος 1 του κανονισμού (ΕΕ) αριθ. 575/2013, το οποίο συνδέεται με τους παράγοντες κινδύνου που αναφέρονται στο άρθρο 367 παράγραφος 2 του εν λόγω κανονισμού.</w:t>
            </w:r>
          </w:p>
          <w:p w14:paraId="1E849456"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Όσον αφορά τις στήλες 0030 έως 0060 (δυνητική ζημία και δυνητική ζημία ακραίων συνθηκών), οι τιμές στη γραμμή συνόλου δεν ισούνται με την ανάλυση των τιμών για τη δυνητική ζημία και τη δυνητική ζημία ακραίων συνθηκών των σχετικών συνιστωσών κινδύνου.</w:t>
            </w:r>
          </w:p>
          <w:p w14:paraId="5F3B58EB"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fr-FR"/>
              </w:rPr>
            </w:pPr>
          </w:p>
        </w:tc>
      </w:tr>
      <w:tr w:rsidR="005970B6" w:rsidRPr="002D60D7" w14:paraId="38DA43E4" w14:textId="77777777" w:rsidTr="00332B2A">
        <w:tc>
          <w:tcPr>
            <w:tcW w:w="993" w:type="dxa"/>
          </w:tcPr>
          <w:p w14:paraId="5E16B1F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w:t>
            </w:r>
          </w:p>
        </w:tc>
        <w:tc>
          <w:tcPr>
            <w:tcW w:w="7903" w:type="dxa"/>
          </w:tcPr>
          <w:p w14:paraId="27B63C5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ΔΙΑΠΡΑΓΜΑΤΕΥΣΙΜΟΙ ΧΡΕΩΣΤΙΚΟΙ ΤΙΤΛΟΙ</w:t>
            </w:r>
          </w:p>
          <w:p w14:paraId="15354D11" w14:textId="079C5AF5"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Αντιστοιχεί στο μέρος του κινδύνου θέσης που αναφέρεται στο άρθρο 363 παράγραφος 1 του κανονισμού (ΕΕ) αριθ. 575/2013, το οποίο συνδέεται με τους παράγοντες κινδύνου επιτοκίου που αναφέρονται στο άρθρο 367 παράγραφος 2 στοιχείο α) του εν λόγω κανονισμού.</w:t>
            </w:r>
          </w:p>
        </w:tc>
      </w:tr>
      <w:tr w:rsidR="005970B6" w:rsidRPr="002D60D7" w14:paraId="49E5F163" w14:textId="77777777" w:rsidTr="00332B2A">
        <w:tc>
          <w:tcPr>
            <w:tcW w:w="993" w:type="dxa"/>
          </w:tcPr>
          <w:p w14:paraId="286B5CF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903" w:type="dxa"/>
          </w:tcPr>
          <w:p w14:paraId="39D95E9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TDI – ΓΕΝΙΚΟΣ ΚΙΝΔΥΝΟΣ</w:t>
            </w:r>
          </w:p>
          <w:p w14:paraId="630ECD46" w14:textId="77777777"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 xml:space="preserve">Το σκέλος γενικού κινδύνου όπως αναφέρεται στο άρθρο 362 του κανονισμού (ΕΕ) αριθ. 575/2013 </w:t>
            </w:r>
          </w:p>
        </w:tc>
      </w:tr>
      <w:tr w:rsidR="005970B6" w:rsidRPr="002D60D7" w14:paraId="2085F588" w14:textId="77777777" w:rsidTr="00332B2A">
        <w:tc>
          <w:tcPr>
            <w:tcW w:w="993" w:type="dxa"/>
          </w:tcPr>
          <w:p w14:paraId="156A3F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903" w:type="dxa"/>
          </w:tcPr>
          <w:p w14:paraId="2815D7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TDI – ΕΙΔΙΚΟΣ ΚΙΝΔΥΝΟΣ</w:t>
            </w:r>
          </w:p>
          <w:p w14:paraId="6901AE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0092F321"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Το σκέλος ειδικού κινδύνου όπως αναφέρεται στο άρθρο 362 του κανονισμού (ΕΕ) αριθ. 575/2013 </w:t>
            </w:r>
          </w:p>
        </w:tc>
      </w:tr>
      <w:tr w:rsidR="005970B6" w:rsidRPr="002D60D7" w14:paraId="3B749D99" w14:textId="77777777" w:rsidTr="00332B2A">
        <w:tc>
          <w:tcPr>
            <w:tcW w:w="993" w:type="dxa"/>
          </w:tcPr>
          <w:p w14:paraId="4E29334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903" w:type="dxa"/>
          </w:tcPr>
          <w:p w14:paraId="1DA02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ΜΕΤΟΧΕΣ</w:t>
            </w:r>
          </w:p>
          <w:p w14:paraId="2467F6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436B16C8" w14:textId="145A0B19"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Αντιστοιχεί στο μέρος του κινδύνου θέσης που αναφέρεται στο άρθρο 363 παράγραφος 1 του κανονισμού (ΕΕ) αριθ. 575/2013, το οποίο συνδέεται με τους παράγοντες κινδύνου μετοχικών τίτλων που αναφέρονται στο άρθρο 367 παράγραφος 2 στοιχείο γ) του εν λόγω κανονισμού. </w:t>
            </w:r>
          </w:p>
          <w:p w14:paraId="7E55C50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B6B921A" w14:textId="77777777" w:rsidTr="00332B2A">
        <w:tc>
          <w:tcPr>
            <w:tcW w:w="993" w:type="dxa"/>
          </w:tcPr>
          <w:p w14:paraId="03CEBA6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0060</w:t>
            </w:r>
          </w:p>
        </w:tc>
        <w:tc>
          <w:tcPr>
            <w:tcW w:w="7903" w:type="dxa"/>
          </w:tcPr>
          <w:p w14:paraId="2CD176E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ΜΕΤΟΧΕΣ – ΓΕΝΙΚΟΣ ΚΙΝΔΥΝΟΣ</w:t>
            </w:r>
          </w:p>
          <w:p w14:paraId="7ACC51D0"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Το σκέλος γενικού κινδύνου όπως αναφέρεται στο άρθρο 362 του κανονισμού (ΕΕ) αριθ. 575/2013</w:t>
            </w:r>
          </w:p>
        </w:tc>
      </w:tr>
      <w:tr w:rsidR="005970B6" w:rsidRPr="002D60D7" w14:paraId="50D0A347" w14:textId="77777777" w:rsidTr="00332B2A">
        <w:tc>
          <w:tcPr>
            <w:tcW w:w="993" w:type="dxa"/>
          </w:tcPr>
          <w:p w14:paraId="38D0948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903" w:type="dxa"/>
          </w:tcPr>
          <w:p w14:paraId="34DF223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ΜΕΤΟΧΕΣ – ΕΙΔΙΚΟΣ ΚΙΝΔΥΝΟΣ</w:t>
            </w:r>
          </w:p>
          <w:p w14:paraId="6F314929"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Το σκέλος ειδικού κινδύνου όπως αναφέρεται στο άρθρο 362 του κανονισμού (ΕΕ) αριθ. 575/2013 </w:t>
            </w:r>
          </w:p>
        </w:tc>
      </w:tr>
      <w:tr w:rsidR="005970B6" w:rsidRPr="002D60D7" w14:paraId="5B986D45" w14:textId="77777777" w:rsidTr="00332B2A">
        <w:tc>
          <w:tcPr>
            <w:tcW w:w="993" w:type="dxa"/>
          </w:tcPr>
          <w:p w14:paraId="6F14BE8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903" w:type="dxa"/>
          </w:tcPr>
          <w:p w14:paraId="09DDEB7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ΚΙΝΔΥΝΟΣ ΣΥΝΑΛΛΑΓΜΑΤΟΣ</w:t>
            </w:r>
          </w:p>
          <w:p w14:paraId="219E93CA"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Άρθρο 363 παράγραφος 1 και άρθρο 367 παράγραφος 2 στοιχείο β) του κανονισμού (ΕΕ) αριθ. 575/2013</w:t>
            </w:r>
          </w:p>
        </w:tc>
      </w:tr>
      <w:tr w:rsidR="005970B6" w:rsidRPr="002D60D7" w14:paraId="6242B7DB" w14:textId="77777777" w:rsidTr="00332B2A">
        <w:tc>
          <w:tcPr>
            <w:tcW w:w="993" w:type="dxa"/>
          </w:tcPr>
          <w:p w14:paraId="01A4D573"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903" w:type="dxa"/>
          </w:tcPr>
          <w:p w14:paraId="2B9D470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ΚΙΝΔΥΝΟΣ ΒΑΣΙΚΩΝ ΕΜΠΟΡΕΥΜΑΤΩΝ</w:t>
            </w:r>
          </w:p>
          <w:p w14:paraId="4BBB0F31" w14:textId="4679FFC1"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Άρθρο 363 παράγραφος 1 και άρθρο 367 παράγραφος 2 στοιχείο δ) του κανονισμού (ΕΕ) αριθ. 575/2013 </w:t>
            </w:r>
          </w:p>
        </w:tc>
      </w:tr>
      <w:tr w:rsidR="005970B6" w:rsidRPr="002D60D7" w14:paraId="5165C26D" w14:textId="77777777" w:rsidTr="00332B2A">
        <w:tc>
          <w:tcPr>
            <w:tcW w:w="993" w:type="dxa"/>
          </w:tcPr>
          <w:p w14:paraId="349448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903" w:type="dxa"/>
          </w:tcPr>
          <w:p w14:paraId="379C8EA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ΣΥΝΟΛΙΚΟ ΠΟΣΟ ΓΙΑ ΓΕΝΙΚΟ ΚΙΝΔΥΝΟ</w:t>
            </w:r>
          </w:p>
          <w:p w14:paraId="0C19B9D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1FC56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Style w:val="InstructionsTabelleText"/>
                <w:rFonts w:ascii="Times New Roman" w:hAnsi="Times New Roman"/>
                <w:sz w:val="24"/>
              </w:rPr>
              <w:t xml:space="preserve">Κίνδυνος αγοράς που προκαλείται από γενικές κινήσεις αγοράς διαπραγματεύσιμων χρεωστικών τίτλων, μετοχών, συναλλάγματος και βασικών εμπορευμάτων. Δυνητική ζημία για τον γενικό κίνδυνο όλων των παραγόντων κινδύνου (λαμβανομένων υπόψη των επιπτώσεων των συσχετίσεων, κατά περίπτωση). </w:t>
            </w:r>
          </w:p>
          <w:p w14:paraId="58946EA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696301" w14:paraId="5EA545F0" w14:textId="77777777" w:rsidTr="00332B2A">
        <w:tc>
          <w:tcPr>
            <w:tcW w:w="993" w:type="dxa"/>
          </w:tcPr>
          <w:p w14:paraId="47E0AD8F"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903" w:type="dxa"/>
          </w:tcPr>
          <w:p w14:paraId="116F184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ΣΥΝΟΛΙΚΟ ΠΟΣΟ ΓΙΑ ΕΙΔΙΚΟ ΚΙΝΔΥΝΟ</w:t>
            </w:r>
          </w:p>
          <w:p w14:paraId="6E0205CC" w14:textId="77777777" w:rsidR="005970B6" w:rsidRPr="00696301" w:rsidRDefault="005970B6" w:rsidP="004C445F">
            <w:pPr>
              <w:suppressAutoHyphens/>
              <w:autoSpaceDE w:val="0"/>
              <w:autoSpaceDN w:val="0"/>
              <w:adjustRightInd w:val="0"/>
              <w:rPr>
                <w:rFonts w:ascii="Times New Roman" w:hAnsi="Times New Roman"/>
                <w:b/>
                <w:bCs/>
                <w:sz w:val="24"/>
                <w:u w:val="single"/>
              </w:rPr>
            </w:pPr>
            <w:r>
              <w:rPr>
                <w:rStyle w:val="InstructionsTabelleText"/>
                <w:rFonts w:ascii="Times New Roman" w:hAnsi="Times New Roman"/>
                <w:sz w:val="24"/>
              </w:rPr>
              <w:t>Συνιστώσα ειδικού κινδύνου διαπραγματεύσιμων χρεωστικών τίτλων και μετοχών. Δυνητική ζημία για τον ειδικό κίνδυνο μετοχικών τίτλων και διαπραγματεύσιμων χρεωστικών τίτλων του χαρτοφυλακίου συναλλαγών (λαμβανομένων υπόψη των επιπτώσεων των συσχετίσεων, κατά περίπτωση).</w:t>
            </w:r>
          </w:p>
        </w:tc>
      </w:tr>
    </w:tbl>
    <w:p w14:paraId="0578F882" w14:textId="77777777" w:rsidR="005970B6" w:rsidRPr="00696301" w:rsidRDefault="005970B6" w:rsidP="004C445F">
      <w:pPr>
        <w:suppressAutoHyphens/>
        <w:spacing w:before="0" w:after="0"/>
        <w:jc w:val="left"/>
        <w:rPr>
          <w:rStyle w:val="InstructionsTabelleText"/>
          <w:rFonts w:ascii="Times New Roman" w:hAnsi="Times New Roman"/>
          <w:sz w:val="24"/>
        </w:rPr>
      </w:pPr>
    </w:p>
    <w:p w14:paraId="59BBB927" w14:textId="10C25CE3" w:rsidR="00DD00B4" w:rsidRPr="00696301" w:rsidRDefault="0076375E" w:rsidP="004C445F">
      <w:pPr>
        <w:suppressAutoHyphens/>
        <w:spacing w:before="0" w:after="0"/>
        <w:jc w:val="left"/>
        <w:rPr>
          <w:rStyle w:val="InstructionsTabelleText"/>
          <w:rFonts w:ascii="Times New Roman" w:hAnsi="Times New Roman"/>
          <w:sz w:val="24"/>
        </w:rPr>
      </w:pPr>
      <w:r>
        <w:rPr>
          <w:rStyle w:val="InstructionsTabelleText"/>
          <w:rFonts w:ascii="Times New Roman" w:hAnsi="Times New Roman"/>
          <w:sz w:val="24"/>
        </w:rPr>
        <w:t>»</w:t>
      </w:r>
    </w:p>
    <w:sectPr w:rsidR="00DD00B4" w:rsidRPr="00696301" w:rsidSect="00B51F42">
      <w:headerReference w:type="even" r:id="rId17"/>
      <w:headerReference w:type="default" r:id="rId18"/>
      <w:footerReference w:type="even" r:id="rId19"/>
      <w:footerReference w:type="default" r:id="rId20"/>
      <w:headerReference w:type="first" r:id="rId21"/>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DA853" w14:textId="77777777" w:rsidR="00853599" w:rsidRDefault="00853599" w:rsidP="00D946DB">
      <w:pPr>
        <w:spacing w:before="0" w:after="0"/>
      </w:pPr>
      <w:r>
        <w:separator/>
      </w:r>
    </w:p>
  </w:endnote>
  <w:endnote w:type="continuationSeparator" w:id="0">
    <w:p w14:paraId="76D5E224" w14:textId="77777777" w:rsidR="00853599" w:rsidRDefault="00853599" w:rsidP="00D946DB">
      <w:pPr>
        <w:spacing w:before="0" w:after="0"/>
      </w:pPr>
      <w:r>
        <w:continuationSeparator/>
      </w:r>
    </w:p>
  </w:endnote>
  <w:endnote w:type="continuationNotice" w:id="1">
    <w:p w14:paraId="7BD82994" w14:textId="77777777" w:rsidR="00853599" w:rsidRDefault="0085359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EC Square Sans Cond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6FB1" w14:textId="77777777" w:rsidR="004E7DCF" w:rsidRDefault="004E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85E" w14:textId="7A2643B3" w:rsidR="00C3070C" w:rsidRPr="00ED1956" w:rsidRDefault="00C3070C">
    <w:pPr>
      <w:pStyle w:val="Footer"/>
      <w:jc w:val="right"/>
      <w:rPr>
        <w:rFonts w:ascii="Times New Roman" w:hAnsi="Times New Roman"/>
        <w:sz w:val="22"/>
        <w:szCs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p>
  <w:p w14:paraId="4D97BBA9" w14:textId="77777777" w:rsidR="00C3070C" w:rsidRDefault="00C3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102A" w14:textId="7C6C6999" w:rsidR="00C3070C" w:rsidRPr="00E85358" w:rsidRDefault="00C3070C">
    <w:pPr>
      <w:pStyle w:val="Footer"/>
      <w:jc w:val="right"/>
      <w:rPr>
        <w:sz w:val="22"/>
        <w:szCs w:val="22"/>
      </w:rP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14:paraId="0503D57B" w14:textId="77777777" w:rsidR="00C3070C" w:rsidRDefault="00C30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E4A5" w14:textId="77777777" w:rsidR="00C3070C" w:rsidRDefault="00C3070C">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68B5799" w14:textId="77777777" w:rsidR="00C3070C" w:rsidRDefault="00C307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5885" w14:textId="71A1082C" w:rsidR="00C3070C" w:rsidRPr="00ED1956" w:rsidRDefault="00C3070C">
    <w:pPr>
      <w:pStyle w:val="Footer"/>
      <w:jc w:val="right"/>
      <w:rPr>
        <w:rFonts w:ascii="Times New Roman" w:hAnsi="Times New Roman"/>
        <w:sz w:val="20"/>
        <w:szCs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sz w:val="20"/>
      </w:rPr>
      <w:t>42</w:t>
    </w:r>
    <w:r>
      <w:rPr>
        <w:rFonts w:ascii="Times New Roman" w:hAnsi="Times New Roman"/>
        <w:sz w:val="20"/>
      </w:rPr>
      <w:fldChar w:fldCharType="end"/>
    </w:r>
  </w:p>
  <w:p w14:paraId="416ED6B6" w14:textId="77777777" w:rsidR="00C3070C" w:rsidRPr="00A772B4" w:rsidRDefault="00C3070C"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104CE" w14:textId="77777777" w:rsidR="00853599" w:rsidRDefault="00853599" w:rsidP="00D946DB">
      <w:pPr>
        <w:spacing w:before="0" w:after="0"/>
      </w:pPr>
      <w:r>
        <w:separator/>
      </w:r>
    </w:p>
  </w:footnote>
  <w:footnote w:type="continuationSeparator" w:id="0">
    <w:p w14:paraId="53059EA9" w14:textId="77777777" w:rsidR="00853599" w:rsidRDefault="00853599" w:rsidP="00D946DB">
      <w:pPr>
        <w:spacing w:before="0" w:after="0"/>
      </w:pPr>
      <w:r>
        <w:continuationSeparator/>
      </w:r>
    </w:p>
  </w:footnote>
  <w:footnote w:type="continuationNotice" w:id="1">
    <w:p w14:paraId="598058AB" w14:textId="77777777" w:rsidR="00853599" w:rsidRDefault="00853599">
      <w:pPr>
        <w:spacing w:before="0" w:after="0"/>
      </w:pPr>
    </w:p>
  </w:footnote>
  <w:footnote w:id="2">
    <w:p w14:paraId="3507A652" w14:textId="1546AF66" w:rsidR="00C3070C" w:rsidRPr="00B828CC" w:rsidRDefault="00C3070C" w:rsidP="00C91751">
      <w:r>
        <w:rPr>
          <w:rStyle w:val="FootnoteReference"/>
        </w:rPr>
        <w:footnoteRef/>
      </w:r>
      <w:r>
        <w:t xml:space="preserve"> </w:t>
      </w:r>
      <w:r>
        <w:rPr>
          <w:rFonts w:ascii="Times New Roman" w:hAnsi="Times New Roman"/>
        </w:rPr>
        <w:t>Κατ’ εξουσιοδότηση κανονισμός (ΕΕ) αριθ. 525/2014 της Επιτροπής, της 12ης Μαρτίου 2014, για τη συμπλήρωση του κανονισμού (ΕΕ) αριθ. 575/2013 του Ευρωπαϊκού Κοινοβουλίου και του Συμβουλίου όσον αφορά τα ρυθμιστικά τεχνικά πρότυπα για τον ορισμό της αγοράς (ΕΕ L 148 της 20.5.2014, σ. 15</w:t>
      </w:r>
      <w:r>
        <w:t xml:space="preserve"> </w:t>
      </w:r>
      <w:r>
        <w:rPr>
          <w:rFonts w:ascii="Times New Roman" w:hAnsi="Times New Roman"/>
        </w:rPr>
        <w:t>ELI: http://data.europa.eu/eli/reg_del/2014/525/oj)</w:t>
      </w:r>
      <w:r>
        <w:rPr>
          <w:rFonts w:ascii="Times New Roman" w:hAnsi="Times New Roman"/>
          <w:i/>
        </w:rPr>
        <w:t>.</w:t>
      </w:r>
    </w:p>
  </w:footnote>
  <w:footnote w:id="3">
    <w:p w14:paraId="018474C7" w14:textId="4B859446" w:rsidR="00C3070C" w:rsidRPr="00A11C6E" w:rsidRDefault="00C3070C">
      <w:pPr>
        <w:pStyle w:val="FootnoteText"/>
      </w:pPr>
      <w:r>
        <w:rPr>
          <w:rStyle w:val="FootnoteReference"/>
        </w:rPr>
        <w:footnoteRef/>
      </w:r>
      <w:r>
        <w:t xml:space="preserve"> Εκτελεστικός κανονισμός (ΕΕ) αριθ. 945/2014 της Επιτροπής, της 4ης Σεπτεμβρίου 2014, για τον καθορισμό εκτελεστικών τεχνικών προτύπων όσον αφορά συναφείς κατάλληλα διαφοροποιημένους δείκτες σύμφωνα με τον κανονισμό (ΕΕ) αριθ. 575/2013 του Ευρωπαϊκού Κοινοβουλίου και του Συμβουλίου (ΕΕ L 265 της 5.9.2014, σ. 3, ELI: http://data.europa.eu/eli/reg_impl/2014/945/oj).</w:t>
      </w:r>
    </w:p>
  </w:footnote>
  <w:footnote w:id="4">
    <w:p w14:paraId="22A9C113" w14:textId="5D688A5C" w:rsidR="0014702F" w:rsidRPr="006B7076" w:rsidRDefault="0014702F" w:rsidP="006B7076">
      <w:pPr>
        <w:pStyle w:val="FootnoteText"/>
        <w:jc w:val="left"/>
      </w:pPr>
      <w:r>
        <w:rPr>
          <w:rStyle w:val="FootnoteReference"/>
        </w:rPr>
        <w:footnoteRef/>
      </w:r>
      <w:r>
        <w:t xml:space="preserve"> Οδηγία 2014/65/ΕΕ </w:t>
      </w:r>
      <w:bookmarkStart w:id="129" w:name="_Hlk204078738"/>
      <w:r>
        <w:t>του Ευρωπαϊκού Κοινοβουλίου και του Συμβουλίου</w:t>
      </w:r>
      <w:bookmarkEnd w:id="129"/>
      <w:r>
        <w:t>, της 15ης Μαΐου 2014, για τις αγορές χρηματοπιστωτικών μέσων και την τροποποίηση της οδηγίας 2002/92/ΕΚ και της οδηγίας 2011/61/ΕΕ (ΕΕ L 173 της 12.6.2014, σ. 349, ELI: http://data.europa.eu/eli/dir/2014/65/oj).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E71A" w14:textId="7B4511CB" w:rsidR="00C3070C" w:rsidRDefault="00C3070C">
    <w:pPr>
      <w:pStyle w:val="Header"/>
    </w:pPr>
    <w:r>
      <w:rPr>
        <w:noProof/>
      </w:rPr>
      <mc:AlternateContent>
        <mc:Choice Requires="wps">
          <w:drawing>
            <wp:anchor distT="0" distB="0" distL="0" distR="0" simplePos="0" relativeHeight="251658240" behindDoc="0" locked="0" layoutInCell="1" allowOverlap="1" wp14:anchorId="23C8943B" wp14:editId="41043202">
              <wp:simplePos x="635" y="635"/>
              <wp:positionH relativeFrom="leftMargin">
                <wp:align>left</wp:align>
              </wp:positionH>
              <wp:positionV relativeFrom="paragraph">
                <wp:posOffset>635</wp:posOffset>
              </wp:positionV>
              <wp:extent cx="443865" cy="443865"/>
              <wp:effectExtent l="0" t="0" r="3175" b="4445"/>
              <wp:wrapSquare wrapText="bothSides"/>
              <wp:docPr id="18" name="Text Box 18" descr="ΕΑΤ τακτική χρήση"/>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ΕΑΤ τακτική χρήση</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C8943B" id="_x0000_t202" coordsize="21600,21600" o:spt="202" path="m,l,21600r21600,l21600,xe">
              <v:stroke joinstyle="miter"/>
              <v:path gradientshapeok="t" o:connecttype="rect"/>
            </v:shapetype>
            <v:shape id="Text Box 18" o:spid="_x0000_s1026" type="#_x0000_t202" alt="ΕΑΤ τακτική χρήση"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ΕΑΤ τακτική χρήση</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7757" w14:textId="77777777" w:rsidR="004E7DCF" w:rsidRDefault="004E7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03B2" w14:textId="77777777" w:rsidR="004E7DCF" w:rsidRDefault="004E7D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98C1" w14:textId="7C971337" w:rsidR="00C3070C" w:rsidRDefault="00C3070C">
    <w:pPr>
      <w:pStyle w:val="Header"/>
    </w:pPr>
    <w:r>
      <w:rPr>
        <w:noProof/>
      </w:rPr>
      <mc:AlternateContent>
        <mc:Choice Requires="wps">
          <w:drawing>
            <wp:anchor distT="0" distB="0" distL="0" distR="0" simplePos="0" relativeHeight="251658242"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ΕΑΤ τακτική χρήση"/>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ΕΑΤ τακτική χρήση</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7" type="#_x0000_t202" alt="ΕΑΤ τακτική χρήση"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ΕΑΤ τακτική χρήση</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BBC0" w14:textId="57E2581D" w:rsidR="00C3070C" w:rsidRDefault="00C307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755F" w14:textId="0211D059" w:rsidR="00C3070C" w:rsidRDefault="00C3070C">
    <w:pPr>
      <w:rPr>
        <w:rFonts w:ascii="Arial" w:hAnsi="Arial" w:cs="Arial"/>
      </w:rPr>
    </w:pPr>
    <w:r>
      <w:rPr>
        <w:rFonts w:ascii="Arial" w:hAnsi="Arial"/>
        <w:noProof/>
      </w:rPr>
      <mc:AlternateContent>
        <mc:Choice Requires="wps">
          <w:drawing>
            <wp:anchor distT="0" distB="0" distL="0" distR="0" simplePos="0" relativeHeight="251658241"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ΕΑΤ τακτική χρήση"/>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ΕΑΤ τακτική χρήση</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ΕΑΤ τακτική χρήση"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ΕΑΤ τακτική χρήση</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7D7F02"/>
    <w:multiLevelType w:val="multilevel"/>
    <w:tmpl w:val="0407001D"/>
    <w:numStyleLink w:val="Formatvorlage3"/>
  </w:abstractNum>
  <w:abstractNum w:abstractNumId="10"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1"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E0F25"/>
    <w:multiLevelType w:val="hybridMultilevel"/>
    <w:tmpl w:val="756E5EAE"/>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6"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C2500"/>
    <w:multiLevelType w:val="hybridMultilevel"/>
    <w:tmpl w:val="49162576"/>
    <w:lvl w:ilvl="0" w:tplc="BE38F9EC">
      <w:start w:val="1"/>
      <mc:AlternateContent>
        <mc:Choice Requires="w14">
          <w:numFmt w:val="custom" w:format="α, β, γ, ..."/>
        </mc:Choice>
        <mc:Fallback>
          <w:numFmt w:val="decimal"/>
        </mc:Fallback>
      </mc:AlternateContent>
      <w:lvlText w:val="%1)"/>
      <w:lvlJc w:val="left"/>
      <w:pPr>
        <w:ind w:left="1080" w:hanging="360"/>
      </w:pPr>
      <w:rPr>
        <w:rFonts w:ascii="Times New Roman" w:hAnsi="Times New Roman" w:cs="EC Square Sans Cond Pro" w:hint="default"/>
        <w:b w:val="0"/>
        <w:bCs w:val="0"/>
        <w:i w:val="0"/>
        <w:iCs w:val="0"/>
        <w:spacing w:val="-1"/>
        <w:w w:val="100"/>
        <w:sz w:val="24"/>
        <w:szCs w:val="24"/>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027752466">
    <w:abstractNumId w:val="3"/>
  </w:num>
  <w:num w:numId="2" w16cid:durableId="873691100">
    <w:abstractNumId w:val="21"/>
  </w:num>
  <w:num w:numId="3" w16cid:durableId="64646718">
    <w:abstractNumId w:val="29"/>
  </w:num>
  <w:num w:numId="4" w16cid:durableId="2143423029">
    <w:abstractNumId w:val="15"/>
  </w:num>
  <w:num w:numId="5" w16cid:durableId="248462709">
    <w:abstractNumId w:val="24"/>
  </w:num>
  <w:num w:numId="6" w16cid:durableId="1615551260">
    <w:abstractNumId w:val="13"/>
  </w:num>
  <w:num w:numId="7" w16cid:durableId="1802721498">
    <w:abstractNumId w:val="28"/>
  </w:num>
  <w:num w:numId="8" w16cid:durableId="1196040528">
    <w:abstractNumId w:val="5"/>
  </w:num>
  <w:num w:numId="9" w16cid:durableId="394359329">
    <w:abstractNumId w:val="22"/>
  </w:num>
  <w:num w:numId="10" w16cid:durableId="919633677">
    <w:abstractNumId w:val="11"/>
  </w:num>
  <w:num w:numId="11" w16cid:durableId="666446483">
    <w:abstractNumId w:val="17"/>
  </w:num>
  <w:num w:numId="12" w16cid:durableId="1545752287">
    <w:abstractNumId w:val="6"/>
  </w:num>
  <w:num w:numId="13" w16cid:durableId="318656491">
    <w:abstractNumId w:val="23"/>
  </w:num>
  <w:num w:numId="14" w16cid:durableId="943851024">
    <w:abstractNumId w:val="20"/>
  </w:num>
  <w:num w:numId="15" w16cid:durableId="2068988913">
    <w:abstractNumId w:val="10"/>
  </w:num>
  <w:num w:numId="16" w16cid:durableId="750932434">
    <w:abstractNumId w:val="16"/>
  </w:num>
  <w:num w:numId="17" w16cid:durableId="1147473194">
    <w:abstractNumId w:val="9"/>
  </w:num>
  <w:num w:numId="18" w16cid:durableId="916598601">
    <w:abstractNumId w:val="25"/>
  </w:num>
  <w:num w:numId="19" w16cid:durableId="420293218">
    <w:abstractNumId w:val="4"/>
  </w:num>
  <w:num w:numId="20" w16cid:durableId="963775391">
    <w:abstractNumId w:val="14"/>
  </w:num>
  <w:num w:numId="21" w16cid:durableId="813450315">
    <w:abstractNumId w:val="2"/>
  </w:num>
  <w:num w:numId="22" w16cid:durableId="367880198">
    <w:abstractNumId w:val="12"/>
  </w:num>
  <w:num w:numId="23" w16cid:durableId="1272010103">
    <w:abstractNumId w:val="27"/>
  </w:num>
  <w:num w:numId="24" w16cid:durableId="1006593110">
    <w:abstractNumId w:val="1"/>
  </w:num>
  <w:num w:numId="25" w16cid:durableId="1965580885">
    <w:abstractNumId w:val="26"/>
  </w:num>
  <w:num w:numId="26" w16cid:durableId="402915401">
    <w:abstractNumId w:val="18"/>
  </w:num>
  <w:num w:numId="27" w16cid:durableId="627201129">
    <w:abstractNumId w:val="0"/>
  </w:num>
  <w:num w:numId="28" w16cid:durableId="297565844">
    <w:abstractNumId w:val="7"/>
  </w:num>
  <w:num w:numId="29" w16cid:durableId="1297876156">
    <w:abstractNumId w:val="19"/>
  </w:num>
  <w:num w:numId="30" w16cid:durableId="247811965">
    <w:abstractNumId w:val="8"/>
  </w:num>
  <w:num w:numId="31" w16cid:durableId="34455418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cs-CZ"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70"/>
    <w:rsid w:val="000017F3"/>
    <w:rsid w:val="00001AF1"/>
    <w:rsid w:val="000020E5"/>
    <w:rsid w:val="00002933"/>
    <w:rsid w:val="00002A9F"/>
    <w:rsid w:val="00002D28"/>
    <w:rsid w:val="00002E14"/>
    <w:rsid w:val="00004478"/>
    <w:rsid w:val="000044B7"/>
    <w:rsid w:val="00004978"/>
    <w:rsid w:val="00004D21"/>
    <w:rsid w:val="00004FE8"/>
    <w:rsid w:val="00005078"/>
    <w:rsid w:val="00005765"/>
    <w:rsid w:val="00005FFC"/>
    <w:rsid w:val="00007605"/>
    <w:rsid w:val="00007D0D"/>
    <w:rsid w:val="00010124"/>
    <w:rsid w:val="00011AFA"/>
    <w:rsid w:val="00011BD0"/>
    <w:rsid w:val="000120EB"/>
    <w:rsid w:val="00014890"/>
    <w:rsid w:val="00014DC3"/>
    <w:rsid w:val="0001693F"/>
    <w:rsid w:val="000169A0"/>
    <w:rsid w:val="00020200"/>
    <w:rsid w:val="00020516"/>
    <w:rsid w:val="00020857"/>
    <w:rsid w:val="00020AF9"/>
    <w:rsid w:val="000212B7"/>
    <w:rsid w:val="0002157C"/>
    <w:rsid w:val="00021A05"/>
    <w:rsid w:val="0002267E"/>
    <w:rsid w:val="00023102"/>
    <w:rsid w:val="000232E2"/>
    <w:rsid w:val="00023383"/>
    <w:rsid w:val="000242CC"/>
    <w:rsid w:val="000243CE"/>
    <w:rsid w:val="0002657F"/>
    <w:rsid w:val="00027235"/>
    <w:rsid w:val="00027D90"/>
    <w:rsid w:val="000313B7"/>
    <w:rsid w:val="00031FA5"/>
    <w:rsid w:val="000326C1"/>
    <w:rsid w:val="00032937"/>
    <w:rsid w:val="00033301"/>
    <w:rsid w:val="00033B7C"/>
    <w:rsid w:val="00033C55"/>
    <w:rsid w:val="00034431"/>
    <w:rsid w:val="000346A9"/>
    <w:rsid w:val="00034834"/>
    <w:rsid w:val="000359E1"/>
    <w:rsid w:val="00035DCC"/>
    <w:rsid w:val="00035E44"/>
    <w:rsid w:val="000364CE"/>
    <w:rsid w:val="00037093"/>
    <w:rsid w:val="000377CC"/>
    <w:rsid w:val="00037FCC"/>
    <w:rsid w:val="00041480"/>
    <w:rsid w:val="000433C4"/>
    <w:rsid w:val="00043C7C"/>
    <w:rsid w:val="00045036"/>
    <w:rsid w:val="0004590F"/>
    <w:rsid w:val="00050E97"/>
    <w:rsid w:val="00052CAE"/>
    <w:rsid w:val="000530BC"/>
    <w:rsid w:val="0005400A"/>
    <w:rsid w:val="000548A2"/>
    <w:rsid w:val="0005609F"/>
    <w:rsid w:val="000565B6"/>
    <w:rsid w:val="00056C0F"/>
    <w:rsid w:val="00056C8D"/>
    <w:rsid w:val="00057154"/>
    <w:rsid w:val="00057362"/>
    <w:rsid w:val="0005746D"/>
    <w:rsid w:val="00061C24"/>
    <w:rsid w:val="00061E48"/>
    <w:rsid w:val="00062A1F"/>
    <w:rsid w:val="00063085"/>
    <w:rsid w:val="00063B3F"/>
    <w:rsid w:val="00064158"/>
    <w:rsid w:val="0006666B"/>
    <w:rsid w:val="00067DC1"/>
    <w:rsid w:val="00067EEA"/>
    <w:rsid w:val="00070113"/>
    <w:rsid w:val="00070518"/>
    <w:rsid w:val="00070AF9"/>
    <w:rsid w:val="00070E18"/>
    <w:rsid w:val="00071341"/>
    <w:rsid w:val="00071622"/>
    <w:rsid w:val="000716F4"/>
    <w:rsid w:val="00071D95"/>
    <w:rsid w:val="000726BC"/>
    <w:rsid w:val="000737D3"/>
    <w:rsid w:val="000758FE"/>
    <w:rsid w:val="00076091"/>
    <w:rsid w:val="000763E0"/>
    <w:rsid w:val="00076880"/>
    <w:rsid w:val="00077C5F"/>
    <w:rsid w:val="00080DDC"/>
    <w:rsid w:val="0008111C"/>
    <w:rsid w:val="0008126E"/>
    <w:rsid w:val="00082265"/>
    <w:rsid w:val="000828C6"/>
    <w:rsid w:val="00084339"/>
    <w:rsid w:val="000843B3"/>
    <w:rsid w:val="00084A4D"/>
    <w:rsid w:val="00085019"/>
    <w:rsid w:val="000858A9"/>
    <w:rsid w:val="000860B6"/>
    <w:rsid w:val="00086A31"/>
    <w:rsid w:val="00086C6E"/>
    <w:rsid w:val="00087700"/>
    <w:rsid w:val="00087E1A"/>
    <w:rsid w:val="000903FA"/>
    <w:rsid w:val="000904F3"/>
    <w:rsid w:val="00090583"/>
    <w:rsid w:val="000911FE"/>
    <w:rsid w:val="0009195D"/>
    <w:rsid w:val="00091CBC"/>
    <w:rsid w:val="000921E0"/>
    <w:rsid w:val="0009290C"/>
    <w:rsid w:val="00092F67"/>
    <w:rsid w:val="00093686"/>
    <w:rsid w:val="00093BF7"/>
    <w:rsid w:val="00094D25"/>
    <w:rsid w:val="00095191"/>
    <w:rsid w:val="00095CAD"/>
    <w:rsid w:val="00096566"/>
    <w:rsid w:val="00096876"/>
    <w:rsid w:val="0009761E"/>
    <w:rsid w:val="00097A17"/>
    <w:rsid w:val="00097C81"/>
    <w:rsid w:val="00097E91"/>
    <w:rsid w:val="000A0FC4"/>
    <w:rsid w:val="000A1955"/>
    <w:rsid w:val="000A368E"/>
    <w:rsid w:val="000A3B1A"/>
    <w:rsid w:val="000A46E0"/>
    <w:rsid w:val="000A4B61"/>
    <w:rsid w:val="000A4C10"/>
    <w:rsid w:val="000A57BC"/>
    <w:rsid w:val="000A6BBC"/>
    <w:rsid w:val="000A7D27"/>
    <w:rsid w:val="000A7F37"/>
    <w:rsid w:val="000B0694"/>
    <w:rsid w:val="000B0B09"/>
    <w:rsid w:val="000B0E46"/>
    <w:rsid w:val="000B0EBE"/>
    <w:rsid w:val="000B13A1"/>
    <w:rsid w:val="000B22F6"/>
    <w:rsid w:val="000B267A"/>
    <w:rsid w:val="000B3C33"/>
    <w:rsid w:val="000B3E00"/>
    <w:rsid w:val="000B4DFF"/>
    <w:rsid w:val="000B6A14"/>
    <w:rsid w:val="000B70E1"/>
    <w:rsid w:val="000B73C4"/>
    <w:rsid w:val="000C0127"/>
    <w:rsid w:val="000C0A34"/>
    <w:rsid w:val="000C24B5"/>
    <w:rsid w:val="000C30A6"/>
    <w:rsid w:val="000C4A6C"/>
    <w:rsid w:val="000C5A1A"/>
    <w:rsid w:val="000C5EA7"/>
    <w:rsid w:val="000C6938"/>
    <w:rsid w:val="000C7632"/>
    <w:rsid w:val="000C7B1D"/>
    <w:rsid w:val="000C7EAA"/>
    <w:rsid w:val="000D04B6"/>
    <w:rsid w:val="000D0A23"/>
    <w:rsid w:val="000D194E"/>
    <w:rsid w:val="000D1FBE"/>
    <w:rsid w:val="000D220D"/>
    <w:rsid w:val="000D3222"/>
    <w:rsid w:val="000D3CBC"/>
    <w:rsid w:val="000D4352"/>
    <w:rsid w:val="000D5292"/>
    <w:rsid w:val="000D5958"/>
    <w:rsid w:val="000D6B9B"/>
    <w:rsid w:val="000E093A"/>
    <w:rsid w:val="000E1572"/>
    <w:rsid w:val="000E197A"/>
    <w:rsid w:val="000E2774"/>
    <w:rsid w:val="000E29C9"/>
    <w:rsid w:val="000E3F99"/>
    <w:rsid w:val="000E40DD"/>
    <w:rsid w:val="000E6835"/>
    <w:rsid w:val="000E7BA8"/>
    <w:rsid w:val="000E7F08"/>
    <w:rsid w:val="000F0D99"/>
    <w:rsid w:val="000F11B2"/>
    <w:rsid w:val="000F13F9"/>
    <w:rsid w:val="000F1CEA"/>
    <w:rsid w:val="000F2470"/>
    <w:rsid w:val="000F2EC8"/>
    <w:rsid w:val="000F2F09"/>
    <w:rsid w:val="000F33AF"/>
    <w:rsid w:val="000F46D5"/>
    <w:rsid w:val="000F4702"/>
    <w:rsid w:val="000F6A80"/>
    <w:rsid w:val="000F6B25"/>
    <w:rsid w:val="000F7045"/>
    <w:rsid w:val="000F70EC"/>
    <w:rsid w:val="0010177C"/>
    <w:rsid w:val="00102C6F"/>
    <w:rsid w:val="00104370"/>
    <w:rsid w:val="0010455D"/>
    <w:rsid w:val="00104A65"/>
    <w:rsid w:val="0010559F"/>
    <w:rsid w:val="00105A75"/>
    <w:rsid w:val="0010605A"/>
    <w:rsid w:val="00106FC5"/>
    <w:rsid w:val="001102E5"/>
    <w:rsid w:val="00110F40"/>
    <w:rsid w:val="0011240A"/>
    <w:rsid w:val="00113D25"/>
    <w:rsid w:val="00113E45"/>
    <w:rsid w:val="00113EA5"/>
    <w:rsid w:val="001151C1"/>
    <w:rsid w:val="0011539B"/>
    <w:rsid w:val="00115685"/>
    <w:rsid w:val="0012049B"/>
    <w:rsid w:val="00121008"/>
    <w:rsid w:val="001219C2"/>
    <w:rsid w:val="00121BFD"/>
    <w:rsid w:val="001235ED"/>
    <w:rsid w:val="00123D62"/>
    <w:rsid w:val="00124A44"/>
    <w:rsid w:val="00124B85"/>
    <w:rsid w:val="001250CC"/>
    <w:rsid w:val="00125707"/>
    <w:rsid w:val="00125D44"/>
    <w:rsid w:val="00125DEE"/>
    <w:rsid w:val="00126395"/>
    <w:rsid w:val="001273B5"/>
    <w:rsid w:val="00127986"/>
    <w:rsid w:val="00127FEA"/>
    <w:rsid w:val="00130586"/>
    <w:rsid w:val="00130EEF"/>
    <w:rsid w:val="001323BF"/>
    <w:rsid w:val="00132563"/>
    <w:rsid w:val="00132778"/>
    <w:rsid w:val="00133107"/>
    <w:rsid w:val="001331F5"/>
    <w:rsid w:val="00133396"/>
    <w:rsid w:val="00133AC1"/>
    <w:rsid w:val="001357A2"/>
    <w:rsid w:val="00136316"/>
    <w:rsid w:val="001379D4"/>
    <w:rsid w:val="00137AC5"/>
    <w:rsid w:val="00137C09"/>
    <w:rsid w:val="001402DB"/>
    <w:rsid w:val="00140571"/>
    <w:rsid w:val="001409D9"/>
    <w:rsid w:val="00140F6E"/>
    <w:rsid w:val="00141DD1"/>
    <w:rsid w:val="0014209A"/>
    <w:rsid w:val="0014210E"/>
    <w:rsid w:val="00142917"/>
    <w:rsid w:val="001432EE"/>
    <w:rsid w:val="00144F03"/>
    <w:rsid w:val="001452FC"/>
    <w:rsid w:val="0014657C"/>
    <w:rsid w:val="00146D50"/>
    <w:rsid w:val="0014702F"/>
    <w:rsid w:val="001474E0"/>
    <w:rsid w:val="0015008C"/>
    <w:rsid w:val="00151071"/>
    <w:rsid w:val="00151B44"/>
    <w:rsid w:val="00151D8A"/>
    <w:rsid w:val="0015288B"/>
    <w:rsid w:val="00152B33"/>
    <w:rsid w:val="00153BEC"/>
    <w:rsid w:val="00154859"/>
    <w:rsid w:val="001550FA"/>
    <w:rsid w:val="00155114"/>
    <w:rsid w:val="00156555"/>
    <w:rsid w:val="00156849"/>
    <w:rsid w:val="001570C4"/>
    <w:rsid w:val="00157883"/>
    <w:rsid w:val="00157B19"/>
    <w:rsid w:val="0016072E"/>
    <w:rsid w:val="0016282F"/>
    <w:rsid w:val="001628F4"/>
    <w:rsid w:val="00162CCF"/>
    <w:rsid w:val="00162E47"/>
    <w:rsid w:val="0016365E"/>
    <w:rsid w:val="00163DBA"/>
    <w:rsid w:val="001644B8"/>
    <w:rsid w:val="00164970"/>
    <w:rsid w:val="00164B62"/>
    <w:rsid w:val="00167602"/>
    <w:rsid w:val="00167619"/>
    <w:rsid w:val="00167E59"/>
    <w:rsid w:val="001721BD"/>
    <w:rsid w:val="001734AB"/>
    <w:rsid w:val="0017440D"/>
    <w:rsid w:val="00175957"/>
    <w:rsid w:val="00176495"/>
    <w:rsid w:val="001771A4"/>
    <w:rsid w:val="00181174"/>
    <w:rsid w:val="00181888"/>
    <w:rsid w:val="00181AC7"/>
    <w:rsid w:val="001822DF"/>
    <w:rsid w:val="00183B7A"/>
    <w:rsid w:val="00184045"/>
    <w:rsid w:val="001840A5"/>
    <w:rsid w:val="001843F9"/>
    <w:rsid w:val="0018450D"/>
    <w:rsid w:val="00184E8A"/>
    <w:rsid w:val="0018533B"/>
    <w:rsid w:val="001854F6"/>
    <w:rsid w:val="00185877"/>
    <w:rsid w:val="00185A19"/>
    <w:rsid w:val="00185FA8"/>
    <w:rsid w:val="00187348"/>
    <w:rsid w:val="00187488"/>
    <w:rsid w:val="0019088A"/>
    <w:rsid w:val="00190FA3"/>
    <w:rsid w:val="001919E9"/>
    <w:rsid w:val="001924F4"/>
    <w:rsid w:val="00192744"/>
    <w:rsid w:val="0019394E"/>
    <w:rsid w:val="001959EF"/>
    <w:rsid w:val="00195FDC"/>
    <w:rsid w:val="0019727D"/>
    <w:rsid w:val="00197C28"/>
    <w:rsid w:val="001A0143"/>
    <w:rsid w:val="001A2115"/>
    <w:rsid w:val="001A217F"/>
    <w:rsid w:val="001A370B"/>
    <w:rsid w:val="001A388F"/>
    <w:rsid w:val="001A3980"/>
    <w:rsid w:val="001A40DB"/>
    <w:rsid w:val="001A44B3"/>
    <w:rsid w:val="001A523B"/>
    <w:rsid w:val="001A531E"/>
    <w:rsid w:val="001A627D"/>
    <w:rsid w:val="001A741B"/>
    <w:rsid w:val="001A7742"/>
    <w:rsid w:val="001A7FE5"/>
    <w:rsid w:val="001B023A"/>
    <w:rsid w:val="001B140A"/>
    <w:rsid w:val="001B1531"/>
    <w:rsid w:val="001B17E6"/>
    <w:rsid w:val="001B1F77"/>
    <w:rsid w:val="001B21AE"/>
    <w:rsid w:val="001B21EA"/>
    <w:rsid w:val="001B43AF"/>
    <w:rsid w:val="001B43BD"/>
    <w:rsid w:val="001B44EE"/>
    <w:rsid w:val="001B4EA5"/>
    <w:rsid w:val="001B5499"/>
    <w:rsid w:val="001B5725"/>
    <w:rsid w:val="001B6114"/>
    <w:rsid w:val="001B6D4D"/>
    <w:rsid w:val="001B7D0F"/>
    <w:rsid w:val="001B7F1A"/>
    <w:rsid w:val="001C1392"/>
    <w:rsid w:val="001C1571"/>
    <w:rsid w:val="001C24B0"/>
    <w:rsid w:val="001C2A41"/>
    <w:rsid w:val="001C2BA5"/>
    <w:rsid w:val="001C3443"/>
    <w:rsid w:val="001C36B0"/>
    <w:rsid w:val="001C3D30"/>
    <w:rsid w:val="001C5557"/>
    <w:rsid w:val="001C5CA8"/>
    <w:rsid w:val="001C6166"/>
    <w:rsid w:val="001C6416"/>
    <w:rsid w:val="001C743D"/>
    <w:rsid w:val="001C7897"/>
    <w:rsid w:val="001C79CB"/>
    <w:rsid w:val="001C7AB7"/>
    <w:rsid w:val="001C7F2A"/>
    <w:rsid w:val="001D1D37"/>
    <w:rsid w:val="001D1F64"/>
    <w:rsid w:val="001D2FE6"/>
    <w:rsid w:val="001D3409"/>
    <w:rsid w:val="001D3CE7"/>
    <w:rsid w:val="001D4848"/>
    <w:rsid w:val="001D4B9D"/>
    <w:rsid w:val="001D5403"/>
    <w:rsid w:val="001D54D3"/>
    <w:rsid w:val="001D6D7C"/>
    <w:rsid w:val="001D7222"/>
    <w:rsid w:val="001D7382"/>
    <w:rsid w:val="001D7C9D"/>
    <w:rsid w:val="001E01BA"/>
    <w:rsid w:val="001E0C80"/>
    <w:rsid w:val="001E332C"/>
    <w:rsid w:val="001E38FD"/>
    <w:rsid w:val="001E39E5"/>
    <w:rsid w:val="001E3EF1"/>
    <w:rsid w:val="001E4D45"/>
    <w:rsid w:val="001E5A75"/>
    <w:rsid w:val="001E6127"/>
    <w:rsid w:val="001E6B9D"/>
    <w:rsid w:val="001E71B5"/>
    <w:rsid w:val="001E7AE4"/>
    <w:rsid w:val="001E7EA7"/>
    <w:rsid w:val="001F0111"/>
    <w:rsid w:val="001F0D60"/>
    <w:rsid w:val="001F1711"/>
    <w:rsid w:val="001F1B80"/>
    <w:rsid w:val="001F2389"/>
    <w:rsid w:val="001F2830"/>
    <w:rsid w:val="001F2920"/>
    <w:rsid w:val="001F3BBE"/>
    <w:rsid w:val="001F3D6A"/>
    <w:rsid w:val="001F4225"/>
    <w:rsid w:val="001F5AC3"/>
    <w:rsid w:val="001F5BC1"/>
    <w:rsid w:val="001F60B8"/>
    <w:rsid w:val="001F6487"/>
    <w:rsid w:val="001F73EA"/>
    <w:rsid w:val="00200D6E"/>
    <w:rsid w:val="00200E8E"/>
    <w:rsid w:val="002013B1"/>
    <w:rsid w:val="00201704"/>
    <w:rsid w:val="00201F3E"/>
    <w:rsid w:val="00202198"/>
    <w:rsid w:val="00202466"/>
    <w:rsid w:val="00202742"/>
    <w:rsid w:val="0020282E"/>
    <w:rsid w:val="00204265"/>
    <w:rsid w:val="00204383"/>
    <w:rsid w:val="00205AE8"/>
    <w:rsid w:val="00206687"/>
    <w:rsid w:val="00206BD0"/>
    <w:rsid w:val="00206D7E"/>
    <w:rsid w:val="00211293"/>
    <w:rsid w:val="00213102"/>
    <w:rsid w:val="0021389C"/>
    <w:rsid w:val="00213DC3"/>
    <w:rsid w:val="00213E0E"/>
    <w:rsid w:val="00214FDA"/>
    <w:rsid w:val="002154E5"/>
    <w:rsid w:val="00215548"/>
    <w:rsid w:val="00215CD7"/>
    <w:rsid w:val="00216D67"/>
    <w:rsid w:val="0021767A"/>
    <w:rsid w:val="00220265"/>
    <w:rsid w:val="00220B85"/>
    <w:rsid w:val="00221103"/>
    <w:rsid w:val="00221C2F"/>
    <w:rsid w:val="00222596"/>
    <w:rsid w:val="002229FF"/>
    <w:rsid w:val="00222AC6"/>
    <w:rsid w:val="00222CD3"/>
    <w:rsid w:val="0022311E"/>
    <w:rsid w:val="0022315F"/>
    <w:rsid w:val="00224016"/>
    <w:rsid w:val="00224828"/>
    <w:rsid w:val="002249DB"/>
    <w:rsid w:val="00224FE5"/>
    <w:rsid w:val="0022597E"/>
    <w:rsid w:val="00225D42"/>
    <w:rsid w:val="002272E2"/>
    <w:rsid w:val="002300C6"/>
    <w:rsid w:val="002301C6"/>
    <w:rsid w:val="00230536"/>
    <w:rsid w:val="002305D2"/>
    <w:rsid w:val="00230DA8"/>
    <w:rsid w:val="00230E9F"/>
    <w:rsid w:val="00232217"/>
    <w:rsid w:val="00232702"/>
    <w:rsid w:val="0023276A"/>
    <w:rsid w:val="002327CE"/>
    <w:rsid w:val="00232921"/>
    <w:rsid w:val="002331CC"/>
    <w:rsid w:val="00233577"/>
    <w:rsid w:val="002339F2"/>
    <w:rsid w:val="0023488F"/>
    <w:rsid w:val="00234E7D"/>
    <w:rsid w:val="0023571F"/>
    <w:rsid w:val="002357EA"/>
    <w:rsid w:val="00235897"/>
    <w:rsid w:val="002367E6"/>
    <w:rsid w:val="00236E33"/>
    <w:rsid w:val="0023700C"/>
    <w:rsid w:val="00237276"/>
    <w:rsid w:val="0023738B"/>
    <w:rsid w:val="0023769E"/>
    <w:rsid w:val="002376B2"/>
    <w:rsid w:val="002409C1"/>
    <w:rsid w:val="00240B06"/>
    <w:rsid w:val="00241190"/>
    <w:rsid w:val="00241845"/>
    <w:rsid w:val="00242134"/>
    <w:rsid w:val="002423CA"/>
    <w:rsid w:val="0024244E"/>
    <w:rsid w:val="0024258C"/>
    <w:rsid w:val="002446F1"/>
    <w:rsid w:val="00244B6A"/>
    <w:rsid w:val="002450B6"/>
    <w:rsid w:val="002451F4"/>
    <w:rsid w:val="00245325"/>
    <w:rsid w:val="00245E37"/>
    <w:rsid w:val="00246BCA"/>
    <w:rsid w:val="00246F65"/>
    <w:rsid w:val="00247193"/>
    <w:rsid w:val="00250176"/>
    <w:rsid w:val="002506A3"/>
    <w:rsid w:val="002514C9"/>
    <w:rsid w:val="00251CF4"/>
    <w:rsid w:val="00251F24"/>
    <w:rsid w:val="00252454"/>
    <w:rsid w:val="0025267A"/>
    <w:rsid w:val="0025290C"/>
    <w:rsid w:val="00253022"/>
    <w:rsid w:val="002530E8"/>
    <w:rsid w:val="002540B2"/>
    <w:rsid w:val="002547C1"/>
    <w:rsid w:val="00254DF6"/>
    <w:rsid w:val="00255BA9"/>
    <w:rsid w:val="0025607F"/>
    <w:rsid w:val="002562F9"/>
    <w:rsid w:val="00257BF5"/>
    <w:rsid w:val="00257FBC"/>
    <w:rsid w:val="002601AB"/>
    <w:rsid w:val="00260AA2"/>
    <w:rsid w:val="002618F4"/>
    <w:rsid w:val="00261B63"/>
    <w:rsid w:val="002625C0"/>
    <w:rsid w:val="00262B22"/>
    <w:rsid w:val="00262B48"/>
    <w:rsid w:val="00262C1B"/>
    <w:rsid w:val="002630FB"/>
    <w:rsid w:val="0026352F"/>
    <w:rsid w:val="002647D2"/>
    <w:rsid w:val="0026485D"/>
    <w:rsid w:val="002648B0"/>
    <w:rsid w:val="00264C8C"/>
    <w:rsid w:val="002664C7"/>
    <w:rsid w:val="002669F8"/>
    <w:rsid w:val="002678CE"/>
    <w:rsid w:val="00267A21"/>
    <w:rsid w:val="0027034D"/>
    <w:rsid w:val="00271C8B"/>
    <w:rsid w:val="00272F65"/>
    <w:rsid w:val="00273432"/>
    <w:rsid w:val="002735FE"/>
    <w:rsid w:val="00273A4D"/>
    <w:rsid w:val="002754C0"/>
    <w:rsid w:val="00276720"/>
    <w:rsid w:val="00276B41"/>
    <w:rsid w:val="00277058"/>
    <w:rsid w:val="002771C5"/>
    <w:rsid w:val="002805FD"/>
    <w:rsid w:val="0028072E"/>
    <w:rsid w:val="00280B99"/>
    <w:rsid w:val="002816EA"/>
    <w:rsid w:val="00283B5F"/>
    <w:rsid w:val="00283C5E"/>
    <w:rsid w:val="00284A6D"/>
    <w:rsid w:val="0028519C"/>
    <w:rsid w:val="00285E2F"/>
    <w:rsid w:val="0028628A"/>
    <w:rsid w:val="00290286"/>
    <w:rsid w:val="0029097C"/>
    <w:rsid w:val="00290CAD"/>
    <w:rsid w:val="002917CA"/>
    <w:rsid w:val="002920FF"/>
    <w:rsid w:val="00292409"/>
    <w:rsid w:val="00292A20"/>
    <w:rsid w:val="00294B07"/>
    <w:rsid w:val="0029520F"/>
    <w:rsid w:val="00295225"/>
    <w:rsid w:val="0029630E"/>
    <w:rsid w:val="00297074"/>
    <w:rsid w:val="0029716F"/>
    <w:rsid w:val="0029726F"/>
    <w:rsid w:val="002A04D3"/>
    <w:rsid w:val="002A09D5"/>
    <w:rsid w:val="002A1B49"/>
    <w:rsid w:val="002A36BB"/>
    <w:rsid w:val="002A4B85"/>
    <w:rsid w:val="002A5969"/>
    <w:rsid w:val="002A5BC5"/>
    <w:rsid w:val="002A677E"/>
    <w:rsid w:val="002A67C8"/>
    <w:rsid w:val="002A6913"/>
    <w:rsid w:val="002A7C84"/>
    <w:rsid w:val="002B004B"/>
    <w:rsid w:val="002B15B5"/>
    <w:rsid w:val="002B1600"/>
    <w:rsid w:val="002B2B6E"/>
    <w:rsid w:val="002B2BA3"/>
    <w:rsid w:val="002B3E36"/>
    <w:rsid w:val="002B5403"/>
    <w:rsid w:val="002B5492"/>
    <w:rsid w:val="002B5B50"/>
    <w:rsid w:val="002B5CD1"/>
    <w:rsid w:val="002B5F2D"/>
    <w:rsid w:val="002B66BD"/>
    <w:rsid w:val="002C0206"/>
    <w:rsid w:val="002C053E"/>
    <w:rsid w:val="002C06FD"/>
    <w:rsid w:val="002C0985"/>
    <w:rsid w:val="002C1068"/>
    <w:rsid w:val="002C1251"/>
    <w:rsid w:val="002C1FEC"/>
    <w:rsid w:val="002C37D9"/>
    <w:rsid w:val="002C41F1"/>
    <w:rsid w:val="002C4D74"/>
    <w:rsid w:val="002C5671"/>
    <w:rsid w:val="002C6263"/>
    <w:rsid w:val="002C66A4"/>
    <w:rsid w:val="002C674A"/>
    <w:rsid w:val="002D102E"/>
    <w:rsid w:val="002D2C75"/>
    <w:rsid w:val="002D318D"/>
    <w:rsid w:val="002D31E5"/>
    <w:rsid w:val="002D3982"/>
    <w:rsid w:val="002D4561"/>
    <w:rsid w:val="002D4E10"/>
    <w:rsid w:val="002D4F6A"/>
    <w:rsid w:val="002D60D7"/>
    <w:rsid w:val="002D68CE"/>
    <w:rsid w:val="002D6B9E"/>
    <w:rsid w:val="002D7779"/>
    <w:rsid w:val="002E0148"/>
    <w:rsid w:val="002E0174"/>
    <w:rsid w:val="002E053A"/>
    <w:rsid w:val="002E0DDB"/>
    <w:rsid w:val="002E12E6"/>
    <w:rsid w:val="002E136A"/>
    <w:rsid w:val="002E2061"/>
    <w:rsid w:val="002E2164"/>
    <w:rsid w:val="002E27B0"/>
    <w:rsid w:val="002E3720"/>
    <w:rsid w:val="002E4EB7"/>
    <w:rsid w:val="002E5096"/>
    <w:rsid w:val="002E587F"/>
    <w:rsid w:val="002E58AF"/>
    <w:rsid w:val="002E7287"/>
    <w:rsid w:val="002E796C"/>
    <w:rsid w:val="002F07EA"/>
    <w:rsid w:val="002F0FB3"/>
    <w:rsid w:val="002F1163"/>
    <w:rsid w:val="002F11F3"/>
    <w:rsid w:val="002F170E"/>
    <w:rsid w:val="002F1920"/>
    <w:rsid w:val="002F19BB"/>
    <w:rsid w:val="002F1E8D"/>
    <w:rsid w:val="002F2663"/>
    <w:rsid w:val="002F29AF"/>
    <w:rsid w:val="002F29CB"/>
    <w:rsid w:val="002F3261"/>
    <w:rsid w:val="002F39A7"/>
    <w:rsid w:val="002F4A67"/>
    <w:rsid w:val="002F4A87"/>
    <w:rsid w:val="002F5571"/>
    <w:rsid w:val="002F707B"/>
    <w:rsid w:val="002F78EA"/>
    <w:rsid w:val="002F79EA"/>
    <w:rsid w:val="002F7E28"/>
    <w:rsid w:val="00300224"/>
    <w:rsid w:val="00302C3F"/>
    <w:rsid w:val="003030A3"/>
    <w:rsid w:val="00303974"/>
    <w:rsid w:val="00304CA5"/>
    <w:rsid w:val="0030572F"/>
    <w:rsid w:val="00306163"/>
    <w:rsid w:val="00306AD1"/>
    <w:rsid w:val="00306F71"/>
    <w:rsid w:val="00306F8E"/>
    <w:rsid w:val="003073B2"/>
    <w:rsid w:val="0031001C"/>
    <w:rsid w:val="0031055A"/>
    <w:rsid w:val="003105C6"/>
    <w:rsid w:val="00310F05"/>
    <w:rsid w:val="00310F96"/>
    <w:rsid w:val="00311119"/>
    <w:rsid w:val="00311B2D"/>
    <w:rsid w:val="00312BA3"/>
    <w:rsid w:val="00313274"/>
    <w:rsid w:val="003132E6"/>
    <w:rsid w:val="003137B9"/>
    <w:rsid w:val="00313D20"/>
    <w:rsid w:val="003141F6"/>
    <w:rsid w:val="00314971"/>
    <w:rsid w:val="003150E6"/>
    <w:rsid w:val="00317145"/>
    <w:rsid w:val="003172C8"/>
    <w:rsid w:val="00317451"/>
    <w:rsid w:val="003175FE"/>
    <w:rsid w:val="00320BB4"/>
    <w:rsid w:val="00321A3B"/>
    <w:rsid w:val="003220BD"/>
    <w:rsid w:val="003232D5"/>
    <w:rsid w:val="00325654"/>
    <w:rsid w:val="003259DA"/>
    <w:rsid w:val="0032635E"/>
    <w:rsid w:val="0032755B"/>
    <w:rsid w:val="003276AF"/>
    <w:rsid w:val="003300FF"/>
    <w:rsid w:val="00330199"/>
    <w:rsid w:val="00331FE6"/>
    <w:rsid w:val="00332B2A"/>
    <w:rsid w:val="00333A44"/>
    <w:rsid w:val="00334093"/>
    <w:rsid w:val="0033476C"/>
    <w:rsid w:val="003374C1"/>
    <w:rsid w:val="00337849"/>
    <w:rsid w:val="00337BEA"/>
    <w:rsid w:val="00340094"/>
    <w:rsid w:val="003400BB"/>
    <w:rsid w:val="00342261"/>
    <w:rsid w:val="00342B6A"/>
    <w:rsid w:val="00342BB2"/>
    <w:rsid w:val="00342C4B"/>
    <w:rsid w:val="003438E8"/>
    <w:rsid w:val="003459F8"/>
    <w:rsid w:val="00345A82"/>
    <w:rsid w:val="00345E53"/>
    <w:rsid w:val="00346C65"/>
    <w:rsid w:val="0034786E"/>
    <w:rsid w:val="00347FF9"/>
    <w:rsid w:val="00350AC4"/>
    <w:rsid w:val="00350DDB"/>
    <w:rsid w:val="00351DD4"/>
    <w:rsid w:val="00352A45"/>
    <w:rsid w:val="00352C6E"/>
    <w:rsid w:val="00352FB3"/>
    <w:rsid w:val="00353D40"/>
    <w:rsid w:val="0035403D"/>
    <w:rsid w:val="003541BA"/>
    <w:rsid w:val="003556A3"/>
    <w:rsid w:val="003557B5"/>
    <w:rsid w:val="00356773"/>
    <w:rsid w:val="00357CD1"/>
    <w:rsid w:val="00357F63"/>
    <w:rsid w:val="003616A1"/>
    <w:rsid w:val="00361D60"/>
    <w:rsid w:val="00363505"/>
    <w:rsid w:val="00363969"/>
    <w:rsid w:val="0036415F"/>
    <w:rsid w:val="00364EBB"/>
    <w:rsid w:val="00366794"/>
    <w:rsid w:val="00366CAF"/>
    <w:rsid w:val="00370576"/>
    <w:rsid w:val="0037077A"/>
    <w:rsid w:val="00370D79"/>
    <w:rsid w:val="00371593"/>
    <w:rsid w:val="00371653"/>
    <w:rsid w:val="00373E3E"/>
    <w:rsid w:val="00375C47"/>
    <w:rsid w:val="00380D47"/>
    <w:rsid w:val="003812AC"/>
    <w:rsid w:val="003813DF"/>
    <w:rsid w:val="0038147E"/>
    <w:rsid w:val="00381685"/>
    <w:rsid w:val="003826D9"/>
    <w:rsid w:val="00383D4B"/>
    <w:rsid w:val="00383FF2"/>
    <w:rsid w:val="00384770"/>
    <w:rsid w:val="00386492"/>
    <w:rsid w:val="00387E40"/>
    <w:rsid w:val="003908C5"/>
    <w:rsid w:val="00390DDA"/>
    <w:rsid w:val="00391406"/>
    <w:rsid w:val="003927BE"/>
    <w:rsid w:val="00392C11"/>
    <w:rsid w:val="00392FFD"/>
    <w:rsid w:val="0039346B"/>
    <w:rsid w:val="00393539"/>
    <w:rsid w:val="00393FF2"/>
    <w:rsid w:val="00394410"/>
    <w:rsid w:val="00394FF1"/>
    <w:rsid w:val="003953E6"/>
    <w:rsid w:val="00397314"/>
    <w:rsid w:val="00397A77"/>
    <w:rsid w:val="003A0532"/>
    <w:rsid w:val="003A07D6"/>
    <w:rsid w:val="003A0835"/>
    <w:rsid w:val="003A0C05"/>
    <w:rsid w:val="003A1469"/>
    <w:rsid w:val="003A1B96"/>
    <w:rsid w:val="003A200A"/>
    <w:rsid w:val="003A3877"/>
    <w:rsid w:val="003A3899"/>
    <w:rsid w:val="003A449C"/>
    <w:rsid w:val="003A497B"/>
    <w:rsid w:val="003A4C8B"/>
    <w:rsid w:val="003A5266"/>
    <w:rsid w:val="003A5743"/>
    <w:rsid w:val="003A5D8C"/>
    <w:rsid w:val="003A7214"/>
    <w:rsid w:val="003A7336"/>
    <w:rsid w:val="003B00F4"/>
    <w:rsid w:val="003B05AE"/>
    <w:rsid w:val="003B06B9"/>
    <w:rsid w:val="003B09EA"/>
    <w:rsid w:val="003B0B15"/>
    <w:rsid w:val="003B20D7"/>
    <w:rsid w:val="003B219A"/>
    <w:rsid w:val="003B256A"/>
    <w:rsid w:val="003B25F0"/>
    <w:rsid w:val="003B2712"/>
    <w:rsid w:val="003B3112"/>
    <w:rsid w:val="003B3533"/>
    <w:rsid w:val="003B3DBB"/>
    <w:rsid w:val="003B43BA"/>
    <w:rsid w:val="003B6094"/>
    <w:rsid w:val="003B66A1"/>
    <w:rsid w:val="003B7060"/>
    <w:rsid w:val="003C050A"/>
    <w:rsid w:val="003C0FB5"/>
    <w:rsid w:val="003C1BB1"/>
    <w:rsid w:val="003C2409"/>
    <w:rsid w:val="003C2566"/>
    <w:rsid w:val="003C3168"/>
    <w:rsid w:val="003C3AAB"/>
    <w:rsid w:val="003C3B79"/>
    <w:rsid w:val="003C3FD5"/>
    <w:rsid w:val="003C4307"/>
    <w:rsid w:val="003C4BA6"/>
    <w:rsid w:val="003C60B9"/>
    <w:rsid w:val="003C76A2"/>
    <w:rsid w:val="003C7853"/>
    <w:rsid w:val="003D07E3"/>
    <w:rsid w:val="003D10E9"/>
    <w:rsid w:val="003D11AD"/>
    <w:rsid w:val="003D14AE"/>
    <w:rsid w:val="003D1657"/>
    <w:rsid w:val="003D17D0"/>
    <w:rsid w:val="003D199D"/>
    <w:rsid w:val="003D3CED"/>
    <w:rsid w:val="003D431C"/>
    <w:rsid w:val="003D485B"/>
    <w:rsid w:val="003D56DE"/>
    <w:rsid w:val="003D655D"/>
    <w:rsid w:val="003D69CB"/>
    <w:rsid w:val="003D725D"/>
    <w:rsid w:val="003D7822"/>
    <w:rsid w:val="003D7F50"/>
    <w:rsid w:val="003E02B3"/>
    <w:rsid w:val="003E0950"/>
    <w:rsid w:val="003E098F"/>
    <w:rsid w:val="003E3102"/>
    <w:rsid w:val="003E47C5"/>
    <w:rsid w:val="003E4EF2"/>
    <w:rsid w:val="003E5145"/>
    <w:rsid w:val="003E52DA"/>
    <w:rsid w:val="003E7AEC"/>
    <w:rsid w:val="003F0298"/>
    <w:rsid w:val="003F05A0"/>
    <w:rsid w:val="003F0E76"/>
    <w:rsid w:val="003F1103"/>
    <w:rsid w:val="003F15BB"/>
    <w:rsid w:val="003F17BB"/>
    <w:rsid w:val="003F19BA"/>
    <w:rsid w:val="003F3523"/>
    <w:rsid w:val="00401111"/>
    <w:rsid w:val="0040156B"/>
    <w:rsid w:val="00401E48"/>
    <w:rsid w:val="00402284"/>
    <w:rsid w:val="00403B9F"/>
    <w:rsid w:val="0040521E"/>
    <w:rsid w:val="00405C0A"/>
    <w:rsid w:val="00407110"/>
    <w:rsid w:val="00407505"/>
    <w:rsid w:val="00407936"/>
    <w:rsid w:val="00410796"/>
    <w:rsid w:val="004120DF"/>
    <w:rsid w:val="004127F7"/>
    <w:rsid w:val="004129D0"/>
    <w:rsid w:val="00412D44"/>
    <w:rsid w:val="004133D9"/>
    <w:rsid w:val="004134E6"/>
    <w:rsid w:val="004157CC"/>
    <w:rsid w:val="00415A1B"/>
    <w:rsid w:val="00417984"/>
    <w:rsid w:val="00422449"/>
    <w:rsid w:val="00422B88"/>
    <w:rsid w:val="00423372"/>
    <w:rsid w:val="00423556"/>
    <w:rsid w:val="00423D6C"/>
    <w:rsid w:val="00423F7E"/>
    <w:rsid w:val="004255D6"/>
    <w:rsid w:val="0042594B"/>
    <w:rsid w:val="00425F4C"/>
    <w:rsid w:val="0042766A"/>
    <w:rsid w:val="0043001B"/>
    <w:rsid w:val="004304C0"/>
    <w:rsid w:val="00430F6F"/>
    <w:rsid w:val="0043168D"/>
    <w:rsid w:val="004317F7"/>
    <w:rsid w:val="004319EB"/>
    <w:rsid w:val="0043231D"/>
    <w:rsid w:val="004350F2"/>
    <w:rsid w:val="004357B9"/>
    <w:rsid w:val="00435BA9"/>
    <w:rsid w:val="00435EB0"/>
    <w:rsid w:val="00436204"/>
    <w:rsid w:val="00436490"/>
    <w:rsid w:val="00436A46"/>
    <w:rsid w:val="00436BBC"/>
    <w:rsid w:val="004377DA"/>
    <w:rsid w:val="004377E2"/>
    <w:rsid w:val="004408E7"/>
    <w:rsid w:val="004415C8"/>
    <w:rsid w:val="00441F78"/>
    <w:rsid w:val="00443003"/>
    <w:rsid w:val="00443DD0"/>
    <w:rsid w:val="0044539D"/>
    <w:rsid w:val="00445E06"/>
    <w:rsid w:val="0044639C"/>
    <w:rsid w:val="00446FAC"/>
    <w:rsid w:val="0045099E"/>
    <w:rsid w:val="00450A2E"/>
    <w:rsid w:val="00451220"/>
    <w:rsid w:val="00451B63"/>
    <w:rsid w:val="0045251C"/>
    <w:rsid w:val="00452AB0"/>
    <w:rsid w:val="00452FEF"/>
    <w:rsid w:val="00453999"/>
    <w:rsid w:val="00454026"/>
    <w:rsid w:val="00454082"/>
    <w:rsid w:val="00454139"/>
    <w:rsid w:val="00454CFC"/>
    <w:rsid w:val="00455314"/>
    <w:rsid w:val="00455364"/>
    <w:rsid w:val="00455B49"/>
    <w:rsid w:val="004600E4"/>
    <w:rsid w:val="004603C7"/>
    <w:rsid w:val="00460A9C"/>
    <w:rsid w:val="00461A5A"/>
    <w:rsid w:val="004629A2"/>
    <w:rsid w:val="00462BAB"/>
    <w:rsid w:val="00463E3C"/>
    <w:rsid w:val="00463F88"/>
    <w:rsid w:val="00464DCB"/>
    <w:rsid w:val="00464F34"/>
    <w:rsid w:val="0046517B"/>
    <w:rsid w:val="004656E1"/>
    <w:rsid w:val="00467F08"/>
    <w:rsid w:val="00467F65"/>
    <w:rsid w:val="00471159"/>
    <w:rsid w:val="00471A96"/>
    <w:rsid w:val="00474C49"/>
    <w:rsid w:val="0047503C"/>
    <w:rsid w:val="0047563E"/>
    <w:rsid w:val="00475B6A"/>
    <w:rsid w:val="0047602E"/>
    <w:rsid w:val="00476209"/>
    <w:rsid w:val="00476566"/>
    <w:rsid w:val="004766D4"/>
    <w:rsid w:val="0047693D"/>
    <w:rsid w:val="004773AB"/>
    <w:rsid w:val="00477C45"/>
    <w:rsid w:val="00477CB6"/>
    <w:rsid w:val="00480A69"/>
    <w:rsid w:val="00480AF8"/>
    <w:rsid w:val="0048116C"/>
    <w:rsid w:val="0048143B"/>
    <w:rsid w:val="0048345E"/>
    <w:rsid w:val="00483FC9"/>
    <w:rsid w:val="00484DDA"/>
    <w:rsid w:val="004852B9"/>
    <w:rsid w:val="00486DA5"/>
    <w:rsid w:val="00487597"/>
    <w:rsid w:val="00487A02"/>
    <w:rsid w:val="004901BE"/>
    <w:rsid w:val="0049092A"/>
    <w:rsid w:val="004913CE"/>
    <w:rsid w:val="00491F4D"/>
    <w:rsid w:val="004928AC"/>
    <w:rsid w:val="00492D77"/>
    <w:rsid w:val="00493D5E"/>
    <w:rsid w:val="00495C50"/>
    <w:rsid w:val="00496C53"/>
    <w:rsid w:val="00496F5D"/>
    <w:rsid w:val="004970FA"/>
    <w:rsid w:val="00497D60"/>
    <w:rsid w:val="004A01BF"/>
    <w:rsid w:val="004A0885"/>
    <w:rsid w:val="004A0D4A"/>
    <w:rsid w:val="004A11BD"/>
    <w:rsid w:val="004A1D97"/>
    <w:rsid w:val="004A3247"/>
    <w:rsid w:val="004A3A58"/>
    <w:rsid w:val="004A3B3D"/>
    <w:rsid w:val="004A47BA"/>
    <w:rsid w:val="004A5880"/>
    <w:rsid w:val="004A6C52"/>
    <w:rsid w:val="004A6FAC"/>
    <w:rsid w:val="004A705D"/>
    <w:rsid w:val="004A7B60"/>
    <w:rsid w:val="004B031B"/>
    <w:rsid w:val="004B135C"/>
    <w:rsid w:val="004B2A17"/>
    <w:rsid w:val="004B38D3"/>
    <w:rsid w:val="004B38D7"/>
    <w:rsid w:val="004B3B58"/>
    <w:rsid w:val="004B4075"/>
    <w:rsid w:val="004B4DF9"/>
    <w:rsid w:val="004B572C"/>
    <w:rsid w:val="004B584D"/>
    <w:rsid w:val="004B5870"/>
    <w:rsid w:val="004B67ED"/>
    <w:rsid w:val="004B6F60"/>
    <w:rsid w:val="004B7F4A"/>
    <w:rsid w:val="004C03BC"/>
    <w:rsid w:val="004C0508"/>
    <w:rsid w:val="004C15A0"/>
    <w:rsid w:val="004C1ACF"/>
    <w:rsid w:val="004C445F"/>
    <w:rsid w:val="004C4478"/>
    <w:rsid w:val="004C6E6F"/>
    <w:rsid w:val="004C74EC"/>
    <w:rsid w:val="004D0C15"/>
    <w:rsid w:val="004D2031"/>
    <w:rsid w:val="004D2753"/>
    <w:rsid w:val="004D36B6"/>
    <w:rsid w:val="004D3C0E"/>
    <w:rsid w:val="004D4419"/>
    <w:rsid w:val="004D45AA"/>
    <w:rsid w:val="004D4BDB"/>
    <w:rsid w:val="004D5161"/>
    <w:rsid w:val="004D6755"/>
    <w:rsid w:val="004D6C74"/>
    <w:rsid w:val="004D780C"/>
    <w:rsid w:val="004E0244"/>
    <w:rsid w:val="004E04BF"/>
    <w:rsid w:val="004E081B"/>
    <w:rsid w:val="004E0A91"/>
    <w:rsid w:val="004E2725"/>
    <w:rsid w:val="004E28B1"/>
    <w:rsid w:val="004E2BE7"/>
    <w:rsid w:val="004E5B02"/>
    <w:rsid w:val="004E6AC0"/>
    <w:rsid w:val="004E6D5F"/>
    <w:rsid w:val="004E7936"/>
    <w:rsid w:val="004E7D09"/>
    <w:rsid w:val="004E7DCF"/>
    <w:rsid w:val="004E7DF2"/>
    <w:rsid w:val="004F0068"/>
    <w:rsid w:val="004F0474"/>
    <w:rsid w:val="004F0D16"/>
    <w:rsid w:val="004F0F3D"/>
    <w:rsid w:val="004F1DDB"/>
    <w:rsid w:val="004F2AB4"/>
    <w:rsid w:val="004F2B30"/>
    <w:rsid w:val="004F3766"/>
    <w:rsid w:val="004F458D"/>
    <w:rsid w:val="004F4775"/>
    <w:rsid w:val="004F4BB8"/>
    <w:rsid w:val="004F50AF"/>
    <w:rsid w:val="004F5C89"/>
    <w:rsid w:val="004F6B6B"/>
    <w:rsid w:val="00502363"/>
    <w:rsid w:val="00502FC6"/>
    <w:rsid w:val="0050394C"/>
    <w:rsid w:val="0050399F"/>
    <w:rsid w:val="00503F93"/>
    <w:rsid w:val="00504A16"/>
    <w:rsid w:val="005050CE"/>
    <w:rsid w:val="00505B5C"/>
    <w:rsid w:val="005067A1"/>
    <w:rsid w:val="00507065"/>
    <w:rsid w:val="00512CC7"/>
    <w:rsid w:val="005130D9"/>
    <w:rsid w:val="005135D6"/>
    <w:rsid w:val="00513822"/>
    <w:rsid w:val="00514158"/>
    <w:rsid w:val="00514783"/>
    <w:rsid w:val="00517A71"/>
    <w:rsid w:val="00517EE9"/>
    <w:rsid w:val="00520B00"/>
    <w:rsid w:val="005217BE"/>
    <w:rsid w:val="00521D56"/>
    <w:rsid w:val="00522F33"/>
    <w:rsid w:val="0052367C"/>
    <w:rsid w:val="00523DD6"/>
    <w:rsid w:val="0052490C"/>
    <w:rsid w:val="0052508A"/>
    <w:rsid w:val="00525295"/>
    <w:rsid w:val="0053078D"/>
    <w:rsid w:val="00530BA1"/>
    <w:rsid w:val="00530FC7"/>
    <w:rsid w:val="00531FC9"/>
    <w:rsid w:val="00532026"/>
    <w:rsid w:val="0053327A"/>
    <w:rsid w:val="00533D6A"/>
    <w:rsid w:val="00533D84"/>
    <w:rsid w:val="00533E53"/>
    <w:rsid w:val="005342A5"/>
    <w:rsid w:val="00535350"/>
    <w:rsid w:val="00535792"/>
    <w:rsid w:val="00535A98"/>
    <w:rsid w:val="00536B6D"/>
    <w:rsid w:val="0053702D"/>
    <w:rsid w:val="0054122B"/>
    <w:rsid w:val="0054224E"/>
    <w:rsid w:val="005429A0"/>
    <w:rsid w:val="00542C33"/>
    <w:rsid w:val="00542EAE"/>
    <w:rsid w:val="00543964"/>
    <w:rsid w:val="00543DBD"/>
    <w:rsid w:val="00544DA4"/>
    <w:rsid w:val="00544E37"/>
    <w:rsid w:val="00547047"/>
    <w:rsid w:val="005474CB"/>
    <w:rsid w:val="00550113"/>
    <w:rsid w:val="00550997"/>
    <w:rsid w:val="005511AD"/>
    <w:rsid w:val="00551271"/>
    <w:rsid w:val="0055144E"/>
    <w:rsid w:val="0055245C"/>
    <w:rsid w:val="005528C1"/>
    <w:rsid w:val="00552A83"/>
    <w:rsid w:val="00552BF3"/>
    <w:rsid w:val="00552E3E"/>
    <w:rsid w:val="00554261"/>
    <w:rsid w:val="00554886"/>
    <w:rsid w:val="00554A32"/>
    <w:rsid w:val="005563DA"/>
    <w:rsid w:val="0055657F"/>
    <w:rsid w:val="0055791B"/>
    <w:rsid w:val="00557D09"/>
    <w:rsid w:val="0056002D"/>
    <w:rsid w:val="00560A14"/>
    <w:rsid w:val="005617F7"/>
    <w:rsid w:val="00562181"/>
    <w:rsid w:val="00563313"/>
    <w:rsid w:val="005643EA"/>
    <w:rsid w:val="00564A89"/>
    <w:rsid w:val="00565031"/>
    <w:rsid w:val="00566665"/>
    <w:rsid w:val="005666F4"/>
    <w:rsid w:val="00566A45"/>
    <w:rsid w:val="00566DB5"/>
    <w:rsid w:val="005723E9"/>
    <w:rsid w:val="00572C82"/>
    <w:rsid w:val="0057350E"/>
    <w:rsid w:val="00573DB4"/>
    <w:rsid w:val="00576215"/>
    <w:rsid w:val="0057632A"/>
    <w:rsid w:val="00576664"/>
    <w:rsid w:val="00577AA3"/>
    <w:rsid w:val="005808DE"/>
    <w:rsid w:val="00581FA5"/>
    <w:rsid w:val="00582399"/>
    <w:rsid w:val="00582923"/>
    <w:rsid w:val="00583884"/>
    <w:rsid w:val="00584165"/>
    <w:rsid w:val="00585466"/>
    <w:rsid w:val="00585B5B"/>
    <w:rsid w:val="0058617B"/>
    <w:rsid w:val="00587E96"/>
    <w:rsid w:val="00590386"/>
    <w:rsid w:val="005911AC"/>
    <w:rsid w:val="0059138D"/>
    <w:rsid w:val="00592A08"/>
    <w:rsid w:val="00593E1F"/>
    <w:rsid w:val="00595FAD"/>
    <w:rsid w:val="0059657D"/>
    <w:rsid w:val="005965CE"/>
    <w:rsid w:val="005970B6"/>
    <w:rsid w:val="00597BBC"/>
    <w:rsid w:val="005A020C"/>
    <w:rsid w:val="005A1898"/>
    <w:rsid w:val="005A18FB"/>
    <w:rsid w:val="005A2182"/>
    <w:rsid w:val="005A2363"/>
    <w:rsid w:val="005A2C21"/>
    <w:rsid w:val="005A43B1"/>
    <w:rsid w:val="005A6305"/>
    <w:rsid w:val="005A760D"/>
    <w:rsid w:val="005A7CA9"/>
    <w:rsid w:val="005B02DE"/>
    <w:rsid w:val="005B0463"/>
    <w:rsid w:val="005B04C9"/>
    <w:rsid w:val="005B0C8D"/>
    <w:rsid w:val="005B13A0"/>
    <w:rsid w:val="005B321D"/>
    <w:rsid w:val="005B3AEF"/>
    <w:rsid w:val="005B3B7C"/>
    <w:rsid w:val="005B5390"/>
    <w:rsid w:val="005B54BB"/>
    <w:rsid w:val="005B57EC"/>
    <w:rsid w:val="005B591C"/>
    <w:rsid w:val="005B5C89"/>
    <w:rsid w:val="005B5D85"/>
    <w:rsid w:val="005B76D3"/>
    <w:rsid w:val="005C0B75"/>
    <w:rsid w:val="005C14B0"/>
    <w:rsid w:val="005C1BC9"/>
    <w:rsid w:val="005C287F"/>
    <w:rsid w:val="005C29CD"/>
    <w:rsid w:val="005C2A1D"/>
    <w:rsid w:val="005C5136"/>
    <w:rsid w:val="005C517E"/>
    <w:rsid w:val="005C6CF7"/>
    <w:rsid w:val="005C6DEB"/>
    <w:rsid w:val="005C7542"/>
    <w:rsid w:val="005C7A65"/>
    <w:rsid w:val="005C7A91"/>
    <w:rsid w:val="005D0B5D"/>
    <w:rsid w:val="005D2F62"/>
    <w:rsid w:val="005D3034"/>
    <w:rsid w:val="005D3318"/>
    <w:rsid w:val="005D35A0"/>
    <w:rsid w:val="005D3DD9"/>
    <w:rsid w:val="005D3E00"/>
    <w:rsid w:val="005D40D9"/>
    <w:rsid w:val="005D411E"/>
    <w:rsid w:val="005D423C"/>
    <w:rsid w:val="005D479B"/>
    <w:rsid w:val="005D5914"/>
    <w:rsid w:val="005E0301"/>
    <w:rsid w:val="005E03B8"/>
    <w:rsid w:val="005E0917"/>
    <w:rsid w:val="005E1B10"/>
    <w:rsid w:val="005E3471"/>
    <w:rsid w:val="005E3ABC"/>
    <w:rsid w:val="005E4BEC"/>
    <w:rsid w:val="005E5070"/>
    <w:rsid w:val="005E59EB"/>
    <w:rsid w:val="005E61A3"/>
    <w:rsid w:val="005E7377"/>
    <w:rsid w:val="005E7DF2"/>
    <w:rsid w:val="005E7F24"/>
    <w:rsid w:val="005E7FAD"/>
    <w:rsid w:val="005F05ED"/>
    <w:rsid w:val="005F1095"/>
    <w:rsid w:val="005F12F9"/>
    <w:rsid w:val="005F1957"/>
    <w:rsid w:val="005F1EB8"/>
    <w:rsid w:val="005F266B"/>
    <w:rsid w:val="005F3409"/>
    <w:rsid w:val="005F3BBE"/>
    <w:rsid w:val="005F5B6B"/>
    <w:rsid w:val="005F5DF8"/>
    <w:rsid w:val="005F6354"/>
    <w:rsid w:val="005F6603"/>
    <w:rsid w:val="005F6FDF"/>
    <w:rsid w:val="0060043C"/>
    <w:rsid w:val="00600733"/>
    <w:rsid w:val="00601450"/>
    <w:rsid w:val="006015FF"/>
    <w:rsid w:val="0060179C"/>
    <w:rsid w:val="006022CB"/>
    <w:rsid w:val="00602764"/>
    <w:rsid w:val="00602FA5"/>
    <w:rsid w:val="0060500C"/>
    <w:rsid w:val="00605A9A"/>
    <w:rsid w:val="00605F23"/>
    <w:rsid w:val="00606735"/>
    <w:rsid w:val="0060673F"/>
    <w:rsid w:val="00606885"/>
    <w:rsid w:val="0060723F"/>
    <w:rsid w:val="00607523"/>
    <w:rsid w:val="006108B8"/>
    <w:rsid w:val="00610920"/>
    <w:rsid w:val="00610B56"/>
    <w:rsid w:val="00611073"/>
    <w:rsid w:val="0061222C"/>
    <w:rsid w:val="0061248F"/>
    <w:rsid w:val="00612780"/>
    <w:rsid w:val="006128D7"/>
    <w:rsid w:val="00613578"/>
    <w:rsid w:val="0061382B"/>
    <w:rsid w:val="00614509"/>
    <w:rsid w:val="006147CF"/>
    <w:rsid w:val="0061482E"/>
    <w:rsid w:val="00615252"/>
    <w:rsid w:val="0061552A"/>
    <w:rsid w:val="006161E5"/>
    <w:rsid w:val="00616264"/>
    <w:rsid w:val="00616690"/>
    <w:rsid w:val="00616E90"/>
    <w:rsid w:val="00620AB3"/>
    <w:rsid w:val="006219A7"/>
    <w:rsid w:val="00622B37"/>
    <w:rsid w:val="00622B8C"/>
    <w:rsid w:val="00622DF8"/>
    <w:rsid w:val="0062362F"/>
    <w:rsid w:val="00623BD2"/>
    <w:rsid w:val="00623EAD"/>
    <w:rsid w:val="00624117"/>
    <w:rsid w:val="00624624"/>
    <w:rsid w:val="0062558D"/>
    <w:rsid w:val="006259C7"/>
    <w:rsid w:val="006269F7"/>
    <w:rsid w:val="00626A88"/>
    <w:rsid w:val="00627143"/>
    <w:rsid w:val="00630711"/>
    <w:rsid w:val="00630EF6"/>
    <w:rsid w:val="00631405"/>
    <w:rsid w:val="006317A9"/>
    <w:rsid w:val="0063337F"/>
    <w:rsid w:val="00633D3C"/>
    <w:rsid w:val="00633DEB"/>
    <w:rsid w:val="006347CA"/>
    <w:rsid w:val="0063493E"/>
    <w:rsid w:val="00634EC4"/>
    <w:rsid w:val="00635440"/>
    <w:rsid w:val="006364E5"/>
    <w:rsid w:val="0063773C"/>
    <w:rsid w:val="00640475"/>
    <w:rsid w:val="006418A0"/>
    <w:rsid w:val="00643011"/>
    <w:rsid w:val="00643362"/>
    <w:rsid w:val="00643B18"/>
    <w:rsid w:val="0064497A"/>
    <w:rsid w:val="006452A4"/>
    <w:rsid w:val="00645573"/>
    <w:rsid w:val="006455B0"/>
    <w:rsid w:val="00646287"/>
    <w:rsid w:val="00646D1B"/>
    <w:rsid w:val="006477B8"/>
    <w:rsid w:val="00647F9C"/>
    <w:rsid w:val="00650529"/>
    <w:rsid w:val="00650B6C"/>
    <w:rsid w:val="00650D5A"/>
    <w:rsid w:val="00650DB8"/>
    <w:rsid w:val="00651C18"/>
    <w:rsid w:val="00652460"/>
    <w:rsid w:val="00652DF7"/>
    <w:rsid w:val="00652F11"/>
    <w:rsid w:val="00652FA2"/>
    <w:rsid w:val="00654A02"/>
    <w:rsid w:val="00655B6E"/>
    <w:rsid w:val="00656BF0"/>
    <w:rsid w:val="00661595"/>
    <w:rsid w:val="0066173C"/>
    <w:rsid w:val="0066186C"/>
    <w:rsid w:val="00662545"/>
    <w:rsid w:val="00662E37"/>
    <w:rsid w:val="00664361"/>
    <w:rsid w:val="006646B6"/>
    <w:rsid w:val="00664874"/>
    <w:rsid w:val="006657C2"/>
    <w:rsid w:val="006660B9"/>
    <w:rsid w:val="00666996"/>
    <w:rsid w:val="00667262"/>
    <w:rsid w:val="006674B5"/>
    <w:rsid w:val="00670758"/>
    <w:rsid w:val="00672D2A"/>
    <w:rsid w:val="0067375E"/>
    <w:rsid w:val="006746DB"/>
    <w:rsid w:val="00674BF5"/>
    <w:rsid w:val="00674FCA"/>
    <w:rsid w:val="006750B8"/>
    <w:rsid w:val="00676B42"/>
    <w:rsid w:val="00676B98"/>
    <w:rsid w:val="006771CE"/>
    <w:rsid w:val="006778A2"/>
    <w:rsid w:val="00677A91"/>
    <w:rsid w:val="00680478"/>
    <w:rsid w:val="00681382"/>
    <w:rsid w:val="00684DC8"/>
    <w:rsid w:val="00685182"/>
    <w:rsid w:val="006855AB"/>
    <w:rsid w:val="0068594D"/>
    <w:rsid w:val="00690B40"/>
    <w:rsid w:val="00690D01"/>
    <w:rsid w:val="006916DC"/>
    <w:rsid w:val="00691F49"/>
    <w:rsid w:val="00691F9C"/>
    <w:rsid w:val="00692A55"/>
    <w:rsid w:val="00692B10"/>
    <w:rsid w:val="0069572F"/>
    <w:rsid w:val="00695A63"/>
    <w:rsid w:val="00695ABB"/>
    <w:rsid w:val="00696301"/>
    <w:rsid w:val="00696434"/>
    <w:rsid w:val="006966FF"/>
    <w:rsid w:val="00696F12"/>
    <w:rsid w:val="006972E8"/>
    <w:rsid w:val="006A01F5"/>
    <w:rsid w:val="006A14F6"/>
    <w:rsid w:val="006A20A0"/>
    <w:rsid w:val="006A2ED8"/>
    <w:rsid w:val="006A3201"/>
    <w:rsid w:val="006A3A82"/>
    <w:rsid w:val="006A4B1B"/>
    <w:rsid w:val="006A6049"/>
    <w:rsid w:val="006A66C9"/>
    <w:rsid w:val="006A6822"/>
    <w:rsid w:val="006A6CCF"/>
    <w:rsid w:val="006A7AEE"/>
    <w:rsid w:val="006A7EC8"/>
    <w:rsid w:val="006B08A5"/>
    <w:rsid w:val="006B0EEE"/>
    <w:rsid w:val="006B19A0"/>
    <w:rsid w:val="006B1A77"/>
    <w:rsid w:val="006B2333"/>
    <w:rsid w:val="006B2A31"/>
    <w:rsid w:val="006B2B59"/>
    <w:rsid w:val="006B2C9D"/>
    <w:rsid w:val="006B36C2"/>
    <w:rsid w:val="006B3BAE"/>
    <w:rsid w:val="006B42A7"/>
    <w:rsid w:val="006B4AC8"/>
    <w:rsid w:val="006B4E35"/>
    <w:rsid w:val="006B5308"/>
    <w:rsid w:val="006B55D6"/>
    <w:rsid w:val="006B5A2B"/>
    <w:rsid w:val="006B5BA8"/>
    <w:rsid w:val="006B7076"/>
    <w:rsid w:val="006B7228"/>
    <w:rsid w:val="006B72F3"/>
    <w:rsid w:val="006C0691"/>
    <w:rsid w:val="006C0915"/>
    <w:rsid w:val="006C0EF3"/>
    <w:rsid w:val="006C11BB"/>
    <w:rsid w:val="006C163A"/>
    <w:rsid w:val="006C1758"/>
    <w:rsid w:val="006C1FB5"/>
    <w:rsid w:val="006C2F61"/>
    <w:rsid w:val="006C35BA"/>
    <w:rsid w:val="006C3FF9"/>
    <w:rsid w:val="006C4136"/>
    <w:rsid w:val="006C4174"/>
    <w:rsid w:val="006C45C6"/>
    <w:rsid w:val="006C4A8F"/>
    <w:rsid w:val="006C4D76"/>
    <w:rsid w:val="006C52E6"/>
    <w:rsid w:val="006C5419"/>
    <w:rsid w:val="006C5A49"/>
    <w:rsid w:val="006C66DB"/>
    <w:rsid w:val="006C6D3F"/>
    <w:rsid w:val="006C6EE0"/>
    <w:rsid w:val="006C7201"/>
    <w:rsid w:val="006D0C24"/>
    <w:rsid w:val="006D1BC0"/>
    <w:rsid w:val="006D2499"/>
    <w:rsid w:val="006D35FC"/>
    <w:rsid w:val="006D3B1A"/>
    <w:rsid w:val="006D49F3"/>
    <w:rsid w:val="006D665A"/>
    <w:rsid w:val="006D6AE0"/>
    <w:rsid w:val="006D7512"/>
    <w:rsid w:val="006E01DA"/>
    <w:rsid w:val="006E0809"/>
    <w:rsid w:val="006E0E76"/>
    <w:rsid w:val="006E3440"/>
    <w:rsid w:val="006E347B"/>
    <w:rsid w:val="006E52E7"/>
    <w:rsid w:val="006E5764"/>
    <w:rsid w:val="006E5D07"/>
    <w:rsid w:val="006E6778"/>
    <w:rsid w:val="006E6AEF"/>
    <w:rsid w:val="006F07BF"/>
    <w:rsid w:val="006F0968"/>
    <w:rsid w:val="006F1CCF"/>
    <w:rsid w:val="006F20A4"/>
    <w:rsid w:val="006F2637"/>
    <w:rsid w:val="006F2989"/>
    <w:rsid w:val="006F3626"/>
    <w:rsid w:val="006F3B33"/>
    <w:rsid w:val="006F503D"/>
    <w:rsid w:val="006F53D7"/>
    <w:rsid w:val="00700D33"/>
    <w:rsid w:val="00700DE8"/>
    <w:rsid w:val="00700DFD"/>
    <w:rsid w:val="007027F2"/>
    <w:rsid w:val="007038D5"/>
    <w:rsid w:val="00703C87"/>
    <w:rsid w:val="00705025"/>
    <w:rsid w:val="007062FD"/>
    <w:rsid w:val="007063EE"/>
    <w:rsid w:val="007065FE"/>
    <w:rsid w:val="00706D25"/>
    <w:rsid w:val="00706FD8"/>
    <w:rsid w:val="0070781A"/>
    <w:rsid w:val="007079CE"/>
    <w:rsid w:val="007106FB"/>
    <w:rsid w:val="007111B3"/>
    <w:rsid w:val="00711F3A"/>
    <w:rsid w:val="00711F45"/>
    <w:rsid w:val="007121C9"/>
    <w:rsid w:val="00712B6C"/>
    <w:rsid w:val="00712C8C"/>
    <w:rsid w:val="00712DE1"/>
    <w:rsid w:val="00712F56"/>
    <w:rsid w:val="0071377A"/>
    <w:rsid w:val="00713E91"/>
    <w:rsid w:val="00714734"/>
    <w:rsid w:val="007158B2"/>
    <w:rsid w:val="007172B2"/>
    <w:rsid w:val="00717926"/>
    <w:rsid w:val="00720ADC"/>
    <w:rsid w:val="00721A22"/>
    <w:rsid w:val="00721CEA"/>
    <w:rsid w:val="0072265E"/>
    <w:rsid w:val="00722A10"/>
    <w:rsid w:val="007233B1"/>
    <w:rsid w:val="00723A50"/>
    <w:rsid w:val="00724108"/>
    <w:rsid w:val="007241D3"/>
    <w:rsid w:val="007247ED"/>
    <w:rsid w:val="007248BD"/>
    <w:rsid w:val="007260DA"/>
    <w:rsid w:val="00727756"/>
    <w:rsid w:val="00730040"/>
    <w:rsid w:val="0073242B"/>
    <w:rsid w:val="00732D6D"/>
    <w:rsid w:val="00733B77"/>
    <w:rsid w:val="00733F21"/>
    <w:rsid w:val="007345D3"/>
    <w:rsid w:val="0073473E"/>
    <w:rsid w:val="0073527C"/>
    <w:rsid w:val="0073581C"/>
    <w:rsid w:val="00735F76"/>
    <w:rsid w:val="00736AD5"/>
    <w:rsid w:val="00736D27"/>
    <w:rsid w:val="00736F34"/>
    <w:rsid w:val="00741BA6"/>
    <w:rsid w:val="007420C6"/>
    <w:rsid w:val="007421F4"/>
    <w:rsid w:val="007434D0"/>
    <w:rsid w:val="007445C4"/>
    <w:rsid w:val="00745142"/>
    <w:rsid w:val="00745369"/>
    <w:rsid w:val="007463E2"/>
    <w:rsid w:val="007466A4"/>
    <w:rsid w:val="00747FFA"/>
    <w:rsid w:val="007503D4"/>
    <w:rsid w:val="0075112B"/>
    <w:rsid w:val="00751FBE"/>
    <w:rsid w:val="00752B94"/>
    <w:rsid w:val="0075303E"/>
    <w:rsid w:val="0075306B"/>
    <w:rsid w:val="00754ADC"/>
    <w:rsid w:val="0075517F"/>
    <w:rsid w:val="0075706D"/>
    <w:rsid w:val="007574C3"/>
    <w:rsid w:val="00757C76"/>
    <w:rsid w:val="007608E4"/>
    <w:rsid w:val="00760D4A"/>
    <w:rsid w:val="007615A8"/>
    <w:rsid w:val="00761856"/>
    <w:rsid w:val="00761891"/>
    <w:rsid w:val="0076257F"/>
    <w:rsid w:val="0076375E"/>
    <w:rsid w:val="00763A4B"/>
    <w:rsid w:val="00763B4B"/>
    <w:rsid w:val="00764BC5"/>
    <w:rsid w:val="00764E61"/>
    <w:rsid w:val="00765008"/>
    <w:rsid w:val="007676ED"/>
    <w:rsid w:val="007679BF"/>
    <w:rsid w:val="00770830"/>
    <w:rsid w:val="0077085A"/>
    <w:rsid w:val="00770D40"/>
    <w:rsid w:val="00770EAF"/>
    <w:rsid w:val="00770F0C"/>
    <w:rsid w:val="00771068"/>
    <w:rsid w:val="007711E7"/>
    <w:rsid w:val="007715D6"/>
    <w:rsid w:val="00771E97"/>
    <w:rsid w:val="0077276E"/>
    <w:rsid w:val="007745EB"/>
    <w:rsid w:val="0077559A"/>
    <w:rsid w:val="0078015D"/>
    <w:rsid w:val="00781160"/>
    <w:rsid w:val="007827A3"/>
    <w:rsid w:val="00782DD2"/>
    <w:rsid w:val="00783881"/>
    <w:rsid w:val="00783DA7"/>
    <w:rsid w:val="00784477"/>
    <w:rsid w:val="00784A19"/>
    <w:rsid w:val="0078506A"/>
    <w:rsid w:val="00785E60"/>
    <w:rsid w:val="00785F3E"/>
    <w:rsid w:val="00785F88"/>
    <w:rsid w:val="007864CA"/>
    <w:rsid w:val="00787028"/>
    <w:rsid w:val="00787733"/>
    <w:rsid w:val="00787CDE"/>
    <w:rsid w:val="00790738"/>
    <w:rsid w:val="00791DA9"/>
    <w:rsid w:val="0079311D"/>
    <w:rsid w:val="00795EC6"/>
    <w:rsid w:val="007968EE"/>
    <w:rsid w:val="007969A4"/>
    <w:rsid w:val="00796EBB"/>
    <w:rsid w:val="00797715"/>
    <w:rsid w:val="00797C89"/>
    <w:rsid w:val="007A00D6"/>
    <w:rsid w:val="007A0CE8"/>
    <w:rsid w:val="007A1067"/>
    <w:rsid w:val="007A1D61"/>
    <w:rsid w:val="007A1E2E"/>
    <w:rsid w:val="007A212A"/>
    <w:rsid w:val="007A3184"/>
    <w:rsid w:val="007A40CB"/>
    <w:rsid w:val="007A49AC"/>
    <w:rsid w:val="007A4CFD"/>
    <w:rsid w:val="007B0068"/>
    <w:rsid w:val="007B025E"/>
    <w:rsid w:val="007B0AC3"/>
    <w:rsid w:val="007B16A3"/>
    <w:rsid w:val="007B2006"/>
    <w:rsid w:val="007B2F85"/>
    <w:rsid w:val="007B4067"/>
    <w:rsid w:val="007B42DB"/>
    <w:rsid w:val="007B4F0B"/>
    <w:rsid w:val="007B4FD3"/>
    <w:rsid w:val="007B54D6"/>
    <w:rsid w:val="007B5523"/>
    <w:rsid w:val="007B741C"/>
    <w:rsid w:val="007C099C"/>
    <w:rsid w:val="007C2334"/>
    <w:rsid w:val="007C2F65"/>
    <w:rsid w:val="007C3B71"/>
    <w:rsid w:val="007C4C33"/>
    <w:rsid w:val="007C5DF2"/>
    <w:rsid w:val="007C64F7"/>
    <w:rsid w:val="007C6E13"/>
    <w:rsid w:val="007C6E66"/>
    <w:rsid w:val="007C795D"/>
    <w:rsid w:val="007C7C9C"/>
    <w:rsid w:val="007D0ABB"/>
    <w:rsid w:val="007D1696"/>
    <w:rsid w:val="007D183F"/>
    <w:rsid w:val="007D1F12"/>
    <w:rsid w:val="007D2AEF"/>
    <w:rsid w:val="007D2CE6"/>
    <w:rsid w:val="007D4FF8"/>
    <w:rsid w:val="007D633B"/>
    <w:rsid w:val="007D63B3"/>
    <w:rsid w:val="007D7D73"/>
    <w:rsid w:val="007E16E5"/>
    <w:rsid w:val="007E18BB"/>
    <w:rsid w:val="007E33D4"/>
    <w:rsid w:val="007E39E6"/>
    <w:rsid w:val="007E3DCF"/>
    <w:rsid w:val="007E475F"/>
    <w:rsid w:val="007E4981"/>
    <w:rsid w:val="007E5285"/>
    <w:rsid w:val="007E617C"/>
    <w:rsid w:val="007E6F35"/>
    <w:rsid w:val="007E7340"/>
    <w:rsid w:val="007F0343"/>
    <w:rsid w:val="007F0442"/>
    <w:rsid w:val="007F097C"/>
    <w:rsid w:val="007F0999"/>
    <w:rsid w:val="007F1856"/>
    <w:rsid w:val="007F1970"/>
    <w:rsid w:val="007F3089"/>
    <w:rsid w:val="007F360A"/>
    <w:rsid w:val="007F5225"/>
    <w:rsid w:val="007F5488"/>
    <w:rsid w:val="007F638B"/>
    <w:rsid w:val="007F6D99"/>
    <w:rsid w:val="007F6E9E"/>
    <w:rsid w:val="007F7831"/>
    <w:rsid w:val="007F7842"/>
    <w:rsid w:val="007F7A60"/>
    <w:rsid w:val="007F7D3B"/>
    <w:rsid w:val="007F7FC3"/>
    <w:rsid w:val="008004DF"/>
    <w:rsid w:val="008015A0"/>
    <w:rsid w:val="00802421"/>
    <w:rsid w:val="008024B2"/>
    <w:rsid w:val="00802958"/>
    <w:rsid w:val="00803C30"/>
    <w:rsid w:val="00804D12"/>
    <w:rsid w:val="00804D43"/>
    <w:rsid w:val="00805255"/>
    <w:rsid w:val="00810D73"/>
    <w:rsid w:val="00810F87"/>
    <w:rsid w:val="0081176B"/>
    <w:rsid w:val="008122CC"/>
    <w:rsid w:val="00812582"/>
    <w:rsid w:val="008125D7"/>
    <w:rsid w:val="008126F5"/>
    <w:rsid w:val="008136B4"/>
    <w:rsid w:val="00813B8E"/>
    <w:rsid w:val="008143A4"/>
    <w:rsid w:val="008145C0"/>
    <w:rsid w:val="008151A6"/>
    <w:rsid w:val="00815EE9"/>
    <w:rsid w:val="00816B32"/>
    <w:rsid w:val="00816F2D"/>
    <w:rsid w:val="0082014C"/>
    <w:rsid w:val="00820E23"/>
    <w:rsid w:val="0082105B"/>
    <w:rsid w:val="008221EB"/>
    <w:rsid w:val="008226CF"/>
    <w:rsid w:val="00822727"/>
    <w:rsid w:val="008233A4"/>
    <w:rsid w:val="008241B9"/>
    <w:rsid w:val="008248E0"/>
    <w:rsid w:val="00826E25"/>
    <w:rsid w:val="00827BBD"/>
    <w:rsid w:val="00827C9A"/>
    <w:rsid w:val="008304E8"/>
    <w:rsid w:val="00830F86"/>
    <w:rsid w:val="0083278B"/>
    <w:rsid w:val="0083285E"/>
    <w:rsid w:val="00833EC0"/>
    <w:rsid w:val="008343BD"/>
    <w:rsid w:val="0083444D"/>
    <w:rsid w:val="00834E93"/>
    <w:rsid w:val="00836845"/>
    <w:rsid w:val="00837612"/>
    <w:rsid w:val="00840A22"/>
    <w:rsid w:val="00840F72"/>
    <w:rsid w:val="00841322"/>
    <w:rsid w:val="00841645"/>
    <w:rsid w:val="008420D9"/>
    <w:rsid w:val="008427C5"/>
    <w:rsid w:val="00842A5C"/>
    <w:rsid w:val="00843119"/>
    <w:rsid w:val="00844689"/>
    <w:rsid w:val="00845545"/>
    <w:rsid w:val="00845551"/>
    <w:rsid w:val="008469DF"/>
    <w:rsid w:val="008503E1"/>
    <w:rsid w:val="00850412"/>
    <w:rsid w:val="00850C75"/>
    <w:rsid w:val="00851278"/>
    <w:rsid w:val="00852CAD"/>
    <w:rsid w:val="00852EA6"/>
    <w:rsid w:val="00853599"/>
    <w:rsid w:val="00854146"/>
    <w:rsid w:val="00854E5A"/>
    <w:rsid w:val="0085520E"/>
    <w:rsid w:val="00855D5F"/>
    <w:rsid w:val="00855EAC"/>
    <w:rsid w:val="008564FF"/>
    <w:rsid w:val="00856854"/>
    <w:rsid w:val="0085692D"/>
    <w:rsid w:val="00856E42"/>
    <w:rsid w:val="00860B35"/>
    <w:rsid w:val="0086119A"/>
    <w:rsid w:val="00861C69"/>
    <w:rsid w:val="0086634C"/>
    <w:rsid w:val="00866C27"/>
    <w:rsid w:val="00867C62"/>
    <w:rsid w:val="00867EDC"/>
    <w:rsid w:val="00870531"/>
    <w:rsid w:val="00871877"/>
    <w:rsid w:val="00871CAF"/>
    <w:rsid w:val="008726CA"/>
    <w:rsid w:val="00872B0F"/>
    <w:rsid w:val="008737EA"/>
    <w:rsid w:val="00873855"/>
    <w:rsid w:val="00873BC6"/>
    <w:rsid w:val="0087411F"/>
    <w:rsid w:val="008744A5"/>
    <w:rsid w:val="008745D3"/>
    <w:rsid w:val="0087489F"/>
    <w:rsid w:val="00874F0C"/>
    <w:rsid w:val="00875044"/>
    <w:rsid w:val="00875C7F"/>
    <w:rsid w:val="00877CEF"/>
    <w:rsid w:val="00880E92"/>
    <w:rsid w:val="008815DE"/>
    <w:rsid w:val="0088172D"/>
    <w:rsid w:val="00881778"/>
    <w:rsid w:val="00882103"/>
    <w:rsid w:val="008824B3"/>
    <w:rsid w:val="00883142"/>
    <w:rsid w:val="00884384"/>
    <w:rsid w:val="00884B2C"/>
    <w:rsid w:val="00884FEB"/>
    <w:rsid w:val="00885185"/>
    <w:rsid w:val="00885309"/>
    <w:rsid w:val="0088587E"/>
    <w:rsid w:val="0088630E"/>
    <w:rsid w:val="00887637"/>
    <w:rsid w:val="00887929"/>
    <w:rsid w:val="00887A83"/>
    <w:rsid w:val="0089010B"/>
    <w:rsid w:val="00893133"/>
    <w:rsid w:val="008932B5"/>
    <w:rsid w:val="00894221"/>
    <w:rsid w:val="008968A4"/>
    <w:rsid w:val="00897812"/>
    <w:rsid w:val="008A05EC"/>
    <w:rsid w:val="008A0983"/>
    <w:rsid w:val="008A1203"/>
    <w:rsid w:val="008A15A6"/>
    <w:rsid w:val="008A1A1E"/>
    <w:rsid w:val="008A1C51"/>
    <w:rsid w:val="008A301C"/>
    <w:rsid w:val="008A3152"/>
    <w:rsid w:val="008A3D96"/>
    <w:rsid w:val="008A49E8"/>
    <w:rsid w:val="008A509C"/>
    <w:rsid w:val="008A5DBC"/>
    <w:rsid w:val="008A61B3"/>
    <w:rsid w:val="008A7A5D"/>
    <w:rsid w:val="008B17E8"/>
    <w:rsid w:val="008B1A0F"/>
    <w:rsid w:val="008B2119"/>
    <w:rsid w:val="008B23C9"/>
    <w:rsid w:val="008B2F5E"/>
    <w:rsid w:val="008B37B1"/>
    <w:rsid w:val="008B3A5F"/>
    <w:rsid w:val="008B3E8F"/>
    <w:rsid w:val="008B6066"/>
    <w:rsid w:val="008B695F"/>
    <w:rsid w:val="008B6B86"/>
    <w:rsid w:val="008B7267"/>
    <w:rsid w:val="008B73EE"/>
    <w:rsid w:val="008C017D"/>
    <w:rsid w:val="008C09FE"/>
    <w:rsid w:val="008C1133"/>
    <w:rsid w:val="008C122C"/>
    <w:rsid w:val="008C2330"/>
    <w:rsid w:val="008C26F8"/>
    <w:rsid w:val="008C2DC4"/>
    <w:rsid w:val="008C5233"/>
    <w:rsid w:val="008C5886"/>
    <w:rsid w:val="008C624D"/>
    <w:rsid w:val="008C66C7"/>
    <w:rsid w:val="008C6A9B"/>
    <w:rsid w:val="008C6E0B"/>
    <w:rsid w:val="008C732E"/>
    <w:rsid w:val="008D0D6A"/>
    <w:rsid w:val="008D1D6C"/>
    <w:rsid w:val="008D2210"/>
    <w:rsid w:val="008D230A"/>
    <w:rsid w:val="008D24A6"/>
    <w:rsid w:val="008D274F"/>
    <w:rsid w:val="008D2979"/>
    <w:rsid w:val="008D30F0"/>
    <w:rsid w:val="008D4535"/>
    <w:rsid w:val="008D53B8"/>
    <w:rsid w:val="008D5CDE"/>
    <w:rsid w:val="008D6256"/>
    <w:rsid w:val="008D6581"/>
    <w:rsid w:val="008D696E"/>
    <w:rsid w:val="008D7455"/>
    <w:rsid w:val="008D7D83"/>
    <w:rsid w:val="008E0688"/>
    <w:rsid w:val="008E0E86"/>
    <w:rsid w:val="008E0F08"/>
    <w:rsid w:val="008E10EF"/>
    <w:rsid w:val="008E20BD"/>
    <w:rsid w:val="008E38E8"/>
    <w:rsid w:val="008E3CA9"/>
    <w:rsid w:val="008E47D2"/>
    <w:rsid w:val="008E5ADB"/>
    <w:rsid w:val="008F0BB5"/>
    <w:rsid w:val="008F1D51"/>
    <w:rsid w:val="008F2C6B"/>
    <w:rsid w:val="008F2D4E"/>
    <w:rsid w:val="008F3052"/>
    <w:rsid w:val="008F42E6"/>
    <w:rsid w:val="008F50DF"/>
    <w:rsid w:val="008F54B0"/>
    <w:rsid w:val="008F5BFE"/>
    <w:rsid w:val="008F6C88"/>
    <w:rsid w:val="008F7C56"/>
    <w:rsid w:val="0090036A"/>
    <w:rsid w:val="00900C1D"/>
    <w:rsid w:val="00901501"/>
    <w:rsid w:val="00901574"/>
    <w:rsid w:val="00902B4D"/>
    <w:rsid w:val="00902BCE"/>
    <w:rsid w:val="00902EFC"/>
    <w:rsid w:val="00905EA9"/>
    <w:rsid w:val="009068C9"/>
    <w:rsid w:val="00907115"/>
    <w:rsid w:val="00907513"/>
    <w:rsid w:val="00907AF9"/>
    <w:rsid w:val="00910210"/>
    <w:rsid w:val="009109C8"/>
    <w:rsid w:val="009118EE"/>
    <w:rsid w:val="00912DF5"/>
    <w:rsid w:val="00913A2F"/>
    <w:rsid w:val="00913FC0"/>
    <w:rsid w:val="00914623"/>
    <w:rsid w:val="00916197"/>
    <w:rsid w:val="00920491"/>
    <w:rsid w:val="00921700"/>
    <w:rsid w:val="00922B19"/>
    <w:rsid w:val="00922F04"/>
    <w:rsid w:val="009239A1"/>
    <w:rsid w:val="0092451B"/>
    <w:rsid w:val="009247A0"/>
    <w:rsid w:val="00924EEF"/>
    <w:rsid w:val="00924FE7"/>
    <w:rsid w:val="009258A2"/>
    <w:rsid w:val="009265F9"/>
    <w:rsid w:val="009270FE"/>
    <w:rsid w:val="00927A7A"/>
    <w:rsid w:val="00927A8B"/>
    <w:rsid w:val="00927B49"/>
    <w:rsid w:val="00927F02"/>
    <w:rsid w:val="009301D3"/>
    <w:rsid w:val="0093055F"/>
    <w:rsid w:val="00930817"/>
    <w:rsid w:val="009308DB"/>
    <w:rsid w:val="00931528"/>
    <w:rsid w:val="009317AA"/>
    <w:rsid w:val="0093202C"/>
    <w:rsid w:val="00932E47"/>
    <w:rsid w:val="009339C1"/>
    <w:rsid w:val="00933C5E"/>
    <w:rsid w:val="00934BDB"/>
    <w:rsid w:val="00934F04"/>
    <w:rsid w:val="00936395"/>
    <w:rsid w:val="00936BB3"/>
    <w:rsid w:val="00936DD1"/>
    <w:rsid w:val="009371BA"/>
    <w:rsid w:val="00937A7D"/>
    <w:rsid w:val="0094162B"/>
    <w:rsid w:val="00941843"/>
    <w:rsid w:val="00942368"/>
    <w:rsid w:val="009433BC"/>
    <w:rsid w:val="0094380A"/>
    <w:rsid w:val="00944530"/>
    <w:rsid w:val="00945ED3"/>
    <w:rsid w:val="00947028"/>
    <w:rsid w:val="00947A01"/>
    <w:rsid w:val="00950950"/>
    <w:rsid w:val="00950EE5"/>
    <w:rsid w:val="00951204"/>
    <w:rsid w:val="00952ECC"/>
    <w:rsid w:val="0095353C"/>
    <w:rsid w:val="00954485"/>
    <w:rsid w:val="00954A0C"/>
    <w:rsid w:val="00955AA6"/>
    <w:rsid w:val="00955C81"/>
    <w:rsid w:val="00955F25"/>
    <w:rsid w:val="00960B47"/>
    <w:rsid w:val="00962BBD"/>
    <w:rsid w:val="009633A5"/>
    <w:rsid w:val="0096378F"/>
    <w:rsid w:val="00964E1D"/>
    <w:rsid w:val="00965272"/>
    <w:rsid w:val="00965D27"/>
    <w:rsid w:val="00966663"/>
    <w:rsid w:val="00967868"/>
    <w:rsid w:val="00967FAE"/>
    <w:rsid w:val="00971A2C"/>
    <w:rsid w:val="009720F9"/>
    <w:rsid w:val="009721E6"/>
    <w:rsid w:val="00972A1C"/>
    <w:rsid w:val="00973707"/>
    <w:rsid w:val="00973973"/>
    <w:rsid w:val="00973B8E"/>
    <w:rsid w:val="00974150"/>
    <w:rsid w:val="009742FC"/>
    <w:rsid w:val="00974E3F"/>
    <w:rsid w:val="00974F0C"/>
    <w:rsid w:val="00975344"/>
    <w:rsid w:val="00975CA2"/>
    <w:rsid w:val="00975F7F"/>
    <w:rsid w:val="009769DE"/>
    <w:rsid w:val="009807C6"/>
    <w:rsid w:val="00981540"/>
    <w:rsid w:val="009817E3"/>
    <w:rsid w:val="0098182F"/>
    <w:rsid w:val="0098245F"/>
    <w:rsid w:val="00984A5C"/>
    <w:rsid w:val="00985397"/>
    <w:rsid w:val="00985B99"/>
    <w:rsid w:val="00986D41"/>
    <w:rsid w:val="00986FA9"/>
    <w:rsid w:val="0098757C"/>
    <w:rsid w:val="0098778D"/>
    <w:rsid w:val="00991C37"/>
    <w:rsid w:val="00991D59"/>
    <w:rsid w:val="009921F0"/>
    <w:rsid w:val="0099270E"/>
    <w:rsid w:val="00992C04"/>
    <w:rsid w:val="00994D07"/>
    <w:rsid w:val="00995A7F"/>
    <w:rsid w:val="00995B12"/>
    <w:rsid w:val="0099694B"/>
    <w:rsid w:val="009A0C4E"/>
    <w:rsid w:val="009A1317"/>
    <w:rsid w:val="009A1662"/>
    <w:rsid w:val="009A1A9B"/>
    <w:rsid w:val="009A2864"/>
    <w:rsid w:val="009A2E43"/>
    <w:rsid w:val="009A3874"/>
    <w:rsid w:val="009A4399"/>
    <w:rsid w:val="009A455A"/>
    <w:rsid w:val="009A47E2"/>
    <w:rsid w:val="009A4B3E"/>
    <w:rsid w:val="009A6E08"/>
    <w:rsid w:val="009A7A38"/>
    <w:rsid w:val="009B09F5"/>
    <w:rsid w:val="009B0E38"/>
    <w:rsid w:val="009B25C7"/>
    <w:rsid w:val="009B3008"/>
    <w:rsid w:val="009B355E"/>
    <w:rsid w:val="009B4D6A"/>
    <w:rsid w:val="009B511B"/>
    <w:rsid w:val="009B526D"/>
    <w:rsid w:val="009B591B"/>
    <w:rsid w:val="009B5985"/>
    <w:rsid w:val="009B627A"/>
    <w:rsid w:val="009B688D"/>
    <w:rsid w:val="009B6CE4"/>
    <w:rsid w:val="009C001E"/>
    <w:rsid w:val="009C083D"/>
    <w:rsid w:val="009C2C58"/>
    <w:rsid w:val="009C3801"/>
    <w:rsid w:val="009C3D16"/>
    <w:rsid w:val="009C3DD6"/>
    <w:rsid w:val="009C4291"/>
    <w:rsid w:val="009C43C7"/>
    <w:rsid w:val="009C44E7"/>
    <w:rsid w:val="009C4702"/>
    <w:rsid w:val="009C5582"/>
    <w:rsid w:val="009C68BF"/>
    <w:rsid w:val="009C7899"/>
    <w:rsid w:val="009C7D6A"/>
    <w:rsid w:val="009D288A"/>
    <w:rsid w:val="009D30AF"/>
    <w:rsid w:val="009D3244"/>
    <w:rsid w:val="009D50E7"/>
    <w:rsid w:val="009D5501"/>
    <w:rsid w:val="009D5D1A"/>
    <w:rsid w:val="009D6EDB"/>
    <w:rsid w:val="009D7A90"/>
    <w:rsid w:val="009E283E"/>
    <w:rsid w:val="009E2BBD"/>
    <w:rsid w:val="009E42EE"/>
    <w:rsid w:val="009E4A27"/>
    <w:rsid w:val="009E4FA0"/>
    <w:rsid w:val="009E563E"/>
    <w:rsid w:val="009E5CC6"/>
    <w:rsid w:val="009E5DCC"/>
    <w:rsid w:val="009E61D8"/>
    <w:rsid w:val="009E655E"/>
    <w:rsid w:val="009E718A"/>
    <w:rsid w:val="009E7D0C"/>
    <w:rsid w:val="009E7D4D"/>
    <w:rsid w:val="009E7DDE"/>
    <w:rsid w:val="009F0653"/>
    <w:rsid w:val="009F1084"/>
    <w:rsid w:val="009F1550"/>
    <w:rsid w:val="009F19E9"/>
    <w:rsid w:val="009F1F3F"/>
    <w:rsid w:val="009F2B54"/>
    <w:rsid w:val="009F362C"/>
    <w:rsid w:val="009F3AD0"/>
    <w:rsid w:val="009F3BF5"/>
    <w:rsid w:val="009F45B7"/>
    <w:rsid w:val="009F5262"/>
    <w:rsid w:val="009F78B4"/>
    <w:rsid w:val="009F7C08"/>
    <w:rsid w:val="00A01C72"/>
    <w:rsid w:val="00A0239C"/>
    <w:rsid w:val="00A02850"/>
    <w:rsid w:val="00A03C89"/>
    <w:rsid w:val="00A03DC9"/>
    <w:rsid w:val="00A045D1"/>
    <w:rsid w:val="00A0483F"/>
    <w:rsid w:val="00A04CFA"/>
    <w:rsid w:val="00A07646"/>
    <w:rsid w:val="00A10210"/>
    <w:rsid w:val="00A10C90"/>
    <w:rsid w:val="00A11C6E"/>
    <w:rsid w:val="00A12B66"/>
    <w:rsid w:val="00A136CD"/>
    <w:rsid w:val="00A14679"/>
    <w:rsid w:val="00A159E2"/>
    <w:rsid w:val="00A15AAC"/>
    <w:rsid w:val="00A16FFF"/>
    <w:rsid w:val="00A201CF"/>
    <w:rsid w:val="00A20B73"/>
    <w:rsid w:val="00A2220F"/>
    <w:rsid w:val="00A232F8"/>
    <w:rsid w:val="00A24751"/>
    <w:rsid w:val="00A248E2"/>
    <w:rsid w:val="00A26662"/>
    <w:rsid w:val="00A2674E"/>
    <w:rsid w:val="00A2757B"/>
    <w:rsid w:val="00A27BBC"/>
    <w:rsid w:val="00A30C4C"/>
    <w:rsid w:val="00A31125"/>
    <w:rsid w:val="00A31E59"/>
    <w:rsid w:val="00A320B1"/>
    <w:rsid w:val="00A325F5"/>
    <w:rsid w:val="00A33695"/>
    <w:rsid w:val="00A33C55"/>
    <w:rsid w:val="00A34026"/>
    <w:rsid w:val="00A3453C"/>
    <w:rsid w:val="00A369B8"/>
    <w:rsid w:val="00A369C3"/>
    <w:rsid w:val="00A37988"/>
    <w:rsid w:val="00A37A04"/>
    <w:rsid w:val="00A402A8"/>
    <w:rsid w:val="00A41661"/>
    <w:rsid w:val="00A4281F"/>
    <w:rsid w:val="00A4309F"/>
    <w:rsid w:val="00A4319E"/>
    <w:rsid w:val="00A433ED"/>
    <w:rsid w:val="00A44410"/>
    <w:rsid w:val="00A4645E"/>
    <w:rsid w:val="00A50EB7"/>
    <w:rsid w:val="00A51AA9"/>
    <w:rsid w:val="00A5221E"/>
    <w:rsid w:val="00A53185"/>
    <w:rsid w:val="00A532F5"/>
    <w:rsid w:val="00A53C11"/>
    <w:rsid w:val="00A5427A"/>
    <w:rsid w:val="00A5527A"/>
    <w:rsid w:val="00A55DC4"/>
    <w:rsid w:val="00A56F0F"/>
    <w:rsid w:val="00A60195"/>
    <w:rsid w:val="00A6393D"/>
    <w:rsid w:val="00A6394C"/>
    <w:rsid w:val="00A64421"/>
    <w:rsid w:val="00A648C2"/>
    <w:rsid w:val="00A66053"/>
    <w:rsid w:val="00A6683C"/>
    <w:rsid w:val="00A66EC6"/>
    <w:rsid w:val="00A6706B"/>
    <w:rsid w:val="00A672A8"/>
    <w:rsid w:val="00A675D9"/>
    <w:rsid w:val="00A700A3"/>
    <w:rsid w:val="00A70159"/>
    <w:rsid w:val="00A70245"/>
    <w:rsid w:val="00A707F3"/>
    <w:rsid w:val="00A72DF3"/>
    <w:rsid w:val="00A73282"/>
    <w:rsid w:val="00A732AE"/>
    <w:rsid w:val="00A7376F"/>
    <w:rsid w:val="00A74B40"/>
    <w:rsid w:val="00A74D8D"/>
    <w:rsid w:val="00A75338"/>
    <w:rsid w:val="00A76381"/>
    <w:rsid w:val="00A767BE"/>
    <w:rsid w:val="00A772B4"/>
    <w:rsid w:val="00A774C1"/>
    <w:rsid w:val="00A779E9"/>
    <w:rsid w:val="00A801A9"/>
    <w:rsid w:val="00A807E1"/>
    <w:rsid w:val="00A80A02"/>
    <w:rsid w:val="00A80C2E"/>
    <w:rsid w:val="00A826E9"/>
    <w:rsid w:val="00A8286E"/>
    <w:rsid w:val="00A82F95"/>
    <w:rsid w:val="00A8318E"/>
    <w:rsid w:val="00A840BE"/>
    <w:rsid w:val="00A840D5"/>
    <w:rsid w:val="00A85CE0"/>
    <w:rsid w:val="00A85E91"/>
    <w:rsid w:val="00A85EDB"/>
    <w:rsid w:val="00A86139"/>
    <w:rsid w:val="00A86C99"/>
    <w:rsid w:val="00A86EB4"/>
    <w:rsid w:val="00A90BDF"/>
    <w:rsid w:val="00A92865"/>
    <w:rsid w:val="00A92CFF"/>
    <w:rsid w:val="00A92F0D"/>
    <w:rsid w:val="00A94497"/>
    <w:rsid w:val="00A94F5F"/>
    <w:rsid w:val="00A94FBC"/>
    <w:rsid w:val="00A95150"/>
    <w:rsid w:val="00A9559C"/>
    <w:rsid w:val="00A95FD0"/>
    <w:rsid w:val="00A97C62"/>
    <w:rsid w:val="00A97DCA"/>
    <w:rsid w:val="00A97FED"/>
    <w:rsid w:val="00AA02BE"/>
    <w:rsid w:val="00AA1B66"/>
    <w:rsid w:val="00AA3189"/>
    <w:rsid w:val="00AA629F"/>
    <w:rsid w:val="00AA6A66"/>
    <w:rsid w:val="00AA72D7"/>
    <w:rsid w:val="00AA7658"/>
    <w:rsid w:val="00AB01A1"/>
    <w:rsid w:val="00AB0412"/>
    <w:rsid w:val="00AB0885"/>
    <w:rsid w:val="00AB1C4B"/>
    <w:rsid w:val="00AB2389"/>
    <w:rsid w:val="00AB2C97"/>
    <w:rsid w:val="00AB2F46"/>
    <w:rsid w:val="00AB393F"/>
    <w:rsid w:val="00AB3FE1"/>
    <w:rsid w:val="00AB4C74"/>
    <w:rsid w:val="00AB4E51"/>
    <w:rsid w:val="00AB5C94"/>
    <w:rsid w:val="00AB63E5"/>
    <w:rsid w:val="00AB6610"/>
    <w:rsid w:val="00AB67AA"/>
    <w:rsid w:val="00AB68B2"/>
    <w:rsid w:val="00AB7835"/>
    <w:rsid w:val="00AB7B8D"/>
    <w:rsid w:val="00AB7EF6"/>
    <w:rsid w:val="00AC06B8"/>
    <w:rsid w:val="00AC0C9F"/>
    <w:rsid w:val="00AC0F2C"/>
    <w:rsid w:val="00AC14E2"/>
    <w:rsid w:val="00AC1F38"/>
    <w:rsid w:val="00AC3054"/>
    <w:rsid w:val="00AC4299"/>
    <w:rsid w:val="00AC4E3A"/>
    <w:rsid w:val="00AC5975"/>
    <w:rsid w:val="00AC5D72"/>
    <w:rsid w:val="00AC5F45"/>
    <w:rsid w:val="00AC6255"/>
    <w:rsid w:val="00AC654C"/>
    <w:rsid w:val="00AC6570"/>
    <w:rsid w:val="00AC6619"/>
    <w:rsid w:val="00AC7107"/>
    <w:rsid w:val="00AD061B"/>
    <w:rsid w:val="00AD0C6F"/>
    <w:rsid w:val="00AD1A08"/>
    <w:rsid w:val="00AD4571"/>
    <w:rsid w:val="00AD70F1"/>
    <w:rsid w:val="00AD7567"/>
    <w:rsid w:val="00AE0C1B"/>
    <w:rsid w:val="00AE1CD7"/>
    <w:rsid w:val="00AE3D79"/>
    <w:rsid w:val="00AE7CD3"/>
    <w:rsid w:val="00AF003B"/>
    <w:rsid w:val="00AF07E2"/>
    <w:rsid w:val="00AF1037"/>
    <w:rsid w:val="00AF1E50"/>
    <w:rsid w:val="00AF1F57"/>
    <w:rsid w:val="00AF2910"/>
    <w:rsid w:val="00AF3C10"/>
    <w:rsid w:val="00AF3C69"/>
    <w:rsid w:val="00AF3D7A"/>
    <w:rsid w:val="00AF4ED2"/>
    <w:rsid w:val="00AF61D0"/>
    <w:rsid w:val="00AF6219"/>
    <w:rsid w:val="00AF62BC"/>
    <w:rsid w:val="00AF672F"/>
    <w:rsid w:val="00AF6862"/>
    <w:rsid w:val="00AF6F2C"/>
    <w:rsid w:val="00AF7FA5"/>
    <w:rsid w:val="00B006E9"/>
    <w:rsid w:val="00B01163"/>
    <w:rsid w:val="00B024AD"/>
    <w:rsid w:val="00B024D7"/>
    <w:rsid w:val="00B03CD3"/>
    <w:rsid w:val="00B048F1"/>
    <w:rsid w:val="00B049B4"/>
    <w:rsid w:val="00B04D23"/>
    <w:rsid w:val="00B057CA"/>
    <w:rsid w:val="00B06C38"/>
    <w:rsid w:val="00B11505"/>
    <w:rsid w:val="00B11D0D"/>
    <w:rsid w:val="00B12E10"/>
    <w:rsid w:val="00B12EA6"/>
    <w:rsid w:val="00B13F06"/>
    <w:rsid w:val="00B14047"/>
    <w:rsid w:val="00B14253"/>
    <w:rsid w:val="00B145A2"/>
    <w:rsid w:val="00B15280"/>
    <w:rsid w:val="00B15761"/>
    <w:rsid w:val="00B15DB6"/>
    <w:rsid w:val="00B15F2D"/>
    <w:rsid w:val="00B17100"/>
    <w:rsid w:val="00B171C0"/>
    <w:rsid w:val="00B17999"/>
    <w:rsid w:val="00B20317"/>
    <w:rsid w:val="00B20E5D"/>
    <w:rsid w:val="00B212C5"/>
    <w:rsid w:val="00B21DE2"/>
    <w:rsid w:val="00B21E50"/>
    <w:rsid w:val="00B22110"/>
    <w:rsid w:val="00B22E27"/>
    <w:rsid w:val="00B23005"/>
    <w:rsid w:val="00B267A1"/>
    <w:rsid w:val="00B26927"/>
    <w:rsid w:val="00B30046"/>
    <w:rsid w:val="00B31D8A"/>
    <w:rsid w:val="00B32AFB"/>
    <w:rsid w:val="00B34001"/>
    <w:rsid w:val="00B34B0B"/>
    <w:rsid w:val="00B34B77"/>
    <w:rsid w:val="00B34DD6"/>
    <w:rsid w:val="00B35F80"/>
    <w:rsid w:val="00B3602B"/>
    <w:rsid w:val="00B36BA6"/>
    <w:rsid w:val="00B36EAA"/>
    <w:rsid w:val="00B4088C"/>
    <w:rsid w:val="00B4177D"/>
    <w:rsid w:val="00B429FB"/>
    <w:rsid w:val="00B431BD"/>
    <w:rsid w:val="00B439B1"/>
    <w:rsid w:val="00B43C2A"/>
    <w:rsid w:val="00B43F29"/>
    <w:rsid w:val="00B4423C"/>
    <w:rsid w:val="00B442BD"/>
    <w:rsid w:val="00B44FD0"/>
    <w:rsid w:val="00B4512A"/>
    <w:rsid w:val="00B45BCF"/>
    <w:rsid w:val="00B47F0C"/>
    <w:rsid w:val="00B50194"/>
    <w:rsid w:val="00B50C55"/>
    <w:rsid w:val="00B50D11"/>
    <w:rsid w:val="00B51A5D"/>
    <w:rsid w:val="00B51CC6"/>
    <w:rsid w:val="00B51F42"/>
    <w:rsid w:val="00B522A4"/>
    <w:rsid w:val="00B52872"/>
    <w:rsid w:val="00B53030"/>
    <w:rsid w:val="00B53847"/>
    <w:rsid w:val="00B53939"/>
    <w:rsid w:val="00B542AB"/>
    <w:rsid w:val="00B62635"/>
    <w:rsid w:val="00B64EB6"/>
    <w:rsid w:val="00B65593"/>
    <w:rsid w:val="00B65598"/>
    <w:rsid w:val="00B704AB"/>
    <w:rsid w:val="00B71CD5"/>
    <w:rsid w:val="00B71DAC"/>
    <w:rsid w:val="00B723C6"/>
    <w:rsid w:val="00B72E87"/>
    <w:rsid w:val="00B730C7"/>
    <w:rsid w:val="00B734C4"/>
    <w:rsid w:val="00B7350E"/>
    <w:rsid w:val="00B74792"/>
    <w:rsid w:val="00B74827"/>
    <w:rsid w:val="00B7583B"/>
    <w:rsid w:val="00B759BA"/>
    <w:rsid w:val="00B811B0"/>
    <w:rsid w:val="00B814CA"/>
    <w:rsid w:val="00B816A3"/>
    <w:rsid w:val="00B822A4"/>
    <w:rsid w:val="00B828CC"/>
    <w:rsid w:val="00B83834"/>
    <w:rsid w:val="00B83DDE"/>
    <w:rsid w:val="00B846EC"/>
    <w:rsid w:val="00B8560C"/>
    <w:rsid w:val="00B856D5"/>
    <w:rsid w:val="00B8575F"/>
    <w:rsid w:val="00B85B8C"/>
    <w:rsid w:val="00B85C48"/>
    <w:rsid w:val="00B85F75"/>
    <w:rsid w:val="00B86114"/>
    <w:rsid w:val="00B86CA9"/>
    <w:rsid w:val="00B912BF"/>
    <w:rsid w:val="00B91440"/>
    <w:rsid w:val="00B918B1"/>
    <w:rsid w:val="00B92AAD"/>
    <w:rsid w:val="00B93FA1"/>
    <w:rsid w:val="00B94F66"/>
    <w:rsid w:val="00B96FBD"/>
    <w:rsid w:val="00B976B5"/>
    <w:rsid w:val="00B976CF"/>
    <w:rsid w:val="00B97F1B"/>
    <w:rsid w:val="00BA05FE"/>
    <w:rsid w:val="00BA1BF6"/>
    <w:rsid w:val="00BA1C6C"/>
    <w:rsid w:val="00BA1CD6"/>
    <w:rsid w:val="00BA2863"/>
    <w:rsid w:val="00BA325A"/>
    <w:rsid w:val="00BA4A8E"/>
    <w:rsid w:val="00BA5699"/>
    <w:rsid w:val="00BA58FE"/>
    <w:rsid w:val="00BA5C1F"/>
    <w:rsid w:val="00BA6384"/>
    <w:rsid w:val="00BA6E03"/>
    <w:rsid w:val="00BA7308"/>
    <w:rsid w:val="00BA7CE0"/>
    <w:rsid w:val="00BB169C"/>
    <w:rsid w:val="00BB18C2"/>
    <w:rsid w:val="00BB1DFE"/>
    <w:rsid w:val="00BB225B"/>
    <w:rsid w:val="00BB22D4"/>
    <w:rsid w:val="00BB3CBE"/>
    <w:rsid w:val="00BB50BB"/>
    <w:rsid w:val="00BB5B5D"/>
    <w:rsid w:val="00BB6397"/>
    <w:rsid w:val="00BB6B9C"/>
    <w:rsid w:val="00BB73C8"/>
    <w:rsid w:val="00BB7E19"/>
    <w:rsid w:val="00BC068F"/>
    <w:rsid w:val="00BC0A7F"/>
    <w:rsid w:val="00BC1220"/>
    <w:rsid w:val="00BC177F"/>
    <w:rsid w:val="00BC2C58"/>
    <w:rsid w:val="00BC3A29"/>
    <w:rsid w:val="00BC3F13"/>
    <w:rsid w:val="00BC40B5"/>
    <w:rsid w:val="00BC43FD"/>
    <w:rsid w:val="00BC47BF"/>
    <w:rsid w:val="00BC4F1C"/>
    <w:rsid w:val="00BC51F5"/>
    <w:rsid w:val="00BC61CD"/>
    <w:rsid w:val="00BC61F2"/>
    <w:rsid w:val="00BC67C0"/>
    <w:rsid w:val="00BC6F32"/>
    <w:rsid w:val="00BC6F41"/>
    <w:rsid w:val="00BC793E"/>
    <w:rsid w:val="00BC7E64"/>
    <w:rsid w:val="00BD1270"/>
    <w:rsid w:val="00BD1342"/>
    <w:rsid w:val="00BD1379"/>
    <w:rsid w:val="00BD2FE7"/>
    <w:rsid w:val="00BD36DE"/>
    <w:rsid w:val="00BD4E13"/>
    <w:rsid w:val="00BD52C3"/>
    <w:rsid w:val="00BD5485"/>
    <w:rsid w:val="00BD5A14"/>
    <w:rsid w:val="00BD5F43"/>
    <w:rsid w:val="00BD661B"/>
    <w:rsid w:val="00BD687C"/>
    <w:rsid w:val="00BD6DB9"/>
    <w:rsid w:val="00BD71A3"/>
    <w:rsid w:val="00BD75D1"/>
    <w:rsid w:val="00BE0363"/>
    <w:rsid w:val="00BE0A45"/>
    <w:rsid w:val="00BE1233"/>
    <w:rsid w:val="00BE1277"/>
    <w:rsid w:val="00BE1311"/>
    <w:rsid w:val="00BE19C2"/>
    <w:rsid w:val="00BE358B"/>
    <w:rsid w:val="00BE4109"/>
    <w:rsid w:val="00BE447B"/>
    <w:rsid w:val="00BE4782"/>
    <w:rsid w:val="00BE47D8"/>
    <w:rsid w:val="00BE4FD9"/>
    <w:rsid w:val="00BE57BF"/>
    <w:rsid w:val="00BE5D73"/>
    <w:rsid w:val="00BE6DFE"/>
    <w:rsid w:val="00BE79AB"/>
    <w:rsid w:val="00BF0637"/>
    <w:rsid w:val="00BF124A"/>
    <w:rsid w:val="00BF37A9"/>
    <w:rsid w:val="00BF3C23"/>
    <w:rsid w:val="00BF4770"/>
    <w:rsid w:val="00BF540A"/>
    <w:rsid w:val="00BF67D7"/>
    <w:rsid w:val="00BF6EC1"/>
    <w:rsid w:val="00BF7257"/>
    <w:rsid w:val="00BF7347"/>
    <w:rsid w:val="00C017D1"/>
    <w:rsid w:val="00C029BC"/>
    <w:rsid w:val="00C04D37"/>
    <w:rsid w:val="00C05941"/>
    <w:rsid w:val="00C0657C"/>
    <w:rsid w:val="00C074C4"/>
    <w:rsid w:val="00C10CD4"/>
    <w:rsid w:val="00C11B8D"/>
    <w:rsid w:val="00C12AE0"/>
    <w:rsid w:val="00C12FEB"/>
    <w:rsid w:val="00C1357C"/>
    <w:rsid w:val="00C140C6"/>
    <w:rsid w:val="00C144EF"/>
    <w:rsid w:val="00C1534E"/>
    <w:rsid w:val="00C211DC"/>
    <w:rsid w:val="00C2135F"/>
    <w:rsid w:val="00C22B34"/>
    <w:rsid w:val="00C233C6"/>
    <w:rsid w:val="00C23D4E"/>
    <w:rsid w:val="00C24ED2"/>
    <w:rsid w:val="00C24F3F"/>
    <w:rsid w:val="00C25670"/>
    <w:rsid w:val="00C259E2"/>
    <w:rsid w:val="00C2636B"/>
    <w:rsid w:val="00C26C3A"/>
    <w:rsid w:val="00C27140"/>
    <w:rsid w:val="00C277FB"/>
    <w:rsid w:val="00C27CEA"/>
    <w:rsid w:val="00C30639"/>
    <w:rsid w:val="00C306B3"/>
    <w:rsid w:val="00C306F6"/>
    <w:rsid w:val="00C3070C"/>
    <w:rsid w:val="00C3194E"/>
    <w:rsid w:val="00C31BBB"/>
    <w:rsid w:val="00C3220C"/>
    <w:rsid w:val="00C345ED"/>
    <w:rsid w:val="00C34837"/>
    <w:rsid w:val="00C348B3"/>
    <w:rsid w:val="00C34F38"/>
    <w:rsid w:val="00C3548F"/>
    <w:rsid w:val="00C356C8"/>
    <w:rsid w:val="00C367B4"/>
    <w:rsid w:val="00C36B2D"/>
    <w:rsid w:val="00C37615"/>
    <w:rsid w:val="00C37B29"/>
    <w:rsid w:val="00C40D60"/>
    <w:rsid w:val="00C43A7D"/>
    <w:rsid w:val="00C4425F"/>
    <w:rsid w:val="00C44421"/>
    <w:rsid w:val="00C44A04"/>
    <w:rsid w:val="00C44C83"/>
    <w:rsid w:val="00C46058"/>
    <w:rsid w:val="00C4623C"/>
    <w:rsid w:val="00C46DB1"/>
    <w:rsid w:val="00C4706F"/>
    <w:rsid w:val="00C47BD3"/>
    <w:rsid w:val="00C47E57"/>
    <w:rsid w:val="00C504D3"/>
    <w:rsid w:val="00C536B3"/>
    <w:rsid w:val="00C53836"/>
    <w:rsid w:val="00C53B22"/>
    <w:rsid w:val="00C53C4E"/>
    <w:rsid w:val="00C53D24"/>
    <w:rsid w:val="00C542A9"/>
    <w:rsid w:val="00C54763"/>
    <w:rsid w:val="00C55547"/>
    <w:rsid w:val="00C55649"/>
    <w:rsid w:val="00C563A1"/>
    <w:rsid w:val="00C576F8"/>
    <w:rsid w:val="00C57F07"/>
    <w:rsid w:val="00C604F5"/>
    <w:rsid w:val="00C61583"/>
    <w:rsid w:val="00C61B48"/>
    <w:rsid w:val="00C61FF5"/>
    <w:rsid w:val="00C62CD3"/>
    <w:rsid w:val="00C635CF"/>
    <w:rsid w:val="00C635FD"/>
    <w:rsid w:val="00C63986"/>
    <w:rsid w:val="00C64027"/>
    <w:rsid w:val="00C66473"/>
    <w:rsid w:val="00C67004"/>
    <w:rsid w:val="00C679E4"/>
    <w:rsid w:val="00C7073E"/>
    <w:rsid w:val="00C707EE"/>
    <w:rsid w:val="00C7103D"/>
    <w:rsid w:val="00C717C8"/>
    <w:rsid w:val="00C7187C"/>
    <w:rsid w:val="00C71AF2"/>
    <w:rsid w:val="00C71B86"/>
    <w:rsid w:val="00C71D62"/>
    <w:rsid w:val="00C723EA"/>
    <w:rsid w:val="00C731CE"/>
    <w:rsid w:val="00C76804"/>
    <w:rsid w:val="00C76E4A"/>
    <w:rsid w:val="00C80231"/>
    <w:rsid w:val="00C80731"/>
    <w:rsid w:val="00C80811"/>
    <w:rsid w:val="00C81C8B"/>
    <w:rsid w:val="00C82BBD"/>
    <w:rsid w:val="00C82C15"/>
    <w:rsid w:val="00C82F83"/>
    <w:rsid w:val="00C839AF"/>
    <w:rsid w:val="00C84BAF"/>
    <w:rsid w:val="00C84C64"/>
    <w:rsid w:val="00C8571F"/>
    <w:rsid w:val="00C85EAB"/>
    <w:rsid w:val="00C86C33"/>
    <w:rsid w:val="00C87CEE"/>
    <w:rsid w:val="00C9009E"/>
    <w:rsid w:val="00C91751"/>
    <w:rsid w:val="00C917B0"/>
    <w:rsid w:val="00C91DC9"/>
    <w:rsid w:val="00C931A3"/>
    <w:rsid w:val="00C93697"/>
    <w:rsid w:val="00C93FC2"/>
    <w:rsid w:val="00C941FF"/>
    <w:rsid w:val="00C94812"/>
    <w:rsid w:val="00C94AFD"/>
    <w:rsid w:val="00C95414"/>
    <w:rsid w:val="00C95E48"/>
    <w:rsid w:val="00C960CE"/>
    <w:rsid w:val="00C9673B"/>
    <w:rsid w:val="00C973FB"/>
    <w:rsid w:val="00CA0C40"/>
    <w:rsid w:val="00CA126C"/>
    <w:rsid w:val="00CA13B9"/>
    <w:rsid w:val="00CA21CA"/>
    <w:rsid w:val="00CA236C"/>
    <w:rsid w:val="00CA270D"/>
    <w:rsid w:val="00CA2E80"/>
    <w:rsid w:val="00CA2E92"/>
    <w:rsid w:val="00CA4EB2"/>
    <w:rsid w:val="00CA61EE"/>
    <w:rsid w:val="00CA6F54"/>
    <w:rsid w:val="00CB1F27"/>
    <w:rsid w:val="00CB256D"/>
    <w:rsid w:val="00CB3146"/>
    <w:rsid w:val="00CB3376"/>
    <w:rsid w:val="00CB3C8D"/>
    <w:rsid w:val="00CB484B"/>
    <w:rsid w:val="00CB4E0C"/>
    <w:rsid w:val="00CB5059"/>
    <w:rsid w:val="00CB6C8D"/>
    <w:rsid w:val="00CB7F46"/>
    <w:rsid w:val="00CC030A"/>
    <w:rsid w:val="00CC112B"/>
    <w:rsid w:val="00CC2508"/>
    <w:rsid w:val="00CC26A6"/>
    <w:rsid w:val="00CC2B5B"/>
    <w:rsid w:val="00CC2F2F"/>
    <w:rsid w:val="00CC47A1"/>
    <w:rsid w:val="00CC4F4F"/>
    <w:rsid w:val="00CC4F94"/>
    <w:rsid w:val="00CC6811"/>
    <w:rsid w:val="00CC6A7B"/>
    <w:rsid w:val="00CC7195"/>
    <w:rsid w:val="00CC73DA"/>
    <w:rsid w:val="00CD1420"/>
    <w:rsid w:val="00CD1762"/>
    <w:rsid w:val="00CD1B30"/>
    <w:rsid w:val="00CD33AB"/>
    <w:rsid w:val="00CD35F2"/>
    <w:rsid w:val="00CD385E"/>
    <w:rsid w:val="00CD3F0E"/>
    <w:rsid w:val="00CD4356"/>
    <w:rsid w:val="00CD6CEB"/>
    <w:rsid w:val="00CD7623"/>
    <w:rsid w:val="00CD7D5B"/>
    <w:rsid w:val="00CD7ED8"/>
    <w:rsid w:val="00CE04E5"/>
    <w:rsid w:val="00CE1093"/>
    <w:rsid w:val="00CE2A31"/>
    <w:rsid w:val="00CE2B78"/>
    <w:rsid w:val="00CE31F7"/>
    <w:rsid w:val="00CE47AF"/>
    <w:rsid w:val="00CE4BEB"/>
    <w:rsid w:val="00CE4C49"/>
    <w:rsid w:val="00CE51FF"/>
    <w:rsid w:val="00CE5491"/>
    <w:rsid w:val="00CE5754"/>
    <w:rsid w:val="00CE5ACF"/>
    <w:rsid w:val="00CE7048"/>
    <w:rsid w:val="00CE7221"/>
    <w:rsid w:val="00CE797B"/>
    <w:rsid w:val="00CE7F91"/>
    <w:rsid w:val="00CF0568"/>
    <w:rsid w:val="00CF0D1C"/>
    <w:rsid w:val="00CF1093"/>
    <w:rsid w:val="00CF206F"/>
    <w:rsid w:val="00CF2D64"/>
    <w:rsid w:val="00CF4C30"/>
    <w:rsid w:val="00CF5466"/>
    <w:rsid w:val="00CF5957"/>
    <w:rsid w:val="00CF5CD0"/>
    <w:rsid w:val="00CF6B09"/>
    <w:rsid w:val="00CF6D85"/>
    <w:rsid w:val="00CF6F63"/>
    <w:rsid w:val="00D02151"/>
    <w:rsid w:val="00D021AF"/>
    <w:rsid w:val="00D024BD"/>
    <w:rsid w:val="00D02770"/>
    <w:rsid w:val="00D02E89"/>
    <w:rsid w:val="00D054C0"/>
    <w:rsid w:val="00D057A6"/>
    <w:rsid w:val="00D05A94"/>
    <w:rsid w:val="00D06F70"/>
    <w:rsid w:val="00D10700"/>
    <w:rsid w:val="00D11201"/>
    <w:rsid w:val="00D11D41"/>
    <w:rsid w:val="00D11E4C"/>
    <w:rsid w:val="00D1223C"/>
    <w:rsid w:val="00D14A32"/>
    <w:rsid w:val="00D14EE0"/>
    <w:rsid w:val="00D15808"/>
    <w:rsid w:val="00D16380"/>
    <w:rsid w:val="00D1690D"/>
    <w:rsid w:val="00D16FBF"/>
    <w:rsid w:val="00D17259"/>
    <w:rsid w:val="00D1786A"/>
    <w:rsid w:val="00D2018B"/>
    <w:rsid w:val="00D20799"/>
    <w:rsid w:val="00D209AF"/>
    <w:rsid w:val="00D20C67"/>
    <w:rsid w:val="00D212FE"/>
    <w:rsid w:val="00D21548"/>
    <w:rsid w:val="00D21B29"/>
    <w:rsid w:val="00D2428D"/>
    <w:rsid w:val="00D24331"/>
    <w:rsid w:val="00D2506C"/>
    <w:rsid w:val="00D27F99"/>
    <w:rsid w:val="00D300D9"/>
    <w:rsid w:val="00D30A68"/>
    <w:rsid w:val="00D30BE6"/>
    <w:rsid w:val="00D30C04"/>
    <w:rsid w:val="00D314D5"/>
    <w:rsid w:val="00D318BC"/>
    <w:rsid w:val="00D31C7A"/>
    <w:rsid w:val="00D32447"/>
    <w:rsid w:val="00D33AA1"/>
    <w:rsid w:val="00D3421C"/>
    <w:rsid w:val="00D34F75"/>
    <w:rsid w:val="00D35BD5"/>
    <w:rsid w:val="00D35C30"/>
    <w:rsid w:val="00D36501"/>
    <w:rsid w:val="00D3686E"/>
    <w:rsid w:val="00D412C0"/>
    <w:rsid w:val="00D4194D"/>
    <w:rsid w:val="00D424CA"/>
    <w:rsid w:val="00D42942"/>
    <w:rsid w:val="00D42EDE"/>
    <w:rsid w:val="00D4457C"/>
    <w:rsid w:val="00D44F8B"/>
    <w:rsid w:val="00D459F5"/>
    <w:rsid w:val="00D45B15"/>
    <w:rsid w:val="00D47551"/>
    <w:rsid w:val="00D47CD7"/>
    <w:rsid w:val="00D51A17"/>
    <w:rsid w:val="00D52387"/>
    <w:rsid w:val="00D5285D"/>
    <w:rsid w:val="00D52A03"/>
    <w:rsid w:val="00D52FC3"/>
    <w:rsid w:val="00D52FEA"/>
    <w:rsid w:val="00D533DD"/>
    <w:rsid w:val="00D53774"/>
    <w:rsid w:val="00D5433B"/>
    <w:rsid w:val="00D548CD"/>
    <w:rsid w:val="00D54C42"/>
    <w:rsid w:val="00D550E7"/>
    <w:rsid w:val="00D55777"/>
    <w:rsid w:val="00D5668A"/>
    <w:rsid w:val="00D5689B"/>
    <w:rsid w:val="00D56AF5"/>
    <w:rsid w:val="00D57780"/>
    <w:rsid w:val="00D60795"/>
    <w:rsid w:val="00D60F96"/>
    <w:rsid w:val="00D61651"/>
    <w:rsid w:val="00D618CD"/>
    <w:rsid w:val="00D634CB"/>
    <w:rsid w:val="00D645B2"/>
    <w:rsid w:val="00D6494A"/>
    <w:rsid w:val="00D64ADE"/>
    <w:rsid w:val="00D64B66"/>
    <w:rsid w:val="00D6607A"/>
    <w:rsid w:val="00D66CAA"/>
    <w:rsid w:val="00D66F87"/>
    <w:rsid w:val="00D67483"/>
    <w:rsid w:val="00D70AD1"/>
    <w:rsid w:val="00D70F07"/>
    <w:rsid w:val="00D7242F"/>
    <w:rsid w:val="00D731E3"/>
    <w:rsid w:val="00D742A8"/>
    <w:rsid w:val="00D74308"/>
    <w:rsid w:val="00D75438"/>
    <w:rsid w:val="00D768D3"/>
    <w:rsid w:val="00D77799"/>
    <w:rsid w:val="00D8096D"/>
    <w:rsid w:val="00D81422"/>
    <w:rsid w:val="00D81C35"/>
    <w:rsid w:val="00D8254C"/>
    <w:rsid w:val="00D826AC"/>
    <w:rsid w:val="00D82913"/>
    <w:rsid w:val="00D82B60"/>
    <w:rsid w:val="00D8369E"/>
    <w:rsid w:val="00D8416E"/>
    <w:rsid w:val="00D84EB7"/>
    <w:rsid w:val="00D8545A"/>
    <w:rsid w:val="00D85AC7"/>
    <w:rsid w:val="00D8617F"/>
    <w:rsid w:val="00D87007"/>
    <w:rsid w:val="00D87BAB"/>
    <w:rsid w:val="00D90713"/>
    <w:rsid w:val="00D90BFF"/>
    <w:rsid w:val="00D92396"/>
    <w:rsid w:val="00D946DB"/>
    <w:rsid w:val="00D95045"/>
    <w:rsid w:val="00D95228"/>
    <w:rsid w:val="00D956C2"/>
    <w:rsid w:val="00D967FA"/>
    <w:rsid w:val="00D96E61"/>
    <w:rsid w:val="00DA040A"/>
    <w:rsid w:val="00DA0B84"/>
    <w:rsid w:val="00DA0BDB"/>
    <w:rsid w:val="00DA0D0F"/>
    <w:rsid w:val="00DA0DB4"/>
    <w:rsid w:val="00DA1253"/>
    <w:rsid w:val="00DA1525"/>
    <w:rsid w:val="00DA3B36"/>
    <w:rsid w:val="00DA3E72"/>
    <w:rsid w:val="00DA3FEB"/>
    <w:rsid w:val="00DA4727"/>
    <w:rsid w:val="00DA4A2F"/>
    <w:rsid w:val="00DA4AAA"/>
    <w:rsid w:val="00DA4AAE"/>
    <w:rsid w:val="00DA4D9D"/>
    <w:rsid w:val="00DA6CB8"/>
    <w:rsid w:val="00DA77E1"/>
    <w:rsid w:val="00DA7C34"/>
    <w:rsid w:val="00DA7F01"/>
    <w:rsid w:val="00DB0274"/>
    <w:rsid w:val="00DB0F07"/>
    <w:rsid w:val="00DB2DD0"/>
    <w:rsid w:val="00DB3B68"/>
    <w:rsid w:val="00DB3EEA"/>
    <w:rsid w:val="00DB40CA"/>
    <w:rsid w:val="00DB4C59"/>
    <w:rsid w:val="00DB5503"/>
    <w:rsid w:val="00DB61BB"/>
    <w:rsid w:val="00DC03E0"/>
    <w:rsid w:val="00DC0817"/>
    <w:rsid w:val="00DC09EA"/>
    <w:rsid w:val="00DC0A81"/>
    <w:rsid w:val="00DC1E40"/>
    <w:rsid w:val="00DC1FD1"/>
    <w:rsid w:val="00DC2D05"/>
    <w:rsid w:val="00DC3A83"/>
    <w:rsid w:val="00DC3B38"/>
    <w:rsid w:val="00DC40DA"/>
    <w:rsid w:val="00DC4CE4"/>
    <w:rsid w:val="00DD00B4"/>
    <w:rsid w:val="00DD07FF"/>
    <w:rsid w:val="00DD092D"/>
    <w:rsid w:val="00DD156E"/>
    <w:rsid w:val="00DD1906"/>
    <w:rsid w:val="00DD1E64"/>
    <w:rsid w:val="00DD2C1E"/>
    <w:rsid w:val="00DD41BE"/>
    <w:rsid w:val="00DD4CFC"/>
    <w:rsid w:val="00DD5F87"/>
    <w:rsid w:val="00DD60DF"/>
    <w:rsid w:val="00DD6D54"/>
    <w:rsid w:val="00DD6F35"/>
    <w:rsid w:val="00DD72AA"/>
    <w:rsid w:val="00DD791B"/>
    <w:rsid w:val="00DE0157"/>
    <w:rsid w:val="00DE08E6"/>
    <w:rsid w:val="00DE0962"/>
    <w:rsid w:val="00DE21B5"/>
    <w:rsid w:val="00DE223B"/>
    <w:rsid w:val="00DE230A"/>
    <w:rsid w:val="00DE26F2"/>
    <w:rsid w:val="00DE3389"/>
    <w:rsid w:val="00DE4001"/>
    <w:rsid w:val="00DE489B"/>
    <w:rsid w:val="00DE48EF"/>
    <w:rsid w:val="00DE4EF2"/>
    <w:rsid w:val="00DE583B"/>
    <w:rsid w:val="00DE5A31"/>
    <w:rsid w:val="00DE73B4"/>
    <w:rsid w:val="00DE7B41"/>
    <w:rsid w:val="00DE7C81"/>
    <w:rsid w:val="00DF0BF5"/>
    <w:rsid w:val="00DF0EF2"/>
    <w:rsid w:val="00DF2CD0"/>
    <w:rsid w:val="00DF30EB"/>
    <w:rsid w:val="00DF3475"/>
    <w:rsid w:val="00DF4FF2"/>
    <w:rsid w:val="00DF65DF"/>
    <w:rsid w:val="00DF70AE"/>
    <w:rsid w:val="00DF7382"/>
    <w:rsid w:val="00E01601"/>
    <w:rsid w:val="00E0175F"/>
    <w:rsid w:val="00E01F9D"/>
    <w:rsid w:val="00E026FB"/>
    <w:rsid w:val="00E02F76"/>
    <w:rsid w:val="00E03E51"/>
    <w:rsid w:val="00E03E93"/>
    <w:rsid w:val="00E050F3"/>
    <w:rsid w:val="00E052A9"/>
    <w:rsid w:val="00E0639C"/>
    <w:rsid w:val="00E06628"/>
    <w:rsid w:val="00E06E19"/>
    <w:rsid w:val="00E07C8E"/>
    <w:rsid w:val="00E10726"/>
    <w:rsid w:val="00E10B85"/>
    <w:rsid w:val="00E11731"/>
    <w:rsid w:val="00E11F7B"/>
    <w:rsid w:val="00E120F4"/>
    <w:rsid w:val="00E1421C"/>
    <w:rsid w:val="00E143FD"/>
    <w:rsid w:val="00E14C4D"/>
    <w:rsid w:val="00E16498"/>
    <w:rsid w:val="00E1685B"/>
    <w:rsid w:val="00E1696D"/>
    <w:rsid w:val="00E172EA"/>
    <w:rsid w:val="00E1750A"/>
    <w:rsid w:val="00E17AB7"/>
    <w:rsid w:val="00E20FAC"/>
    <w:rsid w:val="00E2178E"/>
    <w:rsid w:val="00E2447E"/>
    <w:rsid w:val="00E249EF"/>
    <w:rsid w:val="00E25862"/>
    <w:rsid w:val="00E26CB6"/>
    <w:rsid w:val="00E27969"/>
    <w:rsid w:val="00E31A99"/>
    <w:rsid w:val="00E3279F"/>
    <w:rsid w:val="00E32BAE"/>
    <w:rsid w:val="00E32DA2"/>
    <w:rsid w:val="00E33BF7"/>
    <w:rsid w:val="00E340D7"/>
    <w:rsid w:val="00E34533"/>
    <w:rsid w:val="00E41A58"/>
    <w:rsid w:val="00E41E4F"/>
    <w:rsid w:val="00E42A4D"/>
    <w:rsid w:val="00E4334F"/>
    <w:rsid w:val="00E43CD2"/>
    <w:rsid w:val="00E440D2"/>
    <w:rsid w:val="00E44336"/>
    <w:rsid w:val="00E449CC"/>
    <w:rsid w:val="00E45F52"/>
    <w:rsid w:val="00E46936"/>
    <w:rsid w:val="00E46AC0"/>
    <w:rsid w:val="00E473B0"/>
    <w:rsid w:val="00E47B54"/>
    <w:rsid w:val="00E47CCD"/>
    <w:rsid w:val="00E50750"/>
    <w:rsid w:val="00E509EA"/>
    <w:rsid w:val="00E50E79"/>
    <w:rsid w:val="00E50FA0"/>
    <w:rsid w:val="00E515D5"/>
    <w:rsid w:val="00E52782"/>
    <w:rsid w:val="00E53E55"/>
    <w:rsid w:val="00E543B2"/>
    <w:rsid w:val="00E54B05"/>
    <w:rsid w:val="00E5703B"/>
    <w:rsid w:val="00E5715E"/>
    <w:rsid w:val="00E60B53"/>
    <w:rsid w:val="00E60C82"/>
    <w:rsid w:val="00E610EA"/>
    <w:rsid w:val="00E61840"/>
    <w:rsid w:val="00E6373B"/>
    <w:rsid w:val="00E63DC8"/>
    <w:rsid w:val="00E64990"/>
    <w:rsid w:val="00E64BFE"/>
    <w:rsid w:val="00E66040"/>
    <w:rsid w:val="00E6616A"/>
    <w:rsid w:val="00E67B4A"/>
    <w:rsid w:val="00E67F16"/>
    <w:rsid w:val="00E70AB0"/>
    <w:rsid w:val="00E71171"/>
    <w:rsid w:val="00E7205D"/>
    <w:rsid w:val="00E721D9"/>
    <w:rsid w:val="00E72404"/>
    <w:rsid w:val="00E73F4B"/>
    <w:rsid w:val="00E74C2C"/>
    <w:rsid w:val="00E75993"/>
    <w:rsid w:val="00E764E7"/>
    <w:rsid w:val="00E80172"/>
    <w:rsid w:val="00E804CC"/>
    <w:rsid w:val="00E81DB9"/>
    <w:rsid w:val="00E81F69"/>
    <w:rsid w:val="00E822F7"/>
    <w:rsid w:val="00E8231C"/>
    <w:rsid w:val="00E8262F"/>
    <w:rsid w:val="00E84C8E"/>
    <w:rsid w:val="00E85358"/>
    <w:rsid w:val="00E863C1"/>
    <w:rsid w:val="00E86638"/>
    <w:rsid w:val="00E86B98"/>
    <w:rsid w:val="00E871FE"/>
    <w:rsid w:val="00E87B6C"/>
    <w:rsid w:val="00E91D08"/>
    <w:rsid w:val="00E9217C"/>
    <w:rsid w:val="00E921F1"/>
    <w:rsid w:val="00E92C04"/>
    <w:rsid w:val="00E92C65"/>
    <w:rsid w:val="00E92EE4"/>
    <w:rsid w:val="00E93AB5"/>
    <w:rsid w:val="00E96511"/>
    <w:rsid w:val="00E96A85"/>
    <w:rsid w:val="00E9758A"/>
    <w:rsid w:val="00E979E9"/>
    <w:rsid w:val="00E97CD2"/>
    <w:rsid w:val="00EA050A"/>
    <w:rsid w:val="00EA0754"/>
    <w:rsid w:val="00EA0BAB"/>
    <w:rsid w:val="00EA0F2F"/>
    <w:rsid w:val="00EA11F0"/>
    <w:rsid w:val="00EA1C37"/>
    <w:rsid w:val="00EA1F5A"/>
    <w:rsid w:val="00EA2AFF"/>
    <w:rsid w:val="00EA3FEF"/>
    <w:rsid w:val="00EA4108"/>
    <w:rsid w:val="00EA419C"/>
    <w:rsid w:val="00EA45F4"/>
    <w:rsid w:val="00EA4F4F"/>
    <w:rsid w:val="00EA56D1"/>
    <w:rsid w:val="00EA6388"/>
    <w:rsid w:val="00EA7544"/>
    <w:rsid w:val="00EB0EE6"/>
    <w:rsid w:val="00EB154B"/>
    <w:rsid w:val="00EB1DBE"/>
    <w:rsid w:val="00EB1EEE"/>
    <w:rsid w:val="00EB5013"/>
    <w:rsid w:val="00EB53AD"/>
    <w:rsid w:val="00EB5804"/>
    <w:rsid w:val="00EB5C9A"/>
    <w:rsid w:val="00EB6224"/>
    <w:rsid w:val="00EB62C2"/>
    <w:rsid w:val="00EB6DEA"/>
    <w:rsid w:val="00EB6E04"/>
    <w:rsid w:val="00EB6FC2"/>
    <w:rsid w:val="00EC0AAB"/>
    <w:rsid w:val="00EC0B74"/>
    <w:rsid w:val="00EC153B"/>
    <w:rsid w:val="00EC19AE"/>
    <w:rsid w:val="00EC1EA0"/>
    <w:rsid w:val="00EC2E9B"/>
    <w:rsid w:val="00EC3017"/>
    <w:rsid w:val="00EC38B2"/>
    <w:rsid w:val="00EC4E70"/>
    <w:rsid w:val="00EC5046"/>
    <w:rsid w:val="00EC53E0"/>
    <w:rsid w:val="00EC5513"/>
    <w:rsid w:val="00EC57C6"/>
    <w:rsid w:val="00EC5FA2"/>
    <w:rsid w:val="00EC7AB4"/>
    <w:rsid w:val="00EC7E81"/>
    <w:rsid w:val="00ED048B"/>
    <w:rsid w:val="00ED1379"/>
    <w:rsid w:val="00ED1956"/>
    <w:rsid w:val="00ED1D0F"/>
    <w:rsid w:val="00ED1D99"/>
    <w:rsid w:val="00ED20CB"/>
    <w:rsid w:val="00ED4629"/>
    <w:rsid w:val="00ED52BC"/>
    <w:rsid w:val="00ED55F7"/>
    <w:rsid w:val="00ED66A4"/>
    <w:rsid w:val="00ED6B13"/>
    <w:rsid w:val="00ED6D84"/>
    <w:rsid w:val="00ED78AD"/>
    <w:rsid w:val="00ED7C8E"/>
    <w:rsid w:val="00ED7F35"/>
    <w:rsid w:val="00EE079A"/>
    <w:rsid w:val="00EE0B9D"/>
    <w:rsid w:val="00EE2205"/>
    <w:rsid w:val="00EE2BDA"/>
    <w:rsid w:val="00EE2BEA"/>
    <w:rsid w:val="00EE2CD5"/>
    <w:rsid w:val="00EE34F2"/>
    <w:rsid w:val="00EE5691"/>
    <w:rsid w:val="00EE63B4"/>
    <w:rsid w:val="00EE690D"/>
    <w:rsid w:val="00EE6F6C"/>
    <w:rsid w:val="00EF03E6"/>
    <w:rsid w:val="00EF0C0C"/>
    <w:rsid w:val="00EF0DA4"/>
    <w:rsid w:val="00EF36D2"/>
    <w:rsid w:val="00EF3F40"/>
    <w:rsid w:val="00EF451F"/>
    <w:rsid w:val="00EF6FD5"/>
    <w:rsid w:val="00F004BA"/>
    <w:rsid w:val="00F006CF"/>
    <w:rsid w:val="00F00A38"/>
    <w:rsid w:val="00F015E6"/>
    <w:rsid w:val="00F02E37"/>
    <w:rsid w:val="00F0322C"/>
    <w:rsid w:val="00F04C31"/>
    <w:rsid w:val="00F052D1"/>
    <w:rsid w:val="00F1041F"/>
    <w:rsid w:val="00F1062E"/>
    <w:rsid w:val="00F11185"/>
    <w:rsid w:val="00F114E6"/>
    <w:rsid w:val="00F117D1"/>
    <w:rsid w:val="00F12EA3"/>
    <w:rsid w:val="00F1455C"/>
    <w:rsid w:val="00F14A2E"/>
    <w:rsid w:val="00F14A91"/>
    <w:rsid w:val="00F14B07"/>
    <w:rsid w:val="00F163FF"/>
    <w:rsid w:val="00F176BA"/>
    <w:rsid w:val="00F177C6"/>
    <w:rsid w:val="00F17B2E"/>
    <w:rsid w:val="00F20C33"/>
    <w:rsid w:val="00F215C7"/>
    <w:rsid w:val="00F217D5"/>
    <w:rsid w:val="00F219A4"/>
    <w:rsid w:val="00F2228C"/>
    <w:rsid w:val="00F22648"/>
    <w:rsid w:val="00F23247"/>
    <w:rsid w:val="00F249CD"/>
    <w:rsid w:val="00F24D8C"/>
    <w:rsid w:val="00F2521E"/>
    <w:rsid w:val="00F25413"/>
    <w:rsid w:val="00F26B14"/>
    <w:rsid w:val="00F26CE4"/>
    <w:rsid w:val="00F271B3"/>
    <w:rsid w:val="00F30076"/>
    <w:rsid w:val="00F30E8D"/>
    <w:rsid w:val="00F315FD"/>
    <w:rsid w:val="00F325B9"/>
    <w:rsid w:val="00F32D09"/>
    <w:rsid w:val="00F33ABB"/>
    <w:rsid w:val="00F34382"/>
    <w:rsid w:val="00F348D2"/>
    <w:rsid w:val="00F356CE"/>
    <w:rsid w:val="00F358AF"/>
    <w:rsid w:val="00F36287"/>
    <w:rsid w:val="00F372AF"/>
    <w:rsid w:val="00F37BEE"/>
    <w:rsid w:val="00F41508"/>
    <w:rsid w:val="00F423F0"/>
    <w:rsid w:val="00F42FE9"/>
    <w:rsid w:val="00F4393C"/>
    <w:rsid w:val="00F45359"/>
    <w:rsid w:val="00F45413"/>
    <w:rsid w:val="00F46113"/>
    <w:rsid w:val="00F463F5"/>
    <w:rsid w:val="00F47628"/>
    <w:rsid w:val="00F47A9F"/>
    <w:rsid w:val="00F47CA5"/>
    <w:rsid w:val="00F50709"/>
    <w:rsid w:val="00F5132F"/>
    <w:rsid w:val="00F519A4"/>
    <w:rsid w:val="00F52DF6"/>
    <w:rsid w:val="00F52FC6"/>
    <w:rsid w:val="00F530D8"/>
    <w:rsid w:val="00F535E7"/>
    <w:rsid w:val="00F5381F"/>
    <w:rsid w:val="00F53AB6"/>
    <w:rsid w:val="00F5524C"/>
    <w:rsid w:val="00F56546"/>
    <w:rsid w:val="00F56641"/>
    <w:rsid w:val="00F56956"/>
    <w:rsid w:val="00F57838"/>
    <w:rsid w:val="00F57A08"/>
    <w:rsid w:val="00F57ED1"/>
    <w:rsid w:val="00F60315"/>
    <w:rsid w:val="00F60F37"/>
    <w:rsid w:val="00F61095"/>
    <w:rsid w:val="00F61AC4"/>
    <w:rsid w:val="00F620A2"/>
    <w:rsid w:val="00F63080"/>
    <w:rsid w:val="00F63903"/>
    <w:rsid w:val="00F63AB7"/>
    <w:rsid w:val="00F63BA7"/>
    <w:rsid w:val="00F65282"/>
    <w:rsid w:val="00F65D43"/>
    <w:rsid w:val="00F66294"/>
    <w:rsid w:val="00F66371"/>
    <w:rsid w:val="00F66830"/>
    <w:rsid w:val="00F66DFB"/>
    <w:rsid w:val="00F67634"/>
    <w:rsid w:val="00F71DF2"/>
    <w:rsid w:val="00F73854"/>
    <w:rsid w:val="00F7387F"/>
    <w:rsid w:val="00F75233"/>
    <w:rsid w:val="00F75FD2"/>
    <w:rsid w:val="00F777C7"/>
    <w:rsid w:val="00F800B6"/>
    <w:rsid w:val="00F8071F"/>
    <w:rsid w:val="00F80A11"/>
    <w:rsid w:val="00F811C6"/>
    <w:rsid w:val="00F811F8"/>
    <w:rsid w:val="00F82AF8"/>
    <w:rsid w:val="00F834C3"/>
    <w:rsid w:val="00F8411E"/>
    <w:rsid w:val="00F84B2D"/>
    <w:rsid w:val="00F84BC7"/>
    <w:rsid w:val="00F855D5"/>
    <w:rsid w:val="00F85D06"/>
    <w:rsid w:val="00F87E46"/>
    <w:rsid w:val="00F913DC"/>
    <w:rsid w:val="00F9145F"/>
    <w:rsid w:val="00F91E30"/>
    <w:rsid w:val="00F93400"/>
    <w:rsid w:val="00F93B5F"/>
    <w:rsid w:val="00F9591C"/>
    <w:rsid w:val="00FA3858"/>
    <w:rsid w:val="00FA3865"/>
    <w:rsid w:val="00FA46C8"/>
    <w:rsid w:val="00FA4E19"/>
    <w:rsid w:val="00FA610E"/>
    <w:rsid w:val="00FA641C"/>
    <w:rsid w:val="00FA67D6"/>
    <w:rsid w:val="00FA6E69"/>
    <w:rsid w:val="00FA77E4"/>
    <w:rsid w:val="00FB1578"/>
    <w:rsid w:val="00FB199D"/>
    <w:rsid w:val="00FB1C26"/>
    <w:rsid w:val="00FB1D44"/>
    <w:rsid w:val="00FB2410"/>
    <w:rsid w:val="00FB25EE"/>
    <w:rsid w:val="00FB2CD7"/>
    <w:rsid w:val="00FB2E7B"/>
    <w:rsid w:val="00FB4960"/>
    <w:rsid w:val="00FB5258"/>
    <w:rsid w:val="00FB5985"/>
    <w:rsid w:val="00FC019F"/>
    <w:rsid w:val="00FC04E6"/>
    <w:rsid w:val="00FC0624"/>
    <w:rsid w:val="00FC0B81"/>
    <w:rsid w:val="00FC0DB2"/>
    <w:rsid w:val="00FC1030"/>
    <w:rsid w:val="00FC1715"/>
    <w:rsid w:val="00FC20DD"/>
    <w:rsid w:val="00FC223C"/>
    <w:rsid w:val="00FC371D"/>
    <w:rsid w:val="00FC41EC"/>
    <w:rsid w:val="00FC4A4B"/>
    <w:rsid w:val="00FC4D06"/>
    <w:rsid w:val="00FC5515"/>
    <w:rsid w:val="00FC6275"/>
    <w:rsid w:val="00FC6D7A"/>
    <w:rsid w:val="00FC70BF"/>
    <w:rsid w:val="00FC7C03"/>
    <w:rsid w:val="00FD0193"/>
    <w:rsid w:val="00FD0FAA"/>
    <w:rsid w:val="00FD16F5"/>
    <w:rsid w:val="00FD239F"/>
    <w:rsid w:val="00FD2AE8"/>
    <w:rsid w:val="00FD380B"/>
    <w:rsid w:val="00FD3883"/>
    <w:rsid w:val="00FD38B8"/>
    <w:rsid w:val="00FD457C"/>
    <w:rsid w:val="00FD54FC"/>
    <w:rsid w:val="00FD5ABD"/>
    <w:rsid w:val="00FD6675"/>
    <w:rsid w:val="00FD6CCB"/>
    <w:rsid w:val="00FD6D27"/>
    <w:rsid w:val="00FD7524"/>
    <w:rsid w:val="00FD7960"/>
    <w:rsid w:val="00FD7CAF"/>
    <w:rsid w:val="00FD7E66"/>
    <w:rsid w:val="00FD7FB3"/>
    <w:rsid w:val="00FE052A"/>
    <w:rsid w:val="00FE219F"/>
    <w:rsid w:val="00FE21F5"/>
    <w:rsid w:val="00FE28F4"/>
    <w:rsid w:val="00FE30C1"/>
    <w:rsid w:val="00FE3BD8"/>
    <w:rsid w:val="00FE43D5"/>
    <w:rsid w:val="00FE4AE0"/>
    <w:rsid w:val="00FE4D22"/>
    <w:rsid w:val="00FE5F0E"/>
    <w:rsid w:val="00FE6995"/>
    <w:rsid w:val="00FE69AC"/>
    <w:rsid w:val="00FE6CFB"/>
    <w:rsid w:val="00FE74CE"/>
    <w:rsid w:val="00FF0040"/>
    <w:rsid w:val="00FF1422"/>
    <w:rsid w:val="00FF15C6"/>
    <w:rsid w:val="00FF1617"/>
    <w:rsid w:val="00FF208F"/>
    <w:rsid w:val="00FF2658"/>
    <w:rsid w:val="00FF2818"/>
    <w:rsid w:val="00FF2D0E"/>
    <w:rsid w:val="00FF36A5"/>
    <w:rsid w:val="00FF3B3B"/>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15:docId w15:val="{FA6400FB-6AD4-4A30-AE61-1F1D2D07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l-GR"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el-GR"/>
    </w:rPr>
  </w:style>
  <w:style w:type="character" w:customStyle="1" w:styleId="Heading2Char">
    <w:name w:val="Heading 2 Char"/>
    <w:link w:val="Heading2"/>
    <w:uiPriority w:val="99"/>
    <w:locked/>
    <w:rsid w:val="00EC5046"/>
    <w:rPr>
      <w:rFonts w:ascii="Verdana" w:hAnsi="Verdana" w:cs="Times New Roman"/>
      <w:b/>
      <w:sz w:val="24"/>
      <w:szCs w:val="24"/>
      <w:u w:val="single"/>
      <w:lang w:val="el-GR"/>
    </w:rPr>
  </w:style>
  <w:style w:type="character" w:customStyle="1" w:styleId="Heading3Char">
    <w:name w:val="Heading 3 Char"/>
    <w:aliases w:val="Title 2 Char"/>
    <w:uiPriority w:val="99"/>
    <w:locked/>
    <w:rsid w:val="00884FEB"/>
    <w:rPr>
      <w:rFonts w:cs="Times New Roman"/>
      <w:sz w:val="24"/>
      <w:szCs w:val="24"/>
      <w:lang w:val="el-GR"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el-GR"/>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el-GR"/>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el-GR"/>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B212C5"/>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el-GR"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B212C5"/>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el-GR"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el-GR"/>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el-GR"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el-GR"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el-GR"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el-GR"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A3453C"/>
    <w:rPr>
      <w:color w:val="605E5C"/>
      <w:shd w:val="clear" w:color="auto" w:fill="E1DFDD"/>
    </w:rPr>
  </w:style>
  <w:style w:type="paragraph" w:customStyle="1" w:styleId="LegalNumPar">
    <w:name w:val="LegalNumPar"/>
    <w:basedOn w:val="Normal"/>
    <w:rsid w:val="00A92865"/>
    <w:pPr>
      <w:numPr>
        <w:numId w:val="30"/>
      </w:numPr>
      <w:spacing w:line="360" w:lineRule="auto"/>
    </w:pPr>
    <w:rPr>
      <w:sz w:val="24"/>
    </w:rPr>
  </w:style>
  <w:style w:type="paragraph" w:customStyle="1" w:styleId="LegalNumPar2">
    <w:name w:val="LegalNumPar2"/>
    <w:basedOn w:val="Normal"/>
    <w:rsid w:val="00A92865"/>
    <w:pPr>
      <w:numPr>
        <w:ilvl w:val="1"/>
        <w:numId w:val="30"/>
      </w:numPr>
      <w:spacing w:line="360" w:lineRule="auto"/>
    </w:pPr>
    <w:rPr>
      <w:sz w:val="24"/>
    </w:rPr>
  </w:style>
  <w:style w:type="paragraph" w:customStyle="1" w:styleId="LegalNumPar3">
    <w:name w:val="LegalNumPar3"/>
    <w:basedOn w:val="Normal"/>
    <w:rsid w:val="00A92865"/>
    <w:pPr>
      <w:numPr>
        <w:ilvl w:val="2"/>
        <w:numId w:val="30"/>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563683181">
      <w:bodyDiv w:val="1"/>
      <w:marLeft w:val="0"/>
      <w:marRight w:val="0"/>
      <w:marTop w:val="0"/>
      <w:marBottom w:val="0"/>
      <w:divBdr>
        <w:top w:val="none" w:sz="0" w:space="0" w:color="auto"/>
        <w:left w:val="none" w:sz="0" w:space="0" w:color="auto"/>
        <w:bottom w:val="none" w:sz="0" w:space="0" w:color="auto"/>
        <w:right w:val="none" w:sz="0" w:space="0" w:color="auto"/>
      </w:divBdr>
      <w:divsChild>
        <w:div w:id="392656648">
          <w:marLeft w:val="0"/>
          <w:marRight w:val="0"/>
          <w:marTop w:val="0"/>
          <w:marBottom w:val="0"/>
          <w:divBdr>
            <w:top w:val="none" w:sz="0" w:space="0" w:color="auto"/>
            <w:left w:val="none" w:sz="0" w:space="0" w:color="auto"/>
            <w:bottom w:val="none" w:sz="0" w:space="0" w:color="auto"/>
            <w:right w:val="none" w:sz="0" w:space="0" w:color="auto"/>
          </w:divBdr>
          <w:divsChild>
            <w:div w:id="19446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18991263">
      <w:bodyDiv w:val="1"/>
      <w:marLeft w:val="0"/>
      <w:marRight w:val="0"/>
      <w:marTop w:val="0"/>
      <w:marBottom w:val="0"/>
      <w:divBdr>
        <w:top w:val="none" w:sz="0" w:space="0" w:color="auto"/>
        <w:left w:val="none" w:sz="0" w:space="0" w:color="auto"/>
        <w:bottom w:val="none" w:sz="0" w:space="0" w:color="auto"/>
        <w:right w:val="none" w:sz="0" w:space="0" w:color="auto"/>
      </w:divBdr>
      <w:divsChild>
        <w:div w:id="1222013779">
          <w:marLeft w:val="0"/>
          <w:marRight w:val="0"/>
          <w:marTop w:val="0"/>
          <w:marBottom w:val="0"/>
          <w:divBdr>
            <w:top w:val="none" w:sz="0" w:space="0" w:color="auto"/>
            <w:left w:val="none" w:sz="0" w:space="0" w:color="auto"/>
            <w:bottom w:val="none" w:sz="0" w:space="0" w:color="auto"/>
            <w:right w:val="none" w:sz="0" w:space="0" w:color="auto"/>
          </w:divBdr>
          <w:divsChild>
            <w:div w:id="12690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358239719">
      <w:bodyDiv w:val="1"/>
      <w:marLeft w:val="0"/>
      <w:marRight w:val="0"/>
      <w:marTop w:val="0"/>
      <w:marBottom w:val="0"/>
      <w:divBdr>
        <w:top w:val="none" w:sz="0" w:space="0" w:color="auto"/>
        <w:left w:val="none" w:sz="0" w:space="0" w:color="auto"/>
        <w:bottom w:val="none" w:sz="0" w:space="0" w:color="auto"/>
        <w:right w:val="none" w:sz="0" w:space="0" w:color="auto"/>
      </w:divBdr>
      <w:divsChild>
        <w:div w:id="830485595">
          <w:marLeft w:val="0"/>
          <w:marRight w:val="0"/>
          <w:marTop w:val="0"/>
          <w:marBottom w:val="0"/>
          <w:divBdr>
            <w:top w:val="none" w:sz="0" w:space="0" w:color="auto"/>
            <w:left w:val="none" w:sz="0" w:space="0" w:color="auto"/>
            <w:bottom w:val="none" w:sz="0" w:space="0" w:color="auto"/>
            <w:right w:val="none" w:sz="0" w:space="0" w:color="auto"/>
          </w:divBdr>
          <w:divsChild>
            <w:div w:id="11159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7FCEC-B9F8-4143-9AC6-DB4208C0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3.xml><?xml version="1.0" encoding="utf-8"?>
<ds:datastoreItem xmlns:ds="http://schemas.openxmlformats.org/officeDocument/2006/customXml" ds:itemID="{F78C3AAD-8455-486E-BE4D-E17672BF9E69}">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4.xml><?xml version="1.0" encoding="utf-8"?>
<ds:datastoreItem xmlns:ds="http://schemas.openxmlformats.org/officeDocument/2006/customXml" ds:itemID="{75DD7EF5-F4B4-4298-BB10-9571695752A2}">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112</TotalTime>
  <Pages>25</Pages>
  <Words>8113</Words>
  <Characters>44219</Characters>
  <Application>Microsoft Office Word</Application>
  <DocSecurity>0</DocSecurity>
  <Lines>1300</Lines>
  <Paragraphs>769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Gheorghe-Cristian (FISMA)</dc:creator>
  <cp:keywords/>
  <cp:lastModifiedBy>PAPASTEFANOU Iliofotisti (DGT)</cp:lastModifiedBy>
  <cp:revision>10</cp:revision>
  <dcterms:created xsi:type="dcterms:W3CDTF">2025-10-06T12:40:00Z</dcterms:created>
  <dcterms:modified xsi:type="dcterms:W3CDTF">2025-10-09T13:43:00Z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11,12,13,14,15,16</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MSIP_Label_5c7eb9de-735b-4a68-8fe4-c9c62709b012_Enabled">
    <vt:lpwstr>true</vt:lpwstr>
  </property>
  <property fmtid="{D5CDD505-2E9C-101B-9397-08002B2CF9AE}" pid="6" name="MSIP_Label_5c7eb9de-735b-4a68-8fe4-c9c62709b012_SetDate">
    <vt:lpwstr>2022-02-23T15:37:29Z</vt:lpwstr>
  </property>
  <property fmtid="{D5CDD505-2E9C-101B-9397-08002B2CF9AE}" pid="7" name="MSIP_Label_5c7eb9de-735b-4a68-8fe4-c9c62709b012_Method">
    <vt:lpwstr>Standard</vt:lpwstr>
  </property>
  <property fmtid="{D5CDD505-2E9C-101B-9397-08002B2CF9AE}" pid="8" name="MSIP_Label_5c7eb9de-735b-4a68-8fe4-c9c62709b012_Name">
    <vt:lpwstr>EBA Regular Use</vt:lpwstr>
  </property>
  <property fmtid="{D5CDD505-2E9C-101B-9397-08002B2CF9AE}" pid="9" name="MSIP_Label_5c7eb9de-735b-4a68-8fe4-c9c62709b012_SiteId">
    <vt:lpwstr>3bacb4ff-f1a2-4c92-b96c-e99fec826b68</vt:lpwstr>
  </property>
  <property fmtid="{D5CDD505-2E9C-101B-9397-08002B2CF9AE}" pid="10" name="MSIP_Label_5c7eb9de-735b-4a68-8fe4-c9c62709b012_ActionId">
    <vt:lpwstr>c0e9743e-53b1-40b4-9ccb-01bae716cb10</vt:lpwstr>
  </property>
  <property fmtid="{D5CDD505-2E9C-101B-9397-08002B2CF9AE}" pid="11" name="MSIP_Label_5c7eb9de-735b-4a68-8fe4-c9c62709b012_ContentBits">
    <vt:lpwstr>1</vt:lpwstr>
  </property>
  <property fmtid="{D5CDD505-2E9C-101B-9397-08002B2CF9AE}" pid="12" name="MSIP_Label_6bd9ddd1-4d20-43f6-abfa-fc3c07406f94_Enabled">
    <vt:lpwstr>true</vt:lpwstr>
  </property>
  <property fmtid="{D5CDD505-2E9C-101B-9397-08002B2CF9AE}" pid="13" name="MSIP_Label_6bd9ddd1-4d20-43f6-abfa-fc3c07406f94_SetDate">
    <vt:lpwstr>2025-06-27T15:01:33Z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9200d526-cd81-4958-bd82-a146b1debf77</vt:lpwstr>
  </property>
  <property fmtid="{D5CDD505-2E9C-101B-9397-08002B2CF9AE}" pid="18" name="MSIP_Label_6bd9ddd1-4d20-43f6-abfa-fc3c07406f94_ContentBits">
    <vt:lpwstr>0</vt:lpwstr>
  </property>
  <property fmtid="{D5CDD505-2E9C-101B-9397-08002B2CF9AE}" pid="19" name="ContentTypeId">
    <vt:lpwstr>0x010100BAD999D84E12C74482EA5120F5227F6F00217DECAAC21D6B43958DFE68658C192E</vt:lpwstr>
  </property>
  <property fmtid="{D5CDD505-2E9C-101B-9397-08002B2CF9AE}" pid="20" name="MediaServiceImageTags">
    <vt:lpwstr/>
  </property>
</Properties>
</file>