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4330F0" w:rsidRDefault="00B87A54" w:rsidP="00B87A5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FB3E7C1-7A44-4CA0-98CF-F64C6C0769CE" style="width:455.25pt;height:345.75pt">
            <v:imagedata r:id="rId7" o:title=""/>
          </v:shape>
        </w:pict>
      </w:r>
    </w:p>
    <w:p w:rsidR="00430BC2" w:rsidRPr="004330F0" w:rsidRDefault="00430BC2">
      <w:pPr>
        <w:rPr>
          <w:noProof/>
        </w:rPr>
        <w:sectPr w:rsidR="00430BC2" w:rsidRPr="004330F0" w:rsidSect="00B87A54">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4330F0" w:rsidRDefault="004330F0" w:rsidP="004330F0">
      <w:pPr>
        <w:pStyle w:val="Typedudocument"/>
        <w:rPr>
          <w:noProof/>
        </w:rPr>
      </w:pPr>
      <w:bookmarkStart w:id="0" w:name="_GoBack"/>
      <w:bookmarkEnd w:id="0"/>
      <w:r w:rsidRPr="004330F0">
        <w:rPr>
          <w:noProof/>
        </w:rPr>
        <w:lastRenderedPageBreak/>
        <w:t>KOMMISSIONENS GENOMFÖRANDEFÖRORDNING (EU) …/…</w:t>
      </w:r>
    </w:p>
    <w:p w:rsidR="00430BC2" w:rsidRPr="004330F0" w:rsidRDefault="00C57AB3" w:rsidP="004330F0">
      <w:pPr>
        <w:pStyle w:val="Datedadoption"/>
        <w:rPr>
          <w:noProof/>
        </w:rPr>
      </w:pPr>
      <w:r>
        <w:rPr>
          <w:noProof/>
        </w:rPr>
        <w:t>av den 8.12.2025</w:t>
      </w:r>
    </w:p>
    <w:p w:rsidR="00430BC2" w:rsidRPr="004330F0" w:rsidRDefault="004330F0" w:rsidP="004330F0">
      <w:pPr>
        <w:pStyle w:val="Titreobjet"/>
        <w:rPr>
          <w:noProof/>
        </w:rPr>
      </w:pPr>
      <w:r w:rsidRPr="004330F0">
        <w:rPr>
          <w:noProof/>
        </w:rPr>
        <w:t>om ändring av de tekniska genomförandestandarder som fastställs i genomförandeförordning (EU) 2024/3117 vad gäller instituts tillsynsrapportering om operativa risker</w:t>
      </w:r>
    </w:p>
    <w:p w:rsidR="00430BC2" w:rsidRPr="004330F0" w:rsidRDefault="004330F0" w:rsidP="004330F0">
      <w:pPr>
        <w:pStyle w:val="IntrtEEE"/>
        <w:rPr>
          <w:noProof/>
        </w:rPr>
      </w:pPr>
      <w:r w:rsidRPr="004330F0">
        <w:rPr>
          <w:noProof/>
        </w:rPr>
        <w:t>(Text av betydelse för EES)</w:t>
      </w:r>
    </w:p>
    <w:p w:rsidR="00430BC2" w:rsidRPr="004330F0" w:rsidRDefault="00430BC2" w:rsidP="004E1EF9">
      <w:pPr>
        <w:pStyle w:val="Institutionquiagit"/>
        <w:rPr>
          <w:noProof/>
        </w:rPr>
      </w:pPr>
      <w:r w:rsidRPr="004330F0">
        <w:rPr>
          <w:noProof/>
        </w:rPr>
        <w:t>EUROPEISKA KOMMISSIONEN HAR ANTAGIT DENNA FÖRORDNING</w:t>
      </w:r>
    </w:p>
    <w:p w:rsidR="00430BC2" w:rsidRPr="004330F0" w:rsidRDefault="00430BC2" w:rsidP="004E1EF9">
      <w:pPr>
        <w:rPr>
          <w:noProof/>
        </w:rPr>
      </w:pPr>
      <w:r w:rsidRPr="004330F0">
        <w:rPr>
          <w:noProof/>
        </w:rPr>
        <w:t>med beaktande av Europaparlamentets och rådets förordning (EU) nr 575/2013 av den 26 juni 2013 om tillsynskrav för kreditinstitut och om ändring av förordning (EU) nr 648/2012</w:t>
      </w:r>
      <w:r w:rsidRPr="004330F0">
        <w:rPr>
          <w:rStyle w:val="FootnoteReference"/>
          <w:noProof/>
        </w:rPr>
        <w:footnoteReference w:id="1"/>
      </w:r>
      <w:r w:rsidRPr="004330F0">
        <w:rPr>
          <w:noProof/>
        </w:rPr>
        <w:t>, särskilt artikel 430.7 femte stycket, och</w:t>
      </w:r>
    </w:p>
    <w:p w:rsidR="00430BC2" w:rsidRPr="004330F0" w:rsidRDefault="00430BC2" w:rsidP="004E1EF9">
      <w:pPr>
        <w:rPr>
          <w:noProof/>
        </w:rPr>
      </w:pPr>
      <w:r w:rsidRPr="004330F0">
        <w:rPr>
          <w:noProof/>
        </w:rPr>
        <w:t>av följande skäl:</w:t>
      </w:r>
    </w:p>
    <w:p w:rsidR="00430BC2" w:rsidRPr="004330F0" w:rsidRDefault="00B915A8" w:rsidP="00B915A8">
      <w:pPr>
        <w:pStyle w:val="ManualConsidrant"/>
        <w:rPr>
          <w:noProof/>
        </w:rPr>
      </w:pPr>
      <w:r w:rsidRPr="00B915A8">
        <w:rPr>
          <w:noProof/>
        </w:rPr>
        <w:t>(1)</w:t>
      </w:r>
      <w:r w:rsidRPr="00B915A8">
        <w:rPr>
          <w:noProof/>
        </w:rPr>
        <w:tab/>
      </w:r>
      <w:r w:rsidR="00430BC2" w:rsidRPr="004330F0">
        <w:rPr>
          <w:noProof/>
        </w:rPr>
        <w:t>Förordning (EU) nr 575/2013 ändrades genom Europaparlamentets och rådets förordning (EU) 2024/1623</w:t>
      </w:r>
      <w:r w:rsidR="00430BC2" w:rsidRPr="004330F0">
        <w:rPr>
          <w:rStyle w:val="FootnoteReference"/>
          <w:noProof/>
        </w:rPr>
        <w:footnoteReference w:id="2"/>
      </w:r>
      <w:r w:rsidR="00430BC2" w:rsidRPr="004330F0">
        <w:rPr>
          <w:noProof/>
        </w:rPr>
        <w:t xml:space="preserve"> för att genomföra den senaste uppsättningen internationella standarder från Baselkommittén för banktillsyn (Basel III). Baserat på de standarderna antogs kommissionens genomförandeförordning (EU) 2024/3117</w:t>
      </w:r>
      <w:r w:rsidR="00430BC2" w:rsidRPr="004330F0">
        <w:rPr>
          <w:rStyle w:val="FootnoteReference"/>
          <w:noProof/>
        </w:rPr>
        <w:footnoteReference w:id="3"/>
      </w:r>
      <w:r w:rsidR="00430BC2" w:rsidRPr="004330F0">
        <w:rPr>
          <w:noProof/>
        </w:rPr>
        <w:t>, som fastställer tekniska genomförandestandarder för tillämpningen av förordning (EU) nr 575/2013 vad gäller instituts tillsynsrapportering.</w:t>
      </w:r>
    </w:p>
    <w:p w:rsidR="00430BC2" w:rsidRPr="004330F0" w:rsidRDefault="00B915A8" w:rsidP="00B915A8">
      <w:pPr>
        <w:pStyle w:val="ManualConsidrant"/>
        <w:rPr>
          <w:noProof/>
        </w:rPr>
      </w:pPr>
      <w:r w:rsidRPr="00B915A8">
        <w:rPr>
          <w:noProof/>
        </w:rPr>
        <w:t>(2)</w:t>
      </w:r>
      <w:r w:rsidRPr="00B915A8">
        <w:rPr>
          <w:noProof/>
        </w:rPr>
        <w:tab/>
      </w:r>
      <w:r w:rsidR="00430BC2" w:rsidRPr="004330F0">
        <w:rPr>
          <w:noProof/>
        </w:rPr>
        <w:t>På grund av ändringarna av tillsynsramen för kapitalbaskrav för operativ risk behövdes nya rapporteringsmallar för att säkerställa att instituten rapporterar i enlighet med de nya reglerna. Vissa rapporteringsmallar kunde ändras redan genom förordning (EU) 2024/3117, medan det för uppdateringen av andra mallar krävdes mer arbete med de tekniska aspekterna av kraven avseende operativ risk, särskilt vad gäller specificering av verksamhetsindikatorns komponenter, poster som inte ska ingå i verksamhetsindikatorn samt indelningen av dessa i motsvarande rapporteringsfält.</w:t>
      </w:r>
    </w:p>
    <w:p w:rsidR="00430BC2" w:rsidRPr="004330F0" w:rsidRDefault="00B915A8" w:rsidP="00B915A8">
      <w:pPr>
        <w:pStyle w:val="ManualConsidrant"/>
        <w:rPr>
          <w:noProof/>
        </w:rPr>
      </w:pPr>
      <w:r w:rsidRPr="00B915A8">
        <w:rPr>
          <w:noProof/>
        </w:rPr>
        <w:t>(3)</w:t>
      </w:r>
      <w:r w:rsidRPr="00B915A8">
        <w:rPr>
          <w:noProof/>
        </w:rPr>
        <w:tab/>
      </w:r>
      <w:r w:rsidR="00430BC2" w:rsidRPr="004330F0">
        <w:rPr>
          <w:noProof/>
        </w:rPr>
        <w:t>Genom kommissionens delegerade förordning (EU) 2025/1496</w:t>
      </w:r>
      <w:r w:rsidR="00430BC2" w:rsidRPr="004330F0">
        <w:rPr>
          <w:rStyle w:val="FootnoteReference"/>
          <w:noProof/>
        </w:rPr>
        <w:footnoteReference w:id="4"/>
      </w:r>
      <w:r w:rsidR="00430BC2" w:rsidRPr="004330F0">
        <w:rPr>
          <w:noProof/>
        </w:rPr>
        <w:t xml:space="preserve"> senarelades tillämpningsdatumet för kapitalbaskraven för marknadsrisk till den 1 januari 2027. Som en följd av detta är det nödvändigt att bibehålla den nuvarande rapporteringen avseende de marknadsriskkrav som gäller till och med den 31 december 2026, utan ändringar. Därför bör övergångsbestämmelserna i förordning (EU) 2024/3117 förlängas, och upphävandet av de relevanta bestämmelserna i kommissionens genomförandeförordning (EU) 2021/451</w:t>
      </w:r>
      <w:r w:rsidR="00430BC2" w:rsidRPr="004330F0">
        <w:rPr>
          <w:rStyle w:val="FootnoteReference"/>
          <w:noProof/>
        </w:rPr>
        <w:footnoteReference w:id="5"/>
      </w:r>
      <w:r w:rsidR="00430BC2" w:rsidRPr="004330F0">
        <w:rPr>
          <w:noProof/>
        </w:rPr>
        <w:t xml:space="preserve"> bör senareläggas med ytterligare ett år. </w:t>
      </w:r>
    </w:p>
    <w:p w:rsidR="00430BC2" w:rsidRPr="004330F0" w:rsidRDefault="00B915A8" w:rsidP="00B915A8">
      <w:pPr>
        <w:pStyle w:val="ManualConsidrant"/>
        <w:rPr>
          <w:noProof/>
        </w:rPr>
      </w:pPr>
      <w:r w:rsidRPr="00B915A8">
        <w:rPr>
          <w:noProof/>
        </w:rPr>
        <w:t>(4)</w:t>
      </w:r>
      <w:r w:rsidRPr="00B915A8">
        <w:rPr>
          <w:noProof/>
        </w:rPr>
        <w:tab/>
      </w:r>
      <w:r w:rsidR="00430BC2" w:rsidRPr="004330F0">
        <w:rPr>
          <w:noProof/>
        </w:rPr>
        <w:t>Genomförandeförordning (EU) 2024/3117 bör därför ändras i enlighet med detta.</w:t>
      </w:r>
    </w:p>
    <w:p w:rsidR="00430BC2" w:rsidRPr="004330F0" w:rsidRDefault="00B915A8" w:rsidP="00B915A8">
      <w:pPr>
        <w:pStyle w:val="ManualConsidrant"/>
        <w:rPr>
          <w:noProof/>
        </w:rPr>
      </w:pPr>
      <w:r w:rsidRPr="00B915A8">
        <w:rPr>
          <w:noProof/>
        </w:rPr>
        <w:t>(5)</w:t>
      </w:r>
      <w:r w:rsidRPr="00B915A8">
        <w:rPr>
          <w:noProof/>
        </w:rPr>
        <w:tab/>
      </w:r>
      <w:r w:rsidR="00430BC2" w:rsidRPr="004330F0">
        <w:rPr>
          <w:noProof/>
        </w:rPr>
        <w:t>Denna förordning grundar sig på det förslag till tekniska genomförandestandarder som Europeiska bankmyndigheten (EBA) har överlämnat till kommissionen.</w:t>
      </w:r>
    </w:p>
    <w:p w:rsidR="00430BC2" w:rsidRPr="004330F0" w:rsidRDefault="00B915A8" w:rsidP="00B915A8">
      <w:pPr>
        <w:pStyle w:val="ManualConsidrant"/>
        <w:rPr>
          <w:noProof/>
        </w:rPr>
      </w:pPr>
      <w:r w:rsidRPr="00B915A8">
        <w:rPr>
          <w:noProof/>
        </w:rPr>
        <w:t>(6)</w:t>
      </w:r>
      <w:r w:rsidRPr="00B915A8">
        <w:rPr>
          <w:noProof/>
        </w:rPr>
        <w:tab/>
      </w:r>
      <w:r w:rsidR="00430BC2" w:rsidRPr="004330F0">
        <w:rPr>
          <w:noProof/>
        </w:rPr>
        <w:t>EBA har genomfört öppna offentliga samråd om det förslag till tekniska genomförandestandarder som den här förordningen grundas på, analyserat potentiella kostnader och fördelar samt begärt råd från den bankintressentgrupp som inrättats i enlighet med artikel 37 i Europaparlamentets och rådets förordning (EU) nr 1093/2010</w:t>
      </w:r>
      <w:r w:rsidR="00430BC2" w:rsidRPr="004330F0">
        <w:rPr>
          <w:rStyle w:val="FootnoteReference"/>
          <w:noProof/>
        </w:rPr>
        <w:footnoteReference w:id="6"/>
      </w:r>
      <w:r w:rsidR="00430BC2" w:rsidRPr="004330F0">
        <w:rPr>
          <w:noProof/>
        </w:rPr>
        <w:t>.</w:t>
      </w:r>
    </w:p>
    <w:p w:rsidR="00430BC2" w:rsidRPr="004330F0" w:rsidRDefault="00430BC2" w:rsidP="004E1EF9">
      <w:pPr>
        <w:pStyle w:val="Formuledadoption"/>
        <w:rPr>
          <w:noProof/>
        </w:rPr>
      </w:pPr>
      <w:r w:rsidRPr="004330F0">
        <w:rPr>
          <w:noProof/>
        </w:rPr>
        <w:t>HÄRIGENOM FÖRESKRIVS FÖLJANDE.</w:t>
      </w:r>
    </w:p>
    <w:p w:rsidR="00430BC2" w:rsidRPr="004330F0" w:rsidRDefault="00430BC2" w:rsidP="004E1EF9">
      <w:pPr>
        <w:pStyle w:val="Titrearticle"/>
        <w:rPr>
          <w:noProof/>
        </w:rPr>
      </w:pPr>
      <w:r w:rsidRPr="004330F0">
        <w:rPr>
          <w:noProof/>
        </w:rPr>
        <w:t>Artikel 1</w:t>
      </w:r>
    </w:p>
    <w:p w:rsidR="00430BC2" w:rsidRPr="004330F0" w:rsidRDefault="00430BC2" w:rsidP="00430BC2">
      <w:pPr>
        <w:rPr>
          <w:noProof/>
        </w:rPr>
      </w:pPr>
      <w:bookmarkStart w:id="4" w:name="_Hlk198544571"/>
      <w:r w:rsidRPr="004330F0">
        <w:rPr>
          <w:noProof/>
        </w:rPr>
        <w:t>Genomförandeförordning (EU) 2024/3117</w:t>
      </w:r>
      <w:bookmarkEnd w:id="4"/>
      <w:r w:rsidRPr="004330F0">
        <w:rPr>
          <w:noProof/>
        </w:rPr>
        <w:t xml:space="preserve"> ska ändras på följande sätt: </w:t>
      </w:r>
    </w:p>
    <w:p w:rsidR="00430BC2" w:rsidRPr="004330F0" w:rsidRDefault="00B915A8" w:rsidP="00B915A8">
      <w:pPr>
        <w:pStyle w:val="Point0"/>
        <w:rPr>
          <w:noProof/>
        </w:rPr>
      </w:pPr>
      <w:r w:rsidRPr="00B915A8">
        <w:rPr>
          <w:noProof/>
        </w:rPr>
        <w:t>(1)</w:t>
      </w:r>
      <w:r w:rsidRPr="00B915A8">
        <w:rPr>
          <w:noProof/>
        </w:rPr>
        <w:tab/>
      </w:r>
      <w:r w:rsidR="00430BC2" w:rsidRPr="004330F0">
        <w:rPr>
          <w:noProof/>
        </w:rPr>
        <w:t>Artikel 5.4 ska ersättas med följande:</w:t>
      </w:r>
    </w:p>
    <w:p w:rsidR="00430BC2" w:rsidRPr="004330F0" w:rsidRDefault="00430BC2" w:rsidP="00430BC2">
      <w:pPr>
        <w:pStyle w:val="QuotedNumPar"/>
        <w:rPr>
          <w:noProof/>
        </w:rPr>
      </w:pPr>
      <w:r w:rsidRPr="004330F0">
        <w:rPr>
          <w:noProof/>
        </w:rPr>
        <w:t>”4. Vid beräkningen av de kapitalbaskrav som avses i artikel 92.4 b i och c och artikel 92.5 b och c i förordning (EU) nr 575/2013 ska instituten till och med den 31 december 2026 lämna information om kapitalbaskrav avseende marknadsrisk i enlighet med artikel 5.12 i genomförandeförordning (EU) 2021/451.”</w:t>
      </w:r>
    </w:p>
    <w:p w:rsidR="00430BC2" w:rsidRPr="004330F0" w:rsidRDefault="00B915A8" w:rsidP="00B915A8">
      <w:pPr>
        <w:pStyle w:val="Point0"/>
        <w:rPr>
          <w:noProof/>
        </w:rPr>
      </w:pPr>
      <w:r w:rsidRPr="00B915A8">
        <w:rPr>
          <w:noProof/>
        </w:rPr>
        <w:t>(2)</w:t>
      </w:r>
      <w:r w:rsidRPr="00B915A8">
        <w:rPr>
          <w:noProof/>
        </w:rPr>
        <w:tab/>
      </w:r>
      <w:r w:rsidR="00430BC2" w:rsidRPr="004330F0">
        <w:rPr>
          <w:noProof/>
        </w:rPr>
        <w:t>I artikel 7 ska följande punkt läggas till som punkt c:</w:t>
      </w:r>
    </w:p>
    <w:p w:rsidR="00430BC2" w:rsidRPr="004330F0" w:rsidRDefault="00430BC2" w:rsidP="00430BC2">
      <w:pPr>
        <w:pStyle w:val="QuotedNumPar"/>
        <w:rPr>
          <w:noProof/>
        </w:rPr>
      </w:pPr>
      <w:r w:rsidRPr="004330F0">
        <w:rPr>
          <w:noProof/>
        </w:rPr>
        <w:t>”c)</w:t>
      </w:r>
      <w:r w:rsidRPr="004330F0">
        <w:rPr>
          <w:noProof/>
        </w:rPr>
        <w:tab/>
        <w:t>Moderinstitut inom EU ska kvartalsvis rapportera den information som krävs i mall C 16.04 i bilaga I avseende information om dotterföretag som omfattas av undantaget i artikel 314.3 i förordning (EU) nr 575/2013.”</w:t>
      </w:r>
    </w:p>
    <w:p w:rsidR="00430BC2" w:rsidRPr="004330F0" w:rsidRDefault="00B915A8" w:rsidP="00B915A8">
      <w:pPr>
        <w:pStyle w:val="Point0"/>
        <w:rPr>
          <w:noProof/>
        </w:rPr>
      </w:pPr>
      <w:r w:rsidRPr="00B915A8">
        <w:rPr>
          <w:noProof/>
        </w:rPr>
        <w:t>(3)</w:t>
      </w:r>
      <w:r w:rsidRPr="00B915A8">
        <w:rPr>
          <w:noProof/>
        </w:rPr>
        <w:tab/>
      </w:r>
      <w:r w:rsidR="00430BC2" w:rsidRPr="004330F0">
        <w:rPr>
          <w:noProof/>
        </w:rPr>
        <w:t>Artikel 25.1 och 25.2 ska ersättas med följande:</w:t>
      </w:r>
    </w:p>
    <w:p w:rsidR="00430BC2" w:rsidRPr="004330F0" w:rsidRDefault="00430BC2" w:rsidP="00430BC2">
      <w:pPr>
        <w:pStyle w:val="QuotedNumPar"/>
        <w:rPr>
          <w:noProof/>
        </w:rPr>
      </w:pPr>
      <w:r w:rsidRPr="004330F0">
        <w:rPr>
          <w:noProof/>
        </w:rPr>
        <w:t>”1. Genomförandeförordning (EU) 2021/451 ska upphöra att tillämpas från och med den 1 januari 2025, med undantag för artikel 5.12 och mallarna 18–24 i bilaga I och del II punkterna 5.1–5.7 i bilaga II. Artikel 15 i genomförandeförordning (EU) 2021/451 ska fortsätta att tillämpas till och med den 31 december 2026 endast vid tillämpningen av artikel 5.4 i den här förordningen.</w:t>
      </w:r>
    </w:p>
    <w:p w:rsidR="00430BC2" w:rsidRPr="004330F0" w:rsidRDefault="00430BC2" w:rsidP="00430BC2">
      <w:pPr>
        <w:pStyle w:val="QuotedNumPar"/>
        <w:rPr>
          <w:noProof/>
        </w:rPr>
      </w:pPr>
      <w:r w:rsidRPr="004330F0">
        <w:rPr>
          <w:noProof/>
        </w:rPr>
        <w:t>2 Genomförandeförordning (EU) 2021/451 ska upphöra att gälla med verkan från och med den 31 december 2026.”</w:t>
      </w:r>
    </w:p>
    <w:p w:rsidR="00430BC2" w:rsidRPr="004330F0" w:rsidRDefault="00B915A8" w:rsidP="00B915A8">
      <w:pPr>
        <w:pStyle w:val="Point0"/>
        <w:rPr>
          <w:noProof/>
        </w:rPr>
      </w:pPr>
      <w:r w:rsidRPr="00B915A8">
        <w:rPr>
          <w:noProof/>
        </w:rPr>
        <w:t>(4)</w:t>
      </w:r>
      <w:r w:rsidRPr="00B915A8">
        <w:rPr>
          <w:noProof/>
        </w:rPr>
        <w:tab/>
      </w:r>
      <w:r w:rsidR="00430BC2" w:rsidRPr="004330F0">
        <w:rPr>
          <w:noProof/>
        </w:rPr>
        <w:t xml:space="preserve">I bilaga I ska avsnitt 1 – ”Rapportering av kapitalbas och kapitalbaskrav” ändras på följande sätt: </w:t>
      </w:r>
    </w:p>
    <w:p w:rsidR="00430BC2" w:rsidRPr="004330F0" w:rsidRDefault="00B915A8" w:rsidP="00B915A8">
      <w:pPr>
        <w:pStyle w:val="Point1"/>
        <w:rPr>
          <w:noProof/>
        </w:rPr>
      </w:pPr>
      <w:r w:rsidRPr="00B915A8">
        <w:rPr>
          <w:noProof/>
        </w:rPr>
        <w:t>(a)</w:t>
      </w:r>
      <w:r w:rsidRPr="00B915A8">
        <w:rPr>
          <w:noProof/>
        </w:rPr>
        <w:tab/>
      </w:r>
      <w:r w:rsidR="00430BC2" w:rsidRPr="004330F0">
        <w:rPr>
          <w:noProof/>
        </w:rPr>
        <w:t>Mall ”C 16.01 – OPERATIV RISK – KAPITALBASKRAV (OPR OF)” ska ersättas med mall ”C 16.01 – OPERATIV RISK – KAPITALBASKRAV (OPR OF)” enligt bilagan till denna förordning.</w:t>
      </w:r>
    </w:p>
    <w:p w:rsidR="00430BC2" w:rsidRPr="004330F0" w:rsidRDefault="00B915A8" w:rsidP="00B915A8">
      <w:pPr>
        <w:pStyle w:val="Point1"/>
        <w:rPr>
          <w:noProof/>
        </w:rPr>
      </w:pPr>
      <w:r w:rsidRPr="00B915A8">
        <w:rPr>
          <w:noProof/>
        </w:rPr>
        <w:t>(b)</w:t>
      </w:r>
      <w:r w:rsidRPr="00B915A8">
        <w:rPr>
          <w:noProof/>
        </w:rPr>
        <w:tab/>
      </w:r>
      <w:r w:rsidR="00430BC2" w:rsidRPr="004330F0">
        <w:rPr>
          <w:noProof/>
        </w:rPr>
        <w:t>Mall ”C 16.02 – OPERATIV RISK – VERKSAMHETSINDIKATORKOMPONENTEN (OPR BIC)”, mall ”C 16.03 – OPERATIV RISK, UPPDELNING (OPR BD) – FÖRLUSTER, KOSTNADER, AVSÄTTNINGAR OCH ANDRA FINANSIELLA KONSEKVENSER TILL FÖLJD AV OPERATIVA RISKHÄNDELSER” och mall ”C 16.04 – OPERATIV RISK – INFORMATION OM DOTTERFÖRETAG SOM OMFATTAS AV ARTIKEL 314.3 I CRR” som återfinns i bilagan till denna förordning ska läggas till efter mallen ”C 16.01 – OPERATIV RISK – KAPITALBASKRAV (OPR OF)”.</w:t>
      </w:r>
    </w:p>
    <w:p w:rsidR="00430BC2" w:rsidRPr="004330F0" w:rsidRDefault="00430BC2" w:rsidP="004E1EF9">
      <w:pPr>
        <w:pStyle w:val="Titrearticle"/>
        <w:rPr>
          <w:noProof/>
        </w:rPr>
      </w:pPr>
      <w:r w:rsidRPr="004330F0">
        <w:rPr>
          <w:noProof/>
        </w:rPr>
        <w:t>Artikel 2</w:t>
      </w:r>
    </w:p>
    <w:p w:rsidR="00430BC2" w:rsidRPr="004330F0" w:rsidRDefault="00430BC2" w:rsidP="004E1EF9">
      <w:pPr>
        <w:rPr>
          <w:noProof/>
        </w:rPr>
      </w:pPr>
      <w:r w:rsidRPr="004330F0">
        <w:rPr>
          <w:noProof/>
        </w:rPr>
        <w:t xml:space="preserve">Denna förordning träder i kraft den tjugonde dagen efter det att den har offentliggjorts i </w:t>
      </w:r>
      <w:r w:rsidRPr="004330F0">
        <w:rPr>
          <w:i/>
          <w:noProof/>
        </w:rPr>
        <w:t>Europeiska unionens officiella tidning</w:t>
      </w:r>
      <w:r w:rsidRPr="004330F0">
        <w:rPr>
          <w:noProof/>
        </w:rPr>
        <w:t>.</w:t>
      </w:r>
    </w:p>
    <w:p w:rsidR="00430BC2" w:rsidRPr="004330F0" w:rsidRDefault="00430BC2" w:rsidP="004E1EF9">
      <w:pPr>
        <w:pStyle w:val="Applicationdirecte"/>
        <w:rPr>
          <w:noProof/>
        </w:rPr>
      </w:pPr>
      <w:r w:rsidRPr="004330F0">
        <w:rPr>
          <w:noProof/>
        </w:rPr>
        <w:t>Denna förordning är till alla delar bindande och direkt tillämplig i alla medlemsstater.</w:t>
      </w:r>
    </w:p>
    <w:p w:rsidR="00430BC2" w:rsidRPr="004330F0" w:rsidRDefault="00C57AB3" w:rsidP="0037084E">
      <w:pPr>
        <w:pStyle w:val="Fait"/>
        <w:rPr>
          <w:noProof/>
        </w:rPr>
      </w:pPr>
      <w:r>
        <w:rPr>
          <w:noProof/>
        </w:rPr>
        <w:t>Utfärdad i Bryssel den 8.12.2025</w:t>
      </w:r>
    </w:p>
    <w:p w:rsidR="00430BC2" w:rsidRPr="004330F0" w:rsidRDefault="00430BC2" w:rsidP="0037084E">
      <w:pPr>
        <w:pStyle w:val="Institutionquisigne"/>
        <w:rPr>
          <w:noProof/>
        </w:rPr>
      </w:pPr>
      <w:r w:rsidRPr="004330F0">
        <w:rPr>
          <w:noProof/>
        </w:rPr>
        <w:tab/>
        <w:t>På kommissionens vägnar</w:t>
      </w:r>
    </w:p>
    <w:p w:rsidR="00CE1BA2" w:rsidRPr="004330F0" w:rsidRDefault="008F670A" w:rsidP="0037084E">
      <w:pPr>
        <w:pStyle w:val="Personnequisigne"/>
        <w:keepNext/>
        <w:rPr>
          <w:noProof/>
        </w:rPr>
      </w:pPr>
      <w:r>
        <w:rPr>
          <w:noProof/>
        </w:rPr>
        <w:tab/>
        <w:t>Ordförande</w:t>
      </w:r>
      <w:r>
        <w:rPr>
          <w:noProof/>
        </w:rPr>
        <w:br/>
      </w:r>
      <w:r>
        <w:rPr>
          <w:noProof/>
        </w:rPr>
        <w:tab/>
        <w:t>Ursula VON DER LEYEN</w:t>
      </w:r>
    </w:p>
    <w:p w:rsidR="00430BC2" w:rsidRPr="004330F0" w:rsidRDefault="00430BC2" w:rsidP="00430BC2">
      <w:pPr>
        <w:pStyle w:val="Personnequisigne"/>
        <w:rPr>
          <w:noProof/>
        </w:rPr>
      </w:pPr>
    </w:p>
    <w:sectPr w:rsidR="00430BC2" w:rsidRPr="004330F0" w:rsidSect="00B87A5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Pr="00B87A54" w:rsidRDefault="00B87A54" w:rsidP="00B87A54">
    <w:pPr>
      <w:pStyle w:val="Footer"/>
      <w:rPr>
        <w:rFonts w:ascii="Arial" w:hAnsi="Arial" w:cs="Arial"/>
        <w:b/>
        <w:sz w:val="48"/>
      </w:rPr>
    </w:pPr>
    <w:r w:rsidRPr="00B87A54">
      <w:rPr>
        <w:rFonts w:ascii="Arial" w:hAnsi="Arial" w:cs="Arial"/>
        <w:b/>
        <w:sz w:val="48"/>
      </w:rPr>
      <w:t>SV</w:t>
    </w:r>
    <w:r w:rsidRPr="00B87A54">
      <w:rPr>
        <w:rFonts w:ascii="Arial" w:hAnsi="Arial" w:cs="Arial"/>
        <w:b/>
        <w:sz w:val="48"/>
      </w:rPr>
      <w:tab/>
    </w:r>
    <w:r w:rsidRPr="00B87A54">
      <w:rPr>
        <w:rFonts w:ascii="Arial" w:hAnsi="Arial" w:cs="Arial"/>
        <w:b/>
        <w:sz w:val="48"/>
      </w:rPr>
      <w:tab/>
    </w:r>
    <w:r w:rsidRPr="00B87A54">
      <w:tab/>
    </w:r>
    <w:r w:rsidRPr="00B87A54">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Pr="00B87A54" w:rsidRDefault="00B87A54" w:rsidP="00B87A54">
    <w:pPr>
      <w:pStyle w:val="Footer"/>
      <w:rPr>
        <w:rFonts w:ascii="Arial" w:hAnsi="Arial" w:cs="Arial"/>
        <w:b/>
        <w:sz w:val="48"/>
      </w:rPr>
    </w:pPr>
    <w:r w:rsidRPr="00B87A54">
      <w:rPr>
        <w:rFonts w:ascii="Arial" w:hAnsi="Arial" w:cs="Arial"/>
        <w:b/>
        <w:sz w:val="48"/>
      </w:rPr>
      <w:t>SV</w:t>
    </w:r>
    <w:r w:rsidRPr="00B87A54">
      <w:rPr>
        <w:rFonts w:ascii="Arial" w:hAnsi="Arial" w:cs="Arial"/>
        <w:b/>
        <w:sz w:val="48"/>
      </w:rPr>
      <w:tab/>
    </w:r>
    <w:r w:rsidRPr="00B87A54">
      <w:rPr>
        <w:rFonts w:ascii="Arial" w:hAnsi="Arial" w:cs="Arial"/>
        <w:b/>
        <w:sz w:val="48"/>
      </w:rPr>
      <w:tab/>
    </w:r>
    <w:r w:rsidRPr="00B87A54">
      <w:tab/>
    </w:r>
    <w:r w:rsidRPr="00B87A54">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Pr="00B87A54" w:rsidRDefault="00B87A54" w:rsidP="00B87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Default="00B87A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Pr="00B87A54" w:rsidRDefault="00B87A54" w:rsidP="00B87A54">
    <w:pPr>
      <w:pStyle w:val="Footer"/>
      <w:rPr>
        <w:rFonts w:ascii="Arial" w:hAnsi="Arial" w:cs="Arial"/>
        <w:b/>
        <w:sz w:val="48"/>
      </w:rPr>
    </w:pPr>
    <w:r w:rsidRPr="00B87A54">
      <w:rPr>
        <w:rFonts w:ascii="Arial" w:hAnsi="Arial" w:cs="Arial"/>
        <w:b/>
        <w:sz w:val="48"/>
      </w:rPr>
      <w:t>SV</w:t>
    </w:r>
    <w:r w:rsidRPr="00B87A54">
      <w:rPr>
        <w:rFonts w:ascii="Arial" w:hAnsi="Arial" w:cs="Arial"/>
        <w:b/>
        <w:sz w:val="48"/>
      </w:rPr>
      <w:tab/>
    </w:r>
    <w:r>
      <w:fldChar w:fldCharType="begin"/>
    </w:r>
    <w:r>
      <w:instrText xml:space="preserve"> PAGE  \* MERGEFORMAT </w:instrText>
    </w:r>
    <w:r>
      <w:fldChar w:fldCharType="separate"/>
    </w:r>
    <w:r w:rsidR="0037084E">
      <w:rPr>
        <w:noProof/>
      </w:rPr>
      <w:t>3</w:t>
    </w:r>
    <w:r>
      <w:fldChar w:fldCharType="end"/>
    </w:r>
    <w:r>
      <w:tab/>
    </w:r>
    <w:r w:rsidRPr="00B87A54">
      <w:tab/>
    </w:r>
    <w:r w:rsidRPr="00B87A54">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Default="00B87A54" w:rsidP="00B8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4330F0" w:rsidRDefault="00430BC2" w:rsidP="00430BC2">
      <w:pPr>
        <w:pStyle w:val="FootnoteText"/>
      </w:pPr>
      <w:r>
        <w:rPr>
          <w:rStyle w:val="FootnoteReference"/>
        </w:rPr>
        <w:footnoteRef/>
      </w:r>
      <w:r w:rsidRPr="004330F0">
        <w:tab/>
        <w:t>EUT L 176, 27.6.2013, s. 1, ELI: http://data.europa.eu/eli/reg/2013/575/oj.</w:t>
      </w:r>
    </w:p>
  </w:footnote>
  <w:footnote w:id="2">
    <w:p w:rsidR="00430BC2" w:rsidRPr="004330F0" w:rsidRDefault="00430BC2" w:rsidP="00430BC2">
      <w:pPr>
        <w:pStyle w:val="FootnoteText"/>
        <w:rPr>
          <w:rFonts w:eastAsiaTheme="minorEastAsia"/>
        </w:rPr>
      </w:pPr>
      <w:r>
        <w:rPr>
          <w:rStyle w:val="FootnoteReference"/>
        </w:rPr>
        <w:footnoteRef/>
      </w:r>
      <w:r w:rsidRPr="004330F0">
        <w:tab/>
        <w:t xml:space="preserve">Europaparlamentets och rådets förordning (EU) 2024/1623 av den 31 maj 2024 om ändring av förordning (EU) nr 575/2013 vad gäller krav avseende kreditrisk, kreditvärdighetsjusteringsrisk, operativ risk, marknadsrisk och golvet för riskvägda tillgångar (EUT L, 19.6.2024, s.1, ELI: </w:t>
      </w:r>
      <w:bookmarkStart w:id="1" w:name="_Hlk198544494"/>
      <w:r w:rsidRPr="004330F0">
        <w:t>http://data.europa.eu/eli/reg/2024/1623/oj</w:t>
      </w:r>
      <w:bookmarkEnd w:id="1"/>
      <w:r w:rsidRPr="004330F0">
        <w:t>).</w:t>
      </w:r>
    </w:p>
  </w:footnote>
  <w:footnote w:id="3">
    <w:p w:rsidR="00430BC2" w:rsidRPr="004330F0" w:rsidRDefault="00430BC2" w:rsidP="00430BC2">
      <w:pPr>
        <w:pStyle w:val="FootnoteText"/>
      </w:pPr>
      <w:r>
        <w:rPr>
          <w:rStyle w:val="FootnoteReference"/>
        </w:rPr>
        <w:footnoteRef/>
      </w:r>
      <w:r w:rsidRPr="004330F0">
        <w:tab/>
        <w:t>Kommissionens genomförandeförordning (EU) 2024/3117 av den 29 november 2024 om tekniska genomförandestandarder för tillämpningen av Europaparlamentets och rådets förordning (EU) nr 575/2013 vad gäller instituts tillsynsrapportering och om upphävande av kommissionens genomförandeförordning (EU) 2021/451 (EUT L, 2024/3117, 27.12.2024, s. 1, ELI: </w:t>
      </w:r>
      <w:bookmarkStart w:id="2" w:name="_Hlk198544532"/>
      <w:r>
        <w:fldChar w:fldCharType="begin"/>
      </w:r>
      <w:r w:rsidRPr="004330F0">
        <w:instrText>HYPERLINK "http://data.europa.eu/eli/reg_impl/2024/3117/oj" \t "_blank" \o "Ger åtkomst till dokumentet via dess ELI-adress."</w:instrText>
      </w:r>
      <w:r>
        <w:fldChar w:fldCharType="separate"/>
      </w:r>
      <w:r w:rsidRPr="004330F0">
        <w:t>http://data.europa.eu/eli/reg_impl/2024/3117/oj</w:t>
      </w:r>
      <w:r>
        <w:fldChar w:fldCharType="end"/>
      </w:r>
      <w:bookmarkEnd w:id="2"/>
      <w:r w:rsidRPr="004330F0">
        <w:t>).</w:t>
      </w:r>
    </w:p>
  </w:footnote>
  <w:footnote w:id="4">
    <w:p w:rsidR="00430BC2" w:rsidRPr="004330F0" w:rsidRDefault="00430BC2" w:rsidP="00430BC2">
      <w:pPr>
        <w:pStyle w:val="FootnoteText"/>
      </w:pPr>
      <w:r>
        <w:rPr>
          <w:rStyle w:val="FootnoteReference"/>
        </w:rPr>
        <w:footnoteRef/>
      </w:r>
      <w:r w:rsidRPr="004330F0">
        <w:tab/>
        <w:t>Kommissionens delegerade förordning (EU) 2025/1496 av den 12 juni 2025 om ändring av Europaparlamentets och rådets förordning (EU) nr 575/2013 vad gäller den dag då kapitalbaskraven för marknadsrisk börjar tillämpas (EUT L, 2025/1496, 19.9.2025, ELI: http://data.europa.eu/eli/reg_del/2025/1496/oj).</w:t>
      </w:r>
    </w:p>
  </w:footnote>
  <w:footnote w:id="5">
    <w:p w:rsidR="00430BC2" w:rsidRPr="004330F0" w:rsidRDefault="00430BC2" w:rsidP="00430BC2">
      <w:pPr>
        <w:pStyle w:val="FootnoteText"/>
      </w:pPr>
      <w:r>
        <w:rPr>
          <w:rStyle w:val="FootnoteReference"/>
        </w:rPr>
        <w:footnoteRef/>
      </w:r>
      <w:r w:rsidRPr="004330F0">
        <w:tab/>
        <w:t xml:space="preserve">Kommissionens genomförandeförordning (EU) 2021/451 av den 17 december 2020 om tekniska genomförandestandarder för tillämpningen av Europaparlamentets och rådets förordning (EU) nr 575/2013 vad gäller instituts tillsynsrapportering och om upphävande av genomförandeförordning (EU) nr 680/2014 (EUT L 97, 19.3.2021, s. 1, ELI: </w:t>
      </w:r>
      <w:hyperlink r:id="rId1" w:history="1">
        <w:r w:rsidRPr="004330F0">
          <w:rPr>
            <w:rStyle w:val="Hyperlink"/>
          </w:rPr>
          <w:t>http://data.europa.eu/eli/reg_impl/2021/451/oj</w:t>
        </w:r>
      </w:hyperlink>
      <w:r w:rsidRPr="004330F0">
        <w:t>).</w:t>
      </w:r>
    </w:p>
  </w:footnote>
  <w:footnote w:id="6">
    <w:p w:rsidR="00430BC2" w:rsidRPr="004330F0" w:rsidRDefault="00430BC2" w:rsidP="00430BC2">
      <w:pPr>
        <w:pStyle w:val="FootnoteText"/>
      </w:pPr>
      <w:r>
        <w:rPr>
          <w:rStyle w:val="FootnoteReference"/>
        </w:rPr>
        <w:footnoteRef/>
      </w:r>
      <w:r w:rsidRPr="004330F0">
        <w:tab/>
      </w:r>
      <w:bookmarkStart w:id="3" w:name="_Hlk198544390"/>
      <w:r w:rsidRPr="004330F0">
        <w:t>Europaparlamentets och rådets förordning (EU) nr 1093/2010 av den 24 november 2010 om inrättande av en europeisk tillsynsmyndighet</w:t>
      </w:r>
      <w:bookmarkEnd w:id="3"/>
      <w:r w:rsidRPr="004330F0">
        <w:t xml:space="preserve"> (Europeiska bankmyndigheten), om ändring av beslut nr 716/2009/EG och om upphävande av kommissionens beslut 2009/78/EG (EUT L 331, 15.12.2010, s.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Pr="00B87A54" w:rsidRDefault="00B87A54" w:rsidP="00B87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Pr="00B87A54" w:rsidRDefault="00B87A54" w:rsidP="00B87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Pr="00B87A54" w:rsidRDefault="00B87A54" w:rsidP="00B87A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Default="00B87A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54" w:rsidRDefault="00B87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718824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19C579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7622A6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E4EC94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2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19"/>
  </w:num>
  <w:num w:numId="8">
    <w:abstractNumId w:val="12"/>
  </w:num>
  <w:num w:numId="9">
    <w:abstractNumId w:val="21"/>
  </w:num>
  <w:num w:numId="10">
    <w:abstractNumId w:val="11"/>
  </w:num>
  <w:num w:numId="11">
    <w:abstractNumId w:val="13"/>
  </w:num>
  <w:num w:numId="12">
    <w:abstractNumId w:val="14"/>
  </w:num>
  <w:num w:numId="13">
    <w:abstractNumId w:val="9"/>
  </w:num>
  <w:num w:numId="14">
    <w:abstractNumId w:val="20"/>
  </w:num>
  <w:num w:numId="15">
    <w:abstractNumId w:val="8"/>
  </w:num>
  <w:num w:numId="16">
    <w:abstractNumId w:val="15"/>
  </w:num>
  <w:num w:numId="17">
    <w:abstractNumId w:val="17"/>
  </w:num>
  <w:num w:numId="18">
    <w:abstractNumId w:val="18"/>
  </w:num>
  <w:num w:numId="19">
    <w:abstractNumId w:val="10"/>
  </w:num>
  <w:num w:numId="20">
    <w:abstractNumId w:val="16"/>
  </w:num>
  <w:num w:numId="21">
    <w:abstractNumId w:val="22"/>
  </w:num>
  <w:num w:numId="22">
    <w:abstractNumId w:val="19"/>
  </w:num>
  <w:num w:numId="23">
    <w:abstractNumId w:val="12"/>
  </w:num>
  <w:num w:numId="24">
    <w:abstractNumId w:val="21"/>
  </w:num>
  <w:num w:numId="25">
    <w:abstractNumId w:val="11"/>
  </w:num>
  <w:num w:numId="26">
    <w:abstractNumId w:val="13"/>
  </w:num>
  <w:num w:numId="27">
    <w:abstractNumId w:val="14"/>
  </w:num>
  <w:num w:numId="28">
    <w:abstractNumId w:val="9"/>
  </w:num>
  <w:num w:numId="29">
    <w:abstractNumId w:val="20"/>
  </w:num>
  <w:num w:numId="30">
    <w:abstractNumId w:val="8"/>
  </w:num>
  <w:num w:numId="31">
    <w:abstractNumId w:val="15"/>
  </w:num>
  <w:num w:numId="32">
    <w:abstractNumId w:val="17"/>
  </w:num>
  <w:num w:numId="33">
    <w:abstractNumId w:val="18"/>
  </w:num>
  <w:num w:numId="34">
    <w:abstractNumId w:val="10"/>
  </w:num>
  <w:num w:numId="35">
    <w:abstractNumId w:val="16"/>
  </w:num>
  <w:num w:numId="36">
    <w:abstractNumId w:val="22"/>
  </w:num>
  <w:num w:numId="37">
    <w:abstractNumId w:val="6"/>
  </w:num>
  <w:num w:numId="38">
    <w:abstractNumId w:val="2"/>
  </w:num>
  <w:num w:numId="39">
    <w:abstractNumId w:val="1"/>
  </w:num>
  <w:num w:numId="4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2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FB3E7C1-7A44-4CA0-98CF-F64C6C0769CE"/>
    <w:docVar w:name="LW_COVERPAGE_TYPE" w:val="1"/>
    <w:docVar w:name="LW_CreatedUtc" w:val="2025-10-08T14:24:25.1973363Z"/>
    <w:docVar w:name="LW_CROSSREFERENCE" w:val="&lt;UNUSED&gt;"/>
    <w:docVar w:name="LW_DATE.ADOPT.CP" w:val="av den 8.12.2025"/>
    <w:docVar w:name="LW_DATE.ADOPT.CP_DATEFORMAT" w:val="av den %DATE%"/>
    <w:docVar w:name="LW_DATE.ADOPT.CP_ISODATE" w:val="2025-12-08"/>
    <w:docVar w:name="LW_DocType" w:val="COM"/>
    <w:docVar w:name="LW_EMISSION" w:val="8.12.2025"/>
    <w:docVar w:name="LW_EMISSION_ISODATE" w:val="2025-12-08"/>
    <w:docVar w:name="LW_EMISSION_LOCATION" w:val="BRX"/>
    <w:docVar w:name="LW_EMISSION_PREFIX" w:val="Bryssel den "/>
    <w:docVar w:name="LW_EMISSION_SUFFIX" w:val=" "/>
    <w:docVar w:name="LW_ID_DOCMODEL" w:val="SJ-004"/>
    <w:docVar w:name="LW_ID_DOCSIGNATURE" w:val="SJ-004"/>
    <w:docVar w:name="LW_ID_DOCSTRUCTURE" w:val="COM/AA"/>
    <w:docVar w:name="LW_ID_DOCTYPE" w:val="SJ-004"/>
    <w:docVar w:name="LW_INTERETEEE.CP" w:val="(Text av betydelse för EES)"/>
    <w:docVar w:name="LW_LANGUE" w:val="SV"/>
    <w:docVar w:name="LW_LANGUESFAISANTFOI.CP" w:val="&lt;UNUSED&gt;"/>
    <w:docVar w:name="LW_LEVEL_OF_SENSITIVITY" w:val="Standard treatment"/>
    <w:docVar w:name="LW_NOM.INST" w:val="EUROPEISKA KOMMISSIONEN"/>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ändring av de tekniska genomförandestandarder som fastställs i genomförandeförordning (EU) 2024/3117 vad gäller instituts tillsynsrapportering om operativa risker"/>
    <w:docVar w:name="LW_TYPE.DOC.CP" w:val="KOMMISSIONENS GENOMFÖRANDEFÖRORDNING (EU) \u8230?/\u8230?"/>
    <w:docVar w:name="LwApiVersions" w:val="LW4CoDe 1.24.5.0; LW 9.2, Build 20251112"/>
  </w:docVars>
  <w:rsids>
    <w:rsidRoot w:val="00430BC2"/>
    <w:rsid w:val="00017C96"/>
    <w:rsid w:val="0004435A"/>
    <w:rsid w:val="00050CA3"/>
    <w:rsid w:val="001065F5"/>
    <w:rsid w:val="001238EF"/>
    <w:rsid w:val="00133705"/>
    <w:rsid w:val="00151C13"/>
    <w:rsid w:val="00190BB1"/>
    <w:rsid w:val="00197613"/>
    <w:rsid w:val="00233DC7"/>
    <w:rsid w:val="00247779"/>
    <w:rsid w:val="00285BEE"/>
    <w:rsid w:val="00291E1F"/>
    <w:rsid w:val="0029533F"/>
    <w:rsid w:val="002B30AF"/>
    <w:rsid w:val="002E5318"/>
    <w:rsid w:val="0033344A"/>
    <w:rsid w:val="0037084E"/>
    <w:rsid w:val="0038150A"/>
    <w:rsid w:val="004219D9"/>
    <w:rsid w:val="0042648E"/>
    <w:rsid w:val="00430BC2"/>
    <w:rsid w:val="004330F0"/>
    <w:rsid w:val="004404AB"/>
    <w:rsid w:val="00445072"/>
    <w:rsid w:val="00471C03"/>
    <w:rsid w:val="00487D9D"/>
    <w:rsid w:val="004936D2"/>
    <w:rsid w:val="0049417B"/>
    <w:rsid w:val="004E4B28"/>
    <w:rsid w:val="005152A4"/>
    <w:rsid w:val="0055312E"/>
    <w:rsid w:val="00561998"/>
    <w:rsid w:val="00562257"/>
    <w:rsid w:val="005B1EB6"/>
    <w:rsid w:val="005B7C1D"/>
    <w:rsid w:val="005F1565"/>
    <w:rsid w:val="00646B01"/>
    <w:rsid w:val="006A3A74"/>
    <w:rsid w:val="006F3E02"/>
    <w:rsid w:val="0076425B"/>
    <w:rsid w:val="00773331"/>
    <w:rsid w:val="007932EF"/>
    <w:rsid w:val="007E05B0"/>
    <w:rsid w:val="00847BAB"/>
    <w:rsid w:val="00874D22"/>
    <w:rsid w:val="00880B8B"/>
    <w:rsid w:val="00883B63"/>
    <w:rsid w:val="0089317B"/>
    <w:rsid w:val="008A0F88"/>
    <w:rsid w:val="008A2914"/>
    <w:rsid w:val="008D0248"/>
    <w:rsid w:val="008E4D8E"/>
    <w:rsid w:val="008F670A"/>
    <w:rsid w:val="00916931"/>
    <w:rsid w:val="00945C4F"/>
    <w:rsid w:val="00957BDE"/>
    <w:rsid w:val="009769B3"/>
    <w:rsid w:val="009B56EF"/>
    <w:rsid w:val="009F2131"/>
    <w:rsid w:val="00A362F7"/>
    <w:rsid w:val="00A50C30"/>
    <w:rsid w:val="00A9563C"/>
    <w:rsid w:val="00AC2E30"/>
    <w:rsid w:val="00AD7C0F"/>
    <w:rsid w:val="00AE3DBA"/>
    <w:rsid w:val="00B40F1A"/>
    <w:rsid w:val="00B443FE"/>
    <w:rsid w:val="00B87A54"/>
    <w:rsid w:val="00B915A8"/>
    <w:rsid w:val="00BD1DA9"/>
    <w:rsid w:val="00C12301"/>
    <w:rsid w:val="00C57AB3"/>
    <w:rsid w:val="00C84FA7"/>
    <w:rsid w:val="00C862B2"/>
    <w:rsid w:val="00CE1BA2"/>
    <w:rsid w:val="00D03513"/>
    <w:rsid w:val="00D11844"/>
    <w:rsid w:val="00D20381"/>
    <w:rsid w:val="00D47813"/>
    <w:rsid w:val="00F47C85"/>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B87A54"/>
    <w:rPr>
      <w:rFonts w:ascii="Times New Roman" w:hAnsi="Times New Roman" w:cs="Times New Roman"/>
      <w:sz w:val="24"/>
      <w:lang w:val="sv-SE"/>
    </w:rPr>
  </w:style>
  <w:style w:type="character" w:customStyle="1" w:styleId="FooterChar">
    <w:name w:val="Footer Char"/>
    <w:basedOn w:val="DefaultParagraphFont"/>
    <w:link w:val="Footer"/>
    <w:uiPriority w:val="99"/>
    <w:rsid w:val="00B87A54"/>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87A5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87A54"/>
    <w:pPr>
      <w:spacing w:before="0"/>
      <w:jc w:val="right"/>
    </w:pPr>
    <w:rPr>
      <w:sz w:val="28"/>
    </w:rPr>
  </w:style>
  <w:style w:type="paragraph" w:customStyle="1" w:styleId="FooterSensitivity">
    <w:name w:val="Footer Sensitivity"/>
    <w:basedOn w:val="Normal"/>
    <w:rsid w:val="00B87A5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Caption">
    <w:name w:val="caption"/>
    <w:basedOn w:val="Normal"/>
    <w:next w:val="Normal"/>
    <w:uiPriority w:val="35"/>
    <w:semiHidden/>
    <w:unhideWhenUsed/>
    <w:qFormat/>
    <w:rsid w:val="0091693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16931"/>
    <w:pPr>
      <w:spacing w:after="0"/>
    </w:pPr>
  </w:style>
  <w:style w:type="paragraph" w:styleId="ListNumber">
    <w:name w:val="List Number"/>
    <w:basedOn w:val="Normal"/>
    <w:uiPriority w:val="99"/>
    <w:semiHidden/>
    <w:unhideWhenUsed/>
    <w:rsid w:val="00916931"/>
    <w:pPr>
      <w:numPr>
        <w:numId w:val="37"/>
      </w:numPr>
      <w:contextualSpacing/>
    </w:pPr>
  </w:style>
  <w:style w:type="paragraph" w:styleId="ListNumber2">
    <w:name w:val="List Number 2"/>
    <w:basedOn w:val="Normal"/>
    <w:uiPriority w:val="99"/>
    <w:semiHidden/>
    <w:unhideWhenUsed/>
    <w:rsid w:val="00916931"/>
    <w:pPr>
      <w:numPr>
        <w:numId w:val="38"/>
      </w:numPr>
      <w:contextualSpacing/>
    </w:pPr>
  </w:style>
  <w:style w:type="paragraph" w:styleId="ListNumber3">
    <w:name w:val="List Number 3"/>
    <w:basedOn w:val="Normal"/>
    <w:uiPriority w:val="99"/>
    <w:semiHidden/>
    <w:unhideWhenUsed/>
    <w:rsid w:val="00916931"/>
    <w:pPr>
      <w:numPr>
        <w:numId w:val="39"/>
      </w:numPr>
      <w:contextualSpacing/>
    </w:pPr>
  </w:style>
  <w:style w:type="paragraph" w:styleId="ListNumber4">
    <w:name w:val="List Number 4"/>
    <w:basedOn w:val="Normal"/>
    <w:uiPriority w:val="99"/>
    <w:semiHidden/>
    <w:unhideWhenUsed/>
    <w:rsid w:val="00916931"/>
    <w:pPr>
      <w:numPr>
        <w:numId w:val="40"/>
      </w:numPr>
      <w:contextualSpacing/>
    </w:pPr>
  </w:style>
  <w:style w:type="paragraph" w:styleId="Header">
    <w:name w:val="header"/>
    <w:basedOn w:val="Normal"/>
    <w:link w:val="HeaderChar"/>
    <w:uiPriority w:val="99"/>
    <w:unhideWhenUsed/>
    <w:rsid w:val="00B87A54"/>
    <w:pPr>
      <w:tabs>
        <w:tab w:val="center" w:pos="4535"/>
        <w:tab w:val="right" w:pos="9071"/>
      </w:tabs>
      <w:spacing w:before="0"/>
    </w:pPr>
  </w:style>
  <w:style w:type="paragraph" w:customStyle="1" w:styleId="HeaderLandscape">
    <w:name w:val="HeaderLandscape"/>
    <w:basedOn w:val="Normal"/>
    <w:rsid w:val="00B87A54"/>
    <w:pPr>
      <w:tabs>
        <w:tab w:val="center" w:pos="7285"/>
        <w:tab w:val="right" w:pos="14003"/>
      </w:tabs>
      <w:spacing w:before="0"/>
    </w:pPr>
  </w:style>
  <w:style w:type="paragraph" w:styleId="Footer">
    <w:name w:val="footer"/>
    <w:basedOn w:val="Normal"/>
    <w:link w:val="FooterChar"/>
    <w:uiPriority w:val="99"/>
    <w:unhideWhenUsed/>
    <w:rsid w:val="00B87A5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87A5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85995-DC67-430C-BD84-ADCAAE4BF97C}"/>
</file>

<file path=customXml/itemProps2.xml><?xml version="1.0" encoding="utf-8"?>
<ds:datastoreItem xmlns:ds="http://schemas.openxmlformats.org/officeDocument/2006/customXml" ds:itemID="{BFF8CA71-8F1C-44E2-9E5A-E8FCD1533F1E}"/>
</file>

<file path=customXml/itemProps3.xml><?xml version="1.0" encoding="utf-8"?>
<ds:datastoreItem xmlns:ds="http://schemas.openxmlformats.org/officeDocument/2006/customXml" ds:itemID="{594E23EA-3492-4FD4-AEE9-011599DCAE6E}"/>
</file>

<file path=docProps/app.xml><?xml version="1.0" encoding="utf-8"?>
<Properties xmlns="http://schemas.openxmlformats.org/officeDocument/2006/extended-properties" xmlns:vt="http://schemas.openxmlformats.org/officeDocument/2006/docPropsVTypes">
  <Template>COM.dotm</Template>
  <TotalTime>6</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dcterms:created xsi:type="dcterms:W3CDTF">2025-11-19T12:59:00Z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