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BA7554" w:rsidRDefault="000E6787" w:rsidP="000E6787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0C0F5B20-7FCC-40AB-AB56-0704C8849644" style="width:455.25pt;height:345.75pt">
            <v:imagedata r:id="rId7" o:title=""/>
          </v:shape>
        </w:pict>
      </w:r>
    </w:p>
    <w:p w:rsidR="00430BC2" w:rsidRPr="00BA7554" w:rsidRDefault="00430BC2">
      <w:pPr>
        <w:rPr>
          <w:noProof/>
        </w:rPr>
        <w:sectPr w:rsidR="00430BC2" w:rsidRPr="00BA7554" w:rsidSect="000E67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BA7554" w:rsidRDefault="00BA7554" w:rsidP="00BA7554">
      <w:pPr>
        <w:pStyle w:val="Typedudocument"/>
        <w:rPr>
          <w:noProof/>
        </w:rPr>
      </w:pPr>
      <w:bookmarkStart w:id="0" w:name="_GoBack"/>
      <w:bookmarkEnd w:id="0"/>
      <w:r w:rsidRPr="00BA7554">
        <w:rPr>
          <w:noProof/>
        </w:rPr>
        <w:lastRenderedPageBreak/>
        <w:t>REGULAMENTO DE EXECUÇÃO (UE) …/... DA COMISSÃO</w:t>
      </w:r>
    </w:p>
    <w:p w:rsidR="00430BC2" w:rsidRPr="00BA7554" w:rsidRDefault="005B4AED" w:rsidP="00BA7554">
      <w:pPr>
        <w:pStyle w:val="Datedadoption"/>
        <w:rPr>
          <w:noProof/>
        </w:rPr>
      </w:pPr>
      <w:r>
        <w:rPr>
          <w:noProof/>
        </w:rPr>
        <w:t>de 8.12.2025</w:t>
      </w:r>
    </w:p>
    <w:p w:rsidR="00430BC2" w:rsidRPr="00BA7554" w:rsidRDefault="00BA7554" w:rsidP="00BA7554">
      <w:pPr>
        <w:pStyle w:val="Titreobjet"/>
        <w:rPr>
          <w:noProof/>
        </w:rPr>
      </w:pPr>
      <w:r w:rsidRPr="00BA7554">
        <w:rPr>
          <w:noProof/>
        </w:rPr>
        <w:t>que altera as normas técnicas de execução estabelecidas no Regulamento de Execução (UE) 2024/3117 no que respeita ao relato para fins de supervisão do risco operacional das instituições</w:t>
      </w:r>
    </w:p>
    <w:p w:rsidR="00430BC2" w:rsidRPr="00BA7554" w:rsidRDefault="00BA7554" w:rsidP="00BA7554">
      <w:pPr>
        <w:pStyle w:val="IntrtEEE"/>
        <w:rPr>
          <w:noProof/>
        </w:rPr>
      </w:pPr>
      <w:r w:rsidRPr="00BA7554">
        <w:rPr>
          <w:noProof/>
        </w:rPr>
        <w:t>(Texto relevante para efeitos do EEE)</w:t>
      </w:r>
    </w:p>
    <w:p w:rsidR="00430BC2" w:rsidRPr="00BA7554" w:rsidRDefault="00430BC2" w:rsidP="004E1EF9">
      <w:pPr>
        <w:pStyle w:val="Institutionquiagit"/>
        <w:rPr>
          <w:noProof/>
        </w:rPr>
      </w:pPr>
      <w:r w:rsidRPr="00BA7554">
        <w:rPr>
          <w:noProof/>
        </w:rPr>
        <w:t>A COMISSÃO EUROPEIA,</w:t>
      </w:r>
    </w:p>
    <w:p w:rsidR="00430BC2" w:rsidRPr="00BA7554" w:rsidRDefault="00430BC2" w:rsidP="004E1EF9">
      <w:pPr>
        <w:rPr>
          <w:noProof/>
        </w:rPr>
      </w:pPr>
      <w:r w:rsidRPr="00BA7554">
        <w:rPr>
          <w:noProof/>
        </w:rPr>
        <w:t>Tendo em conta o Regulamento (UE) n.º 575/2013 do Parlamento Europeu e do Conselho, de 26 de junho de 2013, relativo aos requisitos prudenciais das instituições de crédito e que altera o Regulamento (UE) n.º 648/2012</w:t>
      </w:r>
      <w:r w:rsidRPr="00BA7554">
        <w:rPr>
          <w:rStyle w:val="FootnoteReference"/>
          <w:noProof/>
        </w:rPr>
        <w:footnoteReference w:id="1"/>
      </w:r>
      <w:r w:rsidRPr="00BA7554">
        <w:rPr>
          <w:noProof/>
        </w:rPr>
        <w:t>, nomeadamente o artigo 430.º, n.º 7, quinto parágrafo,</w:t>
      </w:r>
    </w:p>
    <w:p w:rsidR="00430BC2" w:rsidRPr="00BA7554" w:rsidRDefault="00430BC2" w:rsidP="004E1EF9">
      <w:pPr>
        <w:rPr>
          <w:noProof/>
        </w:rPr>
      </w:pPr>
      <w:r w:rsidRPr="00BA7554">
        <w:rPr>
          <w:noProof/>
        </w:rPr>
        <w:t>Considerando o seguinte: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(1)</w:t>
      </w:r>
      <w:r w:rsidRPr="00DA09C2">
        <w:rPr>
          <w:noProof/>
        </w:rPr>
        <w:tab/>
      </w:r>
      <w:r w:rsidR="00430BC2" w:rsidRPr="00BA7554">
        <w:rPr>
          <w:noProof/>
        </w:rPr>
        <w:t>O Regulamento (UE) n.º 575/2013 foi alterado pelo Regulamento (UE) 2024/1623 do Parlamento Europeu e do Conselho</w:t>
      </w:r>
      <w:r w:rsidR="00430BC2" w:rsidRPr="00BA7554">
        <w:rPr>
          <w:rStyle w:val="FootnoteReference"/>
          <w:noProof/>
        </w:rPr>
        <w:footnoteReference w:id="2"/>
      </w:r>
      <w:r w:rsidR="00430BC2" w:rsidRPr="00BA7554">
        <w:rPr>
          <w:noProof/>
        </w:rPr>
        <w:t>, a fim de aplicar o mais recente conjunto de normas internacionais do Comité de Basileia de Supervisão Bancária (Basileia III). Essas normas conduziram à adoção do Regulamento de Execução (UE) 2024/3117 da Comissão</w:t>
      </w:r>
      <w:r w:rsidR="00430BC2" w:rsidRPr="00BA7554">
        <w:rPr>
          <w:rStyle w:val="FootnoteReference"/>
          <w:noProof/>
        </w:rPr>
        <w:footnoteReference w:id="3"/>
      </w:r>
      <w:r w:rsidR="00430BC2" w:rsidRPr="00BA7554">
        <w:rPr>
          <w:noProof/>
        </w:rPr>
        <w:t>, que estabelece normas técnicas de execução para a aplicação do Regulamento (UE) n.º 575/2013 no que respeita ao reporte para fins de supervisão das instituições.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(2)</w:t>
      </w:r>
      <w:r w:rsidRPr="00DA09C2">
        <w:rPr>
          <w:noProof/>
        </w:rPr>
        <w:tab/>
      </w:r>
      <w:r w:rsidR="00430BC2" w:rsidRPr="00BA7554">
        <w:rPr>
          <w:noProof/>
        </w:rPr>
        <w:t>Tendo em conta as alterações do quadro prudencial quanto aos requisitos de fundos próprios para o risco operacional, são necessários novos modelos de reporte para assegurar que as instituições comunicam informações em conformidade com o novo quadro em vigor. Embora algumas dessas alterações aos modelos de relato já tenham sido introduzidas pelo Regulamento (UE) 2024/3117, a atualização de vários outros modelos só foi possível na sequência de um maior desenvolvimento técnico dos requisitos em matéria de risco operacional, em especial no que respeita à especificação dos componentes do indicador de atividade, aos elementos a excluir do indicador de atividade e ao seu mapeamento para as células de reporte correspondentes.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(3)</w:t>
      </w:r>
      <w:r w:rsidRPr="00DA09C2">
        <w:rPr>
          <w:noProof/>
        </w:rPr>
        <w:tab/>
      </w:r>
      <w:r w:rsidR="00430BC2" w:rsidRPr="00BA7554">
        <w:rPr>
          <w:noProof/>
        </w:rPr>
        <w:t>O Regulamento Delegado (UE) 2025/1496 da Comissão</w:t>
      </w:r>
      <w:r w:rsidR="00430BC2" w:rsidRPr="00BA7554">
        <w:rPr>
          <w:rStyle w:val="FootnoteReference"/>
          <w:noProof/>
        </w:rPr>
        <w:footnoteReference w:id="4"/>
      </w:r>
      <w:r w:rsidR="00430BC2" w:rsidRPr="00BA7554">
        <w:rPr>
          <w:noProof/>
        </w:rPr>
        <w:t xml:space="preserve"> adiou a data de aplicação dos novos requisitos de fundos próprios para o risco de mercado para 1 de janeiro de 2027. Consequentemente, é necessário manter aplicáveis até 31 de dezembro de 2026, sem </w:t>
      </w:r>
      <w:r w:rsidR="00430BC2" w:rsidRPr="00BA7554">
        <w:rPr>
          <w:noProof/>
        </w:rPr>
        <w:lastRenderedPageBreak/>
        <w:t>alterações, os atuais requisitos de comunicação de informações sobre o risco de mercado. Por conseguinte, as disposições transitórias do Regulamento (UE) 2024/3117 devem ser prorrogadas e a revogação das disposições pertinentes do Regulamento de Execução (UE) 2021/451 da Comissão</w:t>
      </w:r>
      <w:r w:rsidR="00430BC2" w:rsidRPr="00BA7554">
        <w:rPr>
          <w:rStyle w:val="FootnoteReference"/>
          <w:noProof/>
        </w:rPr>
        <w:footnoteReference w:id="5"/>
      </w:r>
      <w:r w:rsidR="00430BC2" w:rsidRPr="00BA7554">
        <w:rPr>
          <w:noProof/>
        </w:rPr>
        <w:t xml:space="preserve"> deve ser adiada por mais um ano. 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(4)</w:t>
      </w:r>
      <w:r w:rsidRPr="00DA09C2">
        <w:rPr>
          <w:noProof/>
        </w:rPr>
        <w:tab/>
      </w:r>
      <w:r w:rsidR="00430BC2" w:rsidRPr="00BA7554">
        <w:rPr>
          <w:noProof/>
        </w:rPr>
        <w:t>Por conseguinte, o Regulamento de Execução (UE) 2024/3117 deve ser alterado em conformidade.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(5)</w:t>
      </w:r>
      <w:r w:rsidRPr="00DA09C2">
        <w:rPr>
          <w:noProof/>
        </w:rPr>
        <w:tab/>
      </w:r>
      <w:r w:rsidR="00430BC2" w:rsidRPr="00BA7554">
        <w:rPr>
          <w:noProof/>
        </w:rPr>
        <w:t>O presente regulamento baseia-se nos projetos de normas técnicas de execução apresentados à Comissão pela Autoridade Bancária Europeia (EBA).</w:t>
      </w:r>
    </w:p>
    <w:p w:rsidR="00430BC2" w:rsidRPr="00BA7554" w:rsidRDefault="00DA09C2" w:rsidP="00DA09C2">
      <w:pPr>
        <w:pStyle w:val="ManualConsidrant"/>
        <w:rPr>
          <w:noProof/>
        </w:rPr>
      </w:pPr>
      <w:r w:rsidRPr="00DA09C2">
        <w:rPr>
          <w:noProof/>
        </w:rPr>
        <w:t>(6)</w:t>
      </w:r>
      <w:r w:rsidRPr="00DA09C2">
        <w:rPr>
          <w:noProof/>
        </w:rPr>
        <w:tab/>
      </w:r>
      <w:r w:rsidR="00430BC2" w:rsidRPr="00BA7554">
        <w:rPr>
          <w:noProof/>
        </w:rPr>
        <w:t>A EBA efetuou consultas públicas abertas sobre o projeto de normas técnicas de execução em que o presente regulamento se baseia, analisou os potenciais custos e benefícios associados e solicitou o parecer do Grupo de Partes Interessadas do Setor Bancário criado nos termos do artigo 37.º do Regulamento (UE) n.º 1093/2010 do Parlamento Europeu e do Conselho</w:t>
      </w:r>
      <w:r w:rsidR="00430BC2" w:rsidRPr="00BA7554">
        <w:rPr>
          <w:rStyle w:val="FootnoteReference"/>
          <w:noProof/>
        </w:rPr>
        <w:footnoteReference w:id="6"/>
      </w:r>
      <w:r w:rsidR="004A6260">
        <w:rPr>
          <w:noProof/>
        </w:rPr>
        <w:t>,</w:t>
      </w:r>
    </w:p>
    <w:p w:rsidR="00430BC2" w:rsidRPr="00BA7554" w:rsidRDefault="00430BC2" w:rsidP="004E1EF9">
      <w:pPr>
        <w:pStyle w:val="Formuledadoption"/>
        <w:rPr>
          <w:noProof/>
        </w:rPr>
      </w:pPr>
      <w:r w:rsidRPr="00BA7554">
        <w:rPr>
          <w:noProof/>
        </w:rPr>
        <w:t>ADOTOU O PRESENTE REGULAMENTO:</w:t>
      </w:r>
    </w:p>
    <w:p w:rsidR="00430BC2" w:rsidRPr="00BA7554" w:rsidRDefault="00430BC2" w:rsidP="004E1EF9">
      <w:pPr>
        <w:pStyle w:val="Titrearticle"/>
        <w:rPr>
          <w:noProof/>
        </w:rPr>
      </w:pPr>
      <w:r w:rsidRPr="00BA7554">
        <w:rPr>
          <w:noProof/>
        </w:rPr>
        <w:t>Artigo 1.º</w:t>
      </w:r>
    </w:p>
    <w:p w:rsidR="00430BC2" w:rsidRPr="00BA7554" w:rsidRDefault="00430BC2" w:rsidP="00430BC2">
      <w:pPr>
        <w:rPr>
          <w:noProof/>
        </w:rPr>
      </w:pPr>
      <w:bookmarkStart w:id="4" w:name="_Hlk198544571"/>
      <w:r w:rsidRPr="00BA7554">
        <w:rPr>
          <w:noProof/>
        </w:rPr>
        <w:t>O Regulamento de Execução (UE) 2024/3117</w:t>
      </w:r>
      <w:bookmarkEnd w:id="4"/>
      <w:r w:rsidRPr="00BA7554">
        <w:rPr>
          <w:noProof/>
        </w:rPr>
        <w:t xml:space="preserve"> é alterado do seguinte modo: </w:t>
      </w:r>
    </w:p>
    <w:p w:rsidR="00430BC2" w:rsidRPr="00BA7554" w:rsidRDefault="00DA09C2" w:rsidP="00DA09C2">
      <w:pPr>
        <w:pStyle w:val="Point0"/>
        <w:rPr>
          <w:noProof/>
        </w:rPr>
      </w:pPr>
      <w:r w:rsidRPr="00DA09C2">
        <w:rPr>
          <w:noProof/>
        </w:rPr>
        <w:t>(1)</w:t>
      </w:r>
      <w:r w:rsidRPr="00DA09C2">
        <w:rPr>
          <w:noProof/>
        </w:rPr>
        <w:tab/>
      </w:r>
      <w:r w:rsidR="00430BC2" w:rsidRPr="00BA7554">
        <w:rPr>
          <w:noProof/>
        </w:rPr>
        <w:t>No artigo 5.º, o n.º 4 passa a ter a seguinte redação:</w:t>
      </w:r>
    </w:p>
    <w:p w:rsidR="00430BC2" w:rsidRPr="00BA7554" w:rsidRDefault="00430BC2" w:rsidP="00430BC2">
      <w:pPr>
        <w:pStyle w:val="QuotedNumPar"/>
        <w:rPr>
          <w:noProof/>
        </w:rPr>
      </w:pPr>
      <w:r w:rsidRPr="00BA7554">
        <w:rPr>
          <w:noProof/>
        </w:rPr>
        <w:t>«4. Para efeitos do cálculo dos requisitos de fundos próprios a que se refere o artigo 92.º, n.º 4, alínea b), subalínea i), e alínea c), e o artigo 92.º, n.º 5, alíneas b) e c), do Regulamento (UE) n.º 575/2013, as instituições devem, até 31 de dezembro de 2026, apresentar as informações relativas aos requisitos de fundos próprios ligados ao risco de mercado em conformidade com o artigo 5.º, n.º 12, do Regulamento de Execução (UE) 2021/451.»;</w:t>
      </w:r>
    </w:p>
    <w:p w:rsidR="00430BC2" w:rsidRPr="00BA7554" w:rsidRDefault="00DA09C2" w:rsidP="00DA09C2">
      <w:pPr>
        <w:pStyle w:val="Point0"/>
        <w:rPr>
          <w:noProof/>
        </w:rPr>
      </w:pPr>
      <w:r w:rsidRPr="00DA09C2">
        <w:rPr>
          <w:noProof/>
        </w:rPr>
        <w:t>(2)</w:t>
      </w:r>
      <w:r w:rsidRPr="00DA09C2">
        <w:rPr>
          <w:noProof/>
        </w:rPr>
        <w:tab/>
      </w:r>
      <w:r w:rsidR="00430BC2" w:rsidRPr="00BA7554">
        <w:rPr>
          <w:noProof/>
        </w:rPr>
        <w:t>No artigo 7.º, é aditada a seguinte alínea c):</w:t>
      </w:r>
    </w:p>
    <w:p w:rsidR="00430BC2" w:rsidRPr="00BA7554" w:rsidRDefault="00430BC2" w:rsidP="00430BC2">
      <w:pPr>
        <w:pStyle w:val="QuotedNumPar"/>
        <w:rPr>
          <w:noProof/>
        </w:rPr>
      </w:pPr>
      <w:r w:rsidRPr="00BA7554">
        <w:rPr>
          <w:noProof/>
        </w:rPr>
        <w:t>«c)</w:t>
      </w:r>
      <w:r w:rsidRPr="00BA7554">
        <w:rPr>
          <w:noProof/>
        </w:rPr>
        <w:tab/>
        <w:t>As instituições-mãe na UE devem relatar trimestralmente as informações exigidas no anexo I, modelo C 16.04, relativas às informações sobre as filiais que beneficiam da derrogação prevista no artigo 314.º, n.º 3, do Regulamento (UE) n.º 575/2013.»;</w:t>
      </w:r>
    </w:p>
    <w:p w:rsidR="00430BC2" w:rsidRPr="00BA7554" w:rsidRDefault="00DA09C2" w:rsidP="00DA09C2">
      <w:pPr>
        <w:pStyle w:val="Point0"/>
        <w:rPr>
          <w:noProof/>
        </w:rPr>
      </w:pPr>
      <w:r w:rsidRPr="00DA09C2">
        <w:rPr>
          <w:noProof/>
        </w:rPr>
        <w:t>(3)</w:t>
      </w:r>
      <w:r w:rsidRPr="00DA09C2">
        <w:rPr>
          <w:noProof/>
        </w:rPr>
        <w:tab/>
      </w:r>
      <w:r w:rsidR="00430BC2" w:rsidRPr="00BA7554">
        <w:rPr>
          <w:noProof/>
        </w:rPr>
        <w:t>No artigo 25.º, os n.º</w:t>
      </w:r>
      <w:r w:rsidR="00430BC2" w:rsidRPr="00BA7554">
        <w:rPr>
          <w:noProof/>
          <w:vertAlign w:val="superscript"/>
        </w:rPr>
        <w:t>s</w:t>
      </w:r>
      <w:r w:rsidR="00430BC2" w:rsidRPr="00BA7554">
        <w:rPr>
          <w:noProof/>
        </w:rPr>
        <w:t> 1 e 2 passam a ter a seguinte redação:</w:t>
      </w:r>
    </w:p>
    <w:p w:rsidR="00430BC2" w:rsidRPr="00BA7554" w:rsidRDefault="00430BC2" w:rsidP="00430BC2">
      <w:pPr>
        <w:pStyle w:val="QuotedNumPar"/>
        <w:rPr>
          <w:noProof/>
        </w:rPr>
      </w:pPr>
      <w:r w:rsidRPr="00BA7554">
        <w:rPr>
          <w:noProof/>
        </w:rPr>
        <w:t>«1. O Regulamento de Execução (UE) 2021/451 deixa de ser aplicável a partir de 1 de janeiro de 2025, com exceção do artigo 5.º, n.º 12, e do anexo I, modelos 18 a 24, e do anexo II, parte II, pontos 5.1 a 5.7. O artigo 15.º do Regulamento de Execução (UE) 2021/451 continua a ser aplicável até 31 de dezembro de 2026 apenas para efeitos do artigo 5.º, n.º 4, do presente regulamento.</w:t>
      </w:r>
    </w:p>
    <w:p w:rsidR="00430BC2" w:rsidRPr="00BA7554" w:rsidRDefault="00430BC2" w:rsidP="00430BC2">
      <w:pPr>
        <w:pStyle w:val="QuotedNumPar"/>
        <w:rPr>
          <w:noProof/>
        </w:rPr>
      </w:pPr>
      <w:r w:rsidRPr="00BA7554">
        <w:rPr>
          <w:noProof/>
        </w:rPr>
        <w:t>2. O Regulamento de Execução (UE) 2021/451 é revogado com efeitos a partir de 31 de dezembro de 2026.»;</w:t>
      </w:r>
    </w:p>
    <w:p w:rsidR="00430BC2" w:rsidRPr="00BA7554" w:rsidRDefault="00DA09C2" w:rsidP="00DA09C2">
      <w:pPr>
        <w:pStyle w:val="Point0"/>
        <w:rPr>
          <w:noProof/>
        </w:rPr>
      </w:pPr>
      <w:r w:rsidRPr="00DA09C2">
        <w:rPr>
          <w:noProof/>
        </w:rPr>
        <w:t>(4)</w:t>
      </w:r>
      <w:r w:rsidRPr="00DA09C2">
        <w:rPr>
          <w:noProof/>
        </w:rPr>
        <w:tab/>
      </w:r>
      <w:r w:rsidR="00430BC2" w:rsidRPr="00BA7554">
        <w:rPr>
          <w:noProof/>
        </w:rPr>
        <w:t xml:space="preserve">No anexo I, a secção 1 — «Relato dos fundos próprios e dos requisitos de fundos próprios», é alterada do seguinte modo: </w:t>
      </w:r>
    </w:p>
    <w:p w:rsidR="00430BC2" w:rsidRPr="00BA7554" w:rsidRDefault="00DA09C2" w:rsidP="00DA09C2">
      <w:pPr>
        <w:pStyle w:val="Point1"/>
        <w:rPr>
          <w:noProof/>
        </w:rPr>
      </w:pPr>
      <w:r w:rsidRPr="00DA09C2">
        <w:rPr>
          <w:noProof/>
        </w:rPr>
        <w:t>(a)</w:t>
      </w:r>
      <w:r w:rsidRPr="00DA09C2">
        <w:rPr>
          <w:noProof/>
        </w:rPr>
        <w:tab/>
      </w:r>
      <w:r w:rsidR="00430BC2" w:rsidRPr="00BA7554">
        <w:rPr>
          <w:noProof/>
        </w:rPr>
        <w:t>«O modelo “C 16.01 — RISCO OPERACIONAL — Requisitos de fundos próprios (OPR OF)” é substituído pelo modelo “C 16.01 — RISCO OPERACIONAL — Requisitos de fundos próprios (OPR OF)” constante do anexo do presente regulamento;</w:t>
      </w:r>
    </w:p>
    <w:p w:rsidR="00430BC2" w:rsidRPr="00BA7554" w:rsidRDefault="00DA09C2" w:rsidP="00DA09C2">
      <w:pPr>
        <w:pStyle w:val="Point1"/>
        <w:rPr>
          <w:noProof/>
        </w:rPr>
      </w:pPr>
      <w:r w:rsidRPr="00DA09C2">
        <w:rPr>
          <w:noProof/>
        </w:rPr>
        <w:t>(b)</w:t>
      </w:r>
      <w:r w:rsidRPr="00DA09C2">
        <w:rPr>
          <w:noProof/>
        </w:rPr>
        <w:tab/>
      </w:r>
      <w:r w:rsidR="00430BC2" w:rsidRPr="00BA7554">
        <w:rPr>
          <w:noProof/>
        </w:rPr>
        <w:t>O modelo “C 16.02 — RISCO OPERACIONAL — Componente do indicador de atividade (OPR BIC)”, o modelo “C 16.03 — REPARTIÇÃO DO RISCO OPERACIONAL (OPR BD) — Perdas, despesas, provisões e outros impactos financeiros resultantes de eventos do risco operacional” e o modelo “C 16.04 — RISCO OPERACIONAL — Informações sobre as filiais abrangidas pelo artigo 314.º, n.º 3, do CRR” constantes do anexo do presente regulamento são aditados após o modelo “C 16.01 — RISCO OPERACIONAL — Requisitos de fundos próprios (OPR OF)”».</w:t>
      </w:r>
    </w:p>
    <w:p w:rsidR="00430BC2" w:rsidRPr="00BA7554" w:rsidRDefault="00430BC2" w:rsidP="004E1EF9">
      <w:pPr>
        <w:pStyle w:val="Titrearticle"/>
        <w:rPr>
          <w:noProof/>
        </w:rPr>
      </w:pPr>
      <w:r w:rsidRPr="00BA7554">
        <w:rPr>
          <w:noProof/>
        </w:rPr>
        <w:t>Artigo 2.º</w:t>
      </w:r>
    </w:p>
    <w:p w:rsidR="00430BC2" w:rsidRPr="00BA7554" w:rsidRDefault="00430BC2" w:rsidP="004E1EF9">
      <w:pPr>
        <w:rPr>
          <w:noProof/>
        </w:rPr>
      </w:pPr>
      <w:r w:rsidRPr="00BA7554">
        <w:rPr>
          <w:noProof/>
        </w:rPr>
        <w:t xml:space="preserve">O presente regulamento entra em vigor no vigésimo dia seguinte ao da sua publicação no </w:t>
      </w:r>
      <w:r w:rsidRPr="00BA7554">
        <w:rPr>
          <w:i/>
          <w:noProof/>
        </w:rPr>
        <w:t>Jornal Oficial da União Europeia</w:t>
      </w:r>
      <w:r w:rsidRPr="00BA7554">
        <w:rPr>
          <w:noProof/>
        </w:rPr>
        <w:t>.</w:t>
      </w:r>
    </w:p>
    <w:p w:rsidR="00430BC2" w:rsidRPr="00BA7554" w:rsidRDefault="00430BC2" w:rsidP="004E1EF9">
      <w:pPr>
        <w:pStyle w:val="Applicationdirecte"/>
        <w:rPr>
          <w:noProof/>
        </w:rPr>
      </w:pPr>
      <w:r w:rsidRPr="00BA7554">
        <w:rPr>
          <w:noProof/>
        </w:rPr>
        <w:t>O presente regulamento é obrigatório em todos os seus elementos e diretamente aplicável em todos os Estados-Membros.</w:t>
      </w:r>
    </w:p>
    <w:p w:rsidR="00430BC2" w:rsidRPr="00BA7554" w:rsidRDefault="005B4AED" w:rsidP="00FD1B7E">
      <w:pPr>
        <w:pStyle w:val="Fait"/>
        <w:rPr>
          <w:noProof/>
        </w:rPr>
      </w:pPr>
      <w:r>
        <w:rPr>
          <w:noProof/>
        </w:rPr>
        <w:t>Feito em Bruxelas, em 8.12.2025</w:t>
      </w:r>
    </w:p>
    <w:p w:rsidR="00430BC2" w:rsidRPr="00BA7554" w:rsidRDefault="00430BC2" w:rsidP="00FD1B7E">
      <w:pPr>
        <w:pStyle w:val="Institutionquisigne"/>
        <w:rPr>
          <w:noProof/>
        </w:rPr>
      </w:pPr>
      <w:r w:rsidRPr="00BA7554">
        <w:rPr>
          <w:noProof/>
        </w:rPr>
        <w:tab/>
        <w:t>Pela Comissão</w:t>
      </w:r>
    </w:p>
    <w:p w:rsidR="00CE1BA2" w:rsidRPr="00BA7554" w:rsidRDefault="00BD03C7" w:rsidP="00FD1B7E">
      <w:pPr>
        <w:pStyle w:val="Personnequisigne"/>
        <w:keepNext/>
        <w:rPr>
          <w:noProof/>
        </w:rPr>
      </w:pPr>
      <w:r>
        <w:rPr>
          <w:noProof/>
        </w:rPr>
        <w:tab/>
        <w:t>A Presidente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BA7554" w:rsidRDefault="00430BC2" w:rsidP="00430BC2">
      <w:pPr>
        <w:pStyle w:val="Personnequisigne"/>
        <w:rPr>
          <w:noProof/>
        </w:rPr>
      </w:pPr>
    </w:p>
    <w:sectPr w:rsidR="00430BC2" w:rsidRPr="00BA7554" w:rsidSect="000E6787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Footer"/>
      <w:rPr>
        <w:rFonts w:ascii="Arial" w:hAnsi="Arial" w:cs="Arial"/>
        <w:b/>
        <w:sz w:val="48"/>
      </w:rPr>
    </w:pPr>
    <w:r w:rsidRPr="000E6787">
      <w:rPr>
        <w:rFonts w:ascii="Arial" w:hAnsi="Arial" w:cs="Arial"/>
        <w:b/>
        <w:sz w:val="48"/>
      </w:rPr>
      <w:t>PT</w:t>
    </w:r>
    <w:r w:rsidRPr="000E6787">
      <w:rPr>
        <w:rFonts w:ascii="Arial" w:hAnsi="Arial" w:cs="Arial"/>
        <w:b/>
        <w:sz w:val="48"/>
      </w:rPr>
      <w:tab/>
    </w:r>
    <w:r w:rsidRPr="000E6787">
      <w:rPr>
        <w:rFonts w:ascii="Arial" w:hAnsi="Arial" w:cs="Arial"/>
        <w:b/>
        <w:sz w:val="48"/>
      </w:rPr>
      <w:tab/>
    </w:r>
    <w:r w:rsidRPr="000E6787">
      <w:tab/>
    </w:r>
    <w:r w:rsidRPr="000E6787">
      <w:rPr>
        <w:rFonts w:ascii="Arial" w:hAnsi="Arial" w:cs="Arial"/>
        <w:b/>
        <w:sz w:val="48"/>
      </w:rPr>
      <w:t>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Footer"/>
      <w:rPr>
        <w:rFonts w:ascii="Arial" w:hAnsi="Arial" w:cs="Arial"/>
        <w:b/>
        <w:sz w:val="48"/>
      </w:rPr>
    </w:pPr>
    <w:r w:rsidRPr="000E6787">
      <w:rPr>
        <w:rFonts w:ascii="Arial" w:hAnsi="Arial" w:cs="Arial"/>
        <w:b/>
        <w:sz w:val="48"/>
      </w:rPr>
      <w:t>PT</w:t>
    </w:r>
    <w:r w:rsidRPr="000E6787">
      <w:rPr>
        <w:rFonts w:ascii="Arial" w:hAnsi="Arial" w:cs="Arial"/>
        <w:b/>
        <w:sz w:val="48"/>
      </w:rPr>
      <w:tab/>
    </w:r>
    <w:r w:rsidRPr="000E6787">
      <w:rPr>
        <w:rFonts w:ascii="Arial" w:hAnsi="Arial" w:cs="Arial"/>
        <w:b/>
        <w:sz w:val="48"/>
      </w:rPr>
      <w:tab/>
    </w:r>
    <w:r w:rsidRPr="000E6787">
      <w:tab/>
    </w:r>
    <w:r w:rsidRPr="000E6787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Default="000E678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Footer"/>
      <w:rPr>
        <w:rFonts w:ascii="Arial" w:hAnsi="Arial" w:cs="Arial"/>
        <w:b/>
        <w:sz w:val="48"/>
      </w:rPr>
    </w:pPr>
    <w:r w:rsidRPr="000E6787">
      <w:rPr>
        <w:rFonts w:ascii="Arial" w:hAnsi="Arial" w:cs="Arial"/>
        <w:b/>
        <w:sz w:val="48"/>
      </w:rPr>
      <w:t>PT</w:t>
    </w:r>
    <w:r w:rsidRPr="000E678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D1B7E">
      <w:rPr>
        <w:noProof/>
      </w:rPr>
      <w:t>3</w:t>
    </w:r>
    <w:r>
      <w:fldChar w:fldCharType="end"/>
    </w:r>
    <w:r>
      <w:tab/>
    </w:r>
    <w:r w:rsidRPr="000E6787">
      <w:tab/>
    </w:r>
    <w:r w:rsidRPr="000E6787">
      <w:rPr>
        <w:rFonts w:ascii="Arial" w:hAnsi="Arial" w:cs="Arial"/>
        <w:b/>
        <w:sz w:val="48"/>
      </w:rPr>
      <w:t>PT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Default="000E6787" w:rsidP="000E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BA7554" w:rsidRDefault="00430BC2" w:rsidP="00430BC2">
      <w:pPr>
        <w:pStyle w:val="FootnoteText"/>
      </w:pPr>
      <w:r>
        <w:rPr>
          <w:rStyle w:val="FootnoteReference"/>
        </w:rPr>
        <w:footnoteRef/>
      </w:r>
      <w:r w:rsidRPr="00BA7554">
        <w:tab/>
        <w:t>JO L 176 de 27.6.2013, p. 1, ELI: http://data.europa.eu/eli/reg/2013/575/oj.</w:t>
      </w:r>
    </w:p>
  </w:footnote>
  <w:footnote w:id="2">
    <w:p w:rsidR="00430BC2" w:rsidRPr="00BA7554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 w:rsidRPr="00BA7554">
        <w:tab/>
        <w:t xml:space="preserve">Regulamento (UE) 2024/1623 do Parlamento Europeu e do Conselho, de 31 de maio de 2024, que altera o Regulamento (UE) n.º 575/2013 no que respeita aos requisitos para o risco de crédito, o risco de ajustamento da avaliação de crédito, o risco operacional, o risco de mercado e o limite mínimo do montante total das posições em risco (JO L, 19.6.2024, p.1, ELI: </w:t>
      </w:r>
      <w:bookmarkStart w:id="1" w:name="_Hlk198544494"/>
      <w:r w:rsidRPr="00BA7554">
        <w:t>http://data.europa.eu/eli/reg/2024/1623/oj</w:t>
      </w:r>
      <w:bookmarkEnd w:id="1"/>
      <w:r w:rsidRPr="00BA7554">
        <w:t>).</w:t>
      </w:r>
    </w:p>
  </w:footnote>
  <w:footnote w:id="3">
    <w:p w:rsidR="00430BC2" w:rsidRPr="00BA7554" w:rsidRDefault="00430BC2" w:rsidP="00430BC2">
      <w:pPr>
        <w:pStyle w:val="FootnoteText"/>
      </w:pPr>
      <w:r>
        <w:rPr>
          <w:rStyle w:val="FootnoteReference"/>
        </w:rPr>
        <w:footnoteRef/>
      </w:r>
      <w:r w:rsidRPr="00BA7554">
        <w:tab/>
        <w:t>Regulamento de Execução (UE) 2024/3117 da Comissão, de 29 de novembro de 2024, que estabelece normas técnicas de execução para a aplicação do Regulamento (UE) n.º 575/2013 do Parlamento Europeu e do Conselho no que respeita ao reporte para fins de supervisão das instituições e revoga o Regulamento de Execução (UE) 2021/451 da Comissão (JO L, 2024/3117, 27.12.2024, p.1, ELI: </w:t>
      </w:r>
      <w:bookmarkStart w:id="2" w:name="_Hlk198544532"/>
      <w:r>
        <w:fldChar w:fldCharType="begin"/>
      </w:r>
      <w:r w:rsidRPr="00BA7554">
        <w:instrText>HYPERLINK "http://data.europa.eu/eli/reg_impl/2024/3117/oj" \t "_blank" \o "Permite o acesso a este documento através do seu identificador ELI."</w:instrText>
      </w:r>
      <w:r>
        <w:fldChar w:fldCharType="separate"/>
      </w:r>
      <w:r w:rsidRPr="00BA7554">
        <w:t>http://data.europa.eu/eli/reg_impl/2024/3117/oj</w:t>
      </w:r>
      <w:r>
        <w:fldChar w:fldCharType="end"/>
      </w:r>
      <w:bookmarkEnd w:id="2"/>
      <w:r w:rsidRPr="00BA7554">
        <w:t>).</w:t>
      </w:r>
    </w:p>
  </w:footnote>
  <w:footnote w:id="4">
    <w:p w:rsidR="00430BC2" w:rsidRPr="00BA7554" w:rsidRDefault="00430BC2" w:rsidP="00430BC2">
      <w:pPr>
        <w:pStyle w:val="FootnoteText"/>
      </w:pPr>
      <w:r>
        <w:rPr>
          <w:rStyle w:val="FootnoteReference"/>
        </w:rPr>
        <w:footnoteRef/>
      </w:r>
      <w:r w:rsidRPr="00BA7554">
        <w:tab/>
        <w:t>Regulamento Delegado (UE) 2025/1496 da Comissão, de 12 de junho de 2025, que altera o Regulamento (UE) n.º 575/2013 do Parlamento Europeu e do Conselho no que respeita à data de aplicação dos requisitos de fundos próprios para o risco de mercado (JO L, 2025/1496, 19.9.2025, ELI: http://data.europa.eu/eli/reg_del/2025/1496/oj).</w:t>
      </w:r>
    </w:p>
  </w:footnote>
  <w:footnote w:id="5">
    <w:p w:rsidR="00430BC2" w:rsidRPr="00BA7554" w:rsidRDefault="00430BC2" w:rsidP="00430BC2">
      <w:pPr>
        <w:pStyle w:val="FootnoteText"/>
      </w:pPr>
      <w:r>
        <w:rPr>
          <w:rStyle w:val="FootnoteReference"/>
        </w:rPr>
        <w:footnoteRef/>
      </w:r>
      <w:r w:rsidRPr="00BA7554">
        <w:tab/>
        <w:t xml:space="preserve">Regulamento de Execução (UE) 2021/451 da Comissão, de 17 de dezembro de 2020, que estabelece normas técnicas de execução para a aplicação do Regulamento (UE) n.º 575/2013 do Parlamento Europeu e do Conselho no que diz respeito ao relato para fins de supervisão das instituições e que revoga o Regulamento de Execução (UE) n.º 680/2014 (JO L 97 de 19.3.2021, p. 1, ELI: </w:t>
      </w:r>
      <w:hyperlink r:id="rId1" w:history="1">
        <w:r w:rsidRPr="00BA7554">
          <w:rPr>
            <w:rStyle w:val="Hyperlink"/>
          </w:rPr>
          <w:t>http://data.europa.eu/eli/reg_impl/2021/451/oj</w:t>
        </w:r>
      </w:hyperlink>
      <w:r w:rsidRPr="00BA7554">
        <w:t>).</w:t>
      </w:r>
    </w:p>
  </w:footnote>
  <w:footnote w:id="6">
    <w:p w:rsidR="00430BC2" w:rsidRPr="00BA7554" w:rsidRDefault="00430BC2" w:rsidP="00430BC2">
      <w:pPr>
        <w:pStyle w:val="FootnoteText"/>
      </w:pPr>
      <w:r>
        <w:rPr>
          <w:rStyle w:val="FootnoteReference"/>
        </w:rPr>
        <w:footnoteRef/>
      </w:r>
      <w:r w:rsidRPr="00BA7554">
        <w:tab/>
      </w:r>
      <w:bookmarkStart w:id="3" w:name="_Hlk198544390"/>
      <w:r w:rsidRPr="00BA7554">
        <w:t xml:space="preserve">Regulamento (UE) n.º 1093/2010 do Parlamento Europeu e do Conselho, de 24 de novembro de 2010, que cria uma Autoridade Europeia de Supervisão </w:t>
      </w:r>
      <w:bookmarkEnd w:id="3"/>
      <w:r w:rsidRPr="00BA7554">
        <w:t>(Autoridade Bancária Europeia), altera a Decisão n.º 716/2009/CE e revoga a Decisão 2009/78/CE da Comissão (JO L 331 de 15.12.2010, p. 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Pr="000E6787" w:rsidRDefault="000E6787" w:rsidP="000E67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Default="000E678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7" w:rsidRDefault="000E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5:4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C0F5B20-7FCC-40AB-AB56-0704C8849644"/>
    <w:docVar w:name="LW_COVERPAGE_TYPE" w:val="1"/>
    <w:docVar w:name="LW_CreatedUtc" w:val="2025-10-08T14:24:25.1973363Z"/>
    <w:docVar w:name="LW_CROSSREFERENCE" w:val="&lt;UNUSED&gt;"/>
    <w:docVar w:name="LW_DATE.ADOPT.CP" w:val="de 8.12.2025"/>
    <w:docVar w:name="LW_DATE.ADOPT.CP_DATEFORMAT" w:val="de %DATE%"/>
    <w:docVar w:name="LW_DATE.ADOPT.CP_ISODATE" w:val="2025-12-08"/>
    <w:docVar w:name="LW_DocType" w:val="COM"/>
    <w:docVar w:name="LW_EMISSION" w:val="8.12.2025"/>
    <w:docVar w:name="LW_EMISSION_ISODATE" w:val="2025-12-08"/>
    <w:docVar w:name="LW_EMISSION_LOCATION" w:val="BRX"/>
    <w:docVar w:name="LW_EMISSION_PREFIX" w:val="Bruxela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o relevante para efeitos do EEE)"/>
    <w:docVar w:name="LW_LANGUE" w:val="PT"/>
    <w:docVar w:name="LW_LANGUESFAISANTFOI.CP" w:val="&lt;UNUSED&gt;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que altera as normas técnicas de execução estabelecidas no Regulamento de Execução (UE) 2024/3117 no que respeita ao relato para fins de supervisão do risco operacional das instituições"/>
    <w:docVar w:name="LW_TYPE.DOC.CP" w:val="REGULAMENTO DE EXECUÇÃO (UE) \u8230?/... DA COMISSÃO"/>
    <w:docVar w:name="LwApiVersions" w:val="LW4CoDe 1.24.5.0; LW 9.2, Build 20251112"/>
  </w:docVars>
  <w:rsids>
    <w:rsidRoot w:val="00430BC2"/>
    <w:rsid w:val="00017C96"/>
    <w:rsid w:val="00017FD1"/>
    <w:rsid w:val="0004435A"/>
    <w:rsid w:val="00050CA3"/>
    <w:rsid w:val="00084B98"/>
    <w:rsid w:val="000B76CF"/>
    <w:rsid w:val="000E6787"/>
    <w:rsid w:val="000F62F3"/>
    <w:rsid w:val="001065F5"/>
    <w:rsid w:val="001238EF"/>
    <w:rsid w:val="00133705"/>
    <w:rsid w:val="0013628A"/>
    <w:rsid w:val="00143280"/>
    <w:rsid w:val="00151C13"/>
    <w:rsid w:val="00197613"/>
    <w:rsid w:val="001D62CB"/>
    <w:rsid w:val="00233DC7"/>
    <w:rsid w:val="00247779"/>
    <w:rsid w:val="00285BEE"/>
    <w:rsid w:val="00285D3C"/>
    <w:rsid w:val="0029533F"/>
    <w:rsid w:val="002B30AF"/>
    <w:rsid w:val="002C0684"/>
    <w:rsid w:val="002E5318"/>
    <w:rsid w:val="002F441D"/>
    <w:rsid w:val="0033344A"/>
    <w:rsid w:val="00347694"/>
    <w:rsid w:val="0038150A"/>
    <w:rsid w:val="0042648E"/>
    <w:rsid w:val="00430BC2"/>
    <w:rsid w:val="004404AB"/>
    <w:rsid w:val="00445072"/>
    <w:rsid w:val="00487D9D"/>
    <w:rsid w:val="004936D2"/>
    <w:rsid w:val="004A6260"/>
    <w:rsid w:val="005152A4"/>
    <w:rsid w:val="00532743"/>
    <w:rsid w:val="0055312E"/>
    <w:rsid w:val="00561998"/>
    <w:rsid w:val="00562257"/>
    <w:rsid w:val="005A699A"/>
    <w:rsid w:val="005B1EB6"/>
    <w:rsid w:val="005B4AED"/>
    <w:rsid w:val="006A3A74"/>
    <w:rsid w:val="006E521C"/>
    <w:rsid w:val="006F3E02"/>
    <w:rsid w:val="0076425B"/>
    <w:rsid w:val="00773331"/>
    <w:rsid w:val="007932EF"/>
    <w:rsid w:val="007E05B0"/>
    <w:rsid w:val="007F6A47"/>
    <w:rsid w:val="00847BAB"/>
    <w:rsid w:val="0085624E"/>
    <w:rsid w:val="00874D22"/>
    <w:rsid w:val="00883B63"/>
    <w:rsid w:val="0089317B"/>
    <w:rsid w:val="008A2914"/>
    <w:rsid w:val="008E4D8E"/>
    <w:rsid w:val="00957BDE"/>
    <w:rsid w:val="009F2131"/>
    <w:rsid w:val="00A25D53"/>
    <w:rsid w:val="00A362F7"/>
    <w:rsid w:val="00A50C30"/>
    <w:rsid w:val="00A66971"/>
    <w:rsid w:val="00A9563C"/>
    <w:rsid w:val="00AC2E30"/>
    <w:rsid w:val="00AD7C0F"/>
    <w:rsid w:val="00AE3DBA"/>
    <w:rsid w:val="00B33557"/>
    <w:rsid w:val="00B40F1A"/>
    <w:rsid w:val="00B443FE"/>
    <w:rsid w:val="00BA7554"/>
    <w:rsid w:val="00BC6C63"/>
    <w:rsid w:val="00BD03C7"/>
    <w:rsid w:val="00C12301"/>
    <w:rsid w:val="00C5663D"/>
    <w:rsid w:val="00C84FA7"/>
    <w:rsid w:val="00C862B2"/>
    <w:rsid w:val="00CA144D"/>
    <w:rsid w:val="00CE1BA2"/>
    <w:rsid w:val="00D03513"/>
    <w:rsid w:val="00D04F57"/>
    <w:rsid w:val="00D20381"/>
    <w:rsid w:val="00D73DD0"/>
    <w:rsid w:val="00D97489"/>
    <w:rsid w:val="00DA09C2"/>
    <w:rsid w:val="00E25411"/>
    <w:rsid w:val="00E56C12"/>
    <w:rsid w:val="00EF7266"/>
    <w:rsid w:val="00F47C85"/>
    <w:rsid w:val="00F5280A"/>
    <w:rsid w:val="00FC38F8"/>
    <w:rsid w:val="00F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E6787"/>
    <w:rPr>
      <w:rFonts w:ascii="Times New Roman" w:hAnsi="Times New Roman" w:cs="Times New Roman"/>
      <w:sz w:val="24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0E6787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t-P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E6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E6787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E6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7"/>
      </w:numPr>
    </w:pPr>
  </w:style>
  <w:style w:type="paragraph" w:customStyle="1" w:styleId="Tiret1">
    <w:name w:val="Tiret 1"/>
    <w:basedOn w:val="Point1"/>
    <w:pPr>
      <w:numPr>
        <w:numId w:val="8"/>
      </w:numPr>
    </w:pPr>
  </w:style>
  <w:style w:type="paragraph" w:customStyle="1" w:styleId="Tiret2">
    <w:name w:val="Tiret 2"/>
    <w:basedOn w:val="Point2"/>
    <w:pPr>
      <w:numPr>
        <w:numId w:val="9"/>
      </w:numPr>
    </w:pPr>
  </w:style>
  <w:style w:type="paragraph" w:customStyle="1" w:styleId="Tiret3">
    <w:name w:val="Tiret 3"/>
    <w:basedOn w:val="Point3"/>
    <w:pPr>
      <w:numPr>
        <w:numId w:val="10"/>
      </w:numPr>
    </w:pPr>
  </w:style>
  <w:style w:type="paragraph" w:customStyle="1" w:styleId="Tiret4">
    <w:name w:val="Tiret 4"/>
    <w:basedOn w:val="Point4"/>
    <w:pPr>
      <w:numPr>
        <w:numId w:val="11"/>
      </w:numPr>
    </w:pPr>
  </w:style>
  <w:style w:type="paragraph" w:customStyle="1" w:styleId="Tiret5">
    <w:name w:val="Tiret 5"/>
    <w:basedOn w:val="Point5"/>
    <w:pPr>
      <w:numPr>
        <w:numId w:val="1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3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3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3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5"/>
      </w:numPr>
    </w:pPr>
  </w:style>
  <w:style w:type="paragraph" w:customStyle="1" w:styleId="Point1number">
    <w:name w:val="Point 1 (number)"/>
    <w:basedOn w:val="Normal"/>
    <w:pPr>
      <w:numPr>
        <w:ilvl w:val="2"/>
        <w:numId w:val="15"/>
      </w:numPr>
    </w:pPr>
  </w:style>
  <w:style w:type="paragraph" w:customStyle="1" w:styleId="Point2number">
    <w:name w:val="Point 2 (number)"/>
    <w:basedOn w:val="Normal"/>
    <w:pPr>
      <w:numPr>
        <w:ilvl w:val="4"/>
        <w:numId w:val="15"/>
      </w:numPr>
    </w:pPr>
  </w:style>
  <w:style w:type="paragraph" w:customStyle="1" w:styleId="Point3number">
    <w:name w:val="Point 3 (number)"/>
    <w:basedOn w:val="Normal"/>
    <w:pPr>
      <w:numPr>
        <w:ilvl w:val="6"/>
        <w:numId w:val="15"/>
      </w:numPr>
    </w:pPr>
  </w:style>
  <w:style w:type="paragraph" w:customStyle="1" w:styleId="Point0letter">
    <w:name w:val="Point 0 (letter)"/>
    <w:basedOn w:val="Normal"/>
    <w:pPr>
      <w:numPr>
        <w:ilvl w:val="1"/>
        <w:numId w:val="15"/>
      </w:numPr>
    </w:pPr>
  </w:style>
  <w:style w:type="paragraph" w:customStyle="1" w:styleId="Point1letter">
    <w:name w:val="Point 1 (letter)"/>
    <w:basedOn w:val="Normal"/>
    <w:pPr>
      <w:numPr>
        <w:ilvl w:val="3"/>
        <w:numId w:val="15"/>
      </w:numPr>
    </w:pPr>
  </w:style>
  <w:style w:type="paragraph" w:customStyle="1" w:styleId="Point2letter">
    <w:name w:val="Point 2 (letter)"/>
    <w:basedOn w:val="Normal"/>
    <w:pPr>
      <w:numPr>
        <w:ilvl w:val="5"/>
        <w:numId w:val="15"/>
      </w:numPr>
    </w:pPr>
  </w:style>
  <w:style w:type="paragraph" w:customStyle="1" w:styleId="Point3letter">
    <w:name w:val="Point 3 (letter)"/>
    <w:basedOn w:val="Normal"/>
    <w:pPr>
      <w:numPr>
        <w:ilvl w:val="7"/>
        <w:numId w:val="15"/>
      </w:numPr>
    </w:pPr>
  </w:style>
  <w:style w:type="paragraph" w:customStyle="1" w:styleId="Point4letter">
    <w:name w:val="Point 4 (letter)"/>
    <w:basedOn w:val="Normal"/>
    <w:pPr>
      <w:numPr>
        <w:ilvl w:val="8"/>
        <w:numId w:val="15"/>
      </w:numPr>
    </w:pPr>
  </w:style>
  <w:style w:type="paragraph" w:customStyle="1" w:styleId="Bullet0">
    <w:name w:val="Bullet 0"/>
    <w:basedOn w:val="Normal"/>
    <w:pPr>
      <w:numPr>
        <w:numId w:val="16"/>
      </w:numPr>
    </w:pPr>
  </w:style>
  <w:style w:type="paragraph" w:customStyle="1" w:styleId="Bullet1">
    <w:name w:val="Bullet 1"/>
    <w:basedOn w:val="Normal"/>
    <w:pPr>
      <w:numPr>
        <w:numId w:val="17"/>
      </w:numPr>
    </w:pPr>
  </w:style>
  <w:style w:type="paragraph" w:customStyle="1" w:styleId="Bullet2">
    <w:name w:val="Bullet 2"/>
    <w:basedOn w:val="Normal"/>
    <w:pPr>
      <w:numPr>
        <w:numId w:val="18"/>
      </w:numPr>
    </w:pPr>
  </w:style>
  <w:style w:type="paragraph" w:customStyle="1" w:styleId="Bullet3">
    <w:name w:val="Bullet 3"/>
    <w:basedOn w:val="Normal"/>
    <w:pPr>
      <w:numPr>
        <w:numId w:val="19"/>
      </w:numPr>
    </w:pPr>
  </w:style>
  <w:style w:type="paragraph" w:customStyle="1" w:styleId="Bullet4">
    <w:name w:val="Bullet 4"/>
    <w:basedOn w:val="Normal"/>
    <w:pPr>
      <w:numPr>
        <w:numId w:val="2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E6787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0E6787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E678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0E6787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5FC70-76C2-417E-8D51-4327CFBCB208}"/>
</file>

<file path=customXml/itemProps2.xml><?xml version="1.0" encoding="utf-8"?>
<ds:datastoreItem xmlns:ds="http://schemas.openxmlformats.org/officeDocument/2006/customXml" ds:itemID="{05738079-7425-419F-BFF4-E359E94D5BAB}"/>
</file>

<file path=customXml/itemProps3.xml><?xml version="1.0" encoding="utf-8"?>
<ds:datastoreItem xmlns:ds="http://schemas.openxmlformats.org/officeDocument/2006/customXml" ds:itemID="{13FA57DB-0261-435D-9689-64D88DC5A9E8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7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36</cp:revision>
  <dcterms:created xsi:type="dcterms:W3CDTF">2025-11-19T12:59:00Z</dcterms:created>
  <dcterms:modified xsi:type="dcterms:W3CDTF">2025-12-02T09:05:00Z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