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100170" w:rsidRDefault="0063015E" w:rsidP="0063015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9914A9C-E302-4D37-8A7C-BDD9770BD25A" style="width:455.25pt;height:330.75pt">
            <v:imagedata r:id="rId7" o:title=""/>
          </v:shape>
        </w:pict>
      </w:r>
    </w:p>
    <w:p w:rsidR="00430BC2" w:rsidRPr="00100170" w:rsidRDefault="00430BC2">
      <w:pPr>
        <w:rPr>
          <w:noProof/>
        </w:rPr>
        <w:sectPr w:rsidR="00430BC2" w:rsidRPr="00100170" w:rsidSect="0063015E">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100170" w:rsidRDefault="00100170" w:rsidP="00100170">
      <w:pPr>
        <w:pStyle w:val="Typedudocument"/>
        <w:rPr>
          <w:noProof/>
        </w:rPr>
      </w:pPr>
      <w:bookmarkStart w:id="0" w:name="_GoBack"/>
      <w:bookmarkEnd w:id="0"/>
      <w:r w:rsidRPr="00100170">
        <w:rPr>
          <w:noProof/>
        </w:rPr>
        <w:lastRenderedPageBreak/>
        <w:t>KOMISIJOS ĮGYVENDINIMO REGLAMENTAS (ES) …/...</w:t>
      </w:r>
    </w:p>
    <w:p w:rsidR="00430BC2" w:rsidRPr="00100170" w:rsidRDefault="00B76E91" w:rsidP="00100170">
      <w:pPr>
        <w:pStyle w:val="Datedadoption"/>
        <w:rPr>
          <w:noProof/>
        </w:rPr>
      </w:pPr>
      <w:r>
        <w:rPr>
          <w:noProof/>
        </w:rPr>
        <w:t>2025 12 08</w:t>
      </w:r>
    </w:p>
    <w:p w:rsidR="00430BC2" w:rsidRPr="00100170" w:rsidRDefault="00100170" w:rsidP="00100170">
      <w:pPr>
        <w:pStyle w:val="Titreobjet"/>
        <w:rPr>
          <w:noProof/>
        </w:rPr>
      </w:pPr>
      <w:r w:rsidRPr="00100170">
        <w:rPr>
          <w:noProof/>
        </w:rPr>
        <w:t>kuriuo dėl įstaigų priežiūros ataskaitų dėl operacinės rizikos teikimo iš dalies keičiami Įgyvendinimo reglamente (ES) 2024/3117 nustatyti techniniai įgyvendinimo standartai</w:t>
      </w:r>
    </w:p>
    <w:p w:rsidR="00430BC2" w:rsidRPr="00100170" w:rsidRDefault="00100170" w:rsidP="00100170">
      <w:pPr>
        <w:pStyle w:val="IntrtEEE"/>
        <w:rPr>
          <w:noProof/>
        </w:rPr>
      </w:pPr>
      <w:r w:rsidRPr="00100170">
        <w:rPr>
          <w:noProof/>
        </w:rPr>
        <w:t>(Tekstas svarbus EEE)</w:t>
      </w:r>
    </w:p>
    <w:p w:rsidR="00430BC2" w:rsidRPr="00100170" w:rsidRDefault="00430BC2" w:rsidP="004E1EF9">
      <w:pPr>
        <w:pStyle w:val="Institutionquiagit"/>
        <w:rPr>
          <w:noProof/>
        </w:rPr>
      </w:pPr>
      <w:r w:rsidRPr="00100170">
        <w:rPr>
          <w:noProof/>
        </w:rPr>
        <w:t>EUROPOS KOMISIJA,</w:t>
      </w:r>
    </w:p>
    <w:p w:rsidR="00430BC2" w:rsidRPr="00100170" w:rsidRDefault="00430BC2" w:rsidP="004E1EF9">
      <w:pPr>
        <w:rPr>
          <w:noProof/>
        </w:rPr>
      </w:pPr>
      <w:r w:rsidRPr="00100170">
        <w:rPr>
          <w:noProof/>
        </w:rPr>
        <w:t>atsižvelgdama į 2013 m. birželio 26 d. Europos Parlamento ir Tarybos reglamentą (ES) Nr. 575/2013 dėl riziką ribojančių reikalavimų kredito įstaigoms, kuriuo iš dalies keičiamas Reglamentas (ES) Nr. 648/2012</w:t>
      </w:r>
      <w:r w:rsidRPr="00100170">
        <w:rPr>
          <w:rStyle w:val="FootnoteReference"/>
          <w:noProof/>
        </w:rPr>
        <w:footnoteReference w:id="1"/>
      </w:r>
      <w:r w:rsidRPr="00100170">
        <w:rPr>
          <w:noProof/>
        </w:rPr>
        <w:t>, ypač į jo 430 straipsnio 7 dalies penktą pastraipą,</w:t>
      </w:r>
    </w:p>
    <w:p w:rsidR="00430BC2" w:rsidRPr="00100170" w:rsidRDefault="00430BC2" w:rsidP="004E1EF9">
      <w:pPr>
        <w:rPr>
          <w:noProof/>
        </w:rPr>
      </w:pPr>
      <w:r w:rsidRPr="00100170">
        <w:rPr>
          <w:noProof/>
        </w:rPr>
        <w:t>kadangi:</w:t>
      </w:r>
    </w:p>
    <w:p w:rsidR="00430BC2" w:rsidRPr="00100170" w:rsidRDefault="0099429F" w:rsidP="0099429F">
      <w:pPr>
        <w:pStyle w:val="ManualConsidrant"/>
        <w:rPr>
          <w:noProof/>
        </w:rPr>
      </w:pPr>
      <w:r w:rsidRPr="0099429F">
        <w:rPr>
          <w:noProof/>
        </w:rPr>
        <w:t>(1)</w:t>
      </w:r>
      <w:r w:rsidRPr="0099429F">
        <w:rPr>
          <w:noProof/>
        </w:rPr>
        <w:tab/>
      </w:r>
      <w:r w:rsidR="00430BC2" w:rsidRPr="00100170">
        <w:rPr>
          <w:noProof/>
        </w:rPr>
        <w:t>Reglamentas (ES) Nr. 575/2013 buvo iš dalies pakeistas Europos Parlamento ir Tarybos reglamentu (ES) 2024/1623</w:t>
      </w:r>
      <w:r w:rsidR="00430BC2" w:rsidRPr="00100170">
        <w:rPr>
          <w:rStyle w:val="FootnoteReference"/>
          <w:noProof/>
        </w:rPr>
        <w:footnoteReference w:id="2"/>
      </w:r>
      <w:r w:rsidR="00430BC2" w:rsidRPr="00100170">
        <w:rPr>
          <w:noProof/>
        </w:rPr>
        <w:t>, siekiant įgyvendinti naujausią Bazelio bankų priežiūros komiteto standartų rinkinį („Bazelis III“). Dėl tų standartų buvo priimtas Komisijos įgyvendinimo reglamentas (ES) 2024/3117</w:t>
      </w:r>
      <w:r w:rsidR="00430BC2" w:rsidRPr="00100170">
        <w:rPr>
          <w:rStyle w:val="FootnoteReference"/>
          <w:noProof/>
        </w:rPr>
        <w:footnoteReference w:id="3"/>
      </w:r>
      <w:r w:rsidR="00430BC2" w:rsidRPr="00100170">
        <w:rPr>
          <w:noProof/>
        </w:rPr>
        <w:t>, kuriuo nustatomi Reglamento (ES) Nr. 575/2013 taikymo įstaigų priežiūros ataskaitų teikimo srityje techniniai įgyvendinimo standartai;</w:t>
      </w:r>
    </w:p>
    <w:p w:rsidR="00430BC2" w:rsidRPr="00100170" w:rsidRDefault="0099429F" w:rsidP="0099429F">
      <w:pPr>
        <w:pStyle w:val="ManualConsidrant"/>
        <w:rPr>
          <w:noProof/>
        </w:rPr>
      </w:pPr>
      <w:r w:rsidRPr="0099429F">
        <w:rPr>
          <w:noProof/>
        </w:rPr>
        <w:t>(2)</w:t>
      </w:r>
      <w:r w:rsidRPr="0099429F">
        <w:rPr>
          <w:noProof/>
        </w:rPr>
        <w:tab/>
      </w:r>
      <w:r w:rsidR="00430BC2" w:rsidRPr="00100170">
        <w:rPr>
          <w:noProof/>
        </w:rPr>
        <w:t>atsižvelgiant į nuosavų lėšų reikalavimų operacinei rizikai padengti prudencinės sistemos pakeitimus, buvo reikalingos naujos ataskaitų teikimo formos, siekiant užtikrinti, kad įstaigos teiktų ataskaitas pagal galiojančią naują sistemą. Nors kai kurie iš tų ataskaitų teikimo formų pakeitimų jau buvo padaryti Reglamentu (ES) 2024/3117, kelias kitas formas buvo galima atnaujinti tik toliau techniškai išplėtojus operacinės rizikos reikalavimus, visų pirma susijusius su veiklos rodiklio komponentų, elementų, kurie neturi būti įtraukti į veiklos rodiklį, nustatymu ir jų priskyrimu prie atitinkamų ataskaitų langelių;</w:t>
      </w:r>
    </w:p>
    <w:p w:rsidR="00430BC2" w:rsidRPr="00100170" w:rsidRDefault="0099429F" w:rsidP="0099429F">
      <w:pPr>
        <w:pStyle w:val="ManualConsidrant"/>
        <w:rPr>
          <w:noProof/>
        </w:rPr>
      </w:pPr>
      <w:r w:rsidRPr="0099429F">
        <w:rPr>
          <w:noProof/>
        </w:rPr>
        <w:t>(3)</w:t>
      </w:r>
      <w:r w:rsidRPr="0099429F">
        <w:rPr>
          <w:noProof/>
        </w:rPr>
        <w:tab/>
      </w:r>
      <w:r w:rsidR="00430BC2" w:rsidRPr="00100170">
        <w:rPr>
          <w:noProof/>
        </w:rPr>
        <w:t>Komisijos deleguotuoju reglamentu (ES) 2025/1496</w:t>
      </w:r>
      <w:r w:rsidR="00430BC2" w:rsidRPr="00100170">
        <w:rPr>
          <w:rStyle w:val="FootnoteReference"/>
          <w:noProof/>
        </w:rPr>
        <w:footnoteReference w:id="4"/>
      </w:r>
      <w:r w:rsidR="00430BC2" w:rsidRPr="00100170">
        <w:rPr>
          <w:noProof/>
        </w:rPr>
        <w:t xml:space="preserve"> nuosavų lėšų reikalavimų rinkos rizikai padengti taikymo pradžios data buvo atidėta iki 2027 m. sausio 1 d. Taigi, būtina išlaikyti nepakitusius esamus ataskaitų dėl rinkos rizikos teikimo reikalavimus, kurie taikomi iki 2026 m. gruodžio 31 d. Todėl Reglamento (ES) 2024/3117 pereinamojo laikotarpio nuostatų galiojimas turėtų būti pratęstas, o atitinkamų Komisijos įgyvendinimo reglamento (ES) 2021/451</w:t>
      </w:r>
      <w:r w:rsidR="00430BC2" w:rsidRPr="00100170">
        <w:rPr>
          <w:rStyle w:val="FootnoteReference"/>
          <w:noProof/>
        </w:rPr>
        <w:footnoteReference w:id="5"/>
      </w:r>
      <w:r w:rsidR="00430BC2" w:rsidRPr="00100170">
        <w:rPr>
          <w:noProof/>
        </w:rPr>
        <w:t xml:space="preserve"> nuostatų panaikinimas turėtų būti atidėtas dar vieniems metams; </w:t>
      </w:r>
    </w:p>
    <w:p w:rsidR="00430BC2" w:rsidRPr="00100170" w:rsidRDefault="0099429F" w:rsidP="0099429F">
      <w:pPr>
        <w:pStyle w:val="ManualConsidrant"/>
        <w:rPr>
          <w:noProof/>
        </w:rPr>
      </w:pPr>
      <w:r w:rsidRPr="0099429F">
        <w:rPr>
          <w:noProof/>
        </w:rPr>
        <w:t>(4)</w:t>
      </w:r>
      <w:r w:rsidRPr="0099429F">
        <w:rPr>
          <w:noProof/>
        </w:rPr>
        <w:tab/>
      </w:r>
      <w:r w:rsidR="00430BC2" w:rsidRPr="00100170">
        <w:rPr>
          <w:noProof/>
        </w:rPr>
        <w:t>todėl Įgyvendinimo reglamentas (ES) 2024/3117 turėtų būti atitinkamai iš dalies pakeistas;</w:t>
      </w:r>
    </w:p>
    <w:p w:rsidR="00430BC2" w:rsidRPr="00100170" w:rsidRDefault="0099429F" w:rsidP="0099429F">
      <w:pPr>
        <w:pStyle w:val="ManualConsidrant"/>
        <w:rPr>
          <w:noProof/>
        </w:rPr>
      </w:pPr>
      <w:r w:rsidRPr="0099429F">
        <w:rPr>
          <w:noProof/>
        </w:rPr>
        <w:t>(5)</w:t>
      </w:r>
      <w:r w:rsidRPr="0099429F">
        <w:rPr>
          <w:noProof/>
        </w:rPr>
        <w:tab/>
      </w:r>
      <w:r w:rsidR="00430BC2" w:rsidRPr="00100170">
        <w:rPr>
          <w:noProof/>
        </w:rPr>
        <w:t>šis reglamentas grindžiamas Europos bankininkystės institucijos (EBI) Komisijai pateiktais techninių įgyvendinimo standartų projektais;</w:t>
      </w:r>
    </w:p>
    <w:p w:rsidR="00430BC2" w:rsidRPr="00100170" w:rsidRDefault="0099429F" w:rsidP="0099429F">
      <w:pPr>
        <w:pStyle w:val="ManualConsidrant"/>
        <w:rPr>
          <w:noProof/>
        </w:rPr>
      </w:pPr>
      <w:r w:rsidRPr="0099429F">
        <w:rPr>
          <w:noProof/>
        </w:rPr>
        <w:t>(6)</w:t>
      </w:r>
      <w:r w:rsidRPr="0099429F">
        <w:rPr>
          <w:noProof/>
        </w:rPr>
        <w:tab/>
      </w:r>
      <w:r w:rsidR="00430BC2" w:rsidRPr="00100170">
        <w:rPr>
          <w:noProof/>
        </w:rPr>
        <w:t>EBI dėl techninių įgyvendinimo standartų projektų, kuriais pagrįstas šis reglamentas, surengė atviras viešas konsultacijas, išnagrinėjo galimas susijusias sąnaudas ir naudą ir paprašė Bankininkystės suinteresuotųjų subjektų grupės, įsteigtos pagal Europos Parlamento ir Tarybos reglamento (ES) Nr. 1093/2010</w:t>
      </w:r>
      <w:r w:rsidR="00430BC2" w:rsidRPr="00100170">
        <w:rPr>
          <w:rStyle w:val="FootnoteReference"/>
          <w:noProof/>
        </w:rPr>
        <w:footnoteReference w:id="6"/>
      </w:r>
      <w:r w:rsidR="00430BC2" w:rsidRPr="00100170">
        <w:rPr>
          <w:noProof/>
        </w:rPr>
        <w:t xml:space="preserve"> 37 straipsnį, pateikti savo nuomonę,</w:t>
      </w:r>
    </w:p>
    <w:p w:rsidR="00430BC2" w:rsidRPr="00100170" w:rsidRDefault="00430BC2" w:rsidP="004E1EF9">
      <w:pPr>
        <w:pStyle w:val="Formuledadoption"/>
        <w:rPr>
          <w:noProof/>
        </w:rPr>
      </w:pPr>
      <w:r w:rsidRPr="00100170">
        <w:rPr>
          <w:noProof/>
        </w:rPr>
        <w:t>PRIĖMĖ ŠĮ REGLAMENTĄ:</w:t>
      </w:r>
    </w:p>
    <w:p w:rsidR="00430BC2" w:rsidRPr="00100170" w:rsidRDefault="00430BC2" w:rsidP="004E1EF9">
      <w:pPr>
        <w:pStyle w:val="Titrearticle"/>
        <w:rPr>
          <w:noProof/>
        </w:rPr>
      </w:pPr>
      <w:r w:rsidRPr="00100170">
        <w:rPr>
          <w:noProof/>
        </w:rPr>
        <w:t>1 straipsnis</w:t>
      </w:r>
    </w:p>
    <w:p w:rsidR="00430BC2" w:rsidRPr="00100170" w:rsidRDefault="00430BC2" w:rsidP="00430BC2">
      <w:pPr>
        <w:rPr>
          <w:noProof/>
        </w:rPr>
      </w:pPr>
      <w:bookmarkStart w:id="4" w:name="_Hlk198544571"/>
      <w:r w:rsidRPr="00100170">
        <w:rPr>
          <w:noProof/>
        </w:rPr>
        <w:t>Įgyvendinimo reglamentas (ES) 2024/3117</w:t>
      </w:r>
      <w:bookmarkEnd w:id="4"/>
      <w:r w:rsidRPr="00100170">
        <w:rPr>
          <w:noProof/>
        </w:rPr>
        <w:t xml:space="preserve"> iš dalies keičiamas taip: </w:t>
      </w:r>
    </w:p>
    <w:p w:rsidR="00430BC2" w:rsidRPr="00100170" w:rsidRDefault="0099429F" w:rsidP="0099429F">
      <w:pPr>
        <w:pStyle w:val="Point0"/>
        <w:rPr>
          <w:noProof/>
        </w:rPr>
      </w:pPr>
      <w:r w:rsidRPr="0099429F">
        <w:rPr>
          <w:noProof/>
        </w:rPr>
        <w:t>(1)</w:t>
      </w:r>
      <w:r w:rsidRPr="0099429F">
        <w:rPr>
          <w:noProof/>
        </w:rPr>
        <w:tab/>
      </w:r>
      <w:r w:rsidR="00430BC2" w:rsidRPr="00100170">
        <w:rPr>
          <w:noProof/>
        </w:rPr>
        <w:t>5 straipsnio 4 dalis pakeičiama taip:</w:t>
      </w:r>
    </w:p>
    <w:p w:rsidR="00430BC2" w:rsidRPr="00100170" w:rsidRDefault="00430BC2" w:rsidP="00430BC2">
      <w:pPr>
        <w:pStyle w:val="QuotedNumPar"/>
        <w:rPr>
          <w:noProof/>
        </w:rPr>
      </w:pPr>
      <w:r w:rsidRPr="00100170">
        <w:rPr>
          <w:noProof/>
        </w:rPr>
        <w:t>„4. Nuosavų lėšų reikalavimų, nurodytų Reglamento (ES) Nr. 575/2013 92 straipsnio 4 dalies b punkto i papunktyje ir c punkte ir 92 straipsnio 5 dalies b ir c punktuose, apskaičiavimo tikslu įstaigos iki 2026 m. gruodžio 31 d. pateikia informaciją apie nuosavų lėšų reikalavimus, susijusius su rinkos rizika, pagal Įgyvendinimo reglamento (ES) 2021/451 5 straipsnio 12 dalį.“;</w:t>
      </w:r>
    </w:p>
    <w:p w:rsidR="00430BC2" w:rsidRPr="00100170" w:rsidRDefault="0099429F" w:rsidP="0099429F">
      <w:pPr>
        <w:pStyle w:val="Point0"/>
        <w:rPr>
          <w:noProof/>
        </w:rPr>
      </w:pPr>
      <w:r w:rsidRPr="0099429F">
        <w:rPr>
          <w:noProof/>
        </w:rPr>
        <w:t>(2)</w:t>
      </w:r>
      <w:r w:rsidRPr="0099429F">
        <w:rPr>
          <w:noProof/>
        </w:rPr>
        <w:tab/>
      </w:r>
      <w:r w:rsidR="00430BC2" w:rsidRPr="00100170">
        <w:rPr>
          <w:noProof/>
        </w:rPr>
        <w:t>7 straipsnis papildomas c punktu:</w:t>
      </w:r>
    </w:p>
    <w:p w:rsidR="00430BC2" w:rsidRPr="00100170" w:rsidRDefault="00430BC2" w:rsidP="00430BC2">
      <w:pPr>
        <w:pStyle w:val="QuotedNumPar"/>
        <w:rPr>
          <w:noProof/>
        </w:rPr>
      </w:pPr>
      <w:r w:rsidRPr="00100170">
        <w:rPr>
          <w:noProof/>
        </w:rPr>
        <w:t>„c)</w:t>
      </w:r>
      <w:r w:rsidRPr="00100170">
        <w:rPr>
          <w:noProof/>
        </w:rPr>
        <w:tab/>
        <w:t>I priedo C 16.04 formoje reikalaujamą informaciją, susijusią su informacija apie patronuojamąsias įmones, kurioms taikoma Reglamento (ES) Nr. 575/2013 314 straipsnio 3 dalyje numatyta nukrypti leidžianti nuostata, ES patronuojančiosios įstaigos teikia kas ketvirtį.“;</w:t>
      </w:r>
    </w:p>
    <w:p w:rsidR="00430BC2" w:rsidRPr="00100170" w:rsidRDefault="0099429F" w:rsidP="0099429F">
      <w:pPr>
        <w:pStyle w:val="Point0"/>
        <w:rPr>
          <w:noProof/>
        </w:rPr>
      </w:pPr>
      <w:r w:rsidRPr="0099429F">
        <w:rPr>
          <w:noProof/>
        </w:rPr>
        <w:t>(3)</w:t>
      </w:r>
      <w:r w:rsidRPr="0099429F">
        <w:rPr>
          <w:noProof/>
        </w:rPr>
        <w:tab/>
      </w:r>
      <w:r w:rsidR="00430BC2" w:rsidRPr="00100170">
        <w:rPr>
          <w:noProof/>
        </w:rPr>
        <w:t>25 straipsnio 1 ir 2 dalys pakeičiamos taip:</w:t>
      </w:r>
    </w:p>
    <w:p w:rsidR="00430BC2" w:rsidRPr="00100170" w:rsidRDefault="00430BC2" w:rsidP="00430BC2">
      <w:pPr>
        <w:pStyle w:val="QuotedNumPar"/>
        <w:rPr>
          <w:noProof/>
        </w:rPr>
      </w:pPr>
      <w:r w:rsidRPr="00100170">
        <w:rPr>
          <w:noProof/>
        </w:rPr>
        <w:t>„1. Įgyvendinimo reglamentas (ES) 2021/451 nustoja būti taikomas 2025 m. sausio 1 d., išskyrus 5 straipsnio 12 dalį, I priedo 18–24 formas ir II priedo II dalies 5.1–5.7 punktus. Įgyvendinimo reglamento (ES) 2021/451 15 straipsnis toliau taikomas iki 2026 m. gruodžio 31 d. tik šio reglamento 5 straipsnio 4 dalies taikymo tikslais.</w:t>
      </w:r>
    </w:p>
    <w:p w:rsidR="00430BC2" w:rsidRPr="00100170" w:rsidRDefault="00430BC2" w:rsidP="00430BC2">
      <w:pPr>
        <w:pStyle w:val="QuotedNumPar"/>
        <w:rPr>
          <w:noProof/>
        </w:rPr>
      </w:pPr>
      <w:r w:rsidRPr="00100170">
        <w:rPr>
          <w:noProof/>
        </w:rPr>
        <w:t>2. Įgyvendinimo reglamentas (ES) 2021/451 panaikinamas nuo 2026 m. gruodžio 31 d.“;</w:t>
      </w:r>
    </w:p>
    <w:p w:rsidR="00430BC2" w:rsidRPr="00100170" w:rsidRDefault="0099429F" w:rsidP="0099429F">
      <w:pPr>
        <w:pStyle w:val="Point0"/>
        <w:rPr>
          <w:noProof/>
        </w:rPr>
      </w:pPr>
      <w:r w:rsidRPr="0099429F">
        <w:rPr>
          <w:noProof/>
        </w:rPr>
        <w:t>(4)</w:t>
      </w:r>
      <w:r w:rsidRPr="0099429F">
        <w:rPr>
          <w:noProof/>
        </w:rPr>
        <w:tab/>
      </w:r>
      <w:r w:rsidR="00430BC2" w:rsidRPr="00100170">
        <w:rPr>
          <w:noProof/>
        </w:rPr>
        <w:t xml:space="preserve">I priedo 1 skirsnis – „Informacijos apie nuosavas lėšas ir nuosavų lėšų reikalavimus teikimas“ iš dalies keičiamas taip: </w:t>
      </w:r>
    </w:p>
    <w:p w:rsidR="00430BC2" w:rsidRPr="00100170" w:rsidRDefault="0099429F" w:rsidP="0099429F">
      <w:pPr>
        <w:pStyle w:val="Point1"/>
        <w:rPr>
          <w:noProof/>
        </w:rPr>
      </w:pPr>
      <w:r w:rsidRPr="0099429F">
        <w:rPr>
          <w:noProof/>
        </w:rPr>
        <w:t>(a)</w:t>
      </w:r>
      <w:r w:rsidRPr="0099429F">
        <w:rPr>
          <w:noProof/>
        </w:rPr>
        <w:tab/>
      </w:r>
      <w:r w:rsidR="00430BC2" w:rsidRPr="00100170">
        <w:rPr>
          <w:noProof/>
        </w:rPr>
        <w:t xml:space="preserve">forma „C 16.01. OPERACINĖ RIZIKA. NUOSAVŲ </w:t>
      </w:r>
      <w:r w:rsidR="00430BC2" w:rsidRPr="00100170">
        <w:rPr>
          <w:caps/>
          <w:noProof/>
        </w:rPr>
        <w:t>išteklių reikalavimai</w:t>
      </w:r>
      <w:r w:rsidR="00430BC2" w:rsidRPr="00100170">
        <w:rPr>
          <w:noProof/>
        </w:rPr>
        <w:t xml:space="preserve"> (OPR OF)“ pakeičiama šio reglamento priede pateikta forma „C 16.01. OPERACINĖ RIZIKA. NUOSAVŲ </w:t>
      </w:r>
      <w:r w:rsidR="00430BC2" w:rsidRPr="00100170">
        <w:rPr>
          <w:caps/>
          <w:noProof/>
        </w:rPr>
        <w:t>išteklių reikalavimai</w:t>
      </w:r>
      <w:r w:rsidR="00430BC2" w:rsidRPr="00100170">
        <w:rPr>
          <w:noProof/>
        </w:rPr>
        <w:t xml:space="preserve"> (OPR OF)“;</w:t>
      </w:r>
    </w:p>
    <w:p w:rsidR="00430BC2" w:rsidRPr="00100170" w:rsidRDefault="0099429F" w:rsidP="0099429F">
      <w:pPr>
        <w:pStyle w:val="Point1"/>
        <w:rPr>
          <w:noProof/>
        </w:rPr>
      </w:pPr>
      <w:r w:rsidRPr="0099429F">
        <w:rPr>
          <w:noProof/>
        </w:rPr>
        <w:t>(b)</w:t>
      </w:r>
      <w:r w:rsidRPr="0099429F">
        <w:rPr>
          <w:noProof/>
        </w:rPr>
        <w:tab/>
      </w:r>
      <w:r w:rsidR="00430BC2" w:rsidRPr="00100170">
        <w:rPr>
          <w:noProof/>
        </w:rPr>
        <w:t xml:space="preserve">po formos „C 16.01. OPERACINĖ RIZIKA. </w:t>
      </w:r>
      <w:r w:rsidR="00430BC2" w:rsidRPr="00100170">
        <w:rPr>
          <w:caps/>
          <w:noProof/>
        </w:rPr>
        <w:t>NUOSAVŲ išteklių reikalavimai</w:t>
      </w:r>
      <w:r w:rsidR="00430BC2" w:rsidRPr="00100170">
        <w:rPr>
          <w:noProof/>
        </w:rPr>
        <w:t xml:space="preserve"> (OPR OF)“ pridedamos šio reglamento priede pateiktos formos „C 16.02. OPERACINĖ RIZIKA. Veiklos rodiklio komponentas (OPR BIC)“, „C 16.03. OPERACINĖS RIZIKOS SUSKIRSTYMAS (OPR BD). </w:t>
      </w:r>
      <w:r w:rsidR="00430BC2" w:rsidRPr="00100170">
        <w:rPr>
          <w:caps/>
          <w:noProof/>
        </w:rPr>
        <w:t>Nuostoliai, išlaidos, atidėjiniai ir kitas finansinis poveikis, atsirandantys dėl operacinės rizikos įvykių</w:t>
      </w:r>
      <w:r w:rsidR="00430BC2" w:rsidRPr="00100170">
        <w:rPr>
          <w:noProof/>
        </w:rPr>
        <w:t xml:space="preserve">“ ir „C 16.04. OPERACINĖ RIZIKA. </w:t>
      </w:r>
      <w:r w:rsidR="00430BC2" w:rsidRPr="00100170">
        <w:rPr>
          <w:caps/>
          <w:noProof/>
        </w:rPr>
        <w:t>Informacija apie patronuojamąsias įmones, kurioms taikoma KRR 314 straipsnio 3 dalis</w:t>
      </w:r>
      <w:r w:rsidR="00430BC2" w:rsidRPr="00100170">
        <w:rPr>
          <w:noProof/>
        </w:rPr>
        <w:t>“.</w:t>
      </w:r>
    </w:p>
    <w:p w:rsidR="00430BC2" w:rsidRPr="00100170" w:rsidRDefault="00430BC2" w:rsidP="004E1EF9">
      <w:pPr>
        <w:pStyle w:val="Titrearticle"/>
        <w:rPr>
          <w:noProof/>
        </w:rPr>
      </w:pPr>
      <w:r w:rsidRPr="00100170">
        <w:rPr>
          <w:noProof/>
        </w:rPr>
        <w:t>2 straipsnis</w:t>
      </w:r>
    </w:p>
    <w:p w:rsidR="00430BC2" w:rsidRPr="00100170" w:rsidRDefault="00430BC2" w:rsidP="004E1EF9">
      <w:pPr>
        <w:rPr>
          <w:noProof/>
        </w:rPr>
      </w:pPr>
      <w:r w:rsidRPr="00100170">
        <w:rPr>
          <w:noProof/>
        </w:rPr>
        <w:t xml:space="preserve">Šis reglamentas įsigalioja dvidešimtą dieną po jo paskelbimo </w:t>
      </w:r>
      <w:r w:rsidRPr="00100170">
        <w:rPr>
          <w:i/>
          <w:noProof/>
        </w:rPr>
        <w:t>Europos Sąjungos oficialiajame leidinyje</w:t>
      </w:r>
      <w:r w:rsidRPr="00100170">
        <w:rPr>
          <w:noProof/>
        </w:rPr>
        <w:t>.</w:t>
      </w:r>
    </w:p>
    <w:p w:rsidR="00430BC2" w:rsidRPr="00100170" w:rsidRDefault="00430BC2" w:rsidP="004E1EF9">
      <w:pPr>
        <w:pStyle w:val="Applicationdirecte"/>
        <w:rPr>
          <w:noProof/>
        </w:rPr>
      </w:pPr>
      <w:r w:rsidRPr="00100170">
        <w:rPr>
          <w:noProof/>
        </w:rPr>
        <w:t>Šis reglamentas privalomas visas ir tiesiogiai taikomas visose valstybėse narėse.</w:t>
      </w:r>
    </w:p>
    <w:p w:rsidR="00430BC2" w:rsidRPr="00100170" w:rsidRDefault="00B76E91" w:rsidP="008D7CE6">
      <w:pPr>
        <w:pStyle w:val="Fait"/>
        <w:rPr>
          <w:noProof/>
        </w:rPr>
      </w:pPr>
      <w:r>
        <w:rPr>
          <w:noProof/>
        </w:rPr>
        <w:t>Priimta Briuselyje 2025 12 08</w:t>
      </w:r>
    </w:p>
    <w:p w:rsidR="00430BC2" w:rsidRPr="00100170" w:rsidRDefault="00430BC2" w:rsidP="008D7CE6">
      <w:pPr>
        <w:pStyle w:val="Institutionquisigne"/>
        <w:rPr>
          <w:noProof/>
        </w:rPr>
      </w:pPr>
      <w:r w:rsidRPr="00100170">
        <w:rPr>
          <w:noProof/>
        </w:rPr>
        <w:tab/>
        <w:t>Komisijos vardu</w:t>
      </w:r>
    </w:p>
    <w:p w:rsidR="00CE1BA2" w:rsidRPr="00100170" w:rsidRDefault="00497570" w:rsidP="008D7CE6">
      <w:pPr>
        <w:pStyle w:val="Personnequisigne"/>
        <w:keepNext/>
        <w:rPr>
          <w:noProof/>
        </w:rPr>
      </w:pPr>
      <w:r>
        <w:rPr>
          <w:noProof/>
        </w:rPr>
        <w:tab/>
        <w:t>Pirmininkė</w:t>
      </w:r>
      <w:r>
        <w:rPr>
          <w:noProof/>
        </w:rPr>
        <w:br/>
      </w:r>
      <w:r>
        <w:rPr>
          <w:noProof/>
        </w:rPr>
        <w:tab/>
        <w:t>Ursula VON DER LEYEN</w:t>
      </w:r>
    </w:p>
    <w:p w:rsidR="00430BC2" w:rsidRPr="00100170" w:rsidRDefault="00430BC2" w:rsidP="00430BC2">
      <w:pPr>
        <w:pStyle w:val="Personnequisigne"/>
        <w:rPr>
          <w:noProof/>
        </w:rPr>
      </w:pPr>
    </w:p>
    <w:sectPr w:rsidR="00430BC2" w:rsidRPr="00100170" w:rsidSect="0063015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Pr="0063015E" w:rsidRDefault="0063015E" w:rsidP="0063015E">
    <w:pPr>
      <w:pStyle w:val="Footer"/>
      <w:rPr>
        <w:rFonts w:ascii="Arial" w:hAnsi="Arial" w:cs="Arial"/>
        <w:b/>
        <w:sz w:val="48"/>
      </w:rPr>
    </w:pPr>
    <w:r w:rsidRPr="0063015E">
      <w:rPr>
        <w:rFonts w:ascii="Arial" w:hAnsi="Arial" w:cs="Arial"/>
        <w:b/>
        <w:sz w:val="48"/>
      </w:rPr>
      <w:t>LT</w:t>
    </w:r>
    <w:r w:rsidRPr="0063015E">
      <w:rPr>
        <w:rFonts w:ascii="Arial" w:hAnsi="Arial" w:cs="Arial"/>
        <w:b/>
        <w:sz w:val="48"/>
      </w:rPr>
      <w:tab/>
    </w:r>
    <w:r w:rsidRPr="0063015E">
      <w:rPr>
        <w:rFonts w:ascii="Arial" w:hAnsi="Arial" w:cs="Arial"/>
        <w:b/>
        <w:sz w:val="48"/>
      </w:rPr>
      <w:tab/>
    </w:r>
    <w:r w:rsidRPr="0063015E">
      <w:tab/>
    </w:r>
    <w:r w:rsidRPr="0063015E">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Pr="0063015E" w:rsidRDefault="0063015E" w:rsidP="0063015E">
    <w:pPr>
      <w:pStyle w:val="Footer"/>
      <w:rPr>
        <w:rFonts w:ascii="Arial" w:hAnsi="Arial" w:cs="Arial"/>
        <w:b/>
        <w:sz w:val="48"/>
      </w:rPr>
    </w:pPr>
    <w:r w:rsidRPr="0063015E">
      <w:rPr>
        <w:rFonts w:ascii="Arial" w:hAnsi="Arial" w:cs="Arial"/>
        <w:b/>
        <w:sz w:val="48"/>
      </w:rPr>
      <w:t>LT</w:t>
    </w:r>
    <w:r w:rsidRPr="0063015E">
      <w:rPr>
        <w:rFonts w:ascii="Arial" w:hAnsi="Arial" w:cs="Arial"/>
        <w:b/>
        <w:sz w:val="48"/>
      </w:rPr>
      <w:tab/>
    </w:r>
    <w:r w:rsidRPr="0063015E">
      <w:rPr>
        <w:rFonts w:ascii="Arial" w:hAnsi="Arial" w:cs="Arial"/>
        <w:b/>
        <w:sz w:val="48"/>
      </w:rPr>
      <w:tab/>
    </w:r>
    <w:r w:rsidRPr="0063015E">
      <w:tab/>
    </w:r>
    <w:r w:rsidRPr="0063015E">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Pr="0063015E" w:rsidRDefault="0063015E" w:rsidP="006301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Default="006301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Pr="0063015E" w:rsidRDefault="0063015E" w:rsidP="0063015E">
    <w:pPr>
      <w:pStyle w:val="Footer"/>
      <w:rPr>
        <w:rFonts w:ascii="Arial" w:hAnsi="Arial" w:cs="Arial"/>
        <w:b/>
        <w:sz w:val="48"/>
      </w:rPr>
    </w:pPr>
    <w:r w:rsidRPr="0063015E">
      <w:rPr>
        <w:rFonts w:ascii="Arial" w:hAnsi="Arial" w:cs="Arial"/>
        <w:b/>
        <w:sz w:val="48"/>
      </w:rPr>
      <w:t>LT</w:t>
    </w:r>
    <w:r w:rsidRPr="0063015E">
      <w:rPr>
        <w:rFonts w:ascii="Arial" w:hAnsi="Arial" w:cs="Arial"/>
        <w:b/>
        <w:sz w:val="48"/>
      </w:rPr>
      <w:tab/>
    </w:r>
    <w:r>
      <w:fldChar w:fldCharType="begin"/>
    </w:r>
    <w:r>
      <w:instrText xml:space="preserve"> PAGE  \* MERGEFORMAT </w:instrText>
    </w:r>
    <w:r>
      <w:fldChar w:fldCharType="separate"/>
    </w:r>
    <w:r w:rsidR="008D7CE6">
      <w:rPr>
        <w:noProof/>
      </w:rPr>
      <w:t>3</w:t>
    </w:r>
    <w:r>
      <w:fldChar w:fldCharType="end"/>
    </w:r>
    <w:r>
      <w:tab/>
    </w:r>
    <w:r w:rsidRPr="0063015E">
      <w:tab/>
    </w:r>
    <w:r w:rsidRPr="0063015E">
      <w:rPr>
        <w:rFonts w:ascii="Arial" w:hAnsi="Arial" w:cs="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Default="0063015E" w:rsidP="00630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pPr>
      <w:r>
        <w:rPr>
          <w:rStyle w:val="FootnoteReference"/>
        </w:rPr>
        <w:footnoteRef/>
      </w:r>
      <w:r>
        <w:tab/>
        <w:t>OL L 176, 2013 6 27, p. 1,</w:t>
      </w:r>
      <w:r>
        <w:rPr>
          <w:color w:val="000000"/>
        </w:rPr>
        <w:t xml:space="preserve"> </w:t>
      </w:r>
      <w:r>
        <w:t>ELI: http://data.europa.eu/eli/reg/2013/575/oj.</w:t>
      </w:r>
    </w:p>
  </w:footnote>
  <w:footnote w:id="2">
    <w:p w:rsidR="00430BC2" w:rsidRPr="006510B1" w:rsidRDefault="00430BC2" w:rsidP="00430BC2">
      <w:pPr>
        <w:pStyle w:val="FootnoteText"/>
        <w:rPr>
          <w:rFonts w:eastAsiaTheme="minorEastAsia"/>
        </w:rPr>
      </w:pPr>
      <w:r>
        <w:rPr>
          <w:rStyle w:val="FootnoteReference"/>
        </w:rPr>
        <w:footnoteRef/>
      </w:r>
      <w:r>
        <w:tab/>
        <w:t xml:space="preserve">2024 m. gegužės 31 d. Europos Parlamento ir Tarybos reglamentas (ES) 2024/1623, kuriuo iš dalies keičiamas Reglamentas (ES) Nr. 575/2013, kiek tai susiję su kredito rizikos, kredito vertinimo koregavimo rizikos, operacinės rizikos, rinkos rizikos ir rezultatų apatinės ribos reikalavimais, (OL L, 2024 6 19, p. 1, ELI: </w:t>
      </w:r>
      <w:bookmarkStart w:id="1" w:name="_Hlk198544494"/>
      <w:r>
        <w:t>http://data.europa.eu/eli/reg/2024/1623/oj</w:t>
      </w:r>
      <w:bookmarkEnd w:id="1"/>
      <w:r>
        <w:t>).</w:t>
      </w:r>
    </w:p>
  </w:footnote>
  <w:footnote w:id="3">
    <w:p w:rsidR="00430BC2" w:rsidRPr="006510B1" w:rsidRDefault="00430BC2" w:rsidP="00430BC2">
      <w:pPr>
        <w:pStyle w:val="FootnoteText"/>
      </w:pPr>
      <w:r>
        <w:rPr>
          <w:rStyle w:val="FootnoteReference"/>
        </w:rPr>
        <w:footnoteRef/>
      </w:r>
      <w:r>
        <w:tab/>
        <w:t>2024 m. lapkričio 29 d. Komisijos įgyvendinimo reglamentas (ES) 2024/3117, kuriuo nustatomi Europos Parlamento ir Tarybos reglamento (ES) Nr. 575/2013 taikymo įstaigų priežiūros ataskaitų teikimo srityje techniniai įgyvendinimo standartai ir panaikinamas Komisijos įgyvendinimo reglamentas (ES) Nr. 2021/451, (OL L, 2024/3117, 2024 12 27, p. 1, ELI: </w:t>
      </w:r>
      <w:bookmarkStart w:id="2" w:name="_Hlk198544532"/>
      <w:r>
        <w:fldChar w:fldCharType="begin"/>
      </w:r>
      <w:r>
        <w:instrText>HYPERLINK "http://data.europa.eu/eli/reg_impl/2024/3117/oj" \t "_blank" \o "Prieiga prie šio dokumento per jo ELI nuorodą."</w:instrText>
      </w:r>
      <w:r>
        <w:fldChar w:fldCharType="separate"/>
      </w:r>
      <w:r>
        <w:t>http://data.europa.eu/eli/reg_impl/2024/3117/oj</w:t>
      </w:r>
      <w:r>
        <w:fldChar w:fldCharType="end"/>
      </w:r>
      <w:bookmarkEnd w:id="2"/>
      <w:r>
        <w:t>).</w:t>
      </w:r>
    </w:p>
  </w:footnote>
  <w:footnote w:id="4">
    <w:p w:rsidR="00430BC2" w:rsidRPr="0029202E" w:rsidRDefault="00430BC2" w:rsidP="00430BC2">
      <w:pPr>
        <w:pStyle w:val="FootnoteText"/>
      </w:pPr>
      <w:r>
        <w:rPr>
          <w:rStyle w:val="FootnoteReference"/>
        </w:rPr>
        <w:footnoteRef/>
      </w:r>
      <w:r>
        <w:tab/>
        <w:t>2025 m. birželio 12 d. Komisijos deleguotasis reglamentas (ES) 2025/1496, kuriuo dėl nuosavų lėšų reikalavimų rinkos rizikai padengti taikymo datos iš dalies keičiamas Europos Parlamento ir Tarybos reglamentas (ES) Nr. 575/2013, (OL L, 2025/1496, 2025 9 19, ELI: http://data.europa.eu/eli/reg_del/2025/1496/oj).</w:t>
      </w:r>
    </w:p>
  </w:footnote>
  <w:footnote w:id="5">
    <w:p w:rsidR="00430BC2" w:rsidRDefault="00430BC2" w:rsidP="00430BC2">
      <w:pPr>
        <w:pStyle w:val="FootnoteText"/>
      </w:pPr>
      <w:r>
        <w:rPr>
          <w:rStyle w:val="FootnoteReference"/>
        </w:rPr>
        <w:footnoteRef/>
      </w:r>
      <w:r>
        <w:tab/>
        <w:t xml:space="preserve">2020 m. gruodžio 17 d. Komisijos įgyvendinimo reglamentas (ES) 2021/451, kuriuo nustatomi Europos Parlamento ir Tarybos reglamento (ES) Nr. 575/2013 taikymo įstaigų priežiūros ataskaitų teikimo srityje techniniai įgyvendinimo standartai ir panaikinamas Įgyvendinimo reglamentas (ES) Nr. 680/2014, (OL L 97, 2021 3 19, p. 1, ELI: </w:t>
      </w:r>
      <w:hyperlink r:id="rId1" w:history="1">
        <w:r>
          <w:rPr>
            <w:rStyle w:val="Hyperlink"/>
          </w:rPr>
          <w:t>http://data.europa.eu/eli/reg_impl/2021/451/oj</w:t>
        </w:r>
      </w:hyperlink>
      <w:r>
        <w:t>).</w:t>
      </w:r>
    </w:p>
  </w:footnote>
  <w:footnote w:id="6">
    <w:p w:rsidR="00430BC2" w:rsidRPr="006510B1" w:rsidRDefault="00430BC2" w:rsidP="00430BC2">
      <w:pPr>
        <w:pStyle w:val="FootnoteText"/>
      </w:pPr>
      <w:r>
        <w:rPr>
          <w:rStyle w:val="FootnoteReference"/>
        </w:rPr>
        <w:footnoteRef/>
      </w:r>
      <w:r>
        <w:tab/>
      </w:r>
      <w:bookmarkStart w:id="3" w:name="_Hlk198544390"/>
      <w:r>
        <w:t>2010 m. lapkričio 24 d. Europos Parlamento ir Tarybos reglamentas (ES) Nr. 1093/2010, kuriuo įsteigiama Europos priežiūros institucija</w:t>
      </w:r>
      <w:bookmarkEnd w:id="3"/>
      <w:r>
        <w:t xml:space="preserve"> (Europos bankininkystės institucija), iš dalies keičiamas Sprendimas Nr. 716/2009/EB ir panaikinamas Komisijos sprendimas 2009/78/EB, (OL L 331, 2010 12 15, p.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Pr="0063015E" w:rsidRDefault="0063015E" w:rsidP="00630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Pr="0063015E" w:rsidRDefault="0063015E" w:rsidP="00630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Pr="0063015E" w:rsidRDefault="0063015E" w:rsidP="00630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Default="00630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5E" w:rsidRDefault="00630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9914A9C-E302-4D37-8A7C-BDD9770BD25A"/>
    <w:docVar w:name="LW_COVERPAGE_TYPE" w:val="1"/>
    <w:docVar w:name="LW_CreatedUtc" w:val="2025-10-08T14:24:25.1973363Z"/>
    <w:docVar w:name="LW_CROSSREFERENCE" w:val="&lt;UNUSED&gt;"/>
    <w:docVar w:name="LW_DATE.ADOPT.CP" w:val="2025 12 08"/>
    <w:docVar w:name="LW_DATE.ADOPT.CP_DATEFORMAT" w:val="%DATE%"/>
    <w:docVar w:name="LW_DATE.ADOPT.CP_ISODATE" w:val="2025-12-08"/>
    <w:docVar w:name="LW_DocType" w:val="COM"/>
    <w:docVar w:name="LW_EMISSION" w:val="2025 12 08"/>
    <w:docVar w:name="LW_EMISSION_ISODATE" w:val="2025-12-08"/>
    <w:docVar w:name="LW_EMISSION_LOCATION" w:val="BRX"/>
    <w:docVar w:name="LW_EMISSION_PREFIX" w:val="Briuselis, "/>
    <w:docVar w:name="LW_EMISSION_SUFFIX" w:val=" "/>
    <w:docVar w:name="LW_ID_DOCMODEL" w:val="SJ-004"/>
    <w:docVar w:name="LW_ID_DOCSIGNATURE" w:val="SJ-004"/>
    <w:docVar w:name="LW_ID_DOCSTRUCTURE" w:val="COM/AA"/>
    <w:docVar w:name="LW_ID_DOCTYPE" w:val="SJ-004"/>
    <w:docVar w:name="LW_INTERETEEE.CP" w:val="(Tekstas svarbus EEE)"/>
    <w:docVar w:name="LW_LANGUE" w:val="LT"/>
    <w:docVar w:name="LW_LANGUESFAISANTFOI.CP" w:val="&lt;UNUSED&gt;"/>
    <w:docVar w:name="LW_LEVEL_OF_SENSITIVITY" w:val="Standard treatment"/>
    <w:docVar w:name="LW_NOM.INST" w:val="EUROPOS KOMISIJA"/>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uriuo d\u279?l \u303?staig\u371? prie\u382?i\u363?ros ataskait\u371? d\u279?l operacin\u279?s rizikos teikimo i\u353? dalies kei\u269?iami \u302?gyvendinimo reglamente (ES) 2024/3117 nustatyti techniniai \u303?gyvendinimo standartai"/>
    <w:docVar w:name="LW_TYPE.DOC.CP" w:val="KOMISIJOS \u302?GYVENDINIMO REGLAMENTAS (ES) \u8230?/..."/>
    <w:docVar w:name="LwApiVersions" w:val="LW4CoDe 1.24.5.0; LW 9.2, Build 20251112"/>
  </w:docVars>
  <w:rsids>
    <w:rsidRoot w:val="00430BC2"/>
    <w:rsid w:val="00017C96"/>
    <w:rsid w:val="0004435A"/>
    <w:rsid w:val="00050CA3"/>
    <w:rsid w:val="00067647"/>
    <w:rsid w:val="000A6071"/>
    <w:rsid w:val="00100170"/>
    <w:rsid w:val="001065F5"/>
    <w:rsid w:val="001238EF"/>
    <w:rsid w:val="00133705"/>
    <w:rsid w:val="00151C13"/>
    <w:rsid w:val="001869F1"/>
    <w:rsid w:val="00197613"/>
    <w:rsid w:val="001D7321"/>
    <w:rsid w:val="00205FD8"/>
    <w:rsid w:val="00233DC7"/>
    <w:rsid w:val="00247779"/>
    <w:rsid w:val="00285BEE"/>
    <w:rsid w:val="0029533F"/>
    <w:rsid w:val="002A28E6"/>
    <w:rsid w:val="002B30AF"/>
    <w:rsid w:val="002E5318"/>
    <w:rsid w:val="00300D2A"/>
    <w:rsid w:val="0033344A"/>
    <w:rsid w:val="00350E96"/>
    <w:rsid w:val="00375EA8"/>
    <w:rsid w:val="0038150A"/>
    <w:rsid w:val="00383109"/>
    <w:rsid w:val="0042648E"/>
    <w:rsid w:val="00430BC2"/>
    <w:rsid w:val="004404AB"/>
    <w:rsid w:val="00445072"/>
    <w:rsid w:val="00487D9D"/>
    <w:rsid w:val="004936D2"/>
    <w:rsid w:val="00497570"/>
    <w:rsid w:val="005152A4"/>
    <w:rsid w:val="0055312E"/>
    <w:rsid w:val="00561998"/>
    <w:rsid w:val="00562257"/>
    <w:rsid w:val="005B1EB6"/>
    <w:rsid w:val="0063015E"/>
    <w:rsid w:val="006A3A74"/>
    <w:rsid w:val="006D56F3"/>
    <w:rsid w:val="006E65DC"/>
    <w:rsid w:val="006F3E02"/>
    <w:rsid w:val="0076425B"/>
    <w:rsid w:val="00773331"/>
    <w:rsid w:val="007932EF"/>
    <w:rsid w:val="007E05B0"/>
    <w:rsid w:val="00820D9D"/>
    <w:rsid w:val="00847BAB"/>
    <w:rsid w:val="00874D22"/>
    <w:rsid w:val="00883B63"/>
    <w:rsid w:val="0089317B"/>
    <w:rsid w:val="008A2914"/>
    <w:rsid w:val="008D7CE6"/>
    <w:rsid w:val="008E4D8E"/>
    <w:rsid w:val="00957BDE"/>
    <w:rsid w:val="00982A5D"/>
    <w:rsid w:val="0099429F"/>
    <w:rsid w:val="009D433C"/>
    <w:rsid w:val="009F2131"/>
    <w:rsid w:val="00A362F7"/>
    <w:rsid w:val="00A50C30"/>
    <w:rsid w:val="00A9563C"/>
    <w:rsid w:val="00AC2E30"/>
    <w:rsid w:val="00AC7D0B"/>
    <w:rsid w:val="00AD7C0F"/>
    <w:rsid w:val="00AE3DBA"/>
    <w:rsid w:val="00B40F1A"/>
    <w:rsid w:val="00B443FE"/>
    <w:rsid w:val="00B76E91"/>
    <w:rsid w:val="00C12301"/>
    <w:rsid w:val="00C25881"/>
    <w:rsid w:val="00C84FA7"/>
    <w:rsid w:val="00C862B2"/>
    <w:rsid w:val="00CE1BA2"/>
    <w:rsid w:val="00CF73FC"/>
    <w:rsid w:val="00D03513"/>
    <w:rsid w:val="00D13ED9"/>
    <w:rsid w:val="00D20381"/>
    <w:rsid w:val="00D9135A"/>
    <w:rsid w:val="00DB4295"/>
    <w:rsid w:val="00E7453B"/>
    <w:rsid w:val="00F47C85"/>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63015E"/>
    <w:rPr>
      <w:rFonts w:ascii="Times New Roman" w:hAnsi="Times New Roman" w:cs="Times New Roman"/>
      <w:sz w:val="24"/>
      <w:lang w:val="lt-LT"/>
    </w:rPr>
  </w:style>
  <w:style w:type="character" w:customStyle="1" w:styleId="FooterChar">
    <w:name w:val="Footer Char"/>
    <w:basedOn w:val="DefaultParagraphFont"/>
    <w:link w:val="Footer"/>
    <w:uiPriority w:val="99"/>
    <w:rsid w:val="0063015E"/>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3015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015E"/>
    <w:pPr>
      <w:spacing w:before="0"/>
      <w:jc w:val="right"/>
    </w:pPr>
    <w:rPr>
      <w:sz w:val="28"/>
    </w:rPr>
  </w:style>
  <w:style w:type="paragraph" w:customStyle="1" w:styleId="FooterSensitivity">
    <w:name w:val="Footer Sensitivity"/>
    <w:basedOn w:val="Normal"/>
    <w:rsid w:val="0063015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63015E"/>
    <w:pPr>
      <w:tabs>
        <w:tab w:val="center" w:pos="4535"/>
        <w:tab w:val="right" w:pos="9071"/>
      </w:tabs>
      <w:spacing w:before="0"/>
    </w:pPr>
  </w:style>
  <w:style w:type="paragraph" w:customStyle="1" w:styleId="HeaderLandscape">
    <w:name w:val="HeaderLandscape"/>
    <w:basedOn w:val="Normal"/>
    <w:rsid w:val="0063015E"/>
    <w:pPr>
      <w:tabs>
        <w:tab w:val="center" w:pos="7285"/>
        <w:tab w:val="right" w:pos="14003"/>
      </w:tabs>
      <w:spacing w:before="0"/>
    </w:pPr>
  </w:style>
  <w:style w:type="paragraph" w:styleId="Footer">
    <w:name w:val="footer"/>
    <w:basedOn w:val="Normal"/>
    <w:link w:val="FooterChar"/>
    <w:uiPriority w:val="99"/>
    <w:unhideWhenUsed/>
    <w:rsid w:val="0063015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3015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7815F-3160-4028-82E4-6BAE9992EF70}"/>
</file>

<file path=customXml/itemProps2.xml><?xml version="1.0" encoding="utf-8"?>
<ds:datastoreItem xmlns:ds="http://schemas.openxmlformats.org/officeDocument/2006/customXml" ds:itemID="{D5977F24-B394-4BFE-ACC9-6474649F691E}"/>
</file>

<file path=customXml/itemProps3.xml><?xml version="1.0" encoding="utf-8"?>
<ds:datastoreItem xmlns:ds="http://schemas.openxmlformats.org/officeDocument/2006/customXml" ds:itemID="{623A0439-61B6-4E2C-B0C6-240C044B88AD}"/>
</file>

<file path=docProps/app.xml><?xml version="1.0" encoding="utf-8"?>
<Properties xmlns="http://schemas.openxmlformats.org/officeDocument/2006/extended-properties" xmlns:vt="http://schemas.openxmlformats.org/officeDocument/2006/docPropsVTypes">
  <Template>COM.dotm</Template>
  <TotalTime>15</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dcterms:created xsi:type="dcterms:W3CDTF">2025-11-19T12:59:00Z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