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B94195" w:rsidRDefault="00BF1B1F" w:rsidP="00BF1B1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C9E0514-9FD1-46B6-AA72-C3212E8B770A" style="width:455.25pt;height:345.75pt">
            <v:imagedata r:id="rId7" o:title=""/>
          </v:shape>
        </w:pict>
      </w:r>
    </w:p>
    <w:p w:rsidR="00430BC2" w:rsidRPr="00B94195" w:rsidRDefault="00430BC2">
      <w:pPr>
        <w:rPr>
          <w:noProof/>
        </w:rPr>
        <w:sectPr w:rsidR="00430BC2" w:rsidRPr="00B94195" w:rsidSect="00BF1B1F">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430BC2" w:rsidRPr="00B94195" w:rsidRDefault="00B94195" w:rsidP="00B94195">
      <w:pPr>
        <w:pStyle w:val="Typedudocument"/>
        <w:rPr>
          <w:noProof/>
        </w:rPr>
      </w:pPr>
      <w:bookmarkStart w:id="0" w:name="_GoBack"/>
      <w:bookmarkEnd w:id="0"/>
      <w:r w:rsidRPr="00B94195">
        <w:rPr>
          <w:noProof/>
        </w:rPr>
        <w:lastRenderedPageBreak/>
        <w:t>KOMISJONI RAKENDUSMÄÄRUS (EL) …/…,</w:t>
      </w:r>
    </w:p>
    <w:p w:rsidR="00430BC2" w:rsidRPr="00B94195" w:rsidRDefault="0011543E" w:rsidP="00B94195">
      <w:pPr>
        <w:pStyle w:val="Datedadoption"/>
        <w:rPr>
          <w:noProof/>
        </w:rPr>
      </w:pPr>
      <w:r>
        <w:rPr>
          <w:noProof/>
        </w:rPr>
        <w:t>8.12.2025,</w:t>
      </w:r>
    </w:p>
    <w:p w:rsidR="00430BC2" w:rsidRPr="00B94195" w:rsidRDefault="00B94195" w:rsidP="00B94195">
      <w:pPr>
        <w:pStyle w:val="Titreobjet"/>
        <w:rPr>
          <w:noProof/>
        </w:rPr>
      </w:pPr>
      <w:r w:rsidRPr="00B94195">
        <w:rPr>
          <w:noProof/>
        </w:rPr>
        <w:t>millega muudetakse rakendusmääruses (EL) 2024/3117 sätestatud rakenduslikke tehnilisi standardeid seoses finantsinstitutsioonide operatsiooniriski järelevalvelise aruandlusega</w:t>
      </w:r>
    </w:p>
    <w:p w:rsidR="00430BC2" w:rsidRPr="00B94195" w:rsidRDefault="00B94195" w:rsidP="00B94195">
      <w:pPr>
        <w:pStyle w:val="IntrtEEE"/>
        <w:rPr>
          <w:noProof/>
        </w:rPr>
      </w:pPr>
      <w:r w:rsidRPr="00B94195">
        <w:rPr>
          <w:noProof/>
        </w:rPr>
        <w:t>(EMPs kohaldatav tekst)</w:t>
      </w:r>
    </w:p>
    <w:p w:rsidR="00430BC2" w:rsidRPr="00B94195" w:rsidRDefault="00430BC2" w:rsidP="004E1EF9">
      <w:pPr>
        <w:pStyle w:val="Institutionquiagit"/>
        <w:rPr>
          <w:noProof/>
        </w:rPr>
      </w:pPr>
      <w:r w:rsidRPr="00B94195">
        <w:rPr>
          <w:noProof/>
        </w:rPr>
        <w:t>EUROOPA KOMISJON,</w:t>
      </w:r>
    </w:p>
    <w:p w:rsidR="00430BC2" w:rsidRPr="00B94195" w:rsidRDefault="00430BC2" w:rsidP="004E1EF9">
      <w:pPr>
        <w:rPr>
          <w:noProof/>
        </w:rPr>
      </w:pPr>
      <w:r w:rsidRPr="00B94195">
        <w:rPr>
          <w:noProof/>
        </w:rPr>
        <w:t>võttes arvesse Euroopa Parlamendi ja nõukogu 26. juuni 2013. aasta määrust (EL) nr 575/2013, mis käsitleb krediidiasutuste suhtes kohaldatavaid usaldatavusnõudeid ja millega muudetakse määrust (EL) nr 648/2012,</w:t>
      </w:r>
      <w:r w:rsidRPr="00B94195">
        <w:rPr>
          <w:rStyle w:val="FootnoteReference"/>
          <w:noProof/>
        </w:rPr>
        <w:footnoteReference w:id="1"/>
      </w:r>
      <w:r w:rsidRPr="00B94195">
        <w:rPr>
          <w:noProof/>
        </w:rPr>
        <w:t xml:space="preserve"> eriti selle artikli 430 lõike 7 viiendat lõiku,</w:t>
      </w:r>
    </w:p>
    <w:p w:rsidR="00430BC2" w:rsidRPr="00B94195" w:rsidRDefault="00430BC2" w:rsidP="004E1EF9">
      <w:pPr>
        <w:rPr>
          <w:noProof/>
        </w:rPr>
      </w:pPr>
      <w:r w:rsidRPr="00B94195">
        <w:rPr>
          <w:noProof/>
        </w:rPr>
        <w:t>ning arvestades järgmist:</w:t>
      </w:r>
    </w:p>
    <w:p w:rsidR="00430BC2" w:rsidRPr="00B94195" w:rsidRDefault="001C2E38" w:rsidP="001C2E38">
      <w:pPr>
        <w:pStyle w:val="ManualConsidrant"/>
        <w:rPr>
          <w:noProof/>
        </w:rPr>
      </w:pPr>
      <w:r w:rsidRPr="001C2E38">
        <w:rPr>
          <w:noProof/>
        </w:rPr>
        <w:t>(1)</w:t>
      </w:r>
      <w:r w:rsidRPr="001C2E38">
        <w:rPr>
          <w:noProof/>
        </w:rPr>
        <w:tab/>
      </w:r>
      <w:r w:rsidR="00430BC2" w:rsidRPr="00B94195">
        <w:rPr>
          <w:noProof/>
        </w:rPr>
        <w:t>Määrust (EL) nr 575/2013 muudeti Euroopa Parlamendi ja nõukogu määrusega (EL) 2024/1623,</w:t>
      </w:r>
      <w:r w:rsidR="00430BC2" w:rsidRPr="00B94195">
        <w:rPr>
          <w:rStyle w:val="FootnoteReference"/>
          <w:noProof/>
        </w:rPr>
        <w:footnoteReference w:id="2"/>
      </w:r>
      <w:r w:rsidR="00430BC2" w:rsidRPr="00B94195">
        <w:rPr>
          <w:noProof/>
        </w:rPr>
        <w:t xml:space="preserve"> et rakendada Baseli pangajärelevalve komitee viimased rahvusvahelised standardid (Basel III). Nende standardite alusel võeti vastu komisjoni rakendusmäärus (EL) 2024/3117,</w:t>
      </w:r>
      <w:r w:rsidR="00430BC2" w:rsidRPr="00B94195">
        <w:rPr>
          <w:rStyle w:val="FootnoteReference"/>
          <w:noProof/>
        </w:rPr>
        <w:footnoteReference w:id="3"/>
      </w:r>
      <w:r w:rsidR="00430BC2" w:rsidRPr="00B94195">
        <w:rPr>
          <w:noProof/>
        </w:rPr>
        <w:t xml:space="preserve"> milles sätestatakse rakenduslikud tehnilised standardid määruse (EL) nr 575/2013 kohaldamiseks seoses finantsinstitutsioonide järelevalvelise aruandlusega.</w:t>
      </w:r>
    </w:p>
    <w:p w:rsidR="00430BC2" w:rsidRPr="00B94195" w:rsidRDefault="001C2E38" w:rsidP="001C2E38">
      <w:pPr>
        <w:pStyle w:val="ManualConsidrant"/>
        <w:rPr>
          <w:noProof/>
        </w:rPr>
      </w:pPr>
      <w:r w:rsidRPr="001C2E38">
        <w:rPr>
          <w:noProof/>
        </w:rPr>
        <w:t>(2)</w:t>
      </w:r>
      <w:r w:rsidRPr="001C2E38">
        <w:rPr>
          <w:noProof/>
        </w:rPr>
        <w:tab/>
      </w:r>
      <w:r w:rsidR="00430BC2" w:rsidRPr="00B94195">
        <w:rPr>
          <w:noProof/>
        </w:rPr>
        <w:t>Võttes arvesse operatsiooniriski omavahendite nõuete usaldatavusraamistiku muudatusi, oli vaja uusi aruandevorme, et tagada finantsinstitutsioonide aruandlus kooskõlas uue kehtiva raamistikuga. Kuigi mõned neist aruandevormide muudatustest tehti juba määrusega (EL) 2024/3117, oli mitme vormi ajakohastamine võimalik alles pärast operatsiooniriski nõuete täiendavat tehnilist arendamist, eelkõige seoses majandusnäitaja komponentide täpsustamisega, majandusnäitajast välja jäetavate kirjetega ja nende kaardistamisega aruande vastavatesse lahtritesse.</w:t>
      </w:r>
    </w:p>
    <w:p w:rsidR="00430BC2" w:rsidRPr="00B94195" w:rsidRDefault="001C2E38" w:rsidP="001C2E38">
      <w:pPr>
        <w:pStyle w:val="ManualConsidrant"/>
        <w:rPr>
          <w:noProof/>
        </w:rPr>
      </w:pPr>
      <w:r w:rsidRPr="001C2E38">
        <w:rPr>
          <w:noProof/>
        </w:rPr>
        <w:t>(3)</w:t>
      </w:r>
      <w:r w:rsidRPr="001C2E38">
        <w:rPr>
          <w:noProof/>
        </w:rPr>
        <w:tab/>
      </w:r>
      <w:r w:rsidR="00430BC2" w:rsidRPr="00B94195">
        <w:rPr>
          <w:noProof/>
        </w:rPr>
        <w:t>Komisjoni delegeeritud määrusega (EL) 2025/1496</w:t>
      </w:r>
      <w:r w:rsidR="00430BC2" w:rsidRPr="00B94195">
        <w:rPr>
          <w:rStyle w:val="FootnoteReference"/>
          <w:noProof/>
        </w:rPr>
        <w:footnoteReference w:id="4"/>
      </w:r>
      <w:r w:rsidR="00430BC2" w:rsidRPr="00B94195">
        <w:rPr>
          <w:noProof/>
        </w:rPr>
        <w:t xml:space="preserve"> lükati tururiski omavahendite nõuete kohaldamise kuupäev edasi 1. jaanuarini 2027. Seetõttu on vaja muudatusteta säilitada kehtiv aruandlus tururiski nõuete kohta, mida kohaldatakse kuni 31. detsembrini 2026. Seepärast tuleks määruse (EL) 2024/3117 üleminekusätete kehtivusaega pikendada ja komisjoni rakendusmääruse (EL) 2021/451</w:t>
      </w:r>
      <w:r w:rsidR="00430BC2" w:rsidRPr="00B94195">
        <w:rPr>
          <w:rStyle w:val="FootnoteReference"/>
          <w:noProof/>
        </w:rPr>
        <w:footnoteReference w:id="5"/>
      </w:r>
      <w:r w:rsidR="00430BC2" w:rsidRPr="00B94195">
        <w:rPr>
          <w:noProof/>
        </w:rPr>
        <w:t xml:space="preserve"> vastavate sätete kehtetuks tunnistamine tuleks veel aasta võrra edasi lükata.</w:t>
      </w:r>
    </w:p>
    <w:p w:rsidR="00430BC2" w:rsidRPr="00B94195" w:rsidRDefault="001C2E38" w:rsidP="001C2E38">
      <w:pPr>
        <w:pStyle w:val="ManualConsidrant"/>
        <w:rPr>
          <w:noProof/>
        </w:rPr>
      </w:pPr>
      <w:r w:rsidRPr="001C2E38">
        <w:rPr>
          <w:noProof/>
        </w:rPr>
        <w:t>(4)</w:t>
      </w:r>
      <w:r w:rsidRPr="001C2E38">
        <w:rPr>
          <w:noProof/>
        </w:rPr>
        <w:tab/>
      </w:r>
      <w:r w:rsidR="00430BC2" w:rsidRPr="00B94195">
        <w:rPr>
          <w:noProof/>
        </w:rPr>
        <w:t>Seepärast tuleks rakendusmäärust (EL) 2024/3117 vastavalt muuta.</w:t>
      </w:r>
    </w:p>
    <w:p w:rsidR="00430BC2" w:rsidRPr="00B94195" w:rsidRDefault="001C2E38" w:rsidP="001C2E38">
      <w:pPr>
        <w:pStyle w:val="ManualConsidrant"/>
        <w:rPr>
          <w:noProof/>
        </w:rPr>
      </w:pPr>
      <w:r w:rsidRPr="001C2E38">
        <w:rPr>
          <w:noProof/>
        </w:rPr>
        <w:t>(5)</w:t>
      </w:r>
      <w:r w:rsidRPr="001C2E38">
        <w:rPr>
          <w:noProof/>
        </w:rPr>
        <w:tab/>
      </w:r>
      <w:r w:rsidR="00430BC2" w:rsidRPr="00B94195">
        <w:rPr>
          <w:noProof/>
        </w:rPr>
        <w:t>Käesolev määrus põhineb Euroopa Pangandusjärelevalve (EBA) poolt komisjonile esitatud rakenduslike tehniliste standardite eelnõul.</w:t>
      </w:r>
    </w:p>
    <w:p w:rsidR="00430BC2" w:rsidRPr="00B94195" w:rsidRDefault="001C2E38" w:rsidP="001C2E38">
      <w:pPr>
        <w:pStyle w:val="ManualConsidrant"/>
        <w:rPr>
          <w:noProof/>
        </w:rPr>
      </w:pPr>
      <w:r w:rsidRPr="001C2E38">
        <w:rPr>
          <w:noProof/>
        </w:rPr>
        <w:t>(6)</w:t>
      </w:r>
      <w:r w:rsidRPr="001C2E38">
        <w:rPr>
          <w:noProof/>
        </w:rPr>
        <w:tab/>
      </w:r>
      <w:r w:rsidR="00430BC2" w:rsidRPr="00B94195">
        <w:rPr>
          <w:noProof/>
        </w:rPr>
        <w:t>EBA on läbi viinud avaliku konsultatsiooni käesoleva määruse aluseks olevate rakenduslike tehniliste standardite eelnõu kohta, analüüsinud võimalikke seonduvaid kulusid ja kasu ning küsinud nõu Euroopa Parlamendi ja nõukogu määruse (EL) nr 1093/2010</w:t>
      </w:r>
      <w:r w:rsidR="00430BC2" w:rsidRPr="00B94195">
        <w:rPr>
          <w:rStyle w:val="FootnoteReference"/>
          <w:noProof/>
        </w:rPr>
        <w:footnoteReference w:id="6"/>
      </w:r>
      <w:r w:rsidR="00430BC2" w:rsidRPr="00B94195">
        <w:rPr>
          <w:noProof/>
        </w:rPr>
        <w:t xml:space="preserve"> artikli 37 kohaselt loodud pangandussektori sidusrühmade kogult,</w:t>
      </w:r>
    </w:p>
    <w:p w:rsidR="00430BC2" w:rsidRPr="00B94195" w:rsidRDefault="00430BC2" w:rsidP="004E1EF9">
      <w:pPr>
        <w:pStyle w:val="Formuledadoption"/>
        <w:rPr>
          <w:noProof/>
        </w:rPr>
      </w:pPr>
      <w:r w:rsidRPr="00B94195">
        <w:rPr>
          <w:noProof/>
        </w:rPr>
        <w:t>ON VASTU VÕTNUD KÄESOLEVA MÄÄRUSE:</w:t>
      </w:r>
    </w:p>
    <w:p w:rsidR="00430BC2" w:rsidRPr="00B94195" w:rsidRDefault="00430BC2" w:rsidP="004E1EF9">
      <w:pPr>
        <w:pStyle w:val="Titrearticle"/>
        <w:rPr>
          <w:noProof/>
        </w:rPr>
      </w:pPr>
      <w:r w:rsidRPr="00B94195">
        <w:rPr>
          <w:noProof/>
        </w:rPr>
        <w:t>Artikkel 1</w:t>
      </w:r>
    </w:p>
    <w:p w:rsidR="00430BC2" w:rsidRPr="00B94195" w:rsidRDefault="00430BC2" w:rsidP="00430BC2">
      <w:pPr>
        <w:rPr>
          <w:noProof/>
        </w:rPr>
      </w:pPr>
      <w:bookmarkStart w:id="4" w:name="_Hlk198544571"/>
      <w:r w:rsidRPr="00B94195">
        <w:rPr>
          <w:noProof/>
        </w:rPr>
        <w:t>Rakendusmäärust (EL) 2024/3117</w:t>
      </w:r>
      <w:bookmarkEnd w:id="4"/>
      <w:r w:rsidRPr="00B94195">
        <w:rPr>
          <w:noProof/>
        </w:rPr>
        <w:t xml:space="preserve"> muudetakse järgmiselt.</w:t>
      </w:r>
    </w:p>
    <w:p w:rsidR="00430BC2" w:rsidRPr="00B94195" w:rsidRDefault="001C2E38" w:rsidP="001C2E38">
      <w:pPr>
        <w:pStyle w:val="Point0"/>
        <w:rPr>
          <w:noProof/>
        </w:rPr>
      </w:pPr>
      <w:r w:rsidRPr="001C2E38">
        <w:rPr>
          <w:noProof/>
        </w:rPr>
        <w:t>(1)</w:t>
      </w:r>
      <w:r w:rsidRPr="001C2E38">
        <w:rPr>
          <w:noProof/>
        </w:rPr>
        <w:tab/>
      </w:r>
      <w:r w:rsidR="00430BC2" w:rsidRPr="00B94195">
        <w:rPr>
          <w:noProof/>
        </w:rPr>
        <w:t>Artikli 5 lõige 4 asendatakse järgmisega:</w:t>
      </w:r>
    </w:p>
    <w:p w:rsidR="00430BC2" w:rsidRPr="00B94195" w:rsidRDefault="00430BC2" w:rsidP="00430BC2">
      <w:pPr>
        <w:pStyle w:val="QuotedNumPar"/>
        <w:rPr>
          <w:noProof/>
        </w:rPr>
      </w:pPr>
      <w:r w:rsidRPr="00B94195">
        <w:rPr>
          <w:noProof/>
        </w:rPr>
        <w:t>„4. Määruse (EL) nr 575/2013 artikli 92 lõike 4 punkti b alapunktis i ja punktis c ning artikli 92 lõike 5 punktides b ja c osutatud omavahendite nõuete arvutamiseks esitavad finantsinstitutsioonid kuni 31. detsembrini 2026 tururiskiga seotud omavahendite nõudeid käsitleva teabe vastavalt rakendusmääruse (EL) 2021/451 artikli 5 lõikele 12.“</w:t>
      </w:r>
    </w:p>
    <w:p w:rsidR="00430BC2" w:rsidRPr="00B94195" w:rsidRDefault="001C2E38" w:rsidP="001C2E38">
      <w:pPr>
        <w:pStyle w:val="Point0"/>
        <w:rPr>
          <w:noProof/>
        </w:rPr>
      </w:pPr>
      <w:r w:rsidRPr="001C2E38">
        <w:rPr>
          <w:noProof/>
        </w:rPr>
        <w:t>(2)</w:t>
      </w:r>
      <w:r w:rsidRPr="001C2E38">
        <w:rPr>
          <w:noProof/>
        </w:rPr>
        <w:tab/>
      </w:r>
      <w:r w:rsidR="00430BC2" w:rsidRPr="00B94195">
        <w:rPr>
          <w:noProof/>
        </w:rPr>
        <w:t>Artiklile 7 lisatakse järgmine punkt c:</w:t>
      </w:r>
    </w:p>
    <w:p w:rsidR="00430BC2" w:rsidRPr="00B94195" w:rsidRDefault="00430BC2" w:rsidP="00430BC2">
      <w:pPr>
        <w:pStyle w:val="QuotedNumPar"/>
        <w:rPr>
          <w:noProof/>
        </w:rPr>
      </w:pPr>
      <w:r w:rsidRPr="00B94195">
        <w:rPr>
          <w:noProof/>
        </w:rPr>
        <w:t>„c)</w:t>
      </w:r>
      <w:r w:rsidRPr="00B94195">
        <w:rPr>
          <w:noProof/>
        </w:rPr>
        <w:tab/>
        <w:t>ELis emaettevõtjana tegutsevad finantsinstitutsioonid esitavad kord kvartalis I lisa vormis C 16.04 nõutava teabe seoses teabega tütarettevõtjate kohta, kelle suhtes kohaldatakse määruse (EL) nr 575/2013 artikli 314 lõikes 3 sätestatud erandit.“</w:t>
      </w:r>
    </w:p>
    <w:p w:rsidR="00430BC2" w:rsidRPr="00B94195" w:rsidRDefault="001C2E38" w:rsidP="001C2E38">
      <w:pPr>
        <w:pStyle w:val="Point0"/>
        <w:rPr>
          <w:noProof/>
        </w:rPr>
      </w:pPr>
      <w:r w:rsidRPr="001C2E38">
        <w:rPr>
          <w:noProof/>
        </w:rPr>
        <w:t>(3)</w:t>
      </w:r>
      <w:r w:rsidRPr="001C2E38">
        <w:rPr>
          <w:noProof/>
        </w:rPr>
        <w:tab/>
      </w:r>
      <w:r w:rsidR="00430BC2" w:rsidRPr="00B94195">
        <w:rPr>
          <w:noProof/>
        </w:rPr>
        <w:t>Artikli 25 lõiked 1 ja 2 asendatakse järgmisega:</w:t>
      </w:r>
    </w:p>
    <w:p w:rsidR="00430BC2" w:rsidRPr="00B94195" w:rsidRDefault="00430BC2" w:rsidP="00430BC2">
      <w:pPr>
        <w:pStyle w:val="QuotedNumPar"/>
        <w:rPr>
          <w:noProof/>
        </w:rPr>
      </w:pPr>
      <w:r w:rsidRPr="00B94195">
        <w:rPr>
          <w:noProof/>
        </w:rPr>
        <w:t>„1. Rakendusmääruse (EL) 2021/451 kohaldamine lõpetatakse alates 1. jaanuarist 2025, välja arvatud artikli 5 lõike 12 ja I lisa vormide 18–24 ning II lisa II osa punktide 5.1–5.7 puhul. Rakendusmääruse (EL) 2021/451 artiklit 15 kohaldatakse kuni 31. detsembrini 2026 üksnes käesoleva määruse artikli 5 lõike 4 kohaldamisel.</w:t>
      </w:r>
    </w:p>
    <w:p w:rsidR="00430BC2" w:rsidRPr="00B94195" w:rsidRDefault="00430BC2" w:rsidP="00430BC2">
      <w:pPr>
        <w:pStyle w:val="QuotedNumPar"/>
        <w:rPr>
          <w:noProof/>
        </w:rPr>
      </w:pPr>
      <w:r w:rsidRPr="00B94195">
        <w:rPr>
          <w:noProof/>
        </w:rPr>
        <w:t>2. Rakendusmäärus (EL) 2021/451 tunnistatakse kehtetuks alates 31. detsembrist 2026.“</w:t>
      </w:r>
    </w:p>
    <w:p w:rsidR="00430BC2" w:rsidRPr="00B94195" w:rsidRDefault="001C2E38" w:rsidP="001C2E38">
      <w:pPr>
        <w:pStyle w:val="Point0"/>
        <w:rPr>
          <w:noProof/>
        </w:rPr>
      </w:pPr>
      <w:r w:rsidRPr="001C2E38">
        <w:rPr>
          <w:noProof/>
        </w:rPr>
        <w:t>(4)</w:t>
      </w:r>
      <w:r w:rsidRPr="001C2E38">
        <w:rPr>
          <w:noProof/>
        </w:rPr>
        <w:tab/>
      </w:r>
      <w:r w:rsidR="00430BC2" w:rsidRPr="00B94195">
        <w:rPr>
          <w:noProof/>
        </w:rPr>
        <w:t>I lisa 1. jagu „Omavahendite ja omavahendite nõuete aruandlus“ muudetakse järgmiselt:</w:t>
      </w:r>
    </w:p>
    <w:p w:rsidR="00430BC2" w:rsidRPr="00B94195" w:rsidRDefault="001C2E38" w:rsidP="001C2E38">
      <w:pPr>
        <w:pStyle w:val="Point1"/>
        <w:rPr>
          <w:noProof/>
        </w:rPr>
      </w:pPr>
      <w:r w:rsidRPr="001C2E38">
        <w:rPr>
          <w:noProof/>
        </w:rPr>
        <w:t>(a)</w:t>
      </w:r>
      <w:r w:rsidRPr="001C2E38">
        <w:rPr>
          <w:noProof/>
        </w:rPr>
        <w:tab/>
      </w:r>
      <w:r w:rsidR="00430BC2" w:rsidRPr="00B94195">
        <w:rPr>
          <w:noProof/>
        </w:rPr>
        <w:t>vorm „C 16.01 – OPERATSIOONIRISK – OMAVAHENDITE NÕUDED (OPR OF)“ asendatakse käesoleva määruse lisas esitatud vormiga „C 16.01 – OPERATSIOONIRISK – OMAVAHENDITE NÕUDED (OPR OF)“;</w:t>
      </w:r>
    </w:p>
    <w:p w:rsidR="00430BC2" w:rsidRPr="00B94195" w:rsidRDefault="001C2E38" w:rsidP="001C2E38">
      <w:pPr>
        <w:pStyle w:val="Point1"/>
        <w:rPr>
          <w:noProof/>
        </w:rPr>
      </w:pPr>
      <w:r w:rsidRPr="001C2E38">
        <w:rPr>
          <w:noProof/>
        </w:rPr>
        <w:t>(b)</w:t>
      </w:r>
      <w:r w:rsidRPr="001C2E38">
        <w:rPr>
          <w:noProof/>
        </w:rPr>
        <w:tab/>
      </w:r>
      <w:r w:rsidR="00430BC2" w:rsidRPr="00B94195">
        <w:rPr>
          <w:noProof/>
        </w:rPr>
        <w:t>vormi „C 16.01 – OPERATSIOONIRISK – OMAVAHENDITE NÕUDED (OPR OF)“ järele lisatakse vorm „C 16.02 – OPERATSIOONIRISK – MAJANDUSNÄITAJA KOMPONENT (OPR BIC)“, vorm „C 16.03 „OPERATSIOONIRISKI JAOTUS (OPR BD) – OPERATSIOONIRISKI JUHTUMITEST TULENEV KAHJUM, KULUD, ERALDISED JA MUU FINANTSMÕJU“ ning vorm „C 16.04 – OPERATSIOONIRISK – TEAVE TÜTARETTEVÕTJATE KOHTA, KELLE SUHTES KOHALDATAKSE KAPITALINÕUETE MÄÄRUSE ARTIKLI 314 LÕIGET 3“, mis on esitatud käesoleva määruse lisas.</w:t>
      </w:r>
    </w:p>
    <w:p w:rsidR="00430BC2" w:rsidRPr="00B94195" w:rsidRDefault="00430BC2" w:rsidP="004E1EF9">
      <w:pPr>
        <w:pStyle w:val="Titrearticle"/>
        <w:rPr>
          <w:noProof/>
        </w:rPr>
      </w:pPr>
      <w:r w:rsidRPr="00B94195">
        <w:rPr>
          <w:noProof/>
        </w:rPr>
        <w:t>Artikkel 2</w:t>
      </w:r>
    </w:p>
    <w:p w:rsidR="00430BC2" w:rsidRPr="00B94195" w:rsidRDefault="00430BC2" w:rsidP="004E1EF9">
      <w:pPr>
        <w:rPr>
          <w:noProof/>
        </w:rPr>
      </w:pPr>
      <w:r w:rsidRPr="00B94195">
        <w:rPr>
          <w:noProof/>
        </w:rPr>
        <w:t xml:space="preserve">Käesolev määrus jõustub kahekümnendal päeval pärast selle avaldamist </w:t>
      </w:r>
      <w:r w:rsidRPr="00B94195">
        <w:rPr>
          <w:i/>
          <w:noProof/>
        </w:rPr>
        <w:t>Euroopa Liidu Teatajas</w:t>
      </w:r>
      <w:r w:rsidRPr="00B94195">
        <w:rPr>
          <w:noProof/>
        </w:rPr>
        <w:t>.</w:t>
      </w:r>
    </w:p>
    <w:p w:rsidR="00430BC2" w:rsidRPr="00B94195" w:rsidRDefault="00430BC2" w:rsidP="004E1EF9">
      <w:pPr>
        <w:pStyle w:val="Applicationdirecte"/>
        <w:rPr>
          <w:noProof/>
        </w:rPr>
      </w:pPr>
      <w:r w:rsidRPr="00B94195">
        <w:rPr>
          <w:noProof/>
        </w:rPr>
        <w:t>Käesolev määrus on tervikuna siduv ja vahetult kohaldatav kõikides liikmesriikides.</w:t>
      </w:r>
    </w:p>
    <w:p w:rsidR="00430BC2" w:rsidRPr="00B94195" w:rsidRDefault="0011543E" w:rsidP="0046341B">
      <w:pPr>
        <w:pStyle w:val="Fait"/>
        <w:rPr>
          <w:noProof/>
        </w:rPr>
      </w:pPr>
      <w:r>
        <w:rPr>
          <w:noProof/>
        </w:rPr>
        <w:t>Brüssel, 8.12.2025</w:t>
      </w:r>
    </w:p>
    <w:p w:rsidR="00430BC2" w:rsidRPr="00B94195" w:rsidRDefault="00430BC2" w:rsidP="0046341B">
      <w:pPr>
        <w:pStyle w:val="Institutionquisigne"/>
        <w:rPr>
          <w:noProof/>
        </w:rPr>
      </w:pPr>
      <w:r w:rsidRPr="00B94195">
        <w:rPr>
          <w:noProof/>
        </w:rPr>
        <w:tab/>
        <w:t>Komisjoni nimel</w:t>
      </w:r>
    </w:p>
    <w:p w:rsidR="00CE1BA2" w:rsidRPr="00B94195" w:rsidRDefault="007725E1" w:rsidP="0046341B">
      <w:pPr>
        <w:pStyle w:val="Personnequisigne"/>
        <w:keepNext/>
        <w:rPr>
          <w:noProof/>
        </w:rPr>
      </w:pPr>
      <w:r>
        <w:rPr>
          <w:noProof/>
        </w:rPr>
        <w:tab/>
        <w:t>president</w:t>
      </w:r>
      <w:r>
        <w:rPr>
          <w:noProof/>
        </w:rPr>
        <w:br/>
      </w:r>
      <w:r>
        <w:rPr>
          <w:noProof/>
        </w:rPr>
        <w:tab/>
        <w:t>Ursula VON DER LEYEN</w:t>
      </w:r>
    </w:p>
    <w:p w:rsidR="00430BC2" w:rsidRPr="00B94195" w:rsidRDefault="00430BC2" w:rsidP="00430BC2">
      <w:pPr>
        <w:pStyle w:val="Personnequisigne"/>
        <w:rPr>
          <w:noProof/>
        </w:rPr>
      </w:pPr>
    </w:p>
    <w:sectPr w:rsidR="00430BC2" w:rsidRPr="00B94195" w:rsidSect="00BF1B1F">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C2" w:rsidRDefault="00430BC2" w:rsidP="00430BC2">
      <w:pPr>
        <w:spacing w:before="0" w:after="0"/>
      </w:pPr>
      <w:r>
        <w:separator/>
      </w:r>
    </w:p>
  </w:endnote>
  <w:endnote w:type="continuationSeparator" w:id="0">
    <w:p w:rsidR="00430BC2" w:rsidRDefault="00430BC2" w:rsidP="00430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B1F" w:rsidRPr="00BF1B1F" w:rsidRDefault="00BF1B1F" w:rsidP="00BF1B1F">
    <w:pPr>
      <w:pStyle w:val="Footer"/>
      <w:rPr>
        <w:rFonts w:ascii="Arial" w:hAnsi="Arial" w:cs="Arial"/>
        <w:b/>
        <w:sz w:val="48"/>
      </w:rPr>
    </w:pPr>
    <w:r w:rsidRPr="00BF1B1F">
      <w:rPr>
        <w:rFonts w:ascii="Arial" w:hAnsi="Arial" w:cs="Arial"/>
        <w:b/>
        <w:sz w:val="48"/>
      </w:rPr>
      <w:t>ET</w:t>
    </w:r>
    <w:r w:rsidRPr="00BF1B1F">
      <w:rPr>
        <w:rFonts w:ascii="Arial" w:hAnsi="Arial" w:cs="Arial"/>
        <w:b/>
        <w:sz w:val="48"/>
      </w:rPr>
      <w:tab/>
    </w:r>
    <w:r w:rsidRPr="00BF1B1F">
      <w:rPr>
        <w:rFonts w:ascii="Arial" w:hAnsi="Arial" w:cs="Arial"/>
        <w:b/>
        <w:sz w:val="48"/>
      </w:rPr>
      <w:tab/>
    </w:r>
    <w:r w:rsidRPr="00BF1B1F">
      <w:tab/>
    </w:r>
    <w:r w:rsidRPr="00BF1B1F">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B1F" w:rsidRPr="00BF1B1F" w:rsidRDefault="00BF1B1F" w:rsidP="00BF1B1F">
    <w:pPr>
      <w:pStyle w:val="Footer"/>
      <w:rPr>
        <w:rFonts w:ascii="Arial" w:hAnsi="Arial" w:cs="Arial"/>
        <w:b/>
        <w:sz w:val="48"/>
      </w:rPr>
    </w:pPr>
    <w:r w:rsidRPr="00BF1B1F">
      <w:rPr>
        <w:rFonts w:ascii="Arial" w:hAnsi="Arial" w:cs="Arial"/>
        <w:b/>
        <w:sz w:val="48"/>
      </w:rPr>
      <w:t>ET</w:t>
    </w:r>
    <w:r w:rsidRPr="00BF1B1F">
      <w:rPr>
        <w:rFonts w:ascii="Arial" w:hAnsi="Arial" w:cs="Arial"/>
        <w:b/>
        <w:sz w:val="48"/>
      </w:rPr>
      <w:tab/>
    </w:r>
    <w:r w:rsidRPr="00BF1B1F">
      <w:rPr>
        <w:rFonts w:ascii="Arial" w:hAnsi="Arial" w:cs="Arial"/>
        <w:b/>
        <w:sz w:val="48"/>
      </w:rPr>
      <w:tab/>
    </w:r>
    <w:r w:rsidRPr="00BF1B1F">
      <w:tab/>
    </w:r>
    <w:r w:rsidRPr="00BF1B1F">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B1F" w:rsidRPr="00BF1B1F" w:rsidRDefault="00BF1B1F" w:rsidP="00BF1B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B1F" w:rsidRDefault="00BF1B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B1F" w:rsidRPr="00BF1B1F" w:rsidRDefault="00BF1B1F" w:rsidP="00BF1B1F">
    <w:pPr>
      <w:pStyle w:val="Footer"/>
      <w:rPr>
        <w:rFonts w:ascii="Arial" w:hAnsi="Arial" w:cs="Arial"/>
        <w:b/>
        <w:sz w:val="48"/>
      </w:rPr>
    </w:pPr>
    <w:r w:rsidRPr="00BF1B1F">
      <w:rPr>
        <w:rFonts w:ascii="Arial" w:hAnsi="Arial" w:cs="Arial"/>
        <w:b/>
        <w:sz w:val="48"/>
      </w:rPr>
      <w:t>ET</w:t>
    </w:r>
    <w:r w:rsidRPr="00BF1B1F">
      <w:rPr>
        <w:rFonts w:ascii="Arial" w:hAnsi="Arial" w:cs="Arial"/>
        <w:b/>
        <w:sz w:val="48"/>
      </w:rPr>
      <w:tab/>
    </w:r>
    <w:r>
      <w:fldChar w:fldCharType="begin"/>
    </w:r>
    <w:r>
      <w:instrText xml:space="preserve"> PAGE  \* MERGEFORMAT </w:instrText>
    </w:r>
    <w:r>
      <w:fldChar w:fldCharType="separate"/>
    </w:r>
    <w:r w:rsidR="0046341B">
      <w:rPr>
        <w:noProof/>
      </w:rPr>
      <w:t>3</w:t>
    </w:r>
    <w:r>
      <w:fldChar w:fldCharType="end"/>
    </w:r>
    <w:r>
      <w:tab/>
    </w:r>
    <w:r w:rsidRPr="00BF1B1F">
      <w:tab/>
    </w:r>
    <w:r w:rsidRPr="00BF1B1F">
      <w:rPr>
        <w:rFonts w:ascii="Arial" w:hAnsi="Arial" w:cs="Arial"/>
        <w:b/>
        <w:sz w:val="48"/>
      </w:rPr>
      <w:t>ET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B1F" w:rsidRDefault="00BF1B1F" w:rsidP="00BF1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C2" w:rsidRDefault="00430BC2" w:rsidP="00430BC2">
      <w:pPr>
        <w:spacing w:before="0" w:after="0"/>
      </w:pPr>
      <w:r>
        <w:separator/>
      </w:r>
    </w:p>
  </w:footnote>
  <w:footnote w:type="continuationSeparator" w:id="0">
    <w:p w:rsidR="00430BC2" w:rsidRDefault="00430BC2" w:rsidP="00430BC2">
      <w:pPr>
        <w:spacing w:before="0" w:after="0"/>
      </w:pPr>
      <w:r>
        <w:continuationSeparator/>
      </w:r>
    </w:p>
  </w:footnote>
  <w:footnote w:id="1">
    <w:p w:rsidR="00430BC2" w:rsidRPr="00980B82" w:rsidRDefault="00430BC2" w:rsidP="00430BC2">
      <w:pPr>
        <w:pStyle w:val="FootnoteText"/>
      </w:pPr>
      <w:r>
        <w:rPr>
          <w:rStyle w:val="FootnoteReference"/>
        </w:rPr>
        <w:footnoteRef/>
      </w:r>
      <w:r>
        <w:tab/>
        <w:t>ELT L 176, 27.6.2013, lk 1, ELI: http://data.europa.eu/eli/reg/2013/575/oj.</w:t>
      </w:r>
    </w:p>
  </w:footnote>
  <w:footnote w:id="2">
    <w:p w:rsidR="00430BC2" w:rsidRPr="006510B1" w:rsidRDefault="00430BC2" w:rsidP="00430BC2">
      <w:pPr>
        <w:pStyle w:val="FootnoteText"/>
        <w:rPr>
          <w:rFonts w:eastAsiaTheme="minorEastAsia"/>
        </w:rPr>
      </w:pPr>
      <w:r>
        <w:rPr>
          <w:rStyle w:val="FootnoteReference"/>
        </w:rPr>
        <w:footnoteRef/>
      </w:r>
      <w:r>
        <w:tab/>
        <w:t xml:space="preserve">Euroopa Parlamendi ja nõukogu 31. mai 2024. aasta määrus (EL) 2024/1623, millega muudetakse määrust (EL) nr 575/2013 seoses krediidiriski, krediidiväärtuse korrigeerimise riski, operatsiooniriski, tururiski ja minimaalse väljundmäära nõuetega (ELT L, 19.6.2024, lk 1, ELI: </w:t>
      </w:r>
      <w:bookmarkStart w:id="1" w:name="_Hlk198544494"/>
      <w:r>
        <w:t>http://data.europa.eu/eli/reg/2024/1623/oj</w:t>
      </w:r>
      <w:bookmarkEnd w:id="1"/>
      <w:r>
        <w:t>).</w:t>
      </w:r>
    </w:p>
  </w:footnote>
  <w:footnote w:id="3">
    <w:p w:rsidR="00430BC2" w:rsidRPr="006510B1" w:rsidRDefault="00430BC2" w:rsidP="00430BC2">
      <w:pPr>
        <w:pStyle w:val="FootnoteText"/>
      </w:pPr>
      <w:r>
        <w:rPr>
          <w:rStyle w:val="FootnoteReference"/>
        </w:rPr>
        <w:footnoteRef/>
      </w:r>
      <w:r>
        <w:tab/>
        <w:t>Komisjoni 29. novembri 2024. aasta rakendusmäärus (EL) 2024/3117, milles sätestatakse rakenduslikud tehnilised standardid Euroopa Parlamendi ja nõukogu määruse (EL) nr 575/2013 kohaldamiseks seoses finantsinstitutsioonide järelevalvelise aruandlusega ning tunnistatakse kehtetuks komisjoni rakendusmäärus (EL) 2021/451 (ELT L, 2024/3117, 27.12.2024, lk 1, ELI: </w:t>
      </w:r>
      <w:bookmarkStart w:id="2" w:name="_Hlk198544532"/>
      <w:r>
        <w:fldChar w:fldCharType="begin"/>
      </w:r>
      <w:r>
        <w:instrText>HYPERLINK "http://data.europa.eu/eli/reg_impl/2024/3117/oj" \t "_blank" \o "Juurdepääs dokumendile ELI URI kaudu."</w:instrText>
      </w:r>
      <w:r>
        <w:fldChar w:fldCharType="separate"/>
      </w:r>
      <w:r>
        <w:t>http://data.europa.eu/eli/reg_impl/2024/3117/oj</w:t>
      </w:r>
      <w:r>
        <w:fldChar w:fldCharType="end"/>
      </w:r>
      <w:bookmarkEnd w:id="2"/>
      <w:r>
        <w:t>).</w:t>
      </w:r>
    </w:p>
  </w:footnote>
  <w:footnote w:id="4">
    <w:p w:rsidR="00430BC2" w:rsidRPr="0029202E" w:rsidRDefault="00430BC2" w:rsidP="00430BC2">
      <w:pPr>
        <w:pStyle w:val="FootnoteText"/>
      </w:pPr>
      <w:r>
        <w:rPr>
          <w:rStyle w:val="FootnoteReference"/>
        </w:rPr>
        <w:footnoteRef/>
      </w:r>
      <w:r>
        <w:tab/>
        <w:t>Komisjoni 12. juuni 2025. aasta delegeeritud määrus (EL) 2025/1496, millega muudetakse Euroopa Parlamendi ja nõukogu määrust (EL) nr 575/2013 seoses tururiski omavahendite nõuete kohaldamise alguskuupäevaga (ELT L, 2025/1496, 19.9.2025, ELI: http://data.europa.eu/eli/reg_del/2025/1496/oj).</w:t>
      </w:r>
    </w:p>
  </w:footnote>
  <w:footnote w:id="5">
    <w:p w:rsidR="00430BC2" w:rsidRDefault="00430BC2" w:rsidP="00430BC2">
      <w:pPr>
        <w:pStyle w:val="FootnoteText"/>
      </w:pPr>
      <w:r>
        <w:rPr>
          <w:rStyle w:val="FootnoteReference"/>
        </w:rPr>
        <w:footnoteRef/>
      </w:r>
      <w:r>
        <w:tab/>
        <w:t xml:space="preserve">Komisjoni 17. detsembri 2020. aasta rakendusmäärus (EL) 2021/451, milles sätestatakse rakenduslikud tehnilised standardid Euroopa Parlamendi ja nõukogu määruse (EL) nr 575/2013 kohaldamiseks seoses krediidiasutuste ja investeerimisühingute järelevalvelise aruandlusega ning tunnistatakse kehtetuks rakendusmäärus (EL) nr 680/2014 (ELT L 97, 19.3.2021, lk 1, ELI: </w:t>
      </w:r>
      <w:hyperlink r:id="rId1" w:history="1">
        <w:r>
          <w:rPr>
            <w:rStyle w:val="Hyperlink"/>
          </w:rPr>
          <w:t>http://data.europa.eu/eli/reg_impl/2021/451/oj</w:t>
        </w:r>
      </w:hyperlink>
      <w:r>
        <w:t>).</w:t>
      </w:r>
    </w:p>
  </w:footnote>
  <w:footnote w:id="6">
    <w:p w:rsidR="00430BC2" w:rsidRPr="006510B1" w:rsidRDefault="00430BC2" w:rsidP="00430BC2">
      <w:pPr>
        <w:pStyle w:val="FootnoteText"/>
      </w:pPr>
      <w:r>
        <w:rPr>
          <w:rStyle w:val="FootnoteReference"/>
        </w:rPr>
        <w:footnoteRef/>
      </w:r>
      <w:r>
        <w:tab/>
      </w:r>
      <w:bookmarkStart w:id="3" w:name="_Hlk198544390"/>
      <w:r>
        <w:t>Euroopa Parlamendi ja nõukogu 24. novembri 2010. aasta määrus (EL) nr 1093/2010, millega asutatakse Euroopa Järelevalveasutus</w:t>
      </w:r>
      <w:bookmarkEnd w:id="3"/>
      <w:r>
        <w:t xml:space="preserve"> (Euroopa Pangandusjärelevalve), muudetakse otsust nr 716/2009/EÜ ning tunnistatakse kehtetuks komisjoni otsus 2009/78/EÜ (ELT L 331, 15.12.2010, lk 12, ELI: http://data.europa.eu/eli/reg/2010/1093/oj).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B1F" w:rsidRPr="00BF1B1F" w:rsidRDefault="00BF1B1F" w:rsidP="00BF1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B1F" w:rsidRPr="00BF1B1F" w:rsidRDefault="00BF1B1F" w:rsidP="00BF1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B1F" w:rsidRPr="00BF1B1F" w:rsidRDefault="00BF1B1F" w:rsidP="00BF1B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B1F" w:rsidRDefault="00BF1B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B1F" w:rsidRDefault="00BF1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61C249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066C2F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810A30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4F0E1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F4E849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F825BE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2E45A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22"/>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2-02 10:08:3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C9E0514-9FD1-46B6-AA72-C3212E8B770A"/>
    <w:docVar w:name="LW_COVERPAGE_TYPE" w:val="1"/>
    <w:docVar w:name="LW_CreatedUtc" w:val="2025-10-08T14:24:25.1973363Z"/>
    <w:docVar w:name="LW_CROSSREFERENCE" w:val="&lt;UNUSED&gt;"/>
    <w:docVar w:name="LW_DATE.ADOPT.CP" w:val="8.12.2025,"/>
    <w:docVar w:name="LW_DATE.ADOPT.CP_DATEFORMAT" w:val="%DATE%,"/>
    <w:docVar w:name="LW_DATE.ADOPT.CP_ISODATE" w:val="2025-12-08"/>
    <w:docVar w:name="LW_DocType" w:val="COM"/>
    <w:docVar w:name="LW_EMISSION" w:val="8.12.2025"/>
    <w:docVar w:name="LW_EMISSION_ISODATE" w:val="2025-12-08"/>
    <w:docVar w:name="LW_EMISSION_LOCATION" w:val="BRX"/>
    <w:docVar w:name="LW_EMISSION_PREFIX" w:val="Brüssel,"/>
    <w:docVar w:name="LW_EMISSION_SUFFIX" w:val=" "/>
    <w:docVar w:name="LW_ID_DOCMODEL" w:val="SJ-004"/>
    <w:docVar w:name="LW_ID_DOCSIGNATURE" w:val="SJ-004"/>
    <w:docVar w:name="LW_ID_DOCSTRUCTURE" w:val="COM/AA"/>
    <w:docVar w:name="LW_ID_DOCTYPE" w:val="SJ-004"/>
    <w:docVar w:name="LW_INTERETEEE.CP" w:val="(EMPs kohaldatav tekst)"/>
    <w:docVar w:name="LW_LANGUE" w:val="ET"/>
    <w:docVar w:name="LW_LANGUESFAISANTFOI.CP" w:val="&lt;UNUSED&gt;"/>
    <w:docVar w:name="LW_LEVEL_OF_SENSITIVITY" w:val="Standard treatment"/>
    <w:docVar w:name="LW_NOM.INST" w:val="EUROOPA KOMISJON"/>
    <w:docVar w:name="LW_NOM.INST_JOINTDOC" w:val="&lt;EMPTY&gt;"/>
    <w:docVar w:name="LW_PART_NBR" w:val="1"/>
    <w:docVar w:name="LW_PART_NBR_TOTAL" w:val="1"/>
    <w:docVar w:name="LW_REF.INST.NEW" w:val="C"/>
    <w:docVar w:name="LW_REF.INST.NEW_ADOPTED" w:val="final"/>
    <w:docVar w:name="LW_REF.INST.NEW_TEXT" w:val="(2025) 83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illega muudetakse rakendusmääruses (EL) 2024/3117 sätestatud rakenduslikke tehnilisi standardeid seoses finantsinstitutsioonide operatsiooniriski järelevalvelise aruandlusega"/>
    <w:docVar w:name="LW_TYPE.DOC.CP" w:val="KOMISJONI RAKENDUSMÄÄRUS (EL) \u8230?/\u8230?,"/>
    <w:docVar w:name="LwApiVersions" w:val="LW4CoDe 1.24.5.0; LW 9.2, Build 20251112"/>
  </w:docVars>
  <w:rsids>
    <w:rsidRoot w:val="00430BC2"/>
    <w:rsid w:val="00017C96"/>
    <w:rsid w:val="0004435A"/>
    <w:rsid w:val="00050CA3"/>
    <w:rsid w:val="000A2100"/>
    <w:rsid w:val="001065F5"/>
    <w:rsid w:val="0011543E"/>
    <w:rsid w:val="001238EF"/>
    <w:rsid w:val="00133705"/>
    <w:rsid w:val="00151C13"/>
    <w:rsid w:val="00197613"/>
    <w:rsid w:val="001C2E38"/>
    <w:rsid w:val="001E1420"/>
    <w:rsid w:val="00233DC7"/>
    <w:rsid w:val="00247779"/>
    <w:rsid w:val="00285BEE"/>
    <w:rsid w:val="0029533F"/>
    <w:rsid w:val="002B30AF"/>
    <w:rsid w:val="002D1638"/>
    <w:rsid w:val="002E5318"/>
    <w:rsid w:val="0033344A"/>
    <w:rsid w:val="0038150A"/>
    <w:rsid w:val="0042648E"/>
    <w:rsid w:val="00430BC2"/>
    <w:rsid w:val="004404AB"/>
    <w:rsid w:val="00445072"/>
    <w:rsid w:val="0046341B"/>
    <w:rsid w:val="00487D9D"/>
    <w:rsid w:val="004936D2"/>
    <w:rsid w:val="005152A4"/>
    <w:rsid w:val="0052663D"/>
    <w:rsid w:val="0055312E"/>
    <w:rsid w:val="00561998"/>
    <w:rsid w:val="00562257"/>
    <w:rsid w:val="005B0182"/>
    <w:rsid w:val="005B1EB6"/>
    <w:rsid w:val="005D20A7"/>
    <w:rsid w:val="00606522"/>
    <w:rsid w:val="00606551"/>
    <w:rsid w:val="0064630D"/>
    <w:rsid w:val="00680B77"/>
    <w:rsid w:val="006A3A74"/>
    <w:rsid w:val="006F3E02"/>
    <w:rsid w:val="00745F3C"/>
    <w:rsid w:val="0076425B"/>
    <w:rsid w:val="007725E1"/>
    <w:rsid w:val="00773331"/>
    <w:rsid w:val="007932EF"/>
    <w:rsid w:val="007E05B0"/>
    <w:rsid w:val="008402CC"/>
    <w:rsid w:val="00847BAB"/>
    <w:rsid w:val="00874B9D"/>
    <w:rsid w:val="00874D22"/>
    <w:rsid w:val="00883B63"/>
    <w:rsid w:val="0089317B"/>
    <w:rsid w:val="008A2914"/>
    <w:rsid w:val="008E4D8E"/>
    <w:rsid w:val="00903EB7"/>
    <w:rsid w:val="00957BDE"/>
    <w:rsid w:val="00957EB7"/>
    <w:rsid w:val="0099733B"/>
    <w:rsid w:val="009F2131"/>
    <w:rsid w:val="00A362F7"/>
    <w:rsid w:val="00A452D3"/>
    <w:rsid w:val="00A50C30"/>
    <w:rsid w:val="00A9563C"/>
    <w:rsid w:val="00AC2E30"/>
    <w:rsid w:val="00AD7C0F"/>
    <w:rsid w:val="00AE3DBA"/>
    <w:rsid w:val="00B40F1A"/>
    <w:rsid w:val="00B443FE"/>
    <w:rsid w:val="00B94195"/>
    <w:rsid w:val="00BE598E"/>
    <w:rsid w:val="00BF1B1F"/>
    <w:rsid w:val="00C12301"/>
    <w:rsid w:val="00C4275C"/>
    <w:rsid w:val="00C84FA7"/>
    <w:rsid w:val="00C862B2"/>
    <w:rsid w:val="00CB7A5F"/>
    <w:rsid w:val="00CE1BA2"/>
    <w:rsid w:val="00D03513"/>
    <w:rsid w:val="00D06C7B"/>
    <w:rsid w:val="00D20381"/>
    <w:rsid w:val="00E3689A"/>
    <w:rsid w:val="00F04033"/>
    <w:rsid w:val="00F47C85"/>
    <w:rsid w:val="00F86B8A"/>
    <w:rsid w:val="00FC0615"/>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9BDB1EF0-7C92-4C1A-8025-16837D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30BC2"/>
    <w:pPr>
      <w:numPr>
        <w:numId w:val="1"/>
      </w:numPr>
    </w:pPr>
    <w:rPr>
      <w:rFonts w:eastAsia="Times New Roman"/>
      <w:lang w:eastAsia="en-GB"/>
    </w:rPr>
  </w:style>
  <w:style w:type="character" w:styleId="Hyperlink">
    <w:name w:val="Hyperlink"/>
    <w:basedOn w:val="DefaultParagraphFont"/>
    <w:uiPriority w:val="99"/>
    <w:unhideWhenUsed/>
    <w:rsid w:val="00430BC2"/>
    <w:rPr>
      <w:color w:val="0000FF" w:themeColor="hyperlink"/>
      <w:u w:val="single"/>
    </w:rPr>
  </w:style>
  <w:style w:type="character" w:styleId="CommentReference">
    <w:name w:val="annotation reference"/>
    <w:basedOn w:val="DefaultParagraphFont"/>
    <w:uiPriority w:val="99"/>
    <w:semiHidden/>
    <w:unhideWhenUsed/>
    <w:rsid w:val="00B40F1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ListBullet2">
    <w:name w:val="List Bullet 2"/>
    <w:basedOn w:val="Normal"/>
    <w:uiPriority w:val="99"/>
    <w:semiHidden/>
    <w:unhideWhenUsed/>
    <w:rsid w:val="0004435A"/>
    <w:pPr>
      <w:numPr>
        <w:numId w:val="4"/>
      </w:numPr>
      <w:contextualSpacing/>
    </w:pPr>
  </w:style>
  <w:style w:type="paragraph" w:styleId="ListBullet3">
    <w:name w:val="List Bullet 3"/>
    <w:basedOn w:val="Normal"/>
    <w:uiPriority w:val="99"/>
    <w:semiHidden/>
    <w:unhideWhenUsed/>
    <w:rsid w:val="0004435A"/>
    <w:pPr>
      <w:numPr>
        <w:numId w:val="5"/>
      </w:numPr>
      <w:contextualSpacing/>
    </w:pPr>
  </w:style>
  <w:style w:type="paragraph" w:styleId="ListBullet4">
    <w:name w:val="List Bullet 4"/>
    <w:basedOn w:val="Normal"/>
    <w:uiPriority w:val="99"/>
    <w:semiHidden/>
    <w:unhideWhenUsed/>
    <w:rsid w:val="0004435A"/>
    <w:pPr>
      <w:numPr>
        <w:numId w:val="6"/>
      </w:numPr>
      <w:contextualSpacing/>
    </w:pPr>
  </w:style>
  <w:style w:type="paragraph" w:styleId="Caption">
    <w:name w:val="caption"/>
    <w:basedOn w:val="Normal"/>
    <w:next w:val="Normal"/>
    <w:uiPriority w:val="35"/>
    <w:semiHidden/>
    <w:unhideWhenUsed/>
    <w:qFormat/>
    <w:rsid w:val="0060652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06522"/>
    <w:pPr>
      <w:spacing w:after="0"/>
    </w:pPr>
  </w:style>
  <w:style w:type="paragraph" w:styleId="ListNumber">
    <w:name w:val="List Number"/>
    <w:basedOn w:val="Normal"/>
    <w:uiPriority w:val="99"/>
    <w:semiHidden/>
    <w:unhideWhenUsed/>
    <w:rsid w:val="00606522"/>
    <w:pPr>
      <w:numPr>
        <w:numId w:val="7"/>
      </w:numPr>
      <w:contextualSpacing/>
    </w:pPr>
  </w:style>
  <w:style w:type="paragraph" w:styleId="ListNumber2">
    <w:name w:val="List Number 2"/>
    <w:basedOn w:val="Normal"/>
    <w:uiPriority w:val="99"/>
    <w:semiHidden/>
    <w:unhideWhenUsed/>
    <w:rsid w:val="00606522"/>
    <w:pPr>
      <w:numPr>
        <w:numId w:val="8"/>
      </w:numPr>
      <w:contextualSpacing/>
    </w:pPr>
  </w:style>
  <w:style w:type="paragraph" w:styleId="ListNumber3">
    <w:name w:val="List Number 3"/>
    <w:basedOn w:val="Normal"/>
    <w:uiPriority w:val="99"/>
    <w:semiHidden/>
    <w:unhideWhenUsed/>
    <w:rsid w:val="00606522"/>
    <w:pPr>
      <w:numPr>
        <w:numId w:val="9"/>
      </w:numPr>
      <w:contextualSpacing/>
    </w:pPr>
  </w:style>
  <w:style w:type="paragraph" w:styleId="ListNumber4">
    <w:name w:val="List Number 4"/>
    <w:basedOn w:val="Normal"/>
    <w:uiPriority w:val="99"/>
    <w:semiHidden/>
    <w:unhideWhenUsed/>
    <w:rsid w:val="00606522"/>
    <w:pPr>
      <w:numPr>
        <w:numId w:val="10"/>
      </w:numPr>
      <w:contextualSpacing/>
    </w:pPr>
  </w:style>
  <w:style w:type="character" w:customStyle="1" w:styleId="HeaderChar">
    <w:name w:val="Header Char"/>
    <w:basedOn w:val="DefaultParagraphFont"/>
    <w:link w:val="Header"/>
    <w:uiPriority w:val="99"/>
    <w:rsid w:val="00BF1B1F"/>
    <w:rPr>
      <w:rFonts w:ascii="Times New Roman" w:hAnsi="Times New Roman" w:cs="Times New Roman"/>
      <w:sz w:val="24"/>
      <w:lang w:val="et-EE"/>
    </w:rPr>
  </w:style>
  <w:style w:type="character" w:customStyle="1" w:styleId="FooterChar">
    <w:name w:val="Footer Char"/>
    <w:basedOn w:val="DefaultParagraphFont"/>
    <w:link w:val="Footer"/>
    <w:uiPriority w:val="99"/>
    <w:rsid w:val="00BF1B1F"/>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t-E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t-E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t-E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t-E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t-E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t-E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t-E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F1B1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F1B1F"/>
    <w:pPr>
      <w:spacing w:before="0"/>
      <w:jc w:val="right"/>
    </w:pPr>
    <w:rPr>
      <w:sz w:val="28"/>
    </w:rPr>
  </w:style>
  <w:style w:type="paragraph" w:customStyle="1" w:styleId="FooterSensitivity">
    <w:name w:val="Footer Sensitivity"/>
    <w:basedOn w:val="Normal"/>
    <w:rsid w:val="00BF1B1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BF1B1F"/>
    <w:pPr>
      <w:tabs>
        <w:tab w:val="center" w:pos="4535"/>
        <w:tab w:val="right" w:pos="9071"/>
      </w:tabs>
      <w:spacing w:before="0"/>
    </w:pPr>
  </w:style>
  <w:style w:type="paragraph" w:customStyle="1" w:styleId="HeaderLandscape">
    <w:name w:val="HeaderLandscape"/>
    <w:basedOn w:val="Normal"/>
    <w:rsid w:val="00BF1B1F"/>
    <w:pPr>
      <w:tabs>
        <w:tab w:val="center" w:pos="7285"/>
        <w:tab w:val="right" w:pos="14003"/>
      </w:tabs>
      <w:spacing w:before="0"/>
    </w:pPr>
  </w:style>
  <w:style w:type="paragraph" w:styleId="Footer">
    <w:name w:val="footer"/>
    <w:basedOn w:val="Normal"/>
    <w:link w:val="FooterChar"/>
    <w:uiPriority w:val="99"/>
    <w:unhideWhenUsed/>
    <w:rsid w:val="00BF1B1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BF1B1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1/4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DC13EB184F4EBE5AA21BE9F247DB" ma:contentTypeVersion="4" ma:contentTypeDescription="Create a new document." ma:contentTypeScope="" ma:versionID="10be360f5c62a8d3a4e267eb14d21e0e">
  <xsd:schema xmlns:xsd="http://www.w3.org/2001/XMLSchema" xmlns:xs="http://www.w3.org/2001/XMLSchema" xmlns:p="http://schemas.microsoft.com/office/2006/metadata/properties" xmlns:ns2="00b59672-fe45-4cd1-beac-f346117953eb" targetNamespace="http://schemas.microsoft.com/office/2006/metadata/properties" ma:root="true" ma:fieldsID="172bd27ebbff65573fbd17f85c504c71" ns2:_="">
    <xsd:import namespace="00b59672-fe45-4cd1-beac-f34611795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59672-fe45-4cd1-beac-f34611795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39DE4-34D5-4B40-A120-3B49A5D22478}"/>
</file>

<file path=customXml/itemProps2.xml><?xml version="1.0" encoding="utf-8"?>
<ds:datastoreItem xmlns:ds="http://schemas.openxmlformats.org/officeDocument/2006/customXml" ds:itemID="{5C1D0021-A16C-49EF-A75B-1207C04845CE}"/>
</file>

<file path=customXml/itemProps3.xml><?xml version="1.0" encoding="utf-8"?>
<ds:datastoreItem xmlns:ds="http://schemas.openxmlformats.org/officeDocument/2006/customXml" ds:itemID="{CB0D86ED-1335-469D-8E0F-8582C61B6D98}"/>
</file>

<file path=docProps/app.xml><?xml version="1.0" encoding="utf-8"?>
<Properties xmlns="http://schemas.openxmlformats.org/officeDocument/2006/extended-properties" xmlns:vt="http://schemas.openxmlformats.org/officeDocument/2006/docPropsVTypes">
  <Template>COM.dotm</Template>
  <TotalTime>6</TotalTime>
  <Pages>4</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34</cp:revision>
  <dcterms:created xsi:type="dcterms:W3CDTF">2025-11-19T12:59:00Z</dcterms:created>
  <dcterms:modified xsi:type="dcterms:W3CDTF">2025-12-02T09:08:00Z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2025-10-08T14:35:46Z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9612d0f4-a765-4411-b663-a2b3981f03de</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y fmtid="{D5CDD505-2E9C-101B-9397-08002B2CF9AE}" pid="19" name="ContentTypeId">
    <vt:lpwstr>0x010100A640DC13EB184F4EBE5AA21BE9F247DB</vt:lpwstr>
  </property>
</Properties>
</file>