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4572FB" w:rsidRDefault="009F1294" w:rsidP="009F129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2ACEA8F-B963-4DA3-9C48-B7AAB18EAD8D" style="width:455.25pt;height:345.75pt">
            <v:imagedata r:id="rId7" o:title=""/>
          </v:shape>
        </w:pict>
      </w:r>
    </w:p>
    <w:p w:rsidR="00430BC2" w:rsidRPr="004572FB" w:rsidRDefault="00430BC2">
      <w:pPr>
        <w:rPr>
          <w:noProof/>
        </w:rPr>
        <w:sectPr w:rsidR="00430BC2" w:rsidRPr="004572FB" w:rsidSect="009F1294">
          <w:footerReference w:type="even" r:id="rId8"/>
          <w:footerReference w:type="default" r:id="rId9"/>
          <w:pgSz w:w="11907" w:h="16839"/>
          <w:pgMar w:top="1134" w:right="1417" w:bottom="1134" w:left="1417" w:header="709" w:footer="709" w:gutter="0"/>
          <w:pgNumType w:start="0"/>
          <w:cols w:space="720"/>
          <w:docGrid w:linePitch="360"/>
        </w:sectPr>
      </w:pPr>
    </w:p>
    <w:p w:rsidR="00430BC2" w:rsidRPr="004572FB" w:rsidRDefault="004572FB" w:rsidP="004572FB">
      <w:pPr>
        <w:pStyle w:val="Typedudocument"/>
        <w:rPr>
          <w:noProof/>
        </w:rPr>
      </w:pPr>
      <w:bookmarkStart w:id="0" w:name="_GoBack"/>
      <w:bookmarkEnd w:id="0"/>
      <w:r w:rsidRPr="004572FB">
        <w:rPr>
          <w:noProof/>
        </w:rPr>
        <w:lastRenderedPageBreak/>
        <w:t>ΕΚΤΕΛΕΣΤΙΚΟΣ ΚΑΝΟΝΙΣΜΟΣ (ΕΕ) …/... ΤΗΣ ΕΠΙΤΡΟΠΗΣ</w:t>
      </w:r>
    </w:p>
    <w:p w:rsidR="00430BC2" w:rsidRPr="004572FB" w:rsidRDefault="00B90E7F" w:rsidP="004572FB">
      <w:pPr>
        <w:pStyle w:val="Datedadoption"/>
        <w:rPr>
          <w:noProof/>
        </w:rPr>
      </w:pPr>
      <w:r>
        <w:rPr>
          <w:noProof/>
        </w:rPr>
        <w:t>της 8.12.2025</w:t>
      </w:r>
    </w:p>
    <w:p w:rsidR="00430BC2" w:rsidRPr="004572FB" w:rsidRDefault="004572FB" w:rsidP="004572FB">
      <w:pPr>
        <w:pStyle w:val="Titreobjet"/>
        <w:rPr>
          <w:noProof/>
        </w:rPr>
      </w:pPr>
      <w:r w:rsidRPr="004572FB">
        <w:rPr>
          <w:noProof/>
        </w:rPr>
        <w:t>για την τροποποίηση των εκτελεστικών τεχνικών προτύπων που καθορίζονται στον εκτελεστικό κανονισμό (ΕΕ) 2024/3117 όσον αφορά την υποβολή εποπτικών αναφορών από τα ιδρύματα σχετικά με τον λειτουργικό κίνδυνο</w:t>
      </w:r>
    </w:p>
    <w:p w:rsidR="00430BC2" w:rsidRPr="004572FB" w:rsidRDefault="004572FB" w:rsidP="004572FB">
      <w:pPr>
        <w:pStyle w:val="IntrtEEE"/>
        <w:rPr>
          <w:noProof/>
        </w:rPr>
      </w:pPr>
      <w:r w:rsidRPr="004572FB">
        <w:rPr>
          <w:noProof/>
        </w:rPr>
        <w:t>(Κείμενο που παρουσιάζει ενδιαφέρον για τον ΕΟΧ)</w:t>
      </w:r>
    </w:p>
    <w:p w:rsidR="00430BC2" w:rsidRPr="004572FB" w:rsidRDefault="00430BC2" w:rsidP="004E1EF9">
      <w:pPr>
        <w:pStyle w:val="Institutionquiagit"/>
        <w:rPr>
          <w:noProof/>
        </w:rPr>
      </w:pPr>
      <w:r w:rsidRPr="004572FB">
        <w:rPr>
          <w:noProof/>
        </w:rPr>
        <w:t>Η ΕΥΡΩΠΑΪΚΗ ΕΠΙΤΡΟΠΗ,</w:t>
      </w:r>
    </w:p>
    <w:p w:rsidR="00430BC2" w:rsidRPr="004572FB" w:rsidRDefault="00430BC2" w:rsidP="004E1EF9">
      <w:pPr>
        <w:rPr>
          <w:noProof/>
        </w:rPr>
      </w:pPr>
      <w:r w:rsidRPr="004572FB">
        <w:rPr>
          <w:noProof/>
        </w:rPr>
        <w:t>Έχοντας υπόψη τον κανονισμό (ΕΕ) αριθ. 575/2013 του Ευρωπαϊκού Κοινοβουλίου και του Συμβουλίου, της 26ης Ιουνίου 2013, σχετικά με τις απαιτήσεις προληπτικής εποπτείας για πιστωτικά ιδρύματα και για την τροποποίηση του κανονισμού (ΕΕ) αριθ. 648/2012</w:t>
      </w:r>
      <w:r w:rsidRPr="004572FB">
        <w:rPr>
          <w:rStyle w:val="FootnoteReference"/>
          <w:noProof/>
        </w:rPr>
        <w:footnoteReference w:id="1"/>
      </w:r>
      <w:r w:rsidRPr="004572FB">
        <w:rPr>
          <w:noProof/>
        </w:rPr>
        <w:t>, και ιδίως το άρθρο 430 παράγραφος 7 πέμπτο εδάφιο,</w:t>
      </w:r>
    </w:p>
    <w:p w:rsidR="00430BC2" w:rsidRPr="004572FB" w:rsidRDefault="00430BC2" w:rsidP="004E1EF9">
      <w:pPr>
        <w:rPr>
          <w:noProof/>
        </w:rPr>
      </w:pPr>
      <w:r w:rsidRPr="004572FB">
        <w:rPr>
          <w:noProof/>
        </w:rPr>
        <w:t>Εκτιμώντας τα ακόλουθα:</w:t>
      </w:r>
    </w:p>
    <w:p w:rsidR="00430BC2" w:rsidRPr="004572FB" w:rsidRDefault="002F7179" w:rsidP="002F7179">
      <w:pPr>
        <w:pStyle w:val="ManualConsidrant"/>
        <w:rPr>
          <w:noProof/>
        </w:rPr>
      </w:pPr>
      <w:r w:rsidRPr="002F7179">
        <w:rPr>
          <w:noProof/>
        </w:rPr>
        <w:t>(1)</w:t>
      </w:r>
      <w:r w:rsidRPr="002F7179">
        <w:rPr>
          <w:noProof/>
        </w:rPr>
        <w:tab/>
      </w:r>
      <w:r w:rsidR="00430BC2" w:rsidRPr="004572FB">
        <w:rPr>
          <w:noProof/>
        </w:rPr>
        <w:t>Ο κανονισμός (ΕΕ) αριθ. 575/2013 τροποποιήθηκε με τον κανονισμό (ΕΕ) 2024/1623 του Ευρωπαϊκού Κοινοβουλίου και του Συμβουλίου</w:t>
      </w:r>
      <w:r w:rsidR="00430BC2" w:rsidRPr="004572FB">
        <w:rPr>
          <w:rStyle w:val="FootnoteReference"/>
          <w:noProof/>
        </w:rPr>
        <w:footnoteReference w:id="2"/>
      </w:r>
      <w:r w:rsidR="00430BC2" w:rsidRPr="004572FB">
        <w:rPr>
          <w:noProof/>
        </w:rPr>
        <w:t xml:space="preserve"> για την εφαρμογή της πλέον πρόσφατης δέσμης διεθνών προτύπων της Επιτροπής της Βασιλείας για την Τραπεζική Εποπτεία (Βασιλεία III). Τα εν λόγω πρότυπα οδήγησαν στην έκδοση του εκτελεστικού κανονισμού (ΕΕ) 2024/3117</w:t>
      </w:r>
      <w:r w:rsidR="00430BC2" w:rsidRPr="004572FB">
        <w:rPr>
          <w:rStyle w:val="FootnoteReference"/>
          <w:noProof/>
        </w:rPr>
        <w:footnoteReference w:id="3"/>
      </w:r>
      <w:r w:rsidR="00430BC2" w:rsidRPr="004572FB">
        <w:rPr>
          <w:noProof/>
        </w:rPr>
        <w:t xml:space="preserve"> της Επιτροπής για τη θέσπιση εκτελεστικών τεχνικών προτύπων για την εφαρμογή του κανονισμού (ΕΕ) αριθ. 575/2013 όσον αφορά την υποβολή εποπτικών αναφορών από τα ιδρύματα.</w:t>
      </w:r>
    </w:p>
    <w:p w:rsidR="00430BC2" w:rsidRPr="004572FB" w:rsidRDefault="002F7179" w:rsidP="002F7179">
      <w:pPr>
        <w:pStyle w:val="ManualConsidrant"/>
        <w:rPr>
          <w:noProof/>
        </w:rPr>
      </w:pPr>
      <w:r w:rsidRPr="002F7179">
        <w:rPr>
          <w:noProof/>
        </w:rPr>
        <w:t>(2)</w:t>
      </w:r>
      <w:r w:rsidRPr="002F7179">
        <w:rPr>
          <w:noProof/>
        </w:rPr>
        <w:tab/>
      </w:r>
      <w:r w:rsidR="00430BC2" w:rsidRPr="004572FB">
        <w:rPr>
          <w:noProof/>
        </w:rPr>
        <w:t>Δεδομένων των αλλαγών στο πλαίσιο προληπτικής εποπτείας όσον αφορά τις απαιτήσεις ιδίων κεφαλαίων για τον λειτουργικό κίνδυνο, ήταν αναγκαία η δημιουργία νέων υποδειγμάτων υποβολής αναφορών για να διασφαλιστεί ότι τα ιδρύματα υποβάλλουν εκθέσεις σύμφωνα με το νέο ισχύον πλαίσιο. Ενώ ορισμένες από τις εν λόγω αλλαγές στα υποδείγματα υποβολής αναφορών εισήχθησαν ήδη με τον κανονισμό (ΕΕ) 2024/3117, για την επικαιροποίηση αρκετών άλλων υποδειγμάτων ήταν απαραίτητο να προηγηθεί η περαιτέρω τεχνική ανάπτυξη των απαιτήσεων λειτουργικού κινδύνου, ιδίως όσον αφορά τον προσδιορισμό των συνιστωσών του επιχειρηματικού δείκτη, των στοιχείων που πρέπει να εξαιρούνται από τον επιχειρηματικό δείκτη και την κατάταξή τους στα αντίστοιχα κελιά των αναφορών.</w:t>
      </w:r>
    </w:p>
    <w:p w:rsidR="00430BC2" w:rsidRPr="004572FB" w:rsidRDefault="002F7179" w:rsidP="002F7179">
      <w:pPr>
        <w:pStyle w:val="ManualConsidrant"/>
        <w:rPr>
          <w:noProof/>
        </w:rPr>
      </w:pPr>
      <w:r w:rsidRPr="002F7179">
        <w:rPr>
          <w:noProof/>
        </w:rPr>
        <w:t>(3)</w:t>
      </w:r>
      <w:r w:rsidRPr="002F7179">
        <w:rPr>
          <w:noProof/>
        </w:rPr>
        <w:tab/>
      </w:r>
      <w:r w:rsidR="00430BC2" w:rsidRPr="004572FB">
        <w:rPr>
          <w:noProof/>
        </w:rPr>
        <w:t>Με τον κατ’ εξουσιοδότηση κανονισμό (ΕΕ) 2025/1496</w:t>
      </w:r>
      <w:r w:rsidR="00430BC2" w:rsidRPr="004572FB">
        <w:rPr>
          <w:rStyle w:val="FootnoteReference"/>
          <w:noProof/>
        </w:rPr>
        <w:footnoteReference w:id="4"/>
      </w:r>
      <w:r w:rsidR="00430BC2" w:rsidRPr="004572FB">
        <w:rPr>
          <w:noProof/>
        </w:rPr>
        <w:t xml:space="preserve"> της Επιτροπής αναβλήθηκε η ημερομηνία εφαρμογής των απαιτήσεων ιδίων κεφαλαίων για τον κίνδυνο αγοράς έως την 1η Ιανουαρίου 2027. Επομένως, είναι αναγκαίο να διατηρηθεί αμετάβλητη η υποβολή αναφορών σχετικά με τις απαιτήσεις για τον κίνδυνο αγοράς που ισχύουν έως τις 31 Δεκεμβρίου 2026. Ως εκ τούτου, οι μεταβατικές διατάξεις του κανονισμού (ΕΕ) 2024/3117 θα πρέπει να παραταθούν και η κατάργηση των σχετικών διατάξεων του εκτελεστικού κανονισμού (ΕΕ) 2021/451</w:t>
      </w:r>
      <w:r w:rsidR="00430BC2" w:rsidRPr="004572FB">
        <w:rPr>
          <w:rStyle w:val="FootnoteReference"/>
          <w:noProof/>
        </w:rPr>
        <w:footnoteReference w:id="5"/>
      </w:r>
      <w:r w:rsidR="00430BC2" w:rsidRPr="004572FB">
        <w:rPr>
          <w:noProof/>
        </w:rPr>
        <w:t xml:space="preserve"> της Επιτροπής θα πρέπει να αναβληθεί κατά ένα ακόμη έτος. </w:t>
      </w:r>
    </w:p>
    <w:p w:rsidR="00430BC2" w:rsidRPr="004572FB" w:rsidRDefault="002F7179" w:rsidP="002F7179">
      <w:pPr>
        <w:pStyle w:val="ManualConsidrant"/>
        <w:rPr>
          <w:noProof/>
        </w:rPr>
      </w:pPr>
      <w:r w:rsidRPr="002F7179">
        <w:rPr>
          <w:noProof/>
        </w:rPr>
        <w:t>(4)</w:t>
      </w:r>
      <w:r w:rsidRPr="002F7179">
        <w:rPr>
          <w:noProof/>
        </w:rPr>
        <w:tab/>
      </w:r>
      <w:r w:rsidR="00430BC2" w:rsidRPr="004572FB">
        <w:rPr>
          <w:noProof/>
        </w:rPr>
        <w:t>Επομένως, ο εκτελεστικός κανονισμός (ΕΕ) 2024/3117 θα πρέπει να τροποποιηθεί αναλόγως.</w:t>
      </w:r>
    </w:p>
    <w:p w:rsidR="00430BC2" w:rsidRPr="004572FB" w:rsidRDefault="002F7179" w:rsidP="002F7179">
      <w:pPr>
        <w:pStyle w:val="ManualConsidrant"/>
        <w:rPr>
          <w:noProof/>
        </w:rPr>
      </w:pPr>
      <w:r w:rsidRPr="002F7179">
        <w:rPr>
          <w:noProof/>
        </w:rPr>
        <w:t>(5)</w:t>
      </w:r>
      <w:r w:rsidRPr="002F7179">
        <w:rPr>
          <w:noProof/>
        </w:rPr>
        <w:tab/>
      </w:r>
      <w:r w:rsidR="00430BC2" w:rsidRPr="004572FB">
        <w:rPr>
          <w:noProof/>
        </w:rPr>
        <w:t>Ο παρών κανονισμός βασίζεται στα σχέδια εκτελεστικών τεχνικών προτύπων που υπέβαλε η Ευρωπαϊκή Αρχή Τραπεζών (στο εξής: ΕΑΤ) στην Επιτροπή.</w:t>
      </w:r>
    </w:p>
    <w:p w:rsidR="00430BC2" w:rsidRPr="004572FB" w:rsidRDefault="002F7179" w:rsidP="002F7179">
      <w:pPr>
        <w:pStyle w:val="ManualConsidrant"/>
        <w:rPr>
          <w:noProof/>
        </w:rPr>
      </w:pPr>
      <w:r w:rsidRPr="002F7179">
        <w:rPr>
          <w:noProof/>
        </w:rPr>
        <w:t>(6)</w:t>
      </w:r>
      <w:r w:rsidRPr="002F7179">
        <w:rPr>
          <w:noProof/>
        </w:rPr>
        <w:tab/>
      </w:r>
      <w:r w:rsidR="00430BC2" w:rsidRPr="004572FB">
        <w:rPr>
          <w:noProof/>
        </w:rPr>
        <w:t>Η ΕΑΤ διενήργησε ανοιχτές δημόσιες διαβουλεύσεις σχετικά με τα σχέδια εκτελεστικών τεχνικών προτύπων στα οποία βασίζεται ο παρών κανονισμός, ανέλυσε τα ενδεχόμενα συναφή κόστη και τις ωφέλειες και ζήτησε τις συμβουλές της ομάδας τραπεζικών συμφεροντούχων, που συστάθηκε σύμφωνα με το άρθρο 37 του κανονισμού (ΕΕ) αριθ. 1093/2010 του Ευρωπαϊκού Κοινοβουλίου και του Συμβουλίου</w:t>
      </w:r>
      <w:r w:rsidR="00430BC2" w:rsidRPr="004572FB">
        <w:rPr>
          <w:rStyle w:val="FootnoteReference"/>
          <w:noProof/>
        </w:rPr>
        <w:footnoteReference w:id="6"/>
      </w:r>
      <w:r w:rsidR="00430BC2" w:rsidRPr="004572FB">
        <w:rPr>
          <w:noProof/>
        </w:rPr>
        <w:t>.</w:t>
      </w:r>
    </w:p>
    <w:p w:rsidR="00430BC2" w:rsidRPr="004572FB" w:rsidRDefault="00430BC2" w:rsidP="004E1EF9">
      <w:pPr>
        <w:pStyle w:val="Formuledadoption"/>
        <w:rPr>
          <w:noProof/>
        </w:rPr>
      </w:pPr>
      <w:r w:rsidRPr="004572FB">
        <w:rPr>
          <w:noProof/>
        </w:rPr>
        <w:t>ΕΞΕΔΩΣΕ ΤΟΝ ΠΑΡΟΝΤΑ ΚΑΝΟΝΙΣΜΟ:</w:t>
      </w:r>
    </w:p>
    <w:p w:rsidR="00430BC2" w:rsidRPr="004572FB" w:rsidRDefault="00430BC2" w:rsidP="004E1EF9">
      <w:pPr>
        <w:pStyle w:val="Titrearticle"/>
        <w:rPr>
          <w:noProof/>
        </w:rPr>
      </w:pPr>
      <w:r w:rsidRPr="004572FB">
        <w:rPr>
          <w:noProof/>
        </w:rPr>
        <w:t>Άρθρο 1</w:t>
      </w:r>
    </w:p>
    <w:p w:rsidR="00430BC2" w:rsidRPr="004572FB" w:rsidRDefault="00430BC2" w:rsidP="00430BC2">
      <w:pPr>
        <w:rPr>
          <w:noProof/>
        </w:rPr>
      </w:pPr>
      <w:bookmarkStart w:id="4" w:name="_Hlk198544571"/>
      <w:r w:rsidRPr="004572FB">
        <w:rPr>
          <w:noProof/>
        </w:rPr>
        <w:t>Ο εκτελεστικός κανονισμός (ΕΕ) 2024/3117</w:t>
      </w:r>
      <w:bookmarkEnd w:id="4"/>
      <w:r w:rsidRPr="004572FB">
        <w:rPr>
          <w:noProof/>
        </w:rPr>
        <w:t xml:space="preserve"> τροποποιείται ως εξής: </w:t>
      </w:r>
    </w:p>
    <w:p w:rsidR="00430BC2" w:rsidRPr="004572FB" w:rsidRDefault="002F7179" w:rsidP="002F7179">
      <w:pPr>
        <w:pStyle w:val="Point0"/>
        <w:rPr>
          <w:noProof/>
        </w:rPr>
      </w:pPr>
      <w:r w:rsidRPr="002F7179">
        <w:rPr>
          <w:noProof/>
        </w:rPr>
        <w:t>(1)</w:t>
      </w:r>
      <w:r w:rsidRPr="002F7179">
        <w:rPr>
          <w:noProof/>
        </w:rPr>
        <w:tab/>
      </w:r>
      <w:r w:rsidR="00430BC2" w:rsidRPr="004572FB">
        <w:rPr>
          <w:noProof/>
        </w:rPr>
        <w:t>Το άρθρο 5 παράγραφος 4 αντικαθίσταται από το ακόλουθο κείμενο:</w:t>
      </w:r>
    </w:p>
    <w:p w:rsidR="00430BC2" w:rsidRPr="004572FB" w:rsidRDefault="00430BC2" w:rsidP="00430BC2">
      <w:pPr>
        <w:pStyle w:val="QuotedNumPar"/>
        <w:rPr>
          <w:noProof/>
        </w:rPr>
      </w:pPr>
      <w:r w:rsidRPr="004572FB">
        <w:rPr>
          <w:noProof/>
        </w:rPr>
        <w:t>«4. Για τον υπολογισμό των απαιτήσεων ιδίων κεφαλαίων που αναφέρονται στο άρθρο 92 παράγραφος 4 στοιχείο β) σημείο i) και στοιχείο γ) και στο άρθρο 92 παράγραφος 5 στοιχεία β) και γ) του κανονισμού (ΕΕ) αριθ. 575/2013, τα ιδρύματα υποβάλλουν, έως τις 31 Δεκεμβρίου 2026, τις πληροφορίες σχετικά με τις απαιτήσεις ιδίων κεφαλαίων που αφορούν τον κίνδυνο αγοράς σύμφωνα με το άρθρο 5 παράγραφος 12 του εκτελεστικού κανονισμού (ΕΕ) 2021/451.».</w:t>
      </w:r>
    </w:p>
    <w:p w:rsidR="00430BC2" w:rsidRPr="004572FB" w:rsidRDefault="002F7179" w:rsidP="002F7179">
      <w:pPr>
        <w:pStyle w:val="Point0"/>
        <w:rPr>
          <w:noProof/>
        </w:rPr>
      </w:pPr>
      <w:r w:rsidRPr="002F7179">
        <w:rPr>
          <w:noProof/>
        </w:rPr>
        <w:t>(2)</w:t>
      </w:r>
      <w:r w:rsidRPr="002F7179">
        <w:rPr>
          <w:noProof/>
        </w:rPr>
        <w:tab/>
      </w:r>
      <w:r w:rsidR="00430BC2" w:rsidRPr="004572FB">
        <w:rPr>
          <w:noProof/>
        </w:rPr>
        <w:t>Στο άρθρο 7 προστίθεται το ακόλουθο στοιχείο γ):</w:t>
      </w:r>
    </w:p>
    <w:p w:rsidR="00430BC2" w:rsidRPr="004572FB" w:rsidRDefault="00430BC2" w:rsidP="00430BC2">
      <w:pPr>
        <w:pStyle w:val="QuotedNumPar"/>
        <w:rPr>
          <w:noProof/>
        </w:rPr>
      </w:pPr>
      <w:r w:rsidRPr="004572FB">
        <w:rPr>
          <w:noProof/>
        </w:rPr>
        <w:t>«γ)</w:t>
      </w:r>
      <w:r w:rsidRPr="004572FB">
        <w:rPr>
          <w:noProof/>
        </w:rPr>
        <w:tab/>
        <w:t>Τα εγκατεστημένα στην ΕΕ μητρικά ιδρύματα αναφέρουν τις πληροφορίες που απαιτούνται σύμφωνα με το παράρτημα I υπόδειγμα C 16.04 σχετικά με πληροφορίες για θυγατρικές που υπόκεινται στην παρέκκλιση που προβλέπεται στο άρθρο 314 παράγραφος 3 του κανονισμού (ΕΕ) αριθ. 575/2013, σε τριμηνιαία βάση.».</w:t>
      </w:r>
    </w:p>
    <w:p w:rsidR="00430BC2" w:rsidRPr="004572FB" w:rsidRDefault="002F7179" w:rsidP="002F7179">
      <w:pPr>
        <w:pStyle w:val="Point0"/>
        <w:rPr>
          <w:noProof/>
        </w:rPr>
      </w:pPr>
      <w:r w:rsidRPr="002F7179">
        <w:rPr>
          <w:noProof/>
        </w:rPr>
        <w:t>(3)</w:t>
      </w:r>
      <w:r w:rsidRPr="002F7179">
        <w:rPr>
          <w:noProof/>
        </w:rPr>
        <w:tab/>
      </w:r>
      <w:r w:rsidR="00430BC2" w:rsidRPr="004572FB">
        <w:rPr>
          <w:noProof/>
        </w:rPr>
        <w:t>Στο άρθρο 25, οι παράγραφοι 1 και 2 αντικαθίστανται από το ακόλουθο κείμενο:</w:t>
      </w:r>
    </w:p>
    <w:p w:rsidR="00430BC2" w:rsidRPr="004572FB" w:rsidRDefault="00430BC2" w:rsidP="00430BC2">
      <w:pPr>
        <w:pStyle w:val="QuotedNumPar"/>
        <w:rPr>
          <w:noProof/>
        </w:rPr>
      </w:pPr>
      <w:r w:rsidRPr="004572FB">
        <w:rPr>
          <w:noProof/>
        </w:rPr>
        <w:t>«1. Ο εκτελεστικός κανονισμός (ΕΕ) 2021/451 παύει να εφαρμόζεται από την 1η Ιανουαρίου 2025, εκτός από το άρθρο 5 παράγραφος 12, το παράρτημα I υποδείγματα 18 έως 24 και το παράρτημα II μέρος II σημεία 5.1 έως 5.7. Το άρθρο 15 του εκτελεστικού κανονισμού (ΕΕ) 2021/451 εξακολουθεί να εφαρμόζεται έως τις 31 Δεκεμβρίου 2026 μόνο για τους σκοπούς του άρθρου 5 παράγραφος 4 του παρόντος κανονισμού.</w:t>
      </w:r>
    </w:p>
    <w:p w:rsidR="00430BC2" w:rsidRPr="004572FB" w:rsidRDefault="00430BC2" w:rsidP="00430BC2">
      <w:pPr>
        <w:pStyle w:val="QuotedNumPar"/>
        <w:rPr>
          <w:noProof/>
        </w:rPr>
      </w:pPr>
      <w:r w:rsidRPr="004572FB">
        <w:rPr>
          <w:noProof/>
        </w:rPr>
        <w:t>2. Ο εκτελεστικός κανονισμός (ΕΕ) 2021/451 καταργείται από τις 31 Δεκεμβρίου 2026.».</w:t>
      </w:r>
    </w:p>
    <w:p w:rsidR="00430BC2" w:rsidRPr="004572FB" w:rsidRDefault="002F7179" w:rsidP="002F7179">
      <w:pPr>
        <w:pStyle w:val="Point0"/>
        <w:rPr>
          <w:noProof/>
        </w:rPr>
      </w:pPr>
      <w:r w:rsidRPr="002F7179">
        <w:rPr>
          <w:noProof/>
        </w:rPr>
        <w:t>(4)</w:t>
      </w:r>
      <w:r w:rsidRPr="002F7179">
        <w:rPr>
          <w:noProof/>
        </w:rPr>
        <w:tab/>
      </w:r>
      <w:r w:rsidR="00430BC2" w:rsidRPr="004572FB">
        <w:rPr>
          <w:noProof/>
        </w:rPr>
        <w:t xml:space="preserve">Στο παράρτημα I, το τμήμα 1 — «Υποβολή αναφορών σχετικά με τα ίδια κεφάλαια και τις απαιτήσεις ιδίων κεφαλαίων», τροποποιείται ως εξής: </w:t>
      </w:r>
    </w:p>
    <w:p w:rsidR="00430BC2" w:rsidRPr="004572FB" w:rsidRDefault="004572FB" w:rsidP="004572FB">
      <w:pPr>
        <w:pStyle w:val="Point1"/>
        <w:rPr>
          <w:noProof/>
        </w:rPr>
      </w:pPr>
      <w:r w:rsidRPr="004572FB">
        <w:rPr>
          <w:noProof/>
        </w:rPr>
        <w:t>α)</w:t>
      </w:r>
      <w:r w:rsidRPr="004572FB">
        <w:rPr>
          <w:noProof/>
        </w:rPr>
        <w:tab/>
      </w:r>
      <w:r w:rsidR="00430BC2" w:rsidRPr="004572FB">
        <w:rPr>
          <w:noProof/>
        </w:rPr>
        <w:t xml:space="preserve">το υπόδειγμα «C 16.01 — ΛΕΙΤΟΥΡΓΙΚΟΣ ΚΙΝΔΥΝΟΣ — </w:t>
      </w:r>
      <w:r w:rsidR="00430BC2" w:rsidRPr="004572FB">
        <w:rPr>
          <w:caps/>
          <w:noProof/>
        </w:rPr>
        <w:t>Απαιτήσεις ιδίων κεφαλαίων (OPR OF)</w:t>
      </w:r>
      <w:r w:rsidR="00430BC2" w:rsidRPr="004572FB">
        <w:rPr>
          <w:noProof/>
        </w:rPr>
        <w:t>» αντικαθίσταται από το υπόδειγμα «C 16.01 — ΛΕΙΤΟΥΡΓΙΚΟΣ ΚΙΝΔΥΝΟΣ — Απαιτήσεις ιδίων κεφαλαίων (OPR OF)» που παρατίθεται στο παράρτημα του παρόντος κανονισμού·</w:t>
      </w:r>
    </w:p>
    <w:p w:rsidR="00430BC2" w:rsidRPr="004572FB" w:rsidRDefault="004572FB" w:rsidP="004572FB">
      <w:pPr>
        <w:pStyle w:val="Point1"/>
        <w:rPr>
          <w:noProof/>
        </w:rPr>
      </w:pPr>
      <w:r w:rsidRPr="004572FB">
        <w:rPr>
          <w:noProof/>
        </w:rPr>
        <w:t>β)</w:t>
      </w:r>
      <w:r w:rsidRPr="004572FB">
        <w:rPr>
          <w:noProof/>
        </w:rPr>
        <w:tab/>
      </w:r>
      <w:r w:rsidR="00430BC2" w:rsidRPr="004572FB">
        <w:rPr>
          <w:noProof/>
        </w:rPr>
        <w:t>μετά το υπόδειγμα «C 16.01 — ΛΕΙΤΟΥΡΓΙΚΟΣ ΚΙΝΔΥΝΟΣ — Απαιτήσεις ιδίων κεφαλαίων (OPR OF)» προστίθενται το υπόδειγμα «C 16.02 — ΛΕΙΤΟΥΡΓΙΚΟΣ ΚΙΝΔΥΝΟΣ — Συνιστώσα επιχειρηματικού δείκτη (OPR BIC)», το υπόδειγμα «C 16.03 — ΑΝΑΛΥΣΗ ΛΕΙΤΟΥΡΓΙΚΟΥ ΚΙΝΔΥΝΟΥ (OPR BD) — Ζημίες, έξοδα, προβλέψεις και άλλες χρηματοοικονομικές επιπτώσεις που απορρέουν από γεγονότα λειτουργικού κινδύνου» και το υπόδειγμα «C 16.04 — ΛΕΙΤΟΥΡΓΙΚΟΣ ΚΙΝΔΥΝΟΣ — Πληροφορίες για θυγατρικές που υπόκεινται στο άρθρο 314 παράγραφος 3 του ΚΚΑ» τα οποία παρατίθενται στο παράρτημα του παρόντος κανονισμού.</w:t>
      </w:r>
    </w:p>
    <w:p w:rsidR="00430BC2" w:rsidRPr="004572FB" w:rsidRDefault="00430BC2" w:rsidP="004E1EF9">
      <w:pPr>
        <w:pStyle w:val="Titrearticle"/>
        <w:rPr>
          <w:noProof/>
        </w:rPr>
      </w:pPr>
      <w:r w:rsidRPr="004572FB">
        <w:rPr>
          <w:noProof/>
        </w:rPr>
        <w:t>Άρθρο 2</w:t>
      </w:r>
    </w:p>
    <w:p w:rsidR="00430BC2" w:rsidRPr="004572FB" w:rsidRDefault="00430BC2" w:rsidP="004E1EF9">
      <w:pPr>
        <w:rPr>
          <w:noProof/>
        </w:rPr>
      </w:pPr>
      <w:r w:rsidRPr="004572FB">
        <w:rPr>
          <w:noProof/>
        </w:rPr>
        <w:t xml:space="preserve">Ο παρών κανονισμός αρχίζει να ισχύει την εικοστή ημέρα από τη δημοσίευσή του στην </w:t>
      </w:r>
      <w:r w:rsidRPr="004572FB">
        <w:rPr>
          <w:i/>
          <w:noProof/>
        </w:rPr>
        <w:t>Επίσημη Εφημερίδα της Ευρωπαϊκής Ένωσης</w:t>
      </w:r>
      <w:r w:rsidRPr="004572FB">
        <w:rPr>
          <w:noProof/>
        </w:rPr>
        <w:t>.</w:t>
      </w:r>
    </w:p>
    <w:p w:rsidR="00430BC2" w:rsidRPr="004572FB" w:rsidRDefault="00430BC2" w:rsidP="004E1EF9">
      <w:pPr>
        <w:pStyle w:val="Applicationdirecte"/>
        <w:rPr>
          <w:noProof/>
        </w:rPr>
      </w:pPr>
      <w:r w:rsidRPr="004572FB">
        <w:rPr>
          <w:noProof/>
        </w:rPr>
        <w:t>Ο παρών κανονισμός είναι δεσμευτικός ως προς όλα τα μέρη του και ισχύει άμεσα σε κάθε κράτος μέλος.</w:t>
      </w:r>
    </w:p>
    <w:p w:rsidR="00430BC2" w:rsidRPr="004572FB" w:rsidRDefault="00B90E7F" w:rsidP="00923245">
      <w:pPr>
        <w:pStyle w:val="Fait"/>
        <w:rPr>
          <w:noProof/>
        </w:rPr>
      </w:pPr>
      <w:r>
        <w:rPr>
          <w:noProof/>
        </w:rPr>
        <w:t>Βρυξέλλες, 8.12.2025</w:t>
      </w:r>
    </w:p>
    <w:p w:rsidR="00430BC2" w:rsidRPr="004572FB" w:rsidRDefault="00430BC2" w:rsidP="00923245">
      <w:pPr>
        <w:pStyle w:val="Institutionquisigne"/>
        <w:rPr>
          <w:noProof/>
        </w:rPr>
      </w:pPr>
      <w:r w:rsidRPr="004572FB">
        <w:rPr>
          <w:noProof/>
        </w:rPr>
        <w:tab/>
        <w:t>Για την Επιτροπή</w:t>
      </w:r>
    </w:p>
    <w:p w:rsidR="00CE1BA2" w:rsidRPr="004572FB" w:rsidRDefault="003E13ED" w:rsidP="00923245">
      <w:pPr>
        <w:pStyle w:val="Personnequisigne"/>
        <w:keepNext/>
        <w:rPr>
          <w:noProof/>
        </w:rPr>
      </w:pPr>
      <w:r>
        <w:rPr>
          <w:noProof/>
        </w:rPr>
        <w:tab/>
        <w:t>Η Πρόεδρος</w:t>
      </w:r>
      <w:r>
        <w:rPr>
          <w:noProof/>
        </w:rPr>
        <w:br/>
      </w:r>
      <w:r>
        <w:rPr>
          <w:noProof/>
        </w:rPr>
        <w:tab/>
        <w:t>Ursula VON DER LEYEN</w:t>
      </w:r>
    </w:p>
    <w:p w:rsidR="00430BC2" w:rsidRPr="004572FB" w:rsidRDefault="00430BC2" w:rsidP="00430BC2">
      <w:pPr>
        <w:pStyle w:val="Personnequisigne"/>
        <w:rPr>
          <w:noProof/>
        </w:rPr>
      </w:pPr>
    </w:p>
    <w:sectPr w:rsidR="00430BC2" w:rsidRPr="004572FB" w:rsidSect="009F1294">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Pr="009F1294" w:rsidRDefault="009F1294" w:rsidP="009F1294">
    <w:pPr>
      <w:pStyle w:val="Footer"/>
      <w:rPr>
        <w:rFonts w:ascii="Arial" w:hAnsi="Arial" w:cs="Arial"/>
        <w:b/>
        <w:sz w:val="48"/>
      </w:rPr>
    </w:pPr>
    <w:r w:rsidRPr="009F1294">
      <w:rPr>
        <w:rFonts w:ascii="Arial" w:hAnsi="Arial" w:cs="Arial"/>
        <w:b/>
        <w:sz w:val="48"/>
      </w:rPr>
      <w:t>EL</w:t>
    </w:r>
    <w:r w:rsidRPr="009F1294">
      <w:rPr>
        <w:rFonts w:ascii="Arial" w:hAnsi="Arial" w:cs="Arial"/>
        <w:b/>
        <w:sz w:val="48"/>
      </w:rPr>
      <w:tab/>
    </w:r>
    <w:r w:rsidRPr="009F1294">
      <w:rPr>
        <w:rFonts w:ascii="Arial" w:hAnsi="Arial" w:cs="Arial"/>
        <w:b/>
        <w:sz w:val="48"/>
      </w:rPr>
      <w:tab/>
    </w:r>
    <w:r w:rsidRPr="009F1294">
      <w:tab/>
    </w:r>
    <w:r w:rsidRPr="009F1294">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Pr="009F1294" w:rsidRDefault="009F1294" w:rsidP="009F1294">
    <w:pPr>
      <w:pStyle w:val="Footer"/>
      <w:rPr>
        <w:rFonts w:ascii="Arial" w:hAnsi="Arial" w:cs="Arial"/>
        <w:b/>
        <w:sz w:val="48"/>
      </w:rPr>
    </w:pPr>
    <w:r w:rsidRPr="009F1294">
      <w:rPr>
        <w:rFonts w:ascii="Arial" w:hAnsi="Arial" w:cs="Arial"/>
        <w:b/>
        <w:sz w:val="48"/>
      </w:rPr>
      <w:t>EL</w:t>
    </w:r>
    <w:r w:rsidRPr="009F1294">
      <w:rPr>
        <w:rFonts w:ascii="Arial" w:hAnsi="Arial" w:cs="Arial"/>
        <w:b/>
        <w:sz w:val="48"/>
      </w:rPr>
      <w:tab/>
    </w:r>
    <w:r w:rsidRPr="009F1294">
      <w:rPr>
        <w:rFonts w:ascii="Arial" w:hAnsi="Arial" w:cs="Arial"/>
        <w:b/>
        <w:sz w:val="48"/>
      </w:rPr>
      <w:tab/>
    </w:r>
    <w:r w:rsidRPr="009F1294">
      <w:tab/>
    </w:r>
    <w:r w:rsidRPr="009F1294">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Default="009F12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Pr="009F1294" w:rsidRDefault="009F1294" w:rsidP="009F1294">
    <w:pPr>
      <w:pStyle w:val="Footer"/>
      <w:rPr>
        <w:rFonts w:ascii="Arial" w:hAnsi="Arial" w:cs="Arial"/>
        <w:b/>
        <w:sz w:val="48"/>
      </w:rPr>
    </w:pPr>
    <w:r w:rsidRPr="009F1294">
      <w:rPr>
        <w:rFonts w:ascii="Arial" w:hAnsi="Arial" w:cs="Arial"/>
        <w:b/>
        <w:sz w:val="48"/>
      </w:rPr>
      <w:t>EL</w:t>
    </w:r>
    <w:r w:rsidRPr="009F1294">
      <w:rPr>
        <w:rFonts w:ascii="Arial" w:hAnsi="Arial" w:cs="Arial"/>
        <w:b/>
        <w:sz w:val="48"/>
      </w:rPr>
      <w:tab/>
    </w:r>
    <w:r>
      <w:fldChar w:fldCharType="begin"/>
    </w:r>
    <w:r>
      <w:instrText xml:space="preserve"> PAGE  \* MERGEFORMAT </w:instrText>
    </w:r>
    <w:r>
      <w:fldChar w:fldCharType="separate"/>
    </w:r>
    <w:r w:rsidR="00923245">
      <w:rPr>
        <w:noProof/>
      </w:rPr>
      <w:t>3</w:t>
    </w:r>
    <w:r>
      <w:fldChar w:fldCharType="end"/>
    </w:r>
    <w:r>
      <w:tab/>
    </w:r>
    <w:r w:rsidRPr="009F1294">
      <w:tab/>
    </w:r>
    <w:r w:rsidRPr="009F1294">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Default="009F1294" w:rsidP="009F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4572FB" w:rsidRDefault="00430BC2" w:rsidP="00430BC2">
      <w:pPr>
        <w:pStyle w:val="FootnoteText"/>
      </w:pPr>
      <w:r>
        <w:rPr>
          <w:rStyle w:val="FootnoteReference"/>
        </w:rPr>
        <w:footnoteRef/>
      </w:r>
      <w:r w:rsidRPr="004572FB">
        <w:tab/>
        <w:t xml:space="preserve">ΕΕ </w:t>
      </w:r>
      <w:r>
        <w:t>L</w:t>
      </w:r>
      <w:r w:rsidRPr="004572FB">
        <w:t xml:space="preserve"> 176 της 27.6.2013, σ. 1,</w:t>
      </w:r>
      <w:r w:rsidRPr="004572FB">
        <w:rPr>
          <w:color w:val="000000"/>
        </w:rPr>
        <w:t xml:space="preserve"> </w:t>
      </w:r>
      <w:r>
        <w:t>ELI</w:t>
      </w:r>
      <w:r w:rsidRPr="004572FB">
        <w:t xml:space="preserve">: </w:t>
      </w:r>
      <w:r>
        <w:t>http</w:t>
      </w:r>
      <w:r w:rsidRPr="004572FB">
        <w:t>://</w:t>
      </w:r>
      <w:r>
        <w:t>data</w:t>
      </w:r>
      <w:r w:rsidRPr="004572FB">
        <w:t>.</w:t>
      </w:r>
      <w:r>
        <w:t>europa</w:t>
      </w:r>
      <w:r w:rsidRPr="004572FB">
        <w:t>.</w:t>
      </w:r>
      <w:r>
        <w:t>eu</w:t>
      </w:r>
      <w:r w:rsidRPr="004572FB">
        <w:t>/</w:t>
      </w:r>
      <w:r>
        <w:t>eli</w:t>
      </w:r>
      <w:r w:rsidRPr="004572FB">
        <w:t>/</w:t>
      </w:r>
      <w:r>
        <w:t>reg</w:t>
      </w:r>
      <w:r w:rsidRPr="004572FB">
        <w:t>/2013/575/</w:t>
      </w:r>
      <w:r>
        <w:t>oj</w:t>
      </w:r>
      <w:r w:rsidRPr="004572FB">
        <w:t>.</w:t>
      </w:r>
    </w:p>
  </w:footnote>
  <w:footnote w:id="2">
    <w:p w:rsidR="00430BC2" w:rsidRPr="004572FB" w:rsidRDefault="00430BC2" w:rsidP="00430BC2">
      <w:pPr>
        <w:pStyle w:val="FootnoteText"/>
        <w:rPr>
          <w:rFonts w:eastAsiaTheme="minorEastAsia"/>
        </w:rPr>
      </w:pPr>
      <w:r>
        <w:rPr>
          <w:rStyle w:val="FootnoteReference"/>
        </w:rPr>
        <w:footnoteRef/>
      </w:r>
      <w:r w:rsidRPr="004572FB">
        <w:tab/>
        <w:t>Κανονισμός (ΕΕ)</w:t>
      </w:r>
      <w:r>
        <w:t> </w:t>
      </w:r>
      <w:r w:rsidRPr="004572FB">
        <w:t>2024/1623 του Ευρωπαϊκού Κοινοβουλίου και του Συμβουλίου, της 31ης</w:t>
      </w:r>
      <w:r>
        <w:t> </w:t>
      </w:r>
      <w:r w:rsidRPr="004572FB">
        <w:t>Μαΐου 2024, για την τροποποίηση του κανονισμού (ΕΕ) αριθ.</w:t>
      </w:r>
      <w:r>
        <w:t> </w:t>
      </w:r>
      <w:r w:rsidRPr="004572FB">
        <w:t xml:space="preserve">575/2013 όσον αφορά τις απαιτήσεις για τον πιστωτικό κίνδυνο, τον κίνδυνο προσαρμογής πιστωτικής αποτίμησης, τον λειτουργικό κίνδυνο, τον κίνδυνο αγοράς και το κατώτατο όριο κεφαλαιακών απαιτήσεων (ΕΕ </w:t>
      </w:r>
      <w:r>
        <w:t>L</w:t>
      </w:r>
      <w:r w:rsidRPr="004572FB">
        <w:t xml:space="preserve">, 2024/1623, 19.6.2024, σ.1, </w:t>
      </w:r>
      <w:r>
        <w:t>ELI</w:t>
      </w:r>
      <w:r w:rsidRPr="004572FB">
        <w:t xml:space="preserve">: </w:t>
      </w:r>
      <w:bookmarkStart w:id="1" w:name="_Hlk198544494"/>
      <w:r>
        <w:t>http</w:t>
      </w:r>
      <w:r w:rsidRPr="004572FB">
        <w:t>://</w:t>
      </w:r>
      <w:r>
        <w:t>data</w:t>
      </w:r>
      <w:r w:rsidRPr="004572FB">
        <w:t>.</w:t>
      </w:r>
      <w:r>
        <w:t>europa</w:t>
      </w:r>
      <w:r w:rsidRPr="004572FB">
        <w:t>.</w:t>
      </w:r>
      <w:r>
        <w:t>eu</w:t>
      </w:r>
      <w:r w:rsidRPr="004572FB">
        <w:t>/</w:t>
      </w:r>
      <w:r>
        <w:t>eli</w:t>
      </w:r>
      <w:r w:rsidRPr="004572FB">
        <w:t>/</w:t>
      </w:r>
      <w:r>
        <w:t>reg</w:t>
      </w:r>
      <w:r w:rsidRPr="004572FB">
        <w:t>/2024/1623/</w:t>
      </w:r>
      <w:r>
        <w:t>oj</w:t>
      </w:r>
      <w:bookmarkEnd w:id="1"/>
      <w:r w:rsidRPr="004572FB">
        <w:t>).</w:t>
      </w:r>
    </w:p>
  </w:footnote>
  <w:footnote w:id="3">
    <w:p w:rsidR="00430BC2" w:rsidRPr="004572FB" w:rsidRDefault="00430BC2" w:rsidP="00430BC2">
      <w:pPr>
        <w:pStyle w:val="FootnoteText"/>
      </w:pPr>
      <w:r>
        <w:rPr>
          <w:rStyle w:val="FootnoteReference"/>
        </w:rPr>
        <w:footnoteRef/>
      </w:r>
      <w:r w:rsidRPr="004572FB">
        <w:tab/>
        <w:t>Εκτελεστικός κανονισμός (ΕΕ) 2024/3117 της Επιτροπής, της 29ης</w:t>
      </w:r>
      <w:r>
        <w:t> </w:t>
      </w:r>
      <w:r w:rsidRPr="004572FB">
        <w:t>Νοεμβρίου 2024, για τη θέσπιση εκτελεστικών τεχνικών προτύπων για την εφαρμογή του κανονισμού (ΕΕ) αριθ.</w:t>
      </w:r>
      <w:r>
        <w:t> </w:t>
      </w:r>
      <w:r w:rsidRPr="004572FB">
        <w:t>575/2013 του Ευρωπαϊκού Κοινοβουλίου και του Συμβουλίου όσον αφορά την υποβολή εποπτικών αναφορών από τα ιδρύματα και για την κατάργηση του εκτελεστικού κανονισμού (ΕΕ)</w:t>
      </w:r>
      <w:r>
        <w:t> </w:t>
      </w:r>
      <w:r w:rsidRPr="004572FB">
        <w:t xml:space="preserve">2021/451 της Επιτροπής (ΕΕ </w:t>
      </w:r>
      <w:r>
        <w:t>L</w:t>
      </w:r>
      <w:r w:rsidRPr="004572FB">
        <w:t xml:space="preserve">, 2024/3117, 27.12.2024, σ.1, </w:t>
      </w:r>
      <w:r>
        <w:t>ELI</w:t>
      </w:r>
      <w:r w:rsidRPr="004572FB">
        <w:t>:</w:t>
      </w:r>
      <w:r>
        <w:t> </w:t>
      </w:r>
      <w:bookmarkStart w:id="2" w:name="_Hlk198544532"/>
      <w:r w:rsidRPr="006510B1">
        <w:fldChar w:fldCharType="begin"/>
      </w:r>
      <w:r w:rsidRPr="006510B1">
        <w:instrText>HYPERLINK</w:instrText>
      </w:r>
      <w:r w:rsidRPr="004572FB">
        <w:instrText xml:space="preserve"> "</w:instrText>
      </w:r>
      <w:r w:rsidRPr="006510B1">
        <w:instrText>http</w:instrText>
      </w:r>
      <w:r w:rsidRPr="004572FB">
        <w:instrText>://</w:instrText>
      </w:r>
      <w:r w:rsidRPr="006510B1">
        <w:instrText>data</w:instrText>
      </w:r>
      <w:r w:rsidRPr="004572FB">
        <w:instrText>.</w:instrText>
      </w:r>
      <w:r w:rsidRPr="006510B1">
        <w:instrText>europa</w:instrText>
      </w:r>
      <w:r w:rsidRPr="004572FB">
        <w:instrText>.</w:instrText>
      </w:r>
      <w:r w:rsidRPr="006510B1">
        <w:instrText>eu</w:instrText>
      </w:r>
      <w:r w:rsidRPr="004572FB">
        <w:instrText>/</w:instrText>
      </w:r>
      <w:r w:rsidRPr="006510B1">
        <w:instrText>eli</w:instrText>
      </w:r>
      <w:r w:rsidRPr="004572FB">
        <w:instrText>/</w:instrText>
      </w:r>
      <w:r w:rsidRPr="006510B1">
        <w:instrText>reg</w:instrText>
      </w:r>
      <w:r w:rsidRPr="004572FB">
        <w:instrText>_</w:instrText>
      </w:r>
      <w:r w:rsidRPr="006510B1">
        <w:instrText>impl</w:instrText>
      </w:r>
      <w:r w:rsidRPr="004572FB">
        <w:instrText>/2024/3117/</w:instrText>
      </w:r>
      <w:r w:rsidRPr="006510B1">
        <w:instrText>oj</w:instrText>
      </w:r>
      <w:r w:rsidRPr="004572FB">
        <w:instrText>" \</w:instrText>
      </w:r>
      <w:r w:rsidRPr="006510B1">
        <w:instrText>t</w:instrText>
      </w:r>
      <w:r w:rsidRPr="004572FB">
        <w:instrText xml:space="preserve"> "_</w:instrText>
      </w:r>
      <w:r w:rsidRPr="006510B1">
        <w:instrText>blank</w:instrText>
      </w:r>
      <w:r w:rsidRPr="004572FB">
        <w:instrText>" \</w:instrText>
      </w:r>
      <w:r w:rsidRPr="006510B1">
        <w:instrText>o</w:instrText>
      </w:r>
      <w:r w:rsidRPr="004572FB">
        <w:instrText xml:space="preserve"> "Παρέχει πρόσβαση στο έγγραφο μέσω του </w:instrText>
      </w:r>
      <w:r w:rsidRPr="006510B1">
        <w:instrText>URI</w:instrText>
      </w:r>
      <w:r w:rsidRPr="004572FB">
        <w:instrText xml:space="preserve"> του </w:instrText>
      </w:r>
      <w:r w:rsidRPr="006510B1">
        <w:instrText>ELI</w:instrText>
      </w:r>
      <w:r w:rsidRPr="004572FB">
        <w:instrText>."</w:instrText>
      </w:r>
      <w:r w:rsidRPr="006510B1">
        <w:fldChar w:fldCharType="separate"/>
      </w:r>
      <w:r>
        <w:t>http</w:t>
      </w:r>
      <w:r w:rsidRPr="004572FB">
        <w:t>://</w:t>
      </w:r>
      <w:r>
        <w:t>data</w:t>
      </w:r>
      <w:r w:rsidRPr="004572FB">
        <w:t>.</w:t>
      </w:r>
      <w:r>
        <w:t>europa</w:t>
      </w:r>
      <w:r w:rsidRPr="004572FB">
        <w:t>.</w:t>
      </w:r>
      <w:r>
        <w:t>eu</w:t>
      </w:r>
      <w:r w:rsidRPr="004572FB">
        <w:t>/</w:t>
      </w:r>
      <w:r>
        <w:t>eli</w:t>
      </w:r>
      <w:r w:rsidRPr="004572FB">
        <w:t>/</w:t>
      </w:r>
      <w:r>
        <w:t>reg</w:t>
      </w:r>
      <w:r w:rsidRPr="004572FB">
        <w:t>_</w:t>
      </w:r>
      <w:r>
        <w:t>impl</w:t>
      </w:r>
      <w:r w:rsidRPr="004572FB">
        <w:t>/2024/3117/</w:t>
      </w:r>
      <w:r>
        <w:t>oj</w:t>
      </w:r>
      <w:r w:rsidRPr="006510B1">
        <w:fldChar w:fldCharType="end"/>
      </w:r>
      <w:bookmarkEnd w:id="2"/>
      <w:r w:rsidRPr="004572FB">
        <w:t>).</w:t>
      </w:r>
    </w:p>
  </w:footnote>
  <w:footnote w:id="4">
    <w:p w:rsidR="00430BC2" w:rsidRPr="004572FB" w:rsidRDefault="00430BC2" w:rsidP="00430BC2">
      <w:pPr>
        <w:pStyle w:val="FootnoteText"/>
      </w:pPr>
      <w:r>
        <w:rPr>
          <w:rStyle w:val="FootnoteReference"/>
        </w:rPr>
        <w:footnoteRef/>
      </w:r>
      <w:r w:rsidRPr="004572FB">
        <w:tab/>
        <w:t>Κατ’</w:t>
      </w:r>
      <w:r>
        <w:t> </w:t>
      </w:r>
      <w:r w:rsidRPr="004572FB">
        <w:t xml:space="preserve">εξουσιοδότηση κανονισμός (ΕΕ) 2025/1496 της Επιτροπής, της 12ης Ιουνίου 2025, για την τροποποίηση του κανονισμού (ΕΕ) αριθ. 575/2013 του Ευρωπαϊκού Κοινοβουλίου και του Συμβουλίου όσον αφορά την ημερομηνία εφαρμογής των απαιτήσεων ιδίων κεφαλαίων για τον κίνδυνο αγοράς (ΕΕ </w:t>
      </w:r>
      <w:r>
        <w:t>L</w:t>
      </w:r>
      <w:r w:rsidRPr="004572FB">
        <w:t xml:space="preserve">, 2025/1496, 19.9.2025, </w:t>
      </w:r>
      <w:r>
        <w:t>ELI</w:t>
      </w:r>
      <w:r w:rsidRPr="004572FB">
        <w:t xml:space="preserve">: </w:t>
      </w:r>
      <w:r>
        <w:t>http</w:t>
      </w:r>
      <w:r w:rsidRPr="004572FB">
        <w:t>://</w:t>
      </w:r>
      <w:r>
        <w:t>data</w:t>
      </w:r>
      <w:r w:rsidRPr="004572FB">
        <w:t>.</w:t>
      </w:r>
      <w:r>
        <w:t>europa</w:t>
      </w:r>
      <w:r w:rsidRPr="004572FB">
        <w:t>.</w:t>
      </w:r>
      <w:r>
        <w:t>eu</w:t>
      </w:r>
      <w:r w:rsidRPr="004572FB">
        <w:t>/</w:t>
      </w:r>
      <w:r>
        <w:t>eli</w:t>
      </w:r>
      <w:r w:rsidRPr="004572FB">
        <w:t>/</w:t>
      </w:r>
      <w:r>
        <w:t>reg</w:t>
      </w:r>
      <w:r w:rsidRPr="004572FB">
        <w:t>_</w:t>
      </w:r>
      <w:r>
        <w:t>del</w:t>
      </w:r>
      <w:r w:rsidRPr="004572FB">
        <w:t>/2025/1496/</w:t>
      </w:r>
      <w:r>
        <w:t>oj</w:t>
      </w:r>
      <w:r w:rsidRPr="004572FB">
        <w:t>).</w:t>
      </w:r>
    </w:p>
  </w:footnote>
  <w:footnote w:id="5">
    <w:p w:rsidR="00430BC2" w:rsidRPr="004572FB" w:rsidRDefault="00430BC2" w:rsidP="00430BC2">
      <w:pPr>
        <w:pStyle w:val="FootnoteText"/>
      </w:pPr>
      <w:r>
        <w:rPr>
          <w:rStyle w:val="FootnoteReference"/>
        </w:rPr>
        <w:footnoteRef/>
      </w:r>
      <w:r w:rsidRPr="004572FB">
        <w:tab/>
        <w:t>Εκτελεστικός κανονισμός (ΕΕ)</w:t>
      </w:r>
      <w:r>
        <w:t> </w:t>
      </w:r>
      <w:r w:rsidRPr="004572FB">
        <w:t>2021/451 της Επιτροπής, της 17ης</w:t>
      </w:r>
      <w:r>
        <w:t> </w:t>
      </w:r>
      <w:r w:rsidRPr="004572FB">
        <w:t>Δεκεμβρίου 2020, για τη θέσπιση εκτελεστικών τεχνικών προτύπων για την εφαρμογή του κανονισμού (ΕΕ) αριθ.</w:t>
      </w:r>
      <w:r>
        <w:t> </w:t>
      </w:r>
      <w:r w:rsidRPr="004572FB">
        <w:t>575/2013 του Ευρωπαϊκού Κοινοβουλίου και του Συμβουλίου όσον αφορά την υποβολή εποπτικών αναφορών από τα ιδρύματα και για την κατάργηση του εκτελεστικού κανονισμού (ΕΕ)</w:t>
      </w:r>
      <w:r>
        <w:t> </w:t>
      </w:r>
      <w:r w:rsidRPr="004572FB">
        <w:t>680/2014 (ΕΕ</w:t>
      </w:r>
      <w:r>
        <w:t> L </w:t>
      </w:r>
      <w:r w:rsidRPr="004572FB">
        <w:t>97 της 19.3.2021, σ.</w:t>
      </w:r>
      <w:r>
        <w:t> </w:t>
      </w:r>
      <w:r w:rsidRPr="004572FB">
        <w:t xml:space="preserve">1, </w:t>
      </w:r>
      <w:r>
        <w:t>ELI</w:t>
      </w:r>
      <w:r w:rsidRPr="004572FB">
        <w:t xml:space="preserve">: </w:t>
      </w:r>
      <w:hyperlink r:id="rId1" w:history="1">
        <w:r>
          <w:rPr>
            <w:rStyle w:val="Hyperlink"/>
          </w:rPr>
          <w:t>http</w:t>
        </w:r>
        <w:r w:rsidRPr="004572FB">
          <w:rPr>
            <w:rStyle w:val="Hyperlink"/>
          </w:rPr>
          <w:t>://</w:t>
        </w:r>
        <w:r>
          <w:rPr>
            <w:rStyle w:val="Hyperlink"/>
          </w:rPr>
          <w:t>data</w:t>
        </w:r>
        <w:r w:rsidRPr="004572FB">
          <w:rPr>
            <w:rStyle w:val="Hyperlink"/>
          </w:rPr>
          <w:t>.</w:t>
        </w:r>
        <w:r>
          <w:rPr>
            <w:rStyle w:val="Hyperlink"/>
          </w:rPr>
          <w:t>europa</w:t>
        </w:r>
        <w:r w:rsidRPr="004572FB">
          <w:rPr>
            <w:rStyle w:val="Hyperlink"/>
          </w:rPr>
          <w:t>.</w:t>
        </w:r>
        <w:r>
          <w:rPr>
            <w:rStyle w:val="Hyperlink"/>
          </w:rPr>
          <w:t>eu</w:t>
        </w:r>
        <w:r w:rsidRPr="004572FB">
          <w:rPr>
            <w:rStyle w:val="Hyperlink"/>
          </w:rPr>
          <w:t>/</w:t>
        </w:r>
        <w:r>
          <w:rPr>
            <w:rStyle w:val="Hyperlink"/>
          </w:rPr>
          <w:t>eli</w:t>
        </w:r>
        <w:r w:rsidRPr="004572FB">
          <w:rPr>
            <w:rStyle w:val="Hyperlink"/>
          </w:rPr>
          <w:t>/</w:t>
        </w:r>
        <w:r>
          <w:rPr>
            <w:rStyle w:val="Hyperlink"/>
          </w:rPr>
          <w:t>reg</w:t>
        </w:r>
        <w:r w:rsidRPr="004572FB">
          <w:rPr>
            <w:rStyle w:val="Hyperlink"/>
          </w:rPr>
          <w:t>_</w:t>
        </w:r>
        <w:r>
          <w:rPr>
            <w:rStyle w:val="Hyperlink"/>
          </w:rPr>
          <w:t>impl</w:t>
        </w:r>
        <w:r w:rsidRPr="004572FB">
          <w:rPr>
            <w:rStyle w:val="Hyperlink"/>
          </w:rPr>
          <w:t>/2021/451/</w:t>
        </w:r>
        <w:r>
          <w:rPr>
            <w:rStyle w:val="Hyperlink"/>
          </w:rPr>
          <w:t>oj</w:t>
        </w:r>
      </w:hyperlink>
      <w:r w:rsidRPr="004572FB">
        <w:t>).</w:t>
      </w:r>
    </w:p>
  </w:footnote>
  <w:footnote w:id="6">
    <w:p w:rsidR="00430BC2" w:rsidRPr="004572FB" w:rsidRDefault="00430BC2" w:rsidP="00430BC2">
      <w:pPr>
        <w:pStyle w:val="FootnoteText"/>
      </w:pPr>
      <w:r>
        <w:rPr>
          <w:rStyle w:val="FootnoteReference"/>
        </w:rPr>
        <w:footnoteRef/>
      </w:r>
      <w:r w:rsidRPr="004572FB">
        <w:tab/>
      </w:r>
      <w:bookmarkStart w:id="3" w:name="_Hlk198544390"/>
      <w:r w:rsidRPr="004572FB">
        <w:t>Κανονισμός (ΕΕ) αριθ.</w:t>
      </w:r>
      <w:r>
        <w:t> </w:t>
      </w:r>
      <w:r w:rsidRPr="004572FB">
        <w:t>1093/2010 του Ευρωπαϊκού Κοινοβουλίου και του Συμβουλίου, της 24ης</w:t>
      </w:r>
      <w:r>
        <w:t> </w:t>
      </w:r>
      <w:r w:rsidRPr="004572FB">
        <w:t>Νοεμβρίου 2010, σχετικά με τη σύσταση Ευρωπαϊκής Εποπτικής Αρχής</w:t>
      </w:r>
      <w:bookmarkEnd w:id="3"/>
      <w:r w:rsidRPr="004572FB">
        <w:t xml:space="preserve"> (Ευρωπαϊκή Αρχή Τραπεζών), την τροποποίηση της απόφασης αριθ.</w:t>
      </w:r>
      <w:r>
        <w:t> </w:t>
      </w:r>
      <w:r w:rsidRPr="004572FB">
        <w:t>716/2009/ΕΚ και την κατάργηση της απόφασης</w:t>
      </w:r>
      <w:r>
        <w:t> </w:t>
      </w:r>
      <w:r w:rsidRPr="004572FB">
        <w:t>2009/78/ΕΚ της Επιτροπής (ΕΕ</w:t>
      </w:r>
      <w:r>
        <w:t> L </w:t>
      </w:r>
      <w:r w:rsidRPr="004572FB">
        <w:t>331 της 15.12.2010, σ.</w:t>
      </w:r>
      <w:r>
        <w:t> </w:t>
      </w:r>
      <w:r w:rsidRPr="004572FB">
        <w:t xml:space="preserve">12, </w:t>
      </w:r>
      <w:r>
        <w:t>ELI</w:t>
      </w:r>
      <w:r w:rsidRPr="004572FB">
        <w:t xml:space="preserve">: </w:t>
      </w:r>
      <w:r>
        <w:t>http</w:t>
      </w:r>
      <w:r w:rsidRPr="004572FB">
        <w:t>://</w:t>
      </w:r>
      <w:r>
        <w:t>data</w:t>
      </w:r>
      <w:r w:rsidRPr="004572FB">
        <w:t>.</w:t>
      </w:r>
      <w:r>
        <w:t>europa</w:t>
      </w:r>
      <w:r w:rsidRPr="004572FB">
        <w:t>.</w:t>
      </w:r>
      <w:r>
        <w:t>eu</w:t>
      </w:r>
      <w:r w:rsidRPr="004572FB">
        <w:t>/</w:t>
      </w:r>
      <w:r>
        <w:t>eli</w:t>
      </w:r>
      <w:r w:rsidRPr="004572FB">
        <w:t>/</w:t>
      </w:r>
      <w:r>
        <w:t>reg</w:t>
      </w:r>
      <w:r w:rsidRPr="004572FB">
        <w:t>/2010/1093/</w:t>
      </w:r>
      <w:r>
        <w:t>oj</w:t>
      </w:r>
      <w:r w:rsidRPr="004572F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Default="009F1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94" w:rsidRDefault="009F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2ACEA8F-B963-4DA3-9C48-B7AAB18EAD8D"/>
    <w:docVar w:name="LW_COVERPAGE_TYPE" w:val="1"/>
    <w:docVar w:name="LW_CreatedUtc" w:val="2025-10-08T14:24:25.1973363Z"/>
    <w:docVar w:name="LW_CROSSREFERENCE" w:val="&lt;UNUSED&gt;"/>
    <w:docVar w:name="LW_DATE.ADOPT.CP" w:val="\u964?\u951?\u962? 8.12.2025"/>
    <w:docVar w:name="LW_DATE.ADOPT.CP_DATEFORMAT" w:val="\u964?\u951?\u962? %DATE%"/>
    <w:docVar w:name="LW_DATE.ADOPT.CP_ISODATE" w:val="2025-12-08"/>
    <w:docVar w:name="LW_DocType" w:val="COM"/>
    <w:docVar w:name="LW_EMISSION" w:val="8.12.2025"/>
    <w:docVar w:name="LW_EMISSION_ISODATE" w:val="2025-12-08"/>
    <w:docVar w:name="LW_EMISSION_LOCATION" w:val="BRX"/>
    <w:docVar w:name="LW_EMISSION_PREFIX" w:val="\u914?\u961?\u965?\u958?\u941?\u955?\u955?\u949?\u962?, "/>
    <w:docVar w:name="LW_EMISSION_SUFFIX" w:val=" "/>
    <w:docVar w:name="LW_ID_DOCMODEL" w:val="SJ-004"/>
    <w:docVar w:name="LW_ID_DOCSIGNATURE" w:val="SJ-004"/>
    <w:docVar w:name="LW_ID_DOCSTRUCTURE" w:val="COM/AA"/>
    <w:docVar w:name="LW_ID_DOCTYPE" w:val="SJ-004"/>
    <w:docVar w:name="LW_INTERETEEE.CP" w:val="(\u922?\u949?\u943?\u956?\u949?\u957?\u959? \u960?\u959?\u965? \u960?\u945?\u961?\u959?\u965?\u963?\u953?\u940?\u950?\u949?\u953? \u949?\u957?\u948?\u953?\u945?\u966?\u941?\u961?\u959?\u957? \u947?\u953?\u945? \u964?\u959?\u957? \u917?\u927?\u935?)"/>
    <w:docVar w:name="LW_LANGUE" w:val="EL"/>
    <w:docVar w:name="LW_LANGUESFAISANTFOI.CP" w:val="&lt;UNUSED&gt;"/>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47?\u953?\u945? \u964?\u951?\u957? \u964?\u961?\u959?\u960?\u959?\u960?\u959?\u943?\u951?\u963?\u951? \u964?\u969?\u957? \u949?\u954?\u964?\u949?\u955?\u949?\u963?\u964?\u953?\u954?\u974?\u957? \u964?\u949?\u967?\u957?\u953?\u954?\u974?\u957? \u960?\u961?\u959?\u964?\u973?\u960?\u969?\u957? \u960?\u959?\u965? \u954?\u945?\u952?\u959?\u961?\u943?\u950?\u959?\u957?\u964?\u945?\u953? \u963?\u964?\u959?\u957? \u949?\u954?\u964?\u949?\u955?\u949?\u963?\u964?\u953?\u954?\u972? \u954?\u945?\u957?\u959?\u957?\u953?\u963?\u956?\u972? (\u917?\u917?) 2024/3117 \u972?\u963?\u959?\u957? \u945?\u966?\u959?\u961?\u940? \u964?\u951?\u957? \u965?\u960?\u959?\u946?\u959?\u955?\u942? \u949?\u960?\u959?\u960?\u964?\u953?\u954?\u974?\u957? \u945?\u957?\u945?\u966?\u959?\u961?\u974?\u957? \u945?\u960?\u972? \u964?\u945? \u953?\u948?\u961?\u973?\u956?\u945?\u964?\u945? \u963?\u967?\u949?\u964?\u953?\u954?\u940? \u956?\u949? \u964?\u959?\u957? \u955?\u949?\u953?\u964?\u959?\u965?\u961?\u947?\u953?\u954?\u972? \u954?\u943?\u957?\u948?\u965?\u957?\u959?"/>
    <w:docVar w:name="LW_TYPE.DOC.CP" w:val="\u917?\u922?\u932?\u917?\u923?\u917?\u931?\u932?\u921?\u922?\u927?\u931? \u922?\u913?\u925?\u927?\u925?\u921?\u931?\u924?\u927?\u931? (\u917?\u917?) \u8230?/... \u932?\u919?\u931? \u917?\u928?\u921?\u932?\u929?\u927?\u928?\u919?\u931?"/>
    <w:docVar w:name="LwApiVersions" w:val="LW4CoDe 1.24.5.0; LW 9.2, Build 20251112"/>
  </w:docVars>
  <w:rsids>
    <w:rsidRoot w:val="00430BC2"/>
    <w:rsid w:val="00017C96"/>
    <w:rsid w:val="0004435A"/>
    <w:rsid w:val="00050CA3"/>
    <w:rsid w:val="000623F7"/>
    <w:rsid w:val="001065F5"/>
    <w:rsid w:val="001118C7"/>
    <w:rsid w:val="001238EF"/>
    <w:rsid w:val="00123B5E"/>
    <w:rsid w:val="00133705"/>
    <w:rsid w:val="00151C13"/>
    <w:rsid w:val="00197613"/>
    <w:rsid w:val="001B578E"/>
    <w:rsid w:val="002177E8"/>
    <w:rsid w:val="00233DC7"/>
    <w:rsid w:val="00235737"/>
    <w:rsid w:val="00247779"/>
    <w:rsid w:val="00285BEE"/>
    <w:rsid w:val="0029533F"/>
    <w:rsid w:val="002A196D"/>
    <w:rsid w:val="002B30AF"/>
    <w:rsid w:val="002E5318"/>
    <w:rsid w:val="002F7179"/>
    <w:rsid w:val="003024DA"/>
    <w:rsid w:val="0033344A"/>
    <w:rsid w:val="0038150A"/>
    <w:rsid w:val="003E13ED"/>
    <w:rsid w:val="00424E39"/>
    <w:rsid w:val="0042648E"/>
    <w:rsid w:val="00430BC2"/>
    <w:rsid w:val="004404AB"/>
    <w:rsid w:val="00445072"/>
    <w:rsid w:val="004572FB"/>
    <w:rsid w:val="00487D9D"/>
    <w:rsid w:val="004936D2"/>
    <w:rsid w:val="004E79B0"/>
    <w:rsid w:val="005152A4"/>
    <w:rsid w:val="0055312E"/>
    <w:rsid w:val="00561998"/>
    <w:rsid w:val="00562257"/>
    <w:rsid w:val="005B1EB6"/>
    <w:rsid w:val="00682A3F"/>
    <w:rsid w:val="006A3A74"/>
    <w:rsid w:val="006F3E02"/>
    <w:rsid w:val="0076425B"/>
    <w:rsid w:val="00773331"/>
    <w:rsid w:val="007932EF"/>
    <w:rsid w:val="007E05B0"/>
    <w:rsid w:val="00805672"/>
    <w:rsid w:val="0082694F"/>
    <w:rsid w:val="00827A77"/>
    <w:rsid w:val="00847BAB"/>
    <w:rsid w:val="00874D22"/>
    <w:rsid w:val="00883B63"/>
    <w:rsid w:val="0089317B"/>
    <w:rsid w:val="008A2914"/>
    <w:rsid w:val="008E4D8E"/>
    <w:rsid w:val="00923245"/>
    <w:rsid w:val="00944FCF"/>
    <w:rsid w:val="00957BDE"/>
    <w:rsid w:val="00995350"/>
    <w:rsid w:val="009F1294"/>
    <w:rsid w:val="009F2131"/>
    <w:rsid w:val="00A362F7"/>
    <w:rsid w:val="00A50C30"/>
    <w:rsid w:val="00A9563C"/>
    <w:rsid w:val="00A97489"/>
    <w:rsid w:val="00AC2E30"/>
    <w:rsid w:val="00AD7C0F"/>
    <w:rsid w:val="00AE3DBA"/>
    <w:rsid w:val="00B40F1A"/>
    <w:rsid w:val="00B443FE"/>
    <w:rsid w:val="00B90E7F"/>
    <w:rsid w:val="00C12301"/>
    <w:rsid w:val="00C84FA7"/>
    <w:rsid w:val="00C862B2"/>
    <w:rsid w:val="00CE1BA2"/>
    <w:rsid w:val="00D03513"/>
    <w:rsid w:val="00D20381"/>
    <w:rsid w:val="00D75DA9"/>
    <w:rsid w:val="00E86499"/>
    <w:rsid w:val="00F47C85"/>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9F1294"/>
    <w:rPr>
      <w:rFonts w:ascii="Times New Roman" w:hAnsi="Times New Roman" w:cs="Times New Roman"/>
      <w:sz w:val="24"/>
      <w:lang w:val="el-GR"/>
    </w:rPr>
  </w:style>
  <w:style w:type="character" w:customStyle="1" w:styleId="FooterChar">
    <w:name w:val="Footer Char"/>
    <w:basedOn w:val="DefaultParagraphFont"/>
    <w:link w:val="Footer"/>
    <w:uiPriority w:val="99"/>
    <w:rsid w:val="009F1294"/>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F129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F1294"/>
    <w:pPr>
      <w:spacing w:before="0"/>
      <w:jc w:val="right"/>
    </w:pPr>
    <w:rPr>
      <w:sz w:val="28"/>
    </w:rPr>
  </w:style>
  <w:style w:type="paragraph" w:customStyle="1" w:styleId="FooterSensitivity">
    <w:name w:val="Footer Sensitivity"/>
    <w:basedOn w:val="Normal"/>
    <w:rsid w:val="009F129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9F1294"/>
    <w:pPr>
      <w:tabs>
        <w:tab w:val="center" w:pos="4535"/>
        <w:tab w:val="right" w:pos="9071"/>
      </w:tabs>
      <w:spacing w:before="0"/>
    </w:pPr>
  </w:style>
  <w:style w:type="paragraph" w:customStyle="1" w:styleId="HeaderLandscape">
    <w:name w:val="HeaderLandscape"/>
    <w:basedOn w:val="Normal"/>
    <w:rsid w:val="009F1294"/>
    <w:pPr>
      <w:tabs>
        <w:tab w:val="center" w:pos="7285"/>
        <w:tab w:val="right" w:pos="14003"/>
      </w:tabs>
      <w:spacing w:before="0"/>
    </w:pPr>
  </w:style>
  <w:style w:type="paragraph" w:styleId="Footer">
    <w:name w:val="footer"/>
    <w:basedOn w:val="Normal"/>
    <w:link w:val="FooterChar"/>
    <w:uiPriority w:val="99"/>
    <w:unhideWhenUsed/>
    <w:rsid w:val="009F129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F129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66673-6555-4915-9999-22990C551979}"/>
</file>

<file path=customXml/itemProps2.xml><?xml version="1.0" encoding="utf-8"?>
<ds:datastoreItem xmlns:ds="http://schemas.openxmlformats.org/officeDocument/2006/customXml" ds:itemID="{2C3BB2E1-4F30-4704-B9C7-660C966B16B5}"/>
</file>

<file path=customXml/itemProps3.xml><?xml version="1.0" encoding="utf-8"?>
<ds:datastoreItem xmlns:ds="http://schemas.openxmlformats.org/officeDocument/2006/customXml" ds:itemID="{A10E991D-73B3-4593-9F45-40E63DFC6E43}"/>
</file>

<file path=docProps/app.xml><?xml version="1.0" encoding="utf-8"?>
<Properties xmlns="http://schemas.openxmlformats.org/officeDocument/2006/extended-properties" xmlns:vt="http://schemas.openxmlformats.org/officeDocument/2006/docPropsVTypes">
  <Template>COM.dotm</Template>
  <TotalTime>5</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2025-11-19T12:59:00Z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