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C74F0E" w:rsidRDefault="00A74DE0" w:rsidP="00A74DE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8C0108E-D6BC-416D-B065-A80FC85C935C" style="width:455.25pt;height:359.25pt">
            <v:imagedata r:id="rId7" o:title=""/>
          </v:shape>
        </w:pict>
      </w:r>
    </w:p>
    <w:p w:rsidR="00430BC2" w:rsidRPr="00C74F0E" w:rsidRDefault="00430BC2">
      <w:pPr>
        <w:rPr>
          <w:noProof/>
        </w:rPr>
        <w:sectPr w:rsidR="00430BC2" w:rsidRPr="00C74F0E" w:rsidSect="00A74DE0">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C74F0E" w:rsidRDefault="005D348F" w:rsidP="005D348F">
      <w:pPr>
        <w:pStyle w:val="Typedudocument"/>
        <w:rPr>
          <w:noProof/>
        </w:rPr>
      </w:pPr>
      <w:bookmarkStart w:id="0" w:name="_GoBack"/>
      <w:bookmarkEnd w:id="0"/>
      <w:r w:rsidRPr="005D348F">
        <w:rPr>
          <w:noProof/>
        </w:rPr>
        <w:lastRenderedPageBreak/>
        <w:t>РЕГЛАМЕНТ ЗА ИЗПЪЛНЕНИЕ (ЕС) .../… НА КОМИСИЯТА</w:t>
      </w:r>
    </w:p>
    <w:p w:rsidR="00430BC2" w:rsidRPr="00C74F0E" w:rsidRDefault="00A02A12" w:rsidP="005D348F">
      <w:pPr>
        <w:pStyle w:val="Datedadoption"/>
        <w:rPr>
          <w:noProof/>
        </w:rPr>
      </w:pPr>
      <w:r>
        <w:rPr>
          <w:noProof/>
        </w:rPr>
        <w:t>от 8.12.2025 година</w:t>
      </w:r>
    </w:p>
    <w:p w:rsidR="00430BC2" w:rsidRPr="00C74F0E" w:rsidRDefault="005D348F" w:rsidP="005D348F">
      <w:pPr>
        <w:pStyle w:val="Titreobjet"/>
        <w:rPr>
          <w:noProof/>
        </w:rPr>
      </w:pPr>
      <w:r w:rsidRPr="005D348F">
        <w:rPr>
          <w:noProof/>
        </w:rPr>
        <w:t>за изменение на определените с Регламент за изпълнение (ЕС) 2024/3117 технически стандарти за изпълнение по отношение на предоставянето на информация от институциите на надзорните органи във връзка с операционния риск</w:t>
      </w:r>
    </w:p>
    <w:p w:rsidR="00430BC2" w:rsidRPr="00C74F0E" w:rsidRDefault="005D348F" w:rsidP="005D348F">
      <w:pPr>
        <w:pStyle w:val="IntrtEEE"/>
        <w:rPr>
          <w:noProof/>
        </w:rPr>
      </w:pPr>
      <w:r w:rsidRPr="005D348F">
        <w:rPr>
          <w:noProof/>
        </w:rPr>
        <w:t>(текст от значение за ЕИП)</w:t>
      </w:r>
    </w:p>
    <w:p w:rsidR="00430BC2" w:rsidRPr="00C74F0E" w:rsidRDefault="00C74F0E" w:rsidP="004E1EF9">
      <w:pPr>
        <w:pStyle w:val="Institutionquiagit"/>
        <w:rPr>
          <w:noProof/>
        </w:rPr>
      </w:pPr>
      <w:r>
        <w:rPr>
          <w:noProof/>
        </w:rPr>
        <w:t>ЕВРОПЕЙСКАТА КОМИСИЯ,</w:t>
      </w:r>
    </w:p>
    <w:p w:rsidR="00C74F0E" w:rsidRPr="00CA1529" w:rsidRDefault="00C74F0E" w:rsidP="00C74F0E">
      <w:pPr>
        <w:rPr>
          <w:noProof/>
        </w:rPr>
      </w:pPr>
      <w:r w:rsidRPr="00CA1529">
        <w:rPr>
          <w:noProof/>
        </w:rPr>
        <w:t>като взе предвид Регламент (ЕС) № 575/2013 на Европейския парламент и на Съвета от 26 юни 2013 г. относно пруденциалните изисквания за кредитните институции и за изменение на Регламент (ЕС) № 648/2012</w:t>
      </w:r>
      <w:r w:rsidRPr="00CA1529">
        <w:rPr>
          <w:rStyle w:val="FootnoteReference"/>
          <w:noProof/>
        </w:rPr>
        <w:footnoteReference w:id="1"/>
      </w:r>
      <w:r w:rsidRPr="00CA1529">
        <w:rPr>
          <w:noProof/>
        </w:rPr>
        <w:t>, и по-специално член 430, параграф 7, пета алинея от него,</w:t>
      </w:r>
    </w:p>
    <w:p w:rsidR="00C74F0E" w:rsidRPr="00CA1529" w:rsidRDefault="00C74F0E" w:rsidP="00C74F0E">
      <w:pPr>
        <w:rPr>
          <w:noProof/>
        </w:rPr>
      </w:pPr>
      <w:r w:rsidRPr="00CA1529">
        <w:rPr>
          <w:noProof/>
        </w:rPr>
        <w:t>като има предвид, че:</w:t>
      </w:r>
    </w:p>
    <w:p w:rsidR="00C74F0E" w:rsidRPr="00CA1529" w:rsidRDefault="00E76359" w:rsidP="00E76359">
      <w:pPr>
        <w:pStyle w:val="ManualConsidrant"/>
        <w:rPr>
          <w:noProof/>
        </w:rPr>
      </w:pPr>
      <w:r w:rsidRPr="00E76359">
        <w:rPr>
          <w:noProof/>
        </w:rPr>
        <w:t>(1)</w:t>
      </w:r>
      <w:r w:rsidRPr="00E76359">
        <w:rPr>
          <w:noProof/>
        </w:rPr>
        <w:tab/>
      </w:r>
      <w:r w:rsidR="00C74F0E" w:rsidRPr="00CA1529">
        <w:rPr>
          <w:noProof/>
        </w:rPr>
        <w:t>Регламент (ЕС) № 575/2013 беше изменен с Регламент (ЕС) 2024/1623 на Европейския парламент и на Съвета</w:t>
      </w:r>
      <w:r w:rsidR="00C74F0E" w:rsidRPr="00CA1529">
        <w:rPr>
          <w:rStyle w:val="FootnoteReference"/>
          <w:noProof/>
        </w:rPr>
        <w:footnoteReference w:id="2"/>
      </w:r>
      <w:r w:rsidR="00C74F0E" w:rsidRPr="00CA1529">
        <w:rPr>
          <w:noProof/>
        </w:rPr>
        <w:t xml:space="preserve"> с цел въвеждане на най-новия набор от международни стандарти на Базелския комитет по банков надзор (Базел III). Вследствие на тези стандарти беше приет Регламент за изпълнение (ЕС) 2024/3117 на Комисията</w:t>
      </w:r>
      <w:r w:rsidR="00C74F0E" w:rsidRPr="00CA1529">
        <w:rPr>
          <w:rStyle w:val="FootnoteReference"/>
          <w:noProof/>
        </w:rPr>
        <w:footnoteReference w:id="3"/>
      </w:r>
      <w:r w:rsidR="00C74F0E" w:rsidRPr="00CA1529">
        <w:rPr>
          <w:noProof/>
        </w:rPr>
        <w:t>, с който се определят техническите стандарти за изпълнение за прилагането на Регламент (ЕС) № 575/2013 по отношение на предоставянето на информация от институциите на надзорните органи.</w:t>
      </w:r>
    </w:p>
    <w:p w:rsidR="00C74F0E" w:rsidRPr="00CA1529" w:rsidRDefault="00E76359" w:rsidP="00E76359">
      <w:pPr>
        <w:pStyle w:val="ManualConsidrant"/>
        <w:rPr>
          <w:noProof/>
        </w:rPr>
      </w:pPr>
      <w:r w:rsidRPr="00E76359">
        <w:rPr>
          <w:noProof/>
        </w:rPr>
        <w:t>(2)</w:t>
      </w:r>
      <w:r w:rsidRPr="00E76359">
        <w:rPr>
          <w:noProof/>
        </w:rPr>
        <w:tab/>
      </w:r>
      <w:r w:rsidR="00C74F0E" w:rsidRPr="00CA1529">
        <w:rPr>
          <w:noProof/>
        </w:rPr>
        <w:t>Предвид промените в пруденциалната рамка за капиталовите изисквания за операционен риск, бяха необходими нови образци за докладване, за да се гарантира, че институциите докладват в съответствие с действащата нова уредба. Въпреки че някои от тези промени в образците за докладване вече бяха въведени с Регламент (ЕС) 2024/3117, актуализирането на няколко други образеца беше възможно само след допълнително техническо разработване на изискванията за операционния риск, по-специално по отношение на определянето на компонентите на бизнес индикатора, елементите, които трябва да бъдат изключени от бизнес индикатора, и тяхното отнасяне към съответните отчетни полета.</w:t>
      </w:r>
    </w:p>
    <w:p w:rsidR="00C74F0E" w:rsidRPr="00CA1529" w:rsidRDefault="00E76359" w:rsidP="00E76359">
      <w:pPr>
        <w:pStyle w:val="ManualConsidrant"/>
        <w:rPr>
          <w:noProof/>
        </w:rPr>
      </w:pPr>
      <w:r w:rsidRPr="00E76359">
        <w:rPr>
          <w:noProof/>
        </w:rPr>
        <w:t>(3)</w:t>
      </w:r>
      <w:r w:rsidRPr="00E76359">
        <w:rPr>
          <w:noProof/>
        </w:rPr>
        <w:tab/>
      </w:r>
      <w:r w:rsidR="00C74F0E" w:rsidRPr="00CA1529">
        <w:rPr>
          <w:noProof/>
        </w:rPr>
        <w:t>С Делегиран регламент (ЕС) 2025/1496 на Комисията</w:t>
      </w:r>
      <w:r w:rsidR="00C74F0E" w:rsidRPr="00CA1529">
        <w:rPr>
          <w:rStyle w:val="FootnoteReference"/>
          <w:noProof/>
        </w:rPr>
        <w:footnoteReference w:id="4"/>
      </w:r>
      <w:r w:rsidR="00C74F0E" w:rsidRPr="00CA1529">
        <w:rPr>
          <w:noProof/>
        </w:rPr>
        <w:t xml:space="preserve"> датата на прилагане на капиталовите изисквания за пазарен риск беше отложена на 1 януари 2027 г. Поради това е необходимо да се запази без промени съществуващото докладване относно изискванията за пазарен риск, които се прилагат до 31 декември 2026 г. Съответно срокът на действие на преходните разпоредби на Регламент (ЕС) 2024/3117 следва да бъде удължен, а отмяната на съответните разпоредби на Регламент за изпълнение (ЕС) 2021/451 на Комисията</w:t>
      </w:r>
      <w:r w:rsidR="00C74F0E" w:rsidRPr="00CA1529">
        <w:rPr>
          <w:rStyle w:val="FootnoteReference"/>
          <w:noProof/>
        </w:rPr>
        <w:footnoteReference w:id="5"/>
      </w:r>
      <w:r w:rsidR="00C74F0E" w:rsidRPr="00CA1529">
        <w:rPr>
          <w:noProof/>
        </w:rPr>
        <w:t xml:space="preserve"> следва да бъде отложена с още една година. </w:t>
      </w:r>
    </w:p>
    <w:p w:rsidR="00C74F0E" w:rsidRPr="00CA1529" w:rsidRDefault="00E76359" w:rsidP="00E76359">
      <w:pPr>
        <w:pStyle w:val="ManualConsidrant"/>
        <w:rPr>
          <w:noProof/>
        </w:rPr>
      </w:pPr>
      <w:r w:rsidRPr="00E76359">
        <w:rPr>
          <w:noProof/>
        </w:rPr>
        <w:t>(4)</w:t>
      </w:r>
      <w:r w:rsidRPr="00E76359">
        <w:rPr>
          <w:noProof/>
        </w:rPr>
        <w:tab/>
      </w:r>
      <w:r w:rsidR="00C74F0E" w:rsidRPr="00CA1529">
        <w:rPr>
          <w:noProof/>
        </w:rPr>
        <w:t>Поради това Регламент за изпълнение (ЕС) 2024/3117 следва да бъде съответно изменен.</w:t>
      </w:r>
    </w:p>
    <w:p w:rsidR="00C74F0E" w:rsidRPr="00CA1529" w:rsidRDefault="00E76359" w:rsidP="00E76359">
      <w:pPr>
        <w:pStyle w:val="ManualConsidrant"/>
        <w:rPr>
          <w:noProof/>
        </w:rPr>
      </w:pPr>
      <w:r w:rsidRPr="00E76359">
        <w:rPr>
          <w:noProof/>
        </w:rPr>
        <w:t>(5)</w:t>
      </w:r>
      <w:r w:rsidRPr="00E76359">
        <w:rPr>
          <w:noProof/>
        </w:rPr>
        <w:tab/>
      </w:r>
      <w:r w:rsidR="00C74F0E" w:rsidRPr="00CA1529">
        <w:rPr>
          <w:noProof/>
        </w:rPr>
        <w:t>Настоящият регламент е изготвен въз основа на проекта на технически стандарти за изпълнение, представен на Комисията от Европейския банков орган (ЕБО).</w:t>
      </w:r>
    </w:p>
    <w:p w:rsidR="00430BC2" w:rsidRPr="00C74F0E" w:rsidRDefault="00E76359" w:rsidP="00E76359">
      <w:pPr>
        <w:pStyle w:val="ManualConsidrant"/>
        <w:rPr>
          <w:noProof/>
        </w:rPr>
      </w:pPr>
      <w:r w:rsidRPr="00E76359">
        <w:rPr>
          <w:noProof/>
        </w:rPr>
        <w:t>(6)</w:t>
      </w:r>
      <w:r w:rsidRPr="00E76359">
        <w:rPr>
          <w:noProof/>
        </w:rPr>
        <w:tab/>
      </w:r>
      <w:r w:rsidR="00C74F0E" w:rsidRPr="00CA1529">
        <w:rPr>
          <w:noProof/>
        </w:rPr>
        <w:t>ЕБО проведе открити обществени консултации по проекта на технически стандарти за изпълнение, въз основа на които е изготвен настоящият регламент, анализира потенциалните разходи и ползи и поиска становище от Групата на участниците от банковия сектор, създадена с член 37 от Регламент (ЕС) № 1093/2010 на Европейския парламент и на Съвета</w:t>
      </w:r>
      <w:r w:rsidR="00C74F0E" w:rsidRPr="00CA1529">
        <w:rPr>
          <w:rStyle w:val="FootnoteReference"/>
          <w:noProof/>
        </w:rPr>
        <w:footnoteReference w:id="6"/>
      </w:r>
      <w:r w:rsidR="00FF5614">
        <w:rPr>
          <w:noProof/>
        </w:rPr>
        <w:t>,</w:t>
      </w:r>
    </w:p>
    <w:p w:rsidR="00430BC2" w:rsidRPr="00C74F0E" w:rsidRDefault="00C74F0E" w:rsidP="004E1EF9">
      <w:pPr>
        <w:pStyle w:val="Formuledadoption"/>
        <w:rPr>
          <w:noProof/>
        </w:rPr>
      </w:pPr>
      <w:r>
        <w:rPr>
          <w:noProof/>
        </w:rPr>
        <w:t>ПРИЕ НАСТОЯЩИЯ РЕГЛАМЕНТ:</w:t>
      </w:r>
    </w:p>
    <w:p w:rsidR="00C74F0E" w:rsidRPr="00CA1529" w:rsidRDefault="00C74F0E" w:rsidP="00C74F0E">
      <w:pPr>
        <w:pStyle w:val="Titrearticle"/>
        <w:rPr>
          <w:noProof/>
        </w:rPr>
      </w:pPr>
      <w:r w:rsidRPr="00CA1529">
        <w:rPr>
          <w:noProof/>
        </w:rPr>
        <w:t>Член 1</w:t>
      </w:r>
    </w:p>
    <w:p w:rsidR="00C74F0E" w:rsidRPr="00CA1529" w:rsidRDefault="00C74F0E" w:rsidP="00C74F0E">
      <w:pPr>
        <w:rPr>
          <w:noProof/>
        </w:rPr>
      </w:pPr>
      <w:bookmarkStart w:id="4" w:name="_Hlk198544571"/>
      <w:r w:rsidRPr="00CA1529">
        <w:rPr>
          <w:noProof/>
        </w:rPr>
        <w:t>Регламент за изпълнение (ЕС) 2024/3117</w:t>
      </w:r>
      <w:bookmarkEnd w:id="4"/>
      <w:r w:rsidRPr="00CA1529">
        <w:rPr>
          <w:noProof/>
        </w:rPr>
        <w:t xml:space="preserve"> се изменя, както следва: </w:t>
      </w:r>
    </w:p>
    <w:p w:rsidR="00C74F0E" w:rsidRPr="00CA1529" w:rsidRDefault="00C74F0E" w:rsidP="00C74F0E">
      <w:pPr>
        <w:pStyle w:val="Point0"/>
        <w:rPr>
          <w:noProof/>
        </w:rPr>
      </w:pPr>
      <w:r w:rsidRPr="002328CC">
        <w:rPr>
          <w:noProof/>
        </w:rPr>
        <w:t>1)</w:t>
      </w:r>
      <w:r w:rsidRPr="002328CC">
        <w:rPr>
          <w:noProof/>
        </w:rPr>
        <w:tab/>
      </w:r>
      <w:r w:rsidRPr="00CA1529">
        <w:rPr>
          <w:noProof/>
        </w:rPr>
        <w:t>в член 5 параграф 4 се заменя със следното:</w:t>
      </w:r>
    </w:p>
    <w:p w:rsidR="00C74F0E" w:rsidRPr="00CA1529" w:rsidRDefault="00C74F0E" w:rsidP="00C74F0E">
      <w:pPr>
        <w:pStyle w:val="QuotedNumPar"/>
        <w:rPr>
          <w:noProof/>
        </w:rPr>
      </w:pPr>
      <w:r w:rsidRPr="00CA1529">
        <w:rPr>
          <w:noProof/>
        </w:rPr>
        <w:t>„4. За изчисляването на капиталовите изисквания, посочени в член 92, параграф 4, буква б), подточка i) и буква в) и в член 92, параграф 5, букви б) и в) от Регламент (ЕС) № 575/2013, институциите подават до 31 декември 2026 г. информацията за капиталовите изисквания, свързани с пазарния риск, съгласно член 5, параграф 12 от Регламент за изпълнение (ЕС) 2021/451.“;</w:t>
      </w:r>
    </w:p>
    <w:p w:rsidR="00C74F0E" w:rsidRPr="00CA1529" w:rsidRDefault="00C74F0E" w:rsidP="00C74F0E">
      <w:pPr>
        <w:pStyle w:val="Point0"/>
        <w:rPr>
          <w:noProof/>
        </w:rPr>
      </w:pPr>
      <w:r>
        <w:rPr>
          <w:noProof/>
        </w:rPr>
        <w:t>2</w:t>
      </w:r>
      <w:r w:rsidRPr="002328CC">
        <w:rPr>
          <w:noProof/>
        </w:rPr>
        <w:t>)</w:t>
      </w:r>
      <w:r w:rsidRPr="002328CC">
        <w:rPr>
          <w:noProof/>
        </w:rPr>
        <w:tab/>
      </w:r>
      <w:r w:rsidRPr="00CA1529">
        <w:rPr>
          <w:noProof/>
        </w:rPr>
        <w:t>в член 7 се добавя следната буква в):</w:t>
      </w:r>
    </w:p>
    <w:p w:rsidR="00C74F0E" w:rsidRPr="00CA1529" w:rsidRDefault="00C74F0E" w:rsidP="00C74F0E">
      <w:pPr>
        <w:pStyle w:val="QuotedNumPar"/>
        <w:rPr>
          <w:noProof/>
        </w:rPr>
      </w:pPr>
      <w:r w:rsidRPr="00CA1529">
        <w:rPr>
          <w:noProof/>
        </w:rPr>
        <w:t>„в)</w:t>
      </w:r>
      <w:r w:rsidRPr="00CA1529">
        <w:rPr>
          <w:noProof/>
        </w:rPr>
        <w:tab/>
        <w:t>институциите майки от ЕС докладват изискваната в образец C 16.04 от приложение I информация за дъщерните предприятия, за които се прилага дерогацията, предвидена в член 314, параграф 3 от Регламент (ЕС) № 575/2013, на всеки три месеца.“;</w:t>
      </w:r>
    </w:p>
    <w:p w:rsidR="00C74F0E" w:rsidRPr="00CA1529" w:rsidRDefault="00C74F0E" w:rsidP="00C74F0E">
      <w:pPr>
        <w:pStyle w:val="Point0"/>
        <w:rPr>
          <w:noProof/>
        </w:rPr>
      </w:pPr>
      <w:r>
        <w:rPr>
          <w:noProof/>
        </w:rPr>
        <w:t>3</w:t>
      </w:r>
      <w:r w:rsidRPr="002328CC">
        <w:rPr>
          <w:noProof/>
        </w:rPr>
        <w:t>)</w:t>
      </w:r>
      <w:r w:rsidRPr="002328CC">
        <w:rPr>
          <w:noProof/>
        </w:rPr>
        <w:tab/>
      </w:r>
      <w:r w:rsidRPr="00CA1529">
        <w:rPr>
          <w:noProof/>
        </w:rPr>
        <w:t>в член 25 параграфи 1 и 2 се заменят със следното:</w:t>
      </w:r>
    </w:p>
    <w:p w:rsidR="00C74F0E" w:rsidRPr="00CA1529" w:rsidRDefault="00C74F0E" w:rsidP="00C74F0E">
      <w:pPr>
        <w:pStyle w:val="QuotedNumPar"/>
        <w:rPr>
          <w:noProof/>
        </w:rPr>
      </w:pPr>
      <w:r w:rsidRPr="00CA1529">
        <w:rPr>
          <w:noProof/>
        </w:rPr>
        <w:t>„1. Регламент за изпълнение (ЕС) 2021/451 престава да се прилага от 1 януари 2025 г., с изключение на член 5, параграф 12, на приложение I, образци 18—24 и на приложение II, част II, точки 5.1—5.7. Член 15 от Регламент за изпълнение (ЕС) 2021/451 продължава да се прилага до 31 декември 2026 г. само за целите на член 5, параграф 4 от настоящия регламент.</w:t>
      </w:r>
    </w:p>
    <w:p w:rsidR="00C74F0E" w:rsidRPr="00CA1529" w:rsidRDefault="00C74F0E" w:rsidP="00C74F0E">
      <w:pPr>
        <w:pStyle w:val="QuotedNumPar"/>
        <w:rPr>
          <w:noProof/>
        </w:rPr>
      </w:pPr>
      <w:r w:rsidRPr="00CA1529">
        <w:rPr>
          <w:noProof/>
        </w:rPr>
        <w:t>2. Регламент за изпълнение (ЕС) 2021/451 се отменя, считано от 31 декември 2026 г.“;</w:t>
      </w:r>
    </w:p>
    <w:p w:rsidR="00C74F0E" w:rsidRPr="00CA1529" w:rsidRDefault="00C74F0E" w:rsidP="00C74F0E">
      <w:pPr>
        <w:pStyle w:val="Point0"/>
        <w:rPr>
          <w:noProof/>
        </w:rPr>
      </w:pPr>
      <w:r>
        <w:rPr>
          <w:noProof/>
        </w:rPr>
        <w:t>4</w:t>
      </w:r>
      <w:r w:rsidRPr="002328CC">
        <w:rPr>
          <w:noProof/>
        </w:rPr>
        <w:t>)</w:t>
      </w:r>
      <w:r w:rsidRPr="002328CC">
        <w:rPr>
          <w:noProof/>
        </w:rPr>
        <w:tab/>
      </w:r>
      <w:r w:rsidRPr="00CA1529">
        <w:rPr>
          <w:noProof/>
        </w:rPr>
        <w:t xml:space="preserve">в приложение I раздел 1 „Докладване на информация за собствените средства и капиталовите изисквания“ се изменя, както следва: </w:t>
      </w:r>
    </w:p>
    <w:p w:rsidR="00C74F0E" w:rsidRPr="00CA1529" w:rsidRDefault="00C74F0E" w:rsidP="00C74F0E">
      <w:pPr>
        <w:pStyle w:val="Point1"/>
        <w:rPr>
          <w:noProof/>
        </w:rPr>
      </w:pPr>
      <w:r>
        <w:rPr>
          <w:noProof/>
        </w:rPr>
        <w:t>а</w:t>
      </w:r>
      <w:r w:rsidRPr="002328CC">
        <w:rPr>
          <w:noProof/>
        </w:rPr>
        <w:t>)</w:t>
      </w:r>
      <w:r w:rsidRPr="002328CC">
        <w:rPr>
          <w:noProof/>
        </w:rPr>
        <w:tab/>
      </w:r>
      <w:r w:rsidRPr="00CA1529">
        <w:rPr>
          <w:noProof/>
        </w:rPr>
        <w:t xml:space="preserve">образец „C 16.01 — ОПЕРАЦИОНЕН РИСК — </w:t>
      </w:r>
      <w:r w:rsidRPr="00CA1529">
        <w:rPr>
          <w:caps/>
          <w:noProof/>
        </w:rPr>
        <w:t>Капиталови изисквания</w:t>
      </w:r>
      <w:r w:rsidRPr="00CA1529">
        <w:rPr>
          <w:noProof/>
        </w:rPr>
        <w:t xml:space="preserve"> (OPR OF)“ се заменя с образец „C 16.01 — ОПЕРАЦИОНЕН РИСК — </w:t>
      </w:r>
      <w:r w:rsidRPr="00CA1529">
        <w:rPr>
          <w:caps/>
          <w:noProof/>
        </w:rPr>
        <w:t>Капиталови изисквания</w:t>
      </w:r>
      <w:r w:rsidRPr="00CA1529">
        <w:rPr>
          <w:noProof/>
        </w:rPr>
        <w:t xml:space="preserve"> (OPR OF)“, установен в приложението към настоящия регламент;</w:t>
      </w:r>
    </w:p>
    <w:p w:rsidR="00C74F0E" w:rsidRPr="00CA1529" w:rsidRDefault="00C74F0E" w:rsidP="00C74F0E">
      <w:pPr>
        <w:pStyle w:val="Point1"/>
        <w:rPr>
          <w:noProof/>
        </w:rPr>
      </w:pPr>
      <w:r>
        <w:rPr>
          <w:noProof/>
        </w:rPr>
        <w:t>б</w:t>
      </w:r>
      <w:r w:rsidRPr="002328CC">
        <w:rPr>
          <w:noProof/>
        </w:rPr>
        <w:t>)</w:t>
      </w:r>
      <w:r w:rsidRPr="002328CC">
        <w:rPr>
          <w:noProof/>
        </w:rPr>
        <w:tab/>
      </w:r>
      <w:r w:rsidRPr="00CA1529">
        <w:rPr>
          <w:noProof/>
        </w:rPr>
        <w:t>образец „C 16.02 — ОПЕРАЦИОНЕН РИСК — КОМПОНЕНТ НА БИЗНЕС ИНДИКАТОРА (OPR BIC)“, образец „C 16.03 — РАЗБИВКА НА ОПЕРАЦИОННИЯ РИСК (OPR BD) — ЗАГУБИ, РАЗХОДИ, ПРОВИЗИИ И ДРУГИ ФИНАНСОВИ ПОСЛЕДИЦИ В РЕЗУЛТАТ НА СЪБИТИЯ ВЪВ ВРЪЗКА С ОПЕРАЦИОННИЯ РИСК“ и образец „C 16.04 — ОПЕРАЦИОНЕН РИСК — ИНФОРМАЦИЯ ЗА ДЪЩЕРНИТЕ ПРЕДПРИЯТИЯ, ЗА КОИТО СЕ ПРИЛАГА ЧЛЕН 314, ПАРАГРАФ 3 ОТ РКИ“, установени в приложението към настоящия регламент, се добавят след образец „C 16.01 — ОПЕРАЦИОНЕН РИСК — КАПИТАЛОВИ ИЗИСКВАНИЯ (OPR OF)“.</w:t>
      </w:r>
    </w:p>
    <w:p w:rsidR="00C74F0E" w:rsidRPr="00CA1529" w:rsidRDefault="00C74F0E" w:rsidP="00C74F0E">
      <w:pPr>
        <w:pStyle w:val="Titrearticle"/>
        <w:rPr>
          <w:noProof/>
        </w:rPr>
      </w:pPr>
      <w:r w:rsidRPr="00CA1529">
        <w:rPr>
          <w:noProof/>
        </w:rPr>
        <w:t>Член 2</w:t>
      </w:r>
    </w:p>
    <w:p w:rsidR="00C74F0E" w:rsidRPr="00CA1529" w:rsidRDefault="00C74F0E" w:rsidP="00C74F0E">
      <w:pPr>
        <w:rPr>
          <w:noProof/>
        </w:rPr>
      </w:pPr>
      <w:r w:rsidRPr="00CA1529">
        <w:rPr>
          <w:noProof/>
        </w:rPr>
        <w:t xml:space="preserve">Настоящият регламент влиза в сила на двадесетия ден след деня на публикуването му в </w:t>
      </w:r>
      <w:r w:rsidRPr="00CA1529">
        <w:rPr>
          <w:i/>
          <w:noProof/>
        </w:rPr>
        <w:t>Официален вестник на Европейския съюз</w:t>
      </w:r>
      <w:r w:rsidRPr="00CA1529">
        <w:rPr>
          <w:noProof/>
        </w:rPr>
        <w:t>.</w:t>
      </w:r>
    </w:p>
    <w:p w:rsidR="00430BC2" w:rsidRPr="00C74F0E" w:rsidRDefault="00C74F0E" w:rsidP="00C74F0E">
      <w:pPr>
        <w:pStyle w:val="Applicationdirecte"/>
        <w:rPr>
          <w:noProof/>
        </w:rPr>
      </w:pPr>
      <w:r w:rsidRPr="00CA1529">
        <w:rPr>
          <w:noProof/>
        </w:rPr>
        <w:t>Настоящият регламент е задължителен в своята цялост и се прилага пряко във всички държави членки.</w:t>
      </w:r>
    </w:p>
    <w:p w:rsidR="00430BC2" w:rsidRPr="00C74F0E" w:rsidRDefault="00A02A12" w:rsidP="00E7484E">
      <w:pPr>
        <w:pStyle w:val="Fait"/>
        <w:rPr>
          <w:noProof/>
        </w:rPr>
      </w:pPr>
      <w:r>
        <w:rPr>
          <w:noProof/>
        </w:rPr>
        <w:t>Съставено в Брюксел на 8.12.2025 година.</w:t>
      </w:r>
    </w:p>
    <w:p w:rsidR="00430BC2" w:rsidRPr="00C74F0E" w:rsidRDefault="00C74F0E" w:rsidP="00E7484E">
      <w:pPr>
        <w:pStyle w:val="Institutionquisigne"/>
        <w:rPr>
          <w:noProof/>
        </w:rPr>
      </w:pPr>
      <w:r>
        <w:rPr>
          <w:noProof/>
        </w:rPr>
        <w:tab/>
        <w:t>За Комисията</w:t>
      </w:r>
    </w:p>
    <w:p w:rsidR="00CE1BA2" w:rsidRPr="00C74F0E" w:rsidRDefault="002D24F8" w:rsidP="00E7484E">
      <w:pPr>
        <w:pStyle w:val="Personnequisigne"/>
        <w:keepNext/>
        <w:rPr>
          <w:noProof/>
        </w:rPr>
      </w:pPr>
      <w:r>
        <w:rPr>
          <w:noProof/>
        </w:rPr>
        <w:tab/>
        <w:t>Председател</w:t>
      </w:r>
      <w:r>
        <w:rPr>
          <w:noProof/>
        </w:rPr>
        <w:br/>
      </w:r>
      <w:r>
        <w:rPr>
          <w:noProof/>
        </w:rPr>
        <w:tab/>
        <w:t>Ursula VON DER LEYEN</w:t>
      </w:r>
    </w:p>
    <w:p w:rsidR="00430BC2" w:rsidRPr="00C74F0E" w:rsidRDefault="00430BC2" w:rsidP="00430BC2">
      <w:pPr>
        <w:pStyle w:val="Personnequisigne"/>
        <w:rPr>
          <w:noProof/>
        </w:rPr>
      </w:pPr>
    </w:p>
    <w:sectPr w:rsidR="00430BC2" w:rsidRPr="00C74F0E" w:rsidSect="00A74DE0">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Pr="00A74DE0" w:rsidRDefault="00A74DE0" w:rsidP="00A74DE0">
    <w:pPr>
      <w:pStyle w:val="Footer"/>
      <w:rPr>
        <w:rFonts w:ascii="Arial" w:hAnsi="Arial" w:cs="Arial"/>
        <w:b/>
        <w:sz w:val="48"/>
      </w:rPr>
    </w:pPr>
    <w:r w:rsidRPr="00A74DE0">
      <w:rPr>
        <w:rFonts w:ascii="Arial" w:hAnsi="Arial" w:cs="Arial"/>
        <w:b/>
        <w:sz w:val="48"/>
      </w:rPr>
      <w:t>BG</w:t>
    </w:r>
    <w:r w:rsidRPr="00A74DE0">
      <w:rPr>
        <w:rFonts w:ascii="Arial" w:hAnsi="Arial" w:cs="Arial"/>
        <w:b/>
        <w:sz w:val="48"/>
      </w:rPr>
      <w:tab/>
    </w:r>
    <w:r w:rsidRPr="00A74DE0">
      <w:rPr>
        <w:rFonts w:ascii="Arial" w:hAnsi="Arial" w:cs="Arial"/>
        <w:b/>
        <w:sz w:val="48"/>
      </w:rPr>
      <w:tab/>
    </w:r>
    <w:r w:rsidRPr="00A74DE0">
      <w:tab/>
    </w:r>
    <w:r w:rsidRPr="00A74DE0">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Pr="00A74DE0" w:rsidRDefault="00A74DE0" w:rsidP="00A74DE0">
    <w:pPr>
      <w:pStyle w:val="Footer"/>
      <w:rPr>
        <w:rFonts w:ascii="Arial" w:hAnsi="Arial" w:cs="Arial"/>
        <w:b/>
        <w:sz w:val="48"/>
      </w:rPr>
    </w:pPr>
    <w:r w:rsidRPr="00A74DE0">
      <w:rPr>
        <w:rFonts w:ascii="Arial" w:hAnsi="Arial" w:cs="Arial"/>
        <w:b/>
        <w:sz w:val="48"/>
      </w:rPr>
      <w:t>BG</w:t>
    </w:r>
    <w:r w:rsidRPr="00A74DE0">
      <w:rPr>
        <w:rFonts w:ascii="Arial" w:hAnsi="Arial" w:cs="Arial"/>
        <w:b/>
        <w:sz w:val="48"/>
      </w:rPr>
      <w:tab/>
    </w:r>
    <w:r w:rsidRPr="00A74DE0">
      <w:rPr>
        <w:rFonts w:ascii="Arial" w:hAnsi="Arial" w:cs="Arial"/>
        <w:b/>
        <w:sz w:val="48"/>
      </w:rPr>
      <w:tab/>
    </w:r>
    <w:r w:rsidRPr="00A74DE0">
      <w:tab/>
    </w:r>
    <w:r w:rsidRPr="00A74DE0">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Pr="00A74DE0" w:rsidRDefault="00A74DE0" w:rsidP="00A74D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Default="00A74D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Pr="00A74DE0" w:rsidRDefault="00A74DE0" w:rsidP="00A74DE0">
    <w:pPr>
      <w:pStyle w:val="Footer"/>
      <w:rPr>
        <w:rFonts w:ascii="Arial" w:hAnsi="Arial" w:cs="Arial"/>
        <w:b/>
        <w:sz w:val="48"/>
      </w:rPr>
    </w:pPr>
    <w:r w:rsidRPr="00A74DE0">
      <w:rPr>
        <w:rFonts w:ascii="Arial" w:hAnsi="Arial" w:cs="Arial"/>
        <w:b/>
        <w:sz w:val="48"/>
      </w:rPr>
      <w:t>BG</w:t>
    </w:r>
    <w:r w:rsidRPr="00A74DE0">
      <w:rPr>
        <w:rFonts w:ascii="Arial" w:hAnsi="Arial" w:cs="Arial"/>
        <w:b/>
        <w:sz w:val="48"/>
      </w:rPr>
      <w:tab/>
    </w:r>
    <w:r>
      <w:fldChar w:fldCharType="begin"/>
    </w:r>
    <w:r>
      <w:instrText xml:space="preserve"> PAGE  \* MERGEFORMAT </w:instrText>
    </w:r>
    <w:r>
      <w:fldChar w:fldCharType="separate"/>
    </w:r>
    <w:r w:rsidR="00E7484E">
      <w:rPr>
        <w:noProof/>
      </w:rPr>
      <w:t>3</w:t>
    </w:r>
    <w:r>
      <w:fldChar w:fldCharType="end"/>
    </w:r>
    <w:r>
      <w:tab/>
    </w:r>
    <w:r w:rsidRPr="00A74DE0">
      <w:tab/>
    </w:r>
    <w:r w:rsidRPr="00A74DE0">
      <w:rPr>
        <w:rFonts w:ascii="Arial" w:hAnsi="Arial" w:cs="Arial"/>
        <w:b/>
        <w:sz w:val="48"/>
      </w:rPr>
      <w:t>BG</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Default="00A74DE0" w:rsidP="00A7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C74F0E" w:rsidRPr="00980B82" w:rsidRDefault="00C74F0E" w:rsidP="00C74F0E">
      <w:pPr>
        <w:pStyle w:val="FootnoteText"/>
      </w:pPr>
      <w:r>
        <w:rPr>
          <w:rStyle w:val="FootnoteReference"/>
        </w:rPr>
        <w:footnoteRef/>
      </w:r>
      <w:r>
        <w:tab/>
        <w:t>ОВ L 176, 27.6.2013 г., стр. 1., ELI: http://data.europa.eu/eli/reg/2013/575/oj.</w:t>
      </w:r>
    </w:p>
  </w:footnote>
  <w:footnote w:id="2">
    <w:p w:rsidR="00C74F0E" w:rsidRPr="006510B1" w:rsidRDefault="00C74F0E" w:rsidP="00C74F0E">
      <w:pPr>
        <w:pStyle w:val="FootnoteText"/>
        <w:rPr>
          <w:rFonts w:eastAsiaTheme="minorEastAsia"/>
        </w:rPr>
      </w:pPr>
      <w:r>
        <w:rPr>
          <w:rStyle w:val="FootnoteReference"/>
        </w:rPr>
        <w:footnoteRef/>
      </w:r>
      <w:r>
        <w:tab/>
        <w:t xml:space="preserve">Регламент (ЕС) 2024/1623 на Европейския парламент и на Съвета от 31 май 2024 г. за изменение на Регламент (ЕС) № 575/2013 по отношение на изискванията за кредитен риск, риск от корекция на кредитната оценка, операционен риск и пазарен риск, както и за долна граница на капиталовото изискване (ОВ L, 19.6.2024 г., стр. 1, ELI: </w:t>
      </w:r>
      <w:bookmarkStart w:id="1" w:name="_Hlk198544494"/>
      <w:r>
        <w:t>http://data.europa.eu/eli/reg/2024/1623/oj</w:t>
      </w:r>
      <w:bookmarkEnd w:id="1"/>
      <w:r>
        <w:t>).</w:t>
      </w:r>
    </w:p>
  </w:footnote>
  <w:footnote w:id="3">
    <w:p w:rsidR="00C74F0E" w:rsidRPr="006510B1" w:rsidRDefault="00C74F0E" w:rsidP="00C74F0E">
      <w:pPr>
        <w:pStyle w:val="FootnoteText"/>
      </w:pPr>
      <w:r>
        <w:rPr>
          <w:rStyle w:val="FootnoteReference"/>
        </w:rPr>
        <w:footnoteRef/>
      </w:r>
      <w:r>
        <w:tab/>
        <w:t>Регламент за изпълнение (ЕС) 2024/3117 на Комисията от 29 ноември 2024 г. за определяне на техническите стандарти за изпълнение за прилагането на Регламент (ЕС) № 575/2013 на Европейския парламент и на Съвета по отношение на предоставянето на информация от институциите на надзорните органи и за отмяна на Регламент за изпълнение (ЕС) 2021/451 на Комисията (ОВ L, 2024/3117, 27.12.2024 г., стр. 1, ELI: </w:t>
      </w:r>
      <w:bookmarkStart w:id="2" w:name="_Hlk198544532"/>
      <w:r>
        <w:fldChar w:fldCharType="begin"/>
      </w:r>
      <w:r>
        <w:instrText>HYPERLINK "http://data.europa.eu/eli/reg_impl/2024/3117/oj" \t "_blank" \o "Осигурява достъп до настоящия документ чрез неговия унифициран идентификатор на ресурс (URI) на европейския идентификатор на законодателството (ELI)."</w:instrText>
      </w:r>
      <w:r>
        <w:fldChar w:fldCharType="separate"/>
      </w:r>
      <w:r>
        <w:t>http://data.europa.eu/eli/reg_impl/2024/3117/oj</w:t>
      </w:r>
      <w:r>
        <w:fldChar w:fldCharType="end"/>
      </w:r>
      <w:bookmarkEnd w:id="2"/>
      <w:r>
        <w:t>).</w:t>
      </w:r>
    </w:p>
  </w:footnote>
  <w:footnote w:id="4">
    <w:p w:rsidR="00C74F0E" w:rsidRPr="0029202E" w:rsidRDefault="00C74F0E" w:rsidP="00C74F0E">
      <w:pPr>
        <w:pStyle w:val="FootnoteText"/>
      </w:pPr>
      <w:r>
        <w:rPr>
          <w:rStyle w:val="FootnoteReference"/>
        </w:rPr>
        <w:footnoteRef/>
      </w:r>
      <w:r>
        <w:tab/>
        <w:t>Делегиран регламент (ЕС) 2025/1496 на Комисията от 12 юни 2025 г. за изменение на Регламент (ЕС) № 575/2013 на Европейския парламент и на Съвета по отношение на датата на прилагане на капиталовите изисквания за пазарен риск (ОВ L, 2025/1496, 19.9.2025 г., ELI: http://data.europa.eu/eli/reg_del/2025/1496/oj).</w:t>
      </w:r>
    </w:p>
  </w:footnote>
  <w:footnote w:id="5">
    <w:p w:rsidR="00C74F0E" w:rsidRDefault="00C74F0E" w:rsidP="00C74F0E">
      <w:pPr>
        <w:pStyle w:val="FootnoteText"/>
      </w:pPr>
      <w:r>
        <w:rPr>
          <w:rStyle w:val="FootnoteReference"/>
        </w:rPr>
        <w:footnoteRef/>
      </w:r>
      <w:r>
        <w:tab/>
        <w:t xml:space="preserve">Регламент за изпълнение (ЕС) 2021/451 на Комисията от 17 декември 2020 г. за определяне на техническите стандарти за изпълнение за прилагането на Регламент (ЕС) № 575/2013 на Европейския парламент и на Съвета по отношение на предоставянето на информация от институциите на надзорните органи и за отмяна на Регламент за изпълнение (ЕС) № 680/2014 (ОВ L 97, 19.3.2021 г., стр. 1, ELI: </w:t>
      </w:r>
      <w:hyperlink r:id="rId1" w:history="1">
        <w:r>
          <w:rPr>
            <w:rStyle w:val="Hyperlink"/>
          </w:rPr>
          <w:t>http://data.europa.eu/eli/reg_impl/2021/451/oj</w:t>
        </w:r>
      </w:hyperlink>
      <w:r>
        <w:t>).</w:t>
      </w:r>
    </w:p>
  </w:footnote>
  <w:footnote w:id="6">
    <w:p w:rsidR="00C74F0E" w:rsidRPr="006510B1" w:rsidRDefault="00C74F0E" w:rsidP="00C74F0E">
      <w:pPr>
        <w:pStyle w:val="FootnoteText"/>
      </w:pPr>
      <w:r>
        <w:rPr>
          <w:rStyle w:val="FootnoteReference"/>
        </w:rPr>
        <w:footnoteRef/>
      </w:r>
      <w:r>
        <w:tab/>
      </w:r>
      <w:bookmarkStart w:id="3" w:name="_Hlk198544390"/>
      <w:r>
        <w:t>Регламент (ЕС) № 1093/2010 на Европейския парламент и на Съвета от 24 ноември 2010 г. за създаване на Европейски надзорен орган</w:t>
      </w:r>
      <w:bookmarkEnd w:id="3"/>
      <w:r>
        <w:t xml:space="preserve"> (Европейски банков орган), за изменение на Решение № 716/2009/ЕО и за отмяна на Решение 2009/78/ЕО на Комисията (ОВ L 331, 15.12.2010 г., стр.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Pr="00A74DE0" w:rsidRDefault="00A74DE0" w:rsidP="00A74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Pr="00A74DE0" w:rsidRDefault="00A74DE0" w:rsidP="00A74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Pr="00A74DE0" w:rsidRDefault="00A74DE0" w:rsidP="00A74D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Default="00A74D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E0" w:rsidRDefault="00A74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7: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8C0108E-D6BC-416D-B065-A80FC85C935C"/>
    <w:docVar w:name="LW_COVERPAGE_TYPE" w:val="1"/>
    <w:docVar w:name="LW_CreatedUtc" w:val="2025-10-08T14:24:25.1973363Z"/>
    <w:docVar w:name="LW_CROSSREFERENCE" w:val="&lt;UNUSED&gt;"/>
    <w:docVar w:name="LW_DATE.ADOPT.CP" w:val="\u1086?\u1090? 8.12.2025 \u1075?\u1086?\u1076?\u1080?\u1085?\u1072?"/>
    <w:docVar w:name="LW_DATE.ADOPT.CP_DATEFORMAT" w:val="\u1086?\u1090? %DATE% \u1075?\u1086?\u1076?\u1080?\u1085?\u1072?"/>
    <w:docVar w:name="LW_DATE.ADOPT.CP_ISODATE" w:val="2025-12-08"/>
    <w:docVar w:name="LW_DocType" w:val="COM"/>
    <w:docVar w:name="LW_EMISSION" w:val="8.12.2025"/>
    <w:docVar w:name="LW_EMISSION_ISODATE" w:val="2025-12-08"/>
    <w:docVar w:name="LW_EMISSION_LOCATION" w:val="BRX"/>
    <w:docVar w:name="LW_EMISSION_PREFIX" w:val="\u1041?\u1088?\u1102?\u1082?\u1089?\u1077?\u1083?, "/>
    <w:docVar w:name="LW_EMISSION_SUFFIX" w:val=" \u1075?."/>
    <w:docVar w:name="LW_ID_DOCMODEL" w:val="SJ-004"/>
    <w:docVar w:name="LW_ID_DOCSIGNATURE" w:val="SJ-004"/>
    <w:docVar w:name="LW_ID_DOCSTRUCTURE" w:val="COM/AA"/>
    <w:docVar w:name="LW_ID_DOCTYPE" w:val="SJ-004"/>
    <w:docVar w:name="LW_INTERETEEE.CP" w:val="(\u1090?\u1077?\u1082?\u1089?\u1090? \u1086?\u1090? \u1079?\u1085?\u1072?\u1095?\u1077?\u1085?\u1080?\u1077? \u1079?\u1072? \u1045?\u1048?\u1055?)"/>
    <w:docVar w:name="LW_LANGUE" w:val="BG"/>
    <w:docVar w:name="LW_LANGUESFAISANTFOI.CP" w:val="&lt;UNUSED&gt;"/>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79?\u1072? \u1080?\u1079?\u1084?\u1077?\u1085?\u1077?\u1085?\u1080?\u1077? \u1085?\u1072? \u1086?\u1087?\u1088?\u1077?\u1076?\u1077?\u1083?\u1077?\u1085?\u1080?\u1090?\u1077? \u1089? \u1056?\u1077?\u1075?\u1083?\u1072?\u1084?\u1077?\u1085?\u1090? \u1079?\u1072? \u1080?\u1079?\u1087?\u1098?\u1083?\u1085?\u1077?\u1085?\u1080?\u1077? (\u1045?\u1057?) 2024/3117 \u1090?\u1077?\u1093?\u1085?\u1080?\u1095?\u1077?\u1089?\u1082?\u1080? \u1089?\u1090?\u1072?\u1085?\u1076?\u1072?\u1088?\u1090?\u1080? \u1079?\u1072? \u1080?\u1079?\u1087?\u1098?\u1083?\u1085?\u1077?\u1085?\u1080?\u1077? \u1087?\u1086? \u1086?\u1090?\u1085?\u1086?\u1096?\u1077?\u1085?\u1080?\u1077? \u1085?\u1072? \u1087?\u1088?\u1077?\u1076?\u1086?\u1089?\u1090?\u1072?\u1074?\u1103?\u1085?\u1077?\u1090?\u1086? \u1085?\u1072? \u1080?\u1085?\u1092?\u1086?\u1088?\u1084?\u1072?\u1094?\u1080?\u1103? \u1086?\u1090? \u1080?\u1085?\u1089?\u1090?\u1080?\u1090?\u1091?\u1094?\u1080?\u1080?\u1090?\u1077? \u1085?\u1072? \u1085?\u1072?\u1076?\u1079?\u1086?\u1088?\u1085?\u1080?\u1090?\u1077? \u1086?\u1088?\u1075?\u1072?\u1085?\u1080? \u1074?\u1098?\u1074? \u1074?\u1088?\u1098?\u1079?\u1082?\u1072? \u1089? \u1086?\u1087?\u1077?\u1088?\u1072?\u1094?\u1080?\u1086?\u1085?\u1085?\u1080?\u1103? \u1088?\u1080?\u1089?\u1082?"/>
    <w:docVar w:name="LW_TYPE.DOC.CP" w:val="\u1056?\u1045?\u1043?\u1051?\u1040?\u1052?\u1045?\u1053?\u1058? \u1047?\u1040? \u1048?\u1047?\u1055?\u1066?\u1051?\u1053?\u1045?\u1053?\u1048?\u1045? (\u1045?\u1057?) .../\u8230? \u1053?\u1040? \u1050?\u1054?\u1052?\u1048?\u1057?\u1048?\u1071?\u1058?\u1040?"/>
    <w:docVar w:name="LwApiVersions" w:val="LW4CoDe 1.24.5.0; LW 9.2, Build 20251112"/>
  </w:docVars>
  <w:rsids>
    <w:rsidRoot w:val="00430BC2"/>
    <w:rsid w:val="00017C96"/>
    <w:rsid w:val="0004435A"/>
    <w:rsid w:val="00050CA3"/>
    <w:rsid w:val="000C37BA"/>
    <w:rsid w:val="001065F5"/>
    <w:rsid w:val="001238EF"/>
    <w:rsid w:val="00133705"/>
    <w:rsid w:val="00151C13"/>
    <w:rsid w:val="00197613"/>
    <w:rsid w:val="001F0B6E"/>
    <w:rsid w:val="00233DC7"/>
    <w:rsid w:val="00247779"/>
    <w:rsid w:val="00285BEE"/>
    <w:rsid w:val="0029533F"/>
    <w:rsid w:val="002B30AF"/>
    <w:rsid w:val="002D24F8"/>
    <w:rsid w:val="002E5318"/>
    <w:rsid w:val="0033344A"/>
    <w:rsid w:val="0038150A"/>
    <w:rsid w:val="0042648E"/>
    <w:rsid w:val="00430BC2"/>
    <w:rsid w:val="00437817"/>
    <w:rsid w:val="004404AB"/>
    <w:rsid w:val="00445072"/>
    <w:rsid w:val="00487D9D"/>
    <w:rsid w:val="0049094B"/>
    <w:rsid w:val="004936D2"/>
    <w:rsid w:val="005152A4"/>
    <w:rsid w:val="00530F66"/>
    <w:rsid w:val="0055312E"/>
    <w:rsid w:val="00561998"/>
    <w:rsid w:val="00562257"/>
    <w:rsid w:val="005B1EB6"/>
    <w:rsid w:val="005D348F"/>
    <w:rsid w:val="006056D7"/>
    <w:rsid w:val="00621720"/>
    <w:rsid w:val="00660C55"/>
    <w:rsid w:val="006A3A74"/>
    <w:rsid w:val="006F3E02"/>
    <w:rsid w:val="0076425B"/>
    <w:rsid w:val="00773331"/>
    <w:rsid w:val="007932EF"/>
    <w:rsid w:val="007A1586"/>
    <w:rsid w:val="007E05B0"/>
    <w:rsid w:val="007F1E18"/>
    <w:rsid w:val="007F4A4B"/>
    <w:rsid w:val="0080615B"/>
    <w:rsid w:val="008308DF"/>
    <w:rsid w:val="00847BAB"/>
    <w:rsid w:val="00874D22"/>
    <w:rsid w:val="00883B63"/>
    <w:rsid w:val="0089317B"/>
    <w:rsid w:val="008A2914"/>
    <w:rsid w:val="008B2342"/>
    <w:rsid w:val="008E4D8E"/>
    <w:rsid w:val="00957BDE"/>
    <w:rsid w:val="0097570D"/>
    <w:rsid w:val="009F0336"/>
    <w:rsid w:val="009F2131"/>
    <w:rsid w:val="00A02A12"/>
    <w:rsid w:val="00A05DB6"/>
    <w:rsid w:val="00A362F7"/>
    <w:rsid w:val="00A43E95"/>
    <w:rsid w:val="00A50C30"/>
    <w:rsid w:val="00A74DE0"/>
    <w:rsid w:val="00A9563C"/>
    <w:rsid w:val="00AA2392"/>
    <w:rsid w:val="00AC2E30"/>
    <w:rsid w:val="00AD7C0F"/>
    <w:rsid w:val="00AE3DBA"/>
    <w:rsid w:val="00B40F1A"/>
    <w:rsid w:val="00B443FE"/>
    <w:rsid w:val="00C12301"/>
    <w:rsid w:val="00C203DE"/>
    <w:rsid w:val="00C74F0E"/>
    <w:rsid w:val="00C84FA7"/>
    <w:rsid w:val="00C862B2"/>
    <w:rsid w:val="00CB2489"/>
    <w:rsid w:val="00CE1BA2"/>
    <w:rsid w:val="00D03513"/>
    <w:rsid w:val="00D20381"/>
    <w:rsid w:val="00DF4C45"/>
    <w:rsid w:val="00E7484E"/>
    <w:rsid w:val="00E76359"/>
    <w:rsid w:val="00EA23B3"/>
    <w:rsid w:val="00F47C85"/>
    <w:rsid w:val="00FC38F8"/>
    <w:rsid w:val="00FF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A74DE0"/>
    <w:rPr>
      <w:rFonts w:ascii="Times New Roman" w:hAnsi="Times New Roman" w:cs="Times New Roman"/>
      <w:sz w:val="24"/>
      <w:lang w:val="bg-BG"/>
    </w:rPr>
  </w:style>
  <w:style w:type="character" w:customStyle="1" w:styleId="FooterChar">
    <w:name w:val="Footer Char"/>
    <w:basedOn w:val="DefaultParagraphFont"/>
    <w:link w:val="Footer"/>
    <w:uiPriority w:val="99"/>
    <w:rsid w:val="00A74DE0"/>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74DE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74DE0"/>
    <w:pPr>
      <w:spacing w:before="0"/>
      <w:jc w:val="right"/>
    </w:pPr>
    <w:rPr>
      <w:sz w:val="28"/>
    </w:rPr>
  </w:style>
  <w:style w:type="paragraph" w:customStyle="1" w:styleId="FooterSensitivity">
    <w:name w:val="Footer Sensitivity"/>
    <w:basedOn w:val="Normal"/>
    <w:rsid w:val="00A74DE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A74DE0"/>
    <w:pPr>
      <w:tabs>
        <w:tab w:val="center" w:pos="4535"/>
        <w:tab w:val="right" w:pos="9071"/>
      </w:tabs>
      <w:spacing w:before="0"/>
    </w:pPr>
  </w:style>
  <w:style w:type="paragraph" w:customStyle="1" w:styleId="HeaderLandscape">
    <w:name w:val="HeaderLandscape"/>
    <w:basedOn w:val="Normal"/>
    <w:rsid w:val="00A74DE0"/>
    <w:pPr>
      <w:tabs>
        <w:tab w:val="center" w:pos="7285"/>
        <w:tab w:val="right" w:pos="14003"/>
      </w:tabs>
      <w:spacing w:before="0"/>
    </w:pPr>
  </w:style>
  <w:style w:type="paragraph" w:styleId="Footer">
    <w:name w:val="footer"/>
    <w:basedOn w:val="Normal"/>
    <w:link w:val="FooterChar"/>
    <w:uiPriority w:val="99"/>
    <w:unhideWhenUsed/>
    <w:rsid w:val="00A74DE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74DE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EBEA0-0806-4DEE-A775-7D5F63AAC7BA}"/>
</file>

<file path=customXml/itemProps2.xml><?xml version="1.0" encoding="utf-8"?>
<ds:datastoreItem xmlns:ds="http://schemas.openxmlformats.org/officeDocument/2006/customXml" ds:itemID="{96E09EA5-D723-4F3D-8330-DD42E51B76BB}"/>
</file>

<file path=customXml/itemProps3.xml><?xml version="1.0" encoding="utf-8"?>
<ds:datastoreItem xmlns:ds="http://schemas.openxmlformats.org/officeDocument/2006/customXml" ds:itemID="{930F398A-8AA4-4BFF-BECE-72D67400BA86}"/>
</file>

<file path=docProps/app.xml><?xml version="1.0" encoding="utf-8"?>
<Properties xmlns="http://schemas.openxmlformats.org/officeDocument/2006/extended-properties" xmlns:vt="http://schemas.openxmlformats.org/officeDocument/2006/docPropsVTypes">
  <Template>COM.dotm</Template>
  <TotalTime>6</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dcterms:created xsi:type="dcterms:W3CDTF">2025-11-19T12:59:00Z</dcterms:created>
  <dcterms:modified xsi:type="dcterms:W3CDTF">2025-12-02T09:07:00Z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