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41D0" w14:textId="5C094634" w:rsidR="00C74261" w:rsidRPr="00384CAC" w:rsidRDefault="00C74261" w:rsidP="00C74261">
      <w:pPr>
        <w:jc w:val="center"/>
        <w:rPr>
          <w:rFonts w:ascii="Times New Roman" w:hAnsi="Times New Roman"/>
          <w:b/>
          <w:sz w:val="28"/>
          <w:szCs w:val="28"/>
        </w:rPr>
      </w:pPr>
      <w:bookmarkStart w:id="0" w:name="_Toc262568021"/>
      <w:bookmarkStart w:id="1" w:name="_Toc295829847"/>
      <w:r w:rsidRPr="00384CAC">
        <w:rPr>
          <w:rFonts w:ascii="Times New Roman" w:hAnsi="Times New Roman"/>
          <w:b/>
          <w:sz w:val="28"/>
          <w:szCs w:val="28"/>
        </w:rPr>
        <w:t xml:space="preserve">ANNEX </w:t>
      </w:r>
      <w:r w:rsidR="00016430">
        <w:rPr>
          <w:rFonts w:ascii="Times New Roman" w:hAnsi="Times New Roman"/>
          <w:b/>
          <w:sz w:val="28"/>
          <w:szCs w:val="28"/>
        </w:rPr>
        <w:t>VIII</w:t>
      </w:r>
    </w:p>
    <w:p w14:paraId="44F23A8F" w14:textId="7A28C6BD" w:rsidR="002648B0" w:rsidRPr="00384CAC" w:rsidRDefault="00C74261" w:rsidP="00C74261">
      <w:pPr>
        <w:jc w:val="center"/>
        <w:rPr>
          <w:rFonts w:ascii="Times New Roman" w:hAnsi="Times New Roman"/>
          <w:b/>
          <w:sz w:val="28"/>
          <w:szCs w:val="28"/>
        </w:rPr>
      </w:pPr>
      <w:r w:rsidRPr="00384CAC">
        <w:rPr>
          <w:rFonts w:ascii="Times New Roman" w:hAnsi="Times New Roman"/>
          <w:b/>
          <w:sz w:val="28"/>
          <w:szCs w:val="28"/>
        </w:rPr>
        <w:t>‘</w:t>
      </w:r>
      <w:r w:rsidR="002648B0" w:rsidRPr="00384CAC">
        <w:rPr>
          <w:rFonts w:ascii="Times New Roman" w:hAnsi="Times New Roman"/>
          <w:b/>
          <w:sz w:val="28"/>
          <w:szCs w:val="28"/>
        </w:rPr>
        <w:t xml:space="preserve">ANNEX </w:t>
      </w:r>
      <w:r w:rsidR="00A92DDE" w:rsidRPr="00384CAC">
        <w:rPr>
          <w:rFonts w:ascii="Times New Roman" w:hAnsi="Times New Roman"/>
          <w:b/>
          <w:sz w:val="28"/>
          <w:szCs w:val="28"/>
        </w:rPr>
        <w:t>I</w:t>
      </w:r>
      <w:r w:rsidR="007C00B0" w:rsidRPr="00384CAC">
        <w:rPr>
          <w:rFonts w:ascii="Times New Roman" w:hAnsi="Times New Roman"/>
          <w:b/>
          <w:sz w:val="28"/>
          <w:szCs w:val="28"/>
        </w:rPr>
        <w:t>X</w:t>
      </w:r>
    </w:p>
    <w:p w14:paraId="1BBD494E" w14:textId="60E50024" w:rsidR="00646CC9" w:rsidRPr="00384CAC" w:rsidRDefault="007C00B0" w:rsidP="00C87CEE">
      <w:pPr>
        <w:jc w:val="center"/>
        <w:rPr>
          <w:rFonts w:ascii="Times New Roman" w:hAnsi="Times New Roman"/>
          <w:b/>
          <w:sz w:val="24"/>
          <w:lang w:eastAsia="de-DE"/>
        </w:rPr>
      </w:pPr>
      <w:r w:rsidRPr="00384CAC">
        <w:rPr>
          <w:rFonts w:ascii="Times New Roman" w:hAnsi="Times New Roman"/>
          <w:b/>
          <w:sz w:val="24"/>
          <w:lang w:eastAsia="de-DE"/>
        </w:rPr>
        <w:t>IFR</w:t>
      </w:r>
      <w:r w:rsidR="00286CB6" w:rsidRPr="00384CAC">
        <w:rPr>
          <w:rFonts w:ascii="Times New Roman" w:hAnsi="Times New Roman"/>
          <w:b/>
          <w:sz w:val="24"/>
          <w:lang w:eastAsia="de-DE"/>
        </w:rPr>
        <w:t xml:space="preserve">S </w:t>
      </w:r>
      <w:r w:rsidRPr="00384CAC">
        <w:rPr>
          <w:rFonts w:ascii="Times New Roman" w:hAnsi="Times New Roman"/>
          <w:b/>
          <w:sz w:val="24"/>
          <w:lang w:eastAsia="de-DE"/>
        </w:rPr>
        <w:t xml:space="preserve">9 TEMPLATE REPORTING INSTRUCTIONS </w:t>
      </w:r>
    </w:p>
    <w:p w14:paraId="47B20882" w14:textId="77777777" w:rsidR="00BF7AB9" w:rsidRPr="00384CAC" w:rsidRDefault="00BF7AB9" w:rsidP="00C87CEE">
      <w:pPr>
        <w:jc w:val="center"/>
        <w:rPr>
          <w:rFonts w:ascii="Times New Roman" w:hAnsi="Times New Roman"/>
          <w:b/>
          <w:sz w:val="24"/>
          <w:lang w:eastAsia="de-DE"/>
        </w:rPr>
      </w:pPr>
    </w:p>
    <w:p w14:paraId="13FD2E88" w14:textId="097EDC87" w:rsidR="00783881" w:rsidRPr="00384CAC" w:rsidRDefault="00783881" w:rsidP="00503751">
      <w:pPr>
        <w:rPr>
          <w:rFonts w:ascii="Times New Roman" w:hAnsi="Times New Roman"/>
          <w:szCs w:val="20"/>
        </w:rPr>
      </w:pPr>
    </w:p>
    <w:p w14:paraId="5ED3BAE0" w14:textId="398AF07F" w:rsidR="00915A8F" w:rsidRDefault="00745369">
      <w:pPr>
        <w:pStyle w:val="TOC2"/>
        <w:rPr>
          <w:rFonts w:asciiTheme="minorHAnsi" w:eastAsiaTheme="minorEastAsia" w:hAnsiTheme="minorHAnsi" w:cstheme="minorBidi"/>
          <w:b w:val="0"/>
          <w:smallCaps w:val="0"/>
          <w:sz w:val="22"/>
          <w:lang w:eastAsia="en-GB"/>
        </w:rPr>
      </w:pPr>
      <w:r w:rsidRPr="00384CAC">
        <w:rPr>
          <w:rFonts w:ascii="Times New Roman" w:hAnsi="Times New Roman"/>
          <w:noProof w:val="0"/>
        </w:rPr>
        <w:fldChar w:fldCharType="begin"/>
      </w:r>
      <w:r w:rsidR="002648B0" w:rsidRPr="00384CAC">
        <w:rPr>
          <w:rFonts w:ascii="Times New Roman" w:hAnsi="Times New Roman"/>
          <w:noProof w:val="0"/>
        </w:rPr>
        <w:instrText xml:space="preserve"> TOC \o "1-3" \h \z \u </w:instrText>
      </w:r>
      <w:r w:rsidRPr="00384CAC">
        <w:rPr>
          <w:rFonts w:ascii="Times New Roman" w:hAnsi="Times New Roman"/>
          <w:noProof w:val="0"/>
        </w:rPr>
        <w:fldChar w:fldCharType="separate"/>
      </w:r>
      <w:hyperlink w:anchor="_Toc101359397" w:history="1">
        <w:r w:rsidR="00915A8F" w:rsidRPr="00FC2AA8">
          <w:rPr>
            <w:rStyle w:val="Hyperlink"/>
            <w:rFonts w:ascii="Times New Roman" w:hAnsi="Times New Roman"/>
          </w:rPr>
          <w:t>PART I: GENERAL INSTRUCTIONS</w:t>
        </w:r>
        <w:r w:rsidR="00915A8F">
          <w:rPr>
            <w:webHidden/>
          </w:rPr>
          <w:tab/>
        </w:r>
        <w:r w:rsidR="00915A8F">
          <w:rPr>
            <w:webHidden/>
          </w:rPr>
          <w:fldChar w:fldCharType="begin"/>
        </w:r>
        <w:r w:rsidR="00915A8F">
          <w:rPr>
            <w:webHidden/>
          </w:rPr>
          <w:instrText xml:space="preserve"> PAGEREF _Toc101359397 \h </w:instrText>
        </w:r>
        <w:r w:rsidR="00915A8F">
          <w:rPr>
            <w:webHidden/>
          </w:rPr>
        </w:r>
        <w:r w:rsidR="00915A8F">
          <w:rPr>
            <w:webHidden/>
          </w:rPr>
          <w:fldChar w:fldCharType="separate"/>
        </w:r>
        <w:r w:rsidR="00915A8F">
          <w:rPr>
            <w:webHidden/>
          </w:rPr>
          <w:t>2</w:t>
        </w:r>
        <w:r w:rsidR="00915A8F">
          <w:rPr>
            <w:webHidden/>
          </w:rPr>
          <w:fldChar w:fldCharType="end"/>
        </w:r>
      </w:hyperlink>
    </w:p>
    <w:p w14:paraId="7BB516D6" w14:textId="42982F61" w:rsidR="00915A8F" w:rsidRDefault="00AE4015">
      <w:pPr>
        <w:pStyle w:val="TOC2"/>
        <w:tabs>
          <w:tab w:val="left" w:pos="1134"/>
        </w:tabs>
        <w:rPr>
          <w:rFonts w:asciiTheme="minorHAnsi" w:eastAsiaTheme="minorEastAsia" w:hAnsiTheme="minorHAnsi" w:cstheme="minorBidi"/>
          <w:b w:val="0"/>
          <w:smallCaps w:val="0"/>
          <w:sz w:val="22"/>
          <w:lang w:eastAsia="en-GB"/>
        </w:rPr>
      </w:pPr>
      <w:hyperlink w:anchor="_Toc101359398" w:history="1">
        <w:r w:rsidR="00915A8F" w:rsidRPr="00FC2AA8">
          <w:rPr>
            <w:rStyle w:val="Hyperlink"/>
            <w:rFonts w:ascii="Times New Roman" w:hAnsi="Times New Roman"/>
          </w:rPr>
          <w:t xml:space="preserve">PART II: </w:t>
        </w:r>
        <w:r w:rsidR="00915A8F">
          <w:rPr>
            <w:rFonts w:asciiTheme="minorHAnsi" w:eastAsiaTheme="minorEastAsia" w:hAnsiTheme="minorHAnsi" w:cstheme="minorBidi"/>
            <w:b w:val="0"/>
            <w:smallCaps w:val="0"/>
            <w:sz w:val="22"/>
            <w:lang w:eastAsia="en-GB"/>
          </w:rPr>
          <w:tab/>
        </w:r>
        <w:r w:rsidR="00915A8F" w:rsidRPr="00FC2AA8">
          <w:rPr>
            <w:rStyle w:val="Hyperlink"/>
            <w:rFonts w:ascii="Times New Roman" w:hAnsi="Times New Roman"/>
          </w:rPr>
          <w:t>TEMPLATE-RELATED INSTRUCTIONS</w:t>
        </w:r>
        <w:r w:rsidR="00915A8F">
          <w:rPr>
            <w:webHidden/>
          </w:rPr>
          <w:tab/>
        </w:r>
        <w:r w:rsidR="00915A8F">
          <w:rPr>
            <w:webHidden/>
          </w:rPr>
          <w:fldChar w:fldCharType="begin"/>
        </w:r>
        <w:r w:rsidR="00915A8F">
          <w:rPr>
            <w:webHidden/>
          </w:rPr>
          <w:instrText xml:space="preserve"> PAGEREF _Toc101359398 \h </w:instrText>
        </w:r>
        <w:r w:rsidR="00915A8F">
          <w:rPr>
            <w:webHidden/>
          </w:rPr>
        </w:r>
        <w:r w:rsidR="00915A8F">
          <w:rPr>
            <w:webHidden/>
          </w:rPr>
          <w:fldChar w:fldCharType="separate"/>
        </w:r>
        <w:r w:rsidR="00915A8F">
          <w:rPr>
            <w:webHidden/>
          </w:rPr>
          <w:t>4</w:t>
        </w:r>
        <w:r w:rsidR="00915A8F">
          <w:rPr>
            <w:webHidden/>
          </w:rPr>
          <w:fldChar w:fldCharType="end"/>
        </w:r>
      </w:hyperlink>
    </w:p>
    <w:p w14:paraId="6D3A0C6C" w14:textId="105697A8" w:rsidR="00915A8F" w:rsidRDefault="00AE4015">
      <w:pPr>
        <w:pStyle w:val="TOC3"/>
        <w:rPr>
          <w:rFonts w:asciiTheme="minorHAnsi" w:eastAsiaTheme="minorEastAsia" w:hAnsiTheme="minorHAnsi" w:cstheme="minorBidi"/>
          <w:smallCaps w:val="0"/>
          <w:sz w:val="22"/>
          <w:szCs w:val="22"/>
          <w:lang w:eastAsia="en-GB"/>
        </w:rPr>
      </w:pPr>
      <w:hyperlink w:anchor="_Toc101359399" w:history="1">
        <w:r w:rsidR="00915A8F" w:rsidRPr="00FC2AA8">
          <w:rPr>
            <w:rStyle w:val="Hyperlink"/>
            <w:rFonts w:ascii="Times New Roman" w:hAnsi="Times New Roman"/>
          </w:rPr>
          <w:t>C 115.00 – Details on exposures in High Default Portfolios</w:t>
        </w:r>
        <w:r w:rsidR="00915A8F">
          <w:rPr>
            <w:webHidden/>
          </w:rPr>
          <w:tab/>
        </w:r>
        <w:r w:rsidR="00915A8F">
          <w:rPr>
            <w:webHidden/>
          </w:rPr>
          <w:fldChar w:fldCharType="begin"/>
        </w:r>
        <w:r w:rsidR="00915A8F">
          <w:rPr>
            <w:webHidden/>
          </w:rPr>
          <w:instrText xml:space="preserve"> PAGEREF _Toc101359399 \h </w:instrText>
        </w:r>
        <w:r w:rsidR="00915A8F">
          <w:rPr>
            <w:webHidden/>
          </w:rPr>
        </w:r>
        <w:r w:rsidR="00915A8F">
          <w:rPr>
            <w:webHidden/>
          </w:rPr>
          <w:fldChar w:fldCharType="separate"/>
        </w:r>
        <w:r w:rsidR="00915A8F">
          <w:rPr>
            <w:webHidden/>
          </w:rPr>
          <w:t>4</w:t>
        </w:r>
        <w:r w:rsidR="00915A8F">
          <w:rPr>
            <w:webHidden/>
          </w:rPr>
          <w:fldChar w:fldCharType="end"/>
        </w:r>
      </w:hyperlink>
    </w:p>
    <w:p w14:paraId="66FB6EAA" w14:textId="09CBB311" w:rsidR="00915A8F" w:rsidRDefault="00AE4015">
      <w:pPr>
        <w:pStyle w:val="TOC3"/>
        <w:rPr>
          <w:rFonts w:asciiTheme="minorHAnsi" w:eastAsiaTheme="minorEastAsia" w:hAnsiTheme="minorHAnsi" w:cstheme="minorBidi"/>
          <w:smallCaps w:val="0"/>
          <w:sz w:val="22"/>
          <w:szCs w:val="22"/>
          <w:lang w:eastAsia="en-GB"/>
        </w:rPr>
      </w:pPr>
      <w:hyperlink w:anchor="_Toc101359400" w:history="1">
        <w:r w:rsidR="00915A8F" w:rsidRPr="00FC2AA8">
          <w:rPr>
            <w:rStyle w:val="Hyperlink"/>
            <w:rFonts w:ascii="Times New Roman" w:hAnsi="Times New Roman"/>
          </w:rPr>
          <w:t>C 116.00 – Details on exposures in High Default Portfolios by economic scenario</w:t>
        </w:r>
        <w:r w:rsidR="00915A8F">
          <w:rPr>
            <w:webHidden/>
          </w:rPr>
          <w:tab/>
        </w:r>
        <w:r w:rsidR="00915A8F">
          <w:rPr>
            <w:webHidden/>
          </w:rPr>
          <w:fldChar w:fldCharType="begin"/>
        </w:r>
        <w:r w:rsidR="00915A8F">
          <w:rPr>
            <w:webHidden/>
          </w:rPr>
          <w:instrText xml:space="preserve"> PAGEREF _Toc101359400 \h </w:instrText>
        </w:r>
        <w:r w:rsidR="00915A8F">
          <w:rPr>
            <w:webHidden/>
          </w:rPr>
        </w:r>
        <w:r w:rsidR="00915A8F">
          <w:rPr>
            <w:webHidden/>
          </w:rPr>
          <w:fldChar w:fldCharType="separate"/>
        </w:r>
        <w:r w:rsidR="00915A8F">
          <w:rPr>
            <w:webHidden/>
          </w:rPr>
          <w:t>11</w:t>
        </w:r>
        <w:r w:rsidR="00915A8F">
          <w:rPr>
            <w:webHidden/>
          </w:rPr>
          <w:fldChar w:fldCharType="end"/>
        </w:r>
      </w:hyperlink>
    </w:p>
    <w:p w14:paraId="56D14B18" w14:textId="124DACE9" w:rsidR="00915A8F" w:rsidRDefault="00AE4015">
      <w:pPr>
        <w:pStyle w:val="TOC3"/>
        <w:rPr>
          <w:rFonts w:asciiTheme="minorHAnsi" w:eastAsiaTheme="minorEastAsia" w:hAnsiTheme="minorHAnsi" w:cstheme="minorBidi"/>
          <w:smallCaps w:val="0"/>
          <w:sz w:val="22"/>
          <w:szCs w:val="22"/>
          <w:lang w:eastAsia="en-GB"/>
        </w:rPr>
      </w:pPr>
      <w:hyperlink w:anchor="_Toc101359401" w:history="1">
        <w:r w:rsidR="00915A8F" w:rsidRPr="00FC2AA8">
          <w:rPr>
            <w:rStyle w:val="Hyperlink"/>
            <w:rFonts w:ascii="Times New Roman" w:hAnsi="Times New Roman"/>
          </w:rPr>
          <w:t>C 117.00 – Details on exposures in High Default Portfolios by staging</w:t>
        </w:r>
        <w:r w:rsidR="00915A8F">
          <w:rPr>
            <w:webHidden/>
          </w:rPr>
          <w:tab/>
        </w:r>
        <w:r w:rsidR="00915A8F">
          <w:rPr>
            <w:webHidden/>
          </w:rPr>
          <w:fldChar w:fldCharType="begin"/>
        </w:r>
        <w:r w:rsidR="00915A8F">
          <w:rPr>
            <w:webHidden/>
          </w:rPr>
          <w:instrText xml:space="preserve"> PAGEREF _Toc101359401 \h </w:instrText>
        </w:r>
        <w:r w:rsidR="00915A8F">
          <w:rPr>
            <w:webHidden/>
          </w:rPr>
        </w:r>
        <w:r w:rsidR="00915A8F">
          <w:rPr>
            <w:webHidden/>
          </w:rPr>
          <w:fldChar w:fldCharType="separate"/>
        </w:r>
        <w:r w:rsidR="00915A8F">
          <w:rPr>
            <w:webHidden/>
          </w:rPr>
          <w:t>16</w:t>
        </w:r>
        <w:r w:rsidR="00915A8F">
          <w:rPr>
            <w:webHidden/>
          </w:rPr>
          <w:fldChar w:fldCharType="end"/>
        </w:r>
      </w:hyperlink>
    </w:p>
    <w:p w14:paraId="363AC1AB" w14:textId="79B7B18F" w:rsidR="00915A8F" w:rsidRDefault="00AE4015">
      <w:pPr>
        <w:pStyle w:val="TOC3"/>
        <w:rPr>
          <w:rFonts w:asciiTheme="minorHAnsi" w:eastAsiaTheme="minorEastAsia" w:hAnsiTheme="minorHAnsi" w:cstheme="minorBidi"/>
          <w:smallCaps w:val="0"/>
          <w:sz w:val="22"/>
          <w:szCs w:val="22"/>
          <w:lang w:eastAsia="en-GB"/>
        </w:rPr>
      </w:pPr>
      <w:hyperlink w:anchor="_Toc101359402" w:history="1">
        <w:r w:rsidR="00915A8F" w:rsidRPr="00FC2AA8">
          <w:rPr>
            <w:rStyle w:val="Hyperlink"/>
            <w:rFonts w:ascii="Times New Roman" w:hAnsi="Times New Roman"/>
          </w:rPr>
          <w:t>C 1</w:t>
        </w:r>
        <w:r w:rsidR="00915A8F" w:rsidRPr="00FC2AA8">
          <w:rPr>
            <w:rStyle w:val="Hyperlink"/>
            <w:rFonts w:ascii="Times New Roman" w:hAnsi="Times New Roman"/>
            <w:lang w:val="en-US"/>
          </w:rPr>
          <w:t>18.00</w:t>
        </w:r>
        <w:r w:rsidR="00915A8F" w:rsidRPr="00FC2AA8">
          <w:rPr>
            <w:rStyle w:val="Hyperlink"/>
            <w:rFonts w:ascii="Times New Roman" w:hAnsi="Times New Roman"/>
          </w:rPr>
          <w:t xml:space="preserve"> – Details on macroeconomic scenarios per </w:t>
        </w:r>
        <w:r w:rsidR="00915A8F" w:rsidRPr="00FC2AA8">
          <w:rPr>
            <w:rStyle w:val="Hyperlink"/>
            <w:rFonts w:ascii="Times New Roman" w:hAnsi="Times New Roman"/>
            <w:lang w:val="en-US"/>
          </w:rPr>
          <w:t>GDP Area code</w:t>
        </w:r>
        <w:r w:rsidR="00915A8F">
          <w:rPr>
            <w:webHidden/>
          </w:rPr>
          <w:tab/>
        </w:r>
        <w:r w:rsidR="00915A8F">
          <w:rPr>
            <w:webHidden/>
          </w:rPr>
          <w:fldChar w:fldCharType="begin"/>
        </w:r>
        <w:r w:rsidR="00915A8F">
          <w:rPr>
            <w:webHidden/>
          </w:rPr>
          <w:instrText xml:space="preserve"> PAGEREF _Toc101359402 \h </w:instrText>
        </w:r>
        <w:r w:rsidR="00915A8F">
          <w:rPr>
            <w:webHidden/>
          </w:rPr>
        </w:r>
        <w:r w:rsidR="00915A8F">
          <w:rPr>
            <w:webHidden/>
          </w:rPr>
          <w:fldChar w:fldCharType="separate"/>
        </w:r>
        <w:r w:rsidR="00915A8F">
          <w:rPr>
            <w:webHidden/>
          </w:rPr>
          <w:t>20</w:t>
        </w:r>
        <w:r w:rsidR="00915A8F">
          <w:rPr>
            <w:webHidden/>
          </w:rPr>
          <w:fldChar w:fldCharType="end"/>
        </w:r>
      </w:hyperlink>
    </w:p>
    <w:p w14:paraId="09CE3B17" w14:textId="072490D2" w:rsidR="002648B0" w:rsidRPr="00384CAC" w:rsidRDefault="00745369" w:rsidP="00005FFC">
      <w:pPr>
        <w:rPr>
          <w:rFonts w:ascii="Times New Roman" w:hAnsi="Times New Roman"/>
        </w:rPr>
      </w:pPr>
      <w:r w:rsidRPr="00384CAC">
        <w:rPr>
          <w:rFonts w:ascii="Times New Roman" w:hAnsi="Times New Roman"/>
        </w:rPr>
        <w:fldChar w:fldCharType="end"/>
      </w:r>
    </w:p>
    <w:p w14:paraId="47BDA23E" w14:textId="77777777" w:rsidR="00BF2A55" w:rsidRPr="00384CAC" w:rsidRDefault="00BF2A55" w:rsidP="00005FFC">
      <w:pPr>
        <w:rPr>
          <w:rFonts w:ascii="Times New Roman" w:hAnsi="Times New Roman"/>
        </w:rPr>
      </w:pPr>
    </w:p>
    <w:p w14:paraId="42B56696" w14:textId="77777777" w:rsidR="00BF2A55" w:rsidRPr="00384CAC" w:rsidRDefault="00BF2A55" w:rsidP="00005FFC">
      <w:pPr>
        <w:rPr>
          <w:rFonts w:ascii="Times New Roman" w:hAnsi="Times New Roman"/>
        </w:rPr>
      </w:pPr>
    </w:p>
    <w:p w14:paraId="442D5751" w14:textId="77777777" w:rsidR="00BF2A55" w:rsidRPr="00384CAC" w:rsidRDefault="00BF2A55" w:rsidP="00005FFC">
      <w:pPr>
        <w:rPr>
          <w:rFonts w:ascii="Times New Roman" w:hAnsi="Times New Roman"/>
        </w:rPr>
      </w:pPr>
    </w:p>
    <w:p w14:paraId="1A7B9B90" w14:textId="77777777" w:rsidR="00BF2A55" w:rsidRPr="00384CAC" w:rsidRDefault="00BF2A55" w:rsidP="00005FFC">
      <w:pPr>
        <w:rPr>
          <w:rFonts w:ascii="Times New Roman" w:hAnsi="Times New Roman"/>
        </w:rPr>
      </w:pPr>
    </w:p>
    <w:p w14:paraId="130BB4B0" w14:textId="77777777" w:rsidR="00BF2A55" w:rsidRPr="00384CAC" w:rsidRDefault="00BF2A55" w:rsidP="00005FFC">
      <w:pPr>
        <w:rPr>
          <w:rFonts w:ascii="Times New Roman" w:hAnsi="Times New Roman"/>
        </w:rPr>
      </w:pPr>
    </w:p>
    <w:p w14:paraId="431F8174" w14:textId="77777777" w:rsidR="00BF2A55" w:rsidRPr="00384CAC" w:rsidRDefault="00BF2A55" w:rsidP="00005FFC">
      <w:pPr>
        <w:rPr>
          <w:rFonts w:ascii="Times New Roman" w:hAnsi="Times New Roman"/>
        </w:rPr>
      </w:pPr>
    </w:p>
    <w:p w14:paraId="2AB61DDA" w14:textId="77777777" w:rsidR="00BF2A55" w:rsidRPr="00384CAC" w:rsidRDefault="00BF2A55" w:rsidP="00005FFC">
      <w:pPr>
        <w:rPr>
          <w:rFonts w:ascii="Times New Roman" w:hAnsi="Times New Roman"/>
        </w:rPr>
      </w:pPr>
    </w:p>
    <w:p w14:paraId="27A3FE73" w14:textId="77777777" w:rsidR="00BF2A55" w:rsidRPr="00384CAC" w:rsidRDefault="00BF2A55" w:rsidP="00005FFC">
      <w:pPr>
        <w:rPr>
          <w:rFonts w:ascii="Times New Roman" w:hAnsi="Times New Roman"/>
        </w:rPr>
        <w:sectPr w:rsidR="00BF2A55" w:rsidRPr="00384CAC" w:rsidSect="004D441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7" w:right="1417" w:bottom="1134" w:left="1417" w:header="708" w:footer="708" w:gutter="0"/>
          <w:cols w:space="708"/>
          <w:titlePg/>
          <w:docGrid w:linePitch="360"/>
        </w:sectPr>
      </w:pPr>
    </w:p>
    <w:p w14:paraId="59655BD7" w14:textId="7D4CB0A3" w:rsidR="002648B0" w:rsidRPr="00384CAC" w:rsidRDefault="002648B0">
      <w:pPr>
        <w:pStyle w:val="Heading2"/>
        <w:rPr>
          <w:rFonts w:ascii="Times New Roman" w:hAnsi="Times New Roman"/>
          <w:u w:val="none"/>
        </w:rPr>
      </w:pPr>
      <w:bookmarkStart w:id="2" w:name="_Toc264038394"/>
      <w:bookmarkStart w:id="3" w:name="_Toc360188317"/>
      <w:bookmarkStart w:id="4" w:name="_Toc101359397"/>
      <w:r w:rsidRPr="00384CAC">
        <w:rPr>
          <w:rFonts w:ascii="Times New Roman" w:hAnsi="Times New Roman"/>
          <w:u w:val="none"/>
        </w:rPr>
        <w:lastRenderedPageBreak/>
        <w:t>PART I:</w:t>
      </w:r>
      <w:bookmarkEnd w:id="2"/>
      <w:r w:rsidRPr="00384CAC">
        <w:rPr>
          <w:rFonts w:ascii="Times New Roman" w:hAnsi="Times New Roman"/>
          <w:u w:val="none"/>
        </w:rPr>
        <w:t xml:space="preserve"> GENERAL INSTRUCTIONS</w:t>
      </w:r>
      <w:bookmarkEnd w:id="3"/>
      <w:bookmarkEnd w:id="4"/>
    </w:p>
    <w:p w14:paraId="64739567" w14:textId="6878E184" w:rsidR="00B65A9A" w:rsidRPr="00384CAC" w:rsidRDefault="00376E1F" w:rsidP="00DC4926">
      <w:pPr>
        <w:pStyle w:val="InstructionsText"/>
      </w:pPr>
      <w:r w:rsidRPr="00384CAC">
        <w:t xml:space="preserve">Information shall be submitted only for those portfolios where an actual exposure exists at the reference date in the form of either an Original Exposure or an Exposure after </w:t>
      </w:r>
      <w:r w:rsidR="003A709F" w:rsidRPr="00384CAC">
        <w:t>credit risk mitigation</w:t>
      </w:r>
      <w:r w:rsidR="00255976" w:rsidRPr="00384CAC">
        <w:t>, including exposures in stage 3</w:t>
      </w:r>
      <w:r w:rsidR="003A709F" w:rsidRPr="00384CAC">
        <w:t>.</w:t>
      </w:r>
      <w:r w:rsidRPr="00384CAC">
        <w:t xml:space="preserve"> </w:t>
      </w:r>
      <w:r w:rsidR="003A709F" w:rsidRPr="00384CAC">
        <w:t xml:space="preserve">Information </w:t>
      </w:r>
      <w:r w:rsidR="00CB7BCC">
        <w:t>for</w:t>
      </w:r>
      <w:r w:rsidRPr="00384CAC">
        <w:t xml:space="preserve"> portfolios for which no exposure exists at the reference date shall not be submitted.</w:t>
      </w:r>
      <w:r w:rsidR="00DB00FB" w:rsidRPr="00384CAC">
        <w:t xml:space="preserve"> Only </w:t>
      </w:r>
      <w:r w:rsidR="003A709F" w:rsidRPr="00384CAC">
        <w:t xml:space="preserve">the following </w:t>
      </w:r>
      <w:r w:rsidR="00DB00FB" w:rsidRPr="00384CAC">
        <w:t xml:space="preserve">exposures </w:t>
      </w:r>
      <w:r w:rsidR="003A709F" w:rsidRPr="00384CAC">
        <w:t xml:space="preserve">should be reported: those exposures </w:t>
      </w:r>
      <w:r w:rsidR="00DB00FB" w:rsidRPr="00384CAC">
        <w:t xml:space="preserve">which are subject to </w:t>
      </w:r>
      <w:r w:rsidR="00855D25" w:rsidRPr="00384CAC">
        <w:t xml:space="preserve">the </w:t>
      </w:r>
      <w:r w:rsidR="00DB00FB" w:rsidRPr="00384CAC">
        <w:t xml:space="preserve">impairment </w:t>
      </w:r>
      <w:r w:rsidR="00541C3C" w:rsidRPr="00384CAC">
        <w:t>requirements</w:t>
      </w:r>
      <w:r w:rsidR="00DB00FB" w:rsidRPr="00384CAC">
        <w:t xml:space="preserve"> under IFRS 9</w:t>
      </w:r>
      <w:r w:rsidR="00855D25" w:rsidRPr="00384CAC">
        <w:t>.</w:t>
      </w:r>
      <w:r w:rsidR="00DB00FB" w:rsidRPr="00384CAC">
        <w:t>5.5</w:t>
      </w:r>
      <w:r w:rsidR="00855D25" w:rsidRPr="00384CAC">
        <w:t>.1</w:t>
      </w:r>
      <w:r w:rsidR="00DB00FB" w:rsidRPr="00384CAC">
        <w:t xml:space="preserve">, </w:t>
      </w:r>
      <w:r w:rsidR="00541C3C" w:rsidRPr="00384CAC">
        <w:t>excluding</w:t>
      </w:r>
      <w:r w:rsidR="00DB00FB" w:rsidRPr="00384CAC">
        <w:t xml:space="preserve"> </w:t>
      </w:r>
      <w:r w:rsidR="00541C3C" w:rsidRPr="00384CAC">
        <w:t xml:space="preserve">purchased </w:t>
      </w:r>
      <w:r w:rsidR="00855D25" w:rsidRPr="00384CAC">
        <w:t>or</w:t>
      </w:r>
      <w:r w:rsidR="00541C3C" w:rsidRPr="00384CAC">
        <w:t xml:space="preserve"> originated </w:t>
      </w:r>
      <w:r w:rsidR="00855D25" w:rsidRPr="00384CAC">
        <w:t>credit-</w:t>
      </w:r>
      <w:r w:rsidR="00541C3C" w:rsidRPr="00384CAC">
        <w:t xml:space="preserve">impaired </w:t>
      </w:r>
      <w:r w:rsidR="00855D25" w:rsidRPr="00384CAC">
        <w:t xml:space="preserve">financial </w:t>
      </w:r>
      <w:r w:rsidR="00541C3C" w:rsidRPr="00384CAC">
        <w:t xml:space="preserve">assets as defined in </w:t>
      </w:r>
      <w:r w:rsidR="00B65C85" w:rsidRPr="00384CAC">
        <w:t xml:space="preserve">Appendix A </w:t>
      </w:r>
      <w:r w:rsidR="008F01E2" w:rsidRPr="00384CAC">
        <w:t>to IFRS 9 as set out in the Annex to Commission Regulation (EC) No 1126/2008</w:t>
      </w:r>
      <w:r w:rsidR="00A129BE" w:rsidRPr="00384CAC">
        <w:t xml:space="preserve"> (</w:t>
      </w:r>
      <w:r w:rsidR="003A709F" w:rsidRPr="00384CAC">
        <w:t>‘</w:t>
      </w:r>
      <w:r w:rsidR="008F01E2" w:rsidRPr="00384CAC">
        <w:t>Annex relating to IFRS 9</w:t>
      </w:r>
      <w:r w:rsidR="003A709F" w:rsidRPr="00384CAC">
        <w:t>’</w:t>
      </w:r>
      <w:r w:rsidR="00A129BE" w:rsidRPr="00384CAC">
        <w:t>)</w:t>
      </w:r>
      <w:r w:rsidR="00642016" w:rsidRPr="00384CAC">
        <w:t xml:space="preserve"> shall be included</w:t>
      </w:r>
      <w:r w:rsidR="00B65C85" w:rsidRPr="00384CAC">
        <w:t>.</w:t>
      </w:r>
    </w:p>
    <w:p w14:paraId="2DD980E1" w14:textId="6D8767D4" w:rsidR="00B651B9" w:rsidRPr="00384CAC" w:rsidRDefault="00376E1F" w:rsidP="00DC4926">
      <w:pPr>
        <w:pStyle w:val="InstructionsText"/>
      </w:pPr>
      <w:r w:rsidRPr="00384CAC">
        <w:t xml:space="preserve">Information not required or not applicable shall not be submitted; the </w:t>
      </w:r>
      <w:r w:rsidR="0033351A" w:rsidRPr="00384CAC">
        <w:t xml:space="preserve">relevant </w:t>
      </w:r>
      <w:r w:rsidR="00E3065B" w:rsidRPr="00384CAC">
        <w:t xml:space="preserve">cells </w:t>
      </w:r>
      <w:r w:rsidRPr="00384CAC">
        <w:t xml:space="preserve">shall be left </w:t>
      </w:r>
      <w:proofErr w:type="gramStart"/>
      <w:r w:rsidRPr="00384CAC">
        <w:t>blank</w:t>
      </w:r>
      <w:proofErr w:type="gramEnd"/>
      <w:r w:rsidR="000E6A3F" w:rsidRPr="000E6A3F">
        <w:t xml:space="preserve"> or ‘NULL’ shall be inserted</w:t>
      </w:r>
      <w:r w:rsidRPr="00384CAC">
        <w:t xml:space="preserve">. This </w:t>
      </w:r>
      <w:r w:rsidR="00EC785C" w:rsidRPr="00384CAC">
        <w:t xml:space="preserve">shall </w:t>
      </w:r>
      <w:r w:rsidRPr="00384CAC">
        <w:t>also appl</w:t>
      </w:r>
      <w:r w:rsidR="00EC785C" w:rsidRPr="00384CAC">
        <w:t>y</w:t>
      </w:r>
      <w:r w:rsidRPr="00384CAC">
        <w:t xml:space="preserve"> to weighted </w:t>
      </w:r>
      <w:r w:rsidR="0033351A" w:rsidRPr="00384CAC">
        <w:t xml:space="preserve">average </w:t>
      </w:r>
      <w:r w:rsidRPr="00384CAC">
        <w:t xml:space="preserve">quantities that cannot be calculated. Zero values shall be reported only where the intention is to report a quantity of zero. </w:t>
      </w:r>
      <w:r w:rsidR="00626BB7" w:rsidRPr="00384CAC">
        <w:t>To report quantities that are zero, t</w:t>
      </w:r>
      <w:r w:rsidR="007E6FDE" w:rsidRPr="00384CAC">
        <w:t xml:space="preserve">he cells shall not be left </w:t>
      </w:r>
      <w:proofErr w:type="gramStart"/>
      <w:r w:rsidR="007E6FDE" w:rsidRPr="00384CAC">
        <w:t>blank</w:t>
      </w:r>
      <w:proofErr w:type="gramEnd"/>
      <w:r w:rsidR="000E6A3F" w:rsidRPr="000E6A3F">
        <w:t xml:space="preserve"> nor shall ‘NULL’ be inserted</w:t>
      </w:r>
      <w:r w:rsidRPr="00384CAC">
        <w:t>.</w:t>
      </w:r>
    </w:p>
    <w:p w14:paraId="56684D28" w14:textId="7EA7305D" w:rsidR="00B651B9" w:rsidRPr="00384CAC" w:rsidRDefault="00376E1F" w:rsidP="00DC4926">
      <w:pPr>
        <w:pStyle w:val="InstructionsText"/>
      </w:pPr>
      <w:r w:rsidRPr="00384CAC">
        <w:t xml:space="preserve">Monetary amounts shall be reported in the same way as they are reported for calculating own funds requirements at a specific reference date in accordance with </w:t>
      </w:r>
      <w:r w:rsidR="00C74261" w:rsidRPr="00384CAC">
        <w:t xml:space="preserve">Commission </w:t>
      </w:r>
      <w:r w:rsidRPr="00384CAC">
        <w:t xml:space="preserve">Implementing Regulation (EU) No </w:t>
      </w:r>
      <w:r w:rsidR="00F55E6E" w:rsidRPr="00384CAC">
        <w:t>2021/451</w:t>
      </w:r>
      <w:r w:rsidR="000E6A3F">
        <w:t xml:space="preserve"> (</w:t>
      </w:r>
      <w:r w:rsidR="00EC785C" w:rsidRPr="006D1691">
        <w:rPr>
          <w:rStyle w:val="FootnoteReference"/>
          <w:rFonts w:ascii="Times New Roman" w:hAnsi="Times New Roman"/>
          <w:sz w:val="20"/>
          <w:szCs w:val="20"/>
          <w:vertAlign w:val="superscript"/>
        </w:rPr>
        <w:footnoteReference w:id="2"/>
      </w:r>
      <w:r w:rsidR="000E6A3F">
        <w:t>)</w:t>
      </w:r>
      <w:r w:rsidRPr="00384CAC">
        <w:t>.</w:t>
      </w:r>
    </w:p>
    <w:p w14:paraId="60C554D5" w14:textId="5B610900" w:rsidR="00B651B9" w:rsidRDefault="00281A8C" w:rsidP="00DC4926">
      <w:pPr>
        <w:pStyle w:val="InstructionsText"/>
      </w:pPr>
      <w:r w:rsidRPr="00384CAC">
        <w:t>All the</w:t>
      </w:r>
      <w:r w:rsidR="00B651B9" w:rsidRPr="00384CAC">
        <w:t xml:space="preserve"> template</w:t>
      </w:r>
      <w:r w:rsidRPr="00384CAC">
        <w:t>s</w:t>
      </w:r>
      <w:r w:rsidR="00B651B9" w:rsidRPr="00384CAC">
        <w:t xml:space="preserve"> </w:t>
      </w:r>
      <w:r w:rsidR="00EC785C" w:rsidRPr="00384CAC">
        <w:t xml:space="preserve">included in </w:t>
      </w:r>
      <w:r w:rsidRPr="00384CAC">
        <w:t xml:space="preserve">this </w:t>
      </w:r>
      <w:r w:rsidR="00EC785C" w:rsidRPr="00384CAC">
        <w:t>A</w:t>
      </w:r>
      <w:r w:rsidRPr="00384CAC">
        <w:t xml:space="preserve">nnex </w:t>
      </w:r>
      <w:r w:rsidR="0077022E" w:rsidRPr="00384CAC">
        <w:t xml:space="preserve">shall </w:t>
      </w:r>
      <w:r w:rsidR="00B651B9" w:rsidRPr="00384CAC">
        <w:t>be filled only for</w:t>
      </w:r>
      <w:r w:rsidRPr="00384CAC">
        <w:t xml:space="preserve"> </w:t>
      </w:r>
      <w:r w:rsidR="003C51D9">
        <w:t>those portfolios included in</w:t>
      </w:r>
      <w:r w:rsidR="006326B1">
        <w:t xml:space="preserve"> Annex </w:t>
      </w:r>
      <w:r w:rsidR="002844C0">
        <w:t>I</w:t>
      </w:r>
      <w:r w:rsidR="002C488A">
        <w:t>, template C 104.00</w:t>
      </w:r>
      <w:r w:rsidR="002844C0">
        <w:t>.</w:t>
      </w:r>
      <w:r w:rsidR="00542360">
        <w:t xml:space="preserve"> </w:t>
      </w:r>
      <w:r w:rsidR="003F1DB3" w:rsidRPr="00384CAC">
        <w:t>Specialized</w:t>
      </w:r>
      <w:r w:rsidR="00B651B9" w:rsidRPr="00384CAC">
        <w:t xml:space="preserve"> lending exposures as defined in </w:t>
      </w:r>
      <w:r w:rsidR="003A1E57" w:rsidRPr="00384CAC">
        <w:t xml:space="preserve">Article </w:t>
      </w:r>
      <w:r w:rsidR="00B651B9" w:rsidRPr="00384CAC">
        <w:t xml:space="preserve">147(8) </w:t>
      </w:r>
      <w:r w:rsidR="00C74261" w:rsidRPr="00384CAC">
        <w:t>of Regulation (EU) No 575/2013</w:t>
      </w:r>
      <w:r w:rsidR="00B651B9" w:rsidRPr="00384CAC">
        <w:t xml:space="preserve"> shall be excluded.</w:t>
      </w:r>
    </w:p>
    <w:p w14:paraId="180D6715" w14:textId="665DA269" w:rsidR="00D20269" w:rsidRPr="00045B62" w:rsidRDefault="0053203F" w:rsidP="00DC4926">
      <w:pPr>
        <w:pStyle w:val="InstructionsText"/>
      </w:pPr>
      <w:r w:rsidRPr="00045B62">
        <w:t>By way of derogation of paragraph 4, f</w:t>
      </w:r>
      <w:r w:rsidR="003A71B6" w:rsidRPr="00045B62">
        <w:t xml:space="preserve">or portfolios </w:t>
      </w:r>
      <w:r w:rsidR="00D3505B" w:rsidRPr="00045B62">
        <w:t xml:space="preserve">identified in Annex </w:t>
      </w:r>
      <w:r w:rsidR="003324F8">
        <w:t>I, template</w:t>
      </w:r>
      <w:r w:rsidR="00F60F2D" w:rsidRPr="00045B62">
        <w:t xml:space="preserve"> C.104.00 </w:t>
      </w:r>
      <w:r w:rsidR="003A71B6" w:rsidRPr="00045B62">
        <w:t>with a geographical breakdown</w:t>
      </w:r>
      <w:r w:rsidR="0034671C" w:rsidRPr="00045B62">
        <w:t xml:space="preserve"> (</w:t>
      </w:r>
      <w:r w:rsidR="00F60F2D" w:rsidRPr="00045B62">
        <w:t>all portfolios with column 0050 different than ‘Not applicable”)</w:t>
      </w:r>
      <w:r w:rsidR="003324F8">
        <w:t>,</w:t>
      </w:r>
      <w:r w:rsidR="003A71B6" w:rsidRPr="00045B62">
        <w:t xml:space="preserve"> information </w:t>
      </w:r>
      <w:r w:rsidRPr="00045B62">
        <w:t>shall</w:t>
      </w:r>
      <w:r w:rsidR="003A71B6" w:rsidRPr="00045B62">
        <w:t xml:space="preserve"> be reported</w:t>
      </w:r>
      <w:r w:rsidRPr="00045B62">
        <w:t xml:space="preserve"> only </w:t>
      </w:r>
      <w:r w:rsidR="0089084B" w:rsidRPr="00045B62">
        <w:t>when</w:t>
      </w:r>
      <w:r w:rsidR="00D3505B" w:rsidRPr="00045B62">
        <w:t xml:space="preserve"> portfolio</w:t>
      </w:r>
      <w:r w:rsidR="0089084B" w:rsidRPr="00045B62">
        <w:t>s</w:t>
      </w:r>
      <w:r w:rsidR="00D3505B" w:rsidRPr="00045B62">
        <w:t xml:space="preserve"> </w:t>
      </w:r>
      <w:r w:rsidR="0089084B" w:rsidRPr="00045B62">
        <w:t>are considered</w:t>
      </w:r>
      <w:r w:rsidR="00D3505B" w:rsidRPr="00045B62">
        <w:t xml:space="preserve"> material. A portfolio is considered material when </w:t>
      </w:r>
      <w:r w:rsidR="003F0866" w:rsidRPr="00045B62">
        <w:t xml:space="preserve">it </w:t>
      </w:r>
      <w:r w:rsidR="00F60F2D" w:rsidRPr="00045B62">
        <w:t>has a</w:t>
      </w:r>
      <w:r w:rsidR="00237BAA" w:rsidRPr="00045B62">
        <w:t xml:space="preserve"> total exposure</w:t>
      </w:r>
      <w:r w:rsidR="00F35A92" w:rsidRPr="00045B62">
        <w:t xml:space="preserve"> </w:t>
      </w:r>
      <w:r w:rsidR="00D3505B" w:rsidRPr="00045B62">
        <w:t xml:space="preserve">equal or </w:t>
      </w:r>
      <w:r w:rsidR="00F60F2D" w:rsidRPr="00045B62">
        <w:t>higher</w:t>
      </w:r>
      <w:r w:rsidR="00D3505B" w:rsidRPr="00045B62">
        <w:t xml:space="preserve"> than</w:t>
      </w:r>
      <w:r w:rsidR="00F35A92" w:rsidRPr="00045B62">
        <w:t xml:space="preserve"> </w:t>
      </w:r>
      <w:r w:rsidR="001F78E3" w:rsidRPr="00045B62">
        <w:t>1</w:t>
      </w:r>
      <w:r w:rsidR="00D935C5" w:rsidRPr="00045B62">
        <w:t>% of the total exposure</w:t>
      </w:r>
      <w:r w:rsidR="00917DE4" w:rsidRPr="00045B62">
        <w:t xml:space="preserve"> </w:t>
      </w:r>
      <w:r w:rsidR="00F60F2D" w:rsidRPr="00045B62">
        <w:t>reported for</w:t>
      </w:r>
      <w:r w:rsidR="008C405E" w:rsidRPr="00045B62">
        <w:t xml:space="preserve"> </w:t>
      </w:r>
      <w:r w:rsidR="0034671C" w:rsidRPr="00045B62">
        <w:t>that exposure class</w:t>
      </w:r>
      <w:r w:rsidR="00F60F2D" w:rsidRPr="00045B62">
        <w:t xml:space="preserve"> (</w:t>
      </w:r>
      <w:r w:rsidR="00704204" w:rsidRPr="00045B62">
        <w:t xml:space="preserve">identifiable </w:t>
      </w:r>
      <w:r w:rsidR="00F60F2D" w:rsidRPr="00045B62">
        <w:t xml:space="preserve">for each asset class, </w:t>
      </w:r>
      <w:r w:rsidR="008E6358" w:rsidRPr="00045B62">
        <w:t xml:space="preserve">considering </w:t>
      </w:r>
      <w:r w:rsidR="00F60F2D" w:rsidRPr="00045B62">
        <w:t>portfolio</w:t>
      </w:r>
      <w:r w:rsidR="008E6358" w:rsidRPr="00045B62">
        <w:t>s</w:t>
      </w:r>
      <w:r w:rsidR="00F60F2D" w:rsidRPr="00045B62">
        <w:t xml:space="preserve"> with column 50, 150 and 200</w:t>
      </w:r>
      <w:r w:rsidR="008E6358" w:rsidRPr="00045B62">
        <w:t xml:space="preserve"> as</w:t>
      </w:r>
      <w:r w:rsidR="00F60F2D" w:rsidRPr="00045B62">
        <w:t xml:space="preserve"> “Not applicable”</w:t>
      </w:r>
      <w:r w:rsidR="00980149">
        <w:t xml:space="preserve"> and </w:t>
      </w:r>
      <w:r w:rsidR="00D739A0">
        <w:t>Column 90 as “</w:t>
      </w:r>
      <w:r w:rsidR="00550012">
        <w:t>non-defaulted</w:t>
      </w:r>
      <w:r w:rsidR="00D739A0">
        <w:t>”</w:t>
      </w:r>
      <w:r w:rsidR="00F60F2D" w:rsidRPr="00045B62">
        <w:t>)</w:t>
      </w:r>
      <w:r w:rsidR="0034671C" w:rsidRPr="00045B62">
        <w:t>.</w:t>
      </w:r>
      <w:r w:rsidR="00B86830" w:rsidRPr="00045B62">
        <w:t xml:space="preserve"> </w:t>
      </w:r>
      <w:r w:rsidR="005A5D5A" w:rsidRPr="00045B62">
        <w:t xml:space="preserve">The total exposure </w:t>
      </w:r>
      <w:r w:rsidR="008E6358" w:rsidRPr="00045B62">
        <w:t xml:space="preserve">to be considered </w:t>
      </w:r>
      <w:r w:rsidR="005A5D5A" w:rsidRPr="00045B62">
        <w:t xml:space="preserve">shall </w:t>
      </w:r>
      <w:r w:rsidR="00F60F2D" w:rsidRPr="00045B62">
        <w:t>correspond to</w:t>
      </w:r>
      <w:r w:rsidR="005A5D5A" w:rsidRPr="00045B62">
        <w:t xml:space="preserve"> the sum of the amounts </w:t>
      </w:r>
      <w:r w:rsidR="00720042" w:rsidRPr="00045B62">
        <w:t>reported</w:t>
      </w:r>
      <w:r w:rsidR="005A5D5A" w:rsidRPr="00045B62">
        <w:t xml:space="preserve"> respectively in</w:t>
      </w:r>
      <w:r w:rsidR="00091EE4">
        <w:t xml:space="preserve"> </w:t>
      </w:r>
      <w:r w:rsidR="00091EE4" w:rsidRPr="00045B62">
        <w:t xml:space="preserve">Annex </w:t>
      </w:r>
      <w:r w:rsidR="00DC4926">
        <w:t>VII</w:t>
      </w:r>
      <w:r w:rsidR="00091EE4">
        <w:t xml:space="preserve">, </w:t>
      </w:r>
      <w:r w:rsidR="00091EE4" w:rsidRPr="00045B62">
        <w:t>template C.115.00</w:t>
      </w:r>
      <w:r w:rsidR="00091EE4">
        <w:t>,</w:t>
      </w:r>
      <w:r w:rsidR="005A5D5A" w:rsidRPr="00045B62">
        <w:t xml:space="preserve"> column 0050 (stage 1 facilities), column 0051 (stage 2 facilities) and column 0052 (stage 3 </w:t>
      </w:r>
      <w:r w:rsidR="0022344F" w:rsidRPr="00045B62">
        <w:t>facilities)</w:t>
      </w:r>
      <w:r w:rsidR="005A5D5A" w:rsidRPr="00045B62">
        <w:t xml:space="preserve">. </w:t>
      </w:r>
      <w:r w:rsidR="00D41823" w:rsidRPr="00045B62">
        <w:t xml:space="preserve"> </w:t>
      </w:r>
    </w:p>
    <w:p w14:paraId="4F8EA044" w14:textId="77777777" w:rsidR="004749E1" w:rsidRDefault="00BE76FC" w:rsidP="00DC4926">
      <w:pPr>
        <w:pStyle w:val="InstructionsText"/>
      </w:pPr>
      <w:r w:rsidRPr="00384CAC">
        <w:t xml:space="preserve">The PDs shall be expressed as a value between 0 and </w:t>
      </w:r>
      <w:r w:rsidR="00542360" w:rsidRPr="00384CAC">
        <w:t>1 and</w:t>
      </w:r>
      <w:r w:rsidR="00D86905" w:rsidRPr="00384CAC">
        <w:t xml:space="preserve"> shall be expressed with a minimum precision equivalent to four decimals</w:t>
      </w:r>
      <w:r w:rsidRPr="00384CAC">
        <w:t>.</w:t>
      </w:r>
    </w:p>
    <w:p w14:paraId="0F0C805E" w14:textId="6C220672" w:rsidR="00E62F51" w:rsidRPr="00384CAC" w:rsidRDefault="004749E1" w:rsidP="00DC4926">
      <w:pPr>
        <w:pStyle w:val="InstructionsText"/>
      </w:pPr>
      <w:r>
        <w:t>The EC</w:t>
      </w:r>
      <w:r w:rsidR="00040482">
        <w:t>Ls</w:t>
      </w:r>
      <w:r w:rsidR="00F6342A">
        <w:t xml:space="preserve">, as well as the </w:t>
      </w:r>
      <w:r w:rsidR="0085693C">
        <w:t xml:space="preserve">IRB </w:t>
      </w:r>
      <w:r w:rsidR="00F6342A">
        <w:t>expected loss amount</w:t>
      </w:r>
      <w:r w:rsidR="00040482">
        <w:t>s</w:t>
      </w:r>
      <w:r w:rsidR="00F6342A">
        <w:t>,</w:t>
      </w:r>
      <w:r>
        <w:t xml:space="preserve"> shall be expressed as a positive number.</w:t>
      </w:r>
      <w:r w:rsidR="00B651B9" w:rsidRPr="00384CAC">
        <w:t xml:space="preserve"> </w:t>
      </w:r>
    </w:p>
    <w:p w14:paraId="7A5AC699" w14:textId="44D6D0A5" w:rsidR="007F5ECA" w:rsidRPr="00384CAC" w:rsidRDefault="00086287" w:rsidP="00DC4926">
      <w:pPr>
        <w:pStyle w:val="InstructionsText"/>
      </w:pPr>
      <w:r w:rsidRPr="00384CAC">
        <w:t>Where</w:t>
      </w:r>
      <w:r w:rsidR="00B651B9" w:rsidRPr="00384CAC">
        <w:t xml:space="preserve"> the facility expire</w:t>
      </w:r>
      <w:r w:rsidRPr="00384CAC">
        <w:t>s</w:t>
      </w:r>
      <w:r w:rsidR="00B651B9" w:rsidRPr="00384CAC">
        <w:t xml:space="preserve"> within the year considered for a specific data point, the </w:t>
      </w:r>
      <w:r w:rsidR="00E577AC" w:rsidRPr="00384CAC">
        <w:t xml:space="preserve">parameter </w:t>
      </w:r>
      <w:r w:rsidR="001533C4" w:rsidRPr="00384CAC">
        <w:t>estimates and</w:t>
      </w:r>
      <w:r w:rsidR="00743BDC" w:rsidRPr="00384CAC">
        <w:t xml:space="preserve"> the ECL</w:t>
      </w:r>
      <w:r w:rsidR="001533C4" w:rsidRPr="00384CAC">
        <w:t xml:space="preserve"> amount</w:t>
      </w:r>
      <w:r w:rsidR="00743BDC" w:rsidRPr="00384CAC">
        <w:t xml:space="preserve"> to be reported for this facility shall </w:t>
      </w:r>
      <w:r w:rsidR="00787A94" w:rsidRPr="00384CAC">
        <w:t xml:space="preserve">be </w:t>
      </w:r>
      <w:r w:rsidR="001533C4" w:rsidRPr="00384CAC">
        <w:t>relate</w:t>
      </w:r>
      <w:r w:rsidR="00787A94" w:rsidRPr="00384CAC">
        <w:t>d</w:t>
      </w:r>
      <w:r w:rsidR="001533C4" w:rsidRPr="00384CAC">
        <w:t xml:space="preserve"> to a default event over a 12 months</w:t>
      </w:r>
      <w:r w:rsidR="00F71130" w:rsidRPr="00384CAC">
        <w:t>’</w:t>
      </w:r>
      <w:r w:rsidR="00F51D49" w:rsidRPr="00384CAC">
        <w:t xml:space="preserve"> </w:t>
      </w:r>
      <w:r w:rsidR="001533C4" w:rsidRPr="00384CAC">
        <w:t>period.</w:t>
      </w:r>
      <w:r w:rsidR="00B651B9" w:rsidRPr="00384CAC">
        <w:t xml:space="preserve"> </w:t>
      </w:r>
      <w:r w:rsidR="0033351A" w:rsidRPr="00384CAC">
        <w:t xml:space="preserve">By way of derogation from this rule, </w:t>
      </w:r>
      <w:r w:rsidR="001533C4" w:rsidRPr="00384CAC">
        <w:t xml:space="preserve">for the purpose of template </w:t>
      </w:r>
      <w:r w:rsidR="00D91B12">
        <w:t>C.11</w:t>
      </w:r>
      <w:r w:rsidR="006A48A3">
        <w:t>6.00</w:t>
      </w:r>
      <w:r w:rsidR="00743BDC" w:rsidRPr="00384CAC">
        <w:t xml:space="preserve">, </w:t>
      </w:r>
      <w:r w:rsidRPr="00384CAC">
        <w:t xml:space="preserve">where </w:t>
      </w:r>
      <w:r w:rsidR="00B651B9" w:rsidRPr="00384CAC">
        <w:t xml:space="preserve">the facility expires before the year considered for a specific data point, </w:t>
      </w:r>
      <w:r w:rsidR="0033351A" w:rsidRPr="00384CAC">
        <w:t>the facility’s PD</w:t>
      </w:r>
      <w:r w:rsidR="00B651B9" w:rsidRPr="00384CAC">
        <w:t xml:space="preserve"> </w:t>
      </w:r>
      <w:r w:rsidR="0077022E" w:rsidRPr="00384CAC">
        <w:t xml:space="preserve">shall </w:t>
      </w:r>
      <w:r w:rsidR="00B651B9" w:rsidRPr="00384CAC">
        <w:t>not be</w:t>
      </w:r>
      <w:r w:rsidR="00F51D49" w:rsidRPr="00384CAC">
        <w:t xml:space="preserve"> </w:t>
      </w:r>
      <w:r w:rsidR="0033351A" w:rsidRPr="00384CAC">
        <w:t xml:space="preserve">included in </w:t>
      </w:r>
      <w:r w:rsidR="00F51D49" w:rsidRPr="00384CAC">
        <w:t>the exposure weighted average</w:t>
      </w:r>
      <w:r w:rsidR="00B651B9" w:rsidRPr="00384CAC">
        <w:t xml:space="preserve"> </w:t>
      </w:r>
      <w:r w:rsidR="00F51D49" w:rsidRPr="00384CAC">
        <w:t>PD</w:t>
      </w:r>
      <w:r w:rsidR="00B651B9" w:rsidRPr="00384CAC">
        <w:t>.</w:t>
      </w:r>
    </w:p>
    <w:p w14:paraId="053AB3DA" w14:textId="30D6C00E" w:rsidR="00BE187F" w:rsidRPr="00FE3CA1" w:rsidRDefault="00BE187F" w:rsidP="00DC4926">
      <w:pPr>
        <w:pStyle w:val="InstructionsText"/>
        <w:rPr>
          <w:rStyle w:val="InstructionsTabelleText"/>
          <w:rFonts w:ascii="Times New Roman" w:hAnsi="Times New Roman"/>
        </w:rPr>
      </w:pPr>
      <w:r w:rsidRPr="00384CAC">
        <w:rPr>
          <w:rStyle w:val="InstructionsTabelleText"/>
          <w:rFonts w:ascii="Times New Roman" w:hAnsi="Times New Roman"/>
        </w:rPr>
        <w:t xml:space="preserve">In </w:t>
      </w:r>
      <w:r w:rsidR="0033351A" w:rsidRPr="00384CAC">
        <w:rPr>
          <w:rStyle w:val="InstructionsTabelleText"/>
          <w:rFonts w:ascii="Times New Roman" w:hAnsi="Times New Roman"/>
        </w:rPr>
        <w:t>relation to</w:t>
      </w:r>
      <w:r w:rsidRPr="00384CAC">
        <w:rPr>
          <w:rStyle w:val="InstructionsTabelleText"/>
          <w:rFonts w:ascii="Times New Roman" w:hAnsi="Times New Roman"/>
        </w:rPr>
        <w:t xml:space="preserve"> guaranteed exposures, the PD parameter to be reported shall be the one of the original obligor</w:t>
      </w:r>
      <w:r w:rsidR="00C74261" w:rsidRPr="00384CAC">
        <w:rPr>
          <w:rStyle w:val="InstructionsTabelleText"/>
          <w:rFonts w:ascii="Times New Roman" w:hAnsi="Times New Roman"/>
        </w:rPr>
        <w:t>s</w:t>
      </w:r>
      <w:r w:rsidRPr="00384CAC">
        <w:rPr>
          <w:rStyle w:val="InstructionsTabelleText"/>
          <w:rFonts w:ascii="Times New Roman" w:hAnsi="Times New Roman"/>
        </w:rPr>
        <w:t>, regardless of whether</w:t>
      </w:r>
      <w:r w:rsidR="0033351A" w:rsidRPr="00384CAC">
        <w:rPr>
          <w:rStyle w:val="InstructionsTabelleText"/>
          <w:rFonts w:ascii="Times New Roman" w:hAnsi="Times New Roman"/>
        </w:rPr>
        <w:t>,</w:t>
      </w:r>
      <w:r w:rsidRPr="00384CAC">
        <w:rPr>
          <w:rStyle w:val="InstructionsTabelleText"/>
          <w:rFonts w:ascii="Times New Roman" w:hAnsi="Times New Roman"/>
        </w:rPr>
        <w:t xml:space="preserve"> for regulatory purposes, t</w:t>
      </w:r>
      <w:r w:rsidRPr="00384CAC">
        <w:t xml:space="preserve">he </w:t>
      </w:r>
      <w:r w:rsidR="0033351A" w:rsidRPr="00384CAC">
        <w:t>CRM</w:t>
      </w:r>
      <w:r w:rsidRPr="00384CAC">
        <w:t xml:space="preserve"> techni</w:t>
      </w:r>
      <w:r w:rsidR="0033351A" w:rsidRPr="00384CAC">
        <w:t>que</w:t>
      </w:r>
      <w:r w:rsidRPr="00384CAC">
        <w:t xml:space="preserve"> is </w:t>
      </w:r>
      <w:r w:rsidR="00351F94" w:rsidRPr="00384CAC">
        <w:t>applied</w:t>
      </w:r>
      <w:r w:rsidRPr="00384CAC">
        <w:t xml:space="preserve"> via a substitution of the risk parameters of the obligor by the risk parameters of the protection provider. </w:t>
      </w:r>
      <w:r w:rsidR="00A25A6E" w:rsidRPr="00384CAC">
        <w:t>However, t</w:t>
      </w:r>
      <w:r w:rsidRPr="00384CAC">
        <w:t>h</w:t>
      </w:r>
      <w:r w:rsidR="00A25A6E" w:rsidRPr="00384CAC">
        <w:t>e effect of the guarantee shall be taken into consideration in the LGD and in the ECL estimate, in line with the approach used for accounting purposes.</w:t>
      </w:r>
      <w:r w:rsidRPr="00384CAC">
        <w:rPr>
          <w:rStyle w:val="InstructionsTabelleText"/>
          <w:rFonts w:ascii="Times New Roman" w:hAnsi="Times New Roman"/>
        </w:rPr>
        <w:t xml:space="preserve"> </w:t>
      </w:r>
      <w:r w:rsidR="00787A94" w:rsidRPr="00384CAC">
        <w:rPr>
          <w:rStyle w:val="InstructionsTabelleText"/>
          <w:rFonts w:ascii="Times New Roman" w:hAnsi="Times New Roman"/>
          <w:bCs/>
        </w:rPr>
        <w:t xml:space="preserve">Under no circumstances should the </w:t>
      </w:r>
      <w:r w:rsidR="00E577AC" w:rsidRPr="00384CAC">
        <w:rPr>
          <w:rStyle w:val="InstructionsTabelleText"/>
          <w:rFonts w:ascii="Times New Roman" w:hAnsi="Times New Roman"/>
          <w:bCs/>
        </w:rPr>
        <w:t xml:space="preserve">PD </w:t>
      </w:r>
      <w:r w:rsidR="00787A94" w:rsidRPr="00384CAC">
        <w:rPr>
          <w:rStyle w:val="InstructionsTabelleText"/>
          <w:rFonts w:ascii="Times New Roman" w:hAnsi="Times New Roman"/>
          <w:bCs/>
        </w:rPr>
        <w:t>parameters of a protection provider be reported as the risk parameters of the original obligor</w:t>
      </w:r>
      <w:r w:rsidR="00D039F0" w:rsidRPr="00384CAC">
        <w:rPr>
          <w:rStyle w:val="InstructionsTabelleText"/>
          <w:rFonts w:ascii="Times New Roman" w:hAnsi="Times New Roman"/>
          <w:bCs/>
        </w:rPr>
        <w:t>.</w:t>
      </w:r>
    </w:p>
    <w:p w14:paraId="3992B686" w14:textId="203F913A" w:rsidR="00FE3CA1" w:rsidRPr="003739A7" w:rsidRDefault="00FE3CA1" w:rsidP="00DC4926">
      <w:pPr>
        <w:pStyle w:val="InstructionsText"/>
        <w:rPr>
          <w:rStyle w:val="InstructionsTabelleText"/>
          <w:rFonts w:ascii="Times New Roman" w:hAnsi="Times New Roman"/>
          <w:szCs w:val="24"/>
          <w:lang w:val="en-GB" w:eastAsia="en-US"/>
        </w:rPr>
      </w:pPr>
      <w:r>
        <w:rPr>
          <w:rStyle w:val="InstructionsTabelleText"/>
          <w:rFonts w:ascii="Times New Roman" w:hAnsi="Times New Roman"/>
        </w:rPr>
        <w:t xml:space="preserve">Data should be reported only with reference to both the </w:t>
      </w:r>
      <w:r w:rsidR="00090D16">
        <w:rPr>
          <w:rStyle w:val="InstructionsTabelleText"/>
          <w:rFonts w:ascii="Times New Roman" w:hAnsi="Times New Roman"/>
        </w:rPr>
        <w:t>on-balance</w:t>
      </w:r>
      <w:r>
        <w:rPr>
          <w:rStyle w:val="InstructionsTabelleText"/>
          <w:rFonts w:ascii="Times New Roman" w:hAnsi="Times New Roman"/>
        </w:rPr>
        <w:t xml:space="preserve"> sheet and off</w:t>
      </w:r>
      <w:r w:rsidR="00090D16">
        <w:rPr>
          <w:rStyle w:val="InstructionsTabelleText"/>
          <w:rFonts w:ascii="Times New Roman" w:hAnsi="Times New Roman"/>
        </w:rPr>
        <w:t>-</w:t>
      </w:r>
      <w:r>
        <w:rPr>
          <w:rStyle w:val="InstructionsTabelleText"/>
          <w:rFonts w:ascii="Times New Roman" w:hAnsi="Times New Roman"/>
        </w:rPr>
        <w:t>balance sheet exposures in the scope of the impairment requirements of IFRS 9</w:t>
      </w:r>
      <w:r w:rsidR="00090D16">
        <w:rPr>
          <w:rStyle w:val="InstructionsTabelleText"/>
          <w:rFonts w:ascii="Times New Roman" w:hAnsi="Times New Roman"/>
        </w:rPr>
        <w:t xml:space="preserve">, related to those portfolios included </w:t>
      </w:r>
      <w:proofErr w:type="gramStart"/>
      <w:r w:rsidR="00090D16">
        <w:rPr>
          <w:rStyle w:val="InstructionsTabelleText"/>
          <w:rFonts w:ascii="Times New Roman" w:hAnsi="Times New Roman"/>
        </w:rPr>
        <w:t xml:space="preserve">in  </w:t>
      </w:r>
      <w:r w:rsidR="00091EE4">
        <w:rPr>
          <w:rStyle w:val="InstructionsTabelleText"/>
          <w:rFonts w:ascii="Times New Roman" w:hAnsi="Times New Roman"/>
        </w:rPr>
        <w:t>Annex</w:t>
      </w:r>
      <w:proofErr w:type="gramEnd"/>
      <w:r w:rsidR="00091EE4">
        <w:rPr>
          <w:rStyle w:val="InstructionsTabelleText"/>
          <w:rFonts w:ascii="Times New Roman" w:hAnsi="Times New Roman"/>
        </w:rPr>
        <w:t xml:space="preserve"> </w:t>
      </w:r>
      <w:r w:rsidR="00090D16">
        <w:rPr>
          <w:rStyle w:val="InstructionsTabelleText"/>
          <w:rFonts w:ascii="Times New Roman" w:hAnsi="Times New Roman"/>
        </w:rPr>
        <w:t>I</w:t>
      </w:r>
      <w:r w:rsidR="00091EE4">
        <w:rPr>
          <w:rStyle w:val="InstructionsTabelleText"/>
          <w:rFonts w:ascii="Times New Roman" w:hAnsi="Times New Roman"/>
        </w:rPr>
        <w:t>, template C.104.00</w:t>
      </w:r>
      <w:r w:rsidR="00090D16">
        <w:rPr>
          <w:rStyle w:val="InstructionsTabelleText"/>
          <w:rFonts w:ascii="Times New Roman" w:hAnsi="Times New Roman"/>
        </w:rPr>
        <w:t>.</w:t>
      </w:r>
    </w:p>
    <w:p w14:paraId="2E43C020" w14:textId="3BF56407" w:rsidR="00801980" w:rsidRPr="00384CAC" w:rsidRDefault="00801980" w:rsidP="00DC4926">
      <w:pPr>
        <w:pStyle w:val="InstructionsText"/>
        <w:sectPr w:rsidR="00801980" w:rsidRPr="00384CAC" w:rsidSect="00A801A9">
          <w:endnotePr>
            <w:numFmt w:val="decimal"/>
          </w:endnotePr>
          <w:pgSz w:w="11906" w:h="16838"/>
          <w:pgMar w:top="1417" w:right="1417" w:bottom="1134" w:left="1417" w:header="708" w:footer="708" w:gutter="0"/>
          <w:cols w:space="708"/>
          <w:rtlGutter/>
          <w:docGrid w:linePitch="360"/>
        </w:sectPr>
      </w:pPr>
    </w:p>
    <w:p w14:paraId="42DF4667" w14:textId="6795C245" w:rsidR="002648B0" w:rsidRPr="00384CAC" w:rsidRDefault="002648B0" w:rsidP="00006298">
      <w:pPr>
        <w:pStyle w:val="Heading2"/>
        <w:shd w:val="clear" w:color="auto" w:fill="FFFFFF" w:themeFill="background1"/>
        <w:rPr>
          <w:rFonts w:ascii="Times New Roman" w:hAnsi="Times New Roman"/>
          <w:u w:val="none"/>
        </w:rPr>
      </w:pPr>
      <w:bookmarkStart w:id="5" w:name="_Toc360188322"/>
      <w:bookmarkStart w:id="6" w:name="_Toc101359398"/>
      <w:r w:rsidRPr="00384CAC">
        <w:rPr>
          <w:rFonts w:ascii="Times New Roman" w:hAnsi="Times New Roman"/>
          <w:u w:val="none"/>
        </w:rPr>
        <w:lastRenderedPageBreak/>
        <w:t xml:space="preserve">PART II: </w:t>
      </w:r>
      <w:r w:rsidR="006706C6" w:rsidRPr="00384CAC">
        <w:rPr>
          <w:rFonts w:ascii="Times New Roman" w:hAnsi="Times New Roman"/>
          <w:u w:val="none"/>
        </w:rPr>
        <w:tab/>
      </w:r>
      <w:r w:rsidRPr="00384CAC">
        <w:rPr>
          <w:rFonts w:ascii="Times New Roman" w:hAnsi="Times New Roman"/>
          <w:u w:val="none"/>
        </w:rPr>
        <w:t>TEMPLATE</w:t>
      </w:r>
      <w:r w:rsidR="006706C6" w:rsidRPr="00384CAC">
        <w:rPr>
          <w:rFonts w:ascii="Times New Roman" w:hAnsi="Times New Roman"/>
          <w:u w:val="none"/>
        </w:rPr>
        <w:t>-</w:t>
      </w:r>
      <w:r w:rsidRPr="00384CAC">
        <w:rPr>
          <w:rFonts w:ascii="Times New Roman" w:hAnsi="Times New Roman"/>
          <w:u w:val="none"/>
        </w:rPr>
        <w:t>RELATED INSTRUCTIONS</w:t>
      </w:r>
      <w:bookmarkEnd w:id="5"/>
      <w:bookmarkEnd w:id="6"/>
    </w:p>
    <w:p w14:paraId="363852CB" w14:textId="23F365EE" w:rsidR="00084D20" w:rsidRPr="00384CAC" w:rsidRDefault="00006405">
      <w:pPr>
        <w:pStyle w:val="Heading3"/>
        <w:rPr>
          <w:rFonts w:ascii="Times New Roman" w:hAnsi="Times New Roman"/>
        </w:rPr>
      </w:pPr>
      <w:bookmarkStart w:id="7" w:name="_Toc101359399"/>
      <w:r w:rsidRPr="00384CAC">
        <w:rPr>
          <w:rFonts w:ascii="Times New Roman" w:hAnsi="Times New Roman"/>
        </w:rPr>
        <w:t xml:space="preserve">C </w:t>
      </w:r>
      <w:r w:rsidR="006A48A3" w:rsidRPr="00384CAC">
        <w:rPr>
          <w:rFonts w:ascii="Times New Roman" w:hAnsi="Times New Roman"/>
        </w:rPr>
        <w:t>1</w:t>
      </w:r>
      <w:r w:rsidR="006A48A3" w:rsidRPr="00384CAC">
        <w:rPr>
          <w:rFonts w:ascii="Times New Roman" w:hAnsi="Times New Roman"/>
          <w:lang w:val="en-GB"/>
        </w:rPr>
        <w:t>1</w:t>
      </w:r>
      <w:r w:rsidR="006A48A3">
        <w:rPr>
          <w:rFonts w:ascii="Times New Roman" w:hAnsi="Times New Roman"/>
          <w:lang w:val="en-GB"/>
        </w:rPr>
        <w:t>5</w:t>
      </w:r>
      <w:r w:rsidRPr="00384CAC">
        <w:rPr>
          <w:rFonts w:ascii="Times New Roman" w:hAnsi="Times New Roman"/>
        </w:rPr>
        <w:t>.0</w:t>
      </w:r>
      <w:r w:rsidR="006C7A0B" w:rsidRPr="00384CAC">
        <w:rPr>
          <w:rFonts w:ascii="Times New Roman" w:hAnsi="Times New Roman"/>
          <w:lang w:val="en-GB"/>
        </w:rPr>
        <w:t>0</w:t>
      </w:r>
      <w:r w:rsidRPr="00384CAC">
        <w:rPr>
          <w:rFonts w:ascii="Times New Roman" w:hAnsi="Times New Roman"/>
        </w:rPr>
        <w:t xml:space="preserve"> – Details on exposures in </w:t>
      </w:r>
      <w:r w:rsidR="006A48A3">
        <w:rPr>
          <w:rFonts w:ascii="Times New Roman" w:hAnsi="Times New Roman"/>
          <w:lang w:val="en-GB"/>
        </w:rPr>
        <w:t>High</w:t>
      </w:r>
      <w:r w:rsidR="006A48A3" w:rsidRPr="00384CAC">
        <w:rPr>
          <w:rFonts w:ascii="Times New Roman" w:hAnsi="Times New Roman"/>
        </w:rPr>
        <w:t xml:space="preserve"> </w:t>
      </w:r>
      <w:r w:rsidRPr="00384CAC">
        <w:rPr>
          <w:rFonts w:ascii="Times New Roman" w:hAnsi="Times New Roman"/>
        </w:rPr>
        <w:t>Default Portfolios</w:t>
      </w:r>
      <w:bookmarkEnd w:id="7"/>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71"/>
        <w:gridCol w:w="1672"/>
        <w:gridCol w:w="9781"/>
      </w:tblGrid>
      <w:tr w:rsidR="00384CAC" w:rsidRPr="00384CAC" w14:paraId="69619A2C" w14:textId="77777777" w:rsidTr="003C3509">
        <w:trPr>
          <w:tblHeader/>
        </w:trPr>
        <w:tc>
          <w:tcPr>
            <w:tcW w:w="993" w:type="dxa"/>
            <w:shd w:val="clear" w:color="auto" w:fill="D9D9D9" w:themeFill="background1" w:themeFillShade="D9"/>
          </w:tcPr>
          <w:p w14:paraId="3B63602B" w14:textId="77777777" w:rsidR="00A31834" w:rsidRPr="00384C07" w:rsidRDefault="00A31834" w:rsidP="007C72BB">
            <w:pPr>
              <w:rPr>
                <w:rStyle w:val="InstructionsTabelleText"/>
                <w:rFonts w:ascii="Times New Roman" w:hAnsi="Times New Roman"/>
                <w:bCs/>
                <w:szCs w:val="20"/>
              </w:rPr>
            </w:pPr>
            <w:r w:rsidRPr="00384CAC">
              <w:rPr>
                <w:rStyle w:val="InstructionsTabelleText"/>
                <w:rFonts w:ascii="Times New Roman" w:hAnsi="Times New Roman"/>
                <w:szCs w:val="20"/>
              </w:rPr>
              <w:t>Column</w:t>
            </w:r>
          </w:p>
        </w:tc>
        <w:tc>
          <w:tcPr>
            <w:tcW w:w="1871" w:type="dxa"/>
            <w:shd w:val="clear" w:color="auto" w:fill="D9D9D9" w:themeFill="background1" w:themeFillShade="D9"/>
          </w:tcPr>
          <w:p w14:paraId="6E6D15CE" w14:textId="77777777" w:rsidR="00A31834" w:rsidRPr="00384CAC" w:rsidRDefault="00A31834" w:rsidP="007C72BB">
            <w:pPr>
              <w:rPr>
                <w:rStyle w:val="InstructionsTabelleText"/>
                <w:rFonts w:ascii="Times New Roman" w:hAnsi="Times New Roman"/>
                <w:bCs/>
                <w:szCs w:val="20"/>
              </w:rPr>
            </w:pPr>
            <w:r w:rsidRPr="00384CAC">
              <w:rPr>
                <w:rStyle w:val="InstructionsTabelleText"/>
                <w:rFonts w:ascii="Times New Roman" w:hAnsi="Times New Roman"/>
                <w:szCs w:val="20"/>
              </w:rPr>
              <w:t>Label</w:t>
            </w:r>
          </w:p>
        </w:tc>
        <w:tc>
          <w:tcPr>
            <w:tcW w:w="1672" w:type="dxa"/>
            <w:shd w:val="clear" w:color="auto" w:fill="D9D9D9" w:themeFill="background1" w:themeFillShade="D9"/>
          </w:tcPr>
          <w:p w14:paraId="69EA64E9" w14:textId="77777777" w:rsidR="00A31834" w:rsidRPr="00384CAC" w:rsidRDefault="00AF42F9" w:rsidP="007C72BB">
            <w:pPr>
              <w:rPr>
                <w:rStyle w:val="InstructionsTabelleText"/>
                <w:rFonts w:ascii="Times New Roman" w:hAnsi="Times New Roman"/>
                <w:szCs w:val="20"/>
              </w:rPr>
            </w:pPr>
            <w:r w:rsidRPr="00384CAC">
              <w:rPr>
                <w:rStyle w:val="InstructionsTabelleText"/>
                <w:rFonts w:ascii="Times New Roman" w:hAnsi="Times New Roman"/>
                <w:szCs w:val="20"/>
              </w:rPr>
              <w:t>Legal reference</w:t>
            </w:r>
          </w:p>
        </w:tc>
        <w:tc>
          <w:tcPr>
            <w:tcW w:w="9781" w:type="dxa"/>
            <w:shd w:val="clear" w:color="auto" w:fill="D9D9D9" w:themeFill="background1" w:themeFillShade="D9"/>
          </w:tcPr>
          <w:p w14:paraId="602E4032" w14:textId="77777777" w:rsidR="00A31834" w:rsidRPr="00384CAC" w:rsidRDefault="00A31834" w:rsidP="007C72BB">
            <w:pPr>
              <w:rPr>
                <w:rStyle w:val="InstructionsTabelleText"/>
                <w:rFonts w:ascii="Times New Roman" w:hAnsi="Times New Roman"/>
                <w:szCs w:val="20"/>
              </w:rPr>
            </w:pPr>
            <w:r w:rsidRPr="00384CAC">
              <w:rPr>
                <w:rStyle w:val="InstructionsTabelleText"/>
                <w:rFonts w:ascii="Times New Roman" w:hAnsi="Times New Roman"/>
                <w:szCs w:val="20"/>
              </w:rPr>
              <w:t>Instructions</w:t>
            </w:r>
          </w:p>
        </w:tc>
      </w:tr>
      <w:tr w:rsidR="00384CAC" w:rsidRPr="00384CAC" w14:paraId="77BA74D2" w14:textId="77777777" w:rsidTr="003C3509">
        <w:tc>
          <w:tcPr>
            <w:tcW w:w="993" w:type="dxa"/>
            <w:shd w:val="clear" w:color="auto" w:fill="auto"/>
          </w:tcPr>
          <w:p w14:paraId="60648C48" w14:textId="7572450D" w:rsidR="00006405"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0010</w:t>
            </w:r>
          </w:p>
        </w:tc>
        <w:tc>
          <w:tcPr>
            <w:tcW w:w="1871" w:type="dxa"/>
            <w:shd w:val="clear" w:color="auto" w:fill="auto"/>
          </w:tcPr>
          <w:p w14:paraId="0C66A17E" w14:textId="4B9A3227" w:rsidR="00006405" w:rsidRPr="00384CAC" w:rsidRDefault="0088439B" w:rsidP="007C72BB">
            <w:pPr>
              <w:rPr>
                <w:rStyle w:val="InstructionsTabelleText"/>
                <w:rFonts w:ascii="Times New Roman" w:hAnsi="Times New Roman"/>
                <w:bCs/>
                <w:szCs w:val="20"/>
              </w:rPr>
            </w:pPr>
            <w:r>
              <w:rPr>
                <w:rStyle w:val="InstructionsTabelleText"/>
                <w:rFonts w:ascii="Times New Roman" w:hAnsi="Times New Roman"/>
                <w:szCs w:val="20"/>
              </w:rPr>
              <w:t>Portfolio ID</w:t>
            </w:r>
          </w:p>
        </w:tc>
        <w:tc>
          <w:tcPr>
            <w:tcW w:w="1672" w:type="dxa"/>
            <w:shd w:val="clear" w:color="auto" w:fill="auto"/>
          </w:tcPr>
          <w:p w14:paraId="584E1180" w14:textId="77777777" w:rsidR="00006405" w:rsidRPr="00384CAC" w:rsidRDefault="00006405" w:rsidP="007C72BB">
            <w:pPr>
              <w:rPr>
                <w:rStyle w:val="InstructionsTabelleText"/>
                <w:rFonts w:ascii="Times New Roman" w:hAnsi="Times New Roman"/>
                <w:bCs/>
                <w:szCs w:val="20"/>
              </w:rPr>
            </w:pPr>
          </w:p>
        </w:tc>
        <w:tc>
          <w:tcPr>
            <w:tcW w:w="9781" w:type="dxa"/>
            <w:shd w:val="clear" w:color="auto" w:fill="auto"/>
          </w:tcPr>
          <w:p w14:paraId="445145C2" w14:textId="76AC1A33" w:rsidR="002A4556" w:rsidRDefault="002A4556" w:rsidP="006D1691">
            <w:pPr>
              <w:ind w:left="33"/>
              <w:rPr>
                <w:rFonts w:ascii="Times New Roman" w:hAnsi="Times New Roman"/>
                <w:szCs w:val="20"/>
                <w:lang w:eastAsia="de-DE"/>
              </w:rPr>
            </w:pPr>
            <w:r w:rsidRPr="00EA201D">
              <w:rPr>
                <w:rFonts w:ascii="Times New Roman" w:hAnsi="Times New Roman"/>
                <w:szCs w:val="20"/>
                <w:lang w:eastAsia="de-DE"/>
              </w:rPr>
              <w:t xml:space="preserve">The code </w:t>
            </w:r>
            <w:r w:rsidRPr="007A68A6">
              <w:rPr>
                <w:rFonts w:ascii="Times New Roman" w:hAnsi="Times New Roman"/>
                <w:szCs w:val="20"/>
                <w:lang w:eastAsia="de-DE"/>
              </w:rPr>
              <w:t>assigned</w:t>
            </w:r>
            <w:r w:rsidR="00091EE4">
              <w:rPr>
                <w:rFonts w:ascii="Times New Roman" w:hAnsi="Times New Roman"/>
                <w:szCs w:val="20"/>
                <w:lang w:eastAsia="de-DE"/>
              </w:rPr>
              <w:t xml:space="preserve"> </w:t>
            </w:r>
            <w:r w:rsidR="00E200AF">
              <w:rPr>
                <w:rFonts w:ascii="Times New Roman" w:hAnsi="Times New Roman"/>
                <w:szCs w:val="20"/>
                <w:lang w:eastAsia="de-DE"/>
              </w:rPr>
              <w:t xml:space="preserve">in </w:t>
            </w:r>
            <w:r w:rsidR="00091EE4" w:rsidRPr="007A68A6">
              <w:rPr>
                <w:rFonts w:ascii="Times New Roman" w:hAnsi="Times New Roman"/>
                <w:szCs w:val="20"/>
                <w:lang w:eastAsia="de-DE"/>
              </w:rPr>
              <w:t>Annex I</w:t>
            </w:r>
            <w:r w:rsidR="00091EE4">
              <w:rPr>
                <w:rFonts w:ascii="Times New Roman" w:hAnsi="Times New Roman"/>
                <w:szCs w:val="20"/>
                <w:lang w:eastAsia="de-DE"/>
              </w:rPr>
              <w:t xml:space="preserve">, </w:t>
            </w:r>
            <w:r w:rsidR="00BA5A16">
              <w:rPr>
                <w:rFonts w:ascii="Times New Roman" w:hAnsi="Times New Roman"/>
                <w:szCs w:val="20"/>
                <w:lang w:eastAsia="de-DE"/>
              </w:rPr>
              <w:t>t</w:t>
            </w:r>
            <w:r w:rsidR="00091EE4">
              <w:rPr>
                <w:rFonts w:ascii="Times New Roman" w:hAnsi="Times New Roman"/>
                <w:szCs w:val="20"/>
                <w:lang w:eastAsia="de-DE"/>
              </w:rPr>
              <w:t xml:space="preserve">emplate </w:t>
            </w:r>
            <w:r w:rsidR="00091EE4" w:rsidRPr="00FE3CA1">
              <w:rPr>
                <w:rFonts w:ascii="Times New Roman" w:hAnsi="Times New Roman"/>
                <w:szCs w:val="20"/>
                <w:lang w:eastAsia="de-DE"/>
              </w:rPr>
              <w:t>C.104.00</w:t>
            </w:r>
            <w:r w:rsidR="00E200AF">
              <w:rPr>
                <w:rFonts w:ascii="Times New Roman" w:hAnsi="Times New Roman"/>
                <w:szCs w:val="20"/>
                <w:lang w:eastAsia="de-DE"/>
              </w:rPr>
              <w:t>,</w:t>
            </w:r>
            <w:r w:rsidRPr="007A68A6">
              <w:rPr>
                <w:rFonts w:ascii="Times New Roman" w:hAnsi="Times New Roman"/>
                <w:szCs w:val="20"/>
                <w:lang w:eastAsia="de-DE"/>
              </w:rPr>
              <w:t xml:space="preserve"> column 0</w:t>
            </w:r>
            <w:r>
              <w:rPr>
                <w:rFonts w:ascii="Times New Roman" w:hAnsi="Times New Roman"/>
                <w:szCs w:val="20"/>
                <w:lang w:eastAsia="de-DE"/>
              </w:rPr>
              <w:t>0</w:t>
            </w:r>
            <w:r w:rsidRPr="007A68A6">
              <w:rPr>
                <w:rFonts w:ascii="Times New Roman" w:hAnsi="Times New Roman"/>
                <w:szCs w:val="20"/>
                <w:lang w:eastAsia="de-DE"/>
              </w:rPr>
              <w:t xml:space="preserve">10 </w:t>
            </w:r>
            <w:r w:rsidRPr="00EA201D">
              <w:rPr>
                <w:rFonts w:ascii="Times New Roman" w:hAnsi="Times New Roman"/>
                <w:szCs w:val="20"/>
                <w:lang w:eastAsia="de-DE"/>
              </w:rPr>
              <w:t>to each portfolio</w:t>
            </w:r>
            <w:r w:rsidR="00630C77">
              <w:rPr>
                <w:rFonts w:ascii="Times New Roman" w:hAnsi="Times New Roman"/>
                <w:szCs w:val="20"/>
                <w:lang w:eastAsia="de-DE"/>
              </w:rPr>
              <w:t xml:space="preserve"> </w:t>
            </w:r>
            <w:r w:rsidRPr="00EA201D">
              <w:rPr>
                <w:rFonts w:ascii="Times New Roman" w:hAnsi="Times New Roman"/>
                <w:szCs w:val="20"/>
                <w:lang w:eastAsia="de-DE"/>
              </w:rPr>
              <w:t xml:space="preserve">shall be </w:t>
            </w:r>
            <w:r w:rsidR="009437EE" w:rsidRPr="00EA201D">
              <w:rPr>
                <w:rFonts w:ascii="Times New Roman" w:hAnsi="Times New Roman"/>
                <w:szCs w:val="20"/>
                <w:lang w:eastAsia="de-DE"/>
              </w:rPr>
              <w:t>reported</w:t>
            </w:r>
            <w:r w:rsidRPr="00EA201D">
              <w:rPr>
                <w:rFonts w:ascii="Times New Roman" w:hAnsi="Times New Roman"/>
                <w:szCs w:val="20"/>
                <w:lang w:eastAsia="de-DE"/>
              </w:rPr>
              <w:t>.</w:t>
            </w:r>
            <w:r w:rsidR="00D00597">
              <w:rPr>
                <w:rFonts w:ascii="Times New Roman" w:hAnsi="Times New Roman"/>
                <w:szCs w:val="20"/>
                <w:lang w:eastAsia="de-DE"/>
              </w:rPr>
              <w:t xml:space="preserve"> That code shall be a row identifier and shall be unique for each row in the table.</w:t>
            </w:r>
            <w:r w:rsidRPr="00EA201D">
              <w:rPr>
                <w:rFonts w:ascii="Times New Roman" w:hAnsi="Times New Roman"/>
                <w:szCs w:val="20"/>
                <w:lang w:eastAsia="de-DE"/>
              </w:rPr>
              <w:t xml:space="preserve"> </w:t>
            </w:r>
          </w:p>
          <w:p w14:paraId="5D99FE37" w14:textId="254382AE" w:rsidR="00904151" w:rsidRPr="00D43722" w:rsidRDefault="002A4556" w:rsidP="00D00597">
            <w:pPr>
              <w:autoSpaceDE w:val="0"/>
              <w:autoSpaceDN w:val="0"/>
              <w:adjustRightInd w:val="0"/>
              <w:rPr>
                <w:rStyle w:val="InstructionsTabelleText"/>
                <w:rFonts w:ascii="Times New Roman" w:hAnsi="Times New Roman"/>
                <w:b/>
                <w:bCs/>
                <w:szCs w:val="20"/>
              </w:rPr>
            </w:pPr>
            <w:r>
              <w:rPr>
                <w:rFonts w:ascii="Times New Roman" w:hAnsi="Times New Roman"/>
                <w:szCs w:val="20"/>
                <w:lang w:eastAsia="de-DE"/>
              </w:rPr>
              <w:t>The assignment of exposures to portfolio IDs is not exclusive: e</w:t>
            </w:r>
            <w:r w:rsidRPr="001535A4">
              <w:rPr>
                <w:rFonts w:ascii="Times New Roman" w:hAnsi="Times New Roman"/>
                <w:szCs w:val="20"/>
                <w:lang w:eastAsia="de-DE"/>
              </w:rPr>
              <w:t xml:space="preserve">xposures </w:t>
            </w:r>
            <w:r>
              <w:rPr>
                <w:rFonts w:ascii="Times New Roman" w:hAnsi="Times New Roman"/>
                <w:szCs w:val="20"/>
                <w:lang w:eastAsia="de-DE"/>
              </w:rPr>
              <w:t xml:space="preserve">or parts of exposures shall </w:t>
            </w:r>
            <w:r w:rsidRPr="001535A4">
              <w:rPr>
                <w:rFonts w:ascii="Times New Roman" w:hAnsi="Times New Roman"/>
                <w:szCs w:val="20"/>
                <w:lang w:eastAsia="de-DE"/>
              </w:rPr>
              <w:t xml:space="preserve">be reported </w:t>
            </w:r>
            <w:r>
              <w:rPr>
                <w:rFonts w:ascii="Times New Roman" w:hAnsi="Times New Roman"/>
                <w:szCs w:val="20"/>
                <w:lang w:eastAsia="de-DE"/>
              </w:rPr>
              <w:t xml:space="preserve">under each </w:t>
            </w:r>
            <w:r w:rsidRPr="001535A4">
              <w:rPr>
                <w:rFonts w:ascii="Times New Roman" w:hAnsi="Times New Roman"/>
                <w:szCs w:val="20"/>
                <w:lang w:eastAsia="de-DE"/>
              </w:rPr>
              <w:t>portfolio ID</w:t>
            </w:r>
            <w:r>
              <w:rPr>
                <w:rFonts w:ascii="Times New Roman" w:hAnsi="Times New Roman"/>
                <w:szCs w:val="20"/>
                <w:lang w:eastAsia="de-DE"/>
              </w:rPr>
              <w:t xml:space="preserve"> that is applicable.</w:t>
            </w:r>
          </w:p>
        </w:tc>
      </w:tr>
      <w:tr w:rsidR="00384CAC" w:rsidRPr="00384CAC" w14:paraId="58D0B9BB" w14:textId="77777777" w:rsidTr="003C3509">
        <w:tc>
          <w:tcPr>
            <w:tcW w:w="993" w:type="dxa"/>
            <w:shd w:val="clear" w:color="auto" w:fill="auto"/>
          </w:tcPr>
          <w:p w14:paraId="688A3F31" w14:textId="781F068D" w:rsidR="00744552" w:rsidRPr="00384CAC" w:rsidRDefault="00EE4ABB" w:rsidP="007C72BB">
            <w:pPr>
              <w:rPr>
                <w:rStyle w:val="InstructionsTabelleText"/>
                <w:rFonts w:ascii="Times New Roman" w:hAnsi="Times New Roman"/>
                <w:bCs/>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4</w:t>
            </w:r>
            <w:r w:rsidRPr="00384CAC">
              <w:rPr>
                <w:rStyle w:val="InstructionsTabelleText"/>
                <w:rFonts w:ascii="Times New Roman" w:hAnsi="Times New Roman"/>
                <w:szCs w:val="20"/>
              </w:rPr>
              <w:t>0</w:t>
            </w:r>
          </w:p>
        </w:tc>
        <w:tc>
          <w:tcPr>
            <w:tcW w:w="1871" w:type="dxa"/>
            <w:shd w:val="clear" w:color="auto" w:fill="auto"/>
          </w:tcPr>
          <w:p w14:paraId="1AA7392A" w14:textId="594B39D8" w:rsidR="00744552" w:rsidRPr="00384CAC" w:rsidRDefault="00744552" w:rsidP="007C72BB">
            <w:pPr>
              <w:rPr>
                <w:rStyle w:val="InstructionsTabelleText"/>
                <w:rFonts w:ascii="Times New Roman" w:hAnsi="Times New Roman"/>
                <w:bCs/>
                <w:szCs w:val="20"/>
              </w:rPr>
            </w:pPr>
            <w:r w:rsidRPr="00384CAC">
              <w:rPr>
                <w:rStyle w:val="InstructionsTabelleText"/>
                <w:rFonts w:ascii="Times New Roman" w:hAnsi="Times New Roman"/>
                <w:szCs w:val="20"/>
              </w:rPr>
              <w:t xml:space="preserve">Number of </w:t>
            </w:r>
            <w:r w:rsidR="00477E7E">
              <w:rPr>
                <w:rStyle w:val="InstructionsTabelleText"/>
                <w:rFonts w:ascii="Times New Roman" w:hAnsi="Times New Roman"/>
                <w:szCs w:val="20"/>
              </w:rPr>
              <w:t>obligors</w:t>
            </w:r>
          </w:p>
        </w:tc>
        <w:tc>
          <w:tcPr>
            <w:tcW w:w="1672" w:type="dxa"/>
            <w:shd w:val="clear" w:color="auto" w:fill="auto"/>
          </w:tcPr>
          <w:p w14:paraId="1C48CC3D" w14:textId="77777777" w:rsidR="00744552" w:rsidRPr="00384CAC" w:rsidRDefault="00744552" w:rsidP="007C72BB">
            <w:pPr>
              <w:rPr>
                <w:rStyle w:val="InstructionsTabelleText"/>
                <w:rFonts w:ascii="Times New Roman" w:hAnsi="Times New Roman"/>
                <w:bCs/>
                <w:szCs w:val="20"/>
              </w:rPr>
            </w:pPr>
          </w:p>
        </w:tc>
        <w:tc>
          <w:tcPr>
            <w:tcW w:w="9781" w:type="dxa"/>
            <w:shd w:val="clear" w:color="auto" w:fill="auto"/>
          </w:tcPr>
          <w:p w14:paraId="4AA99394" w14:textId="2C127BF8" w:rsidR="001B553B" w:rsidRDefault="001B553B" w:rsidP="006D1691">
            <w:pPr>
              <w:rPr>
                <w:rFonts w:ascii="Times New Roman" w:hAnsi="Times New Roman"/>
                <w:szCs w:val="20"/>
                <w:lang w:eastAsia="de-DE"/>
              </w:rPr>
            </w:pPr>
            <w:r w:rsidRPr="00EA201D">
              <w:rPr>
                <w:rFonts w:ascii="Times New Roman" w:hAnsi="Times New Roman"/>
                <w:szCs w:val="20"/>
                <w:lang w:eastAsia="de-DE"/>
              </w:rPr>
              <w:t>The number of obligors</w:t>
            </w:r>
            <w:r w:rsidR="005648B0">
              <w:rPr>
                <w:rFonts w:ascii="Times New Roman" w:hAnsi="Times New Roman"/>
                <w:szCs w:val="20"/>
                <w:lang w:eastAsia="de-DE"/>
              </w:rPr>
              <w:t xml:space="preserve"> for the respective portfolio</w:t>
            </w:r>
            <w:r w:rsidRPr="00EA201D">
              <w:rPr>
                <w:rFonts w:ascii="Times New Roman" w:hAnsi="Times New Roman"/>
                <w:szCs w:val="20"/>
                <w:lang w:eastAsia="de-DE"/>
              </w:rPr>
              <w:t xml:space="preserve"> shall be reported.</w:t>
            </w:r>
          </w:p>
          <w:p w14:paraId="2FCFFAAE" w14:textId="12AB92A3" w:rsidR="00744552" w:rsidRPr="00384CAC" w:rsidRDefault="001B553B" w:rsidP="00106224">
            <w:pPr>
              <w:rPr>
                <w:rStyle w:val="InstructionsTabelleText"/>
                <w:rFonts w:ascii="Times New Roman" w:hAnsi="Times New Roman"/>
                <w:bCs/>
                <w:szCs w:val="20"/>
              </w:rPr>
            </w:pPr>
            <w:r>
              <w:rPr>
                <w:rFonts w:ascii="Times New Roman" w:hAnsi="Times New Roman"/>
                <w:szCs w:val="20"/>
                <w:lang w:eastAsia="de-DE"/>
              </w:rPr>
              <w:t xml:space="preserve">It shall </w:t>
            </w:r>
            <w:r w:rsidRPr="00E06841">
              <w:rPr>
                <w:rFonts w:ascii="Times New Roman" w:hAnsi="Times New Roman"/>
                <w:szCs w:val="20"/>
                <w:lang w:eastAsia="de-DE"/>
              </w:rPr>
              <w:t>be based on obligors that have a</w:t>
            </w:r>
            <w:r w:rsidR="00D00597">
              <w:rPr>
                <w:rFonts w:ascii="Times New Roman" w:hAnsi="Times New Roman"/>
                <w:szCs w:val="20"/>
                <w:lang w:eastAsia="de-DE"/>
              </w:rPr>
              <w:t xml:space="preserve"> strictly</w:t>
            </w:r>
            <w:r w:rsidRPr="00E06841">
              <w:rPr>
                <w:rFonts w:ascii="Times New Roman" w:hAnsi="Times New Roman"/>
                <w:szCs w:val="20"/>
                <w:lang w:eastAsia="de-DE"/>
              </w:rPr>
              <w:t xml:space="preserve"> positive exposure value reported </w:t>
            </w:r>
            <w:r w:rsidR="00D00597">
              <w:rPr>
                <w:rFonts w:ascii="Times New Roman" w:hAnsi="Times New Roman"/>
                <w:szCs w:val="20"/>
                <w:lang w:eastAsia="de-DE"/>
              </w:rPr>
              <w:t xml:space="preserve">either </w:t>
            </w:r>
            <w:r w:rsidRPr="00E06841">
              <w:rPr>
                <w:rFonts w:ascii="Times New Roman" w:hAnsi="Times New Roman"/>
                <w:szCs w:val="20"/>
                <w:lang w:eastAsia="de-DE"/>
              </w:rPr>
              <w:t>in column</w:t>
            </w:r>
            <w:r w:rsidR="00330101">
              <w:rPr>
                <w:rFonts w:ascii="Times New Roman" w:hAnsi="Times New Roman"/>
                <w:szCs w:val="20"/>
                <w:lang w:eastAsia="de-DE"/>
              </w:rPr>
              <w:t>s</w:t>
            </w:r>
            <w:r w:rsidRPr="00E06841">
              <w:rPr>
                <w:rFonts w:ascii="Times New Roman" w:hAnsi="Times New Roman"/>
                <w:szCs w:val="20"/>
                <w:lang w:eastAsia="de-DE"/>
              </w:rPr>
              <w:t xml:space="preserve"> </w:t>
            </w:r>
            <w:r w:rsidR="007E66D9">
              <w:rPr>
                <w:rFonts w:ascii="Times New Roman" w:hAnsi="Times New Roman"/>
                <w:szCs w:val="20"/>
                <w:lang w:eastAsia="de-DE"/>
              </w:rPr>
              <w:t>00</w:t>
            </w:r>
            <w:r w:rsidR="00EE4ABB">
              <w:rPr>
                <w:rFonts w:ascii="Times New Roman" w:hAnsi="Times New Roman"/>
                <w:szCs w:val="20"/>
                <w:lang w:eastAsia="de-DE"/>
              </w:rPr>
              <w:t>5</w:t>
            </w:r>
            <w:r w:rsidRPr="00E06841">
              <w:rPr>
                <w:rFonts w:ascii="Times New Roman" w:hAnsi="Times New Roman"/>
                <w:szCs w:val="20"/>
                <w:lang w:eastAsia="de-DE"/>
              </w:rPr>
              <w:t>0</w:t>
            </w:r>
            <w:r w:rsidR="00D00597">
              <w:rPr>
                <w:rFonts w:ascii="Times New Roman" w:hAnsi="Times New Roman"/>
                <w:szCs w:val="20"/>
                <w:lang w:eastAsia="de-DE"/>
              </w:rPr>
              <w:t xml:space="preserve"> or in column</w:t>
            </w:r>
            <w:r w:rsidR="00330101">
              <w:rPr>
                <w:rFonts w:ascii="Times New Roman" w:hAnsi="Times New Roman"/>
                <w:szCs w:val="20"/>
                <w:lang w:eastAsia="de-DE"/>
              </w:rPr>
              <w:t xml:space="preserve"> 0051 or </w:t>
            </w:r>
            <w:r w:rsidR="00D00597">
              <w:rPr>
                <w:rFonts w:ascii="Times New Roman" w:hAnsi="Times New Roman"/>
                <w:szCs w:val="20"/>
                <w:lang w:eastAsia="de-DE"/>
              </w:rPr>
              <w:t xml:space="preserve">in column </w:t>
            </w:r>
            <w:r w:rsidR="00330101">
              <w:rPr>
                <w:rFonts w:ascii="Times New Roman" w:hAnsi="Times New Roman"/>
                <w:szCs w:val="20"/>
                <w:lang w:eastAsia="de-DE"/>
              </w:rPr>
              <w:t>0052</w:t>
            </w:r>
            <w:r w:rsidR="007E66D9">
              <w:rPr>
                <w:rFonts w:ascii="Times New Roman" w:hAnsi="Times New Roman"/>
                <w:szCs w:val="20"/>
                <w:lang w:eastAsia="de-DE"/>
              </w:rPr>
              <w:t>.</w:t>
            </w:r>
          </w:p>
        </w:tc>
      </w:tr>
      <w:tr w:rsidR="00384CAC" w:rsidRPr="00384CAC" w14:paraId="38DE5E53" w14:textId="77777777" w:rsidTr="003C3509">
        <w:tc>
          <w:tcPr>
            <w:tcW w:w="993" w:type="dxa"/>
            <w:shd w:val="clear" w:color="auto" w:fill="auto"/>
          </w:tcPr>
          <w:p w14:paraId="5AACE393" w14:textId="05657051" w:rsidR="00D61578" w:rsidRPr="00384CAC" w:rsidRDefault="00EE4ABB" w:rsidP="007C72BB">
            <w:pPr>
              <w:rPr>
                <w:rStyle w:val="InstructionsTabelleText"/>
                <w:rFonts w:ascii="Times New Roman" w:hAnsi="Times New Roman"/>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45</w:t>
            </w:r>
          </w:p>
        </w:tc>
        <w:tc>
          <w:tcPr>
            <w:tcW w:w="1871" w:type="dxa"/>
            <w:shd w:val="clear" w:color="auto" w:fill="auto"/>
          </w:tcPr>
          <w:p w14:paraId="35A355D8" w14:textId="1DDB9616" w:rsidR="00D61578" w:rsidRPr="00384CAC" w:rsidRDefault="00D61578" w:rsidP="007C72BB">
            <w:pPr>
              <w:rPr>
                <w:rStyle w:val="InstructionsTabelleText"/>
                <w:rFonts w:ascii="Times New Roman" w:hAnsi="Times New Roman"/>
                <w:szCs w:val="20"/>
              </w:rPr>
            </w:pPr>
            <w:r w:rsidRPr="00384CAC">
              <w:rPr>
                <w:rStyle w:val="InstructionsTabelleText"/>
                <w:rFonts w:ascii="Times New Roman" w:hAnsi="Times New Roman"/>
                <w:szCs w:val="20"/>
              </w:rPr>
              <w:t>GDP Area Code</w:t>
            </w:r>
          </w:p>
        </w:tc>
        <w:tc>
          <w:tcPr>
            <w:tcW w:w="1672" w:type="dxa"/>
            <w:shd w:val="clear" w:color="auto" w:fill="auto"/>
          </w:tcPr>
          <w:p w14:paraId="56211855" w14:textId="1B05BD5A" w:rsidR="00D61578" w:rsidRPr="00384CAC" w:rsidRDefault="00D61578" w:rsidP="007C72BB">
            <w:pPr>
              <w:rPr>
                <w:rStyle w:val="InstructionsTabelleText"/>
                <w:rFonts w:ascii="Times New Roman" w:hAnsi="Times New Roman"/>
                <w:bCs/>
                <w:szCs w:val="20"/>
              </w:rPr>
            </w:pPr>
          </w:p>
        </w:tc>
        <w:tc>
          <w:tcPr>
            <w:tcW w:w="9781" w:type="dxa"/>
            <w:shd w:val="clear" w:color="auto" w:fill="auto"/>
          </w:tcPr>
          <w:p w14:paraId="3EF87EE2" w14:textId="355395E2" w:rsidR="00E62F51" w:rsidRPr="00384CAC" w:rsidRDefault="00E62F51" w:rsidP="007C72BB">
            <w:pPr>
              <w:rPr>
                <w:rFonts w:ascii="Times New Roman" w:hAnsi="Times New Roman"/>
                <w:szCs w:val="20"/>
                <w:lang w:eastAsia="de-DE"/>
              </w:rPr>
            </w:pPr>
            <w:r w:rsidRPr="00384CAC">
              <w:rPr>
                <w:rFonts w:ascii="Times New Roman" w:hAnsi="Times New Roman"/>
                <w:szCs w:val="20"/>
                <w:lang w:eastAsia="de-DE"/>
              </w:rPr>
              <w:t xml:space="preserve">The code of the geographical area of the </w:t>
            </w:r>
            <w:r w:rsidR="005E3272">
              <w:rPr>
                <w:rFonts w:ascii="Times New Roman" w:hAnsi="Times New Roman"/>
                <w:szCs w:val="20"/>
                <w:lang w:eastAsia="de-DE"/>
              </w:rPr>
              <w:t>facilities</w:t>
            </w:r>
            <w:r w:rsidR="00896E71">
              <w:rPr>
                <w:rFonts w:ascii="Times New Roman" w:hAnsi="Times New Roman"/>
                <w:szCs w:val="20"/>
                <w:lang w:eastAsia="de-DE"/>
              </w:rPr>
              <w:t xml:space="preserve"> </w:t>
            </w:r>
            <w:r w:rsidR="007841C0">
              <w:rPr>
                <w:rFonts w:ascii="Times New Roman" w:hAnsi="Times New Roman"/>
                <w:szCs w:val="20"/>
                <w:lang w:eastAsia="de-DE"/>
              </w:rPr>
              <w:t xml:space="preserve">included in the </w:t>
            </w:r>
            <w:r w:rsidR="00014271">
              <w:rPr>
                <w:rFonts w:ascii="Times New Roman" w:hAnsi="Times New Roman"/>
                <w:szCs w:val="20"/>
                <w:lang w:eastAsia="de-DE"/>
              </w:rPr>
              <w:t xml:space="preserve">respective </w:t>
            </w:r>
            <w:r w:rsidR="007841C0">
              <w:rPr>
                <w:rFonts w:ascii="Times New Roman" w:hAnsi="Times New Roman"/>
                <w:szCs w:val="20"/>
                <w:lang w:eastAsia="de-DE"/>
              </w:rPr>
              <w:t>portfolio</w:t>
            </w:r>
            <w:r w:rsidR="00377200">
              <w:rPr>
                <w:rFonts w:ascii="Times New Roman" w:hAnsi="Times New Roman"/>
                <w:szCs w:val="20"/>
                <w:lang w:eastAsia="de-DE"/>
              </w:rPr>
              <w:t xml:space="preserve"> shall be reported</w:t>
            </w:r>
            <w:r w:rsidR="00070F74" w:rsidRPr="00384CAC">
              <w:rPr>
                <w:rFonts w:ascii="Times New Roman" w:hAnsi="Times New Roman"/>
                <w:szCs w:val="20"/>
                <w:lang w:eastAsia="de-DE"/>
              </w:rPr>
              <w:t>. The geographical area should be the one</w:t>
            </w:r>
            <w:r w:rsidRPr="00384CAC">
              <w:rPr>
                <w:rFonts w:ascii="Times New Roman" w:hAnsi="Times New Roman"/>
                <w:szCs w:val="20"/>
                <w:lang w:eastAsia="de-DE"/>
              </w:rPr>
              <w:t xml:space="preserve"> associated with the </w:t>
            </w:r>
            <w:r w:rsidRPr="005303EB">
              <w:rPr>
                <w:rFonts w:ascii="Times New Roman" w:hAnsi="Times New Roman"/>
                <w:szCs w:val="20"/>
                <w:lang w:eastAsia="de-DE"/>
              </w:rPr>
              <w:t>estimations of</w:t>
            </w:r>
            <w:r w:rsidR="00BB147B" w:rsidRPr="005303EB">
              <w:rPr>
                <w:rFonts w:ascii="Times New Roman" w:hAnsi="Times New Roman"/>
                <w:szCs w:val="20"/>
                <w:lang w:eastAsia="de-DE"/>
              </w:rPr>
              <w:t xml:space="preserve"> this </w:t>
            </w:r>
            <w:r w:rsidR="00BB147B" w:rsidRPr="005303EB">
              <w:rPr>
                <w:rStyle w:val="InstructionsTabelleText"/>
                <w:rFonts w:ascii="Times New Roman" w:hAnsi="Times New Roman"/>
                <w:szCs w:val="20"/>
              </w:rPr>
              <w:t>Annex</w:t>
            </w:r>
            <w:r w:rsidR="00BB147B">
              <w:rPr>
                <w:rStyle w:val="InstructionsTabelleText"/>
                <w:rFonts w:ascii="Times New Roman" w:hAnsi="Times New Roman"/>
                <w:szCs w:val="20"/>
              </w:rPr>
              <w:t>,</w:t>
            </w:r>
            <w:r w:rsidR="00BB147B" w:rsidRPr="005303EB">
              <w:rPr>
                <w:rFonts w:ascii="Times New Roman" w:hAnsi="Times New Roman"/>
                <w:szCs w:val="20"/>
                <w:lang w:eastAsia="de-DE"/>
              </w:rPr>
              <w:t xml:space="preserve"> </w:t>
            </w:r>
            <w:r w:rsidRPr="005303EB">
              <w:rPr>
                <w:rFonts w:ascii="Times New Roman" w:hAnsi="Times New Roman"/>
                <w:szCs w:val="20"/>
                <w:lang w:eastAsia="de-DE"/>
              </w:rPr>
              <w:t xml:space="preserve">columns </w:t>
            </w:r>
            <w:r w:rsidR="00EB18E3" w:rsidRPr="005303EB">
              <w:rPr>
                <w:rFonts w:ascii="Times New Roman" w:hAnsi="Times New Roman"/>
                <w:szCs w:val="20"/>
                <w:lang w:eastAsia="de-DE"/>
              </w:rPr>
              <w:t>0</w:t>
            </w:r>
            <w:r w:rsidRPr="005303EB">
              <w:rPr>
                <w:rFonts w:ascii="Times New Roman" w:hAnsi="Times New Roman"/>
                <w:szCs w:val="20"/>
                <w:lang w:eastAsia="de-DE"/>
              </w:rPr>
              <w:t xml:space="preserve">100 to </w:t>
            </w:r>
            <w:r w:rsidR="00EB18E3" w:rsidRPr="005303EB">
              <w:rPr>
                <w:rFonts w:ascii="Times New Roman" w:hAnsi="Times New Roman"/>
                <w:szCs w:val="20"/>
                <w:lang w:eastAsia="de-DE"/>
              </w:rPr>
              <w:t>0</w:t>
            </w:r>
            <w:r w:rsidRPr="005303EB">
              <w:rPr>
                <w:rFonts w:ascii="Times New Roman" w:hAnsi="Times New Roman"/>
                <w:szCs w:val="20"/>
                <w:lang w:eastAsia="de-DE"/>
              </w:rPr>
              <w:t xml:space="preserve">190 </w:t>
            </w:r>
            <w:r w:rsidRPr="005303EB">
              <w:rPr>
                <w:rStyle w:val="InstructionsTabelleText"/>
                <w:rFonts w:ascii="Times New Roman" w:hAnsi="Times New Roman"/>
                <w:szCs w:val="20"/>
              </w:rPr>
              <w:t>for</w:t>
            </w:r>
            <w:r w:rsidR="00BB147B">
              <w:rPr>
                <w:rStyle w:val="InstructionsTabelleText"/>
                <w:rFonts w:ascii="Times New Roman" w:hAnsi="Times New Roman"/>
                <w:szCs w:val="20"/>
              </w:rPr>
              <w:t xml:space="preserve"> </w:t>
            </w:r>
            <w:r w:rsidR="00BB147B" w:rsidRPr="005303EB">
              <w:rPr>
                <w:rStyle w:val="InstructionsTabelleText"/>
                <w:rFonts w:ascii="Times New Roman" w:hAnsi="Times New Roman"/>
                <w:szCs w:val="20"/>
              </w:rPr>
              <w:t>template C 11</w:t>
            </w:r>
            <w:r w:rsidR="00BB147B">
              <w:rPr>
                <w:rStyle w:val="InstructionsTabelleText"/>
                <w:rFonts w:ascii="Times New Roman" w:hAnsi="Times New Roman"/>
                <w:szCs w:val="20"/>
              </w:rPr>
              <w:t>8</w:t>
            </w:r>
            <w:r w:rsidR="00BB147B" w:rsidRPr="005303EB">
              <w:rPr>
                <w:rStyle w:val="InstructionsTabelleText"/>
                <w:rFonts w:ascii="Times New Roman" w:hAnsi="Times New Roman"/>
                <w:szCs w:val="20"/>
              </w:rPr>
              <w:t>.</w:t>
            </w:r>
            <w:r w:rsidR="00BB147B" w:rsidRPr="005303EB">
              <w:rPr>
                <w:rFonts w:ascii="Times New Roman" w:hAnsi="Times New Roman"/>
                <w:szCs w:val="20"/>
                <w:lang w:eastAsia="de-DE"/>
              </w:rPr>
              <w:t>00</w:t>
            </w:r>
            <w:r w:rsidR="00BB147B">
              <w:rPr>
                <w:rFonts w:ascii="Times New Roman" w:hAnsi="Times New Roman"/>
                <w:szCs w:val="20"/>
                <w:lang w:eastAsia="de-DE"/>
              </w:rPr>
              <w:t>,</w:t>
            </w:r>
            <w:r w:rsidRPr="005303EB">
              <w:rPr>
                <w:rStyle w:val="InstructionsTabelleText"/>
                <w:rFonts w:ascii="Times New Roman" w:hAnsi="Times New Roman"/>
                <w:szCs w:val="20"/>
              </w:rPr>
              <w:t xml:space="preserve"> column </w:t>
            </w:r>
            <w:r w:rsidR="007F7240" w:rsidRPr="005303EB">
              <w:rPr>
                <w:rStyle w:val="InstructionsTabelleText"/>
                <w:rFonts w:ascii="Times New Roman" w:hAnsi="Times New Roman"/>
                <w:szCs w:val="20"/>
              </w:rPr>
              <w:t>0</w:t>
            </w:r>
            <w:r w:rsidRPr="005303EB">
              <w:rPr>
                <w:rStyle w:val="InstructionsTabelleText"/>
                <w:rFonts w:ascii="Times New Roman" w:hAnsi="Times New Roman"/>
                <w:szCs w:val="20"/>
              </w:rPr>
              <w:t>010</w:t>
            </w:r>
            <w:r w:rsidR="00C81A4B" w:rsidRPr="005303EB">
              <w:rPr>
                <w:rFonts w:ascii="Times New Roman" w:hAnsi="Times New Roman"/>
                <w:szCs w:val="20"/>
                <w:lang w:eastAsia="de-DE"/>
              </w:rPr>
              <w:t xml:space="preserve">. </w:t>
            </w:r>
            <w:r w:rsidR="00515BDE" w:rsidRPr="005303EB">
              <w:rPr>
                <w:rFonts w:ascii="Times New Roman" w:hAnsi="Times New Roman"/>
                <w:szCs w:val="20"/>
                <w:lang w:eastAsia="de-DE"/>
              </w:rPr>
              <w:t>Where</w:t>
            </w:r>
            <w:r w:rsidR="00C81A4B" w:rsidRPr="005303EB">
              <w:rPr>
                <w:rFonts w:ascii="Times New Roman" w:hAnsi="Times New Roman"/>
                <w:szCs w:val="20"/>
                <w:lang w:eastAsia="de-DE"/>
              </w:rPr>
              <w:t xml:space="preserve"> the GDP is estim</w:t>
            </w:r>
            <w:r w:rsidR="00EB18E3" w:rsidRPr="005303EB">
              <w:rPr>
                <w:rFonts w:ascii="Times New Roman" w:hAnsi="Times New Roman"/>
                <w:szCs w:val="20"/>
                <w:lang w:eastAsia="de-DE"/>
              </w:rPr>
              <w:t xml:space="preserve">ated on a </w:t>
            </w:r>
            <w:r w:rsidR="00C81A4B" w:rsidRPr="000F6C8D">
              <w:rPr>
                <w:rFonts w:ascii="Times New Roman" w:hAnsi="Times New Roman"/>
                <w:szCs w:val="20"/>
                <w:lang w:eastAsia="de-DE"/>
              </w:rPr>
              <w:t xml:space="preserve">single country </w:t>
            </w:r>
            <w:r w:rsidR="00515BDE" w:rsidRPr="000F6C8D">
              <w:rPr>
                <w:rFonts w:ascii="Times New Roman" w:hAnsi="Times New Roman"/>
                <w:szCs w:val="20"/>
                <w:lang w:eastAsia="de-DE"/>
              </w:rPr>
              <w:t>basis</w:t>
            </w:r>
            <w:r w:rsidR="00C81A4B" w:rsidRPr="000F6C8D">
              <w:rPr>
                <w:rFonts w:ascii="Times New Roman" w:hAnsi="Times New Roman"/>
                <w:szCs w:val="20"/>
                <w:lang w:eastAsia="de-DE"/>
              </w:rPr>
              <w:t xml:space="preserve">, the country code </w:t>
            </w:r>
            <w:r w:rsidR="00515BDE" w:rsidRPr="000F6C8D">
              <w:rPr>
                <w:rFonts w:ascii="Times New Roman" w:hAnsi="Times New Roman"/>
                <w:szCs w:val="20"/>
                <w:lang w:eastAsia="de-DE"/>
              </w:rPr>
              <w:t xml:space="preserve">shall </w:t>
            </w:r>
            <w:r w:rsidR="00C81A4B" w:rsidRPr="000F6C8D">
              <w:rPr>
                <w:rFonts w:ascii="Times New Roman" w:hAnsi="Times New Roman"/>
                <w:szCs w:val="20"/>
                <w:lang w:eastAsia="de-DE"/>
              </w:rPr>
              <w:t xml:space="preserve">have the same format as the one used in </w:t>
            </w:r>
            <w:r w:rsidR="00BB147B" w:rsidRPr="000F6C8D">
              <w:rPr>
                <w:rFonts w:ascii="Times New Roman" w:hAnsi="Times New Roman"/>
                <w:szCs w:val="20"/>
                <w:lang w:eastAsia="de-DE"/>
              </w:rPr>
              <w:t xml:space="preserve"> </w:t>
            </w:r>
            <w:r w:rsidR="008D562A">
              <w:rPr>
                <w:rFonts w:ascii="Times New Roman" w:hAnsi="Times New Roman"/>
                <w:szCs w:val="20"/>
                <w:lang w:eastAsia="de-DE"/>
              </w:rPr>
              <w:t>Annex I</w:t>
            </w:r>
            <w:r w:rsidR="00BB147B">
              <w:rPr>
                <w:rFonts w:ascii="Times New Roman" w:hAnsi="Times New Roman"/>
                <w:szCs w:val="20"/>
                <w:lang w:eastAsia="de-DE"/>
              </w:rPr>
              <w:t xml:space="preserve">, </w:t>
            </w:r>
            <w:r w:rsidR="00BB147B" w:rsidRPr="000F6C8D">
              <w:rPr>
                <w:rFonts w:ascii="Times New Roman" w:hAnsi="Times New Roman"/>
                <w:szCs w:val="20"/>
                <w:lang w:eastAsia="de-DE"/>
              </w:rPr>
              <w:t xml:space="preserve">template </w:t>
            </w:r>
            <w:r w:rsidR="00BB147B" w:rsidRPr="00FE3CA1">
              <w:rPr>
                <w:rFonts w:ascii="Times New Roman" w:hAnsi="Times New Roman"/>
                <w:szCs w:val="20"/>
                <w:lang w:eastAsia="de-DE"/>
              </w:rPr>
              <w:t>C.104.00</w:t>
            </w:r>
            <w:r w:rsidR="00BB147B">
              <w:rPr>
                <w:rFonts w:ascii="Times New Roman" w:hAnsi="Times New Roman"/>
                <w:szCs w:val="20"/>
                <w:lang w:eastAsia="de-DE"/>
              </w:rPr>
              <w:t xml:space="preserve">, </w:t>
            </w:r>
            <w:r w:rsidR="00BB147B" w:rsidRPr="000F6C8D">
              <w:rPr>
                <w:rFonts w:ascii="Times New Roman" w:hAnsi="Times New Roman"/>
                <w:szCs w:val="20"/>
                <w:lang w:eastAsia="de-DE"/>
              </w:rPr>
              <w:t>column</w:t>
            </w:r>
            <w:r w:rsidR="008A78EB">
              <w:rPr>
                <w:rFonts w:ascii="Times New Roman" w:hAnsi="Times New Roman"/>
                <w:szCs w:val="20"/>
                <w:lang w:eastAsia="de-DE"/>
              </w:rPr>
              <w:t xml:space="preserve"> 0050</w:t>
            </w:r>
            <w:r w:rsidR="00B120DA">
              <w:rPr>
                <w:rFonts w:ascii="Times New Roman" w:hAnsi="Times New Roman"/>
                <w:szCs w:val="20"/>
                <w:lang w:eastAsia="de-DE"/>
              </w:rPr>
              <w:t>.</w:t>
            </w:r>
            <w:r w:rsidR="00C81A4B" w:rsidRPr="00384CAC">
              <w:rPr>
                <w:rFonts w:ascii="Times New Roman" w:hAnsi="Times New Roman"/>
                <w:szCs w:val="20"/>
                <w:lang w:eastAsia="de-DE"/>
              </w:rPr>
              <w:t xml:space="preserve"> </w:t>
            </w:r>
            <w:r w:rsidR="00515BDE" w:rsidRPr="00384CAC">
              <w:rPr>
                <w:rFonts w:ascii="Times New Roman" w:hAnsi="Times New Roman"/>
                <w:szCs w:val="20"/>
                <w:lang w:eastAsia="de-DE"/>
              </w:rPr>
              <w:t>Where</w:t>
            </w:r>
            <w:r w:rsidR="00C81A4B" w:rsidRPr="00384CAC">
              <w:rPr>
                <w:rFonts w:ascii="Times New Roman" w:hAnsi="Times New Roman"/>
                <w:szCs w:val="20"/>
                <w:lang w:eastAsia="de-DE"/>
              </w:rPr>
              <w:t xml:space="preserve"> the GDP is estimated for an area with several countries, one of the following code</w:t>
            </w:r>
            <w:r w:rsidR="00515BDE" w:rsidRPr="00384CAC">
              <w:rPr>
                <w:rFonts w:ascii="Times New Roman" w:hAnsi="Times New Roman"/>
                <w:szCs w:val="20"/>
                <w:lang w:eastAsia="de-DE"/>
              </w:rPr>
              <w:t>s</w:t>
            </w:r>
            <w:r w:rsidR="00C81A4B" w:rsidRPr="00384CAC">
              <w:rPr>
                <w:rFonts w:ascii="Times New Roman" w:hAnsi="Times New Roman"/>
                <w:szCs w:val="20"/>
                <w:lang w:eastAsia="de-DE"/>
              </w:rPr>
              <w:t xml:space="preserve"> </w:t>
            </w:r>
            <w:r w:rsidR="00515BDE" w:rsidRPr="00384CAC">
              <w:rPr>
                <w:rFonts w:ascii="Times New Roman" w:hAnsi="Times New Roman"/>
                <w:szCs w:val="20"/>
                <w:lang w:eastAsia="de-DE"/>
              </w:rPr>
              <w:t xml:space="preserve">shall </w:t>
            </w:r>
            <w:r w:rsidR="00C81A4B" w:rsidRPr="00384CAC">
              <w:rPr>
                <w:rFonts w:ascii="Times New Roman" w:hAnsi="Times New Roman"/>
                <w:szCs w:val="20"/>
                <w:lang w:eastAsia="de-DE"/>
              </w:rPr>
              <w:t>be used:</w:t>
            </w:r>
          </w:p>
          <w:p w14:paraId="2B9EDB02" w14:textId="56C6319E" w:rsidR="00E62F51" w:rsidRPr="00384CAC" w:rsidRDefault="00E62F51" w:rsidP="00EC7E5C">
            <w:pPr>
              <w:pStyle w:val="ListParagraph"/>
              <w:numPr>
                <w:ilvl w:val="0"/>
                <w:numId w:val="19"/>
              </w:numPr>
              <w:rPr>
                <w:rFonts w:ascii="Times New Roman" w:hAnsi="Times New Roman"/>
                <w:szCs w:val="20"/>
              </w:rPr>
            </w:pPr>
            <w:r w:rsidRPr="00384CAC">
              <w:rPr>
                <w:rFonts w:ascii="Times New Roman" w:hAnsi="Times New Roman"/>
                <w:szCs w:val="20"/>
              </w:rPr>
              <w:t>‘</w:t>
            </w:r>
            <w:r w:rsidR="008B0D01" w:rsidRPr="00384CAC">
              <w:rPr>
                <w:rFonts w:ascii="Times New Roman" w:hAnsi="Times New Roman"/>
                <w:szCs w:val="20"/>
              </w:rPr>
              <w:t>All countries</w:t>
            </w:r>
            <w:r w:rsidRPr="00384CAC">
              <w:rPr>
                <w:rFonts w:ascii="Times New Roman" w:hAnsi="Times New Roman"/>
                <w:szCs w:val="20"/>
              </w:rPr>
              <w:t xml:space="preserve">’: </w:t>
            </w:r>
            <w:r w:rsidR="00515BDE" w:rsidRPr="00384CAC">
              <w:rPr>
                <w:rFonts w:ascii="Times New Roman" w:hAnsi="Times New Roman"/>
                <w:szCs w:val="20"/>
              </w:rPr>
              <w:t xml:space="preserve">where </w:t>
            </w:r>
            <w:r w:rsidR="00C81A4B" w:rsidRPr="00384CAC">
              <w:rPr>
                <w:rFonts w:ascii="Times New Roman" w:hAnsi="Times New Roman"/>
                <w:szCs w:val="20"/>
              </w:rPr>
              <w:t>GDP estimates can be considered as</w:t>
            </w:r>
            <w:r w:rsidRPr="00384CAC">
              <w:rPr>
                <w:rFonts w:ascii="Times New Roman" w:hAnsi="Times New Roman"/>
                <w:szCs w:val="20"/>
              </w:rPr>
              <w:t xml:space="preserve"> global </w:t>
            </w:r>
            <w:proofErr w:type="gramStart"/>
            <w:r w:rsidRPr="00384CAC">
              <w:rPr>
                <w:rFonts w:ascii="Times New Roman" w:hAnsi="Times New Roman"/>
                <w:szCs w:val="20"/>
              </w:rPr>
              <w:t>estimate</w:t>
            </w:r>
            <w:r w:rsidR="00C81A4B" w:rsidRPr="00384CAC">
              <w:rPr>
                <w:rFonts w:ascii="Times New Roman" w:hAnsi="Times New Roman"/>
                <w:szCs w:val="20"/>
              </w:rPr>
              <w:t>s</w:t>
            </w:r>
            <w:r w:rsidRPr="00384CAC">
              <w:rPr>
                <w:rFonts w:ascii="Times New Roman" w:hAnsi="Times New Roman"/>
                <w:szCs w:val="20"/>
              </w:rPr>
              <w:t>;</w:t>
            </w:r>
            <w:proofErr w:type="gramEnd"/>
          </w:p>
          <w:p w14:paraId="0844AC47" w14:textId="0C6A5E35" w:rsidR="00E62F51" w:rsidRPr="00384CAC" w:rsidRDefault="008B0D01" w:rsidP="00EC7E5C">
            <w:pPr>
              <w:pStyle w:val="ListParagraph"/>
              <w:numPr>
                <w:ilvl w:val="0"/>
                <w:numId w:val="19"/>
              </w:numPr>
              <w:rPr>
                <w:rFonts w:ascii="Times New Roman" w:hAnsi="Times New Roman"/>
                <w:szCs w:val="20"/>
              </w:rPr>
            </w:pPr>
            <w:r w:rsidRPr="00384CAC">
              <w:rPr>
                <w:rFonts w:ascii="Times New Roman" w:hAnsi="Times New Roman"/>
                <w:szCs w:val="20"/>
              </w:rPr>
              <w:t>‘European Union (EU)’</w:t>
            </w:r>
            <w:r w:rsidR="00515BDE" w:rsidRPr="00384CAC">
              <w:rPr>
                <w:rFonts w:ascii="Times New Roman" w:hAnsi="Times New Roman"/>
                <w:szCs w:val="20"/>
              </w:rPr>
              <w:t xml:space="preserve">: where </w:t>
            </w:r>
            <w:r w:rsidR="00E62F51" w:rsidRPr="00384CAC">
              <w:rPr>
                <w:rFonts w:ascii="Times New Roman" w:hAnsi="Times New Roman"/>
                <w:szCs w:val="20"/>
              </w:rPr>
              <w:t xml:space="preserve">the GDP estimates </w:t>
            </w:r>
            <w:r w:rsidR="00C81A4B" w:rsidRPr="00384CAC">
              <w:rPr>
                <w:rFonts w:ascii="Times New Roman" w:hAnsi="Times New Roman"/>
                <w:szCs w:val="20"/>
              </w:rPr>
              <w:t>can be considered</w:t>
            </w:r>
            <w:r w:rsidR="00E62F51" w:rsidRPr="00384CAC">
              <w:rPr>
                <w:rFonts w:ascii="Times New Roman" w:hAnsi="Times New Roman"/>
                <w:szCs w:val="20"/>
              </w:rPr>
              <w:t xml:space="preserve"> </w:t>
            </w:r>
            <w:r w:rsidR="00C81A4B" w:rsidRPr="00384CAC">
              <w:rPr>
                <w:rFonts w:ascii="Times New Roman" w:hAnsi="Times New Roman"/>
                <w:szCs w:val="20"/>
              </w:rPr>
              <w:t xml:space="preserve">as estimates related </w:t>
            </w:r>
            <w:r w:rsidR="00E62F51" w:rsidRPr="00384CAC">
              <w:rPr>
                <w:rFonts w:ascii="Times New Roman" w:hAnsi="Times New Roman"/>
                <w:szCs w:val="20"/>
              </w:rPr>
              <w:t xml:space="preserve">to the European Union composition at the reference </w:t>
            </w:r>
            <w:proofErr w:type="gramStart"/>
            <w:r w:rsidR="00E62F51" w:rsidRPr="00384CAC">
              <w:rPr>
                <w:rFonts w:ascii="Times New Roman" w:hAnsi="Times New Roman"/>
                <w:szCs w:val="20"/>
              </w:rPr>
              <w:t>date;</w:t>
            </w:r>
            <w:proofErr w:type="gramEnd"/>
          </w:p>
          <w:p w14:paraId="38D5368B" w14:textId="2FA78ED9" w:rsidR="007C7787" w:rsidRPr="00384CAC" w:rsidRDefault="00E62F51" w:rsidP="00EC7E5C">
            <w:pPr>
              <w:pStyle w:val="ListParagraph"/>
              <w:numPr>
                <w:ilvl w:val="0"/>
                <w:numId w:val="19"/>
              </w:numPr>
              <w:rPr>
                <w:rFonts w:ascii="Times New Roman" w:hAnsi="Times New Roman"/>
                <w:szCs w:val="20"/>
              </w:rPr>
            </w:pPr>
            <w:r w:rsidRPr="00384CAC">
              <w:rPr>
                <w:rFonts w:ascii="Times New Roman" w:hAnsi="Times New Roman"/>
                <w:szCs w:val="20"/>
              </w:rPr>
              <w:t>‘E</w:t>
            </w:r>
            <w:r w:rsidR="008B0D01" w:rsidRPr="00384CAC">
              <w:rPr>
                <w:rFonts w:ascii="Times New Roman" w:hAnsi="Times New Roman"/>
                <w:szCs w:val="20"/>
              </w:rPr>
              <w:t xml:space="preserve">uro </w:t>
            </w:r>
            <w:r w:rsidRPr="00384CAC">
              <w:rPr>
                <w:rFonts w:ascii="Times New Roman" w:hAnsi="Times New Roman"/>
                <w:szCs w:val="20"/>
              </w:rPr>
              <w:t>A</w:t>
            </w:r>
            <w:r w:rsidR="008B0D01" w:rsidRPr="00384CAC">
              <w:rPr>
                <w:rFonts w:ascii="Times New Roman" w:hAnsi="Times New Roman"/>
                <w:szCs w:val="20"/>
              </w:rPr>
              <w:t>rea</w:t>
            </w:r>
            <w:r w:rsidRPr="00384CAC">
              <w:rPr>
                <w:rFonts w:ascii="Times New Roman" w:hAnsi="Times New Roman"/>
                <w:szCs w:val="20"/>
              </w:rPr>
              <w:t xml:space="preserve">’: </w:t>
            </w:r>
            <w:r w:rsidR="00515BDE" w:rsidRPr="00384CAC">
              <w:rPr>
                <w:rFonts w:ascii="Times New Roman" w:hAnsi="Times New Roman"/>
                <w:szCs w:val="20"/>
              </w:rPr>
              <w:t>where</w:t>
            </w:r>
            <w:r w:rsidRPr="00384CAC">
              <w:rPr>
                <w:rFonts w:ascii="Times New Roman" w:hAnsi="Times New Roman"/>
                <w:szCs w:val="20"/>
              </w:rPr>
              <w:t xml:space="preserve"> the GDP estimates </w:t>
            </w:r>
            <w:r w:rsidR="00C81A4B" w:rsidRPr="00384CAC">
              <w:rPr>
                <w:rFonts w:ascii="Times New Roman" w:hAnsi="Times New Roman"/>
                <w:szCs w:val="20"/>
              </w:rPr>
              <w:t>can be considered</w:t>
            </w:r>
            <w:r w:rsidRPr="00384CAC">
              <w:rPr>
                <w:rFonts w:ascii="Times New Roman" w:hAnsi="Times New Roman"/>
                <w:szCs w:val="20"/>
              </w:rPr>
              <w:t xml:space="preserve"> </w:t>
            </w:r>
            <w:r w:rsidR="00C81A4B" w:rsidRPr="00384CAC">
              <w:rPr>
                <w:rFonts w:ascii="Times New Roman" w:hAnsi="Times New Roman"/>
                <w:szCs w:val="20"/>
              </w:rPr>
              <w:t xml:space="preserve">as estimates related </w:t>
            </w:r>
            <w:r w:rsidRPr="00384CAC">
              <w:rPr>
                <w:rFonts w:ascii="Times New Roman" w:hAnsi="Times New Roman"/>
                <w:szCs w:val="20"/>
              </w:rPr>
              <w:t xml:space="preserve">to the Euro Area composition at the reference </w:t>
            </w:r>
            <w:proofErr w:type="gramStart"/>
            <w:r w:rsidRPr="00384CAC">
              <w:rPr>
                <w:rFonts w:ascii="Times New Roman" w:hAnsi="Times New Roman"/>
                <w:szCs w:val="20"/>
              </w:rPr>
              <w:t>date</w:t>
            </w:r>
            <w:r w:rsidR="0026780A" w:rsidRPr="00384CAC">
              <w:rPr>
                <w:rFonts w:ascii="Times New Roman" w:hAnsi="Times New Roman"/>
                <w:szCs w:val="20"/>
              </w:rPr>
              <w:t>;</w:t>
            </w:r>
            <w:proofErr w:type="gramEnd"/>
          </w:p>
          <w:p w14:paraId="4CE8058C" w14:textId="77777777" w:rsidR="00C81A4B" w:rsidRPr="006D1691" w:rsidRDefault="007C7787" w:rsidP="00EC7E5C">
            <w:pPr>
              <w:pStyle w:val="ListParagraph"/>
              <w:numPr>
                <w:ilvl w:val="0"/>
                <w:numId w:val="19"/>
              </w:numPr>
              <w:rPr>
                <w:rFonts w:ascii="Times New Roman" w:hAnsi="Times New Roman"/>
                <w:szCs w:val="20"/>
                <w:lang w:val="en-US" w:eastAsia="de-DE"/>
              </w:rPr>
            </w:pPr>
            <w:r w:rsidRPr="00384CAC">
              <w:rPr>
                <w:rFonts w:ascii="Times New Roman" w:hAnsi="Times New Roman"/>
                <w:szCs w:val="20"/>
                <w:lang w:val="en-US"/>
              </w:rPr>
              <w:t>‘</w:t>
            </w:r>
            <w:r w:rsidR="008B0D01" w:rsidRPr="00384CAC">
              <w:rPr>
                <w:rFonts w:ascii="Times New Roman" w:hAnsi="Times New Roman"/>
                <w:szCs w:val="20"/>
                <w:lang w:val="en-US"/>
              </w:rPr>
              <w:t>Countries of the OECD</w:t>
            </w:r>
            <w:r w:rsidRPr="00384CAC">
              <w:rPr>
                <w:rFonts w:ascii="Times New Roman" w:hAnsi="Times New Roman"/>
                <w:szCs w:val="20"/>
                <w:lang w:val="en-US"/>
              </w:rPr>
              <w:t xml:space="preserve">’: where the GDP estimates </w:t>
            </w:r>
            <w:r w:rsidRPr="00384CAC">
              <w:rPr>
                <w:rFonts w:ascii="Times New Roman" w:hAnsi="Times New Roman"/>
                <w:szCs w:val="20"/>
              </w:rPr>
              <w:t>can be considered as estimates related to the whole set of jurisdictions which are member countries of the Organisation for Economic Co-operation and Development (OECD) at the reference date</w:t>
            </w:r>
            <w:r w:rsidR="00E62F51" w:rsidRPr="00384CAC">
              <w:rPr>
                <w:rFonts w:ascii="Times New Roman" w:hAnsi="Times New Roman"/>
                <w:szCs w:val="20"/>
              </w:rPr>
              <w:t>.</w:t>
            </w:r>
          </w:p>
          <w:p w14:paraId="4EAF5F0D" w14:textId="6B600E87" w:rsidR="008A3468" w:rsidRPr="006D1691" w:rsidRDefault="008A067B" w:rsidP="006D1691">
            <w:pPr>
              <w:pStyle w:val="ListParagraph"/>
              <w:ind w:left="0"/>
              <w:rPr>
                <w:rStyle w:val="InstructionsTabelleText"/>
              </w:rPr>
            </w:pPr>
            <w:r>
              <w:rPr>
                <w:rFonts w:ascii="Times New Roman" w:hAnsi="Times New Roman"/>
                <w:szCs w:val="20"/>
                <w:lang w:eastAsia="de-DE"/>
              </w:rPr>
              <w:t xml:space="preserve">The information required in this column shall be provided only for those </w:t>
            </w:r>
            <w:r w:rsidR="00E52B34">
              <w:rPr>
                <w:rFonts w:ascii="Times New Roman" w:hAnsi="Times New Roman"/>
                <w:szCs w:val="20"/>
                <w:lang w:eastAsia="de-DE"/>
              </w:rPr>
              <w:t>p</w:t>
            </w:r>
            <w:r>
              <w:rPr>
                <w:rFonts w:ascii="Times New Roman" w:hAnsi="Times New Roman"/>
                <w:szCs w:val="20"/>
                <w:lang w:eastAsia="de-DE"/>
              </w:rPr>
              <w:t>ortfolio ID</w:t>
            </w:r>
            <w:r w:rsidR="00C87322">
              <w:rPr>
                <w:rFonts w:ascii="Times New Roman" w:hAnsi="Times New Roman"/>
                <w:szCs w:val="20"/>
                <w:lang w:eastAsia="de-DE"/>
              </w:rPr>
              <w:t>s</w:t>
            </w:r>
            <w:r>
              <w:rPr>
                <w:rFonts w:ascii="Times New Roman" w:hAnsi="Times New Roman"/>
                <w:szCs w:val="20"/>
                <w:lang w:eastAsia="de-DE"/>
              </w:rPr>
              <w:t xml:space="preserve"> for </w:t>
            </w:r>
            <w:r w:rsidR="00EF09E7">
              <w:rPr>
                <w:rFonts w:ascii="Times New Roman" w:hAnsi="Times New Roman"/>
                <w:szCs w:val="20"/>
                <w:lang w:eastAsia="de-DE"/>
              </w:rPr>
              <w:t xml:space="preserve">which </w:t>
            </w:r>
            <w:r w:rsidR="0035719F" w:rsidRPr="007A68A6">
              <w:rPr>
                <w:rFonts w:ascii="Times New Roman" w:hAnsi="Times New Roman"/>
                <w:szCs w:val="20"/>
                <w:lang w:eastAsia="de-DE"/>
              </w:rPr>
              <w:t>Annex I</w:t>
            </w:r>
            <w:r w:rsidR="0035719F">
              <w:rPr>
                <w:rFonts w:ascii="Times New Roman" w:hAnsi="Times New Roman"/>
                <w:szCs w:val="20"/>
                <w:lang w:eastAsia="de-DE"/>
              </w:rPr>
              <w:t xml:space="preserve">, </w:t>
            </w:r>
            <w:r w:rsidR="008A78EB">
              <w:rPr>
                <w:rFonts w:ascii="Times New Roman" w:hAnsi="Times New Roman"/>
                <w:szCs w:val="20"/>
                <w:lang w:eastAsia="de-DE"/>
              </w:rPr>
              <w:t>template</w:t>
            </w:r>
            <w:r w:rsidR="0035719F">
              <w:rPr>
                <w:rFonts w:ascii="Times New Roman" w:hAnsi="Times New Roman"/>
                <w:szCs w:val="20"/>
                <w:lang w:eastAsia="de-DE"/>
              </w:rPr>
              <w:t xml:space="preserve"> C.104.00, </w:t>
            </w:r>
            <w:r w:rsidR="00EF09E7">
              <w:rPr>
                <w:rFonts w:ascii="Times New Roman" w:hAnsi="Times New Roman"/>
                <w:szCs w:val="20"/>
                <w:lang w:eastAsia="de-DE"/>
              </w:rPr>
              <w:t>column 0050</w:t>
            </w:r>
            <w:r w:rsidR="00A34E7C">
              <w:rPr>
                <w:rFonts w:ascii="Times New Roman" w:hAnsi="Times New Roman"/>
                <w:szCs w:val="20"/>
                <w:lang w:eastAsia="de-DE"/>
              </w:rPr>
              <w:t xml:space="preserve"> is different than ‘Not applicable’</w:t>
            </w:r>
            <w:r w:rsidR="00756FE7">
              <w:rPr>
                <w:rFonts w:ascii="Times New Roman" w:hAnsi="Times New Roman"/>
                <w:szCs w:val="20"/>
                <w:lang w:eastAsia="de-DE"/>
              </w:rPr>
              <w:t xml:space="preserve">. In the remaining cases, </w:t>
            </w:r>
            <w:r w:rsidR="00F84014">
              <w:rPr>
                <w:rFonts w:ascii="Times New Roman" w:hAnsi="Times New Roman"/>
                <w:szCs w:val="20"/>
                <w:lang w:eastAsia="de-DE"/>
              </w:rPr>
              <w:t>this</w:t>
            </w:r>
            <w:r w:rsidR="00756FE7">
              <w:rPr>
                <w:rFonts w:ascii="Times New Roman" w:hAnsi="Times New Roman"/>
                <w:szCs w:val="20"/>
                <w:lang w:eastAsia="de-DE"/>
              </w:rPr>
              <w:t xml:space="preserve"> column</w:t>
            </w:r>
            <w:r w:rsidR="00F84014">
              <w:rPr>
                <w:rFonts w:ascii="Times New Roman" w:hAnsi="Times New Roman"/>
                <w:szCs w:val="20"/>
                <w:lang w:eastAsia="de-DE"/>
              </w:rPr>
              <w:t xml:space="preserve"> shall be left </w:t>
            </w:r>
            <w:proofErr w:type="gramStart"/>
            <w:r w:rsidR="00F84014">
              <w:rPr>
                <w:rFonts w:ascii="Times New Roman" w:hAnsi="Times New Roman"/>
                <w:szCs w:val="20"/>
                <w:lang w:eastAsia="de-DE"/>
              </w:rPr>
              <w:t>blank</w:t>
            </w:r>
            <w:proofErr w:type="gramEnd"/>
            <w:r w:rsidR="008D562A">
              <w:t xml:space="preserve"> </w:t>
            </w:r>
            <w:r w:rsidR="008D562A" w:rsidRPr="008D562A">
              <w:rPr>
                <w:rFonts w:ascii="Times New Roman" w:hAnsi="Times New Roman"/>
                <w:szCs w:val="20"/>
                <w:lang w:eastAsia="de-DE"/>
              </w:rPr>
              <w:t>or ‘NULL’ shall be inserted</w:t>
            </w:r>
            <w:r w:rsidR="00F84014">
              <w:rPr>
                <w:rFonts w:ascii="Times New Roman" w:hAnsi="Times New Roman"/>
                <w:szCs w:val="20"/>
                <w:lang w:eastAsia="de-DE"/>
              </w:rPr>
              <w:t>.</w:t>
            </w:r>
            <w:r w:rsidR="00756FE7">
              <w:rPr>
                <w:rFonts w:ascii="Times New Roman" w:hAnsi="Times New Roman"/>
                <w:szCs w:val="20"/>
                <w:lang w:eastAsia="de-DE"/>
              </w:rPr>
              <w:t xml:space="preserve"> </w:t>
            </w:r>
          </w:p>
        </w:tc>
      </w:tr>
      <w:tr w:rsidR="00384CAC" w:rsidRPr="00384CAC" w14:paraId="3F652052" w14:textId="77777777" w:rsidTr="003C3509">
        <w:tc>
          <w:tcPr>
            <w:tcW w:w="993" w:type="dxa"/>
            <w:shd w:val="clear" w:color="auto" w:fill="auto"/>
          </w:tcPr>
          <w:p w14:paraId="4B93FD12" w14:textId="5E610A65" w:rsidR="00D61578" w:rsidRPr="00384CAC" w:rsidRDefault="00BA5325" w:rsidP="007C72BB">
            <w:pPr>
              <w:rPr>
                <w:rStyle w:val="InstructionsTabelleText"/>
                <w:rFonts w:ascii="Times New Roman" w:hAnsi="Times New Roman"/>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5</w:t>
            </w:r>
            <w:r w:rsidRPr="00384CAC">
              <w:rPr>
                <w:rStyle w:val="InstructionsTabelleText"/>
                <w:rFonts w:ascii="Times New Roman" w:hAnsi="Times New Roman"/>
                <w:szCs w:val="20"/>
              </w:rPr>
              <w:t>0</w:t>
            </w:r>
          </w:p>
        </w:tc>
        <w:tc>
          <w:tcPr>
            <w:tcW w:w="1871" w:type="dxa"/>
            <w:shd w:val="clear" w:color="auto" w:fill="auto"/>
          </w:tcPr>
          <w:p w14:paraId="0760760E" w14:textId="448EFC56" w:rsidR="00D61578" w:rsidRPr="00384CAC" w:rsidRDefault="00D61578" w:rsidP="007C72BB">
            <w:pPr>
              <w:rPr>
                <w:rStyle w:val="InstructionsTabelleText"/>
                <w:rFonts w:ascii="Times New Roman" w:hAnsi="Times New Roman"/>
                <w:szCs w:val="20"/>
              </w:rPr>
            </w:pPr>
            <w:r w:rsidRPr="00384CAC">
              <w:rPr>
                <w:rStyle w:val="InstructionsTabelleText"/>
                <w:rFonts w:ascii="Times New Roman" w:hAnsi="Times New Roman"/>
                <w:szCs w:val="20"/>
              </w:rPr>
              <w:t>Exposure value  IFRS 9</w:t>
            </w:r>
            <w:r w:rsidR="006601FE">
              <w:rPr>
                <w:rStyle w:val="InstructionsTabelleText"/>
                <w:rFonts w:ascii="Times New Roman" w:hAnsi="Times New Roman"/>
                <w:szCs w:val="20"/>
              </w:rPr>
              <w:t xml:space="preserve"> - Stage 1</w:t>
            </w:r>
          </w:p>
        </w:tc>
        <w:tc>
          <w:tcPr>
            <w:tcW w:w="1672" w:type="dxa"/>
            <w:shd w:val="clear" w:color="auto" w:fill="auto"/>
          </w:tcPr>
          <w:p w14:paraId="1A9DBAC0" w14:textId="77777777" w:rsidR="00D61578" w:rsidRPr="00384CAC" w:rsidRDefault="00D61578" w:rsidP="007C72BB">
            <w:pPr>
              <w:rPr>
                <w:rStyle w:val="InstructionsTabelleText"/>
                <w:rFonts w:ascii="Times New Roman" w:hAnsi="Times New Roman"/>
                <w:bCs/>
                <w:szCs w:val="20"/>
              </w:rPr>
            </w:pPr>
          </w:p>
        </w:tc>
        <w:tc>
          <w:tcPr>
            <w:tcW w:w="9781" w:type="dxa"/>
            <w:shd w:val="clear" w:color="auto" w:fill="auto"/>
          </w:tcPr>
          <w:p w14:paraId="65331AF9" w14:textId="047C12CE" w:rsidR="003D3AF1" w:rsidRDefault="00D61578" w:rsidP="007C72BB">
            <w:pPr>
              <w:rPr>
                <w:rStyle w:val="InstructionsTabelleText"/>
                <w:rFonts w:ascii="Times New Roman" w:hAnsi="Times New Roman"/>
                <w:szCs w:val="20"/>
              </w:rPr>
            </w:pPr>
            <w:r w:rsidRPr="00384CAC">
              <w:rPr>
                <w:rStyle w:val="InstructionsTabelleText"/>
                <w:rFonts w:ascii="Times New Roman" w:hAnsi="Times New Roman"/>
                <w:szCs w:val="20"/>
              </w:rPr>
              <w:t xml:space="preserve">The sum of exposure values over </w:t>
            </w:r>
            <w:r w:rsidR="009751A9">
              <w:rPr>
                <w:rStyle w:val="InstructionsTabelleText"/>
                <w:rFonts w:ascii="Times New Roman" w:hAnsi="Times New Roman"/>
                <w:szCs w:val="20"/>
              </w:rPr>
              <w:t>all</w:t>
            </w:r>
            <w:r w:rsidR="009751A9"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facilities</w:t>
            </w:r>
            <w:r w:rsidR="00D47222" w:rsidRPr="00384CAC">
              <w:rPr>
                <w:rStyle w:val="InstructionsTabelleText"/>
                <w:rFonts w:ascii="Times New Roman" w:hAnsi="Times New Roman"/>
                <w:szCs w:val="20"/>
              </w:rPr>
              <w:t xml:space="preserve"> </w:t>
            </w:r>
            <w:r w:rsidR="000B2A0A">
              <w:rPr>
                <w:rStyle w:val="InstructionsTabelleText"/>
                <w:rFonts w:ascii="Times New Roman" w:hAnsi="Times New Roman"/>
                <w:szCs w:val="20"/>
              </w:rPr>
              <w:t xml:space="preserve">included in the </w:t>
            </w:r>
            <w:r w:rsidR="00377200">
              <w:rPr>
                <w:rStyle w:val="InstructionsTabelleText"/>
                <w:rFonts w:ascii="Times New Roman" w:hAnsi="Times New Roman"/>
                <w:szCs w:val="20"/>
              </w:rPr>
              <w:t>respective</w:t>
            </w:r>
            <w:r w:rsidR="000B2A0A">
              <w:rPr>
                <w:rStyle w:val="InstructionsTabelleText"/>
                <w:rFonts w:ascii="Times New Roman" w:hAnsi="Times New Roman"/>
                <w:szCs w:val="20"/>
              </w:rPr>
              <w:t xml:space="preserve"> portfolio</w:t>
            </w:r>
            <w:r w:rsidR="00DB6635">
              <w:rPr>
                <w:rStyle w:val="InstructionsTabelleText"/>
                <w:rFonts w:ascii="Times New Roman" w:hAnsi="Times New Roman"/>
                <w:szCs w:val="20"/>
              </w:rPr>
              <w:t xml:space="preserve"> </w:t>
            </w:r>
            <w:r w:rsidR="00D47222">
              <w:rPr>
                <w:rStyle w:val="InstructionsTabelleText"/>
                <w:rFonts w:ascii="Times New Roman" w:hAnsi="Times New Roman"/>
                <w:szCs w:val="20"/>
              </w:rPr>
              <w:t xml:space="preserve">and </w:t>
            </w:r>
            <w:r w:rsidR="00DB6635">
              <w:rPr>
                <w:rStyle w:val="InstructionsTabelleText"/>
                <w:rFonts w:ascii="Times New Roman" w:hAnsi="Times New Roman"/>
                <w:szCs w:val="20"/>
              </w:rPr>
              <w:t>which were</w:t>
            </w:r>
            <w:r w:rsidR="003D3AF1">
              <w:rPr>
                <w:rStyle w:val="InstructionsTabelleText"/>
                <w:rFonts w:ascii="Times New Roman" w:hAnsi="Times New Roman"/>
                <w:szCs w:val="20"/>
              </w:rPr>
              <w:t xml:space="preserve">, under IFRS, </w:t>
            </w:r>
            <w:r w:rsidR="003D3AF1" w:rsidRPr="003D3AF1">
              <w:rPr>
                <w:rStyle w:val="InstructionsTabelleText"/>
                <w:rFonts w:ascii="Times New Roman" w:hAnsi="Times New Roman"/>
                <w:szCs w:val="20"/>
              </w:rPr>
              <w:t>without significant increase in credit risk since initial recognition (Stage 1)</w:t>
            </w:r>
            <w:r w:rsidR="00DB6635">
              <w:rPr>
                <w:rStyle w:val="InstructionsTabelleText"/>
                <w:rFonts w:ascii="Times New Roman" w:hAnsi="Times New Roman"/>
                <w:szCs w:val="20"/>
              </w:rPr>
              <w:t xml:space="preserve"> </w:t>
            </w:r>
            <w:r w:rsidRPr="00384CAC">
              <w:rPr>
                <w:rStyle w:val="InstructionsTabelleText"/>
                <w:rFonts w:ascii="Times New Roman" w:hAnsi="Times New Roman"/>
                <w:szCs w:val="20"/>
              </w:rPr>
              <w:t>at the reporting date</w:t>
            </w:r>
            <w:r w:rsidR="00D47222">
              <w:rPr>
                <w:rStyle w:val="InstructionsTabelleText"/>
                <w:rFonts w:ascii="Times New Roman" w:hAnsi="Times New Roman"/>
                <w:szCs w:val="20"/>
              </w:rPr>
              <w:t>.</w:t>
            </w:r>
          </w:p>
          <w:p w14:paraId="30120C0D" w14:textId="7FC589CA" w:rsidR="00396EF1" w:rsidRPr="007144FF" w:rsidRDefault="003D3AF1" w:rsidP="007C72BB">
            <w:pPr>
              <w:rPr>
                <w:rStyle w:val="InstructionsTabelleText"/>
                <w:rFonts w:ascii="Times New Roman" w:hAnsi="Times New Roman"/>
                <w:bCs/>
                <w:szCs w:val="20"/>
              </w:rPr>
            </w:pPr>
            <w:r>
              <w:rPr>
                <w:rFonts w:ascii="Times New Roman" w:hAnsi="Times New Roman"/>
                <w:bCs/>
                <w:szCs w:val="20"/>
              </w:rPr>
              <w:lastRenderedPageBreak/>
              <w:t>Exposure values</w:t>
            </w:r>
            <w:r w:rsidRPr="00866409">
              <w:rPr>
                <w:rFonts w:ascii="Times New Roman" w:hAnsi="Times New Roman"/>
                <w:bCs/>
                <w:szCs w:val="20"/>
              </w:rPr>
              <w:t xml:space="preserve"> </w:t>
            </w:r>
            <w:r w:rsidR="00866409" w:rsidRPr="00866409">
              <w:rPr>
                <w:rFonts w:ascii="Times New Roman" w:hAnsi="Times New Roman"/>
                <w:bCs/>
                <w:szCs w:val="20"/>
              </w:rPr>
              <w:t>shall include both on- and off-balance sheet exposures in the scope of the impairment requirements of IFRS 9</w:t>
            </w:r>
            <w:r w:rsidR="00CF16DE">
              <w:rPr>
                <w:rFonts w:ascii="Times New Roman" w:hAnsi="Times New Roman"/>
                <w:bCs/>
                <w:szCs w:val="20"/>
              </w:rPr>
              <w:t>.</w:t>
            </w:r>
            <w:r w:rsidR="00866409" w:rsidRPr="00866409">
              <w:rPr>
                <w:rFonts w:ascii="Times New Roman" w:hAnsi="Times New Roman"/>
                <w:bCs/>
                <w:szCs w:val="20"/>
              </w:rPr>
              <w:t xml:space="preserve"> </w:t>
            </w:r>
            <w:r w:rsidR="00CF16DE">
              <w:rPr>
                <w:rFonts w:ascii="Times New Roman" w:hAnsi="Times New Roman"/>
                <w:bCs/>
                <w:szCs w:val="20"/>
              </w:rPr>
              <w:t>I</w:t>
            </w:r>
            <w:r w:rsidR="00F915DA">
              <w:rPr>
                <w:rFonts w:ascii="Times New Roman" w:hAnsi="Times New Roman"/>
                <w:bCs/>
                <w:szCs w:val="20"/>
              </w:rPr>
              <w:t xml:space="preserve">n the case of </w:t>
            </w:r>
            <w:r w:rsidR="00866409" w:rsidRPr="00866409">
              <w:rPr>
                <w:rFonts w:ascii="Times New Roman" w:hAnsi="Times New Roman"/>
                <w:bCs/>
                <w:szCs w:val="20"/>
              </w:rPr>
              <w:t>off-balance sheet exposures</w:t>
            </w:r>
            <w:r w:rsidR="00CF16DE">
              <w:rPr>
                <w:rFonts w:ascii="Times New Roman" w:hAnsi="Times New Roman"/>
                <w:bCs/>
                <w:szCs w:val="20"/>
              </w:rPr>
              <w:t>,</w:t>
            </w:r>
            <w:r w:rsidR="00866409" w:rsidRPr="00866409">
              <w:rPr>
                <w:rFonts w:ascii="Times New Roman" w:hAnsi="Times New Roman"/>
                <w:bCs/>
                <w:szCs w:val="20"/>
              </w:rPr>
              <w:t xml:space="preserve"> </w:t>
            </w:r>
            <w:r w:rsidR="00F915DA">
              <w:rPr>
                <w:rFonts w:ascii="Times New Roman" w:hAnsi="Times New Roman"/>
                <w:bCs/>
                <w:szCs w:val="20"/>
              </w:rPr>
              <w:t>the</w:t>
            </w:r>
            <w:r w:rsidR="00CF16DE">
              <w:rPr>
                <w:rFonts w:ascii="Times New Roman" w:hAnsi="Times New Roman"/>
                <w:bCs/>
                <w:szCs w:val="20"/>
              </w:rPr>
              <w:t xml:space="preserve"> latter </w:t>
            </w:r>
            <w:r w:rsidR="00F915DA">
              <w:rPr>
                <w:rFonts w:ascii="Times New Roman" w:hAnsi="Times New Roman"/>
                <w:bCs/>
                <w:szCs w:val="20"/>
              </w:rPr>
              <w:t xml:space="preserve">shall be considered </w:t>
            </w:r>
            <w:r w:rsidR="00866409" w:rsidRPr="00866409">
              <w:rPr>
                <w:rFonts w:ascii="Times New Roman" w:hAnsi="Times New Roman"/>
                <w:bCs/>
                <w:szCs w:val="20"/>
              </w:rPr>
              <w:t xml:space="preserve">after the application of the conversion factors used for accounting purposes. </w:t>
            </w:r>
          </w:p>
        </w:tc>
      </w:tr>
      <w:tr w:rsidR="006601FE" w:rsidRPr="00384CAC" w14:paraId="5531DFE4" w14:textId="77777777" w:rsidTr="003C3509">
        <w:tc>
          <w:tcPr>
            <w:tcW w:w="993" w:type="dxa"/>
            <w:shd w:val="clear" w:color="auto" w:fill="auto"/>
          </w:tcPr>
          <w:p w14:paraId="60B3B53C" w14:textId="285679F5"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lastRenderedPageBreak/>
              <w:t>00</w:t>
            </w:r>
            <w:r>
              <w:rPr>
                <w:rStyle w:val="InstructionsTabelleText"/>
                <w:rFonts w:ascii="Times New Roman" w:hAnsi="Times New Roman"/>
                <w:szCs w:val="20"/>
              </w:rPr>
              <w:t>51</w:t>
            </w:r>
          </w:p>
        </w:tc>
        <w:tc>
          <w:tcPr>
            <w:tcW w:w="1871" w:type="dxa"/>
            <w:shd w:val="clear" w:color="auto" w:fill="auto"/>
          </w:tcPr>
          <w:p w14:paraId="693CB69B" w14:textId="71831CF0"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t>Exposure value IFRS 9</w:t>
            </w:r>
            <w:r>
              <w:rPr>
                <w:rStyle w:val="InstructionsTabelleText"/>
                <w:rFonts w:ascii="Times New Roman" w:hAnsi="Times New Roman"/>
                <w:szCs w:val="20"/>
              </w:rPr>
              <w:t xml:space="preserve"> - Stage 2</w:t>
            </w:r>
          </w:p>
        </w:tc>
        <w:tc>
          <w:tcPr>
            <w:tcW w:w="1672" w:type="dxa"/>
            <w:shd w:val="clear" w:color="auto" w:fill="auto"/>
          </w:tcPr>
          <w:p w14:paraId="59364328" w14:textId="77777777" w:rsidR="006601FE" w:rsidRPr="00384CAC" w:rsidRDefault="006601FE" w:rsidP="006601FE">
            <w:pPr>
              <w:rPr>
                <w:rStyle w:val="InstructionsTabelleText"/>
                <w:rFonts w:ascii="Times New Roman" w:hAnsi="Times New Roman"/>
                <w:bCs/>
                <w:szCs w:val="20"/>
              </w:rPr>
            </w:pPr>
          </w:p>
        </w:tc>
        <w:tc>
          <w:tcPr>
            <w:tcW w:w="9781" w:type="dxa"/>
            <w:shd w:val="clear" w:color="auto" w:fill="auto"/>
          </w:tcPr>
          <w:p w14:paraId="05714F2E" w14:textId="1A4F6388" w:rsidR="003D3AF1" w:rsidRDefault="00D47222" w:rsidP="006601FE">
            <w:pPr>
              <w:rPr>
                <w:rFonts w:ascii="Times New Roman" w:hAnsi="Times New Roman"/>
                <w:szCs w:val="20"/>
              </w:rPr>
            </w:pPr>
            <w:r w:rsidRPr="00D47222">
              <w:rPr>
                <w:rStyle w:val="InstructionsTabelleText"/>
                <w:rFonts w:ascii="Times New Roman" w:hAnsi="Times New Roman"/>
                <w:szCs w:val="20"/>
              </w:rPr>
              <w:t xml:space="preserve">The sum of exposure values over </w:t>
            </w:r>
            <w:r w:rsidR="009751A9">
              <w:rPr>
                <w:rStyle w:val="InstructionsTabelleText"/>
                <w:rFonts w:ascii="Times New Roman" w:hAnsi="Times New Roman"/>
                <w:szCs w:val="20"/>
              </w:rPr>
              <w:t>all</w:t>
            </w:r>
            <w:r w:rsidR="009751A9" w:rsidRPr="00D47222">
              <w:rPr>
                <w:rStyle w:val="InstructionsTabelleText"/>
                <w:rFonts w:ascii="Times New Roman" w:hAnsi="Times New Roman"/>
                <w:szCs w:val="20"/>
              </w:rPr>
              <w:t xml:space="preserve"> </w:t>
            </w:r>
            <w:r w:rsidRPr="00D47222">
              <w:rPr>
                <w:rStyle w:val="InstructionsTabelleText"/>
                <w:rFonts w:ascii="Times New Roman" w:hAnsi="Times New Roman"/>
                <w:szCs w:val="20"/>
              </w:rPr>
              <w:t>facilities</w:t>
            </w:r>
            <w:r w:rsidR="003D3AF1">
              <w:rPr>
                <w:rStyle w:val="InstructionsTabelleText"/>
                <w:rFonts w:ascii="Times New Roman" w:hAnsi="Times New Roman"/>
                <w:szCs w:val="20"/>
              </w:rPr>
              <w:t xml:space="preserve"> </w:t>
            </w:r>
            <w:r w:rsidRPr="00D47222">
              <w:rPr>
                <w:rStyle w:val="InstructionsTabelleText"/>
                <w:rFonts w:ascii="Times New Roman" w:hAnsi="Times New Roman"/>
                <w:szCs w:val="20"/>
              </w:rPr>
              <w:t>included in the respective portfolio and which were</w:t>
            </w:r>
            <w:r w:rsidR="003D3AF1">
              <w:rPr>
                <w:rStyle w:val="InstructionsTabelleText"/>
                <w:rFonts w:ascii="Times New Roman" w:hAnsi="Times New Roman"/>
                <w:szCs w:val="20"/>
              </w:rPr>
              <w:t>, under IFRS, with</w:t>
            </w:r>
            <w:r w:rsidR="003D3AF1" w:rsidRPr="003D3AF1">
              <w:rPr>
                <w:rStyle w:val="InstructionsTabelleText"/>
                <w:rFonts w:ascii="Times New Roman" w:hAnsi="Times New Roman"/>
                <w:szCs w:val="20"/>
              </w:rPr>
              <w:t xml:space="preserve"> significant increase in credit risk since initial recognition</w:t>
            </w:r>
            <w:r w:rsidR="003D3AF1">
              <w:rPr>
                <w:rStyle w:val="InstructionsTabelleText"/>
                <w:rFonts w:ascii="Times New Roman" w:hAnsi="Times New Roman"/>
                <w:szCs w:val="20"/>
              </w:rPr>
              <w:t xml:space="preserve"> but not credit impaired</w:t>
            </w:r>
            <w:r w:rsidR="003D3AF1" w:rsidRPr="003D3AF1">
              <w:rPr>
                <w:rStyle w:val="InstructionsTabelleText"/>
                <w:rFonts w:ascii="Times New Roman" w:hAnsi="Times New Roman"/>
                <w:szCs w:val="20"/>
              </w:rPr>
              <w:t xml:space="preserve"> (Stage </w:t>
            </w:r>
            <w:r w:rsidR="003D3AF1">
              <w:rPr>
                <w:rStyle w:val="InstructionsTabelleText"/>
                <w:rFonts w:ascii="Times New Roman" w:hAnsi="Times New Roman"/>
                <w:szCs w:val="20"/>
              </w:rPr>
              <w:t>2</w:t>
            </w:r>
            <w:r w:rsidR="003D3AF1" w:rsidRPr="003D3AF1">
              <w:rPr>
                <w:rStyle w:val="InstructionsTabelleText"/>
                <w:rFonts w:ascii="Times New Roman" w:hAnsi="Times New Roman"/>
                <w:szCs w:val="20"/>
              </w:rPr>
              <w:t>)</w:t>
            </w:r>
            <w:r w:rsidR="003D3AF1">
              <w:rPr>
                <w:rStyle w:val="InstructionsTabelleText"/>
                <w:rFonts w:ascii="Times New Roman" w:hAnsi="Times New Roman"/>
                <w:szCs w:val="20"/>
              </w:rPr>
              <w:t xml:space="preserve"> </w:t>
            </w:r>
            <w:r w:rsidRPr="00D47222">
              <w:rPr>
                <w:rStyle w:val="InstructionsTabelleText"/>
                <w:rFonts w:ascii="Times New Roman" w:hAnsi="Times New Roman"/>
                <w:szCs w:val="20"/>
              </w:rPr>
              <w:t xml:space="preserve"> at the reporting date.</w:t>
            </w:r>
            <w:r w:rsidRPr="00D47222">
              <w:rPr>
                <w:rFonts w:ascii="Times New Roman" w:hAnsi="Times New Roman"/>
                <w:szCs w:val="20"/>
              </w:rPr>
              <w:t xml:space="preserve"> </w:t>
            </w:r>
          </w:p>
          <w:p w14:paraId="11BB301F" w14:textId="024E7AFE" w:rsidR="00396EF1" w:rsidRPr="007144FF" w:rsidRDefault="003D3AF1" w:rsidP="006601FE">
            <w:pPr>
              <w:rPr>
                <w:rStyle w:val="InstructionsTabelleText"/>
                <w:rFonts w:ascii="Times New Roman" w:hAnsi="Times New Roman"/>
                <w:bCs/>
                <w:szCs w:val="20"/>
              </w:rPr>
            </w:pPr>
            <w:r>
              <w:rPr>
                <w:rFonts w:ascii="Times New Roman" w:hAnsi="Times New Roman"/>
                <w:bCs/>
                <w:szCs w:val="20"/>
              </w:rPr>
              <w:t>Exposure values</w:t>
            </w:r>
            <w:r w:rsidRPr="00866409">
              <w:rPr>
                <w:rFonts w:ascii="Times New Roman" w:hAnsi="Times New Roman"/>
                <w:bCs/>
                <w:szCs w:val="20"/>
              </w:rPr>
              <w:t xml:space="preserve"> </w:t>
            </w:r>
            <w:r w:rsidR="0069732D" w:rsidRPr="00D47222">
              <w:rPr>
                <w:rFonts w:ascii="Times New Roman" w:hAnsi="Times New Roman"/>
                <w:bCs/>
                <w:szCs w:val="20"/>
              </w:rPr>
              <w:t>shall include both on- and off-balance sheet exposures in the scope of the impairment requirements of IFRS 9</w:t>
            </w:r>
            <w:r w:rsidR="00CF16DE">
              <w:rPr>
                <w:rFonts w:ascii="Times New Roman" w:hAnsi="Times New Roman"/>
                <w:bCs/>
                <w:szCs w:val="20"/>
              </w:rPr>
              <w:t>.</w:t>
            </w:r>
            <w:r w:rsidR="00396EF1">
              <w:rPr>
                <w:rFonts w:ascii="Times New Roman" w:hAnsi="Times New Roman"/>
                <w:bCs/>
                <w:szCs w:val="20"/>
              </w:rPr>
              <w:t xml:space="preserve"> </w:t>
            </w:r>
            <w:r w:rsidR="00CF16DE">
              <w:rPr>
                <w:rFonts w:ascii="Times New Roman" w:hAnsi="Times New Roman"/>
                <w:bCs/>
                <w:szCs w:val="20"/>
              </w:rPr>
              <w:t>I</w:t>
            </w:r>
            <w:r w:rsidR="00F915DA">
              <w:rPr>
                <w:rFonts w:ascii="Times New Roman" w:hAnsi="Times New Roman"/>
                <w:bCs/>
                <w:szCs w:val="20"/>
              </w:rPr>
              <w:t xml:space="preserve">n the case of </w:t>
            </w:r>
            <w:r w:rsidR="0069732D" w:rsidRPr="00D47222">
              <w:rPr>
                <w:rFonts w:ascii="Times New Roman" w:hAnsi="Times New Roman"/>
                <w:bCs/>
                <w:szCs w:val="20"/>
              </w:rPr>
              <w:t>off-balance sheet exposures</w:t>
            </w:r>
            <w:r w:rsidR="00CF16DE">
              <w:rPr>
                <w:rFonts w:ascii="Times New Roman" w:hAnsi="Times New Roman"/>
                <w:bCs/>
                <w:szCs w:val="20"/>
              </w:rPr>
              <w:t>,</w:t>
            </w:r>
            <w:r w:rsidR="0069732D" w:rsidRPr="00D47222">
              <w:rPr>
                <w:rFonts w:ascii="Times New Roman" w:hAnsi="Times New Roman"/>
                <w:bCs/>
                <w:szCs w:val="20"/>
              </w:rPr>
              <w:t xml:space="preserve"> </w:t>
            </w:r>
            <w:r w:rsidR="00F915DA">
              <w:rPr>
                <w:rFonts w:ascii="Times New Roman" w:hAnsi="Times New Roman"/>
                <w:bCs/>
                <w:szCs w:val="20"/>
              </w:rPr>
              <w:t>the</w:t>
            </w:r>
            <w:r w:rsidR="00CF16DE">
              <w:rPr>
                <w:rFonts w:ascii="Times New Roman" w:hAnsi="Times New Roman"/>
                <w:bCs/>
                <w:szCs w:val="20"/>
              </w:rPr>
              <w:t xml:space="preserve"> latter</w:t>
            </w:r>
            <w:r w:rsidR="00F915DA">
              <w:rPr>
                <w:rFonts w:ascii="Times New Roman" w:hAnsi="Times New Roman"/>
                <w:bCs/>
                <w:szCs w:val="20"/>
              </w:rPr>
              <w:t xml:space="preserve"> shall be considered </w:t>
            </w:r>
            <w:r w:rsidR="0069732D" w:rsidRPr="00D47222">
              <w:rPr>
                <w:rFonts w:ascii="Times New Roman" w:hAnsi="Times New Roman"/>
                <w:bCs/>
                <w:szCs w:val="20"/>
              </w:rPr>
              <w:t>after the application of the conversion factors used for accounting purposes.</w:t>
            </w:r>
          </w:p>
        </w:tc>
      </w:tr>
      <w:tr w:rsidR="006601FE" w:rsidRPr="00384CAC" w14:paraId="57F6C01E" w14:textId="77777777" w:rsidTr="003C3509">
        <w:tc>
          <w:tcPr>
            <w:tcW w:w="993" w:type="dxa"/>
            <w:shd w:val="clear" w:color="auto" w:fill="auto"/>
          </w:tcPr>
          <w:p w14:paraId="794F2DD8" w14:textId="1D05B7FA"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52</w:t>
            </w:r>
          </w:p>
        </w:tc>
        <w:tc>
          <w:tcPr>
            <w:tcW w:w="1871" w:type="dxa"/>
            <w:shd w:val="clear" w:color="auto" w:fill="auto"/>
          </w:tcPr>
          <w:p w14:paraId="6D9EC2D5" w14:textId="4A74DDD8"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t>Exposure value IFRS 9</w:t>
            </w:r>
            <w:r>
              <w:rPr>
                <w:rStyle w:val="InstructionsTabelleText"/>
                <w:rFonts w:ascii="Times New Roman" w:hAnsi="Times New Roman"/>
                <w:szCs w:val="20"/>
              </w:rPr>
              <w:t xml:space="preserve"> - Stage 3</w:t>
            </w:r>
          </w:p>
        </w:tc>
        <w:tc>
          <w:tcPr>
            <w:tcW w:w="1672" w:type="dxa"/>
            <w:shd w:val="clear" w:color="auto" w:fill="auto"/>
          </w:tcPr>
          <w:p w14:paraId="7EA55FE2" w14:textId="77777777" w:rsidR="006601FE" w:rsidRPr="00384CAC" w:rsidRDefault="006601FE" w:rsidP="006601FE">
            <w:pPr>
              <w:rPr>
                <w:rStyle w:val="InstructionsTabelleText"/>
                <w:rFonts w:ascii="Times New Roman" w:hAnsi="Times New Roman"/>
                <w:bCs/>
                <w:szCs w:val="20"/>
              </w:rPr>
            </w:pPr>
          </w:p>
        </w:tc>
        <w:tc>
          <w:tcPr>
            <w:tcW w:w="9781" w:type="dxa"/>
            <w:shd w:val="clear" w:color="auto" w:fill="auto"/>
          </w:tcPr>
          <w:p w14:paraId="37C74537" w14:textId="09C937B2" w:rsidR="003D3AF1" w:rsidRDefault="00D47222" w:rsidP="006601FE">
            <w:pPr>
              <w:rPr>
                <w:rFonts w:ascii="Times New Roman" w:hAnsi="Times New Roman"/>
                <w:szCs w:val="20"/>
              </w:rPr>
            </w:pPr>
            <w:r w:rsidRPr="00D47222">
              <w:rPr>
                <w:rStyle w:val="InstructionsTabelleText"/>
                <w:rFonts w:ascii="Times New Roman" w:hAnsi="Times New Roman"/>
                <w:szCs w:val="20"/>
              </w:rPr>
              <w:t xml:space="preserve">The sum of exposure values over </w:t>
            </w:r>
            <w:r w:rsidR="009751A9">
              <w:rPr>
                <w:rStyle w:val="InstructionsTabelleText"/>
                <w:rFonts w:ascii="Times New Roman" w:hAnsi="Times New Roman"/>
                <w:szCs w:val="20"/>
              </w:rPr>
              <w:t>all</w:t>
            </w:r>
            <w:r w:rsidR="009751A9" w:rsidRPr="00D47222">
              <w:rPr>
                <w:rStyle w:val="InstructionsTabelleText"/>
                <w:rFonts w:ascii="Times New Roman" w:hAnsi="Times New Roman"/>
                <w:szCs w:val="20"/>
              </w:rPr>
              <w:t xml:space="preserve"> </w:t>
            </w:r>
            <w:r w:rsidRPr="00D47222">
              <w:rPr>
                <w:rStyle w:val="InstructionsTabelleText"/>
                <w:rFonts w:ascii="Times New Roman" w:hAnsi="Times New Roman"/>
                <w:szCs w:val="20"/>
              </w:rPr>
              <w:t>facilities</w:t>
            </w:r>
            <w:r w:rsidR="003D3AF1">
              <w:rPr>
                <w:rStyle w:val="InstructionsTabelleText"/>
                <w:rFonts w:ascii="Times New Roman" w:hAnsi="Times New Roman"/>
                <w:szCs w:val="20"/>
              </w:rPr>
              <w:t xml:space="preserve"> </w:t>
            </w:r>
            <w:r w:rsidRPr="00D47222">
              <w:rPr>
                <w:rStyle w:val="InstructionsTabelleText"/>
                <w:rFonts w:ascii="Times New Roman" w:hAnsi="Times New Roman"/>
                <w:szCs w:val="20"/>
              </w:rPr>
              <w:t xml:space="preserve">included in the respective portfolio and which were </w:t>
            </w:r>
            <w:r w:rsidR="003D3AF1" w:rsidRPr="003D3AF1">
              <w:rPr>
                <w:rStyle w:val="InstructionsTabelleText"/>
                <w:rFonts w:ascii="Times New Roman" w:hAnsi="Times New Roman"/>
                <w:szCs w:val="20"/>
              </w:rPr>
              <w:t xml:space="preserve">credit-impaired </w:t>
            </w:r>
            <w:r w:rsidR="003D3AF1">
              <w:rPr>
                <w:rStyle w:val="InstructionsTabelleText"/>
                <w:rFonts w:ascii="Times New Roman" w:hAnsi="Times New Roman"/>
                <w:szCs w:val="20"/>
              </w:rPr>
              <w:t>(Stage 3)</w:t>
            </w:r>
            <w:r w:rsidRPr="00D47222">
              <w:rPr>
                <w:rStyle w:val="InstructionsTabelleText"/>
                <w:rFonts w:ascii="Times New Roman" w:hAnsi="Times New Roman"/>
                <w:szCs w:val="20"/>
              </w:rPr>
              <w:t xml:space="preserve"> at the reporting date.</w:t>
            </w:r>
            <w:r w:rsidR="00DB6635" w:rsidRPr="00D47222">
              <w:rPr>
                <w:rFonts w:ascii="Times New Roman" w:hAnsi="Times New Roman"/>
                <w:szCs w:val="20"/>
              </w:rPr>
              <w:t xml:space="preserve"> </w:t>
            </w:r>
          </w:p>
          <w:p w14:paraId="295C60B5" w14:textId="142C1D4A" w:rsidR="00396EF1" w:rsidRPr="00071D1F" w:rsidRDefault="003D3AF1" w:rsidP="006601FE">
            <w:pPr>
              <w:rPr>
                <w:rStyle w:val="InstructionsTabelleText"/>
                <w:rFonts w:ascii="Times New Roman" w:hAnsi="Times New Roman"/>
                <w:bCs/>
                <w:szCs w:val="20"/>
              </w:rPr>
            </w:pPr>
            <w:r>
              <w:rPr>
                <w:rFonts w:ascii="Times New Roman" w:hAnsi="Times New Roman"/>
                <w:bCs/>
                <w:szCs w:val="20"/>
              </w:rPr>
              <w:t>Exposure values</w:t>
            </w:r>
            <w:r w:rsidRPr="00866409">
              <w:rPr>
                <w:rFonts w:ascii="Times New Roman" w:hAnsi="Times New Roman"/>
                <w:bCs/>
                <w:szCs w:val="20"/>
              </w:rPr>
              <w:t xml:space="preserve"> </w:t>
            </w:r>
            <w:r w:rsidR="0069732D" w:rsidRPr="00D47222">
              <w:rPr>
                <w:rFonts w:ascii="Times New Roman" w:hAnsi="Times New Roman"/>
                <w:bCs/>
                <w:szCs w:val="20"/>
              </w:rPr>
              <w:t>shall include both on- and off-balance sheet exposures in the scope of the impairment requirements of IFRS 9</w:t>
            </w:r>
            <w:r w:rsidR="00CF16DE">
              <w:rPr>
                <w:rFonts w:ascii="Times New Roman" w:hAnsi="Times New Roman"/>
                <w:bCs/>
                <w:szCs w:val="20"/>
              </w:rPr>
              <w:t>.</w:t>
            </w:r>
            <w:r w:rsidR="0069732D" w:rsidRPr="00D47222">
              <w:rPr>
                <w:rFonts w:ascii="Times New Roman" w:hAnsi="Times New Roman"/>
                <w:bCs/>
                <w:szCs w:val="20"/>
              </w:rPr>
              <w:t xml:space="preserve"> </w:t>
            </w:r>
            <w:r w:rsidR="00CF16DE">
              <w:rPr>
                <w:rFonts w:ascii="Times New Roman" w:hAnsi="Times New Roman"/>
                <w:bCs/>
                <w:szCs w:val="20"/>
              </w:rPr>
              <w:t>I</w:t>
            </w:r>
            <w:r w:rsidR="00F915DA">
              <w:rPr>
                <w:rFonts w:ascii="Times New Roman" w:hAnsi="Times New Roman"/>
                <w:bCs/>
                <w:szCs w:val="20"/>
              </w:rPr>
              <w:t xml:space="preserve">n the case of </w:t>
            </w:r>
            <w:r w:rsidR="0069732D" w:rsidRPr="00D47222">
              <w:rPr>
                <w:rFonts w:ascii="Times New Roman" w:hAnsi="Times New Roman"/>
                <w:bCs/>
                <w:szCs w:val="20"/>
              </w:rPr>
              <w:t>off-balance sheet exposures</w:t>
            </w:r>
            <w:r w:rsidR="00396EF1">
              <w:rPr>
                <w:rFonts w:ascii="Times New Roman" w:hAnsi="Times New Roman"/>
                <w:bCs/>
                <w:szCs w:val="20"/>
              </w:rPr>
              <w:t>,</w:t>
            </w:r>
            <w:r w:rsidR="0069732D" w:rsidRPr="00D47222">
              <w:rPr>
                <w:rFonts w:ascii="Times New Roman" w:hAnsi="Times New Roman"/>
                <w:bCs/>
                <w:szCs w:val="20"/>
              </w:rPr>
              <w:t xml:space="preserve"> </w:t>
            </w:r>
            <w:r w:rsidR="00F915DA">
              <w:rPr>
                <w:rFonts w:ascii="Times New Roman" w:hAnsi="Times New Roman"/>
                <w:bCs/>
                <w:szCs w:val="20"/>
              </w:rPr>
              <w:t>the</w:t>
            </w:r>
            <w:r w:rsidR="00CF16DE">
              <w:rPr>
                <w:rFonts w:ascii="Times New Roman" w:hAnsi="Times New Roman"/>
                <w:bCs/>
                <w:szCs w:val="20"/>
              </w:rPr>
              <w:t xml:space="preserve"> latter </w:t>
            </w:r>
            <w:r w:rsidR="00F915DA">
              <w:rPr>
                <w:rFonts w:ascii="Times New Roman" w:hAnsi="Times New Roman"/>
                <w:bCs/>
                <w:szCs w:val="20"/>
              </w:rPr>
              <w:t xml:space="preserve">shall be considered </w:t>
            </w:r>
            <w:r w:rsidR="0069732D" w:rsidRPr="00D47222">
              <w:rPr>
                <w:rFonts w:ascii="Times New Roman" w:hAnsi="Times New Roman"/>
                <w:bCs/>
                <w:szCs w:val="20"/>
              </w:rPr>
              <w:t>after the application of the conversion factors used for accounting purposes</w:t>
            </w:r>
          </w:p>
        </w:tc>
      </w:tr>
      <w:tr w:rsidR="006601FE" w:rsidRPr="00384CAC" w14:paraId="5EC27313" w14:textId="77777777" w:rsidTr="003C3509">
        <w:tc>
          <w:tcPr>
            <w:tcW w:w="993" w:type="dxa"/>
            <w:shd w:val="clear" w:color="auto" w:fill="auto"/>
          </w:tcPr>
          <w:p w14:paraId="0F30C03F" w14:textId="158F4C4C"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5</w:t>
            </w:r>
            <w:r w:rsidRPr="00384CAC">
              <w:rPr>
                <w:rStyle w:val="InstructionsTabelleText"/>
                <w:rFonts w:ascii="Times New Roman" w:hAnsi="Times New Roman"/>
                <w:szCs w:val="20"/>
              </w:rPr>
              <w:t>5</w:t>
            </w:r>
          </w:p>
        </w:tc>
        <w:tc>
          <w:tcPr>
            <w:tcW w:w="1871" w:type="dxa"/>
            <w:shd w:val="clear" w:color="auto" w:fill="auto"/>
          </w:tcPr>
          <w:p w14:paraId="5C4BE4FF" w14:textId="479E80AF"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t xml:space="preserve">Gross carrying amount </w:t>
            </w:r>
          </w:p>
        </w:tc>
        <w:tc>
          <w:tcPr>
            <w:tcW w:w="1672" w:type="dxa"/>
            <w:shd w:val="clear" w:color="auto" w:fill="auto"/>
          </w:tcPr>
          <w:p w14:paraId="669D045B" w14:textId="081585B9" w:rsidR="003E786B" w:rsidRPr="00A74FC7"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t>Appendix A, defined terms of Commission Delegated Regulation (EU) 2016/2067</w:t>
            </w:r>
          </w:p>
        </w:tc>
        <w:tc>
          <w:tcPr>
            <w:tcW w:w="9781" w:type="dxa"/>
            <w:shd w:val="clear" w:color="auto" w:fill="auto"/>
          </w:tcPr>
          <w:p w14:paraId="30BD0701" w14:textId="666D04BD" w:rsidR="006601FE" w:rsidRPr="00384CAC" w:rsidRDefault="006601FE" w:rsidP="006601FE">
            <w:pPr>
              <w:rPr>
                <w:rStyle w:val="InstructionsTabelleText"/>
                <w:rFonts w:ascii="Times New Roman" w:hAnsi="Times New Roman"/>
                <w:szCs w:val="20"/>
              </w:rPr>
            </w:pPr>
            <w:r w:rsidRPr="00384CAC">
              <w:rPr>
                <w:rFonts w:ascii="Times New Roman" w:hAnsi="Times New Roman"/>
                <w:szCs w:val="20"/>
                <w:lang w:eastAsia="de-DE"/>
              </w:rPr>
              <w:t>The sum of the amortised cost at the reporting date, before adjusting for any loss allowance, over all on-balance exposures towards the counterparty, which are in the scope of application of impairment requirements under IFRS 9.</w:t>
            </w:r>
          </w:p>
        </w:tc>
      </w:tr>
      <w:tr w:rsidR="006601FE" w:rsidRPr="00384CAC" w14:paraId="06605003" w14:textId="77777777" w:rsidTr="003C3509">
        <w:tc>
          <w:tcPr>
            <w:tcW w:w="993" w:type="dxa"/>
            <w:shd w:val="clear" w:color="auto" w:fill="auto"/>
          </w:tcPr>
          <w:p w14:paraId="47208B42" w14:textId="747F7947" w:rsidR="006601FE" w:rsidRPr="00384CAC" w:rsidRDefault="006601FE" w:rsidP="006601FE">
            <w:pPr>
              <w:rPr>
                <w:rStyle w:val="InstructionsTabelleText"/>
                <w:rFonts w:ascii="Times New Roman" w:hAnsi="Times New Roman"/>
                <w:bCs/>
                <w:szCs w:val="20"/>
              </w:rPr>
            </w:pPr>
            <w:r w:rsidRPr="00384CAC">
              <w:rPr>
                <w:rStyle w:val="InstructionsTabelleText"/>
                <w:rFonts w:ascii="Times New Roman" w:hAnsi="Times New Roman"/>
                <w:szCs w:val="20"/>
              </w:rPr>
              <w:t>0100</w:t>
            </w:r>
          </w:p>
        </w:tc>
        <w:tc>
          <w:tcPr>
            <w:tcW w:w="1871" w:type="dxa"/>
            <w:shd w:val="clear" w:color="auto" w:fill="auto"/>
          </w:tcPr>
          <w:p w14:paraId="468B3D44" w14:textId="2CD1C5DD" w:rsidR="006601FE" w:rsidRPr="00384CAC" w:rsidRDefault="006601FE" w:rsidP="006601FE">
            <w:pPr>
              <w:rPr>
                <w:rStyle w:val="InstructionsTabelleText"/>
                <w:rFonts w:ascii="Times New Roman" w:hAnsi="Times New Roman"/>
                <w:bCs/>
                <w:szCs w:val="20"/>
              </w:rPr>
            </w:pPr>
            <w:r w:rsidRPr="00384CAC">
              <w:rPr>
                <w:rStyle w:val="InstructionsTabelleText"/>
                <w:rFonts w:ascii="Times New Roman" w:hAnsi="Times New Roman"/>
                <w:szCs w:val="20"/>
              </w:rPr>
              <w:t>PD - 12 months IFRS 9</w:t>
            </w:r>
          </w:p>
        </w:tc>
        <w:tc>
          <w:tcPr>
            <w:tcW w:w="1672" w:type="dxa"/>
            <w:shd w:val="clear" w:color="auto" w:fill="auto"/>
          </w:tcPr>
          <w:p w14:paraId="66BA2ED2" w14:textId="77777777" w:rsidR="006601FE" w:rsidRPr="00384CAC" w:rsidRDefault="006601FE" w:rsidP="006601FE">
            <w:pPr>
              <w:rPr>
                <w:rStyle w:val="InstructionsTabelleText"/>
                <w:rFonts w:ascii="Times New Roman" w:hAnsi="Times New Roman"/>
                <w:bCs/>
                <w:szCs w:val="20"/>
              </w:rPr>
            </w:pPr>
          </w:p>
        </w:tc>
        <w:tc>
          <w:tcPr>
            <w:tcW w:w="9781" w:type="dxa"/>
            <w:shd w:val="clear" w:color="auto" w:fill="auto"/>
          </w:tcPr>
          <w:p w14:paraId="47FC17FD" w14:textId="7B6C6809" w:rsidR="006601FE" w:rsidRDefault="006601FE" w:rsidP="006601FE">
            <w:pPr>
              <w:rPr>
                <w:rFonts w:ascii="Times New Roman" w:hAnsi="Times New Roman"/>
                <w:szCs w:val="20"/>
              </w:rPr>
            </w:pPr>
            <w:r w:rsidRPr="00384CAC">
              <w:rPr>
                <w:rStyle w:val="InstructionsTabelleText"/>
                <w:rFonts w:ascii="Times New Roman" w:hAnsi="Times New Roman"/>
                <w:szCs w:val="20"/>
              </w:rPr>
              <w:t xml:space="preserve">The </w:t>
            </w:r>
            <w:r>
              <w:rPr>
                <w:rStyle w:val="InstructionsTabelleText"/>
                <w:rFonts w:ascii="Times New Roman" w:hAnsi="Times New Roman"/>
                <w:szCs w:val="20"/>
              </w:rPr>
              <w:t xml:space="preserve">weighted average </w:t>
            </w:r>
            <w:r w:rsidRPr="00384CAC">
              <w:rPr>
                <w:rStyle w:val="InstructionsTabelleText"/>
                <w:rFonts w:ascii="Times New Roman" w:hAnsi="Times New Roman"/>
                <w:szCs w:val="20"/>
              </w:rPr>
              <w:t xml:space="preserve">PD </w:t>
            </w:r>
            <w:r w:rsidR="00BD29E1">
              <w:rPr>
                <w:rStyle w:val="InstructionsTabelleText"/>
                <w:rFonts w:ascii="Times New Roman" w:hAnsi="Times New Roman"/>
                <w:szCs w:val="20"/>
              </w:rPr>
              <w:t xml:space="preserve">over </w:t>
            </w:r>
            <w:r w:rsidR="009751A9">
              <w:rPr>
                <w:rStyle w:val="InstructionsTabelleText"/>
                <w:rFonts w:ascii="Times New Roman" w:hAnsi="Times New Roman"/>
                <w:szCs w:val="20"/>
              </w:rPr>
              <w:t>all</w:t>
            </w:r>
            <w:r w:rsidR="00BD29E1">
              <w:rPr>
                <w:rStyle w:val="InstructionsTabelleText"/>
                <w:rFonts w:ascii="Times New Roman" w:hAnsi="Times New Roman"/>
                <w:szCs w:val="20"/>
              </w:rPr>
              <w:t xml:space="preserve"> facilities included in </w:t>
            </w:r>
            <w:r>
              <w:rPr>
                <w:rStyle w:val="InstructionsTabelleText"/>
                <w:rFonts w:ascii="Times New Roman" w:hAnsi="Times New Roman"/>
                <w:szCs w:val="20"/>
              </w:rPr>
              <w:t>the respective portfolio</w:t>
            </w:r>
            <w:r w:rsidRPr="00384CAC">
              <w:rPr>
                <w:rFonts w:ascii="Times New Roman" w:hAnsi="Times New Roman"/>
                <w:szCs w:val="20"/>
              </w:rPr>
              <w:t xml:space="preserve"> at the reporting date</w:t>
            </w:r>
            <w:r>
              <w:rPr>
                <w:rFonts w:ascii="Times New Roman" w:hAnsi="Times New Roman"/>
                <w:szCs w:val="20"/>
              </w:rPr>
              <w:t xml:space="preserve"> shall be reported. </w:t>
            </w:r>
            <w:proofErr w:type="gramStart"/>
            <w:r>
              <w:rPr>
                <w:rFonts w:ascii="Times New Roman" w:hAnsi="Times New Roman"/>
                <w:szCs w:val="20"/>
              </w:rPr>
              <w:t>For the purpose of</w:t>
            </w:r>
            <w:proofErr w:type="gramEnd"/>
            <w:r>
              <w:rPr>
                <w:rFonts w:ascii="Times New Roman" w:hAnsi="Times New Roman"/>
                <w:szCs w:val="20"/>
              </w:rPr>
              <w:t xml:space="preserve"> this computation:</w:t>
            </w:r>
          </w:p>
          <w:p w14:paraId="257901D9" w14:textId="0186B24B" w:rsidR="006601FE" w:rsidRDefault="006601FE" w:rsidP="00EC7E5C">
            <w:pPr>
              <w:numPr>
                <w:ilvl w:val="0"/>
                <w:numId w:val="24"/>
              </w:numPr>
              <w:rPr>
                <w:rFonts w:ascii="Times New Roman" w:hAnsi="Times New Roman"/>
                <w:szCs w:val="20"/>
              </w:rPr>
            </w:pPr>
            <w:r>
              <w:rPr>
                <w:rFonts w:ascii="Times New Roman" w:hAnsi="Times New Roman"/>
                <w:szCs w:val="20"/>
              </w:rPr>
              <w:t>The PD shall</w:t>
            </w:r>
            <w:r w:rsidRPr="00384CAC">
              <w:rPr>
                <w:rFonts w:ascii="Times New Roman" w:hAnsi="Times New Roman"/>
                <w:szCs w:val="20"/>
              </w:rPr>
              <w:t xml:space="preserve"> represent the probability of a default event within 12 months following the reporting date, as considered in the application of the impairment requirements under IFRS 9. This shall be the PD used to compute the </w:t>
            </w:r>
            <w:r w:rsidR="00D47222" w:rsidRPr="00384CAC">
              <w:rPr>
                <w:rFonts w:ascii="Times New Roman" w:hAnsi="Times New Roman"/>
                <w:szCs w:val="20"/>
              </w:rPr>
              <w:t>12-month</w:t>
            </w:r>
            <w:r w:rsidRPr="00384CAC">
              <w:rPr>
                <w:rFonts w:ascii="Times New Roman" w:hAnsi="Times New Roman"/>
                <w:szCs w:val="20"/>
              </w:rPr>
              <w:t xml:space="preserve"> expected credit loss (ECL</w:t>
            </w:r>
            <w:r w:rsidRPr="00384CAC">
              <w:rPr>
                <w:rStyle w:val="InstructionsTabelleText"/>
                <w:rFonts w:ascii="Times New Roman" w:hAnsi="Times New Roman"/>
                <w:szCs w:val="20"/>
              </w:rPr>
              <w:t xml:space="preserve"> amount</w:t>
            </w:r>
            <w:r w:rsidRPr="00384CAC">
              <w:rPr>
                <w:rStyle w:val="InstructionsTabelleText"/>
                <w:rFonts w:ascii="Times New Roman" w:hAnsi="Times New Roman"/>
                <w:bCs/>
                <w:szCs w:val="20"/>
              </w:rPr>
              <w:t xml:space="preserve"> – 12 months IFRS 9</w:t>
            </w:r>
            <w:proofErr w:type="gramStart"/>
            <w:r w:rsidRPr="00384CAC">
              <w:rPr>
                <w:rFonts w:ascii="Times New Roman" w:hAnsi="Times New Roman"/>
                <w:szCs w:val="20"/>
              </w:rPr>
              <w:t>), and</w:t>
            </w:r>
            <w:proofErr w:type="gramEnd"/>
            <w:r w:rsidRPr="00384CAC">
              <w:rPr>
                <w:rFonts w:ascii="Times New Roman" w:hAnsi="Times New Roman"/>
                <w:szCs w:val="20"/>
              </w:rPr>
              <w:t xml:space="preserve"> associated with the economic scenario 0 in template C11</w:t>
            </w:r>
            <w:r>
              <w:rPr>
                <w:rFonts w:ascii="Times New Roman" w:hAnsi="Times New Roman"/>
                <w:szCs w:val="20"/>
              </w:rPr>
              <w:t>6</w:t>
            </w:r>
            <w:r w:rsidRPr="00384CAC">
              <w:rPr>
                <w:rFonts w:ascii="Times New Roman" w:hAnsi="Times New Roman"/>
                <w:szCs w:val="20"/>
              </w:rPr>
              <w:t>.00.</w:t>
            </w:r>
          </w:p>
          <w:p w14:paraId="3F096627" w14:textId="18FB1615" w:rsidR="006601FE" w:rsidRDefault="006601FE" w:rsidP="00EC7E5C">
            <w:pPr>
              <w:numPr>
                <w:ilvl w:val="0"/>
                <w:numId w:val="24"/>
              </w:numPr>
              <w:rPr>
                <w:rStyle w:val="InstructionsTabelleText"/>
                <w:rFonts w:ascii="Times New Roman" w:hAnsi="Times New Roman"/>
                <w:szCs w:val="20"/>
              </w:rPr>
            </w:pPr>
            <w:bookmarkStart w:id="8" w:name="_Hlk97892036"/>
            <w:r w:rsidRPr="00384CAC">
              <w:rPr>
                <w:rStyle w:val="InstructionsTabelleText"/>
                <w:rFonts w:ascii="Times New Roman" w:hAnsi="Times New Roman"/>
                <w:szCs w:val="20"/>
              </w:rPr>
              <w:t>The weight used</w:t>
            </w:r>
            <w:r w:rsidR="009751A9">
              <w:rPr>
                <w:rStyle w:val="InstructionsTabelleText"/>
                <w:rFonts w:ascii="Times New Roman" w:hAnsi="Times New Roman"/>
                <w:szCs w:val="20"/>
              </w:rPr>
              <w:t xml:space="preserve"> for each facility</w:t>
            </w:r>
            <w:r w:rsidRPr="00384CAC">
              <w:rPr>
                <w:rStyle w:val="InstructionsTabelleText"/>
                <w:rFonts w:ascii="Times New Roman" w:hAnsi="Times New Roman"/>
                <w:szCs w:val="20"/>
              </w:rPr>
              <w:t xml:space="preserve"> shall be the exposure value</w:t>
            </w:r>
            <w:r w:rsidR="0069732D">
              <w:rPr>
                <w:rStyle w:val="InstructionsTabelleText"/>
                <w:rFonts w:ascii="Times New Roman" w:hAnsi="Times New Roman"/>
                <w:szCs w:val="20"/>
              </w:rPr>
              <w:t xml:space="preserve">, intended as the sum of the amounts </w:t>
            </w:r>
            <w:r w:rsidRPr="00384CAC">
              <w:rPr>
                <w:rStyle w:val="InstructionsTabelleText"/>
                <w:rFonts w:ascii="Times New Roman" w:hAnsi="Times New Roman"/>
                <w:szCs w:val="20"/>
              </w:rPr>
              <w:t xml:space="preserve">defined </w:t>
            </w:r>
            <w:r w:rsidR="0069732D">
              <w:rPr>
                <w:rStyle w:val="InstructionsTabelleText"/>
                <w:rFonts w:ascii="Times New Roman" w:hAnsi="Times New Roman"/>
                <w:szCs w:val="20"/>
              </w:rPr>
              <w:t xml:space="preserve">respectively </w:t>
            </w:r>
            <w:r w:rsidRPr="00384CAC">
              <w:rPr>
                <w:rStyle w:val="InstructionsTabelleText"/>
                <w:rFonts w:ascii="Times New Roman" w:hAnsi="Times New Roman"/>
                <w:szCs w:val="20"/>
              </w:rPr>
              <w:t>in column 00</w:t>
            </w:r>
            <w:r>
              <w:rPr>
                <w:rStyle w:val="InstructionsTabelleText"/>
                <w:rFonts w:ascii="Times New Roman" w:hAnsi="Times New Roman"/>
                <w:szCs w:val="20"/>
              </w:rPr>
              <w:t>5</w:t>
            </w:r>
            <w:r w:rsidRPr="00384CAC">
              <w:rPr>
                <w:rStyle w:val="InstructionsTabelleText"/>
                <w:rFonts w:ascii="Times New Roman" w:hAnsi="Times New Roman"/>
                <w:szCs w:val="20"/>
              </w:rPr>
              <w:t>0</w:t>
            </w:r>
            <w:r w:rsidR="0069732D">
              <w:rPr>
                <w:rStyle w:val="InstructionsTabelleText"/>
                <w:rFonts w:ascii="Times New Roman" w:hAnsi="Times New Roman"/>
                <w:szCs w:val="20"/>
              </w:rPr>
              <w:t xml:space="preserve"> (in case of </w:t>
            </w:r>
            <w:r w:rsidR="009E12C8">
              <w:rPr>
                <w:rStyle w:val="InstructionsTabelleText"/>
                <w:rFonts w:ascii="Times New Roman" w:hAnsi="Times New Roman"/>
                <w:szCs w:val="20"/>
              </w:rPr>
              <w:t>s</w:t>
            </w:r>
            <w:r w:rsidR="0069732D">
              <w:rPr>
                <w:rStyle w:val="InstructionsTabelleText"/>
                <w:rFonts w:ascii="Times New Roman" w:hAnsi="Times New Roman"/>
                <w:szCs w:val="20"/>
              </w:rPr>
              <w:t>tage 1 facilities</w:t>
            </w:r>
            <w:r w:rsidR="00D47222">
              <w:rPr>
                <w:rStyle w:val="InstructionsTabelleText"/>
                <w:rFonts w:ascii="Times New Roman" w:hAnsi="Times New Roman"/>
                <w:szCs w:val="20"/>
              </w:rPr>
              <w:t xml:space="preserve">), </w:t>
            </w:r>
            <w:r w:rsidR="00D47222" w:rsidRPr="00384CAC">
              <w:rPr>
                <w:rStyle w:val="InstructionsTabelleText"/>
                <w:rFonts w:ascii="Times New Roman" w:hAnsi="Times New Roman"/>
                <w:szCs w:val="20"/>
              </w:rPr>
              <w:t>column</w:t>
            </w:r>
            <w:r w:rsidR="0069732D" w:rsidRPr="00384CAC">
              <w:rPr>
                <w:rStyle w:val="InstructionsTabelleText"/>
                <w:rFonts w:ascii="Times New Roman" w:hAnsi="Times New Roman"/>
                <w:szCs w:val="20"/>
              </w:rPr>
              <w:t xml:space="preserve"> </w:t>
            </w:r>
            <w:r w:rsidR="0069732D">
              <w:rPr>
                <w:rStyle w:val="InstructionsTabelleText"/>
                <w:rFonts w:ascii="Times New Roman" w:hAnsi="Times New Roman"/>
                <w:szCs w:val="20"/>
              </w:rPr>
              <w:t xml:space="preserve">0051 (in case of </w:t>
            </w:r>
            <w:r w:rsidR="009E12C8">
              <w:rPr>
                <w:rStyle w:val="InstructionsTabelleText"/>
                <w:rFonts w:ascii="Times New Roman" w:hAnsi="Times New Roman"/>
                <w:szCs w:val="20"/>
              </w:rPr>
              <w:t>s</w:t>
            </w:r>
            <w:r w:rsidR="0069732D">
              <w:rPr>
                <w:rStyle w:val="InstructionsTabelleText"/>
                <w:rFonts w:ascii="Times New Roman" w:hAnsi="Times New Roman"/>
                <w:szCs w:val="20"/>
              </w:rPr>
              <w:t xml:space="preserve">tage 2 facilities) and </w:t>
            </w:r>
            <w:r w:rsidR="0069732D" w:rsidRPr="00384CAC">
              <w:rPr>
                <w:rStyle w:val="InstructionsTabelleText"/>
                <w:rFonts w:ascii="Times New Roman" w:hAnsi="Times New Roman"/>
                <w:szCs w:val="20"/>
              </w:rPr>
              <w:t>column</w:t>
            </w:r>
            <w:r w:rsidR="0069732D">
              <w:rPr>
                <w:rStyle w:val="InstructionsTabelleText"/>
                <w:rFonts w:ascii="Times New Roman" w:hAnsi="Times New Roman"/>
                <w:szCs w:val="20"/>
              </w:rPr>
              <w:t xml:space="preserve"> 0052 (in case </w:t>
            </w:r>
            <w:r w:rsidR="00D47222">
              <w:rPr>
                <w:rStyle w:val="InstructionsTabelleText"/>
                <w:rFonts w:ascii="Times New Roman" w:hAnsi="Times New Roman"/>
                <w:szCs w:val="20"/>
              </w:rPr>
              <w:t>of stage</w:t>
            </w:r>
            <w:r w:rsidR="0069732D">
              <w:rPr>
                <w:rStyle w:val="InstructionsTabelleText"/>
                <w:rFonts w:ascii="Times New Roman" w:hAnsi="Times New Roman"/>
                <w:szCs w:val="20"/>
              </w:rPr>
              <w:t xml:space="preserve"> 3 facilities)</w:t>
            </w:r>
            <w:r w:rsidRPr="00384CAC">
              <w:rPr>
                <w:rStyle w:val="InstructionsTabelleText"/>
                <w:rFonts w:ascii="Times New Roman" w:hAnsi="Times New Roman"/>
                <w:szCs w:val="20"/>
              </w:rPr>
              <w:t xml:space="preserve"> of this </w:t>
            </w:r>
            <w:proofErr w:type="gramStart"/>
            <w:r w:rsidRPr="00384CAC">
              <w:rPr>
                <w:rStyle w:val="InstructionsTabelleText"/>
                <w:rFonts w:ascii="Times New Roman" w:hAnsi="Times New Roman"/>
                <w:szCs w:val="20"/>
              </w:rPr>
              <w:t>template</w:t>
            </w:r>
            <w:r>
              <w:rPr>
                <w:rStyle w:val="InstructionsTabelleText"/>
                <w:rFonts w:ascii="Times New Roman" w:hAnsi="Times New Roman"/>
                <w:szCs w:val="20"/>
              </w:rPr>
              <w:t>;</w:t>
            </w:r>
            <w:proofErr w:type="gramEnd"/>
          </w:p>
          <w:bookmarkEnd w:id="8"/>
          <w:p w14:paraId="7FDE188A" w14:textId="00E635E4" w:rsidR="006601FE" w:rsidRPr="00A8219C" w:rsidRDefault="006601FE" w:rsidP="00EC7E5C">
            <w:pPr>
              <w:numPr>
                <w:ilvl w:val="0"/>
                <w:numId w:val="24"/>
              </w:numPr>
              <w:rPr>
                <w:rStyle w:val="InstructionsTabelleText"/>
                <w:rFonts w:ascii="Times New Roman" w:hAnsi="Times New Roman"/>
                <w:szCs w:val="20"/>
              </w:rPr>
            </w:pPr>
            <w:r>
              <w:rPr>
                <w:rStyle w:val="InstructionsTabelleText"/>
                <w:rFonts w:ascii="Times New Roman" w:hAnsi="Times New Roman"/>
              </w:rPr>
              <w:lastRenderedPageBreak/>
              <w:t>The data reported shall include any</w:t>
            </w:r>
            <w:r w:rsidRPr="00A8219C">
              <w:rPr>
                <w:rStyle w:val="InstructionsTabelleText"/>
                <w:rFonts w:ascii="Times New Roman" w:hAnsi="Times New Roman"/>
              </w:rPr>
              <w:t xml:space="preserve"> temporary model/manual adjustment or overlay that has been applied directly at the level of the PD parameter</w:t>
            </w:r>
            <w:r>
              <w:rPr>
                <w:rStyle w:val="InstructionsTabelleText"/>
                <w:rFonts w:ascii="Times New Roman" w:hAnsi="Times New Roman"/>
              </w:rPr>
              <w:t>.</w:t>
            </w:r>
          </w:p>
        </w:tc>
      </w:tr>
      <w:tr w:rsidR="006601FE" w:rsidRPr="00384CAC" w14:paraId="4F569B94" w14:textId="77777777" w:rsidTr="003C3509">
        <w:tc>
          <w:tcPr>
            <w:tcW w:w="993" w:type="dxa"/>
            <w:shd w:val="clear" w:color="auto" w:fill="auto"/>
          </w:tcPr>
          <w:p w14:paraId="66D551A2" w14:textId="7963CEA3" w:rsidR="006601FE"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lastRenderedPageBreak/>
              <w:t>010</w:t>
            </w:r>
            <w:r>
              <w:rPr>
                <w:rStyle w:val="InstructionsTabelleText"/>
                <w:rFonts w:ascii="Times New Roman" w:hAnsi="Times New Roman"/>
                <w:szCs w:val="20"/>
              </w:rPr>
              <w:t>5</w:t>
            </w:r>
          </w:p>
        </w:tc>
        <w:tc>
          <w:tcPr>
            <w:tcW w:w="1871" w:type="dxa"/>
            <w:shd w:val="clear" w:color="auto" w:fill="auto"/>
          </w:tcPr>
          <w:p w14:paraId="20A9A6A5" w14:textId="1936BE1E" w:rsidR="006601FE" w:rsidRPr="0044516F" w:rsidRDefault="006601FE" w:rsidP="006601FE">
            <w:pPr>
              <w:rPr>
                <w:rStyle w:val="InstructionsTabelleText"/>
                <w:rFonts w:ascii="Times New Roman" w:hAnsi="Times New Roman"/>
                <w:i/>
              </w:rPr>
            </w:pPr>
            <w:r w:rsidRPr="00384CAC">
              <w:rPr>
                <w:rStyle w:val="InstructionsTabelleText"/>
                <w:rFonts w:ascii="Times New Roman" w:hAnsi="Times New Roman"/>
                <w:szCs w:val="20"/>
              </w:rPr>
              <w:t>PD - 12 months IFRS 9</w:t>
            </w:r>
            <w:r>
              <w:rPr>
                <w:rStyle w:val="InstructionsTabelleText"/>
                <w:rFonts w:ascii="Times New Roman" w:hAnsi="Times New Roman"/>
                <w:szCs w:val="20"/>
              </w:rPr>
              <w:t xml:space="preserve"> </w:t>
            </w:r>
            <w:r w:rsidRPr="00574C97">
              <w:rPr>
                <w:rStyle w:val="InstructionsTabelleText"/>
                <w:rFonts w:ascii="Times New Roman" w:hAnsi="Times New Roman"/>
                <w:szCs w:val="20"/>
              </w:rPr>
              <w:t>without overlays</w:t>
            </w:r>
          </w:p>
        </w:tc>
        <w:tc>
          <w:tcPr>
            <w:tcW w:w="1672" w:type="dxa"/>
            <w:shd w:val="clear" w:color="auto" w:fill="auto"/>
          </w:tcPr>
          <w:p w14:paraId="276AC5E9" w14:textId="77777777" w:rsidR="006601FE" w:rsidRPr="00EA201D" w:rsidRDefault="006601FE" w:rsidP="006601FE">
            <w:pPr>
              <w:rPr>
                <w:rStyle w:val="InstructionsTabelleText"/>
                <w:rFonts w:ascii="Times New Roman" w:hAnsi="Times New Roman"/>
              </w:rPr>
            </w:pPr>
          </w:p>
        </w:tc>
        <w:tc>
          <w:tcPr>
            <w:tcW w:w="9781" w:type="dxa"/>
            <w:shd w:val="clear" w:color="auto" w:fill="auto"/>
          </w:tcPr>
          <w:p w14:paraId="32B105E0" w14:textId="2E13A739" w:rsidR="006601FE" w:rsidRDefault="006601FE" w:rsidP="006601FE">
            <w:pPr>
              <w:rPr>
                <w:rStyle w:val="InstructionsTabelleText"/>
                <w:rFonts w:ascii="Times New Roman" w:hAnsi="Times New Roman"/>
              </w:rPr>
            </w:pPr>
            <w:r w:rsidRPr="006D1691">
              <w:rPr>
                <w:rStyle w:val="InstructionsTabelleText"/>
                <w:rFonts w:ascii="Times New Roman" w:hAnsi="Times New Roman"/>
              </w:rPr>
              <w:t xml:space="preserve">The weighted average IFRS 9 </w:t>
            </w:r>
            <w:proofErr w:type="gramStart"/>
            <w:r w:rsidRPr="006D1691">
              <w:rPr>
                <w:rStyle w:val="InstructionsTabelleText"/>
                <w:rFonts w:ascii="Times New Roman" w:hAnsi="Times New Roman"/>
              </w:rPr>
              <w:t>12 month</w:t>
            </w:r>
            <w:proofErr w:type="gramEnd"/>
            <w:r w:rsidRPr="006D1691">
              <w:rPr>
                <w:rStyle w:val="InstructionsTabelleText"/>
                <w:rFonts w:ascii="Times New Roman" w:hAnsi="Times New Roman"/>
              </w:rPr>
              <w:t xml:space="preserve"> PD </w:t>
            </w:r>
            <w:r>
              <w:rPr>
                <w:rStyle w:val="InstructionsTabelleText"/>
                <w:rFonts w:ascii="Times New Roman" w:hAnsi="Times New Roman"/>
              </w:rPr>
              <w:t xml:space="preserve">reported in accordance with the instructions provided for column C.0100, but </w:t>
            </w:r>
            <w:bookmarkStart w:id="9" w:name="_Hlk117528331"/>
            <w:bookmarkStart w:id="10" w:name="_Hlk117528959"/>
            <w:r>
              <w:rPr>
                <w:rStyle w:val="InstructionsTabelleText"/>
                <w:rFonts w:ascii="Times New Roman" w:hAnsi="Times New Roman"/>
              </w:rPr>
              <w:t>excluding the effect of any temporary model adjustment or overlay that has been applied directly at the level of the PD parameter</w:t>
            </w:r>
            <w:bookmarkEnd w:id="9"/>
            <w:r>
              <w:rPr>
                <w:rStyle w:val="InstructionsTabelleText"/>
                <w:rFonts w:ascii="Times New Roman" w:hAnsi="Times New Roman"/>
              </w:rPr>
              <w:t>.</w:t>
            </w:r>
          </w:p>
          <w:p w14:paraId="668551D3" w14:textId="43030B47" w:rsidR="006601FE" w:rsidRDefault="006601FE" w:rsidP="006601FE">
            <w:pPr>
              <w:rPr>
                <w:rStyle w:val="InstructionsTabelleText"/>
                <w:rFonts w:ascii="Times New Roman" w:hAnsi="Times New Roman"/>
              </w:rPr>
            </w:pPr>
            <w:proofErr w:type="gramStart"/>
            <w:r>
              <w:rPr>
                <w:rStyle w:val="InstructionsTabelleText"/>
                <w:rFonts w:ascii="Times New Roman" w:hAnsi="Times New Roman"/>
              </w:rPr>
              <w:t>For the purpose of</w:t>
            </w:r>
            <w:proofErr w:type="gramEnd"/>
            <w:r>
              <w:rPr>
                <w:rStyle w:val="InstructionsTabelleText"/>
                <w:rFonts w:ascii="Times New Roman" w:hAnsi="Times New Roman"/>
              </w:rPr>
              <w:t xml:space="preserve"> this datapoint, model adjustments and overlays are intended as any manual adjustment or intervention affecting the IFRS 9 PD estimates resulting from the ordinary application of the IFRS 9 ECL model adopted by the institution.</w:t>
            </w:r>
          </w:p>
          <w:bookmarkEnd w:id="10"/>
          <w:p w14:paraId="12158B33" w14:textId="72DA28CC" w:rsidR="0026247C" w:rsidRDefault="006601FE" w:rsidP="006601FE">
            <w:pPr>
              <w:rPr>
                <w:rStyle w:val="InstructionsTabelleText"/>
                <w:rFonts w:ascii="Times New Roman" w:hAnsi="Times New Roman"/>
              </w:rPr>
            </w:pPr>
            <w:r>
              <w:rPr>
                <w:rStyle w:val="InstructionsTabelleText"/>
                <w:rFonts w:ascii="Times New Roman" w:hAnsi="Times New Roman"/>
              </w:rPr>
              <w:t>In case no model adjustment or overlay has been applied at the PD level with reference to the reported portfolio</w:t>
            </w:r>
            <w:r w:rsidR="0026247C">
              <w:rPr>
                <w:rStyle w:val="InstructionsTabelleText"/>
                <w:rFonts w:ascii="Times New Roman" w:hAnsi="Times New Roman"/>
              </w:rPr>
              <w:t xml:space="preserve">, the </w:t>
            </w:r>
            <w:r w:rsidR="00A047E4">
              <w:rPr>
                <w:rStyle w:val="InstructionsTabelleText"/>
                <w:rFonts w:ascii="Times New Roman" w:hAnsi="Times New Roman"/>
              </w:rPr>
              <w:t>datapoint</w:t>
            </w:r>
            <w:r w:rsidR="0026247C">
              <w:rPr>
                <w:rStyle w:val="InstructionsTabelleText"/>
                <w:rFonts w:ascii="Times New Roman" w:hAnsi="Times New Roman"/>
              </w:rPr>
              <w:t xml:space="preserve"> should be reported in accordance with the instructions provided for column 01</w:t>
            </w:r>
            <w:r w:rsidR="00A047E4">
              <w:rPr>
                <w:rStyle w:val="InstructionsTabelleText"/>
                <w:rFonts w:ascii="Times New Roman" w:hAnsi="Times New Roman"/>
              </w:rPr>
              <w:t>00</w:t>
            </w:r>
            <w:r w:rsidR="0026247C">
              <w:rPr>
                <w:rStyle w:val="InstructionsTabelleText"/>
                <w:rFonts w:ascii="Times New Roman" w:hAnsi="Times New Roman"/>
              </w:rPr>
              <w:t>.</w:t>
            </w:r>
          </w:p>
          <w:p w14:paraId="46373770" w14:textId="35828206" w:rsidR="006601FE" w:rsidRPr="006D1691" w:rsidRDefault="006601FE" w:rsidP="006601FE">
            <w:pPr>
              <w:rPr>
                <w:rStyle w:val="InstructionsTabelleText"/>
                <w:rFonts w:ascii="Times New Roman" w:hAnsi="Times New Roman"/>
              </w:rPr>
            </w:pPr>
            <w:r>
              <w:rPr>
                <w:rStyle w:val="InstructionsTabelleText"/>
                <w:rFonts w:ascii="Times New Roman" w:hAnsi="Times New Roman"/>
              </w:rPr>
              <w:t xml:space="preserve"> </w:t>
            </w:r>
            <w:r w:rsidR="00A047E4">
              <w:rPr>
                <w:rStyle w:val="InstructionsTabelleText"/>
                <w:rFonts w:ascii="Times New Roman" w:hAnsi="Times New Roman"/>
              </w:rPr>
              <w:t>In case</w:t>
            </w:r>
            <w:r>
              <w:rPr>
                <w:rStyle w:val="InstructionsTabelleText"/>
                <w:rFonts w:ascii="Times New Roman" w:hAnsi="Times New Roman"/>
              </w:rPr>
              <w:t xml:space="preserve"> it is not possible to disentangle the effect of overlays on the PD parameter, </w:t>
            </w:r>
            <w:r w:rsidRPr="006D1691">
              <w:rPr>
                <w:rStyle w:val="InstructionsTabelleText"/>
                <w:rFonts w:ascii="Times New Roman" w:hAnsi="Times New Roman"/>
              </w:rPr>
              <w:t xml:space="preserve">this data point shall be left </w:t>
            </w:r>
            <w:proofErr w:type="gramStart"/>
            <w:r w:rsidRPr="006D1691">
              <w:rPr>
                <w:rStyle w:val="InstructionsTabelleText"/>
                <w:rFonts w:ascii="Times New Roman" w:hAnsi="Times New Roman"/>
              </w:rPr>
              <w:t>blank</w:t>
            </w:r>
            <w:proofErr w:type="gramEnd"/>
            <w:r w:rsidR="00DB0700">
              <w:rPr>
                <w:rStyle w:val="InstructionsTabelleText"/>
                <w:rFonts w:ascii="Times New Roman" w:hAnsi="Times New Roman"/>
              </w:rPr>
              <w:t xml:space="preserve"> </w:t>
            </w:r>
            <w:r w:rsidR="00DB0700" w:rsidRPr="008D562A">
              <w:rPr>
                <w:rFonts w:ascii="Times New Roman" w:hAnsi="Times New Roman"/>
                <w:szCs w:val="20"/>
                <w:lang w:eastAsia="de-DE"/>
              </w:rPr>
              <w:t>or ‘NULL’ shall be inserted</w:t>
            </w:r>
            <w:r w:rsidRPr="006D1691">
              <w:rPr>
                <w:rStyle w:val="InstructionsTabelleText"/>
                <w:rFonts w:ascii="Times New Roman" w:hAnsi="Times New Roman"/>
              </w:rPr>
              <w:t>.</w:t>
            </w:r>
          </w:p>
        </w:tc>
      </w:tr>
      <w:tr w:rsidR="003C3509" w:rsidRPr="00384CAC" w14:paraId="38B1463C" w14:textId="77777777" w:rsidTr="003C3509">
        <w:tc>
          <w:tcPr>
            <w:tcW w:w="993" w:type="dxa"/>
            <w:shd w:val="clear" w:color="auto" w:fill="auto"/>
          </w:tcPr>
          <w:p w14:paraId="27FD9BCA" w14:textId="07B395DA" w:rsidR="003C3509" w:rsidRPr="00F479EA" w:rsidRDefault="003C3509" w:rsidP="006601FE">
            <w:pPr>
              <w:rPr>
                <w:rStyle w:val="InstructionsTabelleText"/>
                <w:rFonts w:ascii="Times New Roman" w:hAnsi="Times New Roman"/>
                <w:szCs w:val="20"/>
              </w:rPr>
            </w:pPr>
            <w:r w:rsidRPr="00F479EA">
              <w:rPr>
                <w:rStyle w:val="InstructionsTabelleText"/>
                <w:rFonts w:ascii="Times New Roman" w:hAnsi="Times New Roman"/>
                <w:szCs w:val="20"/>
              </w:rPr>
              <w:t>0106</w:t>
            </w:r>
          </w:p>
        </w:tc>
        <w:tc>
          <w:tcPr>
            <w:tcW w:w="1871" w:type="dxa"/>
            <w:shd w:val="clear" w:color="auto" w:fill="auto"/>
          </w:tcPr>
          <w:p w14:paraId="474E66A7" w14:textId="7A3AC16C" w:rsidR="003C3509" w:rsidRPr="00F479EA" w:rsidRDefault="003C3509" w:rsidP="003C3509">
            <w:pPr>
              <w:jc w:val="left"/>
              <w:rPr>
                <w:rStyle w:val="InstructionsTabelleText"/>
                <w:rFonts w:ascii="Times New Roman" w:hAnsi="Times New Roman"/>
                <w:szCs w:val="20"/>
              </w:rPr>
            </w:pPr>
            <w:r w:rsidRPr="00F479EA">
              <w:rPr>
                <w:rStyle w:val="InstructionsTabelleText"/>
                <w:rFonts w:ascii="Times New Roman" w:hAnsi="Times New Roman"/>
                <w:szCs w:val="20"/>
              </w:rPr>
              <w:t>PD - 12 months - IFRS 9 TTC/Unconditional</w:t>
            </w:r>
          </w:p>
        </w:tc>
        <w:tc>
          <w:tcPr>
            <w:tcW w:w="1672" w:type="dxa"/>
            <w:shd w:val="clear" w:color="auto" w:fill="auto"/>
          </w:tcPr>
          <w:p w14:paraId="25C4FF71" w14:textId="77777777" w:rsidR="003C3509" w:rsidRPr="00F479EA" w:rsidRDefault="003C3509" w:rsidP="006601FE">
            <w:pPr>
              <w:rPr>
                <w:rStyle w:val="InstructionsTabelleText"/>
                <w:rFonts w:ascii="Times New Roman" w:hAnsi="Times New Roman"/>
              </w:rPr>
            </w:pPr>
          </w:p>
        </w:tc>
        <w:tc>
          <w:tcPr>
            <w:tcW w:w="9781" w:type="dxa"/>
            <w:shd w:val="clear" w:color="auto" w:fill="auto"/>
          </w:tcPr>
          <w:p w14:paraId="63F641E7" w14:textId="77777777" w:rsidR="003C3509" w:rsidRPr="00F479EA" w:rsidRDefault="003C3509" w:rsidP="003C3509">
            <w:pPr>
              <w:rPr>
                <w:rFonts w:ascii="Times New Roman" w:hAnsi="Times New Roman"/>
              </w:rPr>
            </w:pPr>
            <w:r w:rsidRPr="00F479EA">
              <w:rPr>
                <w:rFonts w:ascii="Times New Roman" w:hAnsi="Times New Roman"/>
              </w:rPr>
              <w:t xml:space="preserve">The weighted average TTC/unconditional PD of the respective portfolio at the reporting date shall be reported. </w:t>
            </w:r>
            <w:proofErr w:type="gramStart"/>
            <w:r w:rsidRPr="00F479EA">
              <w:rPr>
                <w:rFonts w:ascii="Times New Roman" w:hAnsi="Times New Roman"/>
              </w:rPr>
              <w:t>For the purpose of</w:t>
            </w:r>
            <w:proofErr w:type="gramEnd"/>
            <w:r w:rsidRPr="00F479EA">
              <w:rPr>
                <w:rFonts w:ascii="Times New Roman" w:hAnsi="Times New Roman"/>
              </w:rPr>
              <w:t xml:space="preserve"> this computation:</w:t>
            </w:r>
          </w:p>
          <w:p w14:paraId="794B2B75" w14:textId="738AF419" w:rsidR="003C3509" w:rsidRPr="00F479EA" w:rsidRDefault="003C3509" w:rsidP="00EC7E5C">
            <w:pPr>
              <w:pStyle w:val="ListParagraph"/>
              <w:numPr>
                <w:ilvl w:val="0"/>
                <w:numId w:val="24"/>
              </w:numPr>
              <w:rPr>
                <w:rFonts w:ascii="Times New Roman" w:hAnsi="Times New Roman"/>
              </w:rPr>
            </w:pPr>
            <w:r w:rsidRPr="00F479EA">
              <w:rPr>
                <w:rFonts w:ascii="Times New Roman" w:hAnsi="Times New Roman"/>
              </w:rPr>
              <w:t>The PD shall represent the unconditional/trough the cycle probability of a default event within 12 months following the reporting date. It should correspond to the “intermediate” PD estimated by the relevant IFRS 9 model (</w:t>
            </w:r>
            <w:proofErr w:type="gramStart"/>
            <w:r w:rsidRPr="00F479EA">
              <w:rPr>
                <w:rFonts w:ascii="Times New Roman" w:hAnsi="Times New Roman"/>
              </w:rPr>
              <w:t>e.g.</w:t>
            </w:r>
            <w:proofErr w:type="gramEnd"/>
            <w:r w:rsidRPr="00F479EA">
              <w:rPr>
                <w:rFonts w:ascii="Times New Roman" w:hAnsi="Times New Roman"/>
              </w:rPr>
              <w:t xml:space="preserve"> Marko</w:t>
            </w:r>
            <w:r w:rsidR="00190F10">
              <w:rPr>
                <w:rFonts w:ascii="Times New Roman" w:hAnsi="Times New Roman"/>
              </w:rPr>
              <w:t>v</w:t>
            </w:r>
            <w:r w:rsidRPr="00F479EA">
              <w:rPr>
                <w:rFonts w:ascii="Times New Roman" w:hAnsi="Times New Roman"/>
              </w:rPr>
              <w:t xml:space="preserve"> chains, Fitting with Weibull or Cox functions, etc…) before the application of any PIT and FLI shift/adjustment. </w:t>
            </w:r>
          </w:p>
          <w:p w14:paraId="53CF20F6" w14:textId="473D73D6" w:rsidR="003C3509" w:rsidRPr="00F479EA" w:rsidRDefault="003C3509" w:rsidP="00EC7E5C">
            <w:pPr>
              <w:pStyle w:val="ListParagraph"/>
              <w:numPr>
                <w:ilvl w:val="0"/>
                <w:numId w:val="24"/>
              </w:numPr>
              <w:rPr>
                <w:rFonts w:ascii="Times New Roman" w:hAnsi="Times New Roman"/>
              </w:rPr>
            </w:pPr>
            <w:r w:rsidRPr="00F479EA">
              <w:rPr>
                <w:rFonts w:ascii="Times New Roman" w:hAnsi="Times New Roman"/>
              </w:rPr>
              <w:t>The weight used</w:t>
            </w:r>
            <w:r w:rsidR="009751A9">
              <w:rPr>
                <w:rFonts w:ascii="Times New Roman" w:hAnsi="Times New Roman"/>
              </w:rPr>
              <w:t xml:space="preserve"> for each facility</w:t>
            </w:r>
            <w:r w:rsidRPr="00F479EA">
              <w:rPr>
                <w:rFonts w:ascii="Times New Roman" w:hAnsi="Times New Roman"/>
              </w:rPr>
              <w:t xml:space="preserve"> shall be the exposure value, intended as the sum of the amounts defined respectively in column 0050 (in case of stage 1 facilities), column 0051 (in case of stage 2 facilities) and column 0052 (in case of stage 3 facilities) of this </w:t>
            </w:r>
            <w:proofErr w:type="gramStart"/>
            <w:r w:rsidRPr="00F479EA">
              <w:rPr>
                <w:rFonts w:ascii="Times New Roman" w:hAnsi="Times New Roman"/>
              </w:rPr>
              <w:t>template;</w:t>
            </w:r>
            <w:proofErr w:type="gramEnd"/>
          </w:p>
          <w:p w14:paraId="4C306824" w14:textId="77777777" w:rsidR="003C3509" w:rsidRPr="00F479EA" w:rsidRDefault="003C3509" w:rsidP="003C3509">
            <w:pPr>
              <w:rPr>
                <w:rFonts w:ascii="Times New Roman" w:hAnsi="Times New Roman"/>
              </w:rPr>
            </w:pPr>
            <w:r w:rsidRPr="00F479EA">
              <w:rPr>
                <w:rFonts w:ascii="Times New Roman" w:hAnsi="Times New Roman"/>
              </w:rPr>
              <w:t>The data reported shall not include any temporary model/manual adjustment or overlay that has been applied directly at the level of the PD parameter.</w:t>
            </w:r>
          </w:p>
          <w:p w14:paraId="118865AD" w14:textId="1E602DC5" w:rsidR="003C3509" w:rsidRPr="00F479EA" w:rsidRDefault="003C3509" w:rsidP="006601FE">
            <w:pPr>
              <w:rPr>
                <w:rStyle w:val="InstructionsTabelleText"/>
                <w:rFonts w:ascii="Times New Roman" w:hAnsi="Times New Roman"/>
              </w:rPr>
            </w:pPr>
            <w:r w:rsidRPr="00F479EA">
              <w:rPr>
                <w:rFonts w:ascii="Times New Roman" w:hAnsi="Times New Roman"/>
              </w:rPr>
              <w:t xml:space="preserve">In case the “intermediate” unconditional/TTC PD is not available as this parameter is not an intermediate output of the IFRS 9 PD model used, this data point shall be left </w:t>
            </w:r>
            <w:proofErr w:type="gramStart"/>
            <w:r w:rsidRPr="00F479EA">
              <w:rPr>
                <w:rFonts w:ascii="Times New Roman" w:hAnsi="Times New Roman"/>
              </w:rPr>
              <w:t>blank</w:t>
            </w:r>
            <w:proofErr w:type="gramEnd"/>
            <w:r w:rsidR="00DB0700">
              <w:rPr>
                <w:rStyle w:val="InstructionsTabelleText"/>
                <w:rFonts w:ascii="Times New Roman" w:hAnsi="Times New Roman"/>
              </w:rPr>
              <w:t xml:space="preserve"> </w:t>
            </w:r>
            <w:r w:rsidR="00DB0700" w:rsidRPr="008D562A">
              <w:rPr>
                <w:rFonts w:ascii="Times New Roman" w:hAnsi="Times New Roman"/>
                <w:szCs w:val="20"/>
                <w:lang w:eastAsia="de-DE"/>
              </w:rPr>
              <w:t>or ‘NULL’ shall be inserted</w:t>
            </w:r>
            <w:r w:rsidRPr="00F479EA">
              <w:rPr>
                <w:rFonts w:ascii="Times New Roman" w:hAnsi="Times New Roman"/>
              </w:rPr>
              <w:t xml:space="preserve">. </w:t>
            </w:r>
          </w:p>
        </w:tc>
      </w:tr>
      <w:tr w:rsidR="00171AFC" w:rsidRPr="00384CAC" w14:paraId="6C7A9EE6" w14:textId="77777777" w:rsidTr="003C3509">
        <w:tc>
          <w:tcPr>
            <w:tcW w:w="993" w:type="dxa"/>
            <w:shd w:val="clear" w:color="auto" w:fill="auto"/>
          </w:tcPr>
          <w:p w14:paraId="33C21A8A" w14:textId="3288208D" w:rsidR="00171AFC" w:rsidRPr="00F479EA" w:rsidRDefault="00171AFC" w:rsidP="006601FE">
            <w:pPr>
              <w:rPr>
                <w:rStyle w:val="InstructionsTabelleText"/>
                <w:rFonts w:ascii="Times New Roman" w:hAnsi="Times New Roman"/>
                <w:szCs w:val="20"/>
              </w:rPr>
            </w:pPr>
            <w:r>
              <w:rPr>
                <w:rStyle w:val="InstructionsTabelleText"/>
                <w:rFonts w:ascii="Times New Roman" w:hAnsi="Times New Roman"/>
                <w:szCs w:val="20"/>
              </w:rPr>
              <w:t>0107</w:t>
            </w:r>
          </w:p>
        </w:tc>
        <w:tc>
          <w:tcPr>
            <w:tcW w:w="1871" w:type="dxa"/>
            <w:shd w:val="clear" w:color="auto" w:fill="auto"/>
          </w:tcPr>
          <w:p w14:paraId="3880DFE6" w14:textId="788026C5" w:rsidR="00171AFC" w:rsidRPr="00F479EA" w:rsidRDefault="00171AFC" w:rsidP="003C3509">
            <w:pPr>
              <w:jc w:val="left"/>
              <w:rPr>
                <w:rStyle w:val="InstructionsTabelleText"/>
                <w:rFonts w:ascii="Times New Roman" w:hAnsi="Times New Roman"/>
                <w:szCs w:val="20"/>
              </w:rPr>
            </w:pPr>
            <w:r w:rsidRPr="00F479EA">
              <w:rPr>
                <w:rStyle w:val="InstructionsTabelleText"/>
                <w:rFonts w:ascii="Times New Roman" w:hAnsi="Times New Roman"/>
                <w:szCs w:val="20"/>
              </w:rPr>
              <w:t>PD - 12 months -</w:t>
            </w:r>
            <w:r>
              <w:rPr>
                <w:rStyle w:val="InstructionsTabelleText"/>
                <w:rFonts w:ascii="Times New Roman" w:hAnsi="Times New Roman"/>
                <w:szCs w:val="20"/>
              </w:rPr>
              <w:t xml:space="preserve"> IFRS 9 </w:t>
            </w:r>
            <w:r w:rsidRPr="00F479EA">
              <w:rPr>
                <w:rStyle w:val="InstructionsTabelleText"/>
                <w:rFonts w:ascii="Times New Roman" w:hAnsi="Times New Roman"/>
                <w:szCs w:val="20"/>
              </w:rPr>
              <w:t>-</w:t>
            </w:r>
            <w:r>
              <w:rPr>
                <w:rStyle w:val="InstructionsTabelleText"/>
                <w:rFonts w:ascii="Times New Roman" w:hAnsi="Times New Roman"/>
                <w:szCs w:val="20"/>
              </w:rPr>
              <w:t xml:space="preserve"> Stage 1</w:t>
            </w:r>
          </w:p>
        </w:tc>
        <w:tc>
          <w:tcPr>
            <w:tcW w:w="1672" w:type="dxa"/>
            <w:shd w:val="clear" w:color="auto" w:fill="auto"/>
          </w:tcPr>
          <w:p w14:paraId="431A4422" w14:textId="77777777" w:rsidR="00171AFC" w:rsidRPr="00F479EA" w:rsidRDefault="00171AFC" w:rsidP="006601FE">
            <w:pPr>
              <w:rPr>
                <w:rStyle w:val="InstructionsTabelleText"/>
                <w:rFonts w:ascii="Times New Roman" w:hAnsi="Times New Roman"/>
              </w:rPr>
            </w:pPr>
          </w:p>
        </w:tc>
        <w:tc>
          <w:tcPr>
            <w:tcW w:w="9781" w:type="dxa"/>
            <w:shd w:val="clear" w:color="auto" w:fill="auto"/>
          </w:tcPr>
          <w:p w14:paraId="0B22D276" w14:textId="1748353A" w:rsidR="00171AFC" w:rsidRDefault="00171AFC" w:rsidP="00BD29E1">
            <w:pPr>
              <w:rPr>
                <w:rFonts w:ascii="Times New Roman" w:hAnsi="Times New Roman"/>
                <w:szCs w:val="20"/>
              </w:rPr>
            </w:pPr>
            <w:r w:rsidRPr="00384CAC">
              <w:rPr>
                <w:rStyle w:val="InstructionsTabelleText"/>
                <w:rFonts w:ascii="Times New Roman" w:hAnsi="Times New Roman"/>
                <w:szCs w:val="20"/>
              </w:rPr>
              <w:t xml:space="preserve">The </w:t>
            </w:r>
            <w:r>
              <w:rPr>
                <w:rStyle w:val="InstructionsTabelleText"/>
                <w:rFonts w:ascii="Times New Roman" w:hAnsi="Times New Roman"/>
                <w:szCs w:val="20"/>
              </w:rPr>
              <w:t xml:space="preserve">weighted average </w:t>
            </w:r>
            <w:r w:rsidRPr="00384CAC">
              <w:rPr>
                <w:rStyle w:val="InstructionsTabelleText"/>
                <w:rFonts w:ascii="Times New Roman" w:hAnsi="Times New Roman"/>
                <w:szCs w:val="20"/>
              </w:rPr>
              <w:t>PD</w:t>
            </w:r>
            <w:r w:rsidR="00BD29E1">
              <w:rPr>
                <w:rStyle w:val="InstructionsTabelleText"/>
                <w:rFonts w:ascii="Times New Roman" w:hAnsi="Times New Roman"/>
                <w:szCs w:val="20"/>
              </w:rPr>
              <w:t xml:space="preserve"> over</w:t>
            </w:r>
            <w:r w:rsidR="00BD29E1" w:rsidRPr="00D47222">
              <w:rPr>
                <w:rStyle w:val="InstructionsTabelleText"/>
                <w:rFonts w:ascii="Times New Roman" w:hAnsi="Times New Roman"/>
                <w:szCs w:val="20"/>
              </w:rPr>
              <w:t xml:space="preserve"> </w:t>
            </w:r>
            <w:r w:rsidR="009751A9">
              <w:rPr>
                <w:rStyle w:val="InstructionsTabelleText"/>
                <w:rFonts w:ascii="Times New Roman" w:hAnsi="Times New Roman"/>
                <w:szCs w:val="20"/>
              </w:rPr>
              <w:t>all</w:t>
            </w:r>
            <w:r w:rsidR="00BD29E1" w:rsidRPr="00D47222">
              <w:rPr>
                <w:rStyle w:val="InstructionsTabelleText"/>
                <w:rFonts w:ascii="Times New Roman" w:hAnsi="Times New Roman"/>
                <w:szCs w:val="20"/>
              </w:rPr>
              <w:t xml:space="preserve"> facilities included in the respective portfolio and which were allocated within stage </w:t>
            </w:r>
            <w:r w:rsidR="009751A9">
              <w:rPr>
                <w:rStyle w:val="InstructionsTabelleText"/>
                <w:rFonts w:ascii="Times New Roman" w:hAnsi="Times New Roman"/>
                <w:szCs w:val="20"/>
              </w:rPr>
              <w:t>1</w:t>
            </w:r>
            <w:r w:rsidR="00BD29E1" w:rsidRPr="00D47222">
              <w:rPr>
                <w:rStyle w:val="InstructionsTabelleText"/>
                <w:rFonts w:ascii="Times New Roman" w:hAnsi="Times New Roman"/>
                <w:szCs w:val="20"/>
              </w:rPr>
              <w:t xml:space="preserve"> at the reporting date</w:t>
            </w:r>
            <w:r w:rsidR="00BD29E1">
              <w:rPr>
                <w:rStyle w:val="InstructionsTabelleText"/>
                <w:rFonts w:ascii="Times New Roman" w:hAnsi="Times New Roman"/>
                <w:szCs w:val="20"/>
              </w:rPr>
              <w:t xml:space="preserve">. </w:t>
            </w:r>
            <w:proofErr w:type="gramStart"/>
            <w:r>
              <w:rPr>
                <w:rFonts w:ascii="Times New Roman" w:hAnsi="Times New Roman"/>
                <w:szCs w:val="20"/>
              </w:rPr>
              <w:t>For the purpose of</w:t>
            </w:r>
            <w:proofErr w:type="gramEnd"/>
            <w:r>
              <w:rPr>
                <w:rFonts w:ascii="Times New Roman" w:hAnsi="Times New Roman"/>
                <w:szCs w:val="20"/>
              </w:rPr>
              <w:t xml:space="preserve"> this computation:</w:t>
            </w:r>
          </w:p>
          <w:p w14:paraId="51F0BFE6" w14:textId="637A5A35" w:rsidR="00171AFC" w:rsidRDefault="00171AFC" w:rsidP="00171AFC">
            <w:pPr>
              <w:numPr>
                <w:ilvl w:val="0"/>
                <w:numId w:val="24"/>
              </w:numPr>
              <w:rPr>
                <w:rFonts w:ascii="Times New Roman" w:hAnsi="Times New Roman"/>
                <w:szCs w:val="20"/>
              </w:rPr>
            </w:pPr>
            <w:r>
              <w:rPr>
                <w:rFonts w:ascii="Times New Roman" w:hAnsi="Times New Roman"/>
                <w:szCs w:val="20"/>
              </w:rPr>
              <w:t>The PD shall</w:t>
            </w:r>
            <w:r w:rsidRPr="00384CAC">
              <w:rPr>
                <w:rFonts w:ascii="Times New Roman" w:hAnsi="Times New Roman"/>
                <w:szCs w:val="20"/>
              </w:rPr>
              <w:t xml:space="preserve"> represent the probability of a default event within 12 months following the reporting date, as considered in the application of the impairment requirements under IFRS 9. This shall be the PD used to </w:t>
            </w:r>
            <w:r w:rsidRPr="00384CAC">
              <w:rPr>
                <w:rFonts w:ascii="Times New Roman" w:hAnsi="Times New Roman"/>
                <w:szCs w:val="20"/>
              </w:rPr>
              <w:lastRenderedPageBreak/>
              <w:t>compute the 12-month expected credit loss (ECL</w:t>
            </w:r>
            <w:r w:rsidRPr="00384CAC">
              <w:rPr>
                <w:rStyle w:val="InstructionsTabelleText"/>
                <w:rFonts w:ascii="Times New Roman" w:hAnsi="Times New Roman"/>
                <w:szCs w:val="20"/>
              </w:rPr>
              <w:t xml:space="preserve"> amount</w:t>
            </w:r>
            <w:r w:rsidRPr="00384CAC">
              <w:rPr>
                <w:rStyle w:val="InstructionsTabelleText"/>
                <w:rFonts w:ascii="Times New Roman" w:hAnsi="Times New Roman"/>
                <w:bCs/>
                <w:szCs w:val="20"/>
              </w:rPr>
              <w:t xml:space="preserve"> – 12 months IFRS 9</w:t>
            </w:r>
            <w:proofErr w:type="gramStart"/>
            <w:r w:rsidRPr="00384CAC">
              <w:rPr>
                <w:rFonts w:ascii="Times New Roman" w:hAnsi="Times New Roman"/>
                <w:szCs w:val="20"/>
              </w:rPr>
              <w:t>),</w:t>
            </w:r>
            <w:r w:rsidR="007844AB">
              <w:rPr>
                <w:rFonts w:ascii="Times New Roman" w:hAnsi="Times New Roman"/>
                <w:szCs w:val="20"/>
              </w:rPr>
              <w:t xml:space="preserve"> </w:t>
            </w:r>
            <w:r w:rsidRPr="00384CAC">
              <w:rPr>
                <w:rFonts w:ascii="Times New Roman" w:hAnsi="Times New Roman"/>
                <w:szCs w:val="20"/>
              </w:rPr>
              <w:t>and</w:t>
            </w:r>
            <w:proofErr w:type="gramEnd"/>
            <w:r w:rsidRPr="00384CAC">
              <w:rPr>
                <w:rFonts w:ascii="Times New Roman" w:hAnsi="Times New Roman"/>
                <w:szCs w:val="20"/>
              </w:rPr>
              <w:t xml:space="preserve"> associated with the economic scenario 0 in template C11</w:t>
            </w:r>
            <w:r>
              <w:rPr>
                <w:rFonts w:ascii="Times New Roman" w:hAnsi="Times New Roman"/>
                <w:szCs w:val="20"/>
              </w:rPr>
              <w:t>6</w:t>
            </w:r>
            <w:r w:rsidRPr="00384CAC">
              <w:rPr>
                <w:rFonts w:ascii="Times New Roman" w:hAnsi="Times New Roman"/>
                <w:szCs w:val="20"/>
              </w:rPr>
              <w:t>.00.</w:t>
            </w:r>
          </w:p>
          <w:p w14:paraId="1BFEBBE4" w14:textId="7AC22576" w:rsidR="00171AFC" w:rsidRDefault="00171AFC" w:rsidP="00171AFC">
            <w:pPr>
              <w:numPr>
                <w:ilvl w:val="0"/>
                <w:numId w:val="24"/>
              </w:numPr>
              <w:rPr>
                <w:rStyle w:val="InstructionsTabelleText"/>
                <w:rFonts w:ascii="Times New Roman" w:hAnsi="Times New Roman"/>
                <w:szCs w:val="20"/>
              </w:rPr>
            </w:pPr>
            <w:r w:rsidRPr="00384CAC">
              <w:rPr>
                <w:rStyle w:val="InstructionsTabelleText"/>
                <w:rFonts w:ascii="Times New Roman" w:hAnsi="Times New Roman"/>
                <w:szCs w:val="20"/>
              </w:rPr>
              <w:t xml:space="preserve">The weight used </w:t>
            </w:r>
            <w:r w:rsidR="009751A9">
              <w:rPr>
                <w:rStyle w:val="InstructionsTabelleText"/>
                <w:rFonts w:ascii="Times New Roman" w:hAnsi="Times New Roman"/>
                <w:szCs w:val="20"/>
              </w:rPr>
              <w:t xml:space="preserve">for each facility </w:t>
            </w:r>
            <w:r w:rsidRPr="00384CAC">
              <w:rPr>
                <w:rStyle w:val="InstructionsTabelleText"/>
                <w:rFonts w:ascii="Times New Roman" w:hAnsi="Times New Roman"/>
                <w:szCs w:val="20"/>
              </w:rPr>
              <w:t>shall be the exposure value</w:t>
            </w:r>
            <w:r w:rsidR="009751A9">
              <w:rPr>
                <w:rStyle w:val="InstructionsTabelleText"/>
                <w:rFonts w:ascii="Times New Roman" w:hAnsi="Times New Roman"/>
                <w:szCs w:val="20"/>
              </w:rPr>
              <w:t xml:space="preserve"> </w:t>
            </w:r>
            <w:r>
              <w:rPr>
                <w:rStyle w:val="InstructionsTabelleText"/>
                <w:rFonts w:ascii="Times New Roman" w:hAnsi="Times New Roman"/>
                <w:szCs w:val="20"/>
              </w:rPr>
              <w:t xml:space="preserve">as </w:t>
            </w:r>
            <w:r w:rsidRPr="00384CAC">
              <w:rPr>
                <w:rStyle w:val="InstructionsTabelleText"/>
                <w:rFonts w:ascii="Times New Roman" w:hAnsi="Times New Roman"/>
                <w:szCs w:val="20"/>
              </w:rPr>
              <w:t xml:space="preserve">defined </w:t>
            </w:r>
            <w:r>
              <w:rPr>
                <w:rStyle w:val="InstructionsTabelleText"/>
                <w:rFonts w:ascii="Times New Roman" w:hAnsi="Times New Roman"/>
                <w:szCs w:val="20"/>
              </w:rPr>
              <w:t xml:space="preserve">respectively </w:t>
            </w:r>
            <w:r w:rsidRPr="00384CAC">
              <w:rPr>
                <w:rStyle w:val="InstructionsTabelleText"/>
                <w:rFonts w:ascii="Times New Roman" w:hAnsi="Times New Roman"/>
                <w:szCs w:val="20"/>
              </w:rPr>
              <w:t>in column 00</w:t>
            </w:r>
            <w:r>
              <w:rPr>
                <w:rStyle w:val="InstructionsTabelleText"/>
                <w:rFonts w:ascii="Times New Roman" w:hAnsi="Times New Roman"/>
                <w:szCs w:val="20"/>
              </w:rPr>
              <w:t>5</w:t>
            </w:r>
            <w:r w:rsidRPr="00384CAC">
              <w:rPr>
                <w:rStyle w:val="InstructionsTabelleText"/>
                <w:rFonts w:ascii="Times New Roman" w:hAnsi="Times New Roman"/>
                <w:szCs w:val="20"/>
              </w:rPr>
              <w:t>0</w:t>
            </w:r>
            <w:r>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of this </w:t>
            </w:r>
            <w:r w:rsidR="009751A9" w:rsidRPr="00384CAC">
              <w:rPr>
                <w:rStyle w:val="InstructionsTabelleText"/>
                <w:rFonts w:ascii="Times New Roman" w:hAnsi="Times New Roman"/>
                <w:szCs w:val="20"/>
              </w:rPr>
              <w:t>template</w:t>
            </w:r>
            <w:r w:rsidR="009751A9">
              <w:rPr>
                <w:rStyle w:val="InstructionsTabelleText"/>
                <w:rFonts w:ascii="Times New Roman" w:hAnsi="Times New Roman"/>
                <w:szCs w:val="20"/>
              </w:rPr>
              <w:t>.</w:t>
            </w:r>
          </w:p>
          <w:p w14:paraId="61B4B46D" w14:textId="2308552C" w:rsidR="00171AFC" w:rsidRPr="00F479EA" w:rsidRDefault="00171AFC" w:rsidP="00171AFC">
            <w:pPr>
              <w:rPr>
                <w:rFonts w:ascii="Times New Roman" w:hAnsi="Times New Roman"/>
              </w:rPr>
            </w:pPr>
            <w:r>
              <w:rPr>
                <w:rStyle w:val="InstructionsTabelleText"/>
                <w:rFonts w:ascii="Times New Roman" w:hAnsi="Times New Roman"/>
              </w:rPr>
              <w:t>The data reported shall include any</w:t>
            </w:r>
            <w:r w:rsidRPr="00A8219C">
              <w:rPr>
                <w:rStyle w:val="InstructionsTabelleText"/>
                <w:rFonts w:ascii="Times New Roman" w:hAnsi="Times New Roman"/>
              </w:rPr>
              <w:t xml:space="preserve"> temporary model/manual adjustment or overlay that has been applied directly at the level of the PD parameter</w:t>
            </w:r>
            <w:r>
              <w:rPr>
                <w:rStyle w:val="InstructionsTabelleText"/>
                <w:rFonts w:ascii="Times New Roman" w:hAnsi="Times New Roman"/>
              </w:rPr>
              <w:t>.</w:t>
            </w:r>
          </w:p>
        </w:tc>
      </w:tr>
      <w:tr w:rsidR="00171AFC" w:rsidRPr="00384CAC" w14:paraId="07608B66" w14:textId="77777777" w:rsidTr="003C3509">
        <w:tc>
          <w:tcPr>
            <w:tcW w:w="993" w:type="dxa"/>
            <w:shd w:val="clear" w:color="auto" w:fill="auto"/>
          </w:tcPr>
          <w:p w14:paraId="3DA700A8" w14:textId="7E294A1E" w:rsidR="00171AFC" w:rsidRPr="00F479EA" w:rsidRDefault="00171AFC" w:rsidP="006601FE">
            <w:pPr>
              <w:rPr>
                <w:rStyle w:val="InstructionsTabelleText"/>
                <w:rFonts w:ascii="Times New Roman" w:hAnsi="Times New Roman"/>
                <w:szCs w:val="20"/>
              </w:rPr>
            </w:pPr>
            <w:r>
              <w:rPr>
                <w:rStyle w:val="InstructionsTabelleText"/>
                <w:rFonts w:ascii="Times New Roman" w:hAnsi="Times New Roman"/>
                <w:szCs w:val="20"/>
              </w:rPr>
              <w:lastRenderedPageBreak/>
              <w:t>0108</w:t>
            </w:r>
          </w:p>
        </w:tc>
        <w:tc>
          <w:tcPr>
            <w:tcW w:w="1871" w:type="dxa"/>
            <w:shd w:val="clear" w:color="auto" w:fill="auto"/>
          </w:tcPr>
          <w:p w14:paraId="4AD0FD0E" w14:textId="57187D26" w:rsidR="00171AFC" w:rsidRPr="00F479EA" w:rsidRDefault="00171AFC" w:rsidP="003C3509">
            <w:pPr>
              <w:jc w:val="left"/>
              <w:rPr>
                <w:rStyle w:val="InstructionsTabelleText"/>
                <w:rFonts w:ascii="Times New Roman" w:hAnsi="Times New Roman"/>
                <w:szCs w:val="20"/>
              </w:rPr>
            </w:pPr>
            <w:r w:rsidRPr="00F479EA">
              <w:rPr>
                <w:rStyle w:val="InstructionsTabelleText"/>
                <w:rFonts w:ascii="Times New Roman" w:hAnsi="Times New Roman"/>
                <w:szCs w:val="20"/>
              </w:rPr>
              <w:t>PD - 12 months -</w:t>
            </w:r>
            <w:r>
              <w:rPr>
                <w:rStyle w:val="InstructionsTabelleText"/>
                <w:rFonts w:ascii="Times New Roman" w:hAnsi="Times New Roman"/>
                <w:szCs w:val="20"/>
              </w:rPr>
              <w:t xml:space="preserve"> IFRS 9 </w:t>
            </w:r>
            <w:r w:rsidRPr="00F479EA">
              <w:rPr>
                <w:rStyle w:val="InstructionsTabelleText"/>
                <w:rFonts w:ascii="Times New Roman" w:hAnsi="Times New Roman"/>
                <w:szCs w:val="20"/>
              </w:rPr>
              <w:t>-</w:t>
            </w:r>
            <w:r>
              <w:rPr>
                <w:rStyle w:val="InstructionsTabelleText"/>
                <w:rFonts w:ascii="Times New Roman" w:hAnsi="Times New Roman"/>
                <w:szCs w:val="20"/>
              </w:rPr>
              <w:t xml:space="preserve"> Stage 2</w:t>
            </w:r>
          </w:p>
        </w:tc>
        <w:tc>
          <w:tcPr>
            <w:tcW w:w="1672" w:type="dxa"/>
            <w:shd w:val="clear" w:color="auto" w:fill="auto"/>
          </w:tcPr>
          <w:p w14:paraId="4E88DBA0" w14:textId="77777777" w:rsidR="00171AFC" w:rsidRPr="00F479EA" w:rsidRDefault="00171AFC" w:rsidP="006601FE">
            <w:pPr>
              <w:rPr>
                <w:rStyle w:val="InstructionsTabelleText"/>
                <w:rFonts w:ascii="Times New Roman" w:hAnsi="Times New Roman"/>
              </w:rPr>
            </w:pPr>
          </w:p>
        </w:tc>
        <w:tc>
          <w:tcPr>
            <w:tcW w:w="9781" w:type="dxa"/>
            <w:shd w:val="clear" w:color="auto" w:fill="auto"/>
          </w:tcPr>
          <w:p w14:paraId="32F4A164" w14:textId="77777777" w:rsidR="009751A9" w:rsidRDefault="009751A9" w:rsidP="009751A9">
            <w:pPr>
              <w:rPr>
                <w:rFonts w:ascii="Times New Roman" w:hAnsi="Times New Roman"/>
                <w:szCs w:val="20"/>
              </w:rPr>
            </w:pPr>
            <w:r w:rsidRPr="00384CAC">
              <w:rPr>
                <w:rStyle w:val="InstructionsTabelleText"/>
                <w:rFonts w:ascii="Times New Roman" w:hAnsi="Times New Roman"/>
                <w:szCs w:val="20"/>
              </w:rPr>
              <w:t xml:space="preserve">The </w:t>
            </w:r>
            <w:r>
              <w:rPr>
                <w:rStyle w:val="InstructionsTabelleText"/>
                <w:rFonts w:ascii="Times New Roman" w:hAnsi="Times New Roman"/>
                <w:szCs w:val="20"/>
              </w:rPr>
              <w:t xml:space="preserve">weighted average </w:t>
            </w:r>
            <w:r w:rsidRPr="00384CAC">
              <w:rPr>
                <w:rStyle w:val="InstructionsTabelleText"/>
                <w:rFonts w:ascii="Times New Roman" w:hAnsi="Times New Roman"/>
                <w:szCs w:val="20"/>
              </w:rPr>
              <w:t>PD</w:t>
            </w:r>
            <w:r>
              <w:rPr>
                <w:rStyle w:val="InstructionsTabelleText"/>
                <w:rFonts w:ascii="Times New Roman" w:hAnsi="Times New Roman"/>
                <w:szCs w:val="20"/>
              </w:rPr>
              <w:t xml:space="preserve"> over</w:t>
            </w:r>
            <w:r w:rsidRPr="00D47222">
              <w:rPr>
                <w:rStyle w:val="InstructionsTabelleText"/>
                <w:rFonts w:ascii="Times New Roman" w:hAnsi="Times New Roman"/>
                <w:szCs w:val="20"/>
              </w:rPr>
              <w:t xml:space="preserve"> </w:t>
            </w:r>
            <w:r>
              <w:rPr>
                <w:rStyle w:val="InstructionsTabelleText"/>
                <w:rFonts w:ascii="Times New Roman" w:hAnsi="Times New Roman"/>
                <w:szCs w:val="20"/>
              </w:rPr>
              <w:t>all</w:t>
            </w:r>
            <w:r w:rsidRPr="00D47222">
              <w:rPr>
                <w:rStyle w:val="InstructionsTabelleText"/>
                <w:rFonts w:ascii="Times New Roman" w:hAnsi="Times New Roman"/>
                <w:szCs w:val="20"/>
              </w:rPr>
              <w:t xml:space="preserve"> facilities included in the respective portfolio and which were allocated within stage 2 at the reporting date</w:t>
            </w:r>
            <w:r>
              <w:rPr>
                <w:rStyle w:val="InstructionsTabelleText"/>
                <w:rFonts w:ascii="Times New Roman" w:hAnsi="Times New Roman"/>
                <w:szCs w:val="20"/>
              </w:rPr>
              <w:t xml:space="preserve">. </w:t>
            </w:r>
            <w:proofErr w:type="gramStart"/>
            <w:r>
              <w:rPr>
                <w:rFonts w:ascii="Times New Roman" w:hAnsi="Times New Roman"/>
                <w:szCs w:val="20"/>
              </w:rPr>
              <w:t>For the purpose of</w:t>
            </w:r>
            <w:proofErr w:type="gramEnd"/>
            <w:r>
              <w:rPr>
                <w:rFonts w:ascii="Times New Roman" w:hAnsi="Times New Roman"/>
                <w:szCs w:val="20"/>
              </w:rPr>
              <w:t xml:space="preserve"> this computation:</w:t>
            </w:r>
          </w:p>
          <w:p w14:paraId="6DE05A95" w14:textId="5584FF80" w:rsidR="009751A9" w:rsidRDefault="009751A9" w:rsidP="009751A9">
            <w:pPr>
              <w:numPr>
                <w:ilvl w:val="0"/>
                <w:numId w:val="24"/>
              </w:numPr>
              <w:rPr>
                <w:rFonts w:ascii="Times New Roman" w:hAnsi="Times New Roman"/>
                <w:szCs w:val="20"/>
              </w:rPr>
            </w:pPr>
            <w:r>
              <w:rPr>
                <w:rFonts w:ascii="Times New Roman" w:hAnsi="Times New Roman"/>
                <w:szCs w:val="20"/>
              </w:rPr>
              <w:t>The PD shall</w:t>
            </w:r>
            <w:r w:rsidRPr="00384CAC">
              <w:rPr>
                <w:rFonts w:ascii="Times New Roman" w:hAnsi="Times New Roman"/>
                <w:szCs w:val="20"/>
              </w:rPr>
              <w:t xml:space="preserve"> represent the probability of a default event within 12 months following the reporting date, as considered in the application of the impairment requirements under IFRS 9. This shall be the PD used to compute the 12-month expected credit loss (ECL</w:t>
            </w:r>
            <w:r w:rsidRPr="00384CAC">
              <w:rPr>
                <w:rStyle w:val="InstructionsTabelleText"/>
                <w:rFonts w:ascii="Times New Roman" w:hAnsi="Times New Roman"/>
                <w:szCs w:val="20"/>
              </w:rPr>
              <w:t xml:space="preserve"> amount</w:t>
            </w:r>
            <w:r w:rsidRPr="00384CAC">
              <w:rPr>
                <w:rStyle w:val="InstructionsTabelleText"/>
                <w:rFonts w:ascii="Times New Roman" w:hAnsi="Times New Roman"/>
                <w:bCs/>
                <w:szCs w:val="20"/>
              </w:rPr>
              <w:t xml:space="preserve"> – 12 months IFRS 9</w:t>
            </w:r>
            <w:r w:rsidRPr="00384CAC">
              <w:rPr>
                <w:rFonts w:ascii="Times New Roman" w:hAnsi="Times New Roman"/>
                <w:szCs w:val="20"/>
              </w:rPr>
              <w:t>)</w:t>
            </w:r>
            <w:r w:rsidR="00A630C3">
              <w:rPr>
                <w:rFonts w:ascii="Times New Roman" w:hAnsi="Times New Roman"/>
                <w:szCs w:val="20"/>
              </w:rPr>
              <w:t xml:space="preserve"> </w:t>
            </w:r>
            <w:r w:rsidRPr="00384CAC">
              <w:rPr>
                <w:rFonts w:ascii="Times New Roman" w:hAnsi="Times New Roman"/>
                <w:szCs w:val="20"/>
              </w:rPr>
              <w:t>and associated with the economic scenario 0 in template C11</w:t>
            </w:r>
            <w:r>
              <w:rPr>
                <w:rFonts w:ascii="Times New Roman" w:hAnsi="Times New Roman"/>
                <w:szCs w:val="20"/>
              </w:rPr>
              <w:t>6</w:t>
            </w:r>
            <w:r w:rsidRPr="00384CAC">
              <w:rPr>
                <w:rFonts w:ascii="Times New Roman" w:hAnsi="Times New Roman"/>
                <w:szCs w:val="20"/>
              </w:rPr>
              <w:t>.00.</w:t>
            </w:r>
          </w:p>
          <w:p w14:paraId="52FFFD7D" w14:textId="434C3E1B" w:rsidR="009751A9" w:rsidRDefault="009751A9" w:rsidP="009751A9">
            <w:pPr>
              <w:numPr>
                <w:ilvl w:val="0"/>
                <w:numId w:val="24"/>
              </w:numPr>
              <w:rPr>
                <w:rStyle w:val="InstructionsTabelleText"/>
                <w:rFonts w:ascii="Times New Roman" w:hAnsi="Times New Roman"/>
                <w:szCs w:val="20"/>
              </w:rPr>
            </w:pPr>
            <w:r w:rsidRPr="00384CAC">
              <w:rPr>
                <w:rStyle w:val="InstructionsTabelleText"/>
                <w:rFonts w:ascii="Times New Roman" w:hAnsi="Times New Roman"/>
                <w:szCs w:val="20"/>
              </w:rPr>
              <w:t xml:space="preserve">The weight used </w:t>
            </w:r>
            <w:r>
              <w:rPr>
                <w:rStyle w:val="InstructionsTabelleText"/>
                <w:rFonts w:ascii="Times New Roman" w:hAnsi="Times New Roman"/>
                <w:szCs w:val="20"/>
              </w:rPr>
              <w:t xml:space="preserve">for each facility </w:t>
            </w:r>
            <w:r w:rsidRPr="00384CAC">
              <w:rPr>
                <w:rStyle w:val="InstructionsTabelleText"/>
                <w:rFonts w:ascii="Times New Roman" w:hAnsi="Times New Roman"/>
                <w:szCs w:val="20"/>
              </w:rPr>
              <w:t>shall be the exposure value</w:t>
            </w:r>
            <w:r>
              <w:rPr>
                <w:rStyle w:val="InstructionsTabelleText"/>
                <w:rFonts w:ascii="Times New Roman" w:hAnsi="Times New Roman"/>
                <w:szCs w:val="20"/>
              </w:rPr>
              <w:t xml:space="preserve"> as </w:t>
            </w:r>
            <w:r w:rsidRPr="00384CAC">
              <w:rPr>
                <w:rStyle w:val="InstructionsTabelleText"/>
                <w:rFonts w:ascii="Times New Roman" w:hAnsi="Times New Roman"/>
                <w:szCs w:val="20"/>
              </w:rPr>
              <w:t xml:space="preserve">defined </w:t>
            </w:r>
            <w:r>
              <w:rPr>
                <w:rStyle w:val="InstructionsTabelleText"/>
                <w:rFonts w:ascii="Times New Roman" w:hAnsi="Times New Roman"/>
                <w:szCs w:val="20"/>
              </w:rPr>
              <w:t xml:space="preserve">respectively </w:t>
            </w:r>
            <w:r w:rsidRPr="00384CAC">
              <w:rPr>
                <w:rStyle w:val="InstructionsTabelleText"/>
                <w:rFonts w:ascii="Times New Roman" w:hAnsi="Times New Roman"/>
                <w:szCs w:val="20"/>
              </w:rPr>
              <w:t>in column 00</w:t>
            </w:r>
            <w:r>
              <w:rPr>
                <w:rStyle w:val="InstructionsTabelleText"/>
                <w:rFonts w:ascii="Times New Roman" w:hAnsi="Times New Roman"/>
                <w:szCs w:val="20"/>
              </w:rPr>
              <w:t xml:space="preserve">51 </w:t>
            </w:r>
            <w:r w:rsidRPr="00384CAC">
              <w:rPr>
                <w:rStyle w:val="InstructionsTabelleText"/>
                <w:rFonts w:ascii="Times New Roman" w:hAnsi="Times New Roman"/>
                <w:szCs w:val="20"/>
              </w:rPr>
              <w:t>of this template</w:t>
            </w:r>
            <w:r>
              <w:rPr>
                <w:rStyle w:val="InstructionsTabelleText"/>
                <w:rFonts w:ascii="Times New Roman" w:hAnsi="Times New Roman"/>
                <w:szCs w:val="20"/>
              </w:rPr>
              <w:t>.</w:t>
            </w:r>
          </w:p>
          <w:p w14:paraId="735E6549" w14:textId="41AC8BE3" w:rsidR="00171AFC" w:rsidRPr="00F479EA" w:rsidRDefault="009751A9" w:rsidP="009751A9">
            <w:pPr>
              <w:rPr>
                <w:rFonts w:ascii="Times New Roman" w:hAnsi="Times New Roman"/>
              </w:rPr>
            </w:pPr>
            <w:r>
              <w:rPr>
                <w:rStyle w:val="InstructionsTabelleText"/>
                <w:rFonts w:ascii="Times New Roman" w:hAnsi="Times New Roman"/>
              </w:rPr>
              <w:t>The data reported shall include any</w:t>
            </w:r>
            <w:r w:rsidRPr="00A8219C">
              <w:rPr>
                <w:rStyle w:val="InstructionsTabelleText"/>
                <w:rFonts w:ascii="Times New Roman" w:hAnsi="Times New Roman"/>
              </w:rPr>
              <w:t xml:space="preserve"> temporary model/manual adjustment or overlay that has been applied directly at the level of the PD parameter</w:t>
            </w:r>
            <w:r>
              <w:rPr>
                <w:rStyle w:val="InstructionsTabelleText"/>
                <w:rFonts w:ascii="Times New Roman" w:hAnsi="Times New Roman"/>
              </w:rPr>
              <w:t>.</w:t>
            </w:r>
          </w:p>
        </w:tc>
      </w:tr>
      <w:tr w:rsidR="006601FE" w:rsidRPr="00384CAC" w14:paraId="05DE64CA" w14:textId="77777777" w:rsidTr="003C3509">
        <w:tc>
          <w:tcPr>
            <w:tcW w:w="993" w:type="dxa"/>
            <w:shd w:val="clear" w:color="auto" w:fill="auto"/>
          </w:tcPr>
          <w:p w14:paraId="375022A7" w14:textId="777292C3" w:rsidR="006601FE" w:rsidRPr="00384CAC" w:rsidRDefault="006601FE" w:rsidP="006601FE">
            <w:pPr>
              <w:rPr>
                <w:rStyle w:val="InstructionsTabelleText"/>
                <w:rFonts w:ascii="Times New Roman" w:hAnsi="Times New Roman"/>
                <w:szCs w:val="20"/>
              </w:rPr>
            </w:pPr>
            <w:r>
              <w:rPr>
                <w:rStyle w:val="InstructionsTabelleText"/>
                <w:rFonts w:ascii="Times New Roman" w:hAnsi="Times New Roman"/>
                <w:szCs w:val="20"/>
              </w:rPr>
              <w:t>0120</w:t>
            </w:r>
          </w:p>
        </w:tc>
        <w:tc>
          <w:tcPr>
            <w:tcW w:w="1871" w:type="dxa"/>
            <w:shd w:val="clear" w:color="auto" w:fill="auto"/>
          </w:tcPr>
          <w:p w14:paraId="184E3650" w14:textId="5C5545F5" w:rsidR="006601FE" w:rsidRPr="002844C0" w:rsidRDefault="006601FE" w:rsidP="006601FE">
            <w:pPr>
              <w:rPr>
                <w:rStyle w:val="InstructionsTabelleText"/>
                <w:rFonts w:ascii="Times New Roman" w:hAnsi="Times New Roman"/>
                <w:szCs w:val="20"/>
              </w:rPr>
            </w:pPr>
            <w:r w:rsidRPr="002844C0">
              <w:rPr>
                <w:rStyle w:val="InstructionsTabelleText"/>
                <w:rFonts w:ascii="Times New Roman" w:hAnsi="Times New Roman"/>
              </w:rPr>
              <w:t>Collateral value</w:t>
            </w:r>
          </w:p>
        </w:tc>
        <w:tc>
          <w:tcPr>
            <w:tcW w:w="1672" w:type="dxa"/>
            <w:shd w:val="clear" w:color="auto" w:fill="auto"/>
          </w:tcPr>
          <w:p w14:paraId="0B866625" w14:textId="63D0ED81" w:rsidR="006601FE" w:rsidRPr="002844C0" w:rsidRDefault="006601FE" w:rsidP="006601FE">
            <w:pPr>
              <w:rPr>
                <w:rStyle w:val="InstructionsTabelleText"/>
                <w:rFonts w:ascii="Times New Roman" w:hAnsi="Times New Roman"/>
                <w:bCs/>
                <w:szCs w:val="20"/>
              </w:rPr>
            </w:pPr>
          </w:p>
        </w:tc>
        <w:tc>
          <w:tcPr>
            <w:tcW w:w="9781" w:type="dxa"/>
            <w:shd w:val="clear" w:color="auto" w:fill="auto"/>
          </w:tcPr>
          <w:p w14:paraId="3E094D11" w14:textId="1DEA75F7" w:rsidR="00E700AA" w:rsidRPr="002844C0" w:rsidRDefault="006601FE" w:rsidP="006601FE">
            <w:pPr>
              <w:rPr>
                <w:rStyle w:val="InstructionsTabelleText"/>
                <w:rFonts w:ascii="Times New Roman" w:hAnsi="Times New Roman"/>
                <w:szCs w:val="20"/>
                <w:lang w:eastAsia="de-DE"/>
              </w:rPr>
            </w:pPr>
            <w:r w:rsidRPr="002844C0">
              <w:rPr>
                <w:rFonts w:ascii="Times New Roman" w:hAnsi="Times New Roman"/>
                <w:szCs w:val="20"/>
                <w:lang w:eastAsia="de-DE"/>
              </w:rPr>
              <w:t>The market value of the collateral shall be reported.</w:t>
            </w:r>
          </w:p>
        </w:tc>
      </w:tr>
      <w:tr w:rsidR="006601FE" w:rsidRPr="00384CAC" w14:paraId="22032CB5" w14:textId="77777777" w:rsidTr="003C3509">
        <w:tc>
          <w:tcPr>
            <w:tcW w:w="993" w:type="dxa"/>
            <w:shd w:val="clear" w:color="auto" w:fill="auto"/>
          </w:tcPr>
          <w:p w14:paraId="35810E72" w14:textId="5EF5B217" w:rsidR="006601FE" w:rsidRPr="00384CAC" w:rsidRDefault="006601FE" w:rsidP="006601FE">
            <w:pPr>
              <w:rPr>
                <w:rStyle w:val="InstructionsTabelleText"/>
                <w:rFonts w:ascii="Times New Roman" w:hAnsi="Times New Roman"/>
                <w:bCs/>
                <w:szCs w:val="20"/>
              </w:rPr>
            </w:pPr>
            <w:r w:rsidRPr="00384CAC">
              <w:rPr>
                <w:rStyle w:val="InstructionsTabelleText"/>
                <w:rFonts w:ascii="Times New Roman" w:hAnsi="Times New Roman"/>
                <w:szCs w:val="20"/>
              </w:rPr>
              <w:t>0</w:t>
            </w:r>
            <w:r>
              <w:rPr>
                <w:rStyle w:val="InstructionsTabelleText"/>
                <w:rFonts w:ascii="Times New Roman" w:hAnsi="Times New Roman"/>
                <w:szCs w:val="20"/>
              </w:rPr>
              <w:t>130</w:t>
            </w:r>
          </w:p>
        </w:tc>
        <w:tc>
          <w:tcPr>
            <w:tcW w:w="1871" w:type="dxa"/>
            <w:shd w:val="clear" w:color="auto" w:fill="auto"/>
          </w:tcPr>
          <w:p w14:paraId="3313F66B" w14:textId="6A70E992" w:rsidR="006601FE" w:rsidRPr="00384CAC" w:rsidRDefault="006601FE" w:rsidP="006601FE">
            <w:pPr>
              <w:rPr>
                <w:rStyle w:val="InstructionsTabelleText"/>
                <w:rFonts w:ascii="Times New Roman" w:hAnsi="Times New Roman"/>
                <w:bCs/>
                <w:szCs w:val="20"/>
              </w:rPr>
            </w:pPr>
            <w:r w:rsidRPr="00384CAC">
              <w:rPr>
                <w:rStyle w:val="InstructionsTabelleText"/>
                <w:rFonts w:ascii="Times New Roman" w:hAnsi="Times New Roman"/>
                <w:szCs w:val="20"/>
              </w:rPr>
              <w:t>LGD - IFRS 9</w:t>
            </w:r>
          </w:p>
        </w:tc>
        <w:tc>
          <w:tcPr>
            <w:tcW w:w="1672" w:type="dxa"/>
            <w:shd w:val="clear" w:color="auto" w:fill="auto"/>
          </w:tcPr>
          <w:p w14:paraId="1FE139E5" w14:textId="519E6C7E" w:rsidR="006601FE" w:rsidRPr="00384CAC" w:rsidRDefault="006601FE" w:rsidP="006601FE">
            <w:pPr>
              <w:rPr>
                <w:rStyle w:val="InstructionsTabelleText"/>
                <w:rFonts w:ascii="Times New Roman" w:hAnsi="Times New Roman"/>
                <w:bCs/>
                <w:szCs w:val="20"/>
              </w:rPr>
            </w:pPr>
          </w:p>
        </w:tc>
        <w:tc>
          <w:tcPr>
            <w:tcW w:w="9781" w:type="dxa"/>
            <w:shd w:val="clear" w:color="auto" w:fill="auto"/>
          </w:tcPr>
          <w:p w14:paraId="3C50999A" w14:textId="1DAEA16C" w:rsidR="006601FE" w:rsidRPr="00384CAC" w:rsidRDefault="006601FE" w:rsidP="006601FE">
            <w:pPr>
              <w:rPr>
                <w:rFonts w:ascii="Times New Roman" w:hAnsi="Times New Roman"/>
                <w:szCs w:val="20"/>
              </w:rPr>
            </w:pPr>
            <w:r w:rsidRPr="00384CAC">
              <w:rPr>
                <w:rStyle w:val="InstructionsTabelleText"/>
                <w:rFonts w:ascii="Times New Roman" w:hAnsi="Times New Roman"/>
                <w:szCs w:val="20"/>
              </w:rPr>
              <w:t xml:space="preserve">The weighted average LGD of the </w:t>
            </w:r>
            <w:r>
              <w:rPr>
                <w:rStyle w:val="InstructionsTabelleText"/>
                <w:rFonts w:ascii="Times New Roman" w:hAnsi="Times New Roman"/>
                <w:szCs w:val="20"/>
              </w:rPr>
              <w:t>respective portfolio</w:t>
            </w:r>
            <w:r w:rsidRPr="00384CAC">
              <w:rPr>
                <w:rStyle w:val="InstructionsTabelleText"/>
                <w:rFonts w:ascii="Times New Roman" w:hAnsi="Times New Roman"/>
                <w:szCs w:val="20"/>
              </w:rPr>
              <w:t xml:space="preserve"> at the reporting date, </w:t>
            </w:r>
            <w:r w:rsidRPr="00384CAC">
              <w:rPr>
                <w:rFonts w:ascii="Times New Roman" w:hAnsi="Times New Roman"/>
                <w:szCs w:val="20"/>
              </w:rPr>
              <w:t xml:space="preserve">as considered in the impairment requirements under IFRS 9 and used to compute the final expected credit loss. </w:t>
            </w:r>
          </w:p>
          <w:p w14:paraId="120A2399" w14:textId="13288B04" w:rsidR="006601FE" w:rsidRPr="00384CAC" w:rsidRDefault="006601FE" w:rsidP="006601FE">
            <w:pPr>
              <w:rPr>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w:t>
            </w:r>
            <w:r w:rsidRPr="00384CAC">
              <w:rPr>
                <w:rFonts w:ascii="Times New Roman" w:hAnsi="Times New Roman"/>
                <w:szCs w:val="20"/>
              </w:rPr>
              <w:t>LGD 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69732D">
              <w:rPr>
                <w:rStyle w:val="InstructionsTabelleText"/>
                <w:rFonts w:ascii="Times New Roman" w:hAnsi="Times New Roman"/>
                <w:szCs w:val="20"/>
              </w:rPr>
              <w:t xml:space="preserve">intended as the sum of the amounts </w:t>
            </w:r>
            <w:r w:rsidR="0069732D" w:rsidRPr="00384CAC">
              <w:rPr>
                <w:rStyle w:val="InstructionsTabelleText"/>
                <w:rFonts w:ascii="Times New Roman" w:hAnsi="Times New Roman"/>
                <w:szCs w:val="20"/>
              </w:rPr>
              <w:t xml:space="preserve">defined </w:t>
            </w:r>
            <w:r w:rsidR="0069732D">
              <w:rPr>
                <w:rStyle w:val="InstructionsTabelleText"/>
                <w:rFonts w:ascii="Times New Roman" w:hAnsi="Times New Roman"/>
                <w:szCs w:val="20"/>
              </w:rPr>
              <w:t xml:space="preserve">respectively </w:t>
            </w:r>
            <w:r w:rsidR="0069732D" w:rsidRPr="00384CAC">
              <w:rPr>
                <w:rStyle w:val="InstructionsTabelleText"/>
                <w:rFonts w:ascii="Times New Roman" w:hAnsi="Times New Roman"/>
                <w:szCs w:val="20"/>
              </w:rPr>
              <w:t>in column 00</w:t>
            </w:r>
            <w:r w:rsidR="0069732D">
              <w:rPr>
                <w:rStyle w:val="InstructionsTabelleText"/>
                <w:rFonts w:ascii="Times New Roman" w:hAnsi="Times New Roman"/>
                <w:szCs w:val="20"/>
              </w:rPr>
              <w:t>5</w:t>
            </w:r>
            <w:r w:rsidR="0069732D" w:rsidRPr="00384CAC">
              <w:rPr>
                <w:rStyle w:val="InstructionsTabelleText"/>
                <w:rFonts w:ascii="Times New Roman" w:hAnsi="Times New Roman"/>
                <w:szCs w:val="20"/>
              </w:rPr>
              <w:t>0</w:t>
            </w:r>
            <w:r w:rsidR="0069732D">
              <w:rPr>
                <w:rStyle w:val="InstructionsTabelleText"/>
                <w:rFonts w:ascii="Times New Roman" w:hAnsi="Times New Roman"/>
                <w:szCs w:val="20"/>
              </w:rPr>
              <w:t xml:space="preserve"> (in case of </w:t>
            </w:r>
            <w:r w:rsidR="009E12C8">
              <w:rPr>
                <w:rStyle w:val="InstructionsTabelleText"/>
                <w:rFonts w:ascii="Times New Roman" w:hAnsi="Times New Roman"/>
                <w:szCs w:val="20"/>
              </w:rPr>
              <w:t>s</w:t>
            </w:r>
            <w:r w:rsidR="0069732D">
              <w:rPr>
                <w:rStyle w:val="InstructionsTabelleText"/>
                <w:rFonts w:ascii="Times New Roman" w:hAnsi="Times New Roman"/>
                <w:szCs w:val="20"/>
              </w:rPr>
              <w:t xml:space="preserve">tage 1 facilities), </w:t>
            </w:r>
            <w:r w:rsidR="0069732D" w:rsidRPr="00384CAC">
              <w:rPr>
                <w:rStyle w:val="InstructionsTabelleText"/>
                <w:rFonts w:ascii="Times New Roman" w:hAnsi="Times New Roman"/>
                <w:szCs w:val="20"/>
              </w:rPr>
              <w:t xml:space="preserve">column </w:t>
            </w:r>
            <w:r w:rsidR="0069732D">
              <w:rPr>
                <w:rStyle w:val="InstructionsTabelleText"/>
                <w:rFonts w:ascii="Times New Roman" w:hAnsi="Times New Roman"/>
                <w:szCs w:val="20"/>
              </w:rPr>
              <w:t xml:space="preserve">0051 (in case of </w:t>
            </w:r>
            <w:r w:rsidR="009E12C8">
              <w:rPr>
                <w:rStyle w:val="InstructionsTabelleText"/>
                <w:rFonts w:ascii="Times New Roman" w:hAnsi="Times New Roman"/>
                <w:szCs w:val="20"/>
              </w:rPr>
              <w:t>s</w:t>
            </w:r>
            <w:r w:rsidR="0069732D">
              <w:rPr>
                <w:rStyle w:val="InstructionsTabelleText"/>
                <w:rFonts w:ascii="Times New Roman" w:hAnsi="Times New Roman"/>
                <w:szCs w:val="20"/>
              </w:rPr>
              <w:t xml:space="preserve">tage 2 facilities) and </w:t>
            </w:r>
            <w:r w:rsidR="0069732D" w:rsidRPr="00384CAC">
              <w:rPr>
                <w:rStyle w:val="InstructionsTabelleText"/>
                <w:rFonts w:ascii="Times New Roman" w:hAnsi="Times New Roman"/>
                <w:szCs w:val="20"/>
              </w:rPr>
              <w:t>column</w:t>
            </w:r>
            <w:r w:rsidR="0069732D">
              <w:rPr>
                <w:rStyle w:val="InstructionsTabelleText"/>
                <w:rFonts w:ascii="Times New Roman" w:hAnsi="Times New Roman"/>
                <w:szCs w:val="20"/>
              </w:rPr>
              <w:t xml:space="preserve"> 0052 (in case of </w:t>
            </w:r>
            <w:r w:rsidR="009E12C8">
              <w:rPr>
                <w:rStyle w:val="InstructionsTabelleText"/>
                <w:rFonts w:ascii="Times New Roman" w:hAnsi="Times New Roman"/>
                <w:szCs w:val="20"/>
              </w:rPr>
              <w:t>s</w:t>
            </w:r>
            <w:r w:rsidR="0069732D">
              <w:rPr>
                <w:rStyle w:val="InstructionsTabelleText"/>
                <w:rFonts w:ascii="Times New Roman" w:hAnsi="Times New Roman"/>
                <w:szCs w:val="20"/>
              </w:rPr>
              <w:t xml:space="preserve">tage 3 facilities) </w:t>
            </w:r>
            <w:r w:rsidR="0069732D" w:rsidRPr="00384CAC">
              <w:rPr>
                <w:rStyle w:val="InstructionsTabelleText"/>
                <w:rFonts w:ascii="Times New Roman" w:hAnsi="Times New Roman"/>
                <w:szCs w:val="20"/>
              </w:rPr>
              <w:t>of this template</w:t>
            </w:r>
            <w:r w:rsidRPr="00384CAC">
              <w:rPr>
                <w:rFonts w:ascii="Times New Roman" w:hAnsi="Times New Roman"/>
                <w:szCs w:val="20"/>
              </w:rPr>
              <w:t>.</w:t>
            </w:r>
          </w:p>
          <w:p w14:paraId="7D62C3BB" w14:textId="77777777" w:rsidR="006601FE" w:rsidRDefault="006601FE" w:rsidP="006601FE">
            <w:pPr>
              <w:rPr>
                <w:rFonts w:ascii="Times New Roman" w:hAnsi="Times New Roman"/>
                <w:szCs w:val="20"/>
              </w:rPr>
            </w:pPr>
            <w:r w:rsidRPr="00384CAC">
              <w:rPr>
                <w:rFonts w:ascii="Times New Roman" w:hAnsi="Times New Roman"/>
                <w:szCs w:val="20"/>
              </w:rPr>
              <w:t>For both stage 1 and stage 2 facilities, the LGD for each facility shall be the one associated with default events over the 12 months’ period following the reporting date.</w:t>
            </w:r>
          </w:p>
          <w:p w14:paraId="4D3915B9" w14:textId="17E195D8" w:rsidR="006601FE" w:rsidRPr="00384CAC" w:rsidRDefault="006601FE" w:rsidP="006601FE">
            <w:pPr>
              <w:rPr>
                <w:rStyle w:val="InstructionsTabelleText"/>
                <w:rFonts w:ascii="Times New Roman" w:hAnsi="Times New Roman"/>
                <w:bCs/>
                <w:szCs w:val="20"/>
              </w:rPr>
            </w:pPr>
            <w:proofErr w:type="gramStart"/>
            <w:r>
              <w:rPr>
                <w:rStyle w:val="InstructionsTabelleText"/>
                <w:rFonts w:ascii="Times New Roman" w:hAnsi="Times New Roman"/>
              </w:rPr>
              <w:t>For the purpose of</w:t>
            </w:r>
            <w:proofErr w:type="gramEnd"/>
            <w:r>
              <w:rPr>
                <w:rStyle w:val="InstructionsTabelleText"/>
                <w:rFonts w:ascii="Times New Roman" w:hAnsi="Times New Roman"/>
              </w:rPr>
              <w:t xml:space="preserve"> this datapoint, the data reported shall include any</w:t>
            </w:r>
            <w:r w:rsidRPr="00A8219C">
              <w:rPr>
                <w:rStyle w:val="InstructionsTabelleText"/>
                <w:rFonts w:ascii="Times New Roman" w:hAnsi="Times New Roman"/>
              </w:rPr>
              <w:t xml:space="preserve"> temporary model adjustment or overlay that has been applied directly at the level of the </w:t>
            </w:r>
            <w:r>
              <w:rPr>
                <w:rStyle w:val="InstructionsTabelleText"/>
                <w:rFonts w:ascii="Times New Roman" w:hAnsi="Times New Roman"/>
              </w:rPr>
              <w:t>LGD</w:t>
            </w:r>
            <w:r w:rsidRPr="00A8219C">
              <w:rPr>
                <w:rStyle w:val="InstructionsTabelleText"/>
                <w:rFonts w:ascii="Times New Roman" w:hAnsi="Times New Roman"/>
              </w:rPr>
              <w:t xml:space="preserve"> parameter</w:t>
            </w:r>
            <w:r>
              <w:rPr>
                <w:rStyle w:val="InstructionsTabelleText"/>
                <w:rFonts w:ascii="Times New Roman" w:hAnsi="Times New Roman"/>
              </w:rPr>
              <w:t>.</w:t>
            </w:r>
          </w:p>
        </w:tc>
      </w:tr>
      <w:tr w:rsidR="006601FE" w:rsidRPr="00384CAC" w14:paraId="657AF64C" w14:textId="77777777" w:rsidTr="003C3509">
        <w:tc>
          <w:tcPr>
            <w:tcW w:w="993" w:type="dxa"/>
            <w:shd w:val="clear" w:color="auto" w:fill="auto"/>
          </w:tcPr>
          <w:p w14:paraId="0C6045E6" w14:textId="57D5E574"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lastRenderedPageBreak/>
              <w:t>0</w:t>
            </w:r>
            <w:r>
              <w:rPr>
                <w:rStyle w:val="InstructionsTabelleText"/>
                <w:rFonts w:ascii="Times New Roman" w:hAnsi="Times New Roman"/>
                <w:szCs w:val="20"/>
              </w:rPr>
              <w:t>133</w:t>
            </w:r>
          </w:p>
        </w:tc>
        <w:tc>
          <w:tcPr>
            <w:tcW w:w="1871" w:type="dxa"/>
            <w:shd w:val="clear" w:color="auto" w:fill="auto"/>
          </w:tcPr>
          <w:p w14:paraId="64662FAA" w14:textId="4B9E87DA" w:rsidR="006601FE" w:rsidRPr="00384CAC" w:rsidRDefault="006601FE" w:rsidP="006601FE">
            <w:pPr>
              <w:rPr>
                <w:rStyle w:val="InstructionsTabelleText"/>
                <w:rFonts w:ascii="Times New Roman" w:hAnsi="Times New Roman"/>
                <w:szCs w:val="20"/>
              </w:rPr>
            </w:pPr>
            <w:r w:rsidRPr="00384CAC">
              <w:rPr>
                <w:rStyle w:val="InstructionsTabelleText"/>
                <w:rFonts w:ascii="Times New Roman" w:hAnsi="Times New Roman"/>
                <w:szCs w:val="20"/>
              </w:rPr>
              <w:t>LGD - IFRS 9</w:t>
            </w:r>
            <w:r>
              <w:rPr>
                <w:rStyle w:val="InstructionsTabelleText"/>
                <w:rFonts w:ascii="Times New Roman" w:hAnsi="Times New Roman"/>
                <w:szCs w:val="20"/>
              </w:rPr>
              <w:t xml:space="preserve"> without overlays</w:t>
            </w:r>
          </w:p>
        </w:tc>
        <w:tc>
          <w:tcPr>
            <w:tcW w:w="1672" w:type="dxa"/>
            <w:shd w:val="clear" w:color="auto" w:fill="auto"/>
          </w:tcPr>
          <w:p w14:paraId="3F3F85EB" w14:textId="77777777" w:rsidR="006601FE" w:rsidRPr="00384CAC" w:rsidRDefault="006601FE" w:rsidP="006601FE">
            <w:pPr>
              <w:pStyle w:val="CM3"/>
              <w:spacing w:before="60" w:after="60"/>
              <w:jc w:val="both"/>
              <w:rPr>
                <w:rStyle w:val="InstructionsTabelleText"/>
                <w:rFonts w:ascii="Times New Roman" w:hAnsi="Times New Roman"/>
                <w:szCs w:val="20"/>
              </w:rPr>
            </w:pPr>
          </w:p>
        </w:tc>
        <w:tc>
          <w:tcPr>
            <w:tcW w:w="9781" w:type="dxa"/>
            <w:shd w:val="clear" w:color="auto" w:fill="auto"/>
          </w:tcPr>
          <w:p w14:paraId="6178B8F8" w14:textId="443E4C58" w:rsidR="006601FE" w:rsidRDefault="006601FE" w:rsidP="006601FE">
            <w:pPr>
              <w:rPr>
                <w:rStyle w:val="InstructionsTabelleText"/>
                <w:rFonts w:ascii="Times New Roman" w:hAnsi="Times New Roman"/>
              </w:rPr>
            </w:pPr>
            <w:r w:rsidRPr="00B60EA7">
              <w:rPr>
                <w:rStyle w:val="InstructionsTabelleText"/>
                <w:rFonts w:ascii="Times New Roman" w:hAnsi="Times New Roman"/>
              </w:rPr>
              <w:t xml:space="preserve">The weighted average IFRS 9 </w:t>
            </w:r>
            <w:r>
              <w:rPr>
                <w:rStyle w:val="InstructionsTabelleText"/>
                <w:rFonts w:ascii="Times New Roman" w:hAnsi="Times New Roman"/>
              </w:rPr>
              <w:t>LGD</w:t>
            </w:r>
            <w:r w:rsidRPr="00B60EA7">
              <w:rPr>
                <w:rStyle w:val="InstructionsTabelleText"/>
                <w:rFonts w:ascii="Times New Roman" w:hAnsi="Times New Roman"/>
              </w:rPr>
              <w:t xml:space="preserve"> </w:t>
            </w:r>
            <w:r>
              <w:rPr>
                <w:rStyle w:val="InstructionsTabelleText"/>
                <w:rFonts w:ascii="Times New Roman" w:hAnsi="Times New Roman"/>
              </w:rPr>
              <w:t>reported in accordance with the instructions provided for column 0130 of this template, but excluding the effect of any temporary model adjustment or overlay that has been applied directly at the level of the LGD parameter.</w:t>
            </w:r>
          </w:p>
          <w:p w14:paraId="2876D63A" w14:textId="72137650" w:rsidR="006601FE" w:rsidRDefault="006601FE" w:rsidP="006601FE">
            <w:pPr>
              <w:rPr>
                <w:rStyle w:val="InstructionsTabelleText"/>
                <w:rFonts w:ascii="Times New Roman" w:hAnsi="Times New Roman"/>
              </w:rPr>
            </w:pPr>
            <w:proofErr w:type="gramStart"/>
            <w:r>
              <w:rPr>
                <w:rStyle w:val="InstructionsTabelleText"/>
                <w:rFonts w:ascii="Times New Roman" w:hAnsi="Times New Roman"/>
              </w:rPr>
              <w:t>For the purpose of</w:t>
            </w:r>
            <w:proofErr w:type="gramEnd"/>
            <w:r>
              <w:rPr>
                <w:rStyle w:val="InstructionsTabelleText"/>
                <w:rFonts w:ascii="Times New Roman" w:hAnsi="Times New Roman"/>
              </w:rPr>
              <w:t xml:space="preserve"> this datapoint, model adjustments and</w:t>
            </w:r>
            <w:r w:rsidR="001F2DF7">
              <w:rPr>
                <w:rStyle w:val="InstructionsTabelleText"/>
                <w:rFonts w:ascii="Times New Roman" w:hAnsi="Times New Roman"/>
              </w:rPr>
              <w:t xml:space="preserve"> </w:t>
            </w:r>
            <w:r>
              <w:rPr>
                <w:rStyle w:val="InstructionsTabelleText"/>
                <w:rFonts w:ascii="Times New Roman" w:hAnsi="Times New Roman"/>
              </w:rPr>
              <w:t>overlays are intended as any manual adjustment or intervention affecting the IFRS 9 LGD estimates resulting from the ordinary application of the IFRS 9 ECL model adopted by the institution.</w:t>
            </w:r>
          </w:p>
          <w:p w14:paraId="2B89CDDB" w14:textId="6483D9BB" w:rsidR="00692DBA" w:rsidRDefault="006601FE" w:rsidP="006601FE">
            <w:pPr>
              <w:rPr>
                <w:rStyle w:val="InstructionsTabelleText"/>
                <w:rFonts w:ascii="Times New Roman" w:hAnsi="Times New Roman"/>
              </w:rPr>
            </w:pPr>
            <w:r>
              <w:rPr>
                <w:rStyle w:val="InstructionsTabelleText"/>
                <w:rFonts w:ascii="Times New Roman" w:hAnsi="Times New Roman"/>
              </w:rPr>
              <w:t xml:space="preserve">In case no model adjustment or overlay has been applied at the LGD level with reference to the reported portfolio, </w:t>
            </w:r>
            <w:r w:rsidR="00692DBA">
              <w:rPr>
                <w:rStyle w:val="InstructionsTabelleText"/>
                <w:rFonts w:ascii="Times New Roman" w:hAnsi="Times New Roman"/>
              </w:rPr>
              <w:t>this datapoint should be reported in accordance with the instructions provided for column 0130.</w:t>
            </w:r>
          </w:p>
          <w:p w14:paraId="03015733" w14:textId="6AC2F6F2" w:rsidR="006601FE" w:rsidRPr="00384CAC" w:rsidRDefault="00692DBA" w:rsidP="006601FE">
            <w:pPr>
              <w:rPr>
                <w:rStyle w:val="InstructionsTabelleText"/>
                <w:rFonts w:ascii="Times New Roman" w:hAnsi="Times New Roman"/>
                <w:szCs w:val="20"/>
                <w:lang w:eastAsia="de-DE"/>
              </w:rPr>
            </w:pPr>
            <w:r>
              <w:rPr>
                <w:rStyle w:val="InstructionsTabelleText"/>
                <w:rFonts w:ascii="Times New Roman" w:hAnsi="Times New Roman"/>
              </w:rPr>
              <w:t>In case</w:t>
            </w:r>
            <w:r w:rsidR="006601FE">
              <w:rPr>
                <w:rStyle w:val="InstructionsTabelleText"/>
                <w:rFonts w:ascii="Times New Roman" w:hAnsi="Times New Roman"/>
              </w:rPr>
              <w:t xml:space="preserve"> it is not possible to disentangle the effect of overlays on the LGD parameter, </w:t>
            </w:r>
            <w:r w:rsidR="006601FE" w:rsidRPr="003F1E91">
              <w:rPr>
                <w:rStyle w:val="InstructionsTabelleText"/>
                <w:rFonts w:ascii="Times New Roman" w:hAnsi="Times New Roman"/>
              </w:rPr>
              <w:t xml:space="preserve">this data point shall be left </w:t>
            </w:r>
            <w:proofErr w:type="gramStart"/>
            <w:r w:rsidR="006601FE" w:rsidRPr="003F1E91">
              <w:rPr>
                <w:rStyle w:val="InstructionsTabelleText"/>
                <w:rFonts w:ascii="Times New Roman" w:hAnsi="Times New Roman"/>
              </w:rPr>
              <w:t>blank</w:t>
            </w:r>
            <w:proofErr w:type="gramEnd"/>
            <w:r w:rsidR="001F2DF7" w:rsidRPr="008D562A">
              <w:rPr>
                <w:rFonts w:ascii="Times New Roman" w:hAnsi="Times New Roman"/>
                <w:szCs w:val="20"/>
                <w:lang w:eastAsia="de-DE"/>
              </w:rPr>
              <w:t xml:space="preserve"> or ‘NULL’ shall be inserted</w:t>
            </w:r>
            <w:r w:rsidR="006601FE" w:rsidRPr="003F1E91">
              <w:rPr>
                <w:rStyle w:val="InstructionsTabelleText"/>
                <w:rFonts w:ascii="Times New Roman" w:hAnsi="Times New Roman"/>
              </w:rPr>
              <w:t>.</w:t>
            </w:r>
          </w:p>
        </w:tc>
      </w:tr>
      <w:tr w:rsidR="006601FE" w:rsidRPr="00384CAC" w14:paraId="2DF99CED" w14:textId="77777777" w:rsidTr="003C3509">
        <w:tc>
          <w:tcPr>
            <w:tcW w:w="993" w:type="dxa"/>
            <w:shd w:val="clear" w:color="auto" w:fill="auto"/>
          </w:tcPr>
          <w:p w14:paraId="7A272FD4" w14:textId="01AFD0EC" w:rsidR="006601FE" w:rsidRPr="00384CAC" w:rsidRDefault="006601FE" w:rsidP="006601FE">
            <w:pPr>
              <w:rPr>
                <w:rStyle w:val="InstructionsTabelleText"/>
                <w:rFonts w:ascii="Times New Roman" w:hAnsi="Times New Roman"/>
                <w:szCs w:val="20"/>
              </w:rPr>
            </w:pPr>
            <w:r>
              <w:rPr>
                <w:rStyle w:val="InstructionsTabelleText"/>
                <w:rFonts w:ascii="Times New Roman" w:hAnsi="Times New Roman"/>
                <w:szCs w:val="20"/>
              </w:rPr>
              <w:t>0140</w:t>
            </w:r>
          </w:p>
        </w:tc>
        <w:tc>
          <w:tcPr>
            <w:tcW w:w="1871" w:type="dxa"/>
            <w:shd w:val="clear" w:color="auto" w:fill="auto"/>
          </w:tcPr>
          <w:p w14:paraId="4C62CBC8" w14:textId="19824DF4" w:rsidR="006601FE" w:rsidRPr="00384CAC" w:rsidRDefault="006601FE" w:rsidP="006601FE">
            <w:pPr>
              <w:rPr>
                <w:rStyle w:val="InstructionsTabelleText"/>
                <w:rFonts w:ascii="Times New Roman" w:hAnsi="Times New Roman"/>
                <w:szCs w:val="20"/>
              </w:rPr>
            </w:pPr>
            <w:r>
              <w:rPr>
                <w:rStyle w:val="InstructionsTabelleText"/>
                <w:rFonts w:ascii="Times New Roman" w:hAnsi="Times New Roman"/>
                <w:szCs w:val="20"/>
              </w:rPr>
              <w:t>Residual maturity</w:t>
            </w:r>
          </w:p>
        </w:tc>
        <w:tc>
          <w:tcPr>
            <w:tcW w:w="1672" w:type="dxa"/>
            <w:shd w:val="clear" w:color="auto" w:fill="auto"/>
          </w:tcPr>
          <w:p w14:paraId="05308390" w14:textId="4BAFBABB" w:rsidR="006601FE" w:rsidRPr="00384CAC" w:rsidRDefault="006601FE" w:rsidP="006601FE">
            <w:pPr>
              <w:pStyle w:val="CM3"/>
              <w:spacing w:before="120" w:after="120"/>
              <w:jc w:val="both"/>
              <w:rPr>
                <w:rStyle w:val="InstructionsTabelleText"/>
                <w:rFonts w:ascii="Times New Roman" w:hAnsi="Times New Roman"/>
                <w:szCs w:val="20"/>
              </w:rPr>
            </w:pPr>
          </w:p>
        </w:tc>
        <w:tc>
          <w:tcPr>
            <w:tcW w:w="9781" w:type="dxa"/>
            <w:shd w:val="clear" w:color="auto" w:fill="auto"/>
          </w:tcPr>
          <w:p w14:paraId="3133DEDD" w14:textId="65F436F9" w:rsidR="00171AFC" w:rsidRPr="00171AFC" w:rsidRDefault="006601FE" w:rsidP="006601FE">
            <w:pPr>
              <w:rPr>
                <w:rStyle w:val="InstructionsTabelleText"/>
                <w:rFonts w:ascii="Times New Roman" w:hAnsi="Times New Roman"/>
                <w:szCs w:val="20"/>
                <w:lang w:eastAsia="de-DE"/>
              </w:rPr>
            </w:pPr>
            <w:r w:rsidRPr="00EA201D">
              <w:rPr>
                <w:rStyle w:val="InstructionsTabelleText"/>
                <w:rFonts w:ascii="Times New Roman" w:hAnsi="Times New Roman"/>
                <w:bCs/>
              </w:rPr>
              <w:t xml:space="preserve">The </w:t>
            </w:r>
            <w:r>
              <w:rPr>
                <w:rStyle w:val="InstructionsTabelleText"/>
                <w:rFonts w:ascii="Times New Roman" w:hAnsi="Times New Roman"/>
                <w:bCs/>
              </w:rPr>
              <w:t>EAD-weighted residual</w:t>
            </w:r>
            <w:r w:rsidRPr="00EA201D">
              <w:rPr>
                <w:rStyle w:val="InstructionsTabelleText"/>
                <w:rFonts w:ascii="Times New Roman" w:hAnsi="Times New Roman"/>
                <w:bCs/>
              </w:rPr>
              <w:t xml:space="preserve"> maturity </w:t>
            </w:r>
            <w:r>
              <w:rPr>
                <w:rStyle w:val="InstructionsTabelleText"/>
                <w:rFonts w:ascii="Times New Roman" w:hAnsi="Times New Roman"/>
                <w:bCs/>
              </w:rPr>
              <w:t xml:space="preserve">of the respective portfolio </w:t>
            </w:r>
            <w:r w:rsidRPr="00EA201D">
              <w:rPr>
                <w:rStyle w:val="InstructionsTabelleText"/>
                <w:rFonts w:ascii="Times New Roman" w:hAnsi="Times New Roman"/>
                <w:bCs/>
              </w:rPr>
              <w:t xml:space="preserve">shall be reported. It shall be expressed in number of </w:t>
            </w:r>
            <w:r w:rsidR="00051F01">
              <w:rPr>
                <w:rStyle w:val="InstructionsTabelleText"/>
                <w:rFonts w:ascii="Times New Roman" w:hAnsi="Times New Roman"/>
                <w:bCs/>
              </w:rPr>
              <w:t>years</w:t>
            </w:r>
            <w:r>
              <w:rPr>
                <w:rStyle w:val="InstructionsTabelleText"/>
                <w:rFonts w:ascii="Times New Roman" w:hAnsi="Times New Roman"/>
                <w:bCs/>
              </w:rPr>
              <w:t>.</w:t>
            </w:r>
          </w:p>
        </w:tc>
      </w:tr>
      <w:tr w:rsidR="006601FE" w:rsidRPr="00384CAC" w14:paraId="56C11E5C" w14:textId="77777777" w:rsidTr="003C3509">
        <w:tc>
          <w:tcPr>
            <w:tcW w:w="993" w:type="dxa"/>
            <w:shd w:val="clear" w:color="auto" w:fill="auto"/>
          </w:tcPr>
          <w:p w14:paraId="679A2ECA" w14:textId="348770F8" w:rsidR="006601FE" w:rsidRPr="00384CAC" w:rsidRDefault="006601FE" w:rsidP="006601FE">
            <w:pPr>
              <w:rPr>
                <w:rStyle w:val="InstructionsTabelleText"/>
                <w:rFonts w:ascii="Times New Roman" w:hAnsi="Times New Roman"/>
                <w:bCs/>
                <w:szCs w:val="20"/>
              </w:rPr>
            </w:pPr>
            <w:r w:rsidRPr="00384CAC">
              <w:rPr>
                <w:rStyle w:val="InstructionsTabelleText"/>
                <w:rFonts w:ascii="Times New Roman" w:hAnsi="Times New Roman"/>
                <w:szCs w:val="20"/>
              </w:rPr>
              <w:t>0</w:t>
            </w:r>
            <w:r>
              <w:rPr>
                <w:rStyle w:val="InstructionsTabelleText"/>
                <w:rFonts w:ascii="Times New Roman" w:hAnsi="Times New Roman"/>
                <w:szCs w:val="20"/>
              </w:rPr>
              <w:t>145</w:t>
            </w:r>
          </w:p>
        </w:tc>
        <w:tc>
          <w:tcPr>
            <w:tcW w:w="1871" w:type="dxa"/>
            <w:shd w:val="clear" w:color="auto" w:fill="auto"/>
          </w:tcPr>
          <w:p w14:paraId="2101FA9D" w14:textId="2BD8765C" w:rsidR="006601FE" w:rsidRPr="00384CAC" w:rsidRDefault="006601FE" w:rsidP="006601FE">
            <w:pPr>
              <w:rPr>
                <w:rStyle w:val="InstructionsTabelleText"/>
                <w:rFonts w:ascii="Times New Roman" w:hAnsi="Times New Roman"/>
                <w:bCs/>
                <w:szCs w:val="20"/>
              </w:rPr>
            </w:pPr>
            <w:r w:rsidRPr="00384CAC">
              <w:rPr>
                <w:rStyle w:val="InstructionsTabelleText"/>
                <w:rFonts w:ascii="Times New Roman" w:hAnsi="Times New Roman"/>
                <w:szCs w:val="20"/>
              </w:rPr>
              <w:t>ECL amount</w:t>
            </w:r>
            <w:r w:rsidRPr="00384CAC">
              <w:rPr>
                <w:rStyle w:val="InstructionsTabelleText"/>
                <w:rFonts w:ascii="Times New Roman" w:hAnsi="Times New Roman"/>
                <w:bCs/>
                <w:szCs w:val="20"/>
              </w:rPr>
              <w:t xml:space="preserve"> IFRS 9</w:t>
            </w:r>
            <w:r w:rsidR="00DB6635">
              <w:rPr>
                <w:rStyle w:val="InstructionsTabelleText"/>
                <w:rFonts w:ascii="Times New Roman" w:hAnsi="Times New Roman"/>
                <w:bCs/>
                <w:szCs w:val="20"/>
              </w:rPr>
              <w:t xml:space="preserve"> – Stage 1</w:t>
            </w:r>
          </w:p>
        </w:tc>
        <w:tc>
          <w:tcPr>
            <w:tcW w:w="1672" w:type="dxa"/>
            <w:shd w:val="clear" w:color="auto" w:fill="auto"/>
          </w:tcPr>
          <w:p w14:paraId="63F81CD8" w14:textId="5F1A4089" w:rsidR="006601FE" w:rsidRPr="00384C07" w:rsidRDefault="006601FE" w:rsidP="006601FE">
            <w:pPr>
              <w:pStyle w:val="CM3"/>
              <w:spacing w:before="120" w:after="120"/>
              <w:jc w:val="both"/>
              <w:rPr>
                <w:rStyle w:val="InstructionsTabelleText"/>
                <w:rFonts w:ascii="Times New Roman" w:hAnsi="Times New Roman"/>
                <w:szCs w:val="20"/>
                <w:lang w:eastAsia="en-US"/>
              </w:rPr>
            </w:pPr>
            <w:r w:rsidRPr="00384CAC">
              <w:rPr>
                <w:rStyle w:val="InstructionsTabelleText"/>
                <w:rFonts w:ascii="Times New Roman" w:hAnsi="Times New Roman"/>
                <w:szCs w:val="20"/>
              </w:rPr>
              <w:t>Appendix A to IFRS 9 as set out in the Annex to Regulation (EC) No 1126/2008</w:t>
            </w:r>
          </w:p>
        </w:tc>
        <w:tc>
          <w:tcPr>
            <w:tcW w:w="9781" w:type="dxa"/>
            <w:shd w:val="clear" w:color="auto" w:fill="auto"/>
          </w:tcPr>
          <w:p w14:paraId="5FCA1A52" w14:textId="205E886E" w:rsidR="006601FE" w:rsidRPr="00384C07" w:rsidRDefault="006601FE" w:rsidP="006601FE">
            <w:pPr>
              <w:rPr>
                <w:rStyle w:val="InstructionsTabelleText"/>
                <w:rFonts w:ascii="Times New Roman" w:hAnsi="Times New Roman"/>
                <w:szCs w:val="20"/>
                <w:lang w:val="en-US" w:eastAsia="de-DE"/>
              </w:rPr>
            </w:pPr>
            <w:r w:rsidRPr="00384CAC">
              <w:rPr>
                <w:rStyle w:val="InstructionsTabelleText"/>
                <w:rFonts w:ascii="Times New Roman" w:hAnsi="Times New Roman"/>
                <w:szCs w:val="20"/>
                <w:lang w:eastAsia="de-DE"/>
              </w:rPr>
              <w:t xml:space="preserve">The sum of the expected credit losses over </w:t>
            </w:r>
            <w:r w:rsidR="001B7054">
              <w:rPr>
                <w:rStyle w:val="InstructionsTabelleText"/>
                <w:rFonts w:ascii="Times New Roman" w:hAnsi="Times New Roman"/>
                <w:szCs w:val="20"/>
                <w:lang w:eastAsia="de-DE"/>
              </w:rPr>
              <w:t>all</w:t>
            </w:r>
            <w:r w:rsidR="001B7054" w:rsidRPr="00384CAC">
              <w:rPr>
                <w:rStyle w:val="InstructionsTabelleText"/>
                <w:rFonts w:ascii="Times New Roman" w:hAnsi="Times New Roman"/>
                <w:szCs w:val="20"/>
                <w:lang w:eastAsia="de-DE"/>
              </w:rPr>
              <w:t xml:space="preserve"> </w:t>
            </w:r>
            <w:r w:rsidRPr="00384CAC">
              <w:rPr>
                <w:rStyle w:val="InstructionsTabelleText"/>
                <w:rFonts w:ascii="Times New Roman" w:hAnsi="Times New Roman"/>
                <w:szCs w:val="20"/>
                <w:lang w:eastAsia="de-DE"/>
              </w:rPr>
              <w:t>facilities</w:t>
            </w:r>
            <w:r w:rsidR="00D47222" w:rsidRPr="00384CAC">
              <w:rPr>
                <w:rStyle w:val="InstructionsTabelleText"/>
                <w:rFonts w:ascii="Times New Roman" w:hAnsi="Times New Roman"/>
                <w:szCs w:val="20"/>
              </w:rPr>
              <w:t xml:space="preserve">, </w:t>
            </w:r>
            <w:r w:rsidR="00D47222" w:rsidRPr="00384CAC">
              <w:rPr>
                <w:rFonts w:ascii="Times New Roman" w:hAnsi="Times New Roman"/>
                <w:szCs w:val="20"/>
              </w:rPr>
              <w:t>as considered for the application of impairment requirements under IFRS 9</w:t>
            </w:r>
            <w:r w:rsidR="00D47222">
              <w:rPr>
                <w:rFonts w:ascii="Times New Roman" w:hAnsi="Times New Roman"/>
                <w:szCs w:val="20"/>
              </w:rPr>
              <w:t>,</w:t>
            </w:r>
            <w:r w:rsidRPr="00384CAC">
              <w:rPr>
                <w:rStyle w:val="InstructionsTabelleText"/>
                <w:rFonts w:ascii="Times New Roman" w:hAnsi="Times New Roman"/>
                <w:szCs w:val="20"/>
                <w:lang w:eastAsia="de-DE"/>
              </w:rPr>
              <w:t xml:space="preserve"> </w:t>
            </w:r>
            <w:r w:rsidR="00D47222">
              <w:rPr>
                <w:rStyle w:val="InstructionsTabelleText"/>
                <w:rFonts w:ascii="Times New Roman" w:hAnsi="Times New Roman"/>
                <w:szCs w:val="20"/>
                <w:lang w:eastAsia="de-DE"/>
              </w:rPr>
              <w:t>included</w:t>
            </w:r>
            <w:r>
              <w:rPr>
                <w:rStyle w:val="InstructionsTabelleText"/>
                <w:rFonts w:ascii="Times New Roman" w:hAnsi="Times New Roman"/>
                <w:szCs w:val="20"/>
                <w:lang w:eastAsia="de-DE"/>
              </w:rPr>
              <w:t xml:space="preserve"> </w:t>
            </w:r>
            <w:r w:rsidR="00D47222">
              <w:rPr>
                <w:rStyle w:val="InstructionsTabelleText"/>
                <w:rFonts w:ascii="Times New Roman" w:hAnsi="Times New Roman"/>
                <w:szCs w:val="20"/>
                <w:lang w:eastAsia="de-DE"/>
              </w:rPr>
              <w:t xml:space="preserve">in </w:t>
            </w:r>
            <w:r>
              <w:rPr>
                <w:rStyle w:val="InstructionsTabelleText"/>
                <w:rFonts w:ascii="Times New Roman" w:hAnsi="Times New Roman"/>
                <w:szCs w:val="20"/>
                <w:lang w:eastAsia="de-DE"/>
              </w:rPr>
              <w:t>the respective portfolio</w:t>
            </w:r>
            <w:r w:rsidR="00D47222">
              <w:rPr>
                <w:rStyle w:val="InstructionsTabelleText"/>
                <w:rFonts w:ascii="Times New Roman" w:hAnsi="Times New Roman"/>
                <w:szCs w:val="20"/>
                <w:lang w:eastAsia="de-DE"/>
              </w:rPr>
              <w:t xml:space="preserve"> and</w:t>
            </w:r>
            <w:r w:rsidR="00DB6635">
              <w:rPr>
                <w:rStyle w:val="InstructionsTabelleText"/>
                <w:rFonts w:ascii="Times New Roman" w:hAnsi="Times New Roman"/>
                <w:szCs w:val="20"/>
                <w:lang w:eastAsia="de-DE"/>
              </w:rPr>
              <w:t xml:space="preserve"> which were allocated within </w:t>
            </w:r>
            <w:r w:rsidR="009E12C8">
              <w:rPr>
                <w:rStyle w:val="InstructionsTabelleText"/>
                <w:rFonts w:ascii="Times New Roman" w:hAnsi="Times New Roman"/>
                <w:szCs w:val="20"/>
                <w:lang w:eastAsia="de-DE"/>
              </w:rPr>
              <w:t>s</w:t>
            </w:r>
            <w:r w:rsidR="00DB6635">
              <w:rPr>
                <w:rStyle w:val="InstructionsTabelleText"/>
                <w:rFonts w:ascii="Times New Roman" w:hAnsi="Times New Roman"/>
                <w:szCs w:val="20"/>
                <w:lang w:eastAsia="de-DE"/>
              </w:rPr>
              <w:t>tage 1</w:t>
            </w:r>
            <w:r w:rsidRPr="00384CAC">
              <w:rPr>
                <w:rStyle w:val="InstructionsTabelleText"/>
                <w:rFonts w:ascii="Times New Roman" w:hAnsi="Times New Roman"/>
                <w:szCs w:val="20"/>
                <w:lang w:eastAsia="de-DE"/>
              </w:rPr>
              <w:t xml:space="preserve"> </w:t>
            </w:r>
            <w:r w:rsidRPr="00384CAC">
              <w:rPr>
                <w:rStyle w:val="InstructionsTabelleText"/>
                <w:rFonts w:ascii="Times New Roman" w:hAnsi="Times New Roman"/>
                <w:szCs w:val="20"/>
              </w:rPr>
              <w:t>at the reporting date.</w:t>
            </w:r>
            <w:r w:rsidRPr="00FA0BAE">
              <w:rPr>
                <w:rFonts w:ascii="Times New Roman" w:hAnsi="Times New Roman"/>
                <w:szCs w:val="20"/>
                <w:lang w:eastAsia="de-DE"/>
              </w:rPr>
              <w:t xml:space="preserve"> </w:t>
            </w:r>
          </w:p>
          <w:p w14:paraId="7E9F9FD5" w14:textId="38E437ED" w:rsidR="001B7054" w:rsidRDefault="001B7054" w:rsidP="0068474F">
            <w:pPr>
              <w:rPr>
                <w:rStyle w:val="InstructionsTabelleText"/>
              </w:rPr>
            </w:pPr>
            <w:r>
              <w:rPr>
                <w:rFonts w:ascii="Times New Roman" w:hAnsi="Times New Roman"/>
                <w:szCs w:val="20"/>
              </w:rPr>
              <w:t>T</w:t>
            </w:r>
            <w:r w:rsidR="0068474F" w:rsidRPr="00384CAC">
              <w:rPr>
                <w:rFonts w:ascii="Times New Roman" w:hAnsi="Times New Roman"/>
                <w:szCs w:val="20"/>
              </w:rPr>
              <w:t>he ECL amount for each facility shall be the one associated with default events over the 12 months’ period following the reporting date</w:t>
            </w:r>
            <w:r>
              <w:rPr>
                <w:rFonts w:ascii="Times New Roman" w:hAnsi="Times New Roman"/>
                <w:szCs w:val="20"/>
              </w:rPr>
              <w:t>.</w:t>
            </w:r>
          </w:p>
          <w:p w14:paraId="418642E5" w14:textId="264257D1" w:rsidR="006601FE" w:rsidRPr="0068474F" w:rsidRDefault="001B7054" w:rsidP="0068474F">
            <w:pPr>
              <w:rPr>
                <w:rStyle w:val="InstructionsTabelleText"/>
                <w:rFonts w:ascii="Times New Roman" w:hAnsi="Times New Roman"/>
              </w:rPr>
            </w:pPr>
            <w:r>
              <w:rPr>
                <w:rStyle w:val="InstructionsTabelleText"/>
                <w:rFonts w:ascii="Times New Roman" w:hAnsi="Times New Roman"/>
              </w:rPr>
              <w:t>T</w:t>
            </w:r>
            <w:r w:rsidR="006601FE">
              <w:rPr>
                <w:rStyle w:val="InstructionsTabelleText"/>
                <w:rFonts w:ascii="Times New Roman" w:hAnsi="Times New Roman"/>
              </w:rPr>
              <w:t>he data reported shall include any</w:t>
            </w:r>
            <w:r w:rsidR="006601FE" w:rsidRPr="00A8219C">
              <w:rPr>
                <w:rStyle w:val="InstructionsTabelleText"/>
                <w:rFonts w:ascii="Times New Roman" w:hAnsi="Times New Roman"/>
              </w:rPr>
              <w:t xml:space="preserve"> temporary model adjustment or overlay that has been applied </w:t>
            </w:r>
            <w:r w:rsidR="009015EE">
              <w:rPr>
                <w:rStyle w:val="InstructionsTabelleText"/>
                <w:rFonts w:ascii="Times New Roman" w:hAnsi="Times New Roman"/>
              </w:rPr>
              <w:t xml:space="preserve">for the purposes of estimating ECL. Therefore, this data point shall include the effect of all the model adjustments/overlays, regardless they were applied at risk parameter level or </w:t>
            </w:r>
            <w:r w:rsidR="006601FE">
              <w:rPr>
                <w:rStyle w:val="InstructionsTabelleText"/>
                <w:rFonts w:ascii="Times New Roman" w:hAnsi="Times New Roman"/>
              </w:rPr>
              <w:t>at the ECL level.</w:t>
            </w:r>
          </w:p>
        </w:tc>
      </w:tr>
      <w:tr w:rsidR="00DB6635" w:rsidRPr="00384CAC" w14:paraId="5819223D" w14:textId="77777777" w:rsidTr="003C3509">
        <w:tc>
          <w:tcPr>
            <w:tcW w:w="993" w:type="dxa"/>
            <w:shd w:val="clear" w:color="auto" w:fill="auto"/>
          </w:tcPr>
          <w:p w14:paraId="694561FE" w14:textId="233DB086" w:rsidR="00DB6635" w:rsidRPr="00384CAC" w:rsidRDefault="00DB6635" w:rsidP="00DB6635">
            <w:pPr>
              <w:rPr>
                <w:rStyle w:val="InstructionsTabelleText"/>
                <w:rFonts w:ascii="Times New Roman" w:hAnsi="Times New Roman"/>
                <w:szCs w:val="20"/>
              </w:rPr>
            </w:pPr>
            <w:r w:rsidRPr="00384CAC">
              <w:rPr>
                <w:rStyle w:val="InstructionsTabelleText"/>
                <w:rFonts w:ascii="Times New Roman" w:hAnsi="Times New Roman"/>
                <w:szCs w:val="20"/>
              </w:rPr>
              <w:t>0</w:t>
            </w:r>
            <w:r>
              <w:rPr>
                <w:rStyle w:val="InstructionsTabelleText"/>
                <w:rFonts w:ascii="Times New Roman" w:hAnsi="Times New Roman"/>
                <w:szCs w:val="20"/>
              </w:rPr>
              <w:t>146</w:t>
            </w:r>
          </w:p>
        </w:tc>
        <w:tc>
          <w:tcPr>
            <w:tcW w:w="1871" w:type="dxa"/>
            <w:shd w:val="clear" w:color="auto" w:fill="auto"/>
          </w:tcPr>
          <w:p w14:paraId="25CD3829" w14:textId="5F2C4D19" w:rsidR="00DB6635" w:rsidRPr="00384CAC" w:rsidRDefault="00DB6635" w:rsidP="00DB6635">
            <w:pPr>
              <w:rPr>
                <w:rStyle w:val="InstructionsTabelleText"/>
                <w:rFonts w:ascii="Times New Roman" w:hAnsi="Times New Roman"/>
                <w:szCs w:val="20"/>
              </w:rPr>
            </w:pPr>
            <w:r w:rsidRPr="00384CAC">
              <w:rPr>
                <w:rStyle w:val="InstructionsTabelleText"/>
                <w:rFonts w:ascii="Times New Roman" w:hAnsi="Times New Roman"/>
                <w:szCs w:val="20"/>
              </w:rPr>
              <w:t>ECL amount</w:t>
            </w:r>
            <w:r w:rsidRPr="00384CAC">
              <w:rPr>
                <w:rStyle w:val="InstructionsTabelleText"/>
                <w:rFonts w:ascii="Times New Roman" w:hAnsi="Times New Roman"/>
                <w:bCs/>
                <w:szCs w:val="20"/>
              </w:rPr>
              <w:t xml:space="preserve"> IFRS 9</w:t>
            </w:r>
            <w:r>
              <w:rPr>
                <w:rStyle w:val="InstructionsTabelleText"/>
                <w:rFonts w:ascii="Times New Roman" w:hAnsi="Times New Roman"/>
                <w:bCs/>
                <w:szCs w:val="20"/>
              </w:rPr>
              <w:t xml:space="preserve"> – Stage 2</w:t>
            </w:r>
          </w:p>
        </w:tc>
        <w:tc>
          <w:tcPr>
            <w:tcW w:w="1672" w:type="dxa"/>
            <w:shd w:val="clear" w:color="auto" w:fill="auto"/>
          </w:tcPr>
          <w:p w14:paraId="4CF047D3" w14:textId="0D2AAC67" w:rsidR="00DB6635" w:rsidRPr="00384CAC" w:rsidRDefault="00DB6635" w:rsidP="00DB6635">
            <w:pPr>
              <w:pStyle w:val="CM3"/>
              <w:spacing w:before="120" w:after="120"/>
              <w:jc w:val="both"/>
              <w:rPr>
                <w:rStyle w:val="InstructionsTabelleText"/>
                <w:rFonts w:ascii="Times New Roman" w:hAnsi="Times New Roman"/>
                <w:szCs w:val="20"/>
              </w:rPr>
            </w:pPr>
            <w:r w:rsidRPr="00384CAC">
              <w:rPr>
                <w:rStyle w:val="InstructionsTabelleText"/>
                <w:rFonts w:ascii="Times New Roman" w:hAnsi="Times New Roman"/>
                <w:szCs w:val="20"/>
              </w:rPr>
              <w:t>Appendix A to IFRS 9 as set out in the Annex to Regulation (EC) No 1126/2008</w:t>
            </w:r>
          </w:p>
        </w:tc>
        <w:tc>
          <w:tcPr>
            <w:tcW w:w="9781" w:type="dxa"/>
            <w:shd w:val="clear" w:color="auto" w:fill="auto"/>
          </w:tcPr>
          <w:p w14:paraId="34C39919" w14:textId="474BC53F" w:rsidR="00D47222" w:rsidRPr="00384C07" w:rsidRDefault="00D47222" w:rsidP="00D47222">
            <w:pPr>
              <w:rPr>
                <w:rStyle w:val="InstructionsTabelleText"/>
                <w:rFonts w:ascii="Times New Roman" w:hAnsi="Times New Roman"/>
                <w:szCs w:val="20"/>
                <w:lang w:val="en-US" w:eastAsia="de-DE"/>
              </w:rPr>
            </w:pPr>
            <w:r w:rsidRPr="00384CAC">
              <w:rPr>
                <w:rStyle w:val="InstructionsTabelleText"/>
                <w:rFonts w:ascii="Times New Roman" w:hAnsi="Times New Roman"/>
                <w:szCs w:val="20"/>
                <w:lang w:eastAsia="de-DE"/>
              </w:rPr>
              <w:t xml:space="preserve">The sum of the expected credit losses over </w:t>
            </w:r>
            <w:r w:rsidR="001B7054">
              <w:rPr>
                <w:rStyle w:val="InstructionsTabelleText"/>
                <w:rFonts w:ascii="Times New Roman" w:hAnsi="Times New Roman"/>
                <w:szCs w:val="20"/>
                <w:lang w:eastAsia="de-DE"/>
              </w:rPr>
              <w:t>all</w:t>
            </w:r>
            <w:r w:rsidR="001B7054" w:rsidRPr="00384CAC">
              <w:rPr>
                <w:rStyle w:val="InstructionsTabelleText"/>
                <w:rFonts w:ascii="Times New Roman" w:hAnsi="Times New Roman"/>
                <w:szCs w:val="20"/>
                <w:lang w:eastAsia="de-DE"/>
              </w:rPr>
              <w:t xml:space="preserve"> </w:t>
            </w:r>
            <w:r w:rsidRPr="00384CAC">
              <w:rPr>
                <w:rStyle w:val="InstructionsTabelleText"/>
                <w:rFonts w:ascii="Times New Roman" w:hAnsi="Times New Roman"/>
                <w:szCs w:val="20"/>
                <w:lang w:eastAsia="de-DE"/>
              </w:rPr>
              <w:t>facilities</w:t>
            </w:r>
            <w:r w:rsidRPr="00384CAC">
              <w:rPr>
                <w:rStyle w:val="InstructionsTabelleText"/>
                <w:rFonts w:ascii="Times New Roman" w:hAnsi="Times New Roman"/>
                <w:szCs w:val="20"/>
              </w:rPr>
              <w:t xml:space="preserve">, </w:t>
            </w:r>
            <w:r w:rsidRPr="00384CAC">
              <w:rPr>
                <w:rFonts w:ascii="Times New Roman" w:hAnsi="Times New Roman"/>
                <w:szCs w:val="20"/>
              </w:rPr>
              <w:t>as considered for the application of impairment requirements under IFRS 9</w:t>
            </w:r>
            <w:r>
              <w:rPr>
                <w:rFonts w:ascii="Times New Roman" w:hAnsi="Times New Roman"/>
                <w:szCs w:val="20"/>
              </w:rPr>
              <w:t>,</w:t>
            </w:r>
            <w:r w:rsidRPr="00384CAC">
              <w:rPr>
                <w:rStyle w:val="InstructionsTabelleText"/>
                <w:rFonts w:ascii="Times New Roman" w:hAnsi="Times New Roman"/>
                <w:szCs w:val="20"/>
                <w:lang w:eastAsia="de-DE"/>
              </w:rPr>
              <w:t xml:space="preserve"> </w:t>
            </w:r>
            <w:r>
              <w:rPr>
                <w:rStyle w:val="InstructionsTabelleText"/>
                <w:rFonts w:ascii="Times New Roman" w:hAnsi="Times New Roman"/>
                <w:szCs w:val="20"/>
                <w:lang w:eastAsia="de-DE"/>
              </w:rPr>
              <w:t>included in the respective portfolio and which were allocated within stage 2</w:t>
            </w:r>
            <w:r w:rsidRPr="00384CAC">
              <w:rPr>
                <w:rStyle w:val="InstructionsTabelleText"/>
                <w:rFonts w:ascii="Times New Roman" w:hAnsi="Times New Roman"/>
                <w:szCs w:val="20"/>
                <w:lang w:eastAsia="de-DE"/>
              </w:rPr>
              <w:t xml:space="preserve"> </w:t>
            </w:r>
            <w:r w:rsidRPr="00384CAC">
              <w:rPr>
                <w:rStyle w:val="InstructionsTabelleText"/>
                <w:rFonts w:ascii="Times New Roman" w:hAnsi="Times New Roman"/>
                <w:szCs w:val="20"/>
              </w:rPr>
              <w:t>at the reporting date.</w:t>
            </w:r>
            <w:r w:rsidRPr="00FA0BAE">
              <w:rPr>
                <w:rFonts w:ascii="Times New Roman" w:hAnsi="Times New Roman"/>
                <w:szCs w:val="20"/>
                <w:lang w:eastAsia="de-DE"/>
              </w:rPr>
              <w:t xml:space="preserve"> </w:t>
            </w:r>
          </w:p>
          <w:p w14:paraId="7C7D29EC" w14:textId="0D6E93EB" w:rsidR="001B7054" w:rsidRDefault="001B7054" w:rsidP="0068474F">
            <w:pPr>
              <w:rPr>
                <w:rStyle w:val="InstructionsTabelleText"/>
                <w:rFonts w:ascii="Times New Roman" w:hAnsi="Times New Roman"/>
              </w:rPr>
            </w:pPr>
            <w:r>
              <w:rPr>
                <w:rFonts w:ascii="Times New Roman" w:hAnsi="Times New Roman"/>
                <w:szCs w:val="20"/>
              </w:rPr>
              <w:t>T</w:t>
            </w:r>
            <w:r w:rsidR="0068474F" w:rsidRPr="00384CAC">
              <w:rPr>
                <w:rFonts w:ascii="Times New Roman" w:hAnsi="Times New Roman"/>
                <w:szCs w:val="20"/>
              </w:rPr>
              <w:t xml:space="preserve">he ECL amount for each facility shall be the one </w:t>
            </w:r>
            <w:r w:rsidR="0068474F">
              <w:rPr>
                <w:rFonts w:ascii="Times New Roman" w:hAnsi="Times New Roman"/>
                <w:szCs w:val="20"/>
              </w:rPr>
              <w:t>resulting from all possible default events over its expected life</w:t>
            </w:r>
            <w:r>
              <w:rPr>
                <w:rFonts w:ascii="Times New Roman" w:hAnsi="Times New Roman"/>
                <w:szCs w:val="20"/>
              </w:rPr>
              <w:t>.</w:t>
            </w:r>
          </w:p>
          <w:p w14:paraId="390035B5" w14:textId="68BE4422" w:rsidR="00DB6635" w:rsidRPr="000E262F" w:rsidRDefault="001B7054" w:rsidP="0068474F">
            <w:pPr>
              <w:rPr>
                <w:rStyle w:val="InstructionsTabelleText"/>
                <w:rFonts w:ascii="Times New Roman" w:hAnsi="Times New Roman"/>
                <w:szCs w:val="20"/>
                <w:lang w:val="en-US" w:eastAsia="de-DE"/>
              </w:rPr>
            </w:pPr>
            <w:r>
              <w:rPr>
                <w:rStyle w:val="InstructionsTabelleText"/>
                <w:rFonts w:ascii="Times New Roman" w:hAnsi="Times New Roman"/>
              </w:rPr>
              <w:t>T</w:t>
            </w:r>
            <w:r w:rsidR="0068474F">
              <w:rPr>
                <w:rStyle w:val="InstructionsTabelleText"/>
                <w:rFonts w:ascii="Times New Roman" w:hAnsi="Times New Roman"/>
              </w:rPr>
              <w:t>he data reported shall include any</w:t>
            </w:r>
            <w:r w:rsidR="0068474F" w:rsidRPr="00A8219C">
              <w:rPr>
                <w:rStyle w:val="InstructionsTabelleText"/>
                <w:rFonts w:ascii="Times New Roman" w:hAnsi="Times New Roman"/>
              </w:rPr>
              <w:t xml:space="preserve"> temporary model adjustment or overlay that has been applied </w:t>
            </w:r>
            <w:r w:rsidR="009015EE">
              <w:rPr>
                <w:rStyle w:val="InstructionsTabelleText"/>
                <w:rFonts w:ascii="Times New Roman" w:hAnsi="Times New Roman"/>
              </w:rPr>
              <w:t>for</w:t>
            </w:r>
            <w:r w:rsidR="0068474F">
              <w:rPr>
                <w:rStyle w:val="InstructionsTabelleText"/>
                <w:rFonts w:ascii="Times New Roman" w:hAnsi="Times New Roman"/>
              </w:rPr>
              <w:t xml:space="preserve"> the </w:t>
            </w:r>
            <w:r w:rsidR="009015EE">
              <w:rPr>
                <w:rStyle w:val="InstructionsTabelleText"/>
                <w:rFonts w:ascii="Times New Roman" w:hAnsi="Times New Roman"/>
              </w:rPr>
              <w:t xml:space="preserve">purposes of estimating </w:t>
            </w:r>
            <w:r w:rsidR="0068474F">
              <w:rPr>
                <w:rStyle w:val="InstructionsTabelleText"/>
                <w:rFonts w:ascii="Times New Roman" w:hAnsi="Times New Roman"/>
              </w:rPr>
              <w:t>ECL</w:t>
            </w:r>
            <w:r w:rsidR="009015EE">
              <w:rPr>
                <w:rStyle w:val="InstructionsTabelleText"/>
                <w:rFonts w:ascii="Times New Roman" w:hAnsi="Times New Roman"/>
              </w:rPr>
              <w:t>. Therefore, this data point shall include the effect of all the model adjustments/overlays, regardless they were applied at risk parameter</w:t>
            </w:r>
            <w:r w:rsidR="0068474F">
              <w:rPr>
                <w:rStyle w:val="InstructionsTabelleText"/>
                <w:rFonts w:ascii="Times New Roman" w:hAnsi="Times New Roman"/>
              </w:rPr>
              <w:t xml:space="preserve"> level</w:t>
            </w:r>
            <w:r w:rsidR="009015EE">
              <w:rPr>
                <w:rStyle w:val="InstructionsTabelleText"/>
                <w:rFonts w:ascii="Times New Roman" w:hAnsi="Times New Roman"/>
              </w:rPr>
              <w:t xml:space="preserve"> or </w:t>
            </w:r>
            <w:r w:rsidR="0068474F">
              <w:rPr>
                <w:rStyle w:val="InstructionsTabelleText"/>
                <w:rFonts w:ascii="Times New Roman" w:hAnsi="Times New Roman"/>
              </w:rPr>
              <w:t>at the ECL level.</w:t>
            </w:r>
          </w:p>
        </w:tc>
      </w:tr>
      <w:tr w:rsidR="00DB6635" w:rsidRPr="00384CAC" w14:paraId="21CAEAEA" w14:textId="77777777" w:rsidTr="003C3509">
        <w:tc>
          <w:tcPr>
            <w:tcW w:w="993" w:type="dxa"/>
            <w:shd w:val="clear" w:color="auto" w:fill="auto"/>
          </w:tcPr>
          <w:p w14:paraId="78C5E498" w14:textId="4D90410C" w:rsidR="00DB6635" w:rsidRPr="00384CAC" w:rsidRDefault="00DB6635" w:rsidP="00DB6635">
            <w:pPr>
              <w:rPr>
                <w:rStyle w:val="InstructionsTabelleText"/>
                <w:rFonts w:ascii="Times New Roman" w:hAnsi="Times New Roman"/>
                <w:szCs w:val="20"/>
              </w:rPr>
            </w:pPr>
            <w:r w:rsidRPr="00384CAC">
              <w:rPr>
                <w:rStyle w:val="InstructionsTabelleText"/>
                <w:rFonts w:ascii="Times New Roman" w:hAnsi="Times New Roman"/>
                <w:szCs w:val="20"/>
              </w:rPr>
              <w:t>0</w:t>
            </w:r>
            <w:r>
              <w:rPr>
                <w:rStyle w:val="InstructionsTabelleText"/>
                <w:rFonts w:ascii="Times New Roman" w:hAnsi="Times New Roman"/>
                <w:szCs w:val="20"/>
              </w:rPr>
              <w:t>147</w:t>
            </w:r>
          </w:p>
        </w:tc>
        <w:tc>
          <w:tcPr>
            <w:tcW w:w="1871" w:type="dxa"/>
            <w:shd w:val="clear" w:color="auto" w:fill="auto"/>
          </w:tcPr>
          <w:p w14:paraId="5ADF8E3B" w14:textId="7F764247" w:rsidR="00DB6635" w:rsidRPr="00384CAC" w:rsidRDefault="00DB6635" w:rsidP="00DB6635">
            <w:pPr>
              <w:rPr>
                <w:rStyle w:val="InstructionsTabelleText"/>
                <w:rFonts w:ascii="Times New Roman" w:hAnsi="Times New Roman"/>
                <w:szCs w:val="20"/>
              </w:rPr>
            </w:pPr>
            <w:r w:rsidRPr="00384CAC">
              <w:rPr>
                <w:rStyle w:val="InstructionsTabelleText"/>
                <w:rFonts w:ascii="Times New Roman" w:hAnsi="Times New Roman"/>
                <w:szCs w:val="20"/>
              </w:rPr>
              <w:t>ECL amount</w:t>
            </w:r>
            <w:r w:rsidRPr="00384CAC">
              <w:rPr>
                <w:rStyle w:val="InstructionsTabelleText"/>
                <w:rFonts w:ascii="Times New Roman" w:hAnsi="Times New Roman"/>
                <w:bCs/>
                <w:szCs w:val="20"/>
              </w:rPr>
              <w:t xml:space="preserve"> IFRS 9</w:t>
            </w:r>
            <w:r>
              <w:rPr>
                <w:rStyle w:val="InstructionsTabelleText"/>
                <w:rFonts w:ascii="Times New Roman" w:hAnsi="Times New Roman"/>
                <w:bCs/>
                <w:szCs w:val="20"/>
              </w:rPr>
              <w:t xml:space="preserve"> – Stage 3</w:t>
            </w:r>
          </w:p>
        </w:tc>
        <w:tc>
          <w:tcPr>
            <w:tcW w:w="1672" w:type="dxa"/>
            <w:shd w:val="clear" w:color="auto" w:fill="auto"/>
          </w:tcPr>
          <w:p w14:paraId="4D6066BE" w14:textId="39249CB9" w:rsidR="00DB6635" w:rsidRPr="00384CAC" w:rsidRDefault="00DB6635" w:rsidP="00DB6635">
            <w:pPr>
              <w:pStyle w:val="CM3"/>
              <w:spacing w:before="120" w:after="120"/>
              <w:jc w:val="both"/>
              <w:rPr>
                <w:rStyle w:val="InstructionsTabelleText"/>
                <w:rFonts w:ascii="Times New Roman" w:hAnsi="Times New Roman"/>
                <w:szCs w:val="20"/>
              </w:rPr>
            </w:pPr>
            <w:r w:rsidRPr="00384CAC">
              <w:rPr>
                <w:rStyle w:val="InstructionsTabelleText"/>
                <w:rFonts w:ascii="Times New Roman" w:hAnsi="Times New Roman"/>
                <w:szCs w:val="20"/>
              </w:rPr>
              <w:t xml:space="preserve">Appendix A to IFRS 9 as set out in the Annex to </w:t>
            </w:r>
            <w:r w:rsidRPr="00384CAC">
              <w:rPr>
                <w:rStyle w:val="InstructionsTabelleText"/>
                <w:rFonts w:ascii="Times New Roman" w:hAnsi="Times New Roman"/>
                <w:szCs w:val="20"/>
              </w:rPr>
              <w:lastRenderedPageBreak/>
              <w:t>Regulation (EC) No 1126/2008</w:t>
            </w:r>
          </w:p>
        </w:tc>
        <w:tc>
          <w:tcPr>
            <w:tcW w:w="9781" w:type="dxa"/>
            <w:shd w:val="clear" w:color="auto" w:fill="auto"/>
          </w:tcPr>
          <w:p w14:paraId="28F7FC67" w14:textId="13EFB180" w:rsidR="0068474F" w:rsidRPr="000E262F" w:rsidRDefault="00D47222" w:rsidP="0068474F">
            <w:pPr>
              <w:rPr>
                <w:rStyle w:val="InstructionsTabelleText"/>
                <w:rFonts w:ascii="Times New Roman" w:hAnsi="Times New Roman"/>
                <w:szCs w:val="20"/>
                <w:lang w:val="en-US" w:eastAsia="de-DE"/>
              </w:rPr>
            </w:pPr>
            <w:r w:rsidRPr="00384CAC">
              <w:rPr>
                <w:rStyle w:val="InstructionsTabelleText"/>
                <w:rFonts w:ascii="Times New Roman" w:hAnsi="Times New Roman"/>
                <w:szCs w:val="20"/>
                <w:lang w:eastAsia="de-DE"/>
              </w:rPr>
              <w:lastRenderedPageBreak/>
              <w:t xml:space="preserve">The sum of the expected credit losses over </w:t>
            </w:r>
            <w:r w:rsidR="001B7054">
              <w:rPr>
                <w:rStyle w:val="InstructionsTabelleText"/>
                <w:rFonts w:ascii="Times New Roman" w:hAnsi="Times New Roman"/>
                <w:szCs w:val="20"/>
                <w:lang w:eastAsia="de-DE"/>
              </w:rPr>
              <w:t>all</w:t>
            </w:r>
            <w:r w:rsidR="001B7054" w:rsidRPr="00384CAC">
              <w:rPr>
                <w:rStyle w:val="InstructionsTabelleText"/>
                <w:rFonts w:ascii="Times New Roman" w:hAnsi="Times New Roman"/>
                <w:szCs w:val="20"/>
                <w:lang w:eastAsia="de-DE"/>
              </w:rPr>
              <w:t xml:space="preserve"> </w:t>
            </w:r>
            <w:r w:rsidRPr="00384CAC">
              <w:rPr>
                <w:rStyle w:val="InstructionsTabelleText"/>
                <w:rFonts w:ascii="Times New Roman" w:hAnsi="Times New Roman"/>
                <w:szCs w:val="20"/>
                <w:lang w:eastAsia="de-DE"/>
              </w:rPr>
              <w:t>facilities</w:t>
            </w:r>
            <w:r w:rsidRPr="00384CAC">
              <w:rPr>
                <w:rStyle w:val="InstructionsTabelleText"/>
                <w:rFonts w:ascii="Times New Roman" w:hAnsi="Times New Roman"/>
                <w:szCs w:val="20"/>
              </w:rPr>
              <w:t xml:space="preserve">, </w:t>
            </w:r>
            <w:r w:rsidRPr="00384CAC">
              <w:rPr>
                <w:rFonts w:ascii="Times New Roman" w:hAnsi="Times New Roman"/>
                <w:szCs w:val="20"/>
              </w:rPr>
              <w:t>as considered for the application of impairment requirements under IFRS 9</w:t>
            </w:r>
            <w:r>
              <w:rPr>
                <w:rFonts w:ascii="Times New Roman" w:hAnsi="Times New Roman"/>
                <w:szCs w:val="20"/>
              </w:rPr>
              <w:t>,</w:t>
            </w:r>
            <w:r w:rsidRPr="00384CAC">
              <w:rPr>
                <w:rStyle w:val="InstructionsTabelleText"/>
                <w:rFonts w:ascii="Times New Roman" w:hAnsi="Times New Roman"/>
                <w:szCs w:val="20"/>
                <w:lang w:eastAsia="de-DE"/>
              </w:rPr>
              <w:t xml:space="preserve"> </w:t>
            </w:r>
            <w:r>
              <w:rPr>
                <w:rStyle w:val="InstructionsTabelleText"/>
                <w:rFonts w:ascii="Times New Roman" w:hAnsi="Times New Roman"/>
                <w:szCs w:val="20"/>
                <w:lang w:eastAsia="de-DE"/>
              </w:rPr>
              <w:t xml:space="preserve">included in the respective portfolio and which were allocated within stage </w:t>
            </w:r>
            <w:r w:rsidR="00D43722">
              <w:rPr>
                <w:rStyle w:val="InstructionsTabelleText"/>
                <w:rFonts w:ascii="Times New Roman" w:hAnsi="Times New Roman"/>
                <w:szCs w:val="20"/>
                <w:lang w:eastAsia="de-DE"/>
              </w:rPr>
              <w:t>3</w:t>
            </w:r>
            <w:r w:rsidRPr="00384CAC">
              <w:rPr>
                <w:rStyle w:val="InstructionsTabelleText"/>
                <w:rFonts w:ascii="Times New Roman" w:hAnsi="Times New Roman"/>
                <w:szCs w:val="20"/>
                <w:lang w:eastAsia="de-DE"/>
              </w:rPr>
              <w:t xml:space="preserve"> </w:t>
            </w:r>
            <w:r w:rsidRPr="00384CAC">
              <w:rPr>
                <w:rStyle w:val="InstructionsTabelleText"/>
                <w:rFonts w:ascii="Times New Roman" w:hAnsi="Times New Roman"/>
                <w:szCs w:val="20"/>
              </w:rPr>
              <w:t>at the reporting date.</w:t>
            </w:r>
            <w:r w:rsidRPr="00FA0BAE">
              <w:rPr>
                <w:rFonts w:ascii="Times New Roman" w:hAnsi="Times New Roman"/>
                <w:szCs w:val="20"/>
                <w:lang w:eastAsia="de-DE"/>
              </w:rPr>
              <w:t xml:space="preserve"> </w:t>
            </w:r>
          </w:p>
          <w:p w14:paraId="5D85F950" w14:textId="48CD0F72" w:rsidR="001B7054" w:rsidRDefault="001B7054" w:rsidP="0068474F">
            <w:pPr>
              <w:rPr>
                <w:rStyle w:val="InstructionsTabelleText"/>
                <w:rFonts w:ascii="Times New Roman" w:hAnsi="Times New Roman"/>
              </w:rPr>
            </w:pPr>
            <w:r>
              <w:rPr>
                <w:rFonts w:ascii="Times New Roman" w:hAnsi="Times New Roman"/>
                <w:szCs w:val="20"/>
              </w:rPr>
              <w:lastRenderedPageBreak/>
              <w:t>T</w:t>
            </w:r>
            <w:r w:rsidR="0068474F" w:rsidRPr="00384CAC">
              <w:rPr>
                <w:rFonts w:ascii="Times New Roman" w:hAnsi="Times New Roman"/>
                <w:szCs w:val="20"/>
              </w:rPr>
              <w:t xml:space="preserve">he ECL amount for each facility shall be the one </w:t>
            </w:r>
            <w:r w:rsidR="0068474F">
              <w:rPr>
                <w:rFonts w:ascii="Times New Roman" w:hAnsi="Times New Roman"/>
                <w:szCs w:val="20"/>
              </w:rPr>
              <w:t>resulting from all possible default events over its expected life</w:t>
            </w:r>
            <w:r>
              <w:rPr>
                <w:rStyle w:val="InstructionsTabelleText"/>
              </w:rPr>
              <w:t>.</w:t>
            </w:r>
          </w:p>
          <w:p w14:paraId="065263CA" w14:textId="77BA48D4" w:rsidR="00DB6635" w:rsidRPr="00384CAC" w:rsidRDefault="001B7054" w:rsidP="0068474F">
            <w:pPr>
              <w:rPr>
                <w:rStyle w:val="InstructionsTabelleText"/>
                <w:rFonts w:ascii="Times New Roman" w:hAnsi="Times New Roman"/>
                <w:szCs w:val="20"/>
                <w:lang w:eastAsia="de-DE"/>
              </w:rPr>
            </w:pPr>
            <w:r>
              <w:rPr>
                <w:rStyle w:val="InstructionsTabelleText"/>
                <w:rFonts w:ascii="Times New Roman" w:hAnsi="Times New Roman"/>
              </w:rPr>
              <w:t>T</w:t>
            </w:r>
            <w:r w:rsidR="0068474F">
              <w:rPr>
                <w:rStyle w:val="InstructionsTabelleText"/>
                <w:rFonts w:ascii="Times New Roman" w:hAnsi="Times New Roman"/>
              </w:rPr>
              <w:t>he data reported shall include any</w:t>
            </w:r>
            <w:r w:rsidR="0068474F" w:rsidRPr="00A8219C">
              <w:rPr>
                <w:rStyle w:val="InstructionsTabelleText"/>
                <w:rFonts w:ascii="Times New Roman" w:hAnsi="Times New Roman"/>
              </w:rPr>
              <w:t xml:space="preserve"> temporary model adjustment or overlay that has been applied </w:t>
            </w:r>
            <w:r w:rsidR="009015EE">
              <w:rPr>
                <w:rStyle w:val="InstructionsTabelleText"/>
                <w:rFonts w:ascii="Times New Roman" w:hAnsi="Times New Roman"/>
              </w:rPr>
              <w:t>for</w:t>
            </w:r>
            <w:r w:rsidR="0068474F">
              <w:rPr>
                <w:rStyle w:val="InstructionsTabelleText"/>
                <w:rFonts w:ascii="Times New Roman" w:hAnsi="Times New Roman"/>
              </w:rPr>
              <w:t xml:space="preserve"> the </w:t>
            </w:r>
            <w:r w:rsidR="009015EE">
              <w:rPr>
                <w:rStyle w:val="InstructionsTabelleText"/>
                <w:rFonts w:ascii="Times New Roman" w:hAnsi="Times New Roman"/>
              </w:rPr>
              <w:t xml:space="preserve">purposes of estimating </w:t>
            </w:r>
            <w:r w:rsidR="0068474F">
              <w:rPr>
                <w:rStyle w:val="InstructionsTabelleText"/>
                <w:rFonts w:ascii="Times New Roman" w:hAnsi="Times New Roman"/>
              </w:rPr>
              <w:t>ECL</w:t>
            </w:r>
            <w:r w:rsidR="009015EE">
              <w:rPr>
                <w:rStyle w:val="InstructionsTabelleText"/>
                <w:rFonts w:ascii="Times New Roman" w:hAnsi="Times New Roman"/>
              </w:rPr>
              <w:t>. Therefore, this data point shall include the effect of all the model adjustments/overlays, regardless they were applied at risk parameter</w:t>
            </w:r>
            <w:r w:rsidR="0068474F">
              <w:rPr>
                <w:rStyle w:val="InstructionsTabelleText"/>
                <w:rFonts w:ascii="Times New Roman" w:hAnsi="Times New Roman"/>
              </w:rPr>
              <w:t xml:space="preserve"> level</w:t>
            </w:r>
            <w:r w:rsidR="009015EE">
              <w:rPr>
                <w:rStyle w:val="InstructionsTabelleText"/>
                <w:rFonts w:ascii="Times New Roman" w:hAnsi="Times New Roman"/>
              </w:rPr>
              <w:t xml:space="preserve"> or </w:t>
            </w:r>
            <w:r w:rsidR="0068474F">
              <w:rPr>
                <w:rStyle w:val="InstructionsTabelleText"/>
                <w:rFonts w:ascii="Times New Roman" w:hAnsi="Times New Roman"/>
              </w:rPr>
              <w:t>at the ECL level.</w:t>
            </w:r>
          </w:p>
        </w:tc>
      </w:tr>
      <w:tr w:rsidR="00DB6635" w:rsidRPr="00384CAC" w14:paraId="36DC04A5" w14:textId="77777777" w:rsidTr="003C3509">
        <w:tc>
          <w:tcPr>
            <w:tcW w:w="993" w:type="dxa"/>
            <w:shd w:val="clear" w:color="auto" w:fill="auto"/>
          </w:tcPr>
          <w:p w14:paraId="13568FC5" w14:textId="3603E33C" w:rsidR="00DB6635" w:rsidRPr="00384CAC" w:rsidRDefault="00DB6635" w:rsidP="00DB6635">
            <w:pPr>
              <w:rPr>
                <w:rStyle w:val="InstructionsTabelleText"/>
                <w:rFonts w:ascii="Times New Roman" w:hAnsi="Times New Roman"/>
                <w:bCs/>
                <w:szCs w:val="20"/>
              </w:rPr>
            </w:pPr>
            <w:r>
              <w:rPr>
                <w:rStyle w:val="InstructionsTabelleText"/>
                <w:rFonts w:ascii="Times New Roman" w:hAnsi="Times New Roman"/>
                <w:bCs/>
                <w:szCs w:val="20"/>
              </w:rPr>
              <w:lastRenderedPageBreak/>
              <w:t>0148</w:t>
            </w:r>
          </w:p>
        </w:tc>
        <w:tc>
          <w:tcPr>
            <w:tcW w:w="1871" w:type="dxa"/>
            <w:shd w:val="clear" w:color="auto" w:fill="auto"/>
          </w:tcPr>
          <w:p w14:paraId="7AD633D5" w14:textId="63D0A476" w:rsidR="00DB6635" w:rsidRPr="00384CAC" w:rsidRDefault="00DB6635" w:rsidP="00DB6635">
            <w:pPr>
              <w:rPr>
                <w:rStyle w:val="InstructionsTabelleText"/>
                <w:rFonts w:ascii="Times New Roman" w:hAnsi="Times New Roman"/>
                <w:szCs w:val="20"/>
              </w:rPr>
            </w:pPr>
            <w:r w:rsidRPr="00384CAC">
              <w:rPr>
                <w:rStyle w:val="InstructionsTabelleText"/>
                <w:rFonts w:ascii="Times New Roman" w:hAnsi="Times New Roman"/>
                <w:szCs w:val="20"/>
              </w:rPr>
              <w:t>ECL amount</w:t>
            </w:r>
            <w:r w:rsidRPr="00384CAC">
              <w:rPr>
                <w:rStyle w:val="InstructionsTabelleText"/>
                <w:rFonts w:ascii="Times New Roman" w:hAnsi="Times New Roman"/>
                <w:bCs/>
                <w:szCs w:val="20"/>
              </w:rPr>
              <w:t xml:space="preserve"> IFRS 9</w:t>
            </w:r>
            <w:r>
              <w:rPr>
                <w:rStyle w:val="InstructionsTabelleText"/>
                <w:rFonts w:ascii="Times New Roman" w:hAnsi="Times New Roman"/>
                <w:bCs/>
                <w:szCs w:val="20"/>
              </w:rPr>
              <w:t xml:space="preserve"> </w:t>
            </w:r>
            <w:r>
              <w:rPr>
                <w:rStyle w:val="InstructionsTabelleText"/>
                <w:rFonts w:ascii="Times New Roman" w:hAnsi="Times New Roman"/>
                <w:szCs w:val="20"/>
              </w:rPr>
              <w:t>without overlays</w:t>
            </w:r>
            <w:r w:rsidR="0068474F">
              <w:rPr>
                <w:rStyle w:val="InstructionsTabelleText"/>
                <w:rFonts w:ascii="Times New Roman" w:hAnsi="Times New Roman"/>
                <w:szCs w:val="20"/>
              </w:rPr>
              <w:t xml:space="preserve"> – Stage 1</w:t>
            </w:r>
          </w:p>
        </w:tc>
        <w:tc>
          <w:tcPr>
            <w:tcW w:w="1672" w:type="dxa"/>
            <w:shd w:val="clear" w:color="auto" w:fill="auto"/>
          </w:tcPr>
          <w:p w14:paraId="068F6639" w14:textId="77777777" w:rsidR="00DB6635" w:rsidRPr="00384CAC" w:rsidRDefault="00DB6635" w:rsidP="00DB6635">
            <w:pPr>
              <w:rPr>
                <w:rFonts w:ascii="Times New Roman" w:hAnsi="Times New Roman"/>
                <w:szCs w:val="20"/>
              </w:rPr>
            </w:pPr>
          </w:p>
        </w:tc>
        <w:tc>
          <w:tcPr>
            <w:tcW w:w="9781" w:type="dxa"/>
            <w:shd w:val="clear" w:color="auto" w:fill="auto"/>
          </w:tcPr>
          <w:p w14:paraId="5BE719C1" w14:textId="56422E17" w:rsidR="00DB6635" w:rsidRDefault="00DB6635" w:rsidP="00DB6635">
            <w:pPr>
              <w:rPr>
                <w:rStyle w:val="InstructionsTabelleText"/>
                <w:rFonts w:ascii="Times New Roman" w:hAnsi="Times New Roman"/>
              </w:rPr>
            </w:pPr>
            <w:r w:rsidRPr="00B60EA7">
              <w:rPr>
                <w:rStyle w:val="InstructionsTabelleText"/>
                <w:rFonts w:ascii="Times New Roman" w:hAnsi="Times New Roman"/>
              </w:rPr>
              <w:t xml:space="preserve">The </w:t>
            </w:r>
            <w:r>
              <w:rPr>
                <w:rStyle w:val="InstructionsTabelleText"/>
                <w:rFonts w:ascii="Times New Roman" w:hAnsi="Times New Roman"/>
              </w:rPr>
              <w:t>IFRS 9 ECL amount reported in accordance with the instructions provided for column 0145, but excluding the effect of any temporary model adjustment or overlay that has been applied directly at the ECL level.</w:t>
            </w:r>
          </w:p>
          <w:p w14:paraId="6DA6637E" w14:textId="2E67244E" w:rsidR="00DB6635" w:rsidRDefault="004839A8" w:rsidP="00DB6635">
            <w:pPr>
              <w:rPr>
                <w:rStyle w:val="InstructionsTabelleText"/>
                <w:rFonts w:ascii="Times New Roman" w:hAnsi="Times New Roman"/>
              </w:rPr>
            </w:pPr>
            <w:r>
              <w:rPr>
                <w:rStyle w:val="InstructionsTabelleText"/>
                <w:rFonts w:ascii="Times New Roman" w:hAnsi="Times New Roman"/>
              </w:rPr>
              <w:t>M</w:t>
            </w:r>
            <w:r w:rsidR="00DB6635">
              <w:rPr>
                <w:rStyle w:val="InstructionsTabelleText"/>
                <w:rFonts w:ascii="Times New Roman" w:hAnsi="Times New Roman"/>
              </w:rPr>
              <w:t>odel adjustments and overlays are intended as any manual adjustment or intervention affecting the IFRS 9 ECL estimates resulting from the ordinary application of the IFRS 9 ECL model adopted by the institution. This, regardless of the approach used for determining the overlay applied at the ECL level, as for instance whether the amount of the ECL overlay is based on stressed estimates of the respective IFRS 9 credit risk parameter (</w:t>
            </w:r>
            <w:proofErr w:type="gramStart"/>
            <w:r w:rsidR="00DB6635">
              <w:rPr>
                <w:rStyle w:val="InstructionsTabelleText"/>
                <w:rFonts w:ascii="Times New Roman" w:hAnsi="Times New Roman"/>
              </w:rPr>
              <w:t>e.g.</w:t>
            </w:r>
            <w:proofErr w:type="gramEnd"/>
            <w:r w:rsidR="00DB6635">
              <w:rPr>
                <w:rStyle w:val="InstructionsTabelleText"/>
                <w:rFonts w:ascii="Times New Roman" w:hAnsi="Times New Roman"/>
              </w:rPr>
              <w:t xml:space="preserve"> stressed IFRS 9 PD estimates).</w:t>
            </w:r>
          </w:p>
          <w:p w14:paraId="68B6F665" w14:textId="06362D63" w:rsidR="00DB6635" w:rsidRDefault="00DB6635" w:rsidP="00DB6635">
            <w:pPr>
              <w:rPr>
                <w:rStyle w:val="InstructionsTabelleText"/>
                <w:rFonts w:ascii="Times New Roman" w:hAnsi="Times New Roman"/>
              </w:rPr>
            </w:pPr>
            <w:r>
              <w:rPr>
                <w:rStyle w:val="InstructionsTabelleText"/>
                <w:rFonts w:ascii="Times New Roman" w:hAnsi="Times New Roman"/>
              </w:rPr>
              <w:t xml:space="preserve">In case no model adjustment or overlay has been applied at the ECL level with reference to the reported portfolio, </w:t>
            </w:r>
            <w:r w:rsidR="009A65E4">
              <w:rPr>
                <w:rStyle w:val="InstructionsTabelleText"/>
                <w:rFonts w:ascii="Times New Roman" w:hAnsi="Times New Roman"/>
              </w:rPr>
              <w:t>the IFRS 9 ECL amount should be reported in accordance with the instructions provided for column 0145.</w:t>
            </w:r>
          </w:p>
          <w:p w14:paraId="4651454A" w14:textId="2402AAEC" w:rsidR="00FF3C3D" w:rsidRDefault="00FF3C3D" w:rsidP="00DB6635">
            <w:pPr>
              <w:rPr>
                <w:rStyle w:val="InstructionsTabelleText"/>
                <w:rFonts w:ascii="Times New Roman" w:hAnsi="Times New Roman"/>
              </w:rPr>
            </w:pPr>
            <w:r>
              <w:rPr>
                <w:rStyle w:val="InstructionsTabelleText"/>
                <w:rFonts w:ascii="Times New Roman" w:hAnsi="Times New Roman"/>
              </w:rPr>
              <w:t xml:space="preserve">In case </w:t>
            </w:r>
            <w:r w:rsidR="00C55F82">
              <w:rPr>
                <w:rStyle w:val="InstructionsTabelleText"/>
                <w:rFonts w:ascii="Times New Roman" w:hAnsi="Times New Roman"/>
              </w:rPr>
              <w:t>the effect of model adjustments or overlays</w:t>
            </w:r>
            <w:r w:rsidR="00C54AAB">
              <w:rPr>
                <w:rStyle w:val="InstructionsTabelleText"/>
                <w:rFonts w:ascii="Times New Roman" w:hAnsi="Times New Roman"/>
              </w:rPr>
              <w:t xml:space="preserve"> at the ECL level</w:t>
            </w:r>
            <w:r w:rsidR="00C55F82">
              <w:rPr>
                <w:rStyle w:val="InstructionsTabelleText"/>
                <w:rFonts w:ascii="Times New Roman" w:hAnsi="Times New Roman"/>
              </w:rPr>
              <w:t xml:space="preserve"> cannot be </w:t>
            </w:r>
            <w:r w:rsidR="00697B0E">
              <w:rPr>
                <w:rStyle w:val="InstructionsTabelleText"/>
                <w:rFonts w:ascii="Times New Roman" w:hAnsi="Times New Roman"/>
              </w:rPr>
              <w:t>isolated</w:t>
            </w:r>
            <w:r w:rsidR="00C55F82">
              <w:rPr>
                <w:rStyle w:val="InstructionsTabelleText"/>
                <w:rFonts w:ascii="Times New Roman" w:hAnsi="Times New Roman"/>
              </w:rPr>
              <w:t xml:space="preserve">, </w:t>
            </w:r>
            <w:r w:rsidR="00C55F82" w:rsidRPr="003F1E91">
              <w:rPr>
                <w:rStyle w:val="InstructionsTabelleText"/>
                <w:rFonts w:ascii="Times New Roman" w:hAnsi="Times New Roman"/>
              </w:rPr>
              <w:t xml:space="preserve">this data point shall be left </w:t>
            </w:r>
            <w:proofErr w:type="gramStart"/>
            <w:r w:rsidR="00C55F82" w:rsidRPr="003F1E91">
              <w:rPr>
                <w:rStyle w:val="InstructionsTabelleText"/>
                <w:rFonts w:ascii="Times New Roman" w:hAnsi="Times New Roman"/>
              </w:rPr>
              <w:t>blank</w:t>
            </w:r>
            <w:proofErr w:type="gramEnd"/>
            <w:r w:rsidR="00C55F82" w:rsidRPr="008D562A">
              <w:rPr>
                <w:rFonts w:ascii="Times New Roman" w:hAnsi="Times New Roman"/>
                <w:szCs w:val="20"/>
                <w:lang w:eastAsia="de-DE"/>
              </w:rPr>
              <w:t xml:space="preserve"> or ‘NULL’ shall be inserted</w:t>
            </w:r>
            <w:r w:rsidR="00C55F82">
              <w:rPr>
                <w:rStyle w:val="InstructionsTabelleText"/>
                <w:rFonts w:ascii="Times New Roman" w:hAnsi="Times New Roman"/>
              </w:rPr>
              <w:t>.</w:t>
            </w:r>
          </w:p>
        </w:tc>
      </w:tr>
      <w:tr w:rsidR="0068474F" w:rsidRPr="00384CAC" w14:paraId="1571B0C2" w14:textId="77777777" w:rsidTr="003C3509">
        <w:tc>
          <w:tcPr>
            <w:tcW w:w="993" w:type="dxa"/>
            <w:shd w:val="clear" w:color="auto" w:fill="auto"/>
          </w:tcPr>
          <w:p w14:paraId="377E6D3B" w14:textId="0023BC84" w:rsidR="0068474F" w:rsidRDefault="0068474F" w:rsidP="0068474F">
            <w:pPr>
              <w:rPr>
                <w:rStyle w:val="InstructionsTabelleText"/>
                <w:rFonts w:ascii="Times New Roman" w:hAnsi="Times New Roman"/>
                <w:bCs/>
                <w:szCs w:val="20"/>
              </w:rPr>
            </w:pPr>
            <w:r>
              <w:rPr>
                <w:rStyle w:val="InstructionsTabelleText"/>
                <w:rFonts w:ascii="Times New Roman" w:hAnsi="Times New Roman"/>
                <w:bCs/>
                <w:szCs w:val="20"/>
              </w:rPr>
              <w:t>0149</w:t>
            </w:r>
          </w:p>
        </w:tc>
        <w:tc>
          <w:tcPr>
            <w:tcW w:w="1871" w:type="dxa"/>
            <w:shd w:val="clear" w:color="auto" w:fill="auto"/>
          </w:tcPr>
          <w:p w14:paraId="08313F1D" w14:textId="09294299" w:rsidR="0068474F" w:rsidRPr="00384CAC" w:rsidRDefault="0068474F" w:rsidP="0068474F">
            <w:pPr>
              <w:rPr>
                <w:rStyle w:val="InstructionsTabelleText"/>
                <w:rFonts w:ascii="Times New Roman" w:hAnsi="Times New Roman"/>
                <w:szCs w:val="20"/>
              </w:rPr>
            </w:pPr>
            <w:r w:rsidRPr="00384CAC">
              <w:rPr>
                <w:rStyle w:val="InstructionsTabelleText"/>
                <w:rFonts w:ascii="Times New Roman" w:hAnsi="Times New Roman"/>
                <w:szCs w:val="20"/>
              </w:rPr>
              <w:t>ECL amount</w:t>
            </w:r>
            <w:r w:rsidRPr="00384CAC">
              <w:rPr>
                <w:rStyle w:val="InstructionsTabelleText"/>
                <w:rFonts w:ascii="Times New Roman" w:hAnsi="Times New Roman"/>
                <w:bCs/>
                <w:szCs w:val="20"/>
              </w:rPr>
              <w:t xml:space="preserve"> IFRS 9</w:t>
            </w:r>
            <w:r>
              <w:rPr>
                <w:rStyle w:val="InstructionsTabelleText"/>
                <w:rFonts w:ascii="Times New Roman" w:hAnsi="Times New Roman"/>
                <w:bCs/>
                <w:szCs w:val="20"/>
              </w:rPr>
              <w:t xml:space="preserve"> </w:t>
            </w:r>
            <w:r>
              <w:rPr>
                <w:rStyle w:val="InstructionsTabelleText"/>
                <w:rFonts w:ascii="Times New Roman" w:hAnsi="Times New Roman"/>
                <w:szCs w:val="20"/>
              </w:rPr>
              <w:t>without overlays – Stage 2</w:t>
            </w:r>
          </w:p>
        </w:tc>
        <w:tc>
          <w:tcPr>
            <w:tcW w:w="1672" w:type="dxa"/>
            <w:shd w:val="clear" w:color="auto" w:fill="auto"/>
          </w:tcPr>
          <w:p w14:paraId="644EE45F" w14:textId="77777777" w:rsidR="0068474F" w:rsidRPr="00384CAC" w:rsidRDefault="0068474F" w:rsidP="0068474F">
            <w:pPr>
              <w:rPr>
                <w:rFonts w:ascii="Times New Roman" w:hAnsi="Times New Roman"/>
                <w:szCs w:val="20"/>
              </w:rPr>
            </w:pPr>
          </w:p>
        </w:tc>
        <w:tc>
          <w:tcPr>
            <w:tcW w:w="9781" w:type="dxa"/>
            <w:shd w:val="clear" w:color="auto" w:fill="auto"/>
          </w:tcPr>
          <w:p w14:paraId="17799F46" w14:textId="026073E0" w:rsidR="0068474F" w:rsidRDefault="0068474F" w:rsidP="0068474F">
            <w:pPr>
              <w:rPr>
                <w:rStyle w:val="InstructionsTabelleText"/>
                <w:rFonts w:ascii="Times New Roman" w:hAnsi="Times New Roman"/>
              </w:rPr>
            </w:pPr>
            <w:r w:rsidRPr="00B60EA7">
              <w:rPr>
                <w:rStyle w:val="InstructionsTabelleText"/>
                <w:rFonts w:ascii="Times New Roman" w:hAnsi="Times New Roman"/>
              </w:rPr>
              <w:t xml:space="preserve">The </w:t>
            </w:r>
            <w:r>
              <w:rPr>
                <w:rStyle w:val="InstructionsTabelleText"/>
                <w:rFonts w:ascii="Times New Roman" w:hAnsi="Times New Roman"/>
              </w:rPr>
              <w:t>IFRS 9 ECL amount reported in accordance with the instructions provided for column 0146, but excluding the effect of any temporary model adjustment or overlay that has been applied directly at the ECL level.</w:t>
            </w:r>
          </w:p>
          <w:p w14:paraId="2FE00D4F" w14:textId="5EDD976A" w:rsidR="0068474F" w:rsidRDefault="004839A8" w:rsidP="0068474F">
            <w:pPr>
              <w:rPr>
                <w:rStyle w:val="InstructionsTabelleText"/>
                <w:rFonts w:ascii="Times New Roman" w:hAnsi="Times New Roman"/>
              </w:rPr>
            </w:pPr>
            <w:r>
              <w:rPr>
                <w:rStyle w:val="InstructionsTabelleText"/>
                <w:rFonts w:ascii="Times New Roman" w:hAnsi="Times New Roman"/>
              </w:rPr>
              <w:t>M</w:t>
            </w:r>
            <w:r w:rsidR="0068474F">
              <w:rPr>
                <w:rStyle w:val="InstructionsTabelleText"/>
                <w:rFonts w:ascii="Times New Roman" w:hAnsi="Times New Roman"/>
              </w:rPr>
              <w:t>odel adjustments and overlays are intended as any manual adjustment or intervention affecting the IFRS 9 ECL estimates resulting from the ordinary application of the IFRS 9 ECL model adopted by the institution. This, regardless of the approach used for determining the overlay applied at the ECL level, as for instance whether the amount of the ECL overlay is based on stressed estimates of the respective IFRS 9 credit risk parameter (</w:t>
            </w:r>
            <w:proofErr w:type="gramStart"/>
            <w:r w:rsidR="0068474F">
              <w:rPr>
                <w:rStyle w:val="InstructionsTabelleText"/>
                <w:rFonts w:ascii="Times New Roman" w:hAnsi="Times New Roman"/>
              </w:rPr>
              <w:t>e.g.</w:t>
            </w:r>
            <w:proofErr w:type="gramEnd"/>
            <w:r w:rsidR="0068474F">
              <w:rPr>
                <w:rStyle w:val="InstructionsTabelleText"/>
                <w:rFonts w:ascii="Times New Roman" w:hAnsi="Times New Roman"/>
              </w:rPr>
              <w:t xml:space="preserve"> stressed IFRS 9 PD estimates).</w:t>
            </w:r>
          </w:p>
          <w:p w14:paraId="5F664D2E" w14:textId="2E47BC67" w:rsidR="0068474F" w:rsidRDefault="0068474F" w:rsidP="0068474F">
            <w:pPr>
              <w:rPr>
                <w:rStyle w:val="InstructionsTabelleText"/>
                <w:rFonts w:ascii="Times New Roman" w:hAnsi="Times New Roman"/>
              </w:rPr>
            </w:pPr>
            <w:r>
              <w:rPr>
                <w:rStyle w:val="InstructionsTabelleText"/>
                <w:rFonts w:ascii="Times New Roman" w:hAnsi="Times New Roman"/>
              </w:rPr>
              <w:t xml:space="preserve">In case no model adjustment or overlay has been applied at the ECL level with reference to the reported portfolio, </w:t>
            </w:r>
            <w:r w:rsidR="00373925">
              <w:rPr>
                <w:rStyle w:val="InstructionsTabelleText"/>
                <w:rFonts w:ascii="Times New Roman" w:hAnsi="Times New Roman"/>
              </w:rPr>
              <w:t xml:space="preserve"> the IFRS 9 ECL amount should be reported in accordance with the instructions provided for column 0146.</w:t>
            </w:r>
          </w:p>
          <w:p w14:paraId="419BEA20" w14:textId="269C8B20" w:rsidR="00373925" w:rsidRPr="00373925" w:rsidRDefault="00373925" w:rsidP="0068474F">
            <w:pPr>
              <w:rPr>
                <w:rStyle w:val="InstructionsTabelleText"/>
                <w:rFonts w:ascii="Times New Roman" w:hAnsi="Times New Roman"/>
                <w:lang w:val="en-US"/>
              </w:rPr>
            </w:pPr>
            <w:r>
              <w:rPr>
                <w:rStyle w:val="InstructionsTabelleText"/>
                <w:rFonts w:ascii="Times New Roman" w:hAnsi="Times New Roman"/>
              </w:rPr>
              <w:t xml:space="preserve">In case the effect of model adjustments or overlays at the ECL level cannot be isolated, </w:t>
            </w:r>
            <w:r w:rsidRPr="003F1E91">
              <w:rPr>
                <w:rStyle w:val="InstructionsTabelleText"/>
                <w:rFonts w:ascii="Times New Roman" w:hAnsi="Times New Roman"/>
              </w:rPr>
              <w:t xml:space="preserve">this data point shall be left </w:t>
            </w:r>
            <w:proofErr w:type="gramStart"/>
            <w:r w:rsidRPr="003F1E91">
              <w:rPr>
                <w:rStyle w:val="InstructionsTabelleText"/>
                <w:rFonts w:ascii="Times New Roman" w:hAnsi="Times New Roman"/>
              </w:rPr>
              <w:t>blank</w:t>
            </w:r>
            <w:proofErr w:type="gramEnd"/>
            <w:r w:rsidRPr="008D562A">
              <w:rPr>
                <w:rFonts w:ascii="Times New Roman" w:hAnsi="Times New Roman"/>
                <w:szCs w:val="20"/>
                <w:lang w:eastAsia="de-DE"/>
              </w:rPr>
              <w:t xml:space="preserve"> or ‘NULL’ shall be inserted</w:t>
            </w:r>
            <w:r>
              <w:rPr>
                <w:rStyle w:val="InstructionsTabelleText"/>
                <w:rFonts w:ascii="Times New Roman" w:hAnsi="Times New Roman"/>
              </w:rPr>
              <w:t>.</w:t>
            </w:r>
          </w:p>
        </w:tc>
      </w:tr>
      <w:tr w:rsidR="0068474F" w:rsidRPr="00384CAC" w14:paraId="4ADFCCBB" w14:textId="77777777" w:rsidTr="003C3509">
        <w:tc>
          <w:tcPr>
            <w:tcW w:w="993" w:type="dxa"/>
            <w:shd w:val="clear" w:color="auto" w:fill="auto"/>
          </w:tcPr>
          <w:p w14:paraId="49F9CA92" w14:textId="7C4EF9EE" w:rsidR="0068474F" w:rsidRDefault="0068474F" w:rsidP="0068474F">
            <w:pPr>
              <w:rPr>
                <w:rStyle w:val="InstructionsTabelleText"/>
                <w:rFonts w:ascii="Times New Roman" w:hAnsi="Times New Roman"/>
                <w:bCs/>
                <w:szCs w:val="20"/>
              </w:rPr>
            </w:pPr>
            <w:r>
              <w:rPr>
                <w:rStyle w:val="InstructionsTabelleText"/>
                <w:rFonts w:ascii="Times New Roman" w:hAnsi="Times New Roman"/>
                <w:bCs/>
                <w:szCs w:val="20"/>
              </w:rPr>
              <w:t>0150</w:t>
            </w:r>
          </w:p>
        </w:tc>
        <w:tc>
          <w:tcPr>
            <w:tcW w:w="1871" w:type="dxa"/>
            <w:shd w:val="clear" w:color="auto" w:fill="auto"/>
          </w:tcPr>
          <w:p w14:paraId="0EDD2606" w14:textId="62935DC3" w:rsidR="0068474F" w:rsidRPr="00384CAC" w:rsidRDefault="0068474F" w:rsidP="0068474F">
            <w:pPr>
              <w:rPr>
                <w:rStyle w:val="InstructionsTabelleText"/>
                <w:rFonts w:ascii="Times New Roman" w:hAnsi="Times New Roman"/>
                <w:szCs w:val="20"/>
              </w:rPr>
            </w:pPr>
            <w:r w:rsidRPr="00384CAC">
              <w:rPr>
                <w:rStyle w:val="InstructionsTabelleText"/>
                <w:rFonts w:ascii="Times New Roman" w:hAnsi="Times New Roman"/>
                <w:szCs w:val="20"/>
              </w:rPr>
              <w:t>ECL amount</w:t>
            </w:r>
            <w:r w:rsidRPr="00384CAC">
              <w:rPr>
                <w:rStyle w:val="InstructionsTabelleText"/>
                <w:rFonts w:ascii="Times New Roman" w:hAnsi="Times New Roman"/>
                <w:bCs/>
                <w:szCs w:val="20"/>
              </w:rPr>
              <w:t xml:space="preserve"> IFRS 9</w:t>
            </w:r>
            <w:r>
              <w:rPr>
                <w:rStyle w:val="InstructionsTabelleText"/>
                <w:rFonts w:ascii="Times New Roman" w:hAnsi="Times New Roman"/>
                <w:bCs/>
                <w:szCs w:val="20"/>
              </w:rPr>
              <w:t xml:space="preserve"> </w:t>
            </w:r>
            <w:r>
              <w:rPr>
                <w:rStyle w:val="InstructionsTabelleText"/>
                <w:rFonts w:ascii="Times New Roman" w:hAnsi="Times New Roman"/>
                <w:szCs w:val="20"/>
              </w:rPr>
              <w:t>without overlays – Stage 3</w:t>
            </w:r>
          </w:p>
        </w:tc>
        <w:tc>
          <w:tcPr>
            <w:tcW w:w="1672" w:type="dxa"/>
            <w:shd w:val="clear" w:color="auto" w:fill="auto"/>
          </w:tcPr>
          <w:p w14:paraId="550865A2" w14:textId="77777777" w:rsidR="0068474F" w:rsidRPr="00384CAC" w:rsidRDefault="0068474F" w:rsidP="0068474F">
            <w:pPr>
              <w:rPr>
                <w:rFonts w:ascii="Times New Roman" w:hAnsi="Times New Roman"/>
                <w:szCs w:val="20"/>
              </w:rPr>
            </w:pPr>
          </w:p>
        </w:tc>
        <w:tc>
          <w:tcPr>
            <w:tcW w:w="9781" w:type="dxa"/>
            <w:shd w:val="clear" w:color="auto" w:fill="auto"/>
          </w:tcPr>
          <w:p w14:paraId="4949F931" w14:textId="64CC333A" w:rsidR="0068474F" w:rsidRDefault="0068474F" w:rsidP="0068474F">
            <w:pPr>
              <w:rPr>
                <w:rStyle w:val="InstructionsTabelleText"/>
                <w:rFonts w:ascii="Times New Roman" w:hAnsi="Times New Roman"/>
              </w:rPr>
            </w:pPr>
            <w:r w:rsidRPr="00B60EA7">
              <w:rPr>
                <w:rStyle w:val="InstructionsTabelleText"/>
                <w:rFonts w:ascii="Times New Roman" w:hAnsi="Times New Roman"/>
              </w:rPr>
              <w:t xml:space="preserve">The </w:t>
            </w:r>
            <w:r>
              <w:rPr>
                <w:rStyle w:val="InstructionsTabelleText"/>
                <w:rFonts w:ascii="Times New Roman" w:hAnsi="Times New Roman"/>
              </w:rPr>
              <w:t>IFRS 9 ECL amount reported in accordance with the instructions provided for column 0147, but excluding the effect of any temporary model adjustment or overlay that has been applied directly at the ECL level.</w:t>
            </w:r>
          </w:p>
          <w:p w14:paraId="35E9BC13" w14:textId="02D0DC37" w:rsidR="0068474F" w:rsidRDefault="004839A8" w:rsidP="0068474F">
            <w:pPr>
              <w:rPr>
                <w:rStyle w:val="InstructionsTabelleText"/>
                <w:rFonts w:ascii="Times New Roman" w:hAnsi="Times New Roman"/>
              </w:rPr>
            </w:pPr>
            <w:r>
              <w:rPr>
                <w:rStyle w:val="InstructionsTabelleText"/>
                <w:rFonts w:ascii="Times New Roman" w:hAnsi="Times New Roman"/>
              </w:rPr>
              <w:lastRenderedPageBreak/>
              <w:t>M</w:t>
            </w:r>
            <w:r w:rsidR="0068474F">
              <w:rPr>
                <w:rStyle w:val="InstructionsTabelleText"/>
                <w:rFonts w:ascii="Times New Roman" w:hAnsi="Times New Roman"/>
              </w:rPr>
              <w:t>odel adjustments and overlays are intended as any manual adjustment or intervention affecting the IFRS 9 ECL estimates resulting from the ordinary application of the IFRS 9 ECL model adopted by the institution. This, regardless of the approach used for determining the overlay applied at the ECL level, as for instance whether the amount of the ECL overlay is based on stressed estimates of the respective IFRS 9 credit risk parameter (</w:t>
            </w:r>
            <w:proofErr w:type="gramStart"/>
            <w:r w:rsidR="0068474F">
              <w:rPr>
                <w:rStyle w:val="InstructionsTabelleText"/>
                <w:rFonts w:ascii="Times New Roman" w:hAnsi="Times New Roman"/>
              </w:rPr>
              <w:t>e.g.</w:t>
            </w:r>
            <w:proofErr w:type="gramEnd"/>
            <w:r w:rsidR="0068474F">
              <w:rPr>
                <w:rStyle w:val="InstructionsTabelleText"/>
                <w:rFonts w:ascii="Times New Roman" w:hAnsi="Times New Roman"/>
              </w:rPr>
              <w:t xml:space="preserve"> stressed IFRS 9 PD estimates).</w:t>
            </w:r>
          </w:p>
          <w:p w14:paraId="08D803EA" w14:textId="26C6CDDF" w:rsidR="0068474F" w:rsidRDefault="0068474F" w:rsidP="0068474F">
            <w:pPr>
              <w:rPr>
                <w:rStyle w:val="InstructionsTabelleText"/>
                <w:rFonts w:ascii="Times New Roman" w:hAnsi="Times New Roman"/>
              </w:rPr>
            </w:pPr>
            <w:r>
              <w:rPr>
                <w:rStyle w:val="InstructionsTabelleText"/>
                <w:rFonts w:ascii="Times New Roman" w:hAnsi="Times New Roman"/>
              </w:rPr>
              <w:t xml:space="preserve">In case no model adjustment or overlay has been applied at the ECL level with reference to the reported portfolio, </w:t>
            </w:r>
            <w:r w:rsidR="00373925">
              <w:rPr>
                <w:rStyle w:val="InstructionsTabelleText"/>
                <w:rFonts w:ascii="Times New Roman" w:hAnsi="Times New Roman"/>
              </w:rPr>
              <w:t xml:space="preserve"> the IFRS 9 ECL amount should be reported in accordance with the instructions provided for </w:t>
            </w:r>
            <w:r w:rsidR="00373925" w:rsidRPr="00AE4015">
              <w:rPr>
                <w:rStyle w:val="InstructionsTabelleText"/>
                <w:rFonts w:ascii="Times New Roman" w:hAnsi="Times New Roman"/>
              </w:rPr>
              <w:t>column 014</w:t>
            </w:r>
            <w:r w:rsidR="008453FE" w:rsidRPr="00AE4015">
              <w:rPr>
                <w:rStyle w:val="InstructionsTabelleText"/>
                <w:rFonts w:ascii="Times New Roman" w:hAnsi="Times New Roman"/>
              </w:rPr>
              <w:t>7</w:t>
            </w:r>
            <w:r w:rsidR="00373925" w:rsidRPr="00AE4015">
              <w:rPr>
                <w:rStyle w:val="InstructionsTabelleText"/>
                <w:rFonts w:ascii="Times New Roman" w:hAnsi="Times New Roman"/>
              </w:rPr>
              <w:t>.</w:t>
            </w:r>
          </w:p>
          <w:p w14:paraId="3E2FCD32" w14:textId="3ADF67A9" w:rsidR="00373925" w:rsidRPr="00373925" w:rsidRDefault="00373925" w:rsidP="0068474F">
            <w:pPr>
              <w:rPr>
                <w:rStyle w:val="InstructionsTabelleText"/>
                <w:rFonts w:ascii="Times New Roman" w:hAnsi="Times New Roman"/>
                <w:lang w:val="en-US"/>
              </w:rPr>
            </w:pPr>
            <w:r>
              <w:rPr>
                <w:rStyle w:val="InstructionsTabelleText"/>
                <w:rFonts w:ascii="Times New Roman" w:hAnsi="Times New Roman"/>
              </w:rPr>
              <w:t xml:space="preserve">In case the effect of model adjustments or overlays at the ECL level cannot be isolated, </w:t>
            </w:r>
            <w:r w:rsidRPr="003F1E91">
              <w:rPr>
                <w:rStyle w:val="InstructionsTabelleText"/>
                <w:rFonts w:ascii="Times New Roman" w:hAnsi="Times New Roman"/>
              </w:rPr>
              <w:t xml:space="preserve">this data point shall be left </w:t>
            </w:r>
            <w:proofErr w:type="gramStart"/>
            <w:r w:rsidRPr="003F1E91">
              <w:rPr>
                <w:rStyle w:val="InstructionsTabelleText"/>
                <w:rFonts w:ascii="Times New Roman" w:hAnsi="Times New Roman"/>
              </w:rPr>
              <w:t>blank</w:t>
            </w:r>
            <w:proofErr w:type="gramEnd"/>
            <w:r w:rsidRPr="008D562A">
              <w:rPr>
                <w:rFonts w:ascii="Times New Roman" w:hAnsi="Times New Roman"/>
                <w:szCs w:val="20"/>
                <w:lang w:eastAsia="de-DE"/>
              </w:rPr>
              <w:t xml:space="preserve"> or ‘NULL’ shall be inserted</w:t>
            </w:r>
            <w:r>
              <w:rPr>
                <w:rStyle w:val="InstructionsTabelleText"/>
                <w:rFonts w:ascii="Times New Roman" w:hAnsi="Times New Roman"/>
              </w:rPr>
              <w:t>.</w:t>
            </w:r>
          </w:p>
        </w:tc>
      </w:tr>
      <w:tr w:rsidR="0068474F" w:rsidRPr="00384CAC" w14:paraId="18ABFFBD" w14:textId="77777777" w:rsidTr="003C3509">
        <w:tc>
          <w:tcPr>
            <w:tcW w:w="993" w:type="dxa"/>
            <w:shd w:val="clear" w:color="auto" w:fill="auto"/>
          </w:tcPr>
          <w:p w14:paraId="16ABE2A9" w14:textId="0093F883" w:rsidR="0068474F" w:rsidRPr="000E262F" w:rsidRDefault="00A95860" w:rsidP="0068474F">
            <w:pPr>
              <w:rPr>
                <w:rStyle w:val="InstructionsTabelleText"/>
                <w:rFonts w:ascii="Times New Roman" w:hAnsi="Times New Roman"/>
                <w:bCs/>
                <w:szCs w:val="20"/>
              </w:rPr>
            </w:pPr>
            <w:r>
              <w:rPr>
                <w:rStyle w:val="InstructionsTabelleText"/>
                <w:rFonts w:ascii="Times New Roman" w:hAnsi="Times New Roman"/>
                <w:bCs/>
                <w:szCs w:val="20"/>
              </w:rPr>
              <w:lastRenderedPageBreak/>
              <w:t>0160</w:t>
            </w:r>
          </w:p>
        </w:tc>
        <w:tc>
          <w:tcPr>
            <w:tcW w:w="1871" w:type="dxa"/>
            <w:shd w:val="clear" w:color="auto" w:fill="auto"/>
          </w:tcPr>
          <w:p w14:paraId="5B2323B7" w14:textId="5A5816DD" w:rsidR="0068474F" w:rsidRPr="000E262F" w:rsidRDefault="0068474F" w:rsidP="0068474F">
            <w:pPr>
              <w:rPr>
                <w:rStyle w:val="InstructionsTabelleText"/>
                <w:rFonts w:ascii="Times New Roman" w:hAnsi="Times New Roman"/>
                <w:bCs/>
                <w:szCs w:val="20"/>
              </w:rPr>
            </w:pPr>
            <w:r w:rsidRPr="000E262F">
              <w:rPr>
                <w:rStyle w:val="InstructionsTabelleText"/>
                <w:rFonts w:ascii="Times New Roman" w:hAnsi="Times New Roman"/>
                <w:szCs w:val="20"/>
              </w:rPr>
              <w:t>Expected Loss Amount IRB</w:t>
            </w:r>
            <w:r w:rsidR="00A95860">
              <w:rPr>
                <w:rStyle w:val="InstructionsTabelleText"/>
                <w:rFonts w:ascii="Times New Roman" w:hAnsi="Times New Roman"/>
                <w:szCs w:val="20"/>
              </w:rPr>
              <w:t>- Stage 1</w:t>
            </w:r>
          </w:p>
        </w:tc>
        <w:tc>
          <w:tcPr>
            <w:tcW w:w="1672" w:type="dxa"/>
            <w:shd w:val="clear" w:color="auto" w:fill="auto"/>
          </w:tcPr>
          <w:p w14:paraId="6E1E17C4" w14:textId="00E890C2" w:rsidR="0068474F" w:rsidRPr="000E262F" w:rsidRDefault="0068474F" w:rsidP="0068474F">
            <w:pPr>
              <w:rPr>
                <w:rStyle w:val="InstructionsTabelleText"/>
                <w:rFonts w:ascii="Times New Roman" w:hAnsi="Times New Roman"/>
                <w:bCs/>
                <w:szCs w:val="20"/>
              </w:rPr>
            </w:pPr>
          </w:p>
        </w:tc>
        <w:tc>
          <w:tcPr>
            <w:tcW w:w="9781" w:type="dxa"/>
            <w:shd w:val="clear" w:color="auto" w:fill="auto"/>
          </w:tcPr>
          <w:p w14:paraId="1382B6D0" w14:textId="44C560D8" w:rsidR="0068474F" w:rsidRPr="000E262F" w:rsidRDefault="0068474F" w:rsidP="0068474F">
            <w:pPr>
              <w:rPr>
                <w:rStyle w:val="InstructionsTabelleText"/>
                <w:rFonts w:ascii="Times New Roman" w:hAnsi="Times New Roman"/>
                <w:bCs/>
                <w:szCs w:val="20"/>
              </w:rPr>
            </w:pPr>
            <w:r w:rsidRPr="000E262F">
              <w:rPr>
                <w:rFonts w:ascii="Times New Roman" w:hAnsi="Times New Roman"/>
                <w:szCs w:val="20"/>
              </w:rPr>
              <w:t>The expected loss amount calculated using IRB parameter</w:t>
            </w:r>
            <w:r w:rsidR="00A95860" w:rsidRPr="000E262F">
              <w:rPr>
                <w:rFonts w:ascii="Times New Roman" w:hAnsi="Times New Roman"/>
                <w:szCs w:val="20"/>
              </w:rPr>
              <w:t>s</w:t>
            </w:r>
            <w:r w:rsidR="00FC19E9">
              <w:rPr>
                <w:rFonts w:ascii="Times New Roman" w:hAnsi="Times New Roman"/>
                <w:szCs w:val="20"/>
              </w:rPr>
              <w:t>, in</w:t>
            </w:r>
            <w:r w:rsidR="00FC19E9">
              <w:rPr>
                <w:rStyle w:val="InstructionsTabelleText"/>
                <w:rFonts w:ascii="Times New Roman" w:hAnsi="Times New Roman"/>
              </w:rPr>
              <w:t xml:space="preserve"> accordance with the instructions provided </w:t>
            </w:r>
            <w:r w:rsidR="00FC19E9" w:rsidRPr="006D1691">
              <w:rPr>
                <w:rStyle w:val="InstructionsTabelleText"/>
                <w:rFonts w:ascii="Times New Roman" w:hAnsi="Times New Roman"/>
                <w:i/>
                <w:iCs/>
              </w:rPr>
              <w:t xml:space="preserve">in Annex </w:t>
            </w:r>
            <w:r w:rsidR="00FC19E9">
              <w:rPr>
                <w:rStyle w:val="InstructionsTabelleText"/>
                <w:rFonts w:ascii="Times New Roman" w:hAnsi="Times New Roman"/>
                <w:i/>
                <w:iCs/>
              </w:rPr>
              <w:t>IV</w:t>
            </w:r>
            <w:r w:rsidR="008A78EB">
              <w:rPr>
                <w:rStyle w:val="InstructionsTabelleText"/>
                <w:rFonts w:ascii="Times New Roman" w:hAnsi="Times New Roman"/>
                <w:i/>
                <w:iCs/>
              </w:rPr>
              <w:t xml:space="preserve">, </w:t>
            </w:r>
            <w:r w:rsidR="00BA5A16">
              <w:rPr>
                <w:rStyle w:val="InstructionsTabelleText"/>
                <w:rFonts w:ascii="Times New Roman" w:hAnsi="Times New Roman"/>
                <w:i/>
                <w:iCs/>
              </w:rPr>
              <w:t>template</w:t>
            </w:r>
            <w:r w:rsidR="008A78EB">
              <w:rPr>
                <w:rStyle w:val="InstructionsTabelleText"/>
                <w:rFonts w:ascii="Times New Roman" w:hAnsi="Times New Roman"/>
                <w:i/>
                <w:iCs/>
              </w:rPr>
              <w:t xml:space="preserve"> C 102,</w:t>
            </w:r>
            <w:r w:rsidR="00FC19E9" w:rsidRPr="006D1691">
              <w:rPr>
                <w:rStyle w:val="InstructionsTabelleText"/>
                <w:rFonts w:ascii="Times New Roman" w:hAnsi="Times New Roman"/>
                <w:i/>
                <w:iCs/>
              </w:rPr>
              <w:t xml:space="preserve"> column 01</w:t>
            </w:r>
            <w:r w:rsidR="00FC19E9">
              <w:rPr>
                <w:rStyle w:val="InstructionsTabelleText"/>
                <w:rFonts w:ascii="Times New Roman" w:hAnsi="Times New Roman"/>
                <w:i/>
                <w:iCs/>
              </w:rPr>
              <w:t>5</w:t>
            </w:r>
            <w:r w:rsidR="00FC19E9" w:rsidRPr="006D1691">
              <w:rPr>
                <w:rStyle w:val="InstructionsTabelleText"/>
                <w:rFonts w:ascii="Times New Roman" w:hAnsi="Times New Roman"/>
                <w:i/>
                <w:iCs/>
              </w:rPr>
              <w:t>0</w:t>
            </w:r>
            <w:r w:rsidR="00FC19E9">
              <w:rPr>
                <w:rStyle w:val="InstructionsTabelleText"/>
                <w:rFonts w:ascii="Times New Roman" w:hAnsi="Times New Roman"/>
              </w:rPr>
              <w:t>,</w:t>
            </w:r>
            <w:r w:rsidR="00893F9D">
              <w:rPr>
                <w:rFonts w:ascii="Times New Roman" w:hAnsi="Times New Roman"/>
                <w:szCs w:val="20"/>
              </w:rPr>
              <w:t xml:space="preserve"> </w:t>
            </w:r>
            <w:r w:rsidR="00A95860" w:rsidRPr="00A95860">
              <w:rPr>
                <w:rStyle w:val="InstructionsTabelleText"/>
                <w:rFonts w:ascii="Times New Roman" w:hAnsi="Times New Roman"/>
                <w:szCs w:val="20"/>
                <w:lang w:eastAsia="de-DE"/>
              </w:rPr>
              <w:t>over th</w:t>
            </w:r>
            <w:r w:rsidR="00A95860">
              <w:rPr>
                <w:rStyle w:val="InstructionsTabelleText"/>
                <w:rFonts w:ascii="Times New Roman" w:hAnsi="Times New Roman"/>
                <w:szCs w:val="20"/>
                <w:lang w:eastAsia="de-DE"/>
              </w:rPr>
              <w:t>ose</w:t>
            </w:r>
            <w:r w:rsidR="00A95860" w:rsidRPr="00A95860">
              <w:rPr>
                <w:rStyle w:val="InstructionsTabelleText"/>
                <w:rFonts w:ascii="Times New Roman" w:hAnsi="Times New Roman"/>
                <w:szCs w:val="20"/>
                <w:lang w:eastAsia="de-DE"/>
              </w:rPr>
              <w:t xml:space="preserve"> facilities</w:t>
            </w:r>
            <w:r w:rsidR="00A95860" w:rsidRPr="00A95860">
              <w:rPr>
                <w:rStyle w:val="InstructionsTabelleText"/>
                <w:rFonts w:ascii="Times New Roman" w:hAnsi="Times New Roman"/>
                <w:szCs w:val="20"/>
              </w:rPr>
              <w:t xml:space="preserve"> </w:t>
            </w:r>
            <w:r w:rsidR="00A95860" w:rsidRPr="00A95860">
              <w:rPr>
                <w:rStyle w:val="InstructionsTabelleText"/>
                <w:rFonts w:ascii="Times New Roman" w:hAnsi="Times New Roman"/>
                <w:szCs w:val="20"/>
                <w:lang w:eastAsia="de-DE"/>
              </w:rPr>
              <w:t xml:space="preserve">which were allocated within stage </w:t>
            </w:r>
            <w:r w:rsidR="00A95860">
              <w:rPr>
                <w:rStyle w:val="InstructionsTabelleText"/>
                <w:rFonts w:ascii="Times New Roman" w:hAnsi="Times New Roman"/>
                <w:szCs w:val="20"/>
                <w:lang w:eastAsia="de-DE"/>
              </w:rPr>
              <w:t>1</w:t>
            </w:r>
            <w:r w:rsidR="00A95860" w:rsidRPr="00A95860">
              <w:rPr>
                <w:rStyle w:val="InstructionsTabelleText"/>
                <w:rFonts w:ascii="Times New Roman" w:hAnsi="Times New Roman"/>
                <w:szCs w:val="20"/>
                <w:lang w:eastAsia="de-DE"/>
              </w:rPr>
              <w:t xml:space="preserve"> </w:t>
            </w:r>
            <w:r w:rsidR="00A95860" w:rsidRPr="00A95860">
              <w:rPr>
                <w:rStyle w:val="InstructionsTabelleText"/>
                <w:rFonts w:ascii="Times New Roman" w:hAnsi="Times New Roman"/>
                <w:szCs w:val="20"/>
              </w:rPr>
              <w:t>at the reporting date</w:t>
            </w:r>
            <w:r w:rsidR="00A95860">
              <w:rPr>
                <w:rStyle w:val="InstructionsTabelleText"/>
                <w:rFonts w:ascii="Times New Roman" w:hAnsi="Times New Roman"/>
                <w:szCs w:val="20"/>
              </w:rPr>
              <w:t xml:space="preserve"> for IFRS 9 purposes</w:t>
            </w:r>
            <w:r w:rsidR="00A95860" w:rsidRPr="00A95860">
              <w:rPr>
                <w:rStyle w:val="InstructionsTabelleText"/>
                <w:rFonts w:ascii="Times New Roman" w:hAnsi="Times New Roman"/>
                <w:szCs w:val="20"/>
              </w:rPr>
              <w:t>.</w:t>
            </w:r>
            <w:r w:rsidR="00A95860" w:rsidRPr="00A95860">
              <w:rPr>
                <w:rFonts w:ascii="Times New Roman" w:hAnsi="Times New Roman"/>
                <w:szCs w:val="20"/>
                <w:lang w:eastAsia="de-DE"/>
              </w:rPr>
              <w:t xml:space="preserve"> </w:t>
            </w:r>
          </w:p>
        </w:tc>
      </w:tr>
      <w:tr w:rsidR="00A95860" w:rsidRPr="00384CAC" w14:paraId="48159C80" w14:textId="77777777" w:rsidTr="003C3509">
        <w:tc>
          <w:tcPr>
            <w:tcW w:w="993" w:type="dxa"/>
            <w:shd w:val="clear" w:color="auto" w:fill="auto"/>
          </w:tcPr>
          <w:p w14:paraId="578C5A1D" w14:textId="47B16A5E" w:rsidR="00A95860" w:rsidRPr="006D1691" w:rsidRDefault="00A95860" w:rsidP="00A95860">
            <w:pPr>
              <w:rPr>
                <w:rStyle w:val="InstructionsTabelleText"/>
                <w:rFonts w:ascii="Times New Roman" w:hAnsi="Times New Roman"/>
                <w:bCs/>
                <w:i/>
                <w:iCs/>
                <w:szCs w:val="20"/>
              </w:rPr>
            </w:pPr>
            <w:r>
              <w:rPr>
                <w:rStyle w:val="InstructionsTabelleText"/>
                <w:rFonts w:ascii="Times New Roman" w:hAnsi="Times New Roman"/>
                <w:bCs/>
                <w:szCs w:val="20"/>
              </w:rPr>
              <w:t>0161</w:t>
            </w:r>
          </w:p>
        </w:tc>
        <w:tc>
          <w:tcPr>
            <w:tcW w:w="1871" w:type="dxa"/>
            <w:shd w:val="clear" w:color="auto" w:fill="auto"/>
          </w:tcPr>
          <w:p w14:paraId="3E6A0019" w14:textId="6A3EFF55" w:rsidR="00A95860" w:rsidRPr="006D1691" w:rsidRDefault="00A95860" w:rsidP="00A95860">
            <w:pPr>
              <w:rPr>
                <w:rStyle w:val="InstructionsTabelleText"/>
                <w:rFonts w:ascii="Times New Roman" w:hAnsi="Times New Roman"/>
                <w:i/>
                <w:iCs/>
                <w:szCs w:val="20"/>
              </w:rPr>
            </w:pPr>
            <w:r w:rsidRPr="005B5921">
              <w:rPr>
                <w:rStyle w:val="InstructionsTabelleText"/>
                <w:rFonts w:ascii="Times New Roman" w:hAnsi="Times New Roman"/>
                <w:szCs w:val="20"/>
              </w:rPr>
              <w:t>Expected Loss Amount IRB</w:t>
            </w:r>
            <w:r>
              <w:rPr>
                <w:rStyle w:val="InstructionsTabelleText"/>
                <w:rFonts w:ascii="Times New Roman" w:hAnsi="Times New Roman"/>
                <w:szCs w:val="20"/>
              </w:rPr>
              <w:t>- Stage 2</w:t>
            </w:r>
          </w:p>
        </w:tc>
        <w:tc>
          <w:tcPr>
            <w:tcW w:w="1672" w:type="dxa"/>
            <w:shd w:val="clear" w:color="auto" w:fill="auto"/>
          </w:tcPr>
          <w:p w14:paraId="039298B3" w14:textId="77777777" w:rsidR="00A95860" w:rsidRPr="006D1691" w:rsidDel="00A95860" w:rsidRDefault="00A95860" w:rsidP="00A95860">
            <w:pPr>
              <w:rPr>
                <w:rFonts w:ascii="Times New Roman" w:hAnsi="Times New Roman"/>
                <w:i/>
                <w:iCs/>
                <w:szCs w:val="20"/>
              </w:rPr>
            </w:pPr>
          </w:p>
        </w:tc>
        <w:tc>
          <w:tcPr>
            <w:tcW w:w="9781" w:type="dxa"/>
            <w:shd w:val="clear" w:color="auto" w:fill="auto"/>
          </w:tcPr>
          <w:p w14:paraId="0929E3D4" w14:textId="0A0FC4F5" w:rsidR="00A95860" w:rsidRPr="005B5921" w:rsidRDefault="00A95860" w:rsidP="00A95860">
            <w:pPr>
              <w:rPr>
                <w:rFonts w:ascii="Times New Roman" w:hAnsi="Times New Roman"/>
                <w:szCs w:val="20"/>
                <w:lang w:val="en-US" w:eastAsia="de-DE"/>
              </w:rPr>
            </w:pPr>
            <w:r w:rsidRPr="005B5921">
              <w:rPr>
                <w:rFonts w:ascii="Times New Roman" w:hAnsi="Times New Roman"/>
                <w:szCs w:val="20"/>
              </w:rPr>
              <w:t>The expected loss amount calculated using IRB parameters</w:t>
            </w:r>
            <w:r w:rsidR="00893F9D">
              <w:rPr>
                <w:rFonts w:ascii="Times New Roman" w:hAnsi="Times New Roman"/>
                <w:szCs w:val="20"/>
              </w:rPr>
              <w:t>, in</w:t>
            </w:r>
            <w:r w:rsidR="00893F9D">
              <w:rPr>
                <w:rStyle w:val="InstructionsTabelleText"/>
                <w:rFonts w:ascii="Times New Roman" w:hAnsi="Times New Roman"/>
              </w:rPr>
              <w:t xml:space="preserve"> accordance with the instructions provided </w:t>
            </w:r>
            <w:r w:rsidR="00893F9D" w:rsidRPr="006D1691">
              <w:rPr>
                <w:rStyle w:val="InstructionsTabelleText"/>
                <w:rFonts w:ascii="Times New Roman" w:hAnsi="Times New Roman"/>
                <w:i/>
                <w:iCs/>
              </w:rPr>
              <w:t xml:space="preserve">in Annex </w:t>
            </w:r>
            <w:r w:rsidR="00893F9D">
              <w:rPr>
                <w:rStyle w:val="InstructionsTabelleText"/>
                <w:rFonts w:ascii="Times New Roman" w:hAnsi="Times New Roman"/>
                <w:i/>
                <w:iCs/>
              </w:rPr>
              <w:t>IV</w:t>
            </w:r>
            <w:r w:rsidR="008A78EB">
              <w:rPr>
                <w:rStyle w:val="InstructionsTabelleText"/>
                <w:rFonts w:ascii="Times New Roman" w:hAnsi="Times New Roman"/>
                <w:i/>
                <w:iCs/>
              </w:rPr>
              <w:t>,</w:t>
            </w:r>
            <w:r w:rsidR="00893F9D" w:rsidRPr="006D1691">
              <w:rPr>
                <w:rStyle w:val="InstructionsTabelleText"/>
                <w:rFonts w:ascii="Times New Roman" w:hAnsi="Times New Roman"/>
                <w:i/>
                <w:iCs/>
              </w:rPr>
              <w:t xml:space="preserve"> </w:t>
            </w:r>
            <w:r w:rsidR="00BA5A16">
              <w:rPr>
                <w:rStyle w:val="InstructionsTabelleText"/>
                <w:rFonts w:ascii="Times New Roman" w:hAnsi="Times New Roman"/>
                <w:i/>
                <w:iCs/>
              </w:rPr>
              <w:t xml:space="preserve">template </w:t>
            </w:r>
            <w:r w:rsidR="008A78EB">
              <w:rPr>
                <w:rStyle w:val="InstructionsTabelleText"/>
                <w:rFonts w:ascii="Times New Roman" w:hAnsi="Times New Roman"/>
                <w:i/>
                <w:iCs/>
              </w:rPr>
              <w:t>C 102,</w:t>
            </w:r>
            <w:r w:rsidR="008A78EB" w:rsidRPr="006D1691">
              <w:rPr>
                <w:rStyle w:val="InstructionsTabelleText"/>
                <w:rFonts w:ascii="Times New Roman" w:hAnsi="Times New Roman"/>
                <w:i/>
                <w:iCs/>
              </w:rPr>
              <w:t xml:space="preserve"> </w:t>
            </w:r>
            <w:r w:rsidR="00893F9D" w:rsidRPr="006D1691">
              <w:rPr>
                <w:rStyle w:val="InstructionsTabelleText"/>
                <w:rFonts w:ascii="Times New Roman" w:hAnsi="Times New Roman"/>
                <w:i/>
                <w:iCs/>
              </w:rPr>
              <w:t>column 01</w:t>
            </w:r>
            <w:r w:rsidR="00893F9D">
              <w:rPr>
                <w:rStyle w:val="InstructionsTabelleText"/>
                <w:rFonts w:ascii="Times New Roman" w:hAnsi="Times New Roman"/>
                <w:i/>
                <w:iCs/>
              </w:rPr>
              <w:t>5</w:t>
            </w:r>
            <w:r w:rsidR="00893F9D" w:rsidRPr="006D1691">
              <w:rPr>
                <w:rStyle w:val="InstructionsTabelleText"/>
                <w:rFonts w:ascii="Times New Roman" w:hAnsi="Times New Roman"/>
                <w:i/>
                <w:iCs/>
              </w:rPr>
              <w:t>0</w:t>
            </w:r>
            <w:r w:rsidR="00893F9D">
              <w:rPr>
                <w:rStyle w:val="InstructionsTabelleText"/>
                <w:rFonts w:ascii="Times New Roman" w:hAnsi="Times New Roman"/>
                <w:i/>
                <w:iCs/>
              </w:rPr>
              <w:t>,</w:t>
            </w:r>
            <w:r w:rsidRPr="005B5921">
              <w:rPr>
                <w:rFonts w:ascii="Times New Roman" w:hAnsi="Times New Roman"/>
                <w:szCs w:val="20"/>
              </w:rPr>
              <w:t xml:space="preserve"> </w:t>
            </w:r>
            <w:r w:rsidRPr="00A95860">
              <w:rPr>
                <w:rStyle w:val="InstructionsTabelleText"/>
                <w:rFonts w:ascii="Times New Roman" w:hAnsi="Times New Roman"/>
                <w:szCs w:val="20"/>
                <w:lang w:eastAsia="de-DE"/>
              </w:rPr>
              <w:t>over th</w:t>
            </w:r>
            <w:r>
              <w:rPr>
                <w:rStyle w:val="InstructionsTabelleText"/>
                <w:rFonts w:ascii="Times New Roman" w:hAnsi="Times New Roman"/>
                <w:szCs w:val="20"/>
                <w:lang w:eastAsia="de-DE"/>
              </w:rPr>
              <w:t>ose</w:t>
            </w:r>
            <w:r w:rsidRPr="00A95860">
              <w:rPr>
                <w:rStyle w:val="InstructionsTabelleText"/>
                <w:rFonts w:ascii="Times New Roman" w:hAnsi="Times New Roman"/>
                <w:szCs w:val="20"/>
                <w:lang w:eastAsia="de-DE"/>
              </w:rPr>
              <w:t xml:space="preserve"> facilities</w:t>
            </w:r>
            <w:r w:rsidRPr="00A95860">
              <w:rPr>
                <w:rStyle w:val="InstructionsTabelleText"/>
                <w:rFonts w:ascii="Times New Roman" w:hAnsi="Times New Roman"/>
                <w:szCs w:val="20"/>
              </w:rPr>
              <w:t xml:space="preserve"> </w:t>
            </w:r>
            <w:r w:rsidRPr="005B5921">
              <w:rPr>
                <w:rStyle w:val="InstructionsTabelleText"/>
                <w:rFonts w:ascii="Times New Roman" w:hAnsi="Times New Roman"/>
                <w:szCs w:val="20"/>
                <w:lang w:eastAsia="de-DE"/>
              </w:rPr>
              <w:t xml:space="preserve">which were allocated within stage </w:t>
            </w:r>
            <w:r>
              <w:rPr>
                <w:rStyle w:val="InstructionsTabelleText"/>
                <w:rFonts w:ascii="Times New Roman" w:hAnsi="Times New Roman"/>
                <w:szCs w:val="20"/>
                <w:lang w:eastAsia="de-DE"/>
              </w:rPr>
              <w:t>2</w:t>
            </w:r>
            <w:r w:rsidRPr="00A95860">
              <w:rPr>
                <w:rStyle w:val="InstructionsTabelleText"/>
                <w:rFonts w:ascii="Times New Roman" w:hAnsi="Times New Roman"/>
                <w:szCs w:val="20"/>
                <w:lang w:eastAsia="de-DE"/>
              </w:rPr>
              <w:t xml:space="preserve"> </w:t>
            </w:r>
            <w:r w:rsidRPr="00A95860">
              <w:rPr>
                <w:rStyle w:val="InstructionsTabelleText"/>
                <w:rFonts w:ascii="Times New Roman" w:hAnsi="Times New Roman"/>
                <w:szCs w:val="20"/>
              </w:rPr>
              <w:t>at the reporting date</w:t>
            </w:r>
            <w:r>
              <w:rPr>
                <w:rStyle w:val="InstructionsTabelleText"/>
                <w:rFonts w:ascii="Times New Roman" w:hAnsi="Times New Roman"/>
                <w:szCs w:val="20"/>
              </w:rPr>
              <w:t xml:space="preserve"> for IFRS9 purposes</w:t>
            </w:r>
            <w:r w:rsidRPr="00A95860">
              <w:rPr>
                <w:rStyle w:val="InstructionsTabelleText"/>
                <w:rFonts w:ascii="Times New Roman" w:hAnsi="Times New Roman"/>
                <w:szCs w:val="20"/>
              </w:rPr>
              <w:t>.</w:t>
            </w:r>
            <w:r w:rsidRPr="005B5921">
              <w:rPr>
                <w:rFonts w:ascii="Times New Roman" w:hAnsi="Times New Roman"/>
                <w:szCs w:val="20"/>
                <w:lang w:eastAsia="de-DE"/>
              </w:rPr>
              <w:t xml:space="preserve"> </w:t>
            </w:r>
          </w:p>
          <w:p w14:paraId="29F8C7CC" w14:textId="781E0C34" w:rsidR="00A95860" w:rsidRPr="006D1691" w:rsidRDefault="00A95860" w:rsidP="00A95860">
            <w:pPr>
              <w:rPr>
                <w:rStyle w:val="InstructionsTabelleText"/>
                <w:rFonts w:ascii="Times New Roman" w:hAnsi="Times New Roman"/>
                <w:i/>
                <w:iCs/>
              </w:rPr>
            </w:pPr>
          </w:p>
        </w:tc>
      </w:tr>
      <w:tr w:rsidR="00A95860" w:rsidRPr="00384CAC" w14:paraId="413A9D38" w14:textId="77777777" w:rsidTr="003C3509">
        <w:tc>
          <w:tcPr>
            <w:tcW w:w="993" w:type="dxa"/>
            <w:shd w:val="clear" w:color="auto" w:fill="auto"/>
          </w:tcPr>
          <w:p w14:paraId="72532BC4" w14:textId="7C4A7B80" w:rsidR="00A95860" w:rsidRPr="006D1691" w:rsidRDefault="00A95860" w:rsidP="00A95860">
            <w:pPr>
              <w:rPr>
                <w:rStyle w:val="InstructionsTabelleText"/>
                <w:rFonts w:ascii="Times New Roman" w:hAnsi="Times New Roman"/>
                <w:bCs/>
                <w:i/>
                <w:iCs/>
                <w:szCs w:val="20"/>
              </w:rPr>
            </w:pPr>
            <w:r>
              <w:rPr>
                <w:rStyle w:val="InstructionsTabelleText"/>
                <w:rFonts w:ascii="Times New Roman" w:hAnsi="Times New Roman"/>
                <w:bCs/>
                <w:szCs w:val="20"/>
              </w:rPr>
              <w:t>0162</w:t>
            </w:r>
          </w:p>
        </w:tc>
        <w:tc>
          <w:tcPr>
            <w:tcW w:w="1871" w:type="dxa"/>
            <w:shd w:val="clear" w:color="auto" w:fill="auto"/>
          </w:tcPr>
          <w:p w14:paraId="7BC2FC14" w14:textId="6EAD2502" w:rsidR="00A95860" w:rsidRPr="006D1691" w:rsidRDefault="00A95860" w:rsidP="00A95860">
            <w:pPr>
              <w:rPr>
                <w:rStyle w:val="InstructionsTabelleText"/>
                <w:rFonts w:ascii="Times New Roman" w:hAnsi="Times New Roman"/>
                <w:i/>
                <w:iCs/>
                <w:szCs w:val="20"/>
              </w:rPr>
            </w:pPr>
            <w:r w:rsidRPr="005B5921">
              <w:rPr>
                <w:rStyle w:val="InstructionsTabelleText"/>
                <w:rFonts w:ascii="Times New Roman" w:hAnsi="Times New Roman"/>
                <w:szCs w:val="20"/>
              </w:rPr>
              <w:t>Expected Loss Amount IRB</w:t>
            </w:r>
            <w:r>
              <w:rPr>
                <w:rStyle w:val="InstructionsTabelleText"/>
                <w:rFonts w:ascii="Times New Roman" w:hAnsi="Times New Roman"/>
                <w:szCs w:val="20"/>
              </w:rPr>
              <w:t xml:space="preserve">- Stage </w:t>
            </w:r>
            <w:r w:rsidR="000E262F">
              <w:rPr>
                <w:rStyle w:val="InstructionsTabelleText"/>
                <w:rFonts w:ascii="Times New Roman" w:hAnsi="Times New Roman"/>
                <w:szCs w:val="20"/>
              </w:rPr>
              <w:t>3</w:t>
            </w:r>
          </w:p>
        </w:tc>
        <w:tc>
          <w:tcPr>
            <w:tcW w:w="1672" w:type="dxa"/>
            <w:shd w:val="clear" w:color="auto" w:fill="auto"/>
          </w:tcPr>
          <w:p w14:paraId="024D9177" w14:textId="77777777" w:rsidR="00A95860" w:rsidRPr="006D1691" w:rsidDel="00A95860" w:rsidRDefault="00A95860" w:rsidP="00A95860">
            <w:pPr>
              <w:rPr>
                <w:rFonts w:ascii="Times New Roman" w:hAnsi="Times New Roman"/>
                <w:i/>
                <w:iCs/>
                <w:szCs w:val="20"/>
              </w:rPr>
            </w:pPr>
          </w:p>
        </w:tc>
        <w:tc>
          <w:tcPr>
            <w:tcW w:w="9781" w:type="dxa"/>
            <w:shd w:val="clear" w:color="auto" w:fill="auto"/>
          </w:tcPr>
          <w:p w14:paraId="30BF243E" w14:textId="191FD822" w:rsidR="00A95860" w:rsidRPr="005B5921" w:rsidRDefault="00A95860" w:rsidP="00A95860">
            <w:pPr>
              <w:rPr>
                <w:rFonts w:ascii="Times New Roman" w:hAnsi="Times New Roman"/>
                <w:szCs w:val="20"/>
                <w:lang w:val="en-US" w:eastAsia="de-DE"/>
              </w:rPr>
            </w:pPr>
            <w:r w:rsidRPr="005B5921">
              <w:rPr>
                <w:rFonts w:ascii="Times New Roman" w:hAnsi="Times New Roman"/>
                <w:szCs w:val="20"/>
              </w:rPr>
              <w:t>The expected loss amount calculated using IRB parameters</w:t>
            </w:r>
            <w:r w:rsidR="00893F9D">
              <w:rPr>
                <w:rFonts w:ascii="Times New Roman" w:hAnsi="Times New Roman"/>
                <w:szCs w:val="20"/>
              </w:rPr>
              <w:t>, in</w:t>
            </w:r>
            <w:r w:rsidR="00893F9D">
              <w:rPr>
                <w:rStyle w:val="InstructionsTabelleText"/>
                <w:rFonts w:ascii="Times New Roman" w:hAnsi="Times New Roman"/>
              </w:rPr>
              <w:t xml:space="preserve"> accordance with the instructions provided </w:t>
            </w:r>
            <w:r w:rsidR="00893F9D" w:rsidRPr="006D1691">
              <w:rPr>
                <w:rStyle w:val="InstructionsTabelleText"/>
                <w:rFonts w:ascii="Times New Roman" w:hAnsi="Times New Roman"/>
                <w:i/>
                <w:iCs/>
              </w:rPr>
              <w:t xml:space="preserve">in Annex </w:t>
            </w:r>
            <w:r w:rsidR="00893F9D">
              <w:rPr>
                <w:rStyle w:val="InstructionsTabelleText"/>
                <w:rFonts w:ascii="Times New Roman" w:hAnsi="Times New Roman"/>
                <w:i/>
                <w:iCs/>
              </w:rPr>
              <w:t>IV</w:t>
            </w:r>
            <w:r w:rsidR="008A78EB">
              <w:rPr>
                <w:rStyle w:val="InstructionsTabelleText"/>
                <w:rFonts w:ascii="Times New Roman" w:hAnsi="Times New Roman"/>
                <w:i/>
                <w:iCs/>
              </w:rPr>
              <w:t>,</w:t>
            </w:r>
            <w:r w:rsidR="00893F9D" w:rsidRPr="006D1691">
              <w:rPr>
                <w:rStyle w:val="InstructionsTabelleText"/>
                <w:rFonts w:ascii="Times New Roman" w:hAnsi="Times New Roman"/>
                <w:i/>
                <w:iCs/>
              </w:rPr>
              <w:t xml:space="preserve"> </w:t>
            </w:r>
            <w:r w:rsidR="00BA5A16">
              <w:rPr>
                <w:rStyle w:val="InstructionsTabelleText"/>
                <w:rFonts w:ascii="Times New Roman" w:hAnsi="Times New Roman"/>
                <w:i/>
                <w:iCs/>
              </w:rPr>
              <w:t xml:space="preserve">template </w:t>
            </w:r>
            <w:r w:rsidR="008A78EB">
              <w:rPr>
                <w:rStyle w:val="InstructionsTabelleText"/>
                <w:rFonts w:ascii="Times New Roman" w:hAnsi="Times New Roman"/>
                <w:i/>
                <w:iCs/>
              </w:rPr>
              <w:t>C 102,</w:t>
            </w:r>
            <w:r w:rsidR="008A78EB" w:rsidRPr="006D1691">
              <w:rPr>
                <w:rStyle w:val="InstructionsTabelleText"/>
                <w:rFonts w:ascii="Times New Roman" w:hAnsi="Times New Roman"/>
                <w:i/>
                <w:iCs/>
              </w:rPr>
              <w:t xml:space="preserve"> </w:t>
            </w:r>
            <w:r w:rsidR="00893F9D" w:rsidRPr="006D1691">
              <w:rPr>
                <w:rStyle w:val="InstructionsTabelleText"/>
                <w:rFonts w:ascii="Times New Roman" w:hAnsi="Times New Roman"/>
                <w:i/>
                <w:iCs/>
              </w:rPr>
              <w:t>column 01</w:t>
            </w:r>
            <w:r w:rsidR="00893F9D">
              <w:rPr>
                <w:rStyle w:val="InstructionsTabelleText"/>
                <w:rFonts w:ascii="Times New Roman" w:hAnsi="Times New Roman"/>
                <w:i/>
                <w:iCs/>
              </w:rPr>
              <w:t>5</w:t>
            </w:r>
            <w:r w:rsidR="00893F9D" w:rsidRPr="006D1691">
              <w:rPr>
                <w:rStyle w:val="InstructionsTabelleText"/>
                <w:rFonts w:ascii="Times New Roman" w:hAnsi="Times New Roman"/>
                <w:i/>
                <w:iCs/>
              </w:rPr>
              <w:t>0</w:t>
            </w:r>
            <w:r w:rsidR="00893F9D">
              <w:rPr>
                <w:rStyle w:val="InstructionsTabelleText"/>
                <w:rFonts w:ascii="Times New Roman" w:hAnsi="Times New Roman"/>
                <w:i/>
                <w:iCs/>
              </w:rPr>
              <w:t>,</w:t>
            </w:r>
            <w:r w:rsidRPr="005B5921">
              <w:rPr>
                <w:rFonts w:ascii="Times New Roman" w:hAnsi="Times New Roman"/>
                <w:szCs w:val="20"/>
              </w:rPr>
              <w:t xml:space="preserve"> </w:t>
            </w:r>
            <w:r w:rsidRPr="00A95860">
              <w:rPr>
                <w:rStyle w:val="InstructionsTabelleText"/>
                <w:rFonts w:ascii="Times New Roman" w:hAnsi="Times New Roman"/>
                <w:szCs w:val="20"/>
                <w:lang w:eastAsia="de-DE"/>
              </w:rPr>
              <w:t>over th</w:t>
            </w:r>
            <w:r>
              <w:rPr>
                <w:rStyle w:val="InstructionsTabelleText"/>
                <w:rFonts w:ascii="Times New Roman" w:hAnsi="Times New Roman"/>
                <w:szCs w:val="20"/>
                <w:lang w:eastAsia="de-DE"/>
              </w:rPr>
              <w:t>ose</w:t>
            </w:r>
            <w:r w:rsidRPr="00A95860">
              <w:rPr>
                <w:rStyle w:val="InstructionsTabelleText"/>
                <w:rFonts w:ascii="Times New Roman" w:hAnsi="Times New Roman"/>
                <w:szCs w:val="20"/>
                <w:lang w:eastAsia="de-DE"/>
              </w:rPr>
              <w:t xml:space="preserve"> facilities</w:t>
            </w:r>
            <w:r w:rsidRPr="00A95860">
              <w:rPr>
                <w:rStyle w:val="InstructionsTabelleText"/>
                <w:rFonts w:ascii="Times New Roman" w:hAnsi="Times New Roman"/>
                <w:szCs w:val="20"/>
              </w:rPr>
              <w:t xml:space="preserve"> </w:t>
            </w:r>
            <w:r w:rsidRPr="005B5921">
              <w:rPr>
                <w:rStyle w:val="InstructionsTabelleText"/>
                <w:rFonts w:ascii="Times New Roman" w:hAnsi="Times New Roman"/>
                <w:szCs w:val="20"/>
                <w:lang w:eastAsia="de-DE"/>
              </w:rPr>
              <w:t xml:space="preserve">which were allocated within stage </w:t>
            </w:r>
            <w:r w:rsidR="000E262F">
              <w:rPr>
                <w:rStyle w:val="InstructionsTabelleText"/>
                <w:rFonts w:ascii="Times New Roman" w:hAnsi="Times New Roman"/>
                <w:szCs w:val="20"/>
                <w:lang w:eastAsia="de-DE"/>
              </w:rPr>
              <w:t>3</w:t>
            </w:r>
            <w:r w:rsidRPr="00A95860">
              <w:rPr>
                <w:rStyle w:val="InstructionsTabelleText"/>
                <w:rFonts w:ascii="Times New Roman" w:hAnsi="Times New Roman"/>
                <w:szCs w:val="20"/>
                <w:lang w:eastAsia="de-DE"/>
              </w:rPr>
              <w:t xml:space="preserve"> </w:t>
            </w:r>
            <w:r w:rsidRPr="00A95860">
              <w:rPr>
                <w:rStyle w:val="InstructionsTabelleText"/>
                <w:rFonts w:ascii="Times New Roman" w:hAnsi="Times New Roman"/>
                <w:szCs w:val="20"/>
              </w:rPr>
              <w:t>at the reporting date</w:t>
            </w:r>
            <w:r>
              <w:rPr>
                <w:rStyle w:val="InstructionsTabelleText"/>
                <w:rFonts w:ascii="Times New Roman" w:hAnsi="Times New Roman"/>
                <w:szCs w:val="20"/>
              </w:rPr>
              <w:t xml:space="preserve"> for IFRS 9 purposes</w:t>
            </w:r>
            <w:r w:rsidRPr="00A95860">
              <w:rPr>
                <w:rStyle w:val="InstructionsTabelleText"/>
                <w:rFonts w:ascii="Times New Roman" w:hAnsi="Times New Roman"/>
                <w:szCs w:val="20"/>
              </w:rPr>
              <w:t>.</w:t>
            </w:r>
            <w:r w:rsidRPr="005B5921">
              <w:rPr>
                <w:rFonts w:ascii="Times New Roman" w:hAnsi="Times New Roman"/>
                <w:szCs w:val="20"/>
                <w:lang w:eastAsia="de-DE"/>
              </w:rPr>
              <w:t xml:space="preserve"> </w:t>
            </w:r>
          </w:p>
          <w:p w14:paraId="74D241FE" w14:textId="7CEB1A1C" w:rsidR="00A95860" w:rsidRPr="006D1691" w:rsidRDefault="00A95860" w:rsidP="00A95860">
            <w:pPr>
              <w:rPr>
                <w:rStyle w:val="InstructionsTabelleText"/>
                <w:rFonts w:ascii="Times New Roman" w:hAnsi="Times New Roman"/>
                <w:i/>
                <w:iCs/>
              </w:rPr>
            </w:pPr>
          </w:p>
        </w:tc>
      </w:tr>
      <w:bookmarkEnd w:id="0"/>
      <w:bookmarkEnd w:id="1"/>
    </w:tbl>
    <w:p w14:paraId="6E6DA5C8" w14:textId="70D61321" w:rsidR="00281A8C" w:rsidRPr="00C25193" w:rsidRDefault="00281A8C">
      <w:pPr>
        <w:spacing w:before="0" w:after="0"/>
        <w:jc w:val="left"/>
        <w:rPr>
          <w:rFonts w:ascii="Times New Roman" w:eastAsia="Arial" w:hAnsi="Times New Roman"/>
          <w:b/>
          <w:szCs w:val="20"/>
          <w:lang w:eastAsia="de-DE"/>
        </w:rPr>
      </w:pPr>
    </w:p>
    <w:p w14:paraId="21F65DDB" w14:textId="4B39ED82" w:rsidR="00E52B34" w:rsidRDefault="00E52B34">
      <w:pPr>
        <w:spacing w:before="0" w:after="0"/>
        <w:jc w:val="left"/>
        <w:rPr>
          <w:rFonts w:ascii="Times New Roman" w:eastAsia="Arial" w:hAnsi="Times New Roman"/>
          <w:b/>
          <w:szCs w:val="20"/>
          <w:lang w:val="x-none" w:eastAsia="de-DE"/>
        </w:rPr>
      </w:pPr>
    </w:p>
    <w:p w14:paraId="08596A3F" w14:textId="694DBA71" w:rsidR="006C534C" w:rsidRDefault="006C534C">
      <w:pPr>
        <w:spacing w:before="0" w:after="0"/>
        <w:jc w:val="left"/>
        <w:rPr>
          <w:rFonts w:ascii="Times New Roman" w:eastAsia="Arial" w:hAnsi="Times New Roman"/>
          <w:b/>
          <w:szCs w:val="20"/>
          <w:lang w:val="x-none" w:eastAsia="de-DE"/>
        </w:rPr>
      </w:pPr>
    </w:p>
    <w:p w14:paraId="65F66CCC" w14:textId="37C9138F" w:rsidR="006C534C" w:rsidRDefault="006C534C">
      <w:pPr>
        <w:spacing w:before="0" w:after="0"/>
        <w:jc w:val="left"/>
        <w:rPr>
          <w:rFonts w:ascii="Times New Roman" w:eastAsia="Arial" w:hAnsi="Times New Roman"/>
          <w:b/>
          <w:szCs w:val="20"/>
          <w:lang w:val="x-none" w:eastAsia="de-DE"/>
        </w:rPr>
      </w:pPr>
    </w:p>
    <w:p w14:paraId="38002DE4" w14:textId="1947E883" w:rsidR="008C1B61" w:rsidRDefault="008C1B61">
      <w:pPr>
        <w:spacing w:before="0" w:after="0"/>
        <w:jc w:val="left"/>
        <w:rPr>
          <w:rFonts w:ascii="Times New Roman" w:eastAsia="Arial" w:hAnsi="Times New Roman"/>
          <w:b/>
          <w:szCs w:val="20"/>
          <w:lang w:val="x-none" w:eastAsia="de-DE"/>
        </w:rPr>
      </w:pPr>
    </w:p>
    <w:p w14:paraId="76AFADD9" w14:textId="2E3D12C7" w:rsidR="008C1B61" w:rsidRDefault="008C1B61">
      <w:pPr>
        <w:spacing w:before="0" w:after="0"/>
        <w:jc w:val="left"/>
        <w:rPr>
          <w:rFonts w:ascii="Times New Roman" w:eastAsia="Arial" w:hAnsi="Times New Roman"/>
          <w:b/>
          <w:szCs w:val="20"/>
          <w:lang w:val="x-none" w:eastAsia="de-DE"/>
        </w:rPr>
      </w:pPr>
    </w:p>
    <w:p w14:paraId="780621AC" w14:textId="14BA972E" w:rsidR="008C1B61" w:rsidRDefault="008C1B61">
      <w:pPr>
        <w:spacing w:before="0" w:after="0"/>
        <w:jc w:val="left"/>
        <w:rPr>
          <w:rFonts w:ascii="Times New Roman" w:eastAsia="Arial" w:hAnsi="Times New Roman"/>
          <w:b/>
          <w:szCs w:val="20"/>
          <w:lang w:val="x-none" w:eastAsia="de-DE"/>
        </w:rPr>
      </w:pPr>
    </w:p>
    <w:p w14:paraId="55467EE0" w14:textId="2285305B" w:rsidR="008C1B61" w:rsidRDefault="008C1B61">
      <w:pPr>
        <w:spacing w:before="0" w:after="0"/>
        <w:jc w:val="left"/>
        <w:rPr>
          <w:rFonts w:ascii="Times New Roman" w:eastAsia="Arial" w:hAnsi="Times New Roman"/>
          <w:b/>
          <w:szCs w:val="20"/>
          <w:lang w:val="x-none" w:eastAsia="de-DE"/>
        </w:rPr>
      </w:pPr>
    </w:p>
    <w:p w14:paraId="6A9CD691" w14:textId="77777777" w:rsidR="008C1B61" w:rsidRDefault="008C1B61">
      <w:pPr>
        <w:spacing w:before="0" w:after="0"/>
        <w:jc w:val="left"/>
        <w:rPr>
          <w:rFonts w:ascii="Times New Roman" w:eastAsia="Arial" w:hAnsi="Times New Roman"/>
          <w:b/>
          <w:szCs w:val="20"/>
          <w:lang w:val="x-none" w:eastAsia="de-DE"/>
        </w:rPr>
      </w:pPr>
    </w:p>
    <w:p w14:paraId="0192883E" w14:textId="00E9BCA3" w:rsidR="00744552" w:rsidRPr="00384CAC" w:rsidRDefault="00744552" w:rsidP="00744552">
      <w:pPr>
        <w:pStyle w:val="Heading3"/>
        <w:rPr>
          <w:rFonts w:ascii="Times New Roman" w:hAnsi="Times New Roman"/>
          <w:lang w:val="en-GB"/>
        </w:rPr>
      </w:pPr>
      <w:bookmarkStart w:id="11" w:name="_Toc101359400"/>
      <w:r w:rsidRPr="00384CAC">
        <w:rPr>
          <w:rFonts w:ascii="Times New Roman" w:hAnsi="Times New Roman"/>
        </w:rPr>
        <w:lastRenderedPageBreak/>
        <w:t xml:space="preserve">C </w:t>
      </w:r>
      <w:r w:rsidR="000740E1" w:rsidRPr="00384CAC">
        <w:rPr>
          <w:rFonts w:ascii="Times New Roman" w:hAnsi="Times New Roman"/>
        </w:rPr>
        <w:t>1</w:t>
      </w:r>
      <w:r w:rsidR="000740E1" w:rsidRPr="00384CAC">
        <w:rPr>
          <w:rFonts w:ascii="Times New Roman" w:hAnsi="Times New Roman"/>
          <w:lang w:val="en-GB"/>
        </w:rPr>
        <w:t>1</w:t>
      </w:r>
      <w:r w:rsidR="000740E1">
        <w:rPr>
          <w:rFonts w:ascii="Times New Roman" w:hAnsi="Times New Roman"/>
          <w:lang w:val="en-GB"/>
        </w:rPr>
        <w:t>6</w:t>
      </w:r>
      <w:r w:rsidRPr="00384CAC">
        <w:rPr>
          <w:rFonts w:ascii="Times New Roman" w:hAnsi="Times New Roman"/>
        </w:rPr>
        <w:t>.</w:t>
      </w:r>
      <w:r w:rsidR="006C7A0B" w:rsidRPr="00384CAC">
        <w:rPr>
          <w:rFonts w:ascii="Times New Roman" w:hAnsi="Times New Roman"/>
        </w:rPr>
        <w:t>0</w:t>
      </w:r>
      <w:r w:rsidR="006C7A0B" w:rsidRPr="00384CAC">
        <w:rPr>
          <w:rFonts w:ascii="Times New Roman" w:hAnsi="Times New Roman"/>
          <w:lang w:val="en-GB"/>
        </w:rPr>
        <w:t>0</w:t>
      </w:r>
      <w:r w:rsidR="006C7A0B" w:rsidRPr="00384CAC">
        <w:rPr>
          <w:rFonts w:ascii="Times New Roman" w:hAnsi="Times New Roman"/>
        </w:rPr>
        <w:t xml:space="preserve"> </w:t>
      </w:r>
      <w:r w:rsidRPr="00384CAC">
        <w:rPr>
          <w:rFonts w:ascii="Times New Roman" w:hAnsi="Times New Roman"/>
        </w:rPr>
        <w:t xml:space="preserve">– Details on exposures in </w:t>
      </w:r>
      <w:r w:rsidR="00FC486D">
        <w:rPr>
          <w:rFonts w:ascii="Times New Roman" w:hAnsi="Times New Roman"/>
          <w:lang w:val="en-GB"/>
        </w:rPr>
        <w:t xml:space="preserve">High </w:t>
      </w:r>
      <w:r w:rsidRPr="00384CAC">
        <w:rPr>
          <w:rFonts w:ascii="Times New Roman" w:hAnsi="Times New Roman"/>
        </w:rPr>
        <w:t xml:space="preserve">Default Portfolios </w:t>
      </w:r>
      <w:r w:rsidR="006C04CB" w:rsidRPr="00384CAC">
        <w:rPr>
          <w:rFonts w:ascii="Times New Roman" w:hAnsi="Times New Roman"/>
          <w:lang w:val="en-GB"/>
        </w:rPr>
        <w:t>by economic scenario</w:t>
      </w:r>
      <w:bookmarkEnd w:id="11"/>
    </w:p>
    <w:p w14:paraId="05B02D5C" w14:textId="77777777" w:rsidR="00E52B34" w:rsidRPr="00452EBF" w:rsidRDefault="005A5E55" w:rsidP="00C13AD5">
      <w:pPr>
        <w:pStyle w:val="CommentText"/>
        <w:rPr>
          <w:rStyle w:val="InstructionsTabelleText"/>
          <w:rFonts w:ascii="Times New Roman" w:hAnsi="Times New Roman"/>
        </w:rPr>
      </w:pPr>
      <w:r w:rsidRPr="00452EBF">
        <w:rPr>
          <w:rStyle w:val="InstructionsTabelleText"/>
          <w:rFonts w:ascii="Times New Roman" w:hAnsi="Times New Roman"/>
        </w:rPr>
        <w:t>The information in this template shall be reported only with reference to the following portfolio</w:t>
      </w:r>
      <w:r w:rsidR="00E52B34" w:rsidRPr="00452EBF">
        <w:rPr>
          <w:rStyle w:val="InstructionsTabelleText"/>
          <w:rFonts w:ascii="Times New Roman" w:hAnsi="Times New Roman"/>
        </w:rPr>
        <w:t>s:</w:t>
      </w:r>
      <w:r w:rsidRPr="00452EBF">
        <w:rPr>
          <w:rStyle w:val="InstructionsTabelleText"/>
          <w:rFonts w:ascii="Times New Roman" w:hAnsi="Times New Roman"/>
        </w:rPr>
        <w:t xml:space="preserve"> </w:t>
      </w:r>
    </w:p>
    <w:p w14:paraId="2789566D" w14:textId="3AC98305" w:rsidR="00B4412B" w:rsidRPr="00452EBF" w:rsidRDefault="00B4412B" w:rsidP="00EC7E5C">
      <w:pPr>
        <w:pStyle w:val="CommentText"/>
        <w:numPr>
          <w:ilvl w:val="0"/>
          <w:numId w:val="31"/>
        </w:numPr>
        <w:rPr>
          <w:rStyle w:val="InstructionsTabelleText"/>
          <w:rFonts w:ascii="Times New Roman" w:hAnsi="Times New Roman"/>
        </w:rPr>
      </w:pPr>
      <w:r w:rsidRPr="00452EBF">
        <w:rPr>
          <w:rStyle w:val="InstructionsTabelleText"/>
          <w:rFonts w:ascii="Times New Roman" w:hAnsi="Times New Roman"/>
        </w:rPr>
        <w:t>The portfolios related to the following portfolio ID, representing the total exposure by regulatory approach:</w:t>
      </w:r>
    </w:p>
    <w:p w14:paraId="7931B8A1" w14:textId="77777777" w:rsidR="00EF0F9F" w:rsidRPr="00452EBF" w:rsidRDefault="00EF0F9F" w:rsidP="00EF0F9F">
      <w:pPr>
        <w:pStyle w:val="CommentText"/>
        <w:rPr>
          <w:rStyle w:val="InstructionsTabelleText"/>
        </w:rPr>
      </w:pPr>
    </w:p>
    <w:tbl>
      <w:tblPr>
        <w:tblStyle w:val="TableGrid"/>
        <w:tblW w:w="9209" w:type="dxa"/>
        <w:jc w:val="center"/>
        <w:tblLook w:val="04A0" w:firstRow="1" w:lastRow="0" w:firstColumn="1" w:lastColumn="0" w:noHBand="0" w:noVBand="1"/>
      </w:tblPr>
      <w:tblGrid>
        <w:gridCol w:w="4531"/>
        <w:gridCol w:w="4678"/>
      </w:tblGrid>
      <w:tr w:rsidR="00EF0F9F" w:rsidRPr="00452EBF" w14:paraId="0456A537" w14:textId="77777777" w:rsidTr="00294C61">
        <w:trPr>
          <w:trHeight w:val="300"/>
          <w:jc w:val="center"/>
        </w:trPr>
        <w:tc>
          <w:tcPr>
            <w:tcW w:w="4531" w:type="dxa"/>
          </w:tcPr>
          <w:p w14:paraId="5AC55D67" w14:textId="12A06EF5" w:rsidR="00EF0F9F" w:rsidRPr="00452EBF" w:rsidRDefault="00EF0F9F" w:rsidP="00EF0F9F">
            <w:pPr>
              <w:spacing w:before="60" w:after="60"/>
              <w:rPr>
                <w:rFonts w:ascii="Times New Roman" w:hAnsi="Times New Roman"/>
                <w:szCs w:val="20"/>
              </w:rPr>
            </w:pPr>
            <w:r w:rsidRPr="00452EBF">
              <w:rPr>
                <w:rStyle w:val="InstructionsTabelleText"/>
              </w:rPr>
              <w:t>CORP_ALL_0086_CT_AIRB_x0_Rx0_ALL</w:t>
            </w:r>
          </w:p>
        </w:tc>
        <w:tc>
          <w:tcPr>
            <w:tcW w:w="4678" w:type="dxa"/>
            <w:noWrap/>
            <w:hideMark/>
          </w:tcPr>
          <w:p w14:paraId="609D0F09" w14:textId="6E223542" w:rsidR="00EF0F9F" w:rsidRPr="00452EBF" w:rsidRDefault="00EF0F9F" w:rsidP="00EF0F9F">
            <w:pPr>
              <w:spacing w:before="60" w:after="60"/>
              <w:rPr>
                <w:rFonts w:ascii="Times New Roman" w:hAnsi="Times New Roman"/>
                <w:szCs w:val="20"/>
              </w:rPr>
            </w:pPr>
            <w:r w:rsidRPr="00452EBF">
              <w:rPr>
                <w:rStyle w:val="InstructionsTabelleText"/>
              </w:rPr>
              <w:t>SMEC_ALL_0106_CT_FIRB_x0_Rx0_ALL</w:t>
            </w:r>
          </w:p>
        </w:tc>
      </w:tr>
      <w:tr w:rsidR="00EF0F9F" w:rsidRPr="00452EBF" w14:paraId="2F2497B7" w14:textId="77777777" w:rsidTr="00294C61">
        <w:trPr>
          <w:trHeight w:val="300"/>
          <w:jc w:val="center"/>
        </w:trPr>
        <w:tc>
          <w:tcPr>
            <w:tcW w:w="4531" w:type="dxa"/>
          </w:tcPr>
          <w:p w14:paraId="0B0CD366" w14:textId="780EBCEB" w:rsidR="00EF0F9F" w:rsidRPr="00452EBF" w:rsidRDefault="00EF0F9F" w:rsidP="00EF0F9F">
            <w:pPr>
              <w:spacing w:before="60" w:after="60"/>
              <w:rPr>
                <w:rFonts w:ascii="Times New Roman" w:hAnsi="Times New Roman"/>
                <w:szCs w:val="20"/>
              </w:rPr>
            </w:pPr>
            <w:r w:rsidRPr="00452EBF">
              <w:rPr>
                <w:rStyle w:val="InstructionsTabelleText"/>
              </w:rPr>
              <w:t>MORT_ALL_0094_CT_AIRB_x0_Rx0_ALL</w:t>
            </w:r>
          </w:p>
        </w:tc>
        <w:tc>
          <w:tcPr>
            <w:tcW w:w="4678" w:type="dxa"/>
            <w:noWrap/>
            <w:hideMark/>
          </w:tcPr>
          <w:p w14:paraId="0616AE2D" w14:textId="19ACD054" w:rsidR="00EF0F9F" w:rsidRPr="00452EBF" w:rsidRDefault="00EF0F9F" w:rsidP="00EF0F9F">
            <w:pPr>
              <w:spacing w:before="60" w:after="60"/>
              <w:rPr>
                <w:rFonts w:ascii="Times New Roman" w:hAnsi="Times New Roman"/>
                <w:szCs w:val="20"/>
              </w:rPr>
            </w:pPr>
            <w:r w:rsidRPr="00452EBF">
              <w:rPr>
                <w:rStyle w:val="InstructionsTabelleText"/>
              </w:rPr>
              <w:t>RSMS_ALL_0106_CT_AIRB_x0_Rx0_ALL</w:t>
            </w:r>
          </w:p>
        </w:tc>
      </w:tr>
      <w:tr w:rsidR="00EF0F9F" w:rsidRPr="00452EBF" w14:paraId="56D2FF20" w14:textId="77777777" w:rsidTr="00294C61">
        <w:trPr>
          <w:trHeight w:val="300"/>
          <w:jc w:val="center"/>
        </w:trPr>
        <w:tc>
          <w:tcPr>
            <w:tcW w:w="4531" w:type="dxa"/>
          </w:tcPr>
          <w:p w14:paraId="29DD1722" w14:textId="099F0DA4" w:rsidR="00EF0F9F" w:rsidRPr="00452EBF" w:rsidRDefault="00EF0F9F" w:rsidP="00EF0F9F">
            <w:pPr>
              <w:spacing w:before="60" w:after="60"/>
              <w:rPr>
                <w:rFonts w:ascii="Times New Roman" w:hAnsi="Times New Roman"/>
                <w:szCs w:val="20"/>
              </w:rPr>
            </w:pPr>
            <w:r w:rsidRPr="00452EBF">
              <w:rPr>
                <w:rStyle w:val="InstructionsTabelleText"/>
              </w:rPr>
              <w:t>SMEC_ALL_0106_CT_AIRB_x0_Rx0_ALL</w:t>
            </w:r>
          </w:p>
        </w:tc>
        <w:tc>
          <w:tcPr>
            <w:tcW w:w="4678" w:type="dxa"/>
            <w:noWrap/>
            <w:hideMark/>
          </w:tcPr>
          <w:p w14:paraId="21CD2A0D" w14:textId="23214F51" w:rsidR="00EF0F9F" w:rsidRPr="00452EBF" w:rsidRDefault="00EF0F9F" w:rsidP="00EF0F9F">
            <w:pPr>
              <w:spacing w:before="60" w:after="60"/>
              <w:rPr>
                <w:rFonts w:ascii="Times New Roman" w:hAnsi="Times New Roman"/>
                <w:szCs w:val="20"/>
              </w:rPr>
            </w:pPr>
            <w:r w:rsidRPr="00452EBF">
              <w:rPr>
                <w:rStyle w:val="InstructionsTabelleText"/>
              </w:rPr>
              <w:t>RETO_ALL_0094_CT_AIRB_x0_Rx0_ALL</w:t>
            </w:r>
          </w:p>
        </w:tc>
      </w:tr>
      <w:tr w:rsidR="00EF0F9F" w:rsidRPr="00452EBF" w14:paraId="04F47AB9" w14:textId="77777777" w:rsidTr="00294C61">
        <w:trPr>
          <w:trHeight w:val="300"/>
          <w:jc w:val="center"/>
        </w:trPr>
        <w:tc>
          <w:tcPr>
            <w:tcW w:w="4531" w:type="dxa"/>
          </w:tcPr>
          <w:p w14:paraId="7792569F" w14:textId="2BACA122" w:rsidR="00EF0F9F" w:rsidRPr="00452EBF" w:rsidRDefault="00EF0F9F" w:rsidP="00EF0F9F">
            <w:pPr>
              <w:spacing w:before="60" w:after="60"/>
              <w:rPr>
                <w:rFonts w:ascii="Times New Roman" w:hAnsi="Times New Roman"/>
                <w:szCs w:val="20"/>
              </w:rPr>
            </w:pPr>
            <w:r w:rsidRPr="00452EBF">
              <w:rPr>
                <w:rStyle w:val="InstructionsTabelleText"/>
              </w:rPr>
              <w:t>SMOT_ALL_0106_CT_AIRB_x0_Rx0_ALL</w:t>
            </w:r>
          </w:p>
        </w:tc>
        <w:tc>
          <w:tcPr>
            <w:tcW w:w="4678" w:type="dxa"/>
            <w:noWrap/>
            <w:hideMark/>
          </w:tcPr>
          <w:p w14:paraId="44121676" w14:textId="44306986" w:rsidR="00EF0F9F" w:rsidRPr="00452EBF" w:rsidRDefault="00EF0F9F" w:rsidP="00EF0F9F">
            <w:pPr>
              <w:spacing w:before="60" w:after="60"/>
              <w:rPr>
                <w:rFonts w:ascii="Times New Roman" w:hAnsi="Times New Roman"/>
                <w:szCs w:val="20"/>
              </w:rPr>
            </w:pPr>
            <w:r w:rsidRPr="00452EBF">
              <w:rPr>
                <w:rStyle w:val="InstructionsTabelleText"/>
              </w:rPr>
              <w:t>RQRR_ALL_0094_CT_AIRB_x0_Rx0_ALL</w:t>
            </w:r>
          </w:p>
        </w:tc>
      </w:tr>
      <w:tr w:rsidR="00B4412B" w:rsidRPr="00452EBF" w14:paraId="6BAE24B1" w14:textId="77777777" w:rsidTr="00E940E2">
        <w:trPr>
          <w:trHeight w:val="300"/>
          <w:jc w:val="center"/>
        </w:trPr>
        <w:tc>
          <w:tcPr>
            <w:tcW w:w="4531" w:type="dxa"/>
            <w:vAlign w:val="center"/>
          </w:tcPr>
          <w:p w14:paraId="3214B41E" w14:textId="290A5E41" w:rsidR="00B4412B" w:rsidRPr="00452EBF" w:rsidRDefault="00EF0F9F" w:rsidP="00EF0F9F">
            <w:pPr>
              <w:pStyle w:val="CommentText"/>
            </w:pPr>
            <w:r w:rsidRPr="00452EBF">
              <w:rPr>
                <w:rStyle w:val="InstructionsTabelleText"/>
              </w:rPr>
              <w:t>CORP_ALL_0086_CT_FIRB_x0_Rx0_ALL</w:t>
            </w:r>
          </w:p>
        </w:tc>
        <w:tc>
          <w:tcPr>
            <w:tcW w:w="4678" w:type="dxa"/>
            <w:noWrap/>
            <w:vAlign w:val="center"/>
          </w:tcPr>
          <w:p w14:paraId="5F4EC37B" w14:textId="77777777" w:rsidR="00B4412B" w:rsidRPr="00452EBF" w:rsidRDefault="00B4412B" w:rsidP="00E940E2">
            <w:pPr>
              <w:spacing w:before="60" w:after="60"/>
              <w:rPr>
                <w:rFonts w:ascii="Times New Roman" w:hAnsi="Times New Roman"/>
                <w:lang w:eastAsia="en-GB"/>
              </w:rPr>
            </w:pPr>
          </w:p>
        </w:tc>
      </w:tr>
    </w:tbl>
    <w:p w14:paraId="0974CE37" w14:textId="16A95036" w:rsidR="00B4412B" w:rsidRDefault="00FC0C25" w:rsidP="00EC7E5C">
      <w:pPr>
        <w:pStyle w:val="CommentText"/>
        <w:numPr>
          <w:ilvl w:val="0"/>
          <w:numId w:val="31"/>
        </w:numPr>
        <w:rPr>
          <w:rStyle w:val="InstructionsTabelleText"/>
          <w:rFonts w:ascii="Times New Roman" w:hAnsi="Times New Roman"/>
        </w:rPr>
      </w:pPr>
      <w:r>
        <w:rPr>
          <w:rFonts w:ascii="Times New Roman" w:hAnsi="Times New Roman"/>
          <w:lang w:eastAsia="de-DE"/>
        </w:rPr>
        <w:t>All</w:t>
      </w:r>
      <w:r w:rsidRPr="00452EBF">
        <w:rPr>
          <w:rFonts w:ascii="Times New Roman" w:hAnsi="Times New Roman"/>
          <w:lang w:eastAsia="de-DE"/>
        </w:rPr>
        <w:t xml:space="preserve"> </w:t>
      </w:r>
      <w:r w:rsidR="00B4412B" w:rsidRPr="00452EBF">
        <w:rPr>
          <w:rFonts w:ascii="Times New Roman" w:hAnsi="Times New Roman"/>
          <w:lang w:eastAsia="de-DE"/>
        </w:rPr>
        <w:t>portfolio</w:t>
      </w:r>
      <w:r>
        <w:rPr>
          <w:rFonts w:ascii="Times New Roman" w:hAnsi="Times New Roman"/>
          <w:lang w:eastAsia="de-DE"/>
        </w:rPr>
        <w:t>s</w:t>
      </w:r>
      <w:r w:rsidR="00B4412B" w:rsidRPr="00452EBF">
        <w:rPr>
          <w:rFonts w:ascii="Times New Roman" w:hAnsi="Times New Roman"/>
          <w:lang w:eastAsia="de-DE"/>
        </w:rPr>
        <w:t xml:space="preserve"> related to those portfolio ID for which</w:t>
      </w:r>
      <w:r w:rsidR="00D56798" w:rsidRPr="00D56798">
        <w:rPr>
          <w:rFonts w:ascii="Times New Roman" w:hAnsi="Times New Roman"/>
          <w:lang w:eastAsia="de-DE"/>
        </w:rPr>
        <w:t xml:space="preserve"> </w:t>
      </w:r>
      <w:r w:rsidR="00D56798" w:rsidRPr="007A68A6">
        <w:rPr>
          <w:rFonts w:ascii="Times New Roman" w:hAnsi="Times New Roman"/>
          <w:lang w:eastAsia="de-DE"/>
        </w:rPr>
        <w:t>Annex I</w:t>
      </w:r>
      <w:r w:rsidR="00D56798">
        <w:rPr>
          <w:rFonts w:ascii="Times New Roman" w:hAnsi="Times New Roman"/>
          <w:lang w:eastAsia="de-DE"/>
        </w:rPr>
        <w:t>,</w:t>
      </w:r>
      <w:r w:rsidR="00D56798" w:rsidRPr="00D56798">
        <w:rPr>
          <w:rFonts w:ascii="Times New Roman" w:hAnsi="Times New Roman"/>
          <w:lang w:eastAsia="de-DE"/>
        </w:rPr>
        <w:t xml:space="preserve"> </w:t>
      </w:r>
      <w:r w:rsidR="00BA5A16" w:rsidRPr="00BA5A16">
        <w:rPr>
          <w:rFonts w:ascii="Times New Roman" w:hAnsi="Times New Roman"/>
          <w:lang w:eastAsia="de-DE"/>
        </w:rPr>
        <w:t>template</w:t>
      </w:r>
      <w:r w:rsidR="00D56798" w:rsidRPr="00452EBF">
        <w:rPr>
          <w:rFonts w:ascii="Times New Roman" w:hAnsi="Times New Roman"/>
          <w:lang w:eastAsia="de-DE"/>
        </w:rPr>
        <w:t xml:space="preserve"> C.10</w:t>
      </w:r>
      <w:r w:rsidR="00D56798">
        <w:rPr>
          <w:rFonts w:ascii="Times New Roman" w:hAnsi="Times New Roman"/>
          <w:lang w:eastAsia="de-DE"/>
        </w:rPr>
        <w:t>4.00,</w:t>
      </w:r>
      <w:r w:rsidR="00B4412B" w:rsidRPr="00452EBF">
        <w:rPr>
          <w:rFonts w:ascii="Times New Roman" w:hAnsi="Times New Roman"/>
          <w:lang w:eastAsia="de-DE"/>
        </w:rPr>
        <w:t xml:space="preserve"> column 0050 </w:t>
      </w:r>
      <w:r w:rsidR="00B4412B">
        <w:rPr>
          <w:rFonts w:ascii="Times New Roman" w:hAnsi="Times New Roman"/>
          <w:lang w:eastAsia="de-DE"/>
        </w:rPr>
        <w:t>is different than ‘Not applicable</w:t>
      </w:r>
      <w:r w:rsidR="002844C0">
        <w:rPr>
          <w:rFonts w:ascii="Times New Roman" w:hAnsi="Times New Roman"/>
          <w:lang w:eastAsia="de-DE"/>
        </w:rPr>
        <w:t>’.</w:t>
      </w:r>
    </w:p>
    <w:p w14:paraId="685164EA" w14:textId="77777777" w:rsidR="00B4412B" w:rsidRDefault="00B4412B" w:rsidP="00C13AD5">
      <w:pPr>
        <w:pStyle w:val="CommentText"/>
        <w:rPr>
          <w:rStyle w:val="InstructionsTabelleText"/>
          <w:rFonts w:ascii="Times New Roman" w:hAnsi="Times New Roman"/>
        </w:rPr>
      </w:pPr>
    </w:p>
    <w:p w14:paraId="567D39C4" w14:textId="603B255F" w:rsidR="002869B1" w:rsidRDefault="002B2DBD" w:rsidP="00F7642D">
      <w:pPr>
        <w:pStyle w:val="CommentText"/>
        <w:rPr>
          <w:rStyle w:val="InstructionsTabelleText"/>
          <w:rFonts w:ascii="Times New Roman" w:hAnsi="Times New Roman"/>
        </w:rPr>
      </w:pPr>
      <w:r w:rsidRPr="00384CAC">
        <w:rPr>
          <w:rStyle w:val="InstructionsTabelleText"/>
          <w:rFonts w:ascii="Times New Roman" w:hAnsi="Times New Roman"/>
        </w:rPr>
        <w:t>T</w:t>
      </w:r>
      <w:r w:rsidR="00292EF9" w:rsidRPr="00384CAC">
        <w:rPr>
          <w:rStyle w:val="InstructionsTabelleText"/>
          <w:rFonts w:ascii="Times New Roman" w:hAnsi="Times New Roman"/>
        </w:rPr>
        <w:t xml:space="preserve">he PD values reported in columns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100,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110,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120,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130,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140,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150,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160,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170, </w:t>
      </w:r>
      <w:r w:rsidR="007F7240" w:rsidRPr="00384CAC">
        <w:rPr>
          <w:rStyle w:val="InstructionsTabelleText"/>
          <w:rFonts w:ascii="Times New Roman" w:hAnsi="Times New Roman"/>
        </w:rPr>
        <w:t>0</w:t>
      </w:r>
      <w:r w:rsidR="00292EF9" w:rsidRPr="00384CAC">
        <w:rPr>
          <w:rStyle w:val="InstructionsTabelleText"/>
          <w:rFonts w:ascii="Times New Roman" w:hAnsi="Times New Roman"/>
        </w:rPr>
        <w:t xml:space="preserve">180, </w:t>
      </w:r>
      <w:r w:rsidR="00583BDF" w:rsidRPr="00384CAC">
        <w:rPr>
          <w:rStyle w:val="InstructionsTabelleText"/>
          <w:rFonts w:ascii="Times New Roman" w:hAnsi="Times New Roman"/>
        </w:rPr>
        <w:t>and 0190</w:t>
      </w:r>
      <w:r w:rsidR="00292EF9" w:rsidRPr="00384CAC">
        <w:rPr>
          <w:rStyle w:val="InstructionsTabelleText"/>
          <w:rFonts w:ascii="Times New Roman" w:hAnsi="Times New Roman"/>
        </w:rPr>
        <w:t xml:space="preserve"> </w:t>
      </w:r>
      <w:r w:rsidR="0077022E" w:rsidRPr="00384CAC">
        <w:rPr>
          <w:rStyle w:val="InstructionsTabelleText"/>
          <w:rFonts w:ascii="Times New Roman" w:hAnsi="Times New Roman"/>
        </w:rPr>
        <w:t>shall</w:t>
      </w:r>
      <w:r w:rsidR="00292EF9" w:rsidRPr="00384CAC">
        <w:rPr>
          <w:rStyle w:val="InstructionsTabelleText"/>
          <w:rFonts w:ascii="Times New Roman" w:hAnsi="Times New Roman"/>
        </w:rPr>
        <w:t xml:space="preserve"> not incorporate any effect of prepayment. </w:t>
      </w:r>
      <w:r w:rsidR="005547A4" w:rsidRPr="00570147">
        <w:rPr>
          <w:rStyle w:val="InstructionsTabelleText"/>
          <w:rFonts w:ascii="Times New Roman" w:hAnsi="Times New Roman"/>
        </w:rPr>
        <w:t xml:space="preserve">These </w:t>
      </w:r>
      <w:r w:rsidR="00292EF9" w:rsidRPr="00570147">
        <w:rPr>
          <w:rStyle w:val="InstructionsTabelleText"/>
          <w:rFonts w:ascii="Times New Roman" w:hAnsi="Times New Roman"/>
        </w:rPr>
        <w:t>PD</w:t>
      </w:r>
      <w:r w:rsidR="00414D9A" w:rsidRPr="00570147">
        <w:rPr>
          <w:rStyle w:val="InstructionsTabelleText"/>
          <w:rFonts w:ascii="Times New Roman" w:hAnsi="Times New Roman"/>
        </w:rPr>
        <w:t xml:space="preserve"> values </w:t>
      </w:r>
      <w:r w:rsidR="005547A4" w:rsidRPr="00570147">
        <w:rPr>
          <w:rStyle w:val="InstructionsTabelleText"/>
          <w:rFonts w:ascii="Times New Roman" w:hAnsi="Times New Roman"/>
        </w:rPr>
        <w:t xml:space="preserve">shall be reported weighting the PD </w:t>
      </w:r>
      <w:r w:rsidR="00CE625E" w:rsidRPr="00570147">
        <w:rPr>
          <w:rStyle w:val="InstructionsTabelleText"/>
          <w:rFonts w:ascii="Times New Roman" w:hAnsi="Times New Roman"/>
        </w:rPr>
        <w:t xml:space="preserve">of </w:t>
      </w:r>
      <w:r w:rsidR="007E67F6" w:rsidRPr="00570147">
        <w:rPr>
          <w:rStyle w:val="InstructionsTabelleText"/>
          <w:rFonts w:ascii="Times New Roman" w:hAnsi="Times New Roman"/>
        </w:rPr>
        <w:t>each</w:t>
      </w:r>
      <w:r w:rsidR="005547A4" w:rsidRPr="00570147">
        <w:rPr>
          <w:rStyle w:val="InstructionsTabelleText"/>
          <w:rFonts w:ascii="Times New Roman" w:hAnsi="Times New Roman"/>
        </w:rPr>
        <w:t xml:space="preserve"> </w:t>
      </w:r>
      <w:r w:rsidR="004D621F" w:rsidRPr="00570147">
        <w:rPr>
          <w:rStyle w:val="InstructionsTabelleText"/>
          <w:rFonts w:ascii="Times New Roman" w:hAnsi="Times New Roman"/>
        </w:rPr>
        <w:t>facility</w:t>
      </w:r>
      <w:r w:rsidR="005547A4" w:rsidRPr="00570147">
        <w:rPr>
          <w:rStyle w:val="InstructionsTabelleText"/>
          <w:rFonts w:ascii="Times New Roman" w:hAnsi="Times New Roman"/>
        </w:rPr>
        <w:t xml:space="preserve"> included in the respective portfolio</w:t>
      </w:r>
      <w:r w:rsidR="00574D47" w:rsidRPr="00570147">
        <w:rPr>
          <w:rStyle w:val="InstructionsTabelleText"/>
          <w:rFonts w:ascii="Times New Roman" w:hAnsi="Times New Roman"/>
        </w:rPr>
        <w:t xml:space="preserve"> available up</w:t>
      </w:r>
      <w:r w:rsidR="00CE625E" w:rsidRPr="00570147">
        <w:rPr>
          <w:rStyle w:val="InstructionsTabelleText"/>
          <w:rFonts w:ascii="Times New Roman" w:hAnsi="Times New Roman"/>
        </w:rPr>
        <w:t xml:space="preserve"> to</w:t>
      </w:r>
      <w:r w:rsidR="00292EF9" w:rsidRPr="00570147">
        <w:rPr>
          <w:rStyle w:val="InstructionsTabelleText"/>
          <w:rFonts w:ascii="Times New Roman" w:hAnsi="Times New Roman"/>
        </w:rPr>
        <w:t xml:space="preserve"> the maturity of the</w:t>
      </w:r>
      <w:r w:rsidR="00574D47" w:rsidRPr="00570147">
        <w:rPr>
          <w:rStyle w:val="InstructionsTabelleText"/>
          <w:rFonts w:ascii="Times New Roman" w:hAnsi="Times New Roman"/>
        </w:rPr>
        <w:t xml:space="preserve"> contract</w:t>
      </w:r>
      <w:r w:rsidR="00292EF9" w:rsidRPr="00570147">
        <w:rPr>
          <w:rStyle w:val="InstructionsTabelleText"/>
          <w:rFonts w:ascii="Times New Roman" w:hAnsi="Times New Roman"/>
        </w:rPr>
        <w:t xml:space="preserve"> </w:t>
      </w:r>
      <w:r w:rsidR="00410F21" w:rsidRPr="00570147">
        <w:rPr>
          <w:rStyle w:val="InstructionsTabelleText"/>
          <w:rFonts w:ascii="Times New Roman" w:hAnsi="Times New Roman"/>
        </w:rPr>
        <w:t>(</w:t>
      </w:r>
      <w:proofErr w:type="gramStart"/>
      <w:r w:rsidR="00574D47" w:rsidRPr="00570147">
        <w:rPr>
          <w:rStyle w:val="InstructionsTabelleText"/>
          <w:rFonts w:ascii="Times New Roman" w:hAnsi="Times New Roman"/>
        </w:rPr>
        <w:t>i.e.</w:t>
      </w:r>
      <w:proofErr w:type="gramEnd"/>
      <w:r w:rsidR="00574D47" w:rsidRPr="00570147">
        <w:rPr>
          <w:rStyle w:val="InstructionsTabelleText"/>
          <w:rFonts w:ascii="Times New Roman" w:hAnsi="Times New Roman"/>
        </w:rPr>
        <w:t xml:space="preserve"> </w:t>
      </w:r>
      <w:r w:rsidR="00410F21" w:rsidRPr="00570147">
        <w:rPr>
          <w:rStyle w:val="InstructionsTabelleText"/>
          <w:rFonts w:ascii="Times New Roman" w:hAnsi="Times New Roman"/>
        </w:rPr>
        <w:t>PD beyond the contractual maturity of each facility shall not be considered)</w:t>
      </w:r>
      <w:r w:rsidR="004D621F" w:rsidRPr="00570147">
        <w:rPr>
          <w:rStyle w:val="InstructionsTabelleText"/>
          <w:rFonts w:ascii="Times New Roman" w:hAnsi="Times New Roman"/>
        </w:rPr>
        <w:t xml:space="preserve">. </w:t>
      </w:r>
      <w:r w:rsidR="009460F1">
        <w:rPr>
          <w:rStyle w:val="InstructionsTabelleText"/>
          <w:rFonts w:ascii="Times New Roman" w:hAnsi="Times New Roman"/>
        </w:rPr>
        <w:t>The PD values shall include any</w:t>
      </w:r>
      <w:r w:rsidR="009460F1" w:rsidRPr="00A8219C">
        <w:rPr>
          <w:rStyle w:val="InstructionsTabelleText"/>
          <w:rFonts w:ascii="Times New Roman" w:hAnsi="Times New Roman"/>
        </w:rPr>
        <w:t xml:space="preserve"> temporary model/manual adjustment or overlay that has been applied directly at the level of the PD parameter</w:t>
      </w:r>
      <w:r w:rsidR="009460F1">
        <w:rPr>
          <w:rStyle w:val="InstructionsTabelleText"/>
          <w:rFonts w:ascii="Times New Roman" w:hAnsi="Times New Roman"/>
        </w:rPr>
        <w:t>.</w:t>
      </w:r>
      <w:r w:rsidR="00EC6696">
        <w:rPr>
          <w:rStyle w:val="InstructionsTabelleText"/>
          <w:rFonts w:ascii="Times New Roman" w:hAnsi="Times New Roman"/>
        </w:rPr>
        <w:t xml:space="preserve"> </w:t>
      </w:r>
    </w:p>
    <w:p w14:paraId="48FD8A62" w14:textId="43F8EEFD" w:rsidR="00912C2E" w:rsidRPr="00570147" w:rsidRDefault="00EC6696" w:rsidP="00570147">
      <w:pPr>
        <w:pStyle w:val="CommentText"/>
        <w:rPr>
          <w:rStyle w:val="InstructionsTabelleText"/>
          <w:rFonts w:ascii="Times New Roman" w:hAnsi="Times New Roman"/>
        </w:rPr>
      </w:pPr>
      <w:r w:rsidRPr="001532AB">
        <w:rPr>
          <w:rStyle w:val="InstructionsTabelleText"/>
          <w:rFonts w:ascii="Times New Roman" w:hAnsi="Times New Roman"/>
        </w:rPr>
        <w:t>The ECL amount</w:t>
      </w:r>
      <w:r w:rsidR="002869B1" w:rsidRPr="001532AB">
        <w:rPr>
          <w:rStyle w:val="InstructionsTabelleText"/>
          <w:rFonts w:ascii="Times New Roman" w:hAnsi="Times New Roman"/>
        </w:rPr>
        <w:t>s</w:t>
      </w:r>
      <w:r w:rsidRPr="001532AB">
        <w:rPr>
          <w:rStyle w:val="InstructionsTabelleText"/>
          <w:rFonts w:ascii="Times New Roman" w:hAnsi="Times New Roman"/>
        </w:rPr>
        <w:t xml:space="preserve"> reported</w:t>
      </w:r>
      <w:r w:rsidR="002869B1" w:rsidRPr="001532AB">
        <w:rPr>
          <w:rStyle w:val="InstructionsTabelleText"/>
          <w:rFonts w:ascii="Times New Roman" w:hAnsi="Times New Roman"/>
        </w:rPr>
        <w:t xml:space="preserve"> in columns</w:t>
      </w:r>
      <w:r w:rsidRPr="001532AB">
        <w:rPr>
          <w:rStyle w:val="InstructionsTabelleText"/>
          <w:rFonts w:ascii="Times New Roman" w:hAnsi="Times New Roman"/>
        </w:rPr>
        <w:t xml:space="preserve"> </w:t>
      </w:r>
      <w:r w:rsidR="002869B1" w:rsidRPr="001532AB">
        <w:rPr>
          <w:rStyle w:val="InstructionsTabelleText"/>
          <w:rFonts w:ascii="Times New Roman" w:hAnsi="Times New Roman"/>
        </w:rPr>
        <w:t xml:space="preserve">0200, 0201, 0202 </w:t>
      </w:r>
      <w:r w:rsidRPr="001532AB">
        <w:rPr>
          <w:rStyle w:val="InstructionsTabelleText"/>
          <w:rFonts w:ascii="Times New Roman" w:hAnsi="Times New Roman"/>
        </w:rPr>
        <w:t xml:space="preserve">shall include any temporary model adjustment or overlay that has been applied for the purposes of estimating ECL, </w:t>
      </w:r>
      <w:proofErr w:type="gramStart"/>
      <w:r w:rsidRPr="001532AB">
        <w:rPr>
          <w:rStyle w:val="InstructionsTabelleText"/>
          <w:rFonts w:ascii="Times New Roman" w:hAnsi="Times New Roman"/>
        </w:rPr>
        <w:t>regardless</w:t>
      </w:r>
      <w:proofErr w:type="gramEnd"/>
      <w:r w:rsidRPr="001532AB">
        <w:rPr>
          <w:rStyle w:val="InstructionsTabelleText"/>
          <w:rFonts w:ascii="Times New Roman" w:hAnsi="Times New Roman"/>
        </w:rPr>
        <w:t xml:space="preserve"> </w:t>
      </w:r>
      <w:r w:rsidR="00FF444C" w:rsidRPr="001532AB">
        <w:rPr>
          <w:rStyle w:val="InstructionsTabelleText"/>
          <w:rFonts w:ascii="Times New Roman" w:hAnsi="Times New Roman"/>
        </w:rPr>
        <w:t>whether</w:t>
      </w:r>
      <w:r w:rsidR="00530ED3" w:rsidRPr="001532AB">
        <w:rPr>
          <w:rStyle w:val="InstructionsTabelleText"/>
          <w:rFonts w:ascii="Times New Roman" w:hAnsi="Times New Roman"/>
        </w:rPr>
        <w:t xml:space="preserve"> </w:t>
      </w:r>
      <w:r w:rsidRPr="001532AB">
        <w:rPr>
          <w:rStyle w:val="InstructionsTabelleText"/>
          <w:rFonts w:ascii="Times New Roman" w:hAnsi="Times New Roman"/>
        </w:rPr>
        <w:t>they were applied at risk parameter level or at the ECL level.</w:t>
      </w:r>
      <w:r w:rsidR="00FE583F" w:rsidRPr="001532AB">
        <w:rPr>
          <w:rStyle w:val="InstructionsTabelleText"/>
          <w:rFonts w:ascii="Times New Roman" w:hAnsi="Times New Roman"/>
        </w:rPr>
        <w:t xml:space="preserve"> </w:t>
      </w:r>
      <w:r w:rsidR="0005754C" w:rsidRPr="00570147">
        <w:rPr>
          <w:rStyle w:val="InstructionsTabelleText"/>
          <w:rFonts w:ascii="Times New Roman" w:hAnsi="Times New Roman"/>
        </w:rPr>
        <w:t xml:space="preserve">The ECL amounts </w:t>
      </w:r>
      <w:r w:rsidR="009A0EA6" w:rsidRPr="00570147">
        <w:rPr>
          <w:rStyle w:val="InstructionsTabelleText"/>
          <w:rFonts w:ascii="Times New Roman" w:hAnsi="Times New Roman"/>
        </w:rPr>
        <w:t>for</w:t>
      </w:r>
      <w:r w:rsidR="0005754C" w:rsidRPr="00570147">
        <w:rPr>
          <w:rStyle w:val="InstructionsTabelleText"/>
          <w:rFonts w:ascii="Times New Roman" w:hAnsi="Times New Roman"/>
        </w:rPr>
        <w:t xml:space="preserve"> </w:t>
      </w:r>
      <w:r w:rsidR="00FB79BA" w:rsidRPr="00570147">
        <w:rPr>
          <w:rStyle w:val="InstructionsTabelleText"/>
          <w:rFonts w:ascii="Times New Roman" w:hAnsi="Times New Roman"/>
        </w:rPr>
        <w:t>economic scenario</w:t>
      </w:r>
      <w:r w:rsidR="009A0EA6" w:rsidRPr="00570147">
        <w:rPr>
          <w:rStyle w:val="InstructionsTabelleText"/>
          <w:rFonts w:ascii="Times New Roman" w:hAnsi="Times New Roman"/>
        </w:rPr>
        <w:t xml:space="preserve"> 1 to 5</w:t>
      </w:r>
      <w:r w:rsidR="00FB79BA" w:rsidRPr="00570147">
        <w:rPr>
          <w:rStyle w:val="InstructionsTabelleText"/>
          <w:rFonts w:ascii="Times New Roman" w:hAnsi="Times New Roman"/>
        </w:rPr>
        <w:t xml:space="preserve"> </w:t>
      </w:r>
      <w:r w:rsidR="005C18C4" w:rsidRPr="00570147">
        <w:rPr>
          <w:rStyle w:val="InstructionsTabelleText"/>
          <w:rFonts w:ascii="Times New Roman" w:hAnsi="Times New Roman"/>
        </w:rPr>
        <w:t xml:space="preserve">for each stage </w:t>
      </w:r>
      <w:r w:rsidR="0016791C" w:rsidRPr="00570147">
        <w:rPr>
          <w:rStyle w:val="InstructionsTabelleText"/>
          <w:rFonts w:ascii="Times New Roman" w:hAnsi="Times New Roman"/>
        </w:rPr>
        <w:t xml:space="preserve">shall be reported </w:t>
      </w:r>
      <w:r w:rsidR="00F1094A" w:rsidRPr="00570147">
        <w:rPr>
          <w:rStyle w:val="InstructionsTabelleText"/>
          <w:rFonts w:ascii="Times New Roman" w:hAnsi="Times New Roman"/>
        </w:rPr>
        <w:t>consider</w:t>
      </w:r>
      <w:r w:rsidR="0016791C" w:rsidRPr="00570147">
        <w:rPr>
          <w:rStyle w:val="InstructionsTabelleText"/>
          <w:rFonts w:ascii="Times New Roman" w:hAnsi="Times New Roman"/>
        </w:rPr>
        <w:t xml:space="preserve">ing the </w:t>
      </w:r>
      <w:r w:rsidR="001532AB" w:rsidRPr="00570147">
        <w:rPr>
          <w:rStyle w:val="InstructionsTabelleText"/>
          <w:rFonts w:ascii="Times New Roman" w:hAnsi="Times New Roman"/>
        </w:rPr>
        <w:t xml:space="preserve">actual </w:t>
      </w:r>
      <w:r w:rsidR="0016791C" w:rsidRPr="00570147">
        <w:rPr>
          <w:rStyle w:val="InstructionsTabelleText"/>
          <w:rFonts w:ascii="Times New Roman" w:hAnsi="Times New Roman"/>
        </w:rPr>
        <w:t>staging allocation</w:t>
      </w:r>
      <w:r w:rsidR="00F1094A" w:rsidRPr="00570147">
        <w:rPr>
          <w:rStyle w:val="InstructionsTabelleText"/>
          <w:rFonts w:ascii="Times New Roman" w:hAnsi="Times New Roman"/>
        </w:rPr>
        <w:t xml:space="preserve"> </w:t>
      </w:r>
      <w:r w:rsidR="00912C2E" w:rsidRPr="00570147">
        <w:rPr>
          <w:rStyle w:val="InstructionsTabelleText"/>
          <w:rFonts w:ascii="Times New Roman" w:hAnsi="Times New Roman"/>
        </w:rPr>
        <w:t xml:space="preserve">at the reporting </w:t>
      </w:r>
      <w:r w:rsidR="007E3B1C" w:rsidRPr="00570147">
        <w:rPr>
          <w:rStyle w:val="InstructionsTabelleText"/>
          <w:rFonts w:ascii="Times New Roman" w:hAnsi="Times New Roman"/>
        </w:rPr>
        <w:t>date (</w:t>
      </w:r>
      <w:proofErr w:type="gramStart"/>
      <w:r w:rsidR="007E3B1C" w:rsidRPr="00570147">
        <w:rPr>
          <w:rStyle w:val="InstructionsTabelleText"/>
          <w:rFonts w:ascii="Times New Roman" w:hAnsi="Times New Roman"/>
        </w:rPr>
        <w:t>i.e.</w:t>
      </w:r>
      <w:proofErr w:type="gramEnd"/>
      <w:r w:rsidR="007E3B1C" w:rsidRPr="00570147">
        <w:rPr>
          <w:rStyle w:val="InstructionsTabelleText"/>
          <w:rFonts w:ascii="Times New Roman" w:hAnsi="Times New Roman"/>
        </w:rPr>
        <w:t xml:space="preserve"> SICR assessment and </w:t>
      </w:r>
      <w:r w:rsidR="00944536" w:rsidRPr="00570147">
        <w:rPr>
          <w:rStyle w:val="InstructionsTabelleText"/>
          <w:rFonts w:ascii="Times New Roman" w:hAnsi="Times New Roman"/>
        </w:rPr>
        <w:t xml:space="preserve">staging allocation should be kept as resulting from </w:t>
      </w:r>
      <w:r w:rsidR="00912C2E" w:rsidRPr="00570147">
        <w:rPr>
          <w:rStyle w:val="InstructionsTabelleText"/>
          <w:rFonts w:ascii="Times New Roman" w:hAnsi="Times New Roman"/>
        </w:rPr>
        <w:t>the application of impairment requirements under IFRS 9</w:t>
      </w:r>
      <w:r w:rsidR="00944536" w:rsidRPr="00570147">
        <w:rPr>
          <w:rStyle w:val="InstructionsTabelleText"/>
          <w:rFonts w:ascii="Times New Roman" w:hAnsi="Times New Roman"/>
        </w:rPr>
        <w:t>)</w:t>
      </w:r>
      <w:r w:rsidR="00912C2E" w:rsidRPr="00570147">
        <w:rPr>
          <w:rStyle w:val="InstructionsTabelleText"/>
          <w:rFonts w:ascii="Times New Roman" w:hAnsi="Times New Roman"/>
        </w:rPr>
        <w:t>.</w:t>
      </w:r>
    </w:p>
    <w:p w14:paraId="2E7EB101" w14:textId="5F09AF79" w:rsidR="005C00C2" w:rsidRPr="00384CAC" w:rsidRDefault="005C00C2" w:rsidP="00C13AD5">
      <w:pPr>
        <w:pStyle w:val="CommentText"/>
        <w:rPr>
          <w:rStyle w:val="InstructionsTabelleText"/>
          <w:rFonts w:ascii="Times New Roman" w:hAnsi="Times New Roman"/>
        </w:rPr>
      </w:pPr>
      <w:r w:rsidRPr="00384CAC">
        <w:rPr>
          <w:rStyle w:val="InstructionsTabelleText"/>
          <w:rFonts w:ascii="Times New Roman" w:hAnsi="Times New Roman"/>
        </w:rPr>
        <w:t xml:space="preserve">Where the ECL amount is calculated as a probability weighted ECL of each </w:t>
      </w:r>
      <w:r w:rsidR="00101AB6" w:rsidRPr="00384CAC">
        <w:rPr>
          <w:rStyle w:val="InstructionsTabelleText"/>
          <w:rFonts w:ascii="Times New Roman" w:hAnsi="Times New Roman"/>
        </w:rPr>
        <w:t xml:space="preserve">economic </w:t>
      </w:r>
      <w:r w:rsidRPr="00384CAC">
        <w:rPr>
          <w:rStyle w:val="InstructionsTabelleText"/>
          <w:rFonts w:ascii="Times New Roman" w:hAnsi="Times New Roman"/>
        </w:rPr>
        <w:t>scenario, the following considerations apply:</w:t>
      </w:r>
    </w:p>
    <w:p w14:paraId="40BC131E" w14:textId="06D7F407" w:rsidR="00140078" w:rsidRPr="00D04BFC" w:rsidRDefault="002B2DBD" w:rsidP="00EC7E5C">
      <w:pPr>
        <w:pStyle w:val="CommentText"/>
        <w:numPr>
          <w:ilvl w:val="0"/>
          <w:numId w:val="23"/>
        </w:numPr>
        <w:rPr>
          <w:rFonts w:ascii="Times New Roman" w:hAnsi="Times New Roman"/>
          <w:bCs/>
        </w:rPr>
      </w:pPr>
      <w:r w:rsidRPr="00384CAC">
        <w:rPr>
          <w:rFonts w:ascii="Times New Roman" w:hAnsi="Times New Roman"/>
          <w:bCs/>
        </w:rPr>
        <w:t>Where</w:t>
      </w:r>
      <w:r w:rsidR="00F00F88" w:rsidRPr="00384CAC">
        <w:rPr>
          <w:rFonts w:ascii="Times New Roman" w:hAnsi="Times New Roman"/>
          <w:bCs/>
        </w:rPr>
        <w:t xml:space="preserve"> the </w:t>
      </w:r>
      <w:r w:rsidR="00F00F88" w:rsidRPr="00384CAC">
        <w:rPr>
          <w:rFonts w:ascii="Times New Roman" w:hAnsi="Times New Roman"/>
        </w:rPr>
        <w:t xml:space="preserve">IFRS 9 model </w:t>
      </w:r>
      <w:r w:rsidR="00086C09">
        <w:rPr>
          <w:rFonts w:ascii="Times New Roman" w:hAnsi="Times New Roman"/>
        </w:rPr>
        <w:t xml:space="preserve">used </w:t>
      </w:r>
      <w:r w:rsidR="00ED3AB6">
        <w:rPr>
          <w:rFonts w:ascii="Times New Roman" w:hAnsi="Times New Roman"/>
        </w:rPr>
        <w:t>by the reporting institution includes</w:t>
      </w:r>
      <w:r w:rsidR="00F00F88" w:rsidRPr="00384CAC">
        <w:rPr>
          <w:rFonts w:ascii="Times New Roman" w:hAnsi="Times New Roman"/>
        </w:rPr>
        <w:t xml:space="preserve"> five economic scenarios</w:t>
      </w:r>
      <w:r w:rsidR="00140078">
        <w:rPr>
          <w:rFonts w:ascii="Times New Roman" w:hAnsi="Times New Roman"/>
        </w:rPr>
        <w:t>:</w:t>
      </w:r>
      <w:r w:rsidR="00F00F88" w:rsidRPr="00384CAC">
        <w:rPr>
          <w:rFonts w:ascii="Times New Roman" w:hAnsi="Times New Roman"/>
        </w:rPr>
        <w:t xml:space="preserve"> </w:t>
      </w:r>
    </w:p>
    <w:p w14:paraId="3D8E8886" w14:textId="0706246D" w:rsidR="00F00F88" w:rsidRPr="00D04BFC" w:rsidRDefault="00F00F88" w:rsidP="00EC7E5C">
      <w:pPr>
        <w:pStyle w:val="CommentText"/>
        <w:numPr>
          <w:ilvl w:val="1"/>
          <w:numId w:val="23"/>
        </w:numPr>
        <w:rPr>
          <w:rFonts w:ascii="Times New Roman" w:hAnsi="Times New Roman"/>
          <w:bCs/>
        </w:rPr>
      </w:pPr>
      <w:r w:rsidRPr="00384CAC">
        <w:rPr>
          <w:rFonts w:ascii="Times New Roman" w:hAnsi="Times New Roman"/>
        </w:rPr>
        <w:t xml:space="preserve">the PD values associated with each of the scenario </w:t>
      </w:r>
      <w:r w:rsidR="0077022E" w:rsidRPr="00384CAC">
        <w:rPr>
          <w:rFonts w:ascii="Times New Roman" w:hAnsi="Times New Roman"/>
        </w:rPr>
        <w:t>shall</w:t>
      </w:r>
      <w:r w:rsidRPr="00384CAC">
        <w:rPr>
          <w:rFonts w:ascii="Times New Roman" w:hAnsi="Times New Roman"/>
        </w:rPr>
        <w:t xml:space="preserve"> be reported for the </w:t>
      </w:r>
      <w:r w:rsidR="007F1841" w:rsidRPr="00384CAC">
        <w:rPr>
          <w:rFonts w:ascii="Times New Roman" w:hAnsi="Times New Roman"/>
        </w:rPr>
        <w:t>columns</w:t>
      </w:r>
      <w:r w:rsidRPr="00384CAC">
        <w:rPr>
          <w:rFonts w:ascii="Times New Roman" w:hAnsi="Times New Roman"/>
        </w:rPr>
        <w:t xml:space="preserve"> </w:t>
      </w:r>
      <w:r w:rsidR="003A1E57" w:rsidRPr="00384CAC">
        <w:rPr>
          <w:rFonts w:ascii="Times New Roman" w:hAnsi="Times New Roman"/>
        </w:rPr>
        <w:t>0</w:t>
      </w:r>
      <w:r w:rsidRPr="00384CAC">
        <w:rPr>
          <w:rFonts w:ascii="Times New Roman" w:hAnsi="Times New Roman"/>
        </w:rPr>
        <w:t xml:space="preserve">100 </w:t>
      </w:r>
      <w:r w:rsidRPr="00D04BFC">
        <w:rPr>
          <w:rFonts w:ascii="Times New Roman" w:hAnsi="Times New Roman"/>
        </w:rPr>
        <w:t xml:space="preserve">to </w:t>
      </w:r>
      <w:r w:rsidR="00521AF4" w:rsidRPr="00D04BFC">
        <w:rPr>
          <w:rFonts w:ascii="Times New Roman" w:hAnsi="Times New Roman"/>
        </w:rPr>
        <w:t>0</w:t>
      </w:r>
      <w:r w:rsidR="00521AF4" w:rsidRPr="006D1691">
        <w:rPr>
          <w:rFonts w:ascii="Times New Roman" w:hAnsi="Times New Roman"/>
        </w:rPr>
        <w:t>1</w:t>
      </w:r>
      <w:r w:rsidR="00521AF4" w:rsidRPr="00D04BFC">
        <w:rPr>
          <w:rFonts w:ascii="Times New Roman" w:hAnsi="Times New Roman"/>
        </w:rPr>
        <w:t>90</w:t>
      </w:r>
      <w:r w:rsidRPr="00D04BFC">
        <w:rPr>
          <w:rFonts w:ascii="Times New Roman" w:hAnsi="Times New Roman"/>
        </w:rPr>
        <w:t xml:space="preserve">. The PD values associated with the economic scenario 0 </w:t>
      </w:r>
      <w:r w:rsidR="0077022E" w:rsidRPr="00D04BFC">
        <w:rPr>
          <w:rFonts w:ascii="Times New Roman" w:hAnsi="Times New Roman"/>
        </w:rPr>
        <w:t>shall</w:t>
      </w:r>
      <w:r w:rsidRPr="00D04BFC">
        <w:rPr>
          <w:rFonts w:ascii="Times New Roman" w:hAnsi="Times New Roman"/>
        </w:rPr>
        <w:t xml:space="preserve"> be the weighted average of the PDs reported for the economic scenario 1 to 5, using the weights reported in </w:t>
      </w:r>
      <w:r w:rsidR="00D56798" w:rsidRPr="00D04BFC">
        <w:rPr>
          <w:rFonts w:ascii="Times New Roman" w:hAnsi="Times New Roman"/>
        </w:rPr>
        <w:t xml:space="preserve">Annex </w:t>
      </w:r>
      <w:proofErr w:type="gramStart"/>
      <w:r w:rsidR="00BA5A16">
        <w:rPr>
          <w:rFonts w:ascii="Times New Roman" w:hAnsi="Times New Roman"/>
        </w:rPr>
        <w:t>VIII</w:t>
      </w:r>
      <w:r w:rsidR="00D56798">
        <w:rPr>
          <w:rFonts w:ascii="Times New Roman" w:hAnsi="Times New Roman"/>
        </w:rPr>
        <w:t>,</w:t>
      </w:r>
      <w:r w:rsidR="00B26E2D">
        <w:rPr>
          <w:rFonts w:ascii="Times New Roman" w:hAnsi="Times New Roman"/>
        </w:rPr>
        <w:t xml:space="preserve"> </w:t>
      </w:r>
      <w:r w:rsidRPr="00D04BFC">
        <w:rPr>
          <w:rFonts w:ascii="Times New Roman" w:hAnsi="Times New Roman"/>
        </w:rPr>
        <w:t xml:space="preserve"> template</w:t>
      </w:r>
      <w:proofErr w:type="gramEnd"/>
      <w:r w:rsidRPr="00D04BFC">
        <w:rPr>
          <w:rFonts w:ascii="Times New Roman" w:hAnsi="Times New Roman"/>
        </w:rPr>
        <w:t xml:space="preserve"> </w:t>
      </w:r>
      <w:r w:rsidR="00BF4EB1" w:rsidRPr="00D04BFC">
        <w:rPr>
          <w:rFonts w:ascii="Times New Roman" w:hAnsi="Times New Roman"/>
        </w:rPr>
        <w:t>11</w:t>
      </w:r>
      <w:r w:rsidR="00BF4EB1">
        <w:rPr>
          <w:rFonts w:ascii="Times New Roman" w:hAnsi="Times New Roman"/>
        </w:rPr>
        <w:t>8</w:t>
      </w:r>
      <w:r w:rsidRPr="00D04BFC">
        <w:rPr>
          <w:rFonts w:ascii="Times New Roman" w:hAnsi="Times New Roman"/>
        </w:rPr>
        <w:t>.0</w:t>
      </w:r>
      <w:r w:rsidR="006C7A0B" w:rsidRPr="00D04BFC">
        <w:rPr>
          <w:rFonts w:ascii="Times New Roman" w:hAnsi="Times New Roman"/>
        </w:rPr>
        <w:t>0</w:t>
      </w:r>
      <w:r w:rsidR="00BA5A16">
        <w:rPr>
          <w:rFonts w:ascii="Times New Roman" w:hAnsi="Times New Roman"/>
        </w:rPr>
        <w:t xml:space="preserve">, </w:t>
      </w:r>
      <w:r w:rsidR="00BA5A16" w:rsidRPr="00A13F37">
        <w:rPr>
          <w:rFonts w:ascii="Times New Roman" w:hAnsi="Times New Roman"/>
        </w:rPr>
        <w:t xml:space="preserve">columns 0199 to 0209 </w:t>
      </w:r>
      <w:r w:rsidRPr="00D04BFC">
        <w:rPr>
          <w:rFonts w:ascii="Times New Roman" w:hAnsi="Times New Roman"/>
        </w:rPr>
        <w:t>.</w:t>
      </w:r>
    </w:p>
    <w:p w14:paraId="7A59AC84" w14:textId="544E9846" w:rsidR="00140078" w:rsidRPr="00D04BFC" w:rsidRDefault="00140078" w:rsidP="00EC7E5C">
      <w:pPr>
        <w:pStyle w:val="CommentText"/>
        <w:numPr>
          <w:ilvl w:val="1"/>
          <w:numId w:val="23"/>
        </w:numPr>
        <w:rPr>
          <w:rFonts w:ascii="Times New Roman" w:hAnsi="Times New Roman"/>
          <w:bCs/>
        </w:rPr>
      </w:pPr>
      <w:r w:rsidRPr="00384CAC">
        <w:rPr>
          <w:rFonts w:ascii="Times New Roman" w:hAnsi="Times New Roman"/>
        </w:rPr>
        <w:t xml:space="preserve">the </w:t>
      </w:r>
      <w:r>
        <w:rPr>
          <w:rFonts w:ascii="Times New Roman" w:hAnsi="Times New Roman"/>
        </w:rPr>
        <w:t xml:space="preserve">ECL amount </w:t>
      </w:r>
      <w:r w:rsidRPr="00384CAC">
        <w:rPr>
          <w:rFonts w:ascii="Times New Roman" w:hAnsi="Times New Roman"/>
        </w:rPr>
        <w:t xml:space="preserve">associated with each of the scenario shall be reported </w:t>
      </w:r>
      <w:r w:rsidR="00D43722">
        <w:rPr>
          <w:rFonts w:ascii="Times New Roman" w:hAnsi="Times New Roman"/>
        </w:rPr>
        <w:t xml:space="preserve">respectively </w:t>
      </w:r>
      <w:r>
        <w:rPr>
          <w:rFonts w:ascii="Times New Roman" w:hAnsi="Times New Roman"/>
        </w:rPr>
        <w:t>in the column</w:t>
      </w:r>
      <w:r w:rsidRPr="00A13F37">
        <w:rPr>
          <w:rFonts w:ascii="Times New Roman" w:hAnsi="Times New Roman"/>
        </w:rPr>
        <w:t xml:space="preserve"> 0</w:t>
      </w:r>
      <w:r>
        <w:rPr>
          <w:rFonts w:ascii="Times New Roman" w:hAnsi="Times New Roman"/>
        </w:rPr>
        <w:t>20</w:t>
      </w:r>
      <w:r w:rsidRPr="00A13F37">
        <w:rPr>
          <w:rFonts w:ascii="Times New Roman" w:hAnsi="Times New Roman"/>
        </w:rPr>
        <w:t>0</w:t>
      </w:r>
      <w:r w:rsidR="00D43722">
        <w:rPr>
          <w:rFonts w:ascii="Times New Roman" w:hAnsi="Times New Roman"/>
        </w:rPr>
        <w:t xml:space="preserve"> (in case of stage 1 exposures), in the column 0201 (in case of stage 2 exposures) and in the column 0202 (in case of stage 3 exposures)</w:t>
      </w:r>
      <w:r w:rsidRPr="00A13F37">
        <w:rPr>
          <w:rFonts w:ascii="Times New Roman" w:hAnsi="Times New Roman"/>
        </w:rPr>
        <w:t xml:space="preserve">. The </w:t>
      </w:r>
      <w:r>
        <w:rPr>
          <w:rFonts w:ascii="Times New Roman" w:hAnsi="Times New Roman"/>
        </w:rPr>
        <w:t>ECL amount</w:t>
      </w:r>
      <w:r w:rsidRPr="00A13F37">
        <w:rPr>
          <w:rFonts w:ascii="Times New Roman" w:hAnsi="Times New Roman"/>
        </w:rPr>
        <w:t xml:space="preserve"> associated with the economic scenario 0 shall be the weighted average of the</w:t>
      </w:r>
      <w:r>
        <w:rPr>
          <w:rFonts w:ascii="Times New Roman" w:hAnsi="Times New Roman"/>
        </w:rPr>
        <w:t xml:space="preserve"> ECL</w:t>
      </w:r>
      <w:r w:rsidRPr="00A13F37">
        <w:rPr>
          <w:rFonts w:ascii="Times New Roman" w:hAnsi="Times New Roman"/>
        </w:rPr>
        <w:t xml:space="preserve"> reported for the economic scenario 1 to 5, using the weights reported in </w:t>
      </w:r>
      <w:r w:rsidR="00B26E2D" w:rsidRPr="00A13F37">
        <w:rPr>
          <w:rFonts w:ascii="Times New Roman" w:hAnsi="Times New Roman"/>
        </w:rPr>
        <w:t>Annex</w:t>
      </w:r>
      <w:r w:rsidR="00BA5A16">
        <w:rPr>
          <w:rFonts w:ascii="Times New Roman" w:hAnsi="Times New Roman"/>
        </w:rPr>
        <w:t xml:space="preserve"> VIII</w:t>
      </w:r>
      <w:r w:rsidR="00B26E2D">
        <w:rPr>
          <w:rFonts w:ascii="Times New Roman" w:hAnsi="Times New Roman"/>
        </w:rPr>
        <w:t>,</w:t>
      </w:r>
      <w:r w:rsidRPr="00A13F37">
        <w:rPr>
          <w:rFonts w:ascii="Times New Roman" w:hAnsi="Times New Roman"/>
        </w:rPr>
        <w:t xml:space="preserve"> template 11</w:t>
      </w:r>
      <w:r w:rsidR="00BF4EB1">
        <w:rPr>
          <w:rFonts w:ascii="Times New Roman" w:hAnsi="Times New Roman"/>
        </w:rPr>
        <w:t>8</w:t>
      </w:r>
      <w:r w:rsidRPr="00A13F37">
        <w:rPr>
          <w:rFonts w:ascii="Times New Roman" w:hAnsi="Times New Roman"/>
        </w:rPr>
        <w:t>.00</w:t>
      </w:r>
      <w:r w:rsidR="00BA5A16">
        <w:rPr>
          <w:rFonts w:ascii="Times New Roman" w:hAnsi="Times New Roman"/>
        </w:rPr>
        <w:t xml:space="preserve">, </w:t>
      </w:r>
      <w:r w:rsidR="00BA5A16" w:rsidRPr="00A13F37">
        <w:rPr>
          <w:rFonts w:ascii="Times New Roman" w:hAnsi="Times New Roman"/>
        </w:rPr>
        <w:t>columns 0199 to 0209</w:t>
      </w:r>
      <w:r w:rsidR="00E923E3">
        <w:rPr>
          <w:rFonts w:ascii="Times New Roman" w:hAnsi="Times New Roman"/>
        </w:rPr>
        <w:t>.</w:t>
      </w:r>
    </w:p>
    <w:p w14:paraId="5EB69544" w14:textId="33C6DE5A" w:rsidR="00F00F88" w:rsidRPr="00384CAC" w:rsidRDefault="002B2DBD" w:rsidP="00EC7E5C">
      <w:pPr>
        <w:pStyle w:val="CommentText"/>
        <w:numPr>
          <w:ilvl w:val="0"/>
          <w:numId w:val="23"/>
        </w:numPr>
        <w:rPr>
          <w:rFonts w:ascii="Times New Roman" w:hAnsi="Times New Roman"/>
          <w:bCs/>
        </w:rPr>
      </w:pPr>
      <w:r w:rsidRPr="00384CAC">
        <w:rPr>
          <w:rFonts w:ascii="Times New Roman" w:hAnsi="Times New Roman"/>
        </w:rPr>
        <w:lastRenderedPageBreak/>
        <w:t>Where</w:t>
      </w:r>
      <w:r w:rsidR="00F00F88" w:rsidRPr="00384CAC">
        <w:rPr>
          <w:rFonts w:ascii="Times New Roman" w:hAnsi="Times New Roman"/>
        </w:rPr>
        <w:t xml:space="preserve"> </w:t>
      </w:r>
      <w:r w:rsidR="00F00F88" w:rsidRPr="00384CAC">
        <w:rPr>
          <w:rFonts w:ascii="Times New Roman" w:hAnsi="Times New Roman"/>
          <w:bCs/>
        </w:rPr>
        <w:t xml:space="preserve">the </w:t>
      </w:r>
      <w:r w:rsidR="00F00F88" w:rsidRPr="00384CAC">
        <w:rPr>
          <w:rFonts w:ascii="Times New Roman" w:hAnsi="Times New Roman"/>
        </w:rPr>
        <w:t xml:space="preserve">IFRS 9 model </w:t>
      </w:r>
      <w:r w:rsidR="00086C09">
        <w:rPr>
          <w:rFonts w:ascii="Times New Roman" w:hAnsi="Times New Roman"/>
        </w:rPr>
        <w:t>used by the reporting institution includes</w:t>
      </w:r>
      <w:r w:rsidRPr="00384CAC" w:rsidDel="002B2DBD">
        <w:rPr>
          <w:rFonts w:ascii="Times New Roman" w:hAnsi="Times New Roman"/>
          <w:bCs/>
        </w:rPr>
        <w:t xml:space="preserve"> </w:t>
      </w:r>
      <w:r w:rsidR="00F00F88" w:rsidRPr="00384CAC">
        <w:rPr>
          <w:rFonts w:ascii="Times New Roman" w:hAnsi="Times New Roman"/>
        </w:rPr>
        <w:t xml:space="preserve">a lower number of economic scenarios </w:t>
      </w:r>
      <w:r w:rsidRPr="00384CAC">
        <w:rPr>
          <w:rFonts w:ascii="Times New Roman" w:hAnsi="Times New Roman"/>
        </w:rPr>
        <w:t>than five</w:t>
      </w:r>
      <w:r w:rsidR="00F00F88" w:rsidRPr="00384CAC">
        <w:rPr>
          <w:rFonts w:ascii="Times New Roman" w:hAnsi="Times New Roman"/>
        </w:rPr>
        <w:t xml:space="preserve">, the </w:t>
      </w:r>
      <w:r w:rsidR="00642D9C" w:rsidRPr="00384CAC">
        <w:rPr>
          <w:rFonts w:ascii="Times New Roman" w:hAnsi="Times New Roman"/>
        </w:rPr>
        <w:t>rows</w:t>
      </w:r>
      <w:r w:rsidR="00F00F88" w:rsidRPr="00384CAC">
        <w:rPr>
          <w:rFonts w:ascii="Times New Roman" w:hAnsi="Times New Roman"/>
        </w:rPr>
        <w:t xml:space="preserve"> related to the missing economic scenarios </w:t>
      </w:r>
      <w:r w:rsidR="0077022E" w:rsidRPr="00384CAC">
        <w:rPr>
          <w:rFonts w:ascii="Times New Roman" w:hAnsi="Times New Roman"/>
        </w:rPr>
        <w:t>shall</w:t>
      </w:r>
      <w:r w:rsidR="00642D9C" w:rsidRPr="00384CAC">
        <w:rPr>
          <w:rFonts w:ascii="Times New Roman" w:hAnsi="Times New Roman"/>
        </w:rPr>
        <w:t xml:space="preserve"> not</w:t>
      </w:r>
      <w:r w:rsidR="00F00F88" w:rsidRPr="00384CAC">
        <w:rPr>
          <w:rFonts w:ascii="Times New Roman" w:hAnsi="Times New Roman"/>
        </w:rPr>
        <w:t xml:space="preserve"> be </w:t>
      </w:r>
      <w:r w:rsidR="00642D9C" w:rsidRPr="00384CAC">
        <w:rPr>
          <w:rFonts w:ascii="Times New Roman" w:hAnsi="Times New Roman"/>
        </w:rPr>
        <w:t>reported</w:t>
      </w:r>
      <w:r w:rsidR="00F00F88" w:rsidRPr="00384CAC">
        <w:rPr>
          <w:rFonts w:ascii="Times New Roman" w:hAnsi="Times New Roman"/>
        </w:rPr>
        <w:t xml:space="preserve">. </w:t>
      </w:r>
    </w:p>
    <w:p w14:paraId="67821474" w14:textId="6F4CEA8D" w:rsidR="003B531E" w:rsidRPr="00D04BFC" w:rsidRDefault="00BF1239" w:rsidP="00EC7E5C">
      <w:pPr>
        <w:pStyle w:val="CommentText"/>
        <w:numPr>
          <w:ilvl w:val="0"/>
          <w:numId w:val="23"/>
        </w:numPr>
        <w:rPr>
          <w:rFonts w:ascii="Times New Roman" w:hAnsi="Times New Roman"/>
          <w:bCs/>
        </w:rPr>
      </w:pPr>
      <w:r w:rsidRPr="00D04BFC">
        <w:rPr>
          <w:rFonts w:ascii="Times New Roman" w:hAnsi="Times New Roman"/>
        </w:rPr>
        <w:t>Where</w:t>
      </w:r>
      <w:r w:rsidR="00F00F88" w:rsidRPr="00D04BFC">
        <w:rPr>
          <w:rFonts w:ascii="Times New Roman" w:hAnsi="Times New Roman"/>
        </w:rPr>
        <w:t xml:space="preserve"> more than one</w:t>
      </w:r>
      <w:r w:rsidR="00F33276" w:rsidRPr="00D04BFC">
        <w:rPr>
          <w:rFonts w:ascii="Times New Roman" w:hAnsi="Times New Roman"/>
        </w:rPr>
        <w:t>, but less than 5</w:t>
      </w:r>
      <w:r w:rsidR="00F00F88" w:rsidRPr="00D04BFC">
        <w:rPr>
          <w:rFonts w:ascii="Times New Roman" w:hAnsi="Times New Roman"/>
        </w:rPr>
        <w:t xml:space="preserve"> </w:t>
      </w:r>
      <w:r w:rsidR="00101AB6" w:rsidRPr="00D04BFC">
        <w:rPr>
          <w:rFonts w:ascii="Times New Roman" w:hAnsi="Times New Roman"/>
        </w:rPr>
        <w:t xml:space="preserve">economic </w:t>
      </w:r>
      <w:r w:rsidR="00F00F88" w:rsidRPr="00D04BFC">
        <w:rPr>
          <w:rFonts w:ascii="Times New Roman" w:hAnsi="Times New Roman"/>
        </w:rPr>
        <w:t>scenario</w:t>
      </w:r>
      <w:r w:rsidR="00F33276" w:rsidRPr="00D04BFC">
        <w:rPr>
          <w:rFonts w:ascii="Times New Roman" w:hAnsi="Times New Roman"/>
        </w:rPr>
        <w:t>s</w:t>
      </w:r>
      <w:r w:rsidRPr="00D04BFC">
        <w:rPr>
          <w:rFonts w:ascii="Times New Roman" w:hAnsi="Times New Roman"/>
        </w:rPr>
        <w:t xml:space="preserve"> </w:t>
      </w:r>
      <w:r w:rsidR="00F33276" w:rsidRPr="00D04BFC">
        <w:rPr>
          <w:rFonts w:ascii="Times New Roman" w:hAnsi="Times New Roman"/>
        </w:rPr>
        <w:t xml:space="preserve">are </w:t>
      </w:r>
      <w:r w:rsidRPr="00D04BFC">
        <w:rPr>
          <w:rFonts w:ascii="Times New Roman" w:hAnsi="Times New Roman"/>
        </w:rPr>
        <w:t>used</w:t>
      </w:r>
      <w:r w:rsidR="003B531E">
        <w:rPr>
          <w:rFonts w:ascii="Times New Roman" w:hAnsi="Times New Roman"/>
        </w:rPr>
        <w:t>:</w:t>
      </w:r>
    </w:p>
    <w:p w14:paraId="7E552847" w14:textId="0A0230BB" w:rsidR="00F00F88" w:rsidRPr="00D04BFC" w:rsidRDefault="00F00F88" w:rsidP="00EC7E5C">
      <w:pPr>
        <w:pStyle w:val="CommentText"/>
        <w:numPr>
          <w:ilvl w:val="1"/>
          <w:numId w:val="23"/>
        </w:numPr>
        <w:rPr>
          <w:rFonts w:ascii="Times New Roman" w:hAnsi="Times New Roman"/>
          <w:bCs/>
        </w:rPr>
      </w:pPr>
      <w:r w:rsidRPr="00D04BFC">
        <w:rPr>
          <w:rFonts w:ascii="Times New Roman" w:hAnsi="Times New Roman"/>
        </w:rPr>
        <w:t xml:space="preserve">the PD values associated with the economic scenario 0 </w:t>
      </w:r>
      <w:r w:rsidR="0077022E" w:rsidRPr="00D04BFC">
        <w:rPr>
          <w:rFonts w:ascii="Times New Roman" w:hAnsi="Times New Roman"/>
        </w:rPr>
        <w:t>shall</w:t>
      </w:r>
      <w:r w:rsidRPr="00D04BFC">
        <w:rPr>
          <w:rFonts w:ascii="Times New Roman" w:hAnsi="Times New Roman"/>
        </w:rPr>
        <w:t xml:space="preserve"> be the weighted average of the PDs</w:t>
      </w:r>
      <w:r w:rsidR="008C0170" w:rsidRPr="00D04BFC">
        <w:rPr>
          <w:rFonts w:ascii="Times New Roman" w:hAnsi="Times New Roman"/>
        </w:rPr>
        <w:t xml:space="preserve"> </w:t>
      </w:r>
      <w:r w:rsidRPr="00D04BFC">
        <w:rPr>
          <w:rFonts w:ascii="Times New Roman" w:hAnsi="Times New Roman"/>
        </w:rPr>
        <w:t xml:space="preserve">reported for the economic scenario 1 to 5, using the weights reported in </w:t>
      </w:r>
      <w:r w:rsidR="00CD4D79" w:rsidRPr="00A13F37">
        <w:rPr>
          <w:rFonts w:ascii="Times New Roman" w:hAnsi="Times New Roman"/>
        </w:rPr>
        <w:t>Annex</w:t>
      </w:r>
      <w:r w:rsidR="00BA5A16">
        <w:rPr>
          <w:rFonts w:ascii="Times New Roman" w:hAnsi="Times New Roman"/>
        </w:rPr>
        <w:t xml:space="preserve"> VIII</w:t>
      </w:r>
      <w:r w:rsidR="00CD4D79">
        <w:rPr>
          <w:rFonts w:ascii="Times New Roman" w:hAnsi="Times New Roman"/>
        </w:rPr>
        <w:t xml:space="preserve">, </w:t>
      </w:r>
      <w:r w:rsidR="00CD4D79" w:rsidRPr="00D04BFC">
        <w:rPr>
          <w:rFonts w:ascii="Times New Roman" w:hAnsi="Times New Roman"/>
        </w:rPr>
        <w:t>template C11</w:t>
      </w:r>
      <w:r w:rsidR="00CD4D79">
        <w:rPr>
          <w:rFonts w:ascii="Times New Roman" w:hAnsi="Times New Roman"/>
        </w:rPr>
        <w:t>8</w:t>
      </w:r>
      <w:r w:rsidR="00CD4D79" w:rsidRPr="00D04BFC">
        <w:rPr>
          <w:rFonts w:ascii="Times New Roman" w:hAnsi="Times New Roman"/>
        </w:rPr>
        <w:t>.00</w:t>
      </w:r>
      <w:r w:rsidR="00CD4D79">
        <w:rPr>
          <w:rFonts w:ascii="Times New Roman" w:hAnsi="Times New Roman"/>
        </w:rPr>
        <w:t>,</w:t>
      </w:r>
      <w:r w:rsidRPr="00D04BFC">
        <w:rPr>
          <w:rFonts w:ascii="Times New Roman" w:hAnsi="Times New Roman"/>
        </w:rPr>
        <w:t xml:space="preserve"> </w:t>
      </w:r>
      <w:r w:rsidR="00E03B63" w:rsidRPr="00D04BFC">
        <w:rPr>
          <w:rFonts w:ascii="Times New Roman" w:hAnsi="Times New Roman"/>
        </w:rPr>
        <w:t>columns</w:t>
      </w:r>
      <w:r w:rsidRPr="00D04BFC">
        <w:rPr>
          <w:rFonts w:ascii="Times New Roman" w:hAnsi="Times New Roman"/>
        </w:rPr>
        <w:t xml:space="preserve"> </w:t>
      </w:r>
      <w:r w:rsidR="0081786B" w:rsidRPr="00D04BFC">
        <w:rPr>
          <w:rFonts w:ascii="Times New Roman" w:hAnsi="Times New Roman"/>
        </w:rPr>
        <w:t>0199</w:t>
      </w:r>
      <w:r w:rsidR="00086C09" w:rsidRPr="00D04BFC">
        <w:rPr>
          <w:rFonts w:ascii="Times New Roman" w:hAnsi="Times New Roman"/>
        </w:rPr>
        <w:t xml:space="preserve"> </w:t>
      </w:r>
      <w:r w:rsidR="00E03B63" w:rsidRPr="00D04BFC">
        <w:rPr>
          <w:rFonts w:ascii="Times New Roman" w:hAnsi="Times New Roman"/>
        </w:rPr>
        <w:t xml:space="preserve">to </w:t>
      </w:r>
      <w:proofErr w:type="gramStart"/>
      <w:r w:rsidR="00E03B63" w:rsidRPr="00D04BFC">
        <w:rPr>
          <w:rFonts w:ascii="Times New Roman" w:hAnsi="Times New Roman"/>
        </w:rPr>
        <w:t>0209</w:t>
      </w:r>
      <w:r w:rsidRPr="00D04BFC">
        <w:rPr>
          <w:rFonts w:ascii="Times New Roman" w:hAnsi="Times New Roman"/>
        </w:rPr>
        <w:t xml:space="preserve"> </w:t>
      </w:r>
      <w:r w:rsidR="00B72C64" w:rsidRPr="00D04BFC">
        <w:rPr>
          <w:rFonts w:ascii="Times New Roman" w:hAnsi="Times New Roman"/>
        </w:rPr>
        <w:t xml:space="preserve"> and</w:t>
      </w:r>
      <w:proofErr w:type="gramEnd"/>
      <w:r w:rsidR="00B72C64" w:rsidRPr="00D04BFC">
        <w:rPr>
          <w:rFonts w:ascii="Times New Roman" w:hAnsi="Times New Roman"/>
        </w:rPr>
        <w:t xml:space="preserve"> 0 for the unused scenario</w:t>
      </w:r>
      <w:r w:rsidR="006C1B64" w:rsidRPr="00D04BFC">
        <w:rPr>
          <w:rFonts w:ascii="Times New Roman" w:hAnsi="Times New Roman"/>
        </w:rPr>
        <w:t>s</w:t>
      </w:r>
      <w:r w:rsidR="00B72C64" w:rsidRPr="00D04BFC">
        <w:rPr>
          <w:rFonts w:ascii="Times New Roman" w:hAnsi="Times New Roman"/>
        </w:rPr>
        <w:t>.</w:t>
      </w:r>
    </w:p>
    <w:p w14:paraId="2DC6DB7C" w14:textId="2C8046B8" w:rsidR="003B531E" w:rsidRPr="00D04BFC" w:rsidRDefault="002D23E9" w:rsidP="00EC7E5C">
      <w:pPr>
        <w:pStyle w:val="CommentText"/>
        <w:numPr>
          <w:ilvl w:val="1"/>
          <w:numId w:val="23"/>
        </w:numPr>
        <w:rPr>
          <w:rFonts w:ascii="Times New Roman" w:hAnsi="Times New Roman"/>
          <w:bCs/>
        </w:rPr>
      </w:pPr>
      <w:r w:rsidRPr="00A13F37">
        <w:rPr>
          <w:rFonts w:ascii="Times New Roman" w:hAnsi="Times New Roman"/>
        </w:rPr>
        <w:t xml:space="preserve">the </w:t>
      </w:r>
      <w:r>
        <w:rPr>
          <w:rFonts w:ascii="Times New Roman" w:hAnsi="Times New Roman"/>
        </w:rPr>
        <w:t>ECL amount</w:t>
      </w:r>
      <w:r w:rsidRPr="00A13F37">
        <w:rPr>
          <w:rFonts w:ascii="Times New Roman" w:hAnsi="Times New Roman"/>
        </w:rPr>
        <w:t xml:space="preserve"> associated with the economic scenario 0 shall be the weighted average of the </w:t>
      </w:r>
      <w:r w:rsidR="00D43722">
        <w:rPr>
          <w:rFonts w:ascii="Times New Roman" w:hAnsi="Times New Roman"/>
        </w:rPr>
        <w:t>ECL amounts</w:t>
      </w:r>
      <w:r w:rsidR="00D43722" w:rsidRPr="00A13F37">
        <w:rPr>
          <w:rFonts w:ascii="Times New Roman" w:hAnsi="Times New Roman"/>
        </w:rPr>
        <w:t xml:space="preserve"> </w:t>
      </w:r>
      <w:r w:rsidRPr="00A13F37">
        <w:rPr>
          <w:rFonts w:ascii="Times New Roman" w:hAnsi="Times New Roman"/>
        </w:rPr>
        <w:t>reported for the economic scenario 1 to 5, using the weights reported in</w:t>
      </w:r>
      <w:r w:rsidR="00CD4D79" w:rsidRPr="00CD4D79">
        <w:rPr>
          <w:rFonts w:ascii="Times New Roman" w:hAnsi="Times New Roman"/>
        </w:rPr>
        <w:t xml:space="preserve"> </w:t>
      </w:r>
      <w:r w:rsidR="00CD4D79" w:rsidRPr="00A13F37">
        <w:rPr>
          <w:rFonts w:ascii="Times New Roman" w:hAnsi="Times New Roman"/>
        </w:rPr>
        <w:t>Annex</w:t>
      </w:r>
      <w:r w:rsidR="00BA5A16">
        <w:rPr>
          <w:rFonts w:ascii="Times New Roman" w:hAnsi="Times New Roman"/>
        </w:rPr>
        <w:t xml:space="preserve"> VIII</w:t>
      </w:r>
      <w:r w:rsidR="00CD4D79">
        <w:rPr>
          <w:rFonts w:ascii="Times New Roman" w:hAnsi="Times New Roman"/>
        </w:rPr>
        <w:t xml:space="preserve">, </w:t>
      </w:r>
      <w:r w:rsidR="00CD4D79" w:rsidRPr="00A13F37">
        <w:rPr>
          <w:rFonts w:ascii="Times New Roman" w:hAnsi="Times New Roman"/>
        </w:rPr>
        <w:t>template C11</w:t>
      </w:r>
      <w:r w:rsidR="00CD4D79">
        <w:rPr>
          <w:rFonts w:ascii="Times New Roman" w:hAnsi="Times New Roman"/>
        </w:rPr>
        <w:t>8</w:t>
      </w:r>
      <w:r w:rsidR="00CD4D79" w:rsidRPr="00A13F37">
        <w:rPr>
          <w:rFonts w:ascii="Times New Roman" w:hAnsi="Times New Roman"/>
        </w:rPr>
        <w:t>.00</w:t>
      </w:r>
      <w:r w:rsidR="00CD4D79">
        <w:rPr>
          <w:rFonts w:ascii="Times New Roman" w:hAnsi="Times New Roman"/>
        </w:rPr>
        <w:t>,</w:t>
      </w:r>
      <w:r w:rsidRPr="00A13F37">
        <w:rPr>
          <w:rFonts w:ascii="Times New Roman" w:hAnsi="Times New Roman"/>
        </w:rPr>
        <w:t xml:space="preserve"> columns 0199 to 0209 and 0 for the unused scenarios.</w:t>
      </w:r>
    </w:p>
    <w:p w14:paraId="2BC181D9" w14:textId="4B2F64A3" w:rsidR="00405985" w:rsidRPr="00384CAC" w:rsidRDefault="00405985" w:rsidP="00EC7E5C">
      <w:pPr>
        <w:pStyle w:val="CommentText"/>
        <w:numPr>
          <w:ilvl w:val="0"/>
          <w:numId w:val="23"/>
        </w:numPr>
        <w:rPr>
          <w:rFonts w:ascii="Times New Roman" w:hAnsi="Times New Roman"/>
        </w:rPr>
      </w:pPr>
      <w:r w:rsidRPr="00384CAC">
        <w:rPr>
          <w:rFonts w:ascii="Times New Roman" w:hAnsi="Times New Roman"/>
        </w:rPr>
        <w:t xml:space="preserve">Where </w:t>
      </w:r>
      <w:r w:rsidRPr="00384CAC">
        <w:rPr>
          <w:rFonts w:ascii="Times New Roman" w:hAnsi="Times New Roman"/>
          <w:bCs/>
        </w:rPr>
        <w:t xml:space="preserve">the </w:t>
      </w:r>
      <w:r w:rsidRPr="00384CAC">
        <w:rPr>
          <w:rFonts w:ascii="Times New Roman" w:hAnsi="Times New Roman"/>
        </w:rPr>
        <w:t xml:space="preserve">IFRS 9 model </w:t>
      </w:r>
      <w:r w:rsidR="00086C09">
        <w:rPr>
          <w:rFonts w:ascii="Times New Roman" w:hAnsi="Times New Roman"/>
        </w:rPr>
        <w:t>used by the reporting institution</w:t>
      </w:r>
      <w:r w:rsidRPr="00384CAC">
        <w:rPr>
          <w:rFonts w:ascii="Times New Roman" w:hAnsi="Times New Roman"/>
        </w:rPr>
        <w:t xml:space="preserve"> </w:t>
      </w:r>
      <w:r w:rsidR="00086C09">
        <w:rPr>
          <w:rFonts w:ascii="Times New Roman" w:hAnsi="Times New Roman"/>
        </w:rPr>
        <w:t>is based on</w:t>
      </w:r>
      <w:r w:rsidR="00086C09" w:rsidRPr="00384CAC">
        <w:rPr>
          <w:rFonts w:ascii="Times New Roman" w:hAnsi="Times New Roman"/>
        </w:rPr>
        <w:t xml:space="preserve"> </w:t>
      </w:r>
      <w:r w:rsidRPr="00384CAC">
        <w:rPr>
          <w:rFonts w:ascii="Times New Roman" w:hAnsi="Times New Roman"/>
        </w:rPr>
        <w:t>a higher number of economic scenarios than five</w:t>
      </w:r>
      <w:r w:rsidR="00D039F0" w:rsidRPr="00384CAC">
        <w:rPr>
          <w:rFonts w:ascii="Times New Roman" w:hAnsi="Times New Roman"/>
        </w:rPr>
        <w:t>, including</w:t>
      </w:r>
      <w:r w:rsidRPr="00384CAC">
        <w:rPr>
          <w:rFonts w:ascii="Times New Roman" w:hAnsi="Times New Roman"/>
        </w:rPr>
        <w:t xml:space="preserve"> when performing Monte Carlo simulation, institutions shall report the economic scenario 0 and they shall also map the economic scenarios into the 5 predefined buckets. Where </w:t>
      </w:r>
      <w:r w:rsidR="006C1B64" w:rsidRPr="00384CAC">
        <w:rPr>
          <w:rFonts w:ascii="Times New Roman" w:hAnsi="Times New Roman"/>
        </w:rPr>
        <w:t xml:space="preserve">there is </w:t>
      </w:r>
      <w:r w:rsidRPr="00384CAC">
        <w:rPr>
          <w:rFonts w:ascii="Times New Roman" w:hAnsi="Times New Roman"/>
        </w:rPr>
        <w:t>no mapping of an institution’s internal scenarios and the five prescribed scenarios, only scenario 0 shall be reported.</w:t>
      </w:r>
    </w:p>
    <w:p w14:paraId="02A4840A" w14:textId="14BE447A" w:rsidR="00405985" w:rsidRPr="00384CAC" w:rsidRDefault="00405985" w:rsidP="00181B30">
      <w:pPr>
        <w:pStyle w:val="CommentText"/>
        <w:rPr>
          <w:rFonts w:ascii="Times New Roman" w:hAnsi="Times New Roman"/>
          <w:bCs/>
        </w:rPr>
      </w:pPr>
      <w:r w:rsidRPr="00384CAC">
        <w:rPr>
          <w:rFonts w:ascii="Times New Roman" w:hAnsi="Times New Roman"/>
        </w:rPr>
        <w:t>Where only a single scenario is used, without any adjustment</w:t>
      </w:r>
      <w:r w:rsidR="00101AB6" w:rsidRPr="00384CAC">
        <w:rPr>
          <w:rFonts w:ascii="Times New Roman" w:hAnsi="Times New Roman"/>
        </w:rPr>
        <w:t>,</w:t>
      </w:r>
      <w:r w:rsidRPr="00384CAC">
        <w:rPr>
          <w:rFonts w:ascii="Times New Roman" w:hAnsi="Times New Roman"/>
        </w:rPr>
        <w:t xml:space="preserve"> neither at the PD level nor at the ECL level </w:t>
      </w:r>
      <w:r w:rsidR="006C1B64" w:rsidRPr="00384CAC">
        <w:rPr>
          <w:rFonts w:ascii="Times New Roman" w:hAnsi="Times New Roman"/>
        </w:rPr>
        <w:t>that</w:t>
      </w:r>
      <w:r w:rsidRPr="00384CAC">
        <w:rPr>
          <w:rFonts w:ascii="Times New Roman" w:hAnsi="Times New Roman"/>
        </w:rPr>
        <w:t xml:space="preserve"> </w:t>
      </w:r>
      <w:proofErr w:type="gramStart"/>
      <w:r w:rsidRPr="00384CAC">
        <w:rPr>
          <w:rFonts w:ascii="Times New Roman" w:hAnsi="Times New Roman"/>
        </w:rPr>
        <w:t>take</w:t>
      </w:r>
      <w:r w:rsidR="006C1B64" w:rsidRPr="00384CAC">
        <w:rPr>
          <w:rFonts w:ascii="Times New Roman" w:hAnsi="Times New Roman"/>
        </w:rPr>
        <w:t>s</w:t>
      </w:r>
      <w:r w:rsidRPr="00384CAC">
        <w:rPr>
          <w:rFonts w:ascii="Times New Roman" w:hAnsi="Times New Roman"/>
        </w:rPr>
        <w:t xml:space="preserve"> into account</w:t>
      </w:r>
      <w:proofErr w:type="gramEnd"/>
      <w:r w:rsidRPr="00384CAC">
        <w:rPr>
          <w:rFonts w:ascii="Times New Roman" w:hAnsi="Times New Roman"/>
        </w:rPr>
        <w:t xml:space="preserve"> the non-linearity effects</w:t>
      </w:r>
      <w:r w:rsidR="00181B30" w:rsidRPr="00384CAC">
        <w:rPr>
          <w:rStyle w:val="InstructionsTabelleText"/>
          <w:rFonts w:ascii="Times New Roman" w:hAnsi="Times New Roman"/>
        </w:rPr>
        <w:t xml:space="preserve">, the </w:t>
      </w:r>
      <w:r w:rsidRPr="00384CAC">
        <w:rPr>
          <w:rFonts w:ascii="Times New Roman" w:hAnsi="Times New Roman"/>
        </w:rPr>
        <w:t>PD values</w:t>
      </w:r>
      <w:r w:rsidR="0020546B">
        <w:rPr>
          <w:rFonts w:ascii="Times New Roman" w:hAnsi="Times New Roman"/>
        </w:rPr>
        <w:t xml:space="preserve"> and the ECL amount</w:t>
      </w:r>
      <w:r w:rsidRPr="00384CAC">
        <w:rPr>
          <w:rFonts w:ascii="Times New Roman" w:hAnsi="Times New Roman"/>
        </w:rPr>
        <w:t xml:space="preserve"> for this economic scenario shall be reported under both economic scenarios 0 and 1. </w:t>
      </w:r>
    </w:p>
    <w:p w14:paraId="45CA1C73" w14:textId="77777777" w:rsidR="00820805" w:rsidRDefault="00BF1239" w:rsidP="00181B30">
      <w:pPr>
        <w:pStyle w:val="CommentText"/>
        <w:rPr>
          <w:rFonts w:ascii="Times New Roman" w:hAnsi="Times New Roman"/>
        </w:rPr>
      </w:pPr>
      <w:r w:rsidRPr="00384CAC">
        <w:rPr>
          <w:rFonts w:ascii="Times New Roman" w:hAnsi="Times New Roman"/>
        </w:rPr>
        <w:t>Where</w:t>
      </w:r>
      <w:r w:rsidR="00F00F88" w:rsidRPr="00384CAC">
        <w:rPr>
          <w:rFonts w:ascii="Times New Roman" w:hAnsi="Times New Roman"/>
        </w:rPr>
        <w:t xml:space="preserve"> </w:t>
      </w:r>
      <w:r w:rsidR="00C37982" w:rsidRPr="00384CAC">
        <w:rPr>
          <w:rFonts w:ascii="Times New Roman" w:hAnsi="Times New Roman"/>
        </w:rPr>
        <w:t xml:space="preserve">the estimation is based on a </w:t>
      </w:r>
      <w:r w:rsidR="00D039F0" w:rsidRPr="00384CAC">
        <w:rPr>
          <w:rFonts w:ascii="Times New Roman" w:hAnsi="Times New Roman"/>
        </w:rPr>
        <w:t xml:space="preserve">baseline scenario that is </w:t>
      </w:r>
      <w:r w:rsidR="0051535E" w:rsidRPr="00384CAC">
        <w:rPr>
          <w:rFonts w:ascii="Times New Roman" w:hAnsi="Times New Roman"/>
        </w:rPr>
        <w:t>forward-looking</w:t>
      </w:r>
      <w:r w:rsidR="00F00F88" w:rsidRPr="00384CAC">
        <w:rPr>
          <w:rFonts w:ascii="Times New Roman" w:hAnsi="Times New Roman"/>
        </w:rPr>
        <w:t xml:space="preserve"> </w:t>
      </w:r>
      <w:r w:rsidR="00C37982" w:rsidRPr="00384CAC">
        <w:rPr>
          <w:rFonts w:ascii="Times New Roman" w:hAnsi="Times New Roman"/>
        </w:rPr>
        <w:t xml:space="preserve">and </w:t>
      </w:r>
      <w:r w:rsidR="00FE7CC3" w:rsidRPr="00384CAC">
        <w:rPr>
          <w:rFonts w:ascii="Times New Roman" w:hAnsi="Times New Roman"/>
        </w:rPr>
        <w:t xml:space="preserve">an adjustment is </w:t>
      </w:r>
      <w:r w:rsidR="00C37982" w:rsidRPr="00384CAC">
        <w:rPr>
          <w:rFonts w:ascii="Times New Roman" w:hAnsi="Times New Roman"/>
        </w:rPr>
        <w:t xml:space="preserve">applied </w:t>
      </w:r>
      <w:r w:rsidR="00F00F88" w:rsidRPr="00384CAC">
        <w:rPr>
          <w:rFonts w:ascii="Times New Roman" w:hAnsi="Times New Roman"/>
        </w:rPr>
        <w:t>to consider the non-linearity effect</w:t>
      </w:r>
      <w:r w:rsidR="00B72C64" w:rsidRPr="00384CAC">
        <w:rPr>
          <w:rFonts w:ascii="Times New Roman" w:hAnsi="Times New Roman"/>
        </w:rPr>
        <w:t>,</w:t>
      </w:r>
      <w:r w:rsidR="00181B30" w:rsidRPr="00384CAC">
        <w:rPr>
          <w:rFonts w:ascii="Times New Roman" w:hAnsi="Times New Roman"/>
        </w:rPr>
        <w:t xml:space="preserve"> t</w:t>
      </w:r>
      <w:r w:rsidR="00FE7CC3" w:rsidRPr="00384CAC">
        <w:rPr>
          <w:rFonts w:ascii="Times New Roman" w:hAnsi="Times New Roman"/>
        </w:rPr>
        <w:t xml:space="preserve">he institution shall </w:t>
      </w:r>
      <w:r w:rsidR="005F3AB8" w:rsidRPr="00384CAC">
        <w:rPr>
          <w:rFonts w:ascii="Times New Roman" w:hAnsi="Times New Roman"/>
        </w:rPr>
        <w:t>report in</w:t>
      </w:r>
      <w:r w:rsidR="00FE7CC3" w:rsidRPr="00384CAC">
        <w:rPr>
          <w:rFonts w:ascii="Times New Roman" w:hAnsi="Times New Roman"/>
        </w:rPr>
        <w:t xml:space="preserve"> the template</w:t>
      </w:r>
      <w:r w:rsidR="00820805">
        <w:rPr>
          <w:rFonts w:ascii="Times New Roman" w:hAnsi="Times New Roman"/>
        </w:rPr>
        <w:t>:</w:t>
      </w:r>
      <w:r w:rsidR="00FE7CC3" w:rsidRPr="00384CAC">
        <w:rPr>
          <w:rFonts w:ascii="Times New Roman" w:hAnsi="Times New Roman"/>
        </w:rPr>
        <w:t xml:space="preserve"> </w:t>
      </w:r>
    </w:p>
    <w:p w14:paraId="042AABED" w14:textId="23CDDB7F" w:rsidR="00F00F88" w:rsidRDefault="00FE7CC3" w:rsidP="00EC7E5C">
      <w:pPr>
        <w:pStyle w:val="CommentText"/>
        <w:numPr>
          <w:ilvl w:val="0"/>
          <w:numId w:val="25"/>
        </w:numPr>
        <w:rPr>
          <w:rFonts w:ascii="Times New Roman" w:hAnsi="Times New Roman"/>
        </w:rPr>
      </w:pPr>
      <w:r w:rsidRPr="00384CAC">
        <w:rPr>
          <w:rFonts w:ascii="Times New Roman" w:hAnsi="Times New Roman"/>
        </w:rPr>
        <w:t xml:space="preserve">the </w:t>
      </w:r>
      <w:r w:rsidR="00873489" w:rsidRPr="00384CAC">
        <w:rPr>
          <w:rFonts w:ascii="Times New Roman" w:hAnsi="Times New Roman"/>
        </w:rPr>
        <w:t xml:space="preserve">cumulative </w:t>
      </w:r>
      <w:r w:rsidRPr="00384CAC">
        <w:rPr>
          <w:rFonts w:ascii="Times New Roman" w:hAnsi="Times New Roman"/>
        </w:rPr>
        <w:t>PD value</w:t>
      </w:r>
      <w:r w:rsidR="00873489" w:rsidRPr="00384CAC">
        <w:rPr>
          <w:rFonts w:ascii="Times New Roman" w:hAnsi="Times New Roman"/>
        </w:rPr>
        <w:t xml:space="preserve"> of the </w:t>
      </w:r>
      <w:r w:rsidR="00C37982" w:rsidRPr="00384CAC">
        <w:rPr>
          <w:rFonts w:ascii="Times New Roman" w:hAnsi="Times New Roman"/>
        </w:rPr>
        <w:t xml:space="preserve">baseline </w:t>
      </w:r>
      <w:r w:rsidR="00873489" w:rsidRPr="00384CAC">
        <w:rPr>
          <w:rFonts w:ascii="Times New Roman" w:hAnsi="Times New Roman"/>
        </w:rPr>
        <w:t xml:space="preserve">scenario in scenario 1, </w:t>
      </w:r>
      <w:r w:rsidR="006C1B64" w:rsidRPr="00384CAC">
        <w:rPr>
          <w:rFonts w:ascii="Times New Roman" w:hAnsi="Times New Roman"/>
        </w:rPr>
        <w:t xml:space="preserve">and </w:t>
      </w:r>
      <w:r w:rsidR="00873489" w:rsidRPr="00384CAC">
        <w:rPr>
          <w:rFonts w:ascii="Times New Roman" w:hAnsi="Times New Roman"/>
        </w:rPr>
        <w:t>the PD</w:t>
      </w:r>
      <w:r w:rsidRPr="00384CAC">
        <w:rPr>
          <w:rFonts w:ascii="Times New Roman" w:hAnsi="Times New Roman"/>
        </w:rPr>
        <w:t xml:space="preserve"> used for the purpose of the Significant Increase in Credit Risk (SICR) assessment in scenario 0</w:t>
      </w:r>
      <w:r w:rsidR="001D6EBC">
        <w:rPr>
          <w:rFonts w:ascii="Times New Roman" w:hAnsi="Times New Roman"/>
        </w:rPr>
        <w:t>.</w:t>
      </w:r>
    </w:p>
    <w:p w14:paraId="703E7F9E" w14:textId="7C50188F" w:rsidR="00D52F14" w:rsidRDefault="001D6EBC" w:rsidP="00EA2902">
      <w:pPr>
        <w:pStyle w:val="CommentText"/>
        <w:numPr>
          <w:ilvl w:val="0"/>
          <w:numId w:val="25"/>
        </w:numPr>
        <w:rPr>
          <w:rFonts w:ascii="Times New Roman" w:hAnsi="Times New Roman"/>
        </w:rPr>
      </w:pPr>
      <w:r>
        <w:rPr>
          <w:rFonts w:ascii="Times New Roman" w:hAnsi="Times New Roman"/>
        </w:rPr>
        <w:t xml:space="preserve">the ECL amount of the </w:t>
      </w:r>
      <w:r w:rsidRPr="00384CAC">
        <w:rPr>
          <w:rFonts w:ascii="Times New Roman" w:hAnsi="Times New Roman"/>
        </w:rPr>
        <w:t>baseline scenario in scenario 1</w:t>
      </w:r>
      <w:r>
        <w:rPr>
          <w:rFonts w:ascii="Times New Roman" w:hAnsi="Times New Roman"/>
        </w:rPr>
        <w:t xml:space="preserve"> and the </w:t>
      </w:r>
      <w:r w:rsidR="00B171A7">
        <w:rPr>
          <w:rFonts w:ascii="Times New Roman" w:hAnsi="Times New Roman"/>
        </w:rPr>
        <w:t>ECL amount</w:t>
      </w:r>
      <w:r w:rsidR="003937A3">
        <w:rPr>
          <w:rFonts w:ascii="Times New Roman" w:hAnsi="Times New Roman"/>
        </w:rPr>
        <w:t xml:space="preserve"> including the </w:t>
      </w:r>
      <w:r w:rsidR="00D45945">
        <w:rPr>
          <w:rFonts w:ascii="Times New Roman" w:hAnsi="Times New Roman"/>
        </w:rPr>
        <w:t xml:space="preserve">effects of the adjustments applied </w:t>
      </w:r>
      <w:proofErr w:type="gramStart"/>
      <w:r w:rsidR="00D45945">
        <w:rPr>
          <w:rFonts w:ascii="Times New Roman" w:hAnsi="Times New Roman"/>
        </w:rPr>
        <w:t>in ord</w:t>
      </w:r>
      <w:r w:rsidR="00D16519">
        <w:rPr>
          <w:rFonts w:ascii="Times New Roman" w:hAnsi="Times New Roman"/>
        </w:rPr>
        <w:t>er</w:t>
      </w:r>
      <w:r w:rsidR="00D45945">
        <w:rPr>
          <w:rFonts w:ascii="Times New Roman" w:hAnsi="Times New Roman"/>
        </w:rPr>
        <w:t xml:space="preserve"> </w:t>
      </w:r>
      <w:r w:rsidR="00D45945" w:rsidRPr="00384CAC">
        <w:rPr>
          <w:rFonts w:ascii="Times New Roman" w:hAnsi="Times New Roman"/>
        </w:rPr>
        <w:t>to</w:t>
      </w:r>
      <w:proofErr w:type="gramEnd"/>
      <w:r w:rsidR="00D45945" w:rsidRPr="00384CAC">
        <w:rPr>
          <w:rFonts w:ascii="Times New Roman" w:hAnsi="Times New Roman"/>
        </w:rPr>
        <w:t xml:space="preserve"> consider the non-linearity effect</w:t>
      </w:r>
      <w:r w:rsidR="00D16519">
        <w:rPr>
          <w:rFonts w:ascii="Times New Roman" w:hAnsi="Times New Roman"/>
        </w:rPr>
        <w:t>s in scenario 0.</w:t>
      </w:r>
    </w:p>
    <w:p w14:paraId="53181DA0" w14:textId="3D9D4161" w:rsidR="00A12FC1" w:rsidRPr="00256C82" w:rsidRDefault="00000067" w:rsidP="00256C82">
      <w:pPr>
        <w:pStyle w:val="CommentText"/>
        <w:rPr>
          <w:rFonts w:ascii="Times New Roman" w:hAnsi="Times New Roman"/>
        </w:rPr>
      </w:pPr>
      <w:r w:rsidRPr="00256C82">
        <w:rPr>
          <w:rFonts w:ascii="Times New Roman" w:hAnsi="Times New Roman"/>
        </w:rPr>
        <w:t xml:space="preserve">When different ECL approaches envisaging different number of scenarios and weights are used, institutions shall report the information using the number of economic scenarios and weights that accounts for the largest share of exposures </w:t>
      </w:r>
      <w:r w:rsidR="00AC7BD1" w:rsidRPr="00256C82">
        <w:rPr>
          <w:rFonts w:ascii="Times New Roman" w:hAnsi="Times New Roman"/>
        </w:rPr>
        <w:t>of the most relevant ECL approach used</w:t>
      </w:r>
      <w:r w:rsidR="003000DD" w:rsidRPr="00256C82">
        <w:rPr>
          <w:rFonts w:ascii="Times New Roman" w:hAnsi="Times New Roman"/>
        </w:rPr>
        <w:t>.</w:t>
      </w:r>
      <w:r w:rsidR="00AC7BD1" w:rsidRPr="00256C82" w:rsidDel="00000067">
        <w:rPr>
          <w:rFonts w:ascii="Times New Roman" w:hAnsi="Times New Roman"/>
        </w:rPr>
        <w:t xml:space="preserve"> </w:t>
      </w:r>
      <w:r w:rsidR="0039740A" w:rsidRPr="00256C82">
        <w:rPr>
          <w:rFonts w:ascii="Times New Roman" w:hAnsi="Times New Roman"/>
        </w:rPr>
        <w:t xml:space="preserve"> Institutions shall map the economic scenarios of the </w:t>
      </w:r>
      <w:r w:rsidR="00BB0B7D" w:rsidRPr="00256C82">
        <w:rPr>
          <w:rFonts w:ascii="Times New Roman" w:hAnsi="Times New Roman"/>
        </w:rPr>
        <w:t>different</w:t>
      </w:r>
      <w:r w:rsidR="0039740A" w:rsidRPr="00256C82">
        <w:rPr>
          <w:rFonts w:ascii="Times New Roman" w:hAnsi="Times New Roman"/>
        </w:rPr>
        <w:t xml:space="preserve"> exposures on a best effort basis based on their ranking of severity.</w:t>
      </w:r>
      <w:r w:rsidR="00A12FC1" w:rsidRPr="00256C82">
        <w:rPr>
          <w:rFonts w:ascii="Times New Roman" w:hAnsi="Times New Roman"/>
        </w:rPr>
        <w:t xml:space="preserve"> The total exposure to be considered shall correspond to the sum of the amounts reported respectively in </w:t>
      </w:r>
      <w:r w:rsidR="00237F07" w:rsidRPr="00256C82">
        <w:rPr>
          <w:rFonts w:ascii="Times New Roman" w:hAnsi="Times New Roman"/>
        </w:rPr>
        <w:t xml:space="preserve">Annex </w:t>
      </w:r>
      <w:r w:rsidR="00BA5A16" w:rsidRPr="00256C82">
        <w:rPr>
          <w:rFonts w:ascii="Times New Roman" w:hAnsi="Times New Roman"/>
        </w:rPr>
        <w:t>VIII</w:t>
      </w:r>
      <w:r w:rsidR="00237F07" w:rsidRPr="00256C82">
        <w:rPr>
          <w:rFonts w:ascii="Times New Roman" w:hAnsi="Times New Roman"/>
        </w:rPr>
        <w:t xml:space="preserve">, template C.115.00, </w:t>
      </w:r>
      <w:r w:rsidR="00A12FC1" w:rsidRPr="00256C82">
        <w:rPr>
          <w:rFonts w:ascii="Times New Roman" w:hAnsi="Times New Roman"/>
        </w:rPr>
        <w:t xml:space="preserve">column 0050 (stage 1 facilities), column 0051 (stage 2 facilities) and column 0052 (stage 3 facilities).  </w:t>
      </w:r>
      <w:r w:rsidR="00237F07" w:rsidRPr="00256C82">
        <w:rPr>
          <w:rFonts w:ascii="Times New Roman" w:hAnsi="Times New Roman"/>
        </w:rPr>
        <w:t xml:space="preserve">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268"/>
        <w:gridCol w:w="1417"/>
        <w:gridCol w:w="9752"/>
      </w:tblGrid>
      <w:tr w:rsidR="00384CAC" w:rsidRPr="00384CAC" w14:paraId="404DA243" w14:textId="77777777" w:rsidTr="008E6DB3">
        <w:trPr>
          <w:tblHeader/>
        </w:trPr>
        <w:tc>
          <w:tcPr>
            <w:tcW w:w="880" w:type="dxa"/>
            <w:shd w:val="clear" w:color="auto" w:fill="D9D9D9" w:themeFill="background1" w:themeFillShade="D9"/>
          </w:tcPr>
          <w:p w14:paraId="60F682C2" w14:textId="77777777" w:rsidR="00744552" w:rsidRPr="00384C07" w:rsidRDefault="00744552" w:rsidP="007C72BB">
            <w:pPr>
              <w:rPr>
                <w:rStyle w:val="InstructionsTabelleText"/>
                <w:rFonts w:ascii="Times New Roman" w:hAnsi="Times New Roman"/>
                <w:bCs/>
                <w:szCs w:val="20"/>
              </w:rPr>
            </w:pPr>
            <w:r w:rsidRPr="00384CAC">
              <w:rPr>
                <w:rStyle w:val="InstructionsTabelleText"/>
                <w:rFonts w:ascii="Times New Roman" w:hAnsi="Times New Roman"/>
                <w:szCs w:val="20"/>
              </w:rPr>
              <w:t>Column</w:t>
            </w:r>
          </w:p>
        </w:tc>
        <w:tc>
          <w:tcPr>
            <w:tcW w:w="2268" w:type="dxa"/>
            <w:shd w:val="clear" w:color="auto" w:fill="D9D9D9" w:themeFill="background1" w:themeFillShade="D9"/>
          </w:tcPr>
          <w:p w14:paraId="6C032BEF" w14:textId="77777777" w:rsidR="00744552" w:rsidRPr="00384CAC" w:rsidRDefault="00744552" w:rsidP="007C72BB">
            <w:pPr>
              <w:rPr>
                <w:rStyle w:val="InstructionsTabelleText"/>
                <w:rFonts w:ascii="Times New Roman" w:hAnsi="Times New Roman"/>
                <w:bCs/>
                <w:szCs w:val="20"/>
              </w:rPr>
            </w:pPr>
            <w:r w:rsidRPr="00384CAC">
              <w:rPr>
                <w:rStyle w:val="InstructionsTabelleText"/>
                <w:rFonts w:ascii="Times New Roman" w:hAnsi="Times New Roman"/>
                <w:szCs w:val="20"/>
              </w:rPr>
              <w:t>Label</w:t>
            </w:r>
          </w:p>
        </w:tc>
        <w:tc>
          <w:tcPr>
            <w:tcW w:w="1417" w:type="dxa"/>
            <w:shd w:val="clear" w:color="auto" w:fill="D9D9D9" w:themeFill="background1" w:themeFillShade="D9"/>
          </w:tcPr>
          <w:p w14:paraId="50B95966" w14:textId="77777777" w:rsidR="00744552" w:rsidRPr="00384CAC" w:rsidRDefault="00744552" w:rsidP="007C72BB">
            <w:pPr>
              <w:rPr>
                <w:rStyle w:val="InstructionsTabelleText"/>
                <w:rFonts w:ascii="Times New Roman" w:hAnsi="Times New Roman"/>
                <w:szCs w:val="20"/>
              </w:rPr>
            </w:pPr>
            <w:r w:rsidRPr="00384CAC">
              <w:rPr>
                <w:rStyle w:val="InstructionsTabelleText"/>
                <w:rFonts w:ascii="Times New Roman" w:hAnsi="Times New Roman"/>
                <w:szCs w:val="20"/>
              </w:rPr>
              <w:t>Legal reference</w:t>
            </w:r>
          </w:p>
        </w:tc>
        <w:tc>
          <w:tcPr>
            <w:tcW w:w="9752" w:type="dxa"/>
            <w:shd w:val="clear" w:color="auto" w:fill="D9D9D9" w:themeFill="background1" w:themeFillShade="D9"/>
          </w:tcPr>
          <w:p w14:paraId="71A77558" w14:textId="77777777" w:rsidR="00744552" w:rsidRPr="00384CAC" w:rsidRDefault="00744552" w:rsidP="007C72BB">
            <w:pPr>
              <w:rPr>
                <w:rStyle w:val="InstructionsTabelleText"/>
                <w:rFonts w:ascii="Times New Roman" w:hAnsi="Times New Roman"/>
                <w:szCs w:val="20"/>
              </w:rPr>
            </w:pPr>
            <w:r w:rsidRPr="00384CAC">
              <w:rPr>
                <w:rStyle w:val="InstructionsTabelleText"/>
                <w:rFonts w:ascii="Times New Roman" w:hAnsi="Times New Roman"/>
                <w:szCs w:val="20"/>
              </w:rPr>
              <w:t>Instructions</w:t>
            </w:r>
          </w:p>
        </w:tc>
      </w:tr>
      <w:tr w:rsidR="00FC486D" w:rsidRPr="00384CAC" w14:paraId="0C22CF83" w14:textId="77777777" w:rsidTr="00511C07">
        <w:trPr>
          <w:trHeight w:val="339"/>
        </w:trPr>
        <w:tc>
          <w:tcPr>
            <w:tcW w:w="880" w:type="dxa"/>
            <w:shd w:val="clear" w:color="auto" w:fill="auto"/>
          </w:tcPr>
          <w:p w14:paraId="7D56B063" w14:textId="362E1C94" w:rsidR="00FC486D" w:rsidRPr="00384CAC" w:rsidRDefault="00FC486D" w:rsidP="00FC486D">
            <w:pPr>
              <w:rPr>
                <w:rStyle w:val="InstructionsTabelleText"/>
                <w:rFonts w:ascii="Times New Roman" w:hAnsi="Times New Roman"/>
                <w:bCs/>
                <w:szCs w:val="20"/>
              </w:rPr>
            </w:pPr>
            <w:r w:rsidRPr="00384CAC">
              <w:rPr>
                <w:rStyle w:val="InstructionsTabelleText"/>
                <w:rFonts w:ascii="Times New Roman" w:hAnsi="Times New Roman"/>
                <w:szCs w:val="20"/>
              </w:rPr>
              <w:t>0010</w:t>
            </w:r>
          </w:p>
        </w:tc>
        <w:tc>
          <w:tcPr>
            <w:tcW w:w="2268" w:type="dxa"/>
            <w:shd w:val="clear" w:color="auto" w:fill="auto"/>
          </w:tcPr>
          <w:p w14:paraId="01B9D42F" w14:textId="2B6A6B48" w:rsidR="00FC486D" w:rsidRPr="00384CAC" w:rsidRDefault="00FC486D" w:rsidP="00FC486D">
            <w:pPr>
              <w:rPr>
                <w:rStyle w:val="InstructionsTabelleText"/>
                <w:rFonts w:ascii="Times New Roman" w:hAnsi="Times New Roman"/>
                <w:bCs/>
                <w:szCs w:val="20"/>
              </w:rPr>
            </w:pPr>
            <w:r>
              <w:rPr>
                <w:rStyle w:val="InstructionsTabelleText"/>
                <w:rFonts w:ascii="Times New Roman" w:hAnsi="Times New Roman"/>
                <w:szCs w:val="20"/>
              </w:rPr>
              <w:t>Portfolio ID</w:t>
            </w:r>
          </w:p>
        </w:tc>
        <w:tc>
          <w:tcPr>
            <w:tcW w:w="1417" w:type="dxa"/>
            <w:shd w:val="clear" w:color="auto" w:fill="auto"/>
          </w:tcPr>
          <w:p w14:paraId="510DB942" w14:textId="77777777" w:rsidR="00FC486D" w:rsidRPr="00384CAC" w:rsidRDefault="00FC486D" w:rsidP="00FC486D">
            <w:pPr>
              <w:rPr>
                <w:rStyle w:val="InstructionsTabelleText"/>
                <w:rFonts w:ascii="Times New Roman" w:hAnsi="Times New Roman"/>
                <w:bCs/>
                <w:szCs w:val="20"/>
              </w:rPr>
            </w:pPr>
          </w:p>
        </w:tc>
        <w:tc>
          <w:tcPr>
            <w:tcW w:w="9752" w:type="dxa"/>
            <w:shd w:val="clear" w:color="auto" w:fill="auto"/>
          </w:tcPr>
          <w:p w14:paraId="429CB874" w14:textId="4202EEBD" w:rsidR="00FC486D" w:rsidRPr="007E78E1" w:rsidRDefault="00FC486D" w:rsidP="00FC486D">
            <w:pPr>
              <w:ind w:left="33"/>
              <w:rPr>
                <w:rFonts w:ascii="Times New Roman" w:hAnsi="Times New Roman"/>
                <w:szCs w:val="20"/>
                <w:lang w:eastAsia="de-DE"/>
              </w:rPr>
            </w:pPr>
            <w:r w:rsidRPr="007E78E1">
              <w:rPr>
                <w:rFonts w:ascii="Times New Roman" w:hAnsi="Times New Roman"/>
                <w:szCs w:val="20"/>
                <w:lang w:eastAsia="de-DE"/>
              </w:rPr>
              <w:t>The code assigned in</w:t>
            </w:r>
            <w:r w:rsidR="00CD4D79">
              <w:rPr>
                <w:rFonts w:ascii="Times New Roman" w:hAnsi="Times New Roman"/>
                <w:szCs w:val="20"/>
                <w:lang w:eastAsia="de-DE"/>
              </w:rPr>
              <w:t xml:space="preserve"> </w:t>
            </w:r>
            <w:r w:rsidR="00CD4D79" w:rsidRPr="007E78E1">
              <w:rPr>
                <w:rFonts w:ascii="Times New Roman" w:hAnsi="Times New Roman"/>
                <w:szCs w:val="20"/>
                <w:lang w:eastAsia="de-DE"/>
              </w:rPr>
              <w:t>Annex I</w:t>
            </w:r>
            <w:r w:rsidR="00CD4D79">
              <w:rPr>
                <w:rFonts w:ascii="Times New Roman" w:hAnsi="Times New Roman"/>
                <w:szCs w:val="20"/>
                <w:lang w:eastAsia="de-DE"/>
              </w:rPr>
              <w:t xml:space="preserve">, </w:t>
            </w:r>
            <w:r w:rsidR="00BA5A16">
              <w:rPr>
                <w:rFonts w:ascii="Times New Roman" w:hAnsi="Times New Roman"/>
                <w:szCs w:val="20"/>
                <w:lang w:eastAsia="de-DE"/>
              </w:rPr>
              <w:t>template</w:t>
            </w:r>
            <w:r w:rsidR="00CD4D79" w:rsidRPr="007E78E1">
              <w:rPr>
                <w:rFonts w:ascii="Times New Roman" w:hAnsi="Times New Roman"/>
                <w:szCs w:val="20"/>
                <w:lang w:eastAsia="de-DE"/>
              </w:rPr>
              <w:t xml:space="preserve"> C.10</w:t>
            </w:r>
            <w:r w:rsidR="00CD4D79">
              <w:rPr>
                <w:rFonts w:ascii="Times New Roman" w:hAnsi="Times New Roman"/>
                <w:szCs w:val="20"/>
                <w:lang w:eastAsia="de-DE"/>
              </w:rPr>
              <w:t>4,</w:t>
            </w:r>
            <w:r w:rsidRPr="007E78E1">
              <w:rPr>
                <w:rFonts w:ascii="Times New Roman" w:hAnsi="Times New Roman"/>
                <w:szCs w:val="20"/>
                <w:lang w:eastAsia="de-DE"/>
              </w:rPr>
              <w:t xml:space="preserve"> column 0010 </w:t>
            </w:r>
            <w:r w:rsidR="000B3280">
              <w:rPr>
                <w:rFonts w:ascii="Times New Roman" w:hAnsi="Times New Roman"/>
                <w:szCs w:val="20"/>
                <w:lang w:eastAsia="de-DE"/>
              </w:rPr>
              <w:t>for each</w:t>
            </w:r>
            <w:r w:rsidR="007E7AEB">
              <w:rPr>
                <w:rFonts w:ascii="Times New Roman" w:hAnsi="Times New Roman"/>
                <w:szCs w:val="20"/>
                <w:lang w:eastAsia="de-DE"/>
              </w:rPr>
              <w:t xml:space="preserve"> portfoli</w:t>
            </w:r>
            <w:r w:rsidR="000B3280">
              <w:rPr>
                <w:rFonts w:ascii="Times New Roman" w:hAnsi="Times New Roman"/>
                <w:szCs w:val="20"/>
                <w:lang w:eastAsia="de-DE"/>
              </w:rPr>
              <w:t>o</w:t>
            </w:r>
            <w:r w:rsidR="008B163A">
              <w:rPr>
                <w:rFonts w:ascii="Times New Roman" w:hAnsi="Times New Roman"/>
                <w:szCs w:val="20"/>
                <w:lang w:eastAsia="de-DE"/>
              </w:rPr>
              <w:t xml:space="preserve">, </w:t>
            </w:r>
            <w:r w:rsidR="007E7AEB">
              <w:rPr>
                <w:rFonts w:ascii="Times New Roman" w:hAnsi="Times New Roman"/>
                <w:szCs w:val="20"/>
                <w:lang w:eastAsia="de-DE"/>
              </w:rPr>
              <w:t xml:space="preserve">for which the information </w:t>
            </w:r>
            <w:r w:rsidR="000740E1">
              <w:rPr>
                <w:rFonts w:ascii="Times New Roman" w:hAnsi="Times New Roman"/>
                <w:szCs w:val="20"/>
                <w:lang w:eastAsia="de-DE"/>
              </w:rPr>
              <w:t>in this template shall be reported.</w:t>
            </w:r>
            <w:r w:rsidRPr="007E78E1">
              <w:rPr>
                <w:rFonts w:ascii="Times New Roman" w:hAnsi="Times New Roman"/>
                <w:szCs w:val="20"/>
                <w:lang w:eastAsia="de-DE"/>
              </w:rPr>
              <w:t xml:space="preserve"> </w:t>
            </w:r>
          </w:p>
          <w:p w14:paraId="205C3325" w14:textId="1FBD26F4" w:rsidR="00FC486D" w:rsidRPr="002844C0" w:rsidRDefault="00873B5D" w:rsidP="00FC486D">
            <w:pPr>
              <w:rPr>
                <w:rStyle w:val="InstructionsTabelleText"/>
                <w:rFonts w:ascii="Times New Roman" w:hAnsi="Times New Roman"/>
                <w:szCs w:val="20"/>
              </w:rPr>
            </w:pPr>
            <w:r w:rsidRPr="002844C0">
              <w:rPr>
                <w:rStyle w:val="InstructionsTabelleText"/>
                <w:rFonts w:ascii="Times New Roman" w:hAnsi="Times New Roman"/>
                <w:szCs w:val="20"/>
              </w:rPr>
              <w:t xml:space="preserve">The combination portfolio ID (c0010) and </w:t>
            </w:r>
            <w:r w:rsidR="002A15E2" w:rsidRPr="002844C0">
              <w:rPr>
                <w:rStyle w:val="InstructionsTabelleText"/>
                <w:rFonts w:ascii="Times New Roman" w:hAnsi="Times New Roman"/>
                <w:szCs w:val="20"/>
              </w:rPr>
              <w:t xml:space="preserve">Economic </w:t>
            </w:r>
            <w:r w:rsidRPr="002844C0">
              <w:rPr>
                <w:rStyle w:val="InstructionsTabelleText"/>
                <w:rFonts w:ascii="Times New Roman" w:hAnsi="Times New Roman"/>
                <w:szCs w:val="20"/>
              </w:rPr>
              <w:t xml:space="preserve">scenario ID (c0020) </w:t>
            </w:r>
            <w:r w:rsidR="007F4FD0" w:rsidRPr="002844C0">
              <w:rPr>
                <w:rStyle w:val="InstructionsTabelleText"/>
                <w:rFonts w:ascii="Times New Roman" w:hAnsi="Times New Roman"/>
                <w:szCs w:val="20"/>
              </w:rPr>
              <w:t xml:space="preserve">is </w:t>
            </w:r>
            <w:r w:rsidRPr="002844C0">
              <w:rPr>
                <w:rStyle w:val="InstructionsTabelleText"/>
                <w:rFonts w:ascii="Times New Roman" w:hAnsi="Times New Roman"/>
                <w:szCs w:val="20"/>
              </w:rPr>
              <w:t>the primary key of this template and shall be reported only once.</w:t>
            </w:r>
          </w:p>
        </w:tc>
      </w:tr>
      <w:tr w:rsidR="00384CAC" w:rsidRPr="00384CAC" w14:paraId="72DBBD46" w14:textId="77777777" w:rsidTr="00511C07">
        <w:tc>
          <w:tcPr>
            <w:tcW w:w="880" w:type="dxa"/>
            <w:shd w:val="clear" w:color="auto" w:fill="auto"/>
          </w:tcPr>
          <w:p w14:paraId="2E7F897E" w14:textId="6AF594EC" w:rsidR="00744552"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lastRenderedPageBreak/>
              <w:t>0</w:t>
            </w:r>
            <w:r w:rsidR="006C04CB" w:rsidRPr="00384CAC">
              <w:rPr>
                <w:rStyle w:val="InstructionsTabelleText"/>
                <w:rFonts w:ascii="Times New Roman" w:hAnsi="Times New Roman"/>
                <w:szCs w:val="20"/>
              </w:rPr>
              <w:t>020</w:t>
            </w:r>
          </w:p>
        </w:tc>
        <w:tc>
          <w:tcPr>
            <w:tcW w:w="2268" w:type="dxa"/>
            <w:shd w:val="clear" w:color="auto" w:fill="auto"/>
          </w:tcPr>
          <w:p w14:paraId="6DCA6363" w14:textId="0FA36B57" w:rsidR="00744552" w:rsidRPr="00384CAC" w:rsidRDefault="006C04CB" w:rsidP="007C72BB">
            <w:pPr>
              <w:rPr>
                <w:rStyle w:val="InstructionsTabelleText"/>
                <w:rFonts w:ascii="Times New Roman" w:hAnsi="Times New Roman"/>
                <w:bCs/>
                <w:szCs w:val="20"/>
              </w:rPr>
            </w:pPr>
            <w:r w:rsidRPr="00384CAC">
              <w:rPr>
                <w:rStyle w:val="InstructionsTabelleText"/>
                <w:rFonts w:ascii="Times New Roman" w:hAnsi="Times New Roman"/>
                <w:szCs w:val="20"/>
              </w:rPr>
              <w:t>Economic scenario ID</w:t>
            </w:r>
          </w:p>
        </w:tc>
        <w:tc>
          <w:tcPr>
            <w:tcW w:w="1417" w:type="dxa"/>
            <w:shd w:val="clear" w:color="auto" w:fill="auto"/>
          </w:tcPr>
          <w:p w14:paraId="0853CB26" w14:textId="77777777" w:rsidR="00744552" w:rsidRPr="00384CAC" w:rsidRDefault="00744552" w:rsidP="007C72BB">
            <w:pPr>
              <w:rPr>
                <w:rStyle w:val="InstructionsTabelleText"/>
                <w:rFonts w:ascii="Times New Roman" w:hAnsi="Times New Roman"/>
                <w:bCs/>
                <w:szCs w:val="20"/>
              </w:rPr>
            </w:pPr>
          </w:p>
        </w:tc>
        <w:tc>
          <w:tcPr>
            <w:tcW w:w="9752" w:type="dxa"/>
            <w:shd w:val="clear" w:color="auto" w:fill="auto"/>
          </w:tcPr>
          <w:p w14:paraId="531BC838" w14:textId="32EAF113" w:rsidR="006C04CB" w:rsidRPr="00384CAC" w:rsidRDefault="006C04CB" w:rsidP="007C72BB">
            <w:pPr>
              <w:rPr>
                <w:rFonts w:ascii="Times New Roman" w:hAnsi="Times New Roman"/>
                <w:szCs w:val="20"/>
              </w:rPr>
            </w:pPr>
            <w:r w:rsidRPr="00384CAC">
              <w:rPr>
                <w:rStyle w:val="InstructionsTabelleText"/>
                <w:rFonts w:ascii="Times New Roman" w:hAnsi="Times New Roman"/>
                <w:szCs w:val="20"/>
              </w:rPr>
              <w:t xml:space="preserve">The economic scenario used by the institution to calculate the </w:t>
            </w:r>
            <w:r w:rsidR="00B11D65" w:rsidRPr="00384CAC">
              <w:rPr>
                <w:rStyle w:val="InstructionsTabelleText"/>
                <w:rFonts w:ascii="Times New Roman" w:hAnsi="Times New Roman"/>
                <w:szCs w:val="20"/>
              </w:rPr>
              <w:t xml:space="preserve">IFRS 9 </w:t>
            </w:r>
            <w:r w:rsidR="00DE56CC">
              <w:rPr>
                <w:rStyle w:val="InstructionsTabelleText"/>
                <w:rFonts w:ascii="Times New Roman" w:hAnsi="Times New Roman"/>
                <w:szCs w:val="20"/>
              </w:rPr>
              <w:t>ECL</w:t>
            </w:r>
            <w:r w:rsidR="003D5905">
              <w:rPr>
                <w:rStyle w:val="InstructionsTabelleText"/>
                <w:rFonts w:ascii="Times New Roman" w:hAnsi="Times New Roman"/>
                <w:szCs w:val="20"/>
              </w:rPr>
              <w:t xml:space="preserve"> amount</w:t>
            </w:r>
            <w:r w:rsidRPr="00384CAC">
              <w:rPr>
                <w:rStyle w:val="InstructionsTabelleText"/>
                <w:rFonts w:ascii="Times New Roman" w:hAnsi="Times New Roman"/>
                <w:szCs w:val="20"/>
              </w:rPr>
              <w:t xml:space="preserve">. </w:t>
            </w:r>
            <w:r w:rsidRPr="00384CAC">
              <w:rPr>
                <w:rFonts w:ascii="Times New Roman" w:hAnsi="Times New Roman"/>
                <w:szCs w:val="20"/>
              </w:rPr>
              <w:t>The scenario ID shall be expressed as a value between 0 and 5.</w:t>
            </w:r>
            <w:r w:rsidR="00892DF6" w:rsidRPr="00384CAC">
              <w:rPr>
                <w:rFonts w:ascii="Times New Roman" w:hAnsi="Times New Roman"/>
                <w:szCs w:val="20"/>
              </w:rPr>
              <w:t xml:space="preserve"> </w:t>
            </w:r>
            <w:proofErr w:type="gramStart"/>
            <w:r w:rsidR="00892DF6" w:rsidRPr="00384CAC">
              <w:rPr>
                <w:rFonts w:ascii="Times New Roman" w:hAnsi="Times New Roman"/>
                <w:szCs w:val="20"/>
              </w:rPr>
              <w:t>With the exception of</w:t>
            </w:r>
            <w:proofErr w:type="gramEnd"/>
            <w:r w:rsidR="00892DF6" w:rsidRPr="00384CAC">
              <w:rPr>
                <w:rFonts w:ascii="Times New Roman" w:hAnsi="Times New Roman"/>
                <w:szCs w:val="20"/>
              </w:rPr>
              <w:t xml:space="preserve"> specific cases described</w:t>
            </w:r>
            <w:r w:rsidR="00B65F25" w:rsidRPr="00384CAC">
              <w:rPr>
                <w:rFonts w:ascii="Times New Roman" w:hAnsi="Times New Roman"/>
                <w:szCs w:val="20"/>
              </w:rPr>
              <w:t xml:space="preserve"> before</w:t>
            </w:r>
            <w:r w:rsidR="00892DF6" w:rsidRPr="00384CAC">
              <w:rPr>
                <w:rFonts w:ascii="Times New Roman" w:hAnsi="Times New Roman"/>
                <w:szCs w:val="20"/>
              </w:rPr>
              <w:t xml:space="preserve">, all the 6 economic scenarios </w:t>
            </w:r>
            <w:r w:rsidR="0077022E" w:rsidRPr="00384CAC">
              <w:rPr>
                <w:rFonts w:ascii="Times New Roman" w:hAnsi="Times New Roman"/>
                <w:szCs w:val="20"/>
              </w:rPr>
              <w:t>shall</w:t>
            </w:r>
            <w:r w:rsidR="00892DF6" w:rsidRPr="00384CAC">
              <w:rPr>
                <w:rFonts w:ascii="Times New Roman" w:hAnsi="Times New Roman"/>
                <w:szCs w:val="20"/>
              </w:rPr>
              <w:t xml:space="preserve"> be populated.</w:t>
            </w:r>
          </w:p>
          <w:p w14:paraId="590D6B57" w14:textId="50B7BE44" w:rsidR="00744552" w:rsidRPr="00384CAC" w:rsidRDefault="00F00F88" w:rsidP="007C72BB">
            <w:pPr>
              <w:rPr>
                <w:rStyle w:val="InstructionsTabelleText"/>
                <w:rFonts w:ascii="Times New Roman" w:hAnsi="Times New Roman"/>
                <w:szCs w:val="20"/>
              </w:rPr>
            </w:pPr>
            <w:r w:rsidRPr="00384CAC">
              <w:rPr>
                <w:rStyle w:val="InstructionsTabelleText"/>
                <w:rFonts w:ascii="Times New Roman" w:hAnsi="Times New Roman"/>
                <w:szCs w:val="20"/>
              </w:rPr>
              <w:t xml:space="preserve">The economic scenario 1 </w:t>
            </w:r>
            <w:r w:rsidR="0077022E" w:rsidRPr="00384CAC">
              <w:rPr>
                <w:rStyle w:val="InstructionsTabelleText"/>
                <w:rFonts w:ascii="Times New Roman" w:hAnsi="Times New Roman"/>
                <w:szCs w:val="20"/>
              </w:rPr>
              <w:t>shall</w:t>
            </w:r>
            <w:r w:rsidRPr="00384CAC">
              <w:rPr>
                <w:rStyle w:val="InstructionsTabelleText"/>
                <w:rFonts w:ascii="Times New Roman" w:hAnsi="Times New Roman"/>
                <w:szCs w:val="20"/>
              </w:rPr>
              <w:t xml:space="preserve"> be the baseline scenario. The economic scenarios 2 to 5 </w:t>
            </w:r>
            <w:r w:rsidR="0077022E" w:rsidRPr="00384CAC">
              <w:rPr>
                <w:rStyle w:val="InstructionsTabelleText"/>
                <w:rFonts w:ascii="Times New Roman" w:hAnsi="Times New Roman"/>
                <w:szCs w:val="20"/>
              </w:rPr>
              <w:t>shall</w:t>
            </w:r>
            <w:r w:rsidRPr="00384CAC">
              <w:rPr>
                <w:rStyle w:val="InstructionsTabelleText"/>
                <w:rFonts w:ascii="Times New Roman" w:hAnsi="Times New Roman"/>
                <w:szCs w:val="20"/>
              </w:rPr>
              <w:t xml:space="preserve"> be ranked according to their severity, from the most favo</w:t>
            </w:r>
            <w:r w:rsidR="006C1B64" w:rsidRPr="00384CAC">
              <w:rPr>
                <w:rStyle w:val="InstructionsTabelleText"/>
                <w:rFonts w:ascii="Times New Roman" w:hAnsi="Times New Roman"/>
                <w:szCs w:val="20"/>
              </w:rPr>
              <w:t>u</w:t>
            </w:r>
            <w:r w:rsidRPr="00384CAC">
              <w:rPr>
                <w:rStyle w:val="InstructionsTabelleText"/>
                <w:rFonts w:ascii="Times New Roman" w:hAnsi="Times New Roman"/>
                <w:szCs w:val="20"/>
              </w:rPr>
              <w:t xml:space="preserve">rable (number 2) to the most severe (number 5). </w:t>
            </w:r>
          </w:p>
        </w:tc>
      </w:tr>
      <w:tr w:rsidR="00384CAC" w:rsidRPr="00384CAC" w14:paraId="5EEB5F69" w14:textId="77777777" w:rsidTr="00511C07">
        <w:tc>
          <w:tcPr>
            <w:tcW w:w="880" w:type="dxa"/>
            <w:shd w:val="clear" w:color="auto" w:fill="auto"/>
          </w:tcPr>
          <w:p w14:paraId="7B76D903" w14:textId="66BDA5FA" w:rsidR="00744552"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6C04CB" w:rsidRPr="00384CAC">
              <w:rPr>
                <w:rStyle w:val="InstructionsTabelleText"/>
                <w:rFonts w:ascii="Times New Roman" w:hAnsi="Times New Roman"/>
                <w:szCs w:val="20"/>
              </w:rPr>
              <w:t>100</w:t>
            </w:r>
          </w:p>
        </w:tc>
        <w:tc>
          <w:tcPr>
            <w:tcW w:w="2268" w:type="dxa"/>
            <w:shd w:val="clear" w:color="auto" w:fill="auto"/>
          </w:tcPr>
          <w:p w14:paraId="19703F87" w14:textId="24DEC721" w:rsidR="00744552" w:rsidRPr="00384CAC" w:rsidRDefault="006C04CB"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- 0 - 12 months</w:t>
            </w:r>
          </w:p>
        </w:tc>
        <w:tc>
          <w:tcPr>
            <w:tcW w:w="1417" w:type="dxa"/>
            <w:shd w:val="clear" w:color="auto" w:fill="auto"/>
          </w:tcPr>
          <w:p w14:paraId="0241E634" w14:textId="77777777" w:rsidR="00744552" w:rsidRPr="00384CAC" w:rsidRDefault="00744552" w:rsidP="007C72BB">
            <w:pPr>
              <w:rPr>
                <w:rStyle w:val="InstructionsTabelleText"/>
                <w:rFonts w:ascii="Times New Roman" w:hAnsi="Times New Roman"/>
                <w:bCs/>
                <w:szCs w:val="20"/>
              </w:rPr>
            </w:pPr>
          </w:p>
        </w:tc>
        <w:tc>
          <w:tcPr>
            <w:tcW w:w="9752" w:type="dxa"/>
            <w:shd w:val="clear" w:color="auto" w:fill="auto"/>
          </w:tcPr>
          <w:p w14:paraId="5C51B106" w14:textId="77777777" w:rsidR="008F2658" w:rsidRDefault="00744552" w:rsidP="007C72BB">
            <w:pPr>
              <w:rPr>
                <w:rStyle w:val="InstructionsTabelleText"/>
                <w:rFonts w:ascii="Times New Roman" w:hAnsi="Times New Roman"/>
                <w:szCs w:val="20"/>
              </w:rPr>
            </w:pPr>
            <w:r w:rsidRPr="00384CAC">
              <w:rPr>
                <w:rStyle w:val="InstructionsTabelleText"/>
                <w:rFonts w:ascii="Times New Roman" w:hAnsi="Times New Roman"/>
                <w:szCs w:val="20"/>
              </w:rPr>
              <w:t xml:space="preserve">The </w:t>
            </w:r>
            <w:r w:rsidR="00C410CC">
              <w:rPr>
                <w:rStyle w:val="InstructionsTabelleText"/>
                <w:rFonts w:ascii="Times New Roman" w:hAnsi="Times New Roman"/>
                <w:szCs w:val="20"/>
              </w:rPr>
              <w:t>weighted average</w:t>
            </w:r>
            <w:r w:rsidR="00C410CC"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cumulative PD</w:t>
            </w:r>
            <w:r w:rsidR="00C410CC">
              <w:rPr>
                <w:rStyle w:val="InstructionsTabelleText"/>
                <w:rFonts w:ascii="Times New Roman" w:hAnsi="Times New Roman"/>
                <w:szCs w:val="20"/>
              </w:rPr>
              <w:t xml:space="preserve"> of the</w:t>
            </w:r>
            <w:r w:rsidR="002F1BCD">
              <w:rPr>
                <w:rStyle w:val="InstructionsTabelleText"/>
                <w:rFonts w:ascii="Times New Roman" w:hAnsi="Times New Roman"/>
                <w:szCs w:val="20"/>
              </w:rPr>
              <w:t xml:space="preserve"> </w:t>
            </w:r>
            <w:r w:rsidR="00B72078">
              <w:rPr>
                <w:rStyle w:val="InstructionsTabelleText"/>
                <w:rFonts w:ascii="Times New Roman" w:hAnsi="Times New Roman"/>
                <w:szCs w:val="20"/>
              </w:rPr>
              <w:t>facilities</w:t>
            </w:r>
            <w:r w:rsidR="002F1BCD">
              <w:rPr>
                <w:rStyle w:val="InstructionsTabelleText"/>
                <w:rFonts w:ascii="Times New Roman" w:hAnsi="Times New Roman"/>
                <w:szCs w:val="20"/>
              </w:rPr>
              <w:t xml:space="preserve"> included in the </w:t>
            </w:r>
            <w:r w:rsidR="001D448B">
              <w:rPr>
                <w:rStyle w:val="InstructionsTabelleText"/>
                <w:rFonts w:ascii="Times New Roman" w:hAnsi="Times New Roman"/>
                <w:szCs w:val="20"/>
              </w:rPr>
              <w:t>respective portfolio</w:t>
            </w:r>
            <w:r w:rsidR="00E00605">
              <w:rPr>
                <w:rStyle w:val="InstructionsTabelleText"/>
                <w:rFonts w:ascii="Times New Roman" w:hAnsi="Times New Roman"/>
                <w:szCs w:val="20"/>
              </w:rPr>
              <w:t>,</w:t>
            </w:r>
            <w:r w:rsidRPr="00384CAC">
              <w:rPr>
                <w:rFonts w:ascii="Times New Roman" w:hAnsi="Times New Roman"/>
                <w:szCs w:val="20"/>
              </w:rPr>
              <w:t xml:space="preserve"> representing the probability of a default event within the 12 month</w:t>
            </w:r>
            <w:r w:rsidR="009C1F08" w:rsidRPr="00384CAC">
              <w:rPr>
                <w:rFonts w:ascii="Times New Roman" w:hAnsi="Times New Roman"/>
                <w:szCs w:val="20"/>
              </w:rPr>
              <w:t>s after the reporting date</w:t>
            </w:r>
            <w:r w:rsidR="006C04CB" w:rsidRPr="00384CAC">
              <w:rPr>
                <w:rFonts w:ascii="Times New Roman" w:hAnsi="Times New Roman"/>
                <w:szCs w:val="20"/>
              </w:rPr>
              <w:t>, under</w:t>
            </w:r>
            <w:r w:rsidRPr="00384CAC">
              <w:rPr>
                <w:rFonts w:ascii="Times New Roman" w:hAnsi="Times New Roman"/>
                <w:szCs w:val="20"/>
              </w:rPr>
              <w:t xml:space="preserve"> the economic</w:t>
            </w:r>
            <w:r w:rsidR="006C04CB" w:rsidRPr="00384CAC">
              <w:rPr>
                <w:rFonts w:ascii="Times New Roman" w:hAnsi="Times New Roman"/>
                <w:szCs w:val="20"/>
              </w:rPr>
              <w:t xml:space="preserve"> scenario considered</w:t>
            </w:r>
            <w:r w:rsidRPr="00384CAC">
              <w:rPr>
                <w:rStyle w:val="InstructionsTabelleText"/>
                <w:rFonts w:ascii="Times New Roman" w:hAnsi="Times New Roman"/>
                <w:szCs w:val="20"/>
              </w:rPr>
              <w:t>.</w:t>
            </w:r>
            <w:r w:rsidR="00C410CC">
              <w:rPr>
                <w:rStyle w:val="InstructionsTabelleText"/>
                <w:rFonts w:ascii="Times New Roman" w:hAnsi="Times New Roman"/>
                <w:szCs w:val="20"/>
              </w:rPr>
              <w:t xml:space="preserve"> </w:t>
            </w:r>
          </w:p>
          <w:p w14:paraId="443FCEBF" w14:textId="5FEA2B2F" w:rsidR="00795CC9" w:rsidRPr="00384CAC" w:rsidRDefault="00C410CC" w:rsidP="00795CC9">
            <w:pPr>
              <w:rPr>
                <w:rStyle w:val="InstructionsTabelleText"/>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bookmarkStart w:id="12" w:name="_Hlk97892335"/>
            <w:r w:rsidR="00330101">
              <w:rPr>
                <w:rStyle w:val="InstructionsTabelleText"/>
                <w:rFonts w:ascii="Times New Roman" w:hAnsi="Times New Roman"/>
                <w:szCs w:val="20"/>
              </w:rPr>
              <w:t xml:space="preserve">intended as the sum of the amounts </w:t>
            </w:r>
            <w:r w:rsidR="00330101" w:rsidRPr="00384CAC">
              <w:rPr>
                <w:rStyle w:val="InstructionsTabelleText"/>
                <w:rFonts w:ascii="Times New Roman" w:hAnsi="Times New Roman"/>
                <w:szCs w:val="20"/>
              </w:rPr>
              <w:t xml:space="preserve">defined </w:t>
            </w:r>
            <w:r w:rsidR="00330101">
              <w:rPr>
                <w:rStyle w:val="InstructionsTabelleText"/>
                <w:rFonts w:ascii="Times New Roman" w:hAnsi="Times New Roman"/>
                <w:szCs w:val="20"/>
              </w:rPr>
              <w:t xml:space="preserve">respectively </w:t>
            </w:r>
            <w:r w:rsidR="00330101" w:rsidRPr="00384CAC">
              <w:rPr>
                <w:rStyle w:val="InstructionsTabelleText"/>
                <w:rFonts w:ascii="Times New Roman" w:hAnsi="Times New Roman"/>
                <w:szCs w:val="20"/>
              </w:rPr>
              <w:t>in</w:t>
            </w:r>
            <w:r w:rsidR="003A5DCA">
              <w:rPr>
                <w:rStyle w:val="InstructionsTabelleText"/>
                <w:rFonts w:ascii="Times New Roman" w:hAnsi="Times New Roman"/>
                <w:szCs w:val="20"/>
              </w:rPr>
              <w:t xml:space="preserve"> </w:t>
            </w:r>
            <w:r w:rsidR="003A5DCA">
              <w:rPr>
                <w:rFonts w:ascii="Times New Roman" w:hAnsi="Times New Roman"/>
                <w:szCs w:val="20"/>
              </w:rPr>
              <w:t>this Annex,</w:t>
            </w:r>
            <w:r w:rsidR="003A5DCA" w:rsidRPr="00384CAC">
              <w:rPr>
                <w:rStyle w:val="InstructionsTabelleText"/>
                <w:rFonts w:ascii="Times New Roman" w:hAnsi="Times New Roman"/>
                <w:szCs w:val="20"/>
              </w:rPr>
              <w:t xml:space="preserve"> template</w:t>
            </w:r>
            <w:r w:rsidR="003A5DCA">
              <w:rPr>
                <w:rStyle w:val="InstructionsTabelleText"/>
                <w:rFonts w:ascii="Times New Roman" w:hAnsi="Times New Roman"/>
                <w:szCs w:val="20"/>
              </w:rPr>
              <w:t xml:space="preserve"> </w:t>
            </w:r>
            <w:r w:rsidR="003A5DCA">
              <w:rPr>
                <w:rFonts w:ascii="Times New Roman" w:hAnsi="Times New Roman"/>
                <w:szCs w:val="20"/>
              </w:rPr>
              <w:t>C.115.00,</w:t>
            </w:r>
            <w:r w:rsidR="00330101" w:rsidRPr="00384CAC">
              <w:rPr>
                <w:rStyle w:val="InstructionsTabelleText"/>
                <w:rFonts w:ascii="Times New Roman" w:hAnsi="Times New Roman"/>
                <w:szCs w:val="20"/>
              </w:rPr>
              <w:t xml:space="preserve"> column 00</w:t>
            </w:r>
            <w:r w:rsidR="00330101">
              <w:rPr>
                <w:rStyle w:val="InstructionsTabelleText"/>
                <w:rFonts w:ascii="Times New Roman" w:hAnsi="Times New Roman"/>
                <w:szCs w:val="20"/>
              </w:rPr>
              <w:t>5</w:t>
            </w:r>
            <w:r w:rsidR="00330101" w:rsidRPr="00384CAC">
              <w:rPr>
                <w:rStyle w:val="InstructionsTabelleText"/>
                <w:rFonts w:ascii="Times New Roman" w:hAnsi="Times New Roman"/>
                <w:szCs w:val="20"/>
              </w:rPr>
              <w:t>0</w:t>
            </w:r>
            <w:r w:rsidR="00330101">
              <w:rPr>
                <w:rStyle w:val="InstructionsTabelleText"/>
                <w:rFonts w:ascii="Times New Roman" w:hAnsi="Times New Roman"/>
                <w:szCs w:val="20"/>
              </w:rPr>
              <w:t xml:space="preserve">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 xml:space="preserve">tage 1 facilities), </w:t>
            </w:r>
            <w:r w:rsidR="00330101" w:rsidRPr="00384CAC">
              <w:rPr>
                <w:rStyle w:val="InstructionsTabelleText"/>
                <w:rFonts w:ascii="Times New Roman" w:hAnsi="Times New Roman"/>
                <w:szCs w:val="20"/>
              </w:rPr>
              <w:t xml:space="preserve">column </w:t>
            </w:r>
            <w:r w:rsidR="00330101">
              <w:rPr>
                <w:rStyle w:val="InstructionsTabelleText"/>
                <w:rFonts w:ascii="Times New Roman" w:hAnsi="Times New Roman"/>
                <w:szCs w:val="20"/>
              </w:rPr>
              <w:t xml:space="preserve">0051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 xml:space="preserve">tage 2 facilities) and </w:t>
            </w:r>
            <w:r w:rsidR="00330101" w:rsidRPr="00384CAC">
              <w:rPr>
                <w:rStyle w:val="InstructionsTabelleText"/>
                <w:rFonts w:ascii="Times New Roman" w:hAnsi="Times New Roman"/>
                <w:szCs w:val="20"/>
              </w:rPr>
              <w:t>column</w:t>
            </w:r>
            <w:r w:rsidR="00330101">
              <w:rPr>
                <w:rStyle w:val="InstructionsTabelleText"/>
                <w:rFonts w:ascii="Times New Roman" w:hAnsi="Times New Roman"/>
                <w:szCs w:val="20"/>
              </w:rPr>
              <w:t xml:space="preserve"> 0052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tage 3 facilities)</w:t>
            </w:r>
            <w:r w:rsidRPr="00384CAC">
              <w:rPr>
                <w:rFonts w:ascii="Times New Roman" w:hAnsi="Times New Roman"/>
                <w:szCs w:val="20"/>
              </w:rPr>
              <w:t>.</w:t>
            </w:r>
            <w:bookmarkEnd w:id="12"/>
          </w:p>
        </w:tc>
      </w:tr>
      <w:tr w:rsidR="00384CAC" w:rsidRPr="00384CAC" w14:paraId="5BD10645" w14:textId="77777777" w:rsidTr="00511C07">
        <w:tc>
          <w:tcPr>
            <w:tcW w:w="880" w:type="dxa"/>
            <w:shd w:val="clear" w:color="auto" w:fill="auto"/>
          </w:tcPr>
          <w:p w14:paraId="06B819D0" w14:textId="386180F8" w:rsidR="00744552"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6C04CB" w:rsidRPr="00384CAC">
              <w:rPr>
                <w:rStyle w:val="InstructionsTabelleText"/>
                <w:rFonts w:ascii="Times New Roman" w:hAnsi="Times New Roman"/>
                <w:szCs w:val="20"/>
              </w:rPr>
              <w:t>110</w:t>
            </w:r>
          </w:p>
        </w:tc>
        <w:tc>
          <w:tcPr>
            <w:tcW w:w="2268" w:type="dxa"/>
            <w:shd w:val="clear" w:color="auto" w:fill="auto"/>
          </w:tcPr>
          <w:p w14:paraId="5FC2EBCB" w14:textId="1754FE7B" w:rsidR="00744552"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6C04CB" w:rsidRPr="00384CAC">
              <w:rPr>
                <w:rStyle w:val="InstructionsTabelleText"/>
                <w:rFonts w:ascii="Times New Roman" w:hAnsi="Times New Roman"/>
                <w:szCs w:val="20"/>
              </w:rPr>
              <w:t xml:space="preserve"> - 24 months</w:t>
            </w:r>
          </w:p>
        </w:tc>
        <w:tc>
          <w:tcPr>
            <w:tcW w:w="1417" w:type="dxa"/>
            <w:shd w:val="clear" w:color="auto" w:fill="auto"/>
          </w:tcPr>
          <w:p w14:paraId="53DCC388" w14:textId="77777777" w:rsidR="00744552" w:rsidRPr="00384CAC" w:rsidRDefault="00744552" w:rsidP="007C72BB">
            <w:pPr>
              <w:rPr>
                <w:rStyle w:val="InstructionsTabelleText"/>
                <w:rFonts w:ascii="Times New Roman" w:hAnsi="Times New Roman"/>
                <w:bCs/>
                <w:szCs w:val="20"/>
              </w:rPr>
            </w:pPr>
          </w:p>
        </w:tc>
        <w:tc>
          <w:tcPr>
            <w:tcW w:w="9752" w:type="dxa"/>
            <w:shd w:val="clear" w:color="auto" w:fill="auto"/>
          </w:tcPr>
          <w:p w14:paraId="53DED02D" w14:textId="77777777" w:rsidR="008F2658" w:rsidRDefault="006C04CB" w:rsidP="000E262F">
            <w:pPr>
              <w:rPr>
                <w:rStyle w:val="InstructionsTabelleText"/>
                <w:rFonts w:ascii="Times New Roman" w:hAnsi="Times New Roman"/>
                <w:szCs w:val="20"/>
              </w:rPr>
            </w:pPr>
            <w:r w:rsidRPr="00384CAC">
              <w:rPr>
                <w:rStyle w:val="InstructionsTabelleText"/>
                <w:rFonts w:ascii="Times New Roman" w:hAnsi="Times New Roman"/>
                <w:szCs w:val="20"/>
              </w:rPr>
              <w:t xml:space="preserve">The </w:t>
            </w:r>
            <w:r w:rsidR="000C6B4D">
              <w:rPr>
                <w:rStyle w:val="InstructionsTabelleText"/>
                <w:rFonts w:ascii="Times New Roman" w:hAnsi="Times New Roman"/>
                <w:szCs w:val="20"/>
              </w:rPr>
              <w:t>weighted average</w:t>
            </w:r>
            <w:r w:rsidR="000C6B4D"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cumulative PD </w:t>
            </w:r>
            <w:r w:rsidR="00B72078">
              <w:rPr>
                <w:rStyle w:val="InstructionsTabelleText"/>
                <w:rFonts w:ascii="Times New Roman" w:hAnsi="Times New Roman"/>
                <w:szCs w:val="20"/>
              </w:rPr>
              <w:t>of the facilities included in the</w:t>
            </w:r>
            <w:r w:rsidR="00B72078" w:rsidRPr="00384CAC" w:rsidDel="000C6B4D">
              <w:rPr>
                <w:rStyle w:val="InstructionsTabelleText"/>
                <w:rFonts w:ascii="Times New Roman" w:hAnsi="Times New Roman"/>
                <w:szCs w:val="20"/>
              </w:rPr>
              <w:t xml:space="preserve"> </w:t>
            </w:r>
            <w:r w:rsidR="000C6B4D">
              <w:rPr>
                <w:rStyle w:val="InstructionsTabelleText"/>
                <w:rFonts w:ascii="Times New Roman" w:hAnsi="Times New Roman"/>
                <w:szCs w:val="20"/>
              </w:rPr>
              <w:t>re</w:t>
            </w:r>
            <w:r w:rsidR="003E25E5">
              <w:rPr>
                <w:rStyle w:val="InstructionsTabelleText"/>
                <w:rFonts w:ascii="Times New Roman" w:hAnsi="Times New Roman"/>
                <w:szCs w:val="20"/>
              </w:rPr>
              <w:t>spective portfolio</w:t>
            </w:r>
            <w:r w:rsidR="00E00605">
              <w:rPr>
                <w:rStyle w:val="InstructionsTabelleText"/>
                <w:rFonts w:ascii="Times New Roman" w:hAnsi="Times New Roman"/>
                <w:szCs w:val="20"/>
              </w:rPr>
              <w:t>,</w:t>
            </w:r>
            <w:r w:rsidRPr="00384CAC">
              <w:rPr>
                <w:rFonts w:ascii="Times New Roman" w:hAnsi="Times New Roman"/>
                <w:szCs w:val="20"/>
              </w:rPr>
              <w:t xml:space="preserve"> representing the probability of a default event </w:t>
            </w:r>
            <w:r w:rsidR="00642016" w:rsidRPr="00384CAC">
              <w:rPr>
                <w:rFonts w:ascii="Times New Roman" w:hAnsi="Times New Roman"/>
                <w:szCs w:val="20"/>
              </w:rPr>
              <w:t xml:space="preserve">within the </w:t>
            </w:r>
            <w:r w:rsidR="007458CA" w:rsidRPr="00384CAC">
              <w:rPr>
                <w:rFonts w:ascii="Times New Roman" w:hAnsi="Times New Roman"/>
                <w:szCs w:val="20"/>
              </w:rPr>
              <w:t>24</w:t>
            </w:r>
            <w:r w:rsidRPr="00384CAC">
              <w:rPr>
                <w:rFonts w:ascii="Times New Roman" w:hAnsi="Times New Roman"/>
                <w:szCs w:val="20"/>
              </w:rPr>
              <w:t xml:space="preserve"> month</w:t>
            </w:r>
            <w:r w:rsidR="009C1F08" w:rsidRPr="00384CAC">
              <w:rPr>
                <w:rFonts w:ascii="Times New Roman" w:hAnsi="Times New Roman"/>
                <w:szCs w:val="20"/>
              </w:rPr>
              <w:t>s 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934464" w:rsidRPr="00384CAC">
              <w:rPr>
                <w:rStyle w:val="InstructionsTabelleText"/>
                <w:rFonts w:ascii="Times New Roman" w:hAnsi="Times New Roman"/>
                <w:szCs w:val="20"/>
              </w:rPr>
              <w:t xml:space="preserve"> </w:t>
            </w:r>
          </w:p>
          <w:p w14:paraId="3517597E" w14:textId="20F2F83B" w:rsidR="00F82FE4" w:rsidRPr="00384CAC" w:rsidRDefault="000C6B4D" w:rsidP="007C72BB">
            <w:pPr>
              <w:rPr>
                <w:rStyle w:val="InstructionsTabelleText"/>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Pr>
                <w:rStyle w:val="InstructionsTabelleText"/>
                <w:rFonts w:ascii="Times New Roman" w:hAnsi="Times New Roman"/>
                <w:szCs w:val="20"/>
              </w:rPr>
              <w:t xml:space="preserve">intended as the sum of the amounts </w:t>
            </w:r>
            <w:r w:rsidR="00330101" w:rsidRPr="00384CAC">
              <w:rPr>
                <w:rStyle w:val="InstructionsTabelleText"/>
                <w:rFonts w:ascii="Times New Roman" w:hAnsi="Times New Roman"/>
                <w:szCs w:val="20"/>
              </w:rPr>
              <w:t xml:space="preserve">defined </w:t>
            </w:r>
            <w:r w:rsidR="00330101">
              <w:rPr>
                <w:rStyle w:val="InstructionsTabelleText"/>
                <w:rFonts w:ascii="Times New Roman" w:hAnsi="Times New Roman"/>
                <w:szCs w:val="20"/>
              </w:rPr>
              <w:t xml:space="preserve">respectively </w:t>
            </w:r>
            <w:r w:rsidR="00330101" w:rsidRPr="00384CAC">
              <w:rPr>
                <w:rStyle w:val="InstructionsTabelleText"/>
                <w:rFonts w:ascii="Times New Roman" w:hAnsi="Times New Roman"/>
                <w:szCs w:val="20"/>
              </w:rPr>
              <w:t>in</w:t>
            </w:r>
            <w:r w:rsidR="003A5DCA">
              <w:rPr>
                <w:rStyle w:val="InstructionsTabelleText"/>
                <w:rFonts w:ascii="Times New Roman" w:hAnsi="Times New Roman"/>
                <w:szCs w:val="20"/>
              </w:rPr>
              <w:t xml:space="preserve"> </w:t>
            </w:r>
            <w:r w:rsidR="003A5DCA">
              <w:rPr>
                <w:rFonts w:ascii="Times New Roman" w:hAnsi="Times New Roman"/>
                <w:szCs w:val="20"/>
              </w:rPr>
              <w:t>this Annex,</w:t>
            </w:r>
            <w:r w:rsidR="00330101" w:rsidRPr="00384CAC">
              <w:rPr>
                <w:rStyle w:val="InstructionsTabelleText"/>
                <w:rFonts w:ascii="Times New Roman" w:hAnsi="Times New Roman"/>
                <w:szCs w:val="20"/>
              </w:rPr>
              <w:t xml:space="preserve"> </w:t>
            </w:r>
            <w:r w:rsidR="003A5DCA" w:rsidRPr="00384CAC">
              <w:rPr>
                <w:rStyle w:val="InstructionsTabelleText"/>
                <w:rFonts w:ascii="Times New Roman" w:hAnsi="Times New Roman"/>
                <w:szCs w:val="20"/>
              </w:rPr>
              <w:t>template</w:t>
            </w:r>
            <w:r w:rsidR="003A5DCA">
              <w:rPr>
                <w:rStyle w:val="InstructionsTabelleText"/>
                <w:rFonts w:ascii="Times New Roman" w:hAnsi="Times New Roman"/>
                <w:szCs w:val="20"/>
              </w:rPr>
              <w:t xml:space="preserve"> </w:t>
            </w:r>
            <w:r w:rsidR="003A5DCA">
              <w:rPr>
                <w:rFonts w:ascii="Times New Roman" w:hAnsi="Times New Roman"/>
                <w:szCs w:val="20"/>
              </w:rPr>
              <w:t xml:space="preserve">C.115.00, </w:t>
            </w:r>
            <w:r w:rsidR="00330101" w:rsidRPr="00384CAC">
              <w:rPr>
                <w:rStyle w:val="InstructionsTabelleText"/>
                <w:rFonts w:ascii="Times New Roman" w:hAnsi="Times New Roman"/>
                <w:szCs w:val="20"/>
              </w:rPr>
              <w:t>column 00</w:t>
            </w:r>
            <w:r w:rsidR="00330101">
              <w:rPr>
                <w:rStyle w:val="InstructionsTabelleText"/>
                <w:rFonts w:ascii="Times New Roman" w:hAnsi="Times New Roman"/>
                <w:szCs w:val="20"/>
              </w:rPr>
              <w:t>5</w:t>
            </w:r>
            <w:r w:rsidR="00330101" w:rsidRPr="00384CAC">
              <w:rPr>
                <w:rStyle w:val="InstructionsTabelleText"/>
                <w:rFonts w:ascii="Times New Roman" w:hAnsi="Times New Roman"/>
                <w:szCs w:val="20"/>
              </w:rPr>
              <w:t>0</w:t>
            </w:r>
            <w:r w:rsidR="00330101">
              <w:rPr>
                <w:rStyle w:val="InstructionsTabelleText"/>
                <w:rFonts w:ascii="Times New Roman" w:hAnsi="Times New Roman"/>
                <w:szCs w:val="20"/>
              </w:rPr>
              <w:t xml:space="preserve">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 xml:space="preserve">tage 1 facilities), </w:t>
            </w:r>
            <w:r w:rsidR="00330101" w:rsidRPr="00384CAC">
              <w:rPr>
                <w:rStyle w:val="InstructionsTabelleText"/>
                <w:rFonts w:ascii="Times New Roman" w:hAnsi="Times New Roman"/>
                <w:szCs w:val="20"/>
              </w:rPr>
              <w:t xml:space="preserve">column </w:t>
            </w:r>
            <w:r w:rsidR="00330101">
              <w:rPr>
                <w:rStyle w:val="InstructionsTabelleText"/>
                <w:rFonts w:ascii="Times New Roman" w:hAnsi="Times New Roman"/>
                <w:szCs w:val="20"/>
              </w:rPr>
              <w:t xml:space="preserve">0051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 xml:space="preserve">tage 2 facilities) and </w:t>
            </w:r>
            <w:r w:rsidR="00330101" w:rsidRPr="00384CAC">
              <w:rPr>
                <w:rStyle w:val="InstructionsTabelleText"/>
                <w:rFonts w:ascii="Times New Roman" w:hAnsi="Times New Roman"/>
                <w:szCs w:val="20"/>
              </w:rPr>
              <w:t>column</w:t>
            </w:r>
            <w:r w:rsidR="00330101">
              <w:rPr>
                <w:rStyle w:val="InstructionsTabelleText"/>
                <w:rFonts w:ascii="Times New Roman" w:hAnsi="Times New Roman"/>
                <w:szCs w:val="20"/>
              </w:rPr>
              <w:t xml:space="preserve"> 0052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tage 3 facilities)</w:t>
            </w:r>
            <w:r w:rsidR="00330101" w:rsidRPr="00384CAC">
              <w:rPr>
                <w:rFonts w:ascii="Times New Roman" w:hAnsi="Times New Roman"/>
                <w:szCs w:val="20"/>
              </w:rPr>
              <w:t>.</w:t>
            </w:r>
          </w:p>
        </w:tc>
      </w:tr>
      <w:tr w:rsidR="00384CAC" w:rsidRPr="00384CAC" w14:paraId="686AF277" w14:textId="77777777" w:rsidTr="00511C07">
        <w:tc>
          <w:tcPr>
            <w:tcW w:w="880" w:type="dxa"/>
            <w:shd w:val="clear" w:color="auto" w:fill="auto"/>
          </w:tcPr>
          <w:p w14:paraId="7CEA7A8D" w14:textId="3CE66D33" w:rsidR="006C04CB"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6C04CB" w:rsidRPr="00384CAC">
              <w:rPr>
                <w:rStyle w:val="InstructionsTabelleText"/>
                <w:rFonts w:ascii="Times New Roman" w:hAnsi="Times New Roman"/>
                <w:szCs w:val="20"/>
              </w:rPr>
              <w:t>120</w:t>
            </w:r>
          </w:p>
        </w:tc>
        <w:tc>
          <w:tcPr>
            <w:tcW w:w="2268" w:type="dxa"/>
            <w:shd w:val="clear" w:color="auto" w:fill="auto"/>
          </w:tcPr>
          <w:p w14:paraId="4A6C6C3B" w14:textId="2584B13C" w:rsidR="006C04CB"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6C04CB" w:rsidRPr="00384CAC">
              <w:rPr>
                <w:rStyle w:val="InstructionsTabelleText"/>
                <w:rFonts w:ascii="Times New Roman" w:hAnsi="Times New Roman"/>
                <w:szCs w:val="20"/>
              </w:rPr>
              <w:t xml:space="preserve"> - 36 months</w:t>
            </w:r>
          </w:p>
        </w:tc>
        <w:tc>
          <w:tcPr>
            <w:tcW w:w="1417" w:type="dxa"/>
            <w:shd w:val="clear" w:color="auto" w:fill="auto"/>
          </w:tcPr>
          <w:p w14:paraId="3C80FAC3" w14:textId="77777777" w:rsidR="006C04CB" w:rsidRPr="00384CAC" w:rsidRDefault="006C04CB" w:rsidP="007C72BB">
            <w:pPr>
              <w:rPr>
                <w:rStyle w:val="InstructionsTabelleText"/>
                <w:rFonts w:ascii="Times New Roman" w:hAnsi="Times New Roman"/>
                <w:bCs/>
                <w:szCs w:val="20"/>
              </w:rPr>
            </w:pPr>
          </w:p>
        </w:tc>
        <w:tc>
          <w:tcPr>
            <w:tcW w:w="9752" w:type="dxa"/>
            <w:shd w:val="clear" w:color="auto" w:fill="auto"/>
          </w:tcPr>
          <w:p w14:paraId="675F9BC6" w14:textId="77777777" w:rsidR="008F2658" w:rsidRDefault="006C04CB" w:rsidP="007C72BB">
            <w:pPr>
              <w:rPr>
                <w:rStyle w:val="InstructionsTabelleText"/>
                <w:rFonts w:ascii="Times New Roman" w:hAnsi="Times New Roman"/>
                <w:szCs w:val="20"/>
              </w:rPr>
            </w:pPr>
            <w:r w:rsidRPr="00384CAC">
              <w:rPr>
                <w:rStyle w:val="InstructionsTabelleText"/>
                <w:rFonts w:ascii="Times New Roman" w:hAnsi="Times New Roman"/>
                <w:szCs w:val="20"/>
              </w:rPr>
              <w:t>The</w:t>
            </w:r>
            <w:r w:rsidR="003E25E5">
              <w:rPr>
                <w:rStyle w:val="InstructionsTabelleText"/>
                <w:rFonts w:ascii="Times New Roman" w:hAnsi="Times New Roman"/>
                <w:szCs w:val="20"/>
              </w:rPr>
              <w:t xml:space="preserve"> weighted average</w:t>
            </w:r>
            <w:r w:rsidRPr="00384CAC">
              <w:rPr>
                <w:rStyle w:val="InstructionsTabelleText"/>
                <w:rFonts w:ascii="Times New Roman" w:hAnsi="Times New Roman"/>
                <w:szCs w:val="20"/>
              </w:rPr>
              <w:t xml:space="preserve"> cumulative PD </w:t>
            </w:r>
            <w:r w:rsidR="00B72078">
              <w:rPr>
                <w:rStyle w:val="InstructionsTabelleText"/>
                <w:rFonts w:ascii="Times New Roman" w:hAnsi="Times New Roman"/>
                <w:szCs w:val="20"/>
              </w:rPr>
              <w:t>of the facilities included in the</w:t>
            </w:r>
            <w:r w:rsidR="003E25E5">
              <w:rPr>
                <w:rStyle w:val="InstructionsTabelleText"/>
                <w:rFonts w:ascii="Times New Roman" w:hAnsi="Times New Roman"/>
                <w:szCs w:val="20"/>
              </w:rPr>
              <w:t xml:space="preserve"> respective portfolio</w:t>
            </w:r>
            <w:r w:rsidR="00E00605">
              <w:rPr>
                <w:rStyle w:val="InstructionsTabelleText"/>
                <w:rFonts w:ascii="Times New Roman" w:hAnsi="Times New Roman"/>
                <w:szCs w:val="20"/>
              </w:rPr>
              <w:t>,</w:t>
            </w:r>
            <w:r w:rsidRPr="00384CAC">
              <w:rPr>
                <w:rFonts w:ascii="Times New Roman" w:hAnsi="Times New Roman"/>
                <w:szCs w:val="20"/>
              </w:rPr>
              <w:t xml:space="preserve"> representing the probability of a default event </w:t>
            </w:r>
            <w:r w:rsidR="00642016" w:rsidRPr="00384CAC">
              <w:rPr>
                <w:rFonts w:ascii="Times New Roman" w:hAnsi="Times New Roman"/>
                <w:szCs w:val="20"/>
              </w:rPr>
              <w:t xml:space="preserve">within the </w:t>
            </w:r>
            <w:r w:rsidR="007458CA" w:rsidRPr="00384CAC">
              <w:rPr>
                <w:rFonts w:ascii="Times New Roman" w:hAnsi="Times New Roman"/>
                <w:szCs w:val="20"/>
              </w:rPr>
              <w:t>36</w:t>
            </w:r>
            <w:r w:rsidRPr="00384CAC">
              <w:rPr>
                <w:rFonts w:ascii="Times New Roman" w:hAnsi="Times New Roman"/>
                <w:szCs w:val="20"/>
              </w:rPr>
              <w:t xml:space="preserve">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C253F5" w:rsidRPr="00384CAC">
              <w:rPr>
                <w:rStyle w:val="InstructionsTabelleText"/>
                <w:rFonts w:ascii="Times New Roman" w:hAnsi="Times New Roman"/>
                <w:szCs w:val="20"/>
              </w:rPr>
              <w:t xml:space="preserve"> </w:t>
            </w:r>
          </w:p>
          <w:p w14:paraId="74F7FB27" w14:textId="6ED8139C" w:rsidR="00F82FE4" w:rsidRPr="00330101" w:rsidRDefault="000C6B4D" w:rsidP="007C72BB">
            <w:pPr>
              <w:rPr>
                <w:rStyle w:val="InstructionsTabelleText"/>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Pr>
                <w:rStyle w:val="InstructionsTabelleText"/>
                <w:rFonts w:ascii="Times New Roman" w:hAnsi="Times New Roman"/>
                <w:szCs w:val="20"/>
              </w:rPr>
              <w:t xml:space="preserve">intended as the sum of the amounts </w:t>
            </w:r>
            <w:r w:rsidR="00330101" w:rsidRPr="00384CAC">
              <w:rPr>
                <w:rStyle w:val="InstructionsTabelleText"/>
                <w:rFonts w:ascii="Times New Roman" w:hAnsi="Times New Roman"/>
                <w:szCs w:val="20"/>
              </w:rPr>
              <w:t xml:space="preserve">defined </w:t>
            </w:r>
            <w:r w:rsidR="00330101">
              <w:rPr>
                <w:rStyle w:val="InstructionsTabelleText"/>
                <w:rFonts w:ascii="Times New Roman" w:hAnsi="Times New Roman"/>
                <w:szCs w:val="20"/>
              </w:rPr>
              <w:t xml:space="preserve">respectively </w:t>
            </w:r>
            <w:r w:rsidR="00330101" w:rsidRPr="00384CAC">
              <w:rPr>
                <w:rStyle w:val="InstructionsTabelleText"/>
                <w:rFonts w:ascii="Times New Roman" w:hAnsi="Times New Roman"/>
                <w:szCs w:val="20"/>
              </w:rPr>
              <w:t xml:space="preserve">in </w:t>
            </w:r>
            <w:r w:rsidR="003A5DCA">
              <w:rPr>
                <w:rFonts w:ascii="Times New Roman" w:hAnsi="Times New Roman"/>
                <w:szCs w:val="20"/>
              </w:rPr>
              <w:t xml:space="preserve">this Annex, </w:t>
            </w:r>
            <w:r w:rsidR="003A5DCA" w:rsidRPr="00384CAC">
              <w:rPr>
                <w:rStyle w:val="InstructionsTabelleText"/>
                <w:rFonts w:ascii="Times New Roman" w:hAnsi="Times New Roman"/>
                <w:szCs w:val="20"/>
              </w:rPr>
              <w:t>template</w:t>
            </w:r>
            <w:r w:rsidR="003A5DCA">
              <w:rPr>
                <w:rStyle w:val="InstructionsTabelleText"/>
                <w:rFonts w:ascii="Times New Roman" w:hAnsi="Times New Roman"/>
                <w:szCs w:val="20"/>
              </w:rPr>
              <w:t xml:space="preserve"> </w:t>
            </w:r>
            <w:r w:rsidR="003A5DCA">
              <w:rPr>
                <w:rFonts w:ascii="Times New Roman" w:hAnsi="Times New Roman"/>
                <w:szCs w:val="20"/>
              </w:rPr>
              <w:t>C.115.00,</w:t>
            </w:r>
            <w:r w:rsidR="003A5DCA" w:rsidRPr="00384CAC">
              <w:rPr>
                <w:rStyle w:val="InstructionsTabelleText"/>
                <w:rFonts w:ascii="Times New Roman" w:hAnsi="Times New Roman"/>
                <w:szCs w:val="20"/>
              </w:rPr>
              <w:t xml:space="preserve"> </w:t>
            </w:r>
            <w:r w:rsidR="00330101" w:rsidRPr="00384CAC">
              <w:rPr>
                <w:rStyle w:val="InstructionsTabelleText"/>
                <w:rFonts w:ascii="Times New Roman" w:hAnsi="Times New Roman"/>
                <w:szCs w:val="20"/>
              </w:rPr>
              <w:t>column 00</w:t>
            </w:r>
            <w:r w:rsidR="00330101">
              <w:rPr>
                <w:rStyle w:val="InstructionsTabelleText"/>
                <w:rFonts w:ascii="Times New Roman" w:hAnsi="Times New Roman"/>
                <w:szCs w:val="20"/>
              </w:rPr>
              <w:t>5</w:t>
            </w:r>
            <w:r w:rsidR="00330101" w:rsidRPr="00384CAC">
              <w:rPr>
                <w:rStyle w:val="InstructionsTabelleText"/>
                <w:rFonts w:ascii="Times New Roman" w:hAnsi="Times New Roman"/>
                <w:szCs w:val="20"/>
              </w:rPr>
              <w:t>0</w:t>
            </w:r>
            <w:r w:rsidR="00330101">
              <w:rPr>
                <w:rStyle w:val="InstructionsTabelleText"/>
                <w:rFonts w:ascii="Times New Roman" w:hAnsi="Times New Roman"/>
                <w:szCs w:val="20"/>
              </w:rPr>
              <w:t xml:space="preserve">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 xml:space="preserve">tage 1 facilities), </w:t>
            </w:r>
            <w:r w:rsidR="00330101" w:rsidRPr="00384CAC">
              <w:rPr>
                <w:rStyle w:val="InstructionsTabelleText"/>
                <w:rFonts w:ascii="Times New Roman" w:hAnsi="Times New Roman"/>
                <w:szCs w:val="20"/>
              </w:rPr>
              <w:t xml:space="preserve">column </w:t>
            </w:r>
            <w:r w:rsidR="00330101">
              <w:rPr>
                <w:rStyle w:val="InstructionsTabelleText"/>
                <w:rFonts w:ascii="Times New Roman" w:hAnsi="Times New Roman"/>
                <w:szCs w:val="20"/>
              </w:rPr>
              <w:t xml:space="preserve">0051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 xml:space="preserve">tage 2 facilities) and </w:t>
            </w:r>
            <w:r w:rsidR="00330101" w:rsidRPr="00384CAC">
              <w:rPr>
                <w:rStyle w:val="InstructionsTabelleText"/>
                <w:rFonts w:ascii="Times New Roman" w:hAnsi="Times New Roman"/>
                <w:szCs w:val="20"/>
              </w:rPr>
              <w:t>column</w:t>
            </w:r>
            <w:r w:rsidR="00330101">
              <w:rPr>
                <w:rStyle w:val="InstructionsTabelleText"/>
                <w:rFonts w:ascii="Times New Roman" w:hAnsi="Times New Roman"/>
                <w:szCs w:val="20"/>
              </w:rPr>
              <w:t xml:space="preserve"> 0052 (in case of  </w:t>
            </w:r>
            <w:r w:rsidR="009E12C8">
              <w:rPr>
                <w:rStyle w:val="InstructionsTabelleText"/>
                <w:rFonts w:ascii="Times New Roman" w:hAnsi="Times New Roman"/>
                <w:szCs w:val="20"/>
              </w:rPr>
              <w:t>s</w:t>
            </w:r>
            <w:r w:rsidR="00330101">
              <w:rPr>
                <w:rStyle w:val="InstructionsTabelleText"/>
                <w:rFonts w:ascii="Times New Roman" w:hAnsi="Times New Roman"/>
                <w:szCs w:val="20"/>
              </w:rPr>
              <w:t>tage 3 facilities)</w:t>
            </w:r>
            <w:r w:rsidR="00330101" w:rsidRPr="00384CAC">
              <w:rPr>
                <w:rFonts w:ascii="Times New Roman" w:hAnsi="Times New Roman"/>
                <w:szCs w:val="20"/>
              </w:rPr>
              <w:t>.</w:t>
            </w:r>
          </w:p>
        </w:tc>
      </w:tr>
      <w:tr w:rsidR="00384CAC" w:rsidRPr="00384CAC" w14:paraId="3C76DD99" w14:textId="77777777" w:rsidTr="00511C07">
        <w:tc>
          <w:tcPr>
            <w:tcW w:w="880" w:type="dxa"/>
            <w:shd w:val="clear" w:color="auto" w:fill="auto"/>
          </w:tcPr>
          <w:p w14:paraId="69E49D43" w14:textId="7AB53C4C" w:rsidR="006C04CB"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6C04CB" w:rsidRPr="00384CAC">
              <w:rPr>
                <w:rStyle w:val="InstructionsTabelleText"/>
                <w:rFonts w:ascii="Times New Roman" w:hAnsi="Times New Roman"/>
                <w:szCs w:val="20"/>
              </w:rPr>
              <w:t>130</w:t>
            </w:r>
          </w:p>
        </w:tc>
        <w:tc>
          <w:tcPr>
            <w:tcW w:w="2268" w:type="dxa"/>
            <w:shd w:val="clear" w:color="auto" w:fill="auto"/>
          </w:tcPr>
          <w:p w14:paraId="027211F9" w14:textId="4375623A" w:rsidR="006C04CB"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6C04CB" w:rsidRPr="00384CAC">
              <w:rPr>
                <w:rStyle w:val="InstructionsTabelleText"/>
                <w:rFonts w:ascii="Times New Roman" w:hAnsi="Times New Roman"/>
                <w:szCs w:val="20"/>
              </w:rPr>
              <w:t xml:space="preserve"> - 48 months</w:t>
            </w:r>
          </w:p>
        </w:tc>
        <w:tc>
          <w:tcPr>
            <w:tcW w:w="1417" w:type="dxa"/>
            <w:shd w:val="clear" w:color="auto" w:fill="auto"/>
          </w:tcPr>
          <w:p w14:paraId="6D282FE2" w14:textId="77777777" w:rsidR="006C04CB" w:rsidRPr="00384CAC" w:rsidRDefault="006C04CB" w:rsidP="007C72BB">
            <w:pPr>
              <w:rPr>
                <w:rStyle w:val="InstructionsTabelleText"/>
                <w:rFonts w:ascii="Times New Roman" w:hAnsi="Times New Roman"/>
                <w:bCs/>
                <w:szCs w:val="20"/>
              </w:rPr>
            </w:pPr>
          </w:p>
        </w:tc>
        <w:tc>
          <w:tcPr>
            <w:tcW w:w="9752" w:type="dxa"/>
            <w:shd w:val="clear" w:color="auto" w:fill="auto"/>
          </w:tcPr>
          <w:p w14:paraId="31B72EC0" w14:textId="77777777" w:rsidR="008F2658" w:rsidRDefault="006C04CB" w:rsidP="00330101">
            <w:pPr>
              <w:rPr>
                <w:rStyle w:val="InstructionsTabelleText"/>
                <w:rFonts w:ascii="Times New Roman" w:hAnsi="Times New Roman"/>
                <w:szCs w:val="20"/>
              </w:rPr>
            </w:pPr>
            <w:r w:rsidRPr="00384CAC">
              <w:rPr>
                <w:rStyle w:val="InstructionsTabelleText"/>
                <w:rFonts w:ascii="Times New Roman" w:hAnsi="Times New Roman"/>
                <w:szCs w:val="20"/>
              </w:rPr>
              <w:t xml:space="preserve">The </w:t>
            </w:r>
            <w:r w:rsidR="003E25E5">
              <w:rPr>
                <w:rStyle w:val="InstructionsTabelleText"/>
                <w:rFonts w:ascii="Times New Roman" w:hAnsi="Times New Roman"/>
                <w:szCs w:val="20"/>
              </w:rPr>
              <w:t>weighted average</w:t>
            </w:r>
            <w:r w:rsidR="003E25E5"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cumulative PD </w:t>
            </w:r>
            <w:r w:rsidR="00B72078">
              <w:rPr>
                <w:rStyle w:val="InstructionsTabelleText"/>
                <w:rFonts w:ascii="Times New Roman" w:hAnsi="Times New Roman"/>
                <w:szCs w:val="20"/>
              </w:rPr>
              <w:t>of the facilities included in the</w:t>
            </w:r>
            <w:r w:rsidR="00B72078" w:rsidRPr="00384CAC" w:rsidDel="004F4298">
              <w:rPr>
                <w:rStyle w:val="InstructionsTabelleText"/>
                <w:rFonts w:ascii="Times New Roman" w:hAnsi="Times New Roman"/>
                <w:szCs w:val="20"/>
              </w:rPr>
              <w:t xml:space="preserve"> </w:t>
            </w:r>
            <w:r w:rsidR="004F4298">
              <w:rPr>
                <w:rStyle w:val="InstructionsTabelleText"/>
                <w:rFonts w:ascii="Times New Roman" w:hAnsi="Times New Roman"/>
                <w:szCs w:val="20"/>
              </w:rPr>
              <w:t>respective portfolio</w:t>
            </w:r>
            <w:r w:rsidR="00E00605">
              <w:rPr>
                <w:rStyle w:val="InstructionsTabelleText"/>
                <w:rFonts w:ascii="Times New Roman" w:hAnsi="Times New Roman"/>
                <w:szCs w:val="20"/>
              </w:rPr>
              <w:t>,</w:t>
            </w:r>
            <w:r w:rsidRPr="00384CAC">
              <w:rPr>
                <w:rFonts w:ascii="Times New Roman" w:hAnsi="Times New Roman"/>
                <w:szCs w:val="20"/>
              </w:rPr>
              <w:t xml:space="preserve"> representing the probability of a default event </w:t>
            </w:r>
            <w:r w:rsidR="00642016" w:rsidRPr="00384CAC">
              <w:rPr>
                <w:rFonts w:ascii="Times New Roman" w:hAnsi="Times New Roman"/>
                <w:szCs w:val="20"/>
              </w:rPr>
              <w:t xml:space="preserve">within the </w:t>
            </w:r>
            <w:r w:rsidR="007458CA" w:rsidRPr="00384CAC">
              <w:rPr>
                <w:rFonts w:ascii="Times New Roman" w:hAnsi="Times New Roman"/>
                <w:szCs w:val="20"/>
              </w:rPr>
              <w:t>48</w:t>
            </w:r>
            <w:r w:rsidRPr="00384CAC">
              <w:rPr>
                <w:rFonts w:ascii="Times New Roman" w:hAnsi="Times New Roman"/>
                <w:szCs w:val="20"/>
              </w:rPr>
              <w:t xml:space="preserve">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C253F5" w:rsidRPr="00384CAC">
              <w:rPr>
                <w:rStyle w:val="InstructionsTabelleText"/>
                <w:rFonts w:ascii="Times New Roman" w:hAnsi="Times New Roman"/>
                <w:szCs w:val="20"/>
              </w:rPr>
              <w:t xml:space="preserve"> </w:t>
            </w:r>
          </w:p>
          <w:p w14:paraId="5BFAB822" w14:textId="50F30269" w:rsidR="00F82FE4" w:rsidRPr="00384CAC" w:rsidRDefault="000C6B4D" w:rsidP="007C72BB">
            <w:pPr>
              <w:rPr>
                <w:rStyle w:val="InstructionsTabelleText"/>
                <w:rFonts w:ascii="Times New Roman" w:hAnsi="Times New Roman"/>
                <w:bCs/>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sidRPr="006B5ABD">
              <w:rPr>
                <w:rStyle w:val="InstructionsTabelleText"/>
                <w:rFonts w:ascii="Times New Roman" w:hAnsi="Times New Roman"/>
                <w:szCs w:val="20"/>
              </w:rPr>
              <w:t xml:space="preserve">intended as the sum of the amounts defined respectively </w:t>
            </w:r>
            <w:r w:rsidR="003A5DCA">
              <w:rPr>
                <w:rStyle w:val="InstructionsTabelleText"/>
                <w:rFonts w:ascii="Times New Roman" w:hAnsi="Times New Roman"/>
                <w:szCs w:val="20"/>
              </w:rPr>
              <w:t xml:space="preserve">in </w:t>
            </w:r>
            <w:r w:rsidR="003A5DCA" w:rsidRPr="006B5ABD">
              <w:rPr>
                <w:rFonts w:ascii="Times New Roman" w:hAnsi="Times New Roman"/>
                <w:szCs w:val="20"/>
              </w:rPr>
              <w:t>this Annex</w:t>
            </w:r>
            <w:r w:rsidR="003A5DCA">
              <w:rPr>
                <w:rFonts w:ascii="Times New Roman" w:hAnsi="Times New Roman"/>
                <w:szCs w:val="20"/>
              </w:rPr>
              <w:t xml:space="preserve">, </w:t>
            </w:r>
            <w:r w:rsidR="003A5DCA" w:rsidRPr="006B5ABD">
              <w:rPr>
                <w:rStyle w:val="InstructionsTabelleText"/>
                <w:rFonts w:ascii="Times New Roman" w:hAnsi="Times New Roman"/>
                <w:szCs w:val="20"/>
              </w:rPr>
              <w:t xml:space="preserve">template </w:t>
            </w:r>
            <w:r w:rsidR="003A5DCA" w:rsidRPr="006B5ABD">
              <w:rPr>
                <w:rFonts w:ascii="Times New Roman" w:hAnsi="Times New Roman"/>
                <w:szCs w:val="20"/>
              </w:rPr>
              <w:t>C.115.00</w:t>
            </w:r>
            <w:r w:rsidR="003A5DCA">
              <w:rPr>
                <w:rFonts w:ascii="Times New Roman" w:hAnsi="Times New Roman"/>
                <w:szCs w:val="20"/>
              </w:rPr>
              <w:t>,</w:t>
            </w:r>
            <w:r w:rsidR="003A5DCA" w:rsidRPr="006B5ABD">
              <w:rPr>
                <w:rStyle w:val="InstructionsTabelleText"/>
                <w:rFonts w:ascii="Times New Roman" w:hAnsi="Times New Roman"/>
                <w:szCs w:val="20"/>
              </w:rPr>
              <w:t xml:space="preserve"> </w:t>
            </w:r>
            <w:r w:rsidR="00330101" w:rsidRPr="006B5ABD">
              <w:rPr>
                <w:rStyle w:val="InstructionsTabelleText"/>
                <w:rFonts w:ascii="Times New Roman" w:hAnsi="Times New Roman"/>
                <w:szCs w:val="20"/>
              </w:rPr>
              <w:t xml:space="preserve">column </w:t>
            </w:r>
            <w:r w:rsidR="00330101" w:rsidRPr="006B5ABD">
              <w:rPr>
                <w:rStyle w:val="InstructionsTabelleText"/>
                <w:rFonts w:ascii="Times New Roman" w:hAnsi="Times New Roman"/>
                <w:szCs w:val="20"/>
              </w:rPr>
              <w:lastRenderedPageBreak/>
              <w:t xml:space="preserve">0050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1 facilities), column 0051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2 facilities) and column 0052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3 facilities) </w:t>
            </w:r>
            <w:r w:rsidR="00330101" w:rsidRPr="006B5ABD">
              <w:rPr>
                <w:rFonts w:ascii="Times New Roman" w:hAnsi="Times New Roman"/>
                <w:szCs w:val="20"/>
              </w:rPr>
              <w:t>.</w:t>
            </w:r>
          </w:p>
        </w:tc>
      </w:tr>
      <w:tr w:rsidR="00384CAC" w:rsidRPr="00384CAC" w14:paraId="3527FF1C" w14:textId="77777777" w:rsidTr="00511C07">
        <w:tc>
          <w:tcPr>
            <w:tcW w:w="880" w:type="dxa"/>
            <w:shd w:val="clear" w:color="auto" w:fill="auto"/>
          </w:tcPr>
          <w:p w14:paraId="372009FA" w14:textId="4C3A432A" w:rsidR="006C04CB"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lastRenderedPageBreak/>
              <w:t>0</w:t>
            </w:r>
            <w:r w:rsidR="006C04CB" w:rsidRPr="00384CAC">
              <w:rPr>
                <w:rStyle w:val="InstructionsTabelleText"/>
                <w:rFonts w:ascii="Times New Roman" w:hAnsi="Times New Roman"/>
                <w:szCs w:val="20"/>
              </w:rPr>
              <w:t>140</w:t>
            </w:r>
          </w:p>
        </w:tc>
        <w:tc>
          <w:tcPr>
            <w:tcW w:w="2268" w:type="dxa"/>
            <w:shd w:val="clear" w:color="auto" w:fill="auto"/>
          </w:tcPr>
          <w:p w14:paraId="632B9C07" w14:textId="59649C3C" w:rsidR="006C04CB"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6C04CB" w:rsidRPr="00384CAC">
              <w:rPr>
                <w:rStyle w:val="InstructionsTabelleText"/>
                <w:rFonts w:ascii="Times New Roman" w:hAnsi="Times New Roman"/>
                <w:szCs w:val="20"/>
              </w:rPr>
              <w:t xml:space="preserve"> - 60 months</w:t>
            </w:r>
          </w:p>
        </w:tc>
        <w:tc>
          <w:tcPr>
            <w:tcW w:w="1417" w:type="dxa"/>
            <w:shd w:val="clear" w:color="auto" w:fill="auto"/>
          </w:tcPr>
          <w:p w14:paraId="1B0D9B14" w14:textId="77777777" w:rsidR="006C04CB" w:rsidRPr="00384CAC" w:rsidRDefault="006C04CB" w:rsidP="007C72BB">
            <w:pPr>
              <w:rPr>
                <w:rStyle w:val="InstructionsTabelleText"/>
                <w:rFonts w:ascii="Times New Roman" w:hAnsi="Times New Roman"/>
                <w:bCs/>
                <w:szCs w:val="20"/>
              </w:rPr>
            </w:pPr>
          </w:p>
        </w:tc>
        <w:tc>
          <w:tcPr>
            <w:tcW w:w="9752" w:type="dxa"/>
            <w:shd w:val="clear" w:color="auto" w:fill="auto"/>
          </w:tcPr>
          <w:p w14:paraId="3ED91133" w14:textId="77777777" w:rsidR="008F2658" w:rsidRDefault="006C04CB" w:rsidP="00330101">
            <w:pPr>
              <w:rPr>
                <w:rStyle w:val="InstructionsTabelleText"/>
                <w:rFonts w:ascii="Times New Roman" w:hAnsi="Times New Roman"/>
                <w:szCs w:val="20"/>
              </w:rPr>
            </w:pPr>
            <w:r w:rsidRPr="00384CAC">
              <w:rPr>
                <w:rStyle w:val="InstructionsTabelleText"/>
                <w:rFonts w:ascii="Times New Roman" w:hAnsi="Times New Roman"/>
                <w:szCs w:val="20"/>
              </w:rPr>
              <w:t xml:space="preserve">The </w:t>
            </w:r>
            <w:r w:rsidR="004F4298">
              <w:rPr>
                <w:rStyle w:val="InstructionsTabelleText"/>
                <w:rFonts w:ascii="Times New Roman" w:hAnsi="Times New Roman"/>
                <w:szCs w:val="20"/>
              </w:rPr>
              <w:t>weighted average</w:t>
            </w:r>
            <w:r w:rsidR="004F4298"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cumulative PD </w:t>
            </w:r>
            <w:r w:rsidR="00B72078">
              <w:rPr>
                <w:rStyle w:val="InstructionsTabelleText"/>
                <w:rFonts w:ascii="Times New Roman" w:hAnsi="Times New Roman"/>
                <w:szCs w:val="20"/>
              </w:rPr>
              <w:t>of the facilities included in the</w:t>
            </w:r>
            <w:r w:rsidR="004F4298">
              <w:rPr>
                <w:rStyle w:val="InstructionsTabelleText"/>
                <w:rFonts w:ascii="Times New Roman" w:hAnsi="Times New Roman"/>
                <w:szCs w:val="20"/>
              </w:rPr>
              <w:t xml:space="preserve"> respective portfolio</w:t>
            </w:r>
            <w:r w:rsidR="00E00605">
              <w:rPr>
                <w:rStyle w:val="InstructionsTabelleText"/>
                <w:rFonts w:ascii="Times New Roman" w:hAnsi="Times New Roman"/>
                <w:szCs w:val="20"/>
              </w:rPr>
              <w:t>,</w:t>
            </w:r>
            <w:r w:rsidRPr="00384CAC">
              <w:rPr>
                <w:rFonts w:ascii="Times New Roman" w:hAnsi="Times New Roman"/>
                <w:szCs w:val="20"/>
              </w:rPr>
              <w:t xml:space="preserve"> representing the probability of a default event </w:t>
            </w:r>
            <w:r w:rsidR="00642016" w:rsidRPr="00384CAC">
              <w:rPr>
                <w:rFonts w:ascii="Times New Roman" w:hAnsi="Times New Roman"/>
                <w:szCs w:val="20"/>
              </w:rPr>
              <w:t xml:space="preserve">within the </w:t>
            </w:r>
            <w:r w:rsidR="007458CA" w:rsidRPr="00384CAC">
              <w:rPr>
                <w:rFonts w:ascii="Times New Roman" w:hAnsi="Times New Roman"/>
                <w:szCs w:val="20"/>
              </w:rPr>
              <w:t>60</w:t>
            </w:r>
            <w:r w:rsidRPr="00384CAC">
              <w:rPr>
                <w:rFonts w:ascii="Times New Roman" w:hAnsi="Times New Roman"/>
                <w:szCs w:val="20"/>
              </w:rPr>
              <w:t xml:space="preserve">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C253F5" w:rsidRPr="00384CAC">
              <w:rPr>
                <w:rStyle w:val="InstructionsTabelleText"/>
                <w:rFonts w:ascii="Times New Roman" w:hAnsi="Times New Roman"/>
                <w:szCs w:val="20"/>
              </w:rPr>
              <w:t xml:space="preserve"> </w:t>
            </w:r>
          </w:p>
          <w:p w14:paraId="3194D123" w14:textId="2C11AAB2" w:rsidR="00F82FE4" w:rsidRPr="00384CAC" w:rsidRDefault="000C6B4D" w:rsidP="007C72BB">
            <w:pPr>
              <w:rPr>
                <w:rStyle w:val="InstructionsTabelleText"/>
                <w:rFonts w:ascii="Times New Roman" w:hAnsi="Times New Roman"/>
                <w:bCs/>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sidRPr="006B5ABD">
              <w:rPr>
                <w:rStyle w:val="InstructionsTabelleText"/>
                <w:rFonts w:ascii="Times New Roman" w:hAnsi="Times New Roman"/>
                <w:szCs w:val="20"/>
              </w:rPr>
              <w:t xml:space="preserve">intended as the sum of the amounts defined respectively </w:t>
            </w:r>
            <w:r w:rsidR="003A5DCA">
              <w:rPr>
                <w:rStyle w:val="InstructionsTabelleText"/>
                <w:rFonts w:ascii="Times New Roman" w:hAnsi="Times New Roman"/>
                <w:szCs w:val="20"/>
              </w:rPr>
              <w:t xml:space="preserve">in </w:t>
            </w:r>
            <w:r w:rsidR="003A5DCA" w:rsidRPr="006B5ABD">
              <w:rPr>
                <w:rFonts w:ascii="Times New Roman" w:hAnsi="Times New Roman"/>
                <w:szCs w:val="20"/>
              </w:rPr>
              <w:t>this Annex</w:t>
            </w:r>
            <w:r w:rsidR="003A5DCA">
              <w:rPr>
                <w:rFonts w:ascii="Times New Roman" w:hAnsi="Times New Roman"/>
                <w:szCs w:val="20"/>
              </w:rPr>
              <w:t xml:space="preserve">, </w:t>
            </w:r>
            <w:r w:rsidR="003A5DCA" w:rsidRPr="006B5ABD">
              <w:rPr>
                <w:rStyle w:val="InstructionsTabelleText"/>
                <w:rFonts w:ascii="Times New Roman" w:hAnsi="Times New Roman"/>
                <w:szCs w:val="20"/>
              </w:rPr>
              <w:t xml:space="preserve">template </w:t>
            </w:r>
            <w:r w:rsidR="003A5DCA" w:rsidRPr="006B5ABD">
              <w:rPr>
                <w:rFonts w:ascii="Times New Roman" w:hAnsi="Times New Roman"/>
                <w:szCs w:val="20"/>
              </w:rPr>
              <w:t>C.115.00</w:t>
            </w:r>
            <w:r w:rsidR="003A5DCA">
              <w:rPr>
                <w:rFonts w:ascii="Times New Roman" w:hAnsi="Times New Roman"/>
                <w:szCs w:val="20"/>
              </w:rPr>
              <w:t>,</w:t>
            </w:r>
            <w:r w:rsidR="003A5DCA" w:rsidRPr="006B5ABD">
              <w:rPr>
                <w:rStyle w:val="InstructionsTabelleText"/>
                <w:rFonts w:ascii="Times New Roman" w:hAnsi="Times New Roman"/>
                <w:szCs w:val="20"/>
              </w:rPr>
              <w:t xml:space="preserve"> </w:t>
            </w:r>
            <w:r w:rsidR="00330101" w:rsidRPr="006B5ABD">
              <w:rPr>
                <w:rStyle w:val="InstructionsTabelleText"/>
                <w:rFonts w:ascii="Times New Roman" w:hAnsi="Times New Roman"/>
                <w:szCs w:val="20"/>
              </w:rPr>
              <w:t xml:space="preserve"> column 0050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1 facilities), column 0051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2 facilities) and column 0052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tage 3 facilities)</w:t>
            </w:r>
            <w:r w:rsidR="00330101" w:rsidRPr="006B5ABD">
              <w:rPr>
                <w:rFonts w:ascii="Times New Roman" w:hAnsi="Times New Roman"/>
                <w:szCs w:val="20"/>
              </w:rPr>
              <w:t>.</w:t>
            </w:r>
          </w:p>
        </w:tc>
      </w:tr>
      <w:tr w:rsidR="00384CAC" w:rsidRPr="00384CAC" w14:paraId="28072995" w14:textId="77777777" w:rsidTr="00511C07">
        <w:tc>
          <w:tcPr>
            <w:tcW w:w="880" w:type="dxa"/>
            <w:shd w:val="clear" w:color="auto" w:fill="auto"/>
          </w:tcPr>
          <w:p w14:paraId="0B6C5618" w14:textId="309D130B" w:rsidR="007458CA"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7458CA" w:rsidRPr="00384CAC">
              <w:rPr>
                <w:rStyle w:val="InstructionsTabelleText"/>
                <w:rFonts w:ascii="Times New Roman" w:hAnsi="Times New Roman"/>
                <w:szCs w:val="20"/>
              </w:rPr>
              <w:t>150</w:t>
            </w:r>
          </w:p>
        </w:tc>
        <w:tc>
          <w:tcPr>
            <w:tcW w:w="2268" w:type="dxa"/>
            <w:shd w:val="clear" w:color="auto" w:fill="auto"/>
          </w:tcPr>
          <w:p w14:paraId="562F9FFF" w14:textId="3AE9021C" w:rsidR="007458CA"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7458CA" w:rsidRPr="00384CAC">
              <w:rPr>
                <w:rStyle w:val="InstructionsTabelleText"/>
                <w:rFonts w:ascii="Times New Roman" w:hAnsi="Times New Roman"/>
                <w:szCs w:val="20"/>
              </w:rPr>
              <w:t xml:space="preserve"> - 72 months</w:t>
            </w:r>
          </w:p>
        </w:tc>
        <w:tc>
          <w:tcPr>
            <w:tcW w:w="1417" w:type="dxa"/>
            <w:shd w:val="clear" w:color="auto" w:fill="auto"/>
          </w:tcPr>
          <w:p w14:paraId="7C19EC33" w14:textId="77777777" w:rsidR="007458CA" w:rsidRPr="00384CAC" w:rsidRDefault="007458CA" w:rsidP="007C72BB">
            <w:pPr>
              <w:rPr>
                <w:rStyle w:val="InstructionsTabelleText"/>
                <w:rFonts w:ascii="Times New Roman" w:hAnsi="Times New Roman"/>
                <w:bCs/>
                <w:szCs w:val="20"/>
              </w:rPr>
            </w:pPr>
          </w:p>
        </w:tc>
        <w:tc>
          <w:tcPr>
            <w:tcW w:w="9752" w:type="dxa"/>
            <w:shd w:val="clear" w:color="auto" w:fill="auto"/>
          </w:tcPr>
          <w:p w14:paraId="458C8333" w14:textId="77777777" w:rsidR="008F2658" w:rsidRDefault="007458CA" w:rsidP="00330101">
            <w:pPr>
              <w:rPr>
                <w:rStyle w:val="InstructionsTabelleText"/>
                <w:rFonts w:ascii="Times New Roman" w:hAnsi="Times New Roman"/>
                <w:szCs w:val="20"/>
              </w:rPr>
            </w:pPr>
            <w:r w:rsidRPr="00384CAC">
              <w:rPr>
                <w:rStyle w:val="InstructionsTabelleText"/>
                <w:rFonts w:ascii="Times New Roman" w:hAnsi="Times New Roman"/>
                <w:szCs w:val="20"/>
              </w:rPr>
              <w:t xml:space="preserve">The </w:t>
            </w:r>
            <w:r w:rsidR="004F4298">
              <w:rPr>
                <w:rStyle w:val="InstructionsTabelleText"/>
                <w:rFonts w:ascii="Times New Roman" w:hAnsi="Times New Roman"/>
                <w:szCs w:val="20"/>
              </w:rPr>
              <w:t>weighted average</w:t>
            </w:r>
            <w:r w:rsidR="004F4298"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cumulative PD </w:t>
            </w:r>
            <w:r w:rsidR="009E6F52">
              <w:rPr>
                <w:rStyle w:val="InstructionsTabelleText"/>
                <w:rFonts w:ascii="Times New Roman" w:hAnsi="Times New Roman"/>
                <w:szCs w:val="20"/>
              </w:rPr>
              <w:t>of the facilities included in the</w:t>
            </w:r>
            <w:r w:rsidR="004F4298">
              <w:rPr>
                <w:rStyle w:val="InstructionsTabelleText"/>
                <w:rFonts w:ascii="Times New Roman" w:hAnsi="Times New Roman"/>
                <w:szCs w:val="20"/>
              </w:rPr>
              <w:t xml:space="preserve"> respective portfolio</w:t>
            </w:r>
            <w:r w:rsidR="00E00605">
              <w:rPr>
                <w:rStyle w:val="InstructionsTabelleText"/>
                <w:rFonts w:ascii="Times New Roman" w:hAnsi="Times New Roman"/>
                <w:szCs w:val="20"/>
              </w:rPr>
              <w:t>,</w:t>
            </w:r>
            <w:r w:rsidRPr="00384CAC">
              <w:rPr>
                <w:rFonts w:ascii="Times New Roman" w:hAnsi="Times New Roman"/>
                <w:szCs w:val="20"/>
              </w:rPr>
              <w:t xml:space="preserve"> representing the probability of a default event within the 72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C253F5" w:rsidRPr="00384CAC">
              <w:rPr>
                <w:rStyle w:val="InstructionsTabelleText"/>
                <w:rFonts w:ascii="Times New Roman" w:hAnsi="Times New Roman"/>
                <w:szCs w:val="20"/>
              </w:rPr>
              <w:t xml:space="preserve"> </w:t>
            </w:r>
          </w:p>
          <w:p w14:paraId="09875651" w14:textId="01394B0A" w:rsidR="00F82FE4" w:rsidRPr="00384CAC" w:rsidRDefault="000C6B4D" w:rsidP="007C72BB">
            <w:pPr>
              <w:rPr>
                <w:rStyle w:val="InstructionsTabelleText"/>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sidRPr="006B5ABD">
              <w:rPr>
                <w:rStyle w:val="InstructionsTabelleText"/>
                <w:rFonts w:ascii="Times New Roman" w:hAnsi="Times New Roman"/>
                <w:szCs w:val="20"/>
              </w:rPr>
              <w:t>intended as the sum of the amounts defined respectively in</w:t>
            </w:r>
            <w:r w:rsidR="003A5DCA">
              <w:rPr>
                <w:rStyle w:val="InstructionsTabelleText"/>
                <w:rFonts w:ascii="Times New Roman" w:hAnsi="Times New Roman"/>
                <w:szCs w:val="20"/>
              </w:rPr>
              <w:t xml:space="preserve"> </w:t>
            </w:r>
            <w:r w:rsidR="003A5DCA" w:rsidRPr="006B5ABD">
              <w:rPr>
                <w:rFonts w:ascii="Times New Roman" w:hAnsi="Times New Roman"/>
                <w:szCs w:val="20"/>
              </w:rPr>
              <w:t>this Annex</w:t>
            </w:r>
            <w:r w:rsidR="003A5DCA">
              <w:rPr>
                <w:rFonts w:ascii="Times New Roman" w:hAnsi="Times New Roman"/>
                <w:szCs w:val="20"/>
              </w:rPr>
              <w:t xml:space="preserve">, </w:t>
            </w:r>
            <w:r w:rsidR="003A5DCA" w:rsidRPr="006B5ABD">
              <w:rPr>
                <w:rStyle w:val="InstructionsTabelleText"/>
                <w:rFonts w:ascii="Times New Roman" w:hAnsi="Times New Roman"/>
                <w:szCs w:val="20"/>
              </w:rPr>
              <w:t xml:space="preserve">template </w:t>
            </w:r>
            <w:r w:rsidR="003A5DCA" w:rsidRPr="006B5ABD">
              <w:rPr>
                <w:rFonts w:ascii="Times New Roman" w:hAnsi="Times New Roman"/>
                <w:szCs w:val="20"/>
              </w:rPr>
              <w:t>C.115.00</w:t>
            </w:r>
            <w:r w:rsidR="003A5DCA">
              <w:rPr>
                <w:rFonts w:ascii="Times New Roman" w:hAnsi="Times New Roman"/>
                <w:szCs w:val="20"/>
              </w:rPr>
              <w:t>,</w:t>
            </w:r>
            <w:r w:rsidR="003A5DCA" w:rsidRPr="006B5ABD">
              <w:rPr>
                <w:rStyle w:val="InstructionsTabelleText"/>
                <w:rFonts w:ascii="Times New Roman" w:hAnsi="Times New Roman"/>
                <w:szCs w:val="20"/>
              </w:rPr>
              <w:t xml:space="preserve"> </w:t>
            </w:r>
            <w:r w:rsidR="00330101" w:rsidRPr="006B5ABD">
              <w:rPr>
                <w:rStyle w:val="InstructionsTabelleText"/>
                <w:rFonts w:ascii="Times New Roman" w:hAnsi="Times New Roman"/>
                <w:szCs w:val="20"/>
              </w:rPr>
              <w:t xml:space="preserve"> column 0050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1 facilities), column 0051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2 facilities) and column 0052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tage 3 facilities)</w:t>
            </w:r>
            <w:r w:rsidR="00330101" w:rsidRPr="006B5ABD">
              <w:rPr>
                <w:rFonts w:ascii="Times New Roman" w:hAnsi="Times New Roman"/>
                <w:szCs w:val="20"/>
              </w:rPr>
              <w:t>.</w:t>
            </w:r>
          </w:p>
        </w:tc>
      </w:tr>
      <w:tr w:rsidR="00384CAC" w:rsidRPr="00384CAC" w14:paraId="0986150B" w14:textId="77777777" w:rsidTr="00511C07">
        <w:tc>
          <w:tcPr>
            <w:tcW w:w="880" w:type="dxa"/>
            <w:shd w:val="clear" w:color="auto" w:fill="auto"/>
          </w:tcPr>
          <w:p w14:paraId="35D30FE6" w14:textId="35A05028" w:rsidR="007458CA"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7458CA" w:rsidRPr="00384CAC">
              <w:rPr>
                <w:rStyle w:val="InstructionsTabelleText"/>
                <w:rFonts w:ascii="Times New Roman" w:hAnsi="Times New Roman"/>
                <w:szCs w:val="20"/>
              </w:rPr>
              <w:t>160</w:t>
            </w:r>
          </w:p>
        </w:tc>
        <w:tc>
          <w:tcPr>
            <w:tcW w:w="2268" w:type="dxa"/>
            <w:shd w:val="clear" w:color="auto" w:fill="auto"/>
          </w:tcPr>
          <w:p w14:paraId="7D15AB11" w14:textId="3FD3AFB5" w:rsidR="007458CA"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7458CA" w:rsidRPr="00384CAC">
              <w:rPr>
                <w:rStyle w:val="InstructionsTabelleText"/>
                <w:rFonts w:ascii="Times New Roman" w:hAnsi="Times New Roman"/>
                <w:szCs w:val="20"/>
              </w:rPr>
              <w:t xml:space="preserve"> - 84 months</w:t>
            </w:r>
          </w:p>
        </w:tc>
        <w:tc>
          <w:tcPr>
            <w:tcW w:w="1417" w:type="dxa"/>
            <w:shd w:val="clear" w:color="auto" w:fill="auto"/>
          </w:tcPr>
          <w:p w14:paraId="43509413" w14:textId="77777777" w:rsidR="007458CA" w:rsidRPr="00384CAC" w:rsidRDefault="007458CA" w:rsidP="007C72BB">
            <w:pPr>
              <w:rPr>
                <w:rStyle w:val="InstructionsTabelleText"/>
                <w:rFonts w:ascii="Times New Roman" w:hAnsi="Times New Roman"/>
                <w:bCs/>
                <w:szCs w:val="20"/>
              </w:rPr>
            </w:pPr>
          </w:p>
        </w:tc>
        <w:tc>
          <w:tcPr>
            <w:tcW w:w="9752" w:type="dxa"/>
            <w:shd w:val="clear" w:color="auto" w:fill="auto"/>
          </w:tcPr>
          <w:p w14:paraId="112DCA1E" w14:textId="77777777" w:rsidR="008F2658" w:rsidRDefault="007458CA" w:rsidP="00330101">
            <w:pPr>
              <w:rPr>
                <w:rStyle w:val="InstructionsTabelleText"/>
                <w:rFonts w:ascii="Times New Roman" w:hAnsi="Times New Roman"/>
                <w:szCs w:val="20"/>
              </w:rPr>
            </w:pPr>
            <w:r w:rsidRPr="00384CAC">
              <w:rPr>
                <w:rStyle w:val="InstructionsTabelleText"/>
                <w:rFonts w:ascii="Times New Roman" w:hAnsi="Times New Roman"/>
                <w:szCs w:val="20"/>
              </w:rPr>
              <w:t xml:space="preserve">The </w:t>
            </w:r>
            <w:r w:rsidR="004F4298">
              <w:rPr>
                <w:rStyle w:val="InstructionsTabelleText"/>
                <w:rFonts w:ascii="Times New Roman" w:hAnsi="Times New Roman"/>
                <w:szCs w:val="20"/>
              </w:rPr>
              <w:t>weighted average</w:t>
            </w:r>
            <w:r w:rsidR="004F4298"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cumulative PD </w:t>
            </w:r>
            <w:r w:rsidR="009E6F52">
              <w:rPr>
                <w:rStyle w:val="InstructionsTabelleText"/>
                <w:rFonts w:ascii="Times New Roman" w:hAnsi="Times New Roman"/>
                <w:szCs w:val="20"/>
              </w:rPr>
              <w:t>of the facilities included in the</w:t>
            </w:r>
            <w:r w:rsidR="00676EEB">
              <w:rPr>
                <w:rStyle w:val="InstructionsTabelleText"/>
                <w:rFonts w:ascii="Times New Roman" w:hAnsi="Times New Roman"/>
                <w:szCs w:val="20"/>
              </w:rPr>
              <w:t xml:space="preserve"> respective portfolio</w:t>
            </w:r>
            <w:r w:rsidR="00E00605">
              <w:rPr>
                <w:rStyle w:val="InstructionsTabelleText"/>
                <w:rFonts w:ascii="Times New Roman" w:hAnsi="Times New Roman"/>
                <w:szCs w:val="20"/>
              </w:rPr>
              <w:t>,</w:t>
            </w:r>
            <w:r w:rsidRPr="00384CAC">
              <w:rPr>
                <w:rFonts w:ascii="Times New Roman" w:hAnsi="Times New Roman"/>
                <w:szCs w:val="20"/>
              </w:rPr>
              <w:t xml:space="preserve"> representing the probability of a default event within the 84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C253F5" w:rsidRPr="00384CAC">
              <w:rPr>
                <w:rStyle w:val="InstructionsTabelleText"/>
                <w:rFonts w:ascii="Times New Roman" w:hAnsi="Times New Roman"/>
                <w:szCs w:val="20"/>
              </w:rPr>
              <w:t xml:space="preserve"> </w:t>
            </w:r>
          </w:p>
          <w:p w14:paraId="054D8222" w14:textId="5D43C2C3" w:rsidR="00F82FE4" w:rsidRPr="00384CAC" w:rsidRDefault="000C6B4D" w:rsidP="007C72BB">
            <w:pPr>
              <w:rPr>
                <w:rStyle w:val="InstructionsTabelleText"/>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sidRPr="006B5ABD">
              <w:rPr>
                <w:rStyle w:val="InstructionsTabelleText"/>
                <w:rFonts w:ascii="Times New Roman" w:hAnsi="Times New Roman"/>
                <w:szCs w:val="20"/>
              </w:rPr>
              <w:t xml:space="preserve">intended as the sum of the amounts defined respectively in </w:t>
            </w:r>
            <w:r w:rsidR="003A5DCA" w:rsidRPr="006B5ABD">
              <w:rPr>
                <w:rFonts w:ascii="Times New Roman" w:hAnsi="Times New Roman"/>
                <w:szCs w:val="20"/>
              </w:rPr>
              <w:t>this Annex</w:t>
            </w:r>
            <w:r w:rsidR="003A5DCA">
              <w:rPr>
                <w:rFonts w:ascii="Times New Roman" w:hAnsi="Times New Roman"/>
                <w:szCs w:val="20"/>
              </w:rPr>
              <w:t xml:space="preserve">, </w:t>
            </w:r>
            <w:r w:rsidR="003A5DCA" w:rsidRPr="006B5ABD">
              <w:rPr>
                <w:rStyle w:val="InstructionsTabelleText"/>
                <w:rFonts w:ascii="Times New Roman" w:hAnsi="Times New Roman"/>
                <w:szCs w:val="20"/>
              </w:rPr>
              <w:t xml:space="preserve">template </w:t>
            </w:r>
            <w:r w:rsidR="003A5DCA" w:rsidRPr="006B5ABD">
              <w:rPr>
                <w:rFonts w:ascii="Times New Roman" w:hAnsi="Times New Roman"/>
                <w:szCs w:val="20"/>
              </w:rPr>
              <w:t>C.115.00</w:t>
            </w:r>
            <w:r w:rsidR="003A5DCA">
              <w:rPr>
                <w:rFonts w:ascii="Times New Roman" w:hAnsi="Times New Roman"/>
                <w:szCs w:val="20"/>
              </w:rPr>
              <w:t>,</w:t>
            </w:r>
            <w:r w:rsidR="003A5DCA" w:rsidRPr="006B5ABD">
              <w:rPr>
                <w:rStyle w:val="InstructionsTabelleText"/>
                <w:rFonts w:ascii="Times New Roman" w:hAnsi="Times New Roman"/>
                <w:szCs w:val="20"/>
              </w:rPr>
              <w:t xml:space="preserve"> </w:t>
            </w:r>
            <w:r w:rsidR="00330101" w:rsidRPr="006B5ABD">
              <w:rPr>
                <w:rStyle w:val="InstructionsTabelleText"/>
                <w:rFonts w:ascii="Times New Roman" w:hAnsi="Times New Roman"/>
                <w:szCs w:val="20"/>
              </w:rPr>
              <w:t xml:space="preserve">column 0050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1 facilities), column 0051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2 facilities) and column 0052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tage 3 facilities)</w:t>
            </w:r>
            <w:r w:rsidR="00330101" w:rsidRPr="006B5ABD">
              <w:rPr>
                <w:rFonts w:ascii="Times New Roman" w:hAnsi="Times New Roman"/>
                <w:szCs w:val="20"/>
              </w:rPr>
              <w:t>.</w:t>
            </w:r>
          </w:p>
        </w:tc>
      </w:tr>
      <w:tr w:rsidR="00384CAC" w:rsidRPr="00384CAC" w14:paraId="4DE61847" w14:textId="77777777" w:rsidTr="00511C07">
        <w:tc>
          <w:tcPr>
            <w:tcW w:w="880" w:type="dxa"/>
            <w:shd w:val="clear" w:color="auto" w:fill="auto"/>
          </w:tcPr>
          <w:p w14:paraId="77E1ED6E" w14:textId="0BFAF1BC" w:rsidR="007458CA"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7458CA" w:rsidRPr="00384CAC">
              <w:rPr>
                <w:rStyle w:val="InstructionsTabelleText"/>
                <w:rFonts w:ascii="Times New Roman" w:hAnsi="Times New Roman"/>
                <w:szCs w:val="20"/>
              </w:rPr>
              <w:t>170</w:t>
            </w:r>
          </w:p>
        </w:tc>
        <w:tc>
          <w:tcPr>
            <w:tcW w:w="2268" w:type="dxa"/>
            <w:shd w:val="clear" w:color="auto" w:fill="auto"/>
          </w:tcPr>
          <w:p w14:paraId="315E9C22" w14:textId="41EDAA7A" w:rsidR="007458CA"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7458CA" w:rsidRPr="00384CAC">
              <w:rPr>
                <w:rStyle w:val="InstructionsTabelleText"/>
                <w:rFonts w:ascii="Times New Roman" w:hAnsi="Times New Roman"/>
                <w:szCs w:val="20"/>
              </w:rPr>
              <w:t xml:space="preserve"> - 96 months</w:t>
            </w:r>
          </w:p>
        </w:tc>
        <w:tc>
          <w:tcPr>
            <w:tcW w:w="1417" w:type="dxa"/>
            <w:shd w:val="clear" w:color="auto" w:fill="auto"/>
          </w:tcPr>
          <w:p w14:paraId="159891E8" w14:textId="77777777" w:rsidR="007458CA" w:rsidRPr="00384CAC" w:rsidRDefault="007458CA" w:rsidP="007C72BB">
            <w:pPr>
              <w:rPr>
                <w:rStyle w:val="InstructionsTabelleText"/>
                <w:rFonts w:ascii="Times New Roman" w:hAnsi="Times New Roman"/>
                <w:bCs/>
                <w:szCs w:val="20"/>
              </w:rPr>
            </w:pPr>
          </w:p>
        </w:tc>
        <w:tc>
          <w:tcPr>
            <w:tcW w:w="9752" w:type="dxa"/>
            <w:shd w:val="clear" w:color="auto" w:fill="auto"/>
          </w:tcPr>
          <w:p w14:paraId="7F37F468" w14:textId="77777777" w:rsidR="008F2658" w:rsidRDefault="007458CA" w:rsidP="00330101">
            <w:pPr>
              <w:rPr>
                <w:rStyle w:val="InstructionsTabelleText"/>
                <w:rFonts w:ascii="Times New Roman" w:hAnsi="Times New Roman"/>
                <w:szCs w:val="20"/>
              </w:rPr>
            </w:pPr>
            <w:r w:rsidRPr="00384CAC">
              <w:rPr>
                <w:rStyle w:val="InstructionsTabelleText"/>
                <w:rFonts w:ascii="Times New Roman" w:hAnsi="Times New Roman"/>
                <w:szCs w:val="20"/>
              </w:rPr>
              <w:t>The</w:t>
            </w:r>
            <w:r w:rsidR="00676EEB">
              <w:rPr>
                <w:rStyle w:val="InstructionsTabelleText"/>
                <w:rFonts w:ascii="Times New Roman" w:hAnsi="Times New Roman"/>
                <w:szCs w:val="20"/>
              </w:rPr>
              <w:t xml:space="preserve"> weighted average</w:t>
            </w:r>
            <w:r w:rsidRPr="00384CAC">
              <w:rPr>
                <w:rStyle w:val="InstructionsTabelleText"/>
                <w:rFonts w:ascii="Times New Roman" w:hAnsi="Times New Roman"/>
                <w:szCs w:val="20"/>
              </w:rPr>
              <w:t xml:space="preserve"> cumulative PD </w:t>
            </w:r>
            <w:r w:rsidR="00C56FC7">
              <w:rPr>
                <w:rStyle w:val="InstructionsTabelleText"/>
                <w:rFonts w:ascii="Times New Roman" w:hAnsi="Times New Roman"/>
                <w:szCs w:val="20"/>
              </w:rPr>
              <w:t>of the facilities included in the</w:t>
            </w:r>
            <w:r w:rsidR="00E00605">
              <w:rPr>
                <w:rStyle w:val="InstructionsTabelleText"/>
                <w:rFonts w:ascii="Times New Roman" w:hAnsi="Times New Roman"/>
                <w:szCs w:val="20"/>
              </w:rPr>
              <w:t xml:space="preserve"> respective portfolio,</w:t>
            </w:r>
            <w:r w:rsidRPr="00384CAC">
              <w:rPr>
                <w:rFonts w:ascii="Times New Roman" w:hAnsi="Times New Roman"/>
                <w:szCs w:val="20"/>
              </w:rPr>
              <w:t xml:space="preserve"> representing the probability of a default event </w:t>
            </w:r>
            <w:r w:rsidR="00642016" w:rsidRPr="00384CAC">
              <w:rPr>
                <w:rFonts w:ascii="Times New Roman" w:hAnsi="Times New Roman"/>
                <w:szCs w:val="20"/>
              </w:rPr>
              <w:t xml:space="preserve">within the </w:t>
            </w:r>
            <w:r w:rsidRPr="00384CAC">
              <w:rPr>
                <w:rFonts w:ascii="Times New Roman" w:hAnsi="Times New Roman"/>
                <w:szCs w:val="20"/>
              </w:rPr>
              <w:t>96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C253F5" w:rsidRPr="00384CAC">
              <w:rPr>
                <w:rStyle w:val="InstructionsTabelleText"/>
                <w:rFonts w:ascii="Times New Roman" w:hAnsi="Times New Roman"/>
                <w:szCs w:val="20"/>
              </w:rPr>
              <w:t xml:space="preserve"> </w:t>
            </w:r>
          </w:p>
          <w:p w14:paraId="192224AF" w14:textId="0B35B50F" w:rsidR="00F82FE4" w:rsidRPr="00384CAC" w:rsidRDefault="000C6B4D" w:rsidP="007C72BB">
            <w:pPr>
              <w:rPr>
                <w:rStyle w:val="InstructionsTabelleText"/>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sidRPr="006B5ABD">
              <w:rPr>
                <w:rStyle w:val="InstructionsTabelleText"/>
                <w:rFonts w:ascii="Times New Roman" w:hAnsi="Times New Roman"/>
                <w:szCs w:val="20"/>
              </w:rPr>
              <w:t xml:space="preserve">intended as the sum of the amounts defined respectively in </w:t>
            </w:r>
            <w:r w:rsidR="003A5DCA" w:rsidRPr="006B5ABD">
              <w:rPr>
                <w:rFonts w:ascii="Times New Roman" w:hAnsi="Times New Roman"/>
                <w:szCs w:val="20"/>
              </w:rPr>
              <w:t>this Annex</w:t>
            </w:r>
            <w:r w:rsidR="003A5DCA">
              <w:rPr>
                <w:rFonts w:ascii="Times New Roman" w:hAnsi="Times New Roman"/>
                <w:szCs w:val="20"/>
              </w:rPr>
              <w:t xml:space="preserve">, </w:t>
            </w:r>
            <w:r w:rsidR="003A5DCA" w:rsidRPr="006B5ABD">
              <w:rPr>
                <w:rStyle w:val="InstructionsTabelleText"/>
                <w:rFonts w:ascii="Times New Roman" w:hAnsi="Times New Roman"/>
                <w:szCs w:val="20"/>
              </w:rPr>
              <w:t xml:space="preserve">template </w:t>
            </w:r>
            <w:r w:rsidR="003A5DCA" w:rsidRPr="006B5ABD">
              <w:rPr>
                <w:rFonts w:ascii="Times New Roman" w:hAnsi="Times New Roman"/>
                <w:szCs w:val="20"/>
              </w:rPr>
              <w:t>C.115.00</w:t>
            </w:r>
            <w:r w:rsidR="003A5DCA">
              <w:rPr>
                <w:rFonts w:ascii="Times New Roman" w:hAnsi="Times New Roman"/>
                <w:szCs w:val="20"/>
              </w:rPr>
              <w:t>,</w:t>
            </w:r>
            <w:r w:rsidR="003A5DCA" w:rsidRPr="006B5ABD">
              <w:rPr>
                <w:rStyle w:val="InstructionsTabelleText"/>
                <w:rFonts w:ascii="Times New Roman" w:hAnsi="Times New Roman"/>
                <w:szCs w:val="20"/>
              </w:rPr>
              <w:t xml:space="preserve"> </w:t>
            </w:r>
            <w:r w:rsidR="00330101" w:rsidRPr="006B5ABD">
              <w:rPr>
                <w:rStyle w:val="InstructionsTabelleText"/>
                <w:rFonts w:ascii="Times New Roman" w:hAnsi="Times New Roman"/>
                <w:szCs w:val="20"/>
              </w:rPr>
              <w:t xml:space="preserve">column 0050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1 facilities), column 0051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2 facilities) and column 0052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tage 3 facilities)</w:t>
            </w:r>
            <w:r w:rsidR="00330101" w:rsidRPr="006B5ABD">
              <w:rPr>
                <w:rFonts w:ascii="Times New Roman" w:hAnsi="Times New Roman"/>
                <w:szCs w:val="20"/>
              </w:rPr>
              <w:t>.</w:t>
            </w:r>
          </w:p>
        </w:tc>
      </w:tr>
      <w:tr w:rsidR="00384CAC" w:rsidRPr="00384CAC" w14:paraId="13BB7F0A" w14:textId="77777777" w:rsidTr="00511C07">
        <w:tc>
          <w:tcPr>
            <w:tcW w:w="880" w:type="dxa"/>
            <w:shd w:val="clear" w:color="auto" w:fill="auto"/>
          </w:tcPr>
          <w:p w14:paraId="0F3E394F" w14:textId="00F01DAA" w:rsidR="007458CA"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7458CA" w:rsidRPr="00384CAC">
              <w:rPr>
                <w:rStyle w:val="InstructionsTabelleText"/>
                <w:rFonts w:ascii="Times New Roman" w:hAnsi="Times New Roman"/>
                <w:szCs w:val="20"/>
              </w:rPr>
              <w:t>180</w:t>
            </w:r>
          </w:p>
        </w:tc>
        <w:tc>
          <w:tcPr>
            <w:tcW w:w="2268" w:type="dxa"/>
            <w:shd w:val="clear" w:color="auto" w:fill="auto"/>
          </w:tcPr>
          <w:p w14:paraId="6129332F" w14:textId="288DE325" w:rsidR="007458CA"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7458CA" w:rsidRPr="00384CAC">
              <w:rPr>
                <w:rStyle w:val="InstructionsTabelleText"/>
                <w:rFonts w:ascii="Times New Roman" w:hAnsi="Times New Roman"/>
                <w:szCs w:val="20"/>
              </w:rPr>
              <w:t xml:space="preserve"> - 108 months</w:t>
            </w:r>
          </w:p>
        </w:tc>
        <w:tc>
          <w:tcPr>
            <w:tcW w:w="1417" w:type="dxa"/>
            <w:shd w:val="clear" w:color="auto" w:fill="auto"/>
          </w:tcPr>
          <w:p w14:paraId="049D87B7" w14:textId="77777777" w:rsidR="007458CA" w:rsidRPr="00384CAC" w:rsidRDefault="007458CA" w:rsidP="007C72BB">
            <w:pPr>
              <w:rPr>
                <w:rStyle w:val="InstructionsTabelleText"/>
                <w:rFonts w:ascii="Times New Roman" w:hAnsi="Times New Roman"/>
                <w:bCs/>
                <w:szCs w:val="20"/>
              </w:rPr>
            </w:pPr>
          </w:p>
        </w:tc>
        <w:tc>
          <w:tcPr>
            <w:tcW w:w="9752" w:type="dxa"/>
            <w:shd w:val="clear" w:color="auto" w:fill="auto"/>
          </w:tcPr>
          <w:p w14:paraId="6E302809" w14:textId="77777777" w:rsidR="008F2658" w:rsidRDefault="007458CA" w:rsidP="00330101">
            <w:pPr>
              <w:rPr>
                <w:rFonts w:ascii="Times New Roman" w:hAnsi="Times New Roman"/>
                <w:szCs w:val="20"/>
              </w:rPr>
            </w:pPr>
            <w:r w:rsidRPr="00384CAC">
              <w:rPr>
                <w:rStyle w:val="InstructionsTabelleText"/>
                <w:rFonts w:ascii="Times New Roman" w:hAnsi="Times New Roman"/>
                <w:szCs w:val="20"/>
              </w:rPr>
              <w:t xml:space="preserve">The </w:t>
            </w:r>
            <w:r w:rsidR="00E00605">
              <w:rPr>
                <w:rStyle w:val="InstructionsTabelleText"/>
                <w:rFonts w:ascii="Times New Roman" w:hAnsi="Times New Roman"/>
                <w:szCs w:val="20"/>
              </w:rPr>
              <w:t>weighted average</w:t>
            </w:r>
            <w:r w:rsidR="00E00605" w:rsidRPr="00384CAC">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cumulative PD </w:t>
            </w:r>
            <w:r w:rsidR="00C56FC7">
              <w:rPr>
                <w:rStyle w:val="InstructionsTabelleText"/>
                <w:rFonts w:ascii="Times New Roman" w:hAnsi="Times New Roman"/>
                <w:szCs w:val="20"/>
              </w:rPr>
              <w:t>of the facilities included in the</w:t>
            </w:r>
            <w:r w:rsidR="00C56FC7" w:rsidRPr="00384CAC" w:rsidDel="00E00605">
              <w:rPr>
                <w:rStyle w:val="InstructionsTabelleText"/>
                <w:rFonts w:ascii="Times New Roman" w:hAnsi="Times New Roman"/>
                <w:szCs w:val="20"/>
              </w:rPr>
              <w:t xml:space="preserve"> </w:t>
            </w:r>
            <w:r w:rsidR="00E00605">
              <w:rPr>
                <w:rStyle w:val="InstructionsTabelleText"/>
                <w:rFonts w:ascii="Times New Roman" w:hAnsi="Times New Roman"/>
                <w:szCs w:val="20"/>
              </w:rPr>
              <w:t>respective portfolio,</w:t>
            </w:r>
            <w:r w:rsidRPr="00384CAC">
              <w:rPr>
                <w:rFonts w:ascii="Times New Roman" w:hAnsi="Times New Roman"/>
                <w:szCs w:val="20"/>
              </w:rPr>
              <w:t xml:space="preserve"> representing the probability of a default event </w:t>
            </w:r>
            <w:r w:rsidR="00642016" w:rsidRPr="00384CAC">
              <w:rPr>
                <w:rFonts w:ascii="Times New Roman" w:hAnsi="Times New Roman"/>
                <w:szCs w:val="20"/>
              </w:rPr>
              <w:t xml:space="preserve">within the </w:t>
            </w:r>
            <w:r w:rsidRPr="00384CAC">
              <w:rPr>
                <w:rFonts w:ascii="Times New Roman" w:hAnsi="Times New Roman"/>
                <w:szCs w:val="20"/>
              </w:rPr>
              <w:t>108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0C6B4D" w:rsidRPr="00384CAC">
              <w:rPr>
                <w:rFonts w:ascii="Times New Roman" w:hAnsi="Times New Roman"/>
                <w:szCs w:val="20"/>
              </w:rPr>
              <w:t xml:space="preserve"> </w:t>
            </w:r>
          </w:p>
          <w:p w14:paraId="2A6C31B4" w14:textId="057EC1A6" w:rsidR="00F82FE4" w:rsidRPr="00384CAC" w:rsidRDefault="000C6B4D" w:rsidP="007C72BB">
            <w:pPr>
              <w:rPr>
                <w:rStyle w:val="InstructionsTabelleText"/>
                <w:rFonts w:ascii="Times New Roman" w:hAnsi="Times New Roman"/>
                <w:szCs w:val="20"/>
              </w:rPr>
            </w:pPr>
            <w:r w:rsidRPr="00384CAC">
              <w:rPr>
                <w:rFonts w:ascii="Times New Roman" w:hAnsi="Times New Roman"/>
                <w:szCs w:val="20"/>
              </w:rPr>
              <w:lastRenderedPageBreak/>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sidRPr="006B5ABD">
              <w:rPr>
                <w:rStyle w:val="InstructionsTabelleText"/>
                <w:rFonts w:ascii="Times New Roman" w:hAnsi="Times New Roman"/>
                <w:szCs w:val="20"/>
              </w:rPr>
              <w:t xml:space="preserve">intended as the sum of the amounts defined respectively in </w:t>
            </w:r>
            <w:r w:rsidR="000D5626" w:rsidRPr="006B5ABD">
              <w:rPr>
                <w:rFonts w:ascii="Times New Roman" w:hAnsi="Times New Roman"/>
                <w:szCs w:val="20"/>
              </w:rPr>
              <w:t>this Annex</w:t>
            </w:r>
            <w:r w:rsidR="000D5626">
              <w:rPr>
                <w:rFonts w:ascii="Times New Roman" w:hAnsi="Times New Roman"/>
                <w:szCs w:val="20"/>
              </w:rPr>
              <w:t xml:space="preserve">, </w:t>
            </w:r>
            <w:r w:rsidR="000D5626" w:rsidRPr="006B5ABD">
              <w:rPr>
                <w:rStyle w:val="InstructionsTabelleText"/>
                <w:rFonts w:ascii="Times New Roman" w:hAnsi="Times New Roman"/>
                <w:szCs w:val="20"/>
              </w:rPr>
              <w:t xml:space="preserve">template </w:t>
            </w:r>
            <w:r w:rsidR="000D5626" w:rsidRPr="006B5ABD">
              <w:rPr>
                <w:rFonts w:ascii="Times New Roman" w:hAnsi="Times New Roman"/>
                <w:szCs w:val="20"/>
              </w:rPr>
              <w:t>C.115.00</w:t>
            </w:r>
            <w:r w:rsidR="000D5626">
              <w:rPr>
                <w:rFonts w:ascii="Times New Roman" w:hAnsi="Times New Roman"/>
                <w:szCs w:val="20"/>
              </w:rPr>
              <w:t>,</w:t>
            </w:r>
            <w:r w:rsidR="000D5626" w:rsidRPr="006B5ABD">
              <w:rPr>
                <w:rStyle w:val="InstructionsTabelleText"/>
                <w:rFonts w:ascii="Times New Roman" w:hAnsi="Times New Roman"/>
                <w:szCs w:val="20"/>
              </w:rPr>
              <w:t xml:space="preserve"> </w:t>
            </w:r>
            <w:r w:rsidR="00330101" w:rsidRPr="006B5ABD">
              <w:rPr>
                <w:rStyle w:val="InstructionsTabelleText"/>
                <w:rFonts w:ascii="Times New Roman" w:hAnsi="Times New Roman"/>
                <w:szCs w:val="20"/>
              </w:rPr>
              <w:t xml:space="preserve">column 0050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1 facilities), column 0051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2 facilities) and column 0052 (in case </w:t>
            </w:r>
            <w:r w:rsidR="009E12C8" w:rsidRPr="006B5ABD">
              <w:rPr>
                <w:rStyle w:val="InstructionsTabelleText"/>
                <w:rFonts w:ascii="Times New Roman" w:hAnsi="Times New Roman"/>
                <w:szCs w:val="20"/>
              </w:rPr>
              <w:t>of stage</w:t>
            </w:r>
            <w:r w:rsidR="00330101" w:rsidRPr="006B5ABD">
              <w:rPr>
                <w:rStyle w:val="InstructionsTabelleText"/>
                <w:rFonts w:ascii="Times New Roman" w:hAnsi="Times New Roman"/>
                <w:szCs w:val="20"/>
              </w:rPr>
              <w:t xml:space="preserve"> 3 facilities)</w:t>
            </w:r>
            <w:r w:rsidR="00330101" w:rsidRPr="006B5ABD">
              <w:rPr>
                <w:rFonts w:ascii="Times New Roman" w:hAnsi="Times New Roman"/>
                <w:szCs w:val="20"/>
              </w:rPr>
              <w:t>.</w:t>
            </w:r>
          </w:p>
        </w:tc>
      </w:tr>
      <w:tr w:rsidR="00384CAC" w:rsidRPr="00384CAC" w14:paraId="05DED814" w14:textId="77777777" w:rsidTr="00511C07">
        <w:tc>
          <w:tcPr>
            <w:tcW w:w="880" w:type="dxa"/>
            <w:shd w:val="clear" w:color="auto" w:fill="auto"/>
          </w:tcPr>
          <w:p w14:paraId="1B056266" w14:textId="13DEA43D" w:rsidR="007458CA"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lastRenderedPageBreak/>
              <w:t>0</w:t>
            </w:r>
            <w:r w:rsidR="007458CA" w:rsidRPr="00384CAC">
              <w:rPr>
                <w:rStyle w:val="InstructionsTabelleText"/>
                <w:rFonts w:ascii="Times New Roman" w:hAnsi="Times New Roman"/>
                <w:szCs w:val="20"/>
              </w:rPr>
              <w:t>190</w:t>
            </w:r>
          </w:p>
        </w:tc>
        <w:tc>
          <w:tcPr>
            <w:tcW w:w="2268" w:type="dxa"/>
            <w:shd w:val="clear" w:color="auto" w:fill="auto"/>
          </w:tcPr>
          <w:p w14:paraId="389CACA3" w14:textId="02338CBF" w:rsidR="007458CA" w:rsidRPr="00384CAC" w:rsidRDefault="00642016" w:rsidP="007C72BB">
            <w:pPr>
              <w:rPr>
                <w:rStyle w:val="InstructionsTabelleText"/>
                <w:rFonts w:ascii="Times New Roman" w:hAnsi="Times New Roman"/>
                <w:bCs/>
                <w:szCs w:val="20"/>
              </w:rPr>
            </w:pPr>
            <w:r w:rsidRPr="00384CAC">
              <w:rPr>
                <w:rStyle w:val="InstructionsTabelleText"/>
                <w:rFonts w:ascii="Times New Roman" w:hAnsi="Times New Roman"/>
                <w:szCs w:val="20"/>
              </w:rPr>
              <w:t>PD - 0</w:t>
            </w:r>
            <w:r w:rsidR="007458CA" w:rsidRPr="00384CAC">
              <w:rPr>
                <w:rStyle w:val="InstructionsTabelleText"/>
                <w:rFonts w:ascii="Times New Roman" w:hAnsi="Times New Roman"/>
                <w:szCs w:val="20"/>
              </w:rPr>
              <w:t xml:space="preserve"> - 120 months</w:t>
            </w:r>
          </w:p>
        </w:tc>
        <w:tc>
          <w:tcPr>
            <w:tcW w:w="1417" w:type="dxa"/>
            <w:shd w:val="clear" w:color="auto" w:fill="auto"/>
          </w:tcPr>
          <w:p w14:paraId="6D97AAED" w14:textId="77777777" w:rsidR="007458CA" w:rsidRPr="00384CAC" w:rsidRDefault="007458CA" w:rsidP="007C72BB">
            <w:pPr>
              <w:rPr>
                <w:rStyle w:val="InstructionsTabelleText"/>
                <w:rFonts w:ascii="Times New Roman" w:hAnsi="Times New Roman"/>
                <w:bCs/>
                <w:szCs w:val="20"/>
              </w:rPr>
            </w:pPr>
          </w:p>
        </w:tc>
        <w:tc>
          <w:tcPr>
            <w:tcW w:w="9752" w:type="dxa"/>
            <w:shd w:val="clear" w:color="auto" w:fill="auto"/>
          </w:tcPr>
          <w:p w14:paraId="792D98C6" w14:textId="77777777" w:rsidR="008F2658" w:rsidRDefault="007458CA" w:rsidP="00330101">
            <w:pPr>
              <w:rPr>
                <w:rStyle w:val="InstructionsTabelleText"/>
                <w:rFonts w:ascii="Times New Roman" w:hAnsi="Times New Roman"/>
                <w:szCs w:val="20"/>
              </w:rPr>
            </w:pPr>
            <w:r w:rsidRPr="00384CAC">
              <w:rPr>
                <w:rStyle w:val="InstructionsTabelleText"/>
                <w:rFonts w:ascii="Times New Roman" w:hAnsi="Times New Roman"/>
                <w:szCs w:val="20"/>
              </w:rPr>
              <w:t>The</w:t>
            </w:r>
            <w:r w:rsidR="00E00605">
              <w:rPr>
                <w:rStyle w:val="InstructionsTabelleText"/>
                <w:rFonts w:ascii="Times New Roman" w:hAnsi="Times New Roman"/>
                <w:szCs w:val="20"/>
              </w:rPr>
              <w:t xml:space="preserve"> weighted average</w:t>
            </w:r>
            <w:r w:rsidRPr="00384CAC">
              <w:rPr>
                <w:rStyle w:val="InstructionsTabelleText"/>
                <w:rFonts w:ascii="Times New Roman" w:hAnsi="Times New Roman"/>
                <w:szCs w:val="20"/>
              </w:rPr>
              <w:t xml:space="preserve"> cumulative PD </w:t>
            </w:r>
            <w:r w:rsidR="00C56FC7">
              <w:rPr>
                <w:rStyle w:val="InstructionsTabelleText"/>
                <w:rFonts w:ascii="Times New Roman" w:hAnsi="Times New Roman"/>
                <w:szCs w:val="20"/>
              </w:rPr>
              <w:t>of the facilities included in the</w:t>
            </w:r>
            <w:r w:rsidR="008704B0">
              <w:rPr>
                <w:rStyle w:val="InstructionsTabelleText"/>
                <w:rFonts w:ascii="Times New Roman" w:hAnsi="Times New Roman"/>
                <w:szCs w:val="20"/>
              </w:rPr>
              <w:t xml:space="preserve"> respective portfolio,</w:t>
            </w:r>
            <w:r w:rsidRPr="00384CAC">
              <w:rPr>
                <w:rFonts w:ascii="Times New Roman" w:hAnsi="Times New Roman"/>
                <w:szCs w:val="20"/>
              </w:rPr>
              <w:t xml:space="preserve"> representing the probability of a default event </w:t>
            </w:r>
            <w:r w:rsidR="00642016" w:rsidRPr="00384CAC">
              <w:rPr>
                <w:rFonts w:ascii="Times New Roman" w:hAnsi="Times New Roman"/>
                <w:szCs w:val="20"/>
              </w:rPr>
              <w:t xml:space="preserve">within the </w:t>
            </w:r>
            <w:r w:rsidRPr="00384CAC">
              <w:rPr>
                <w:rFonts w:ascii="Times New Roman" w:hAnsi="Times New Roman"/>
                <w:szCs w:val="20"/>
              </w:rPr>
              <w:t>120 month</w:t>
            </w:r>
            <w:r w:rsidR="009C1F08" w:rsidRPr="00384CAC">
              <w:rPr>
                <w:rFonts w:ascii="Times New Roman" w:hAnsi="Times New Roman"/>
                <w:szCs w:val="20"/>
              </w:rPr>
              <w:t>s</w:t>
            </w:r>
            <w:r w:rsidRPr="00384CAC">
              <w:rPr>
                <w:rFonts w:ascii="Times New Roman" w:hAnsi="Times New Roman"/>
                <w:szCs w:val="20"/>
              </w:rPr>
              <w:t xml:space="preserve"> </w:t>
            </w:r>
            <w:r w:rsidR="009C1F08" w:rsidRPr="00384CAC">
              <w:rPr>
                <w:rFonts w:ascii="Times New Roman" w:hAnsi="Times New Roman"/>
                <w:szCs w:val="20"/>
              </w:rPr>
              <w:t>after the reporting date</w:t>
            </w:r>
            <w:r w:rsidRPr="00384CAC">
              <w:rPr>
                <w:rFonts w:ascii="Times New Roman" w:hAnsi="Times New Roman"/>
                <w:szCs w:val="20"/>
              </w:rPr>
              <w:t>, under the economic scenario considered</w:t>
            </w:r>
            <w:r w:rsidRPr="00384CAC">
              <w:rPr>
                <w:rStyle w:val="InstructionsTabelleText"/>
                <w:rFonts w:ascii="Times New Roman" w:hAnsi="Times New Roman"/>
                <w:szCs w:val="20"/>
              </w:rPr>
              <w:t>.</w:t>
            </w:r>
            <w:r w:rsidR="00C253F5" w:rsidRPr="00384CAC">
              <w:rPr>
                <w:rStyle w:val="InstructionsTabelleText"/>
                <w:rFonts w:ascii="Times New Roman" w:hAnsi="Times New Roman"/>
                <w:szCs w:val="20"/>
              </w:rPr>
              <w:t xml:space="preserve"> </w:t>
            </w:r>
          </w:p>
          <w:p w14:paraId="6E852B66" w14:textId="57C8B65E" w:rsidR="00F82FE4" w:rsidRPr="00384CAC" w:rsidRDefault="000C6B4D" w:rsidP="00AD52EC">
            <w:pPr>
              <w:rPr>
                <w:rStyle w:val="InstructionsTabelleText"/>
                <w:rFonts w:ascii="Times New Roman" w:hAnsi="Times New Roman"/>
                <w:szCs w:val="20"/>
              </w:rPr>
            </w:pPr>
            <w:r w:rsidRPr="00384CAC">
              <w:rPr>
                <w:rFonts w:ascii="Times New Roman" w:hAnsi="Times New Roman"/>
                <w:szCs w:val="20"/>
              </w:rPr>
              <w:t>The weight used to compute the weighted average</w:t>
            </w:r>
            <w:r>
              <w:rPr>
                <w:rFonts w:ascii="Times New Roman" w:hAnsi="Times New Roman"/>
                <w:szCs w:val="20"/>
              </w:rPr>
              <w:t xml:space="preserve"> cumulative PD </w:t>
            </w:r>
            <w:r w:rsidRPr="00384CAC">
              <w:rPr>
                <w:rFonts w:ascii="Times New Roman" w:hAnsi="Times New Roman"/>
                <w:szCs w:val="20"/>
              </w:rPr>
              <w:t>shall be the exposure value of the facilit</w:t>
            </w:r>
            <w:r>
              <w:rPr>
                <w:rFonts w:ascii="Times New Roman" w:hAnsi="Times New Roman"/>
                <w:szCs w:val="20"/>
              </w:rPr>
              <w:t>ies in the respective portfolio</w:t>
            </w:r>
            <w:r w:rsidRPr="00384CAC">
              <w:rPr>
                <w:rFonts w:ascii="Times New Roman" w:hAnsi="Times New Roman"/>
                <w:szCs w:val="20"/>
              </w:rPr>
              <w:t xml:space="preserve">, </w:t>
            </w:r>
            <w:r w:rsidR="00330101" w:rsidRPr="006B5ABD">
              <w:rPr>
                <w:rStyle w:val="InstructionsTabelleText"/>
                <w:rFonts w:ascii="Times New Roman" w:hAnsi="Times New Roman"/>
                <w:szCs w:val="20"/>
              </w:rPr>
              <w:t xml:space="preserve">intended as the sum of the amounts defined respectively in </w:t>
            </w:r>
            <w:r w:rsidR="000D5626" w:rsidRPr="006B5ABD">
              <w:rPr>
                <w:rFonts w:ascii="Times New Roman" w:hAnsi="Times New Roman"/>
                <w:szCs w:val="20"/>
              </w:rPr>
              <w:t>this Annex</w:t>
            </w:r>
            <w:r w:rsidR="000D5626">
              <w:rPr>
                <w:rFonts w:ascii="Times New Roman" w:hAnsi="Times New Roman"/>
                <w:szCs w:val="20"/>
              </w:rPr>
              <w:t xml:space="preserve">, </w:t>
            </w:r>
            <w:r w:rsidR="000D5626" w:rsidRPr="006B5ABD">
              <w:rPr>
                <w:rStyle w:val="InstructionsTabelleText"/>
                <w:rFonts w:ascii="Times New Roman" w:hAnsi="Times New Roman"/>
                <w:szCs w:val="20"/>
              </w:rPr>
              <w:t xml:space="preserve">template </w:t>
            </w:r>
            <w:r w:rsidR="000D5626" w:rsidRPr="006B5ABD">
              <w:rPr>
                <w:rFonts w:ascii="Times New Roman" w:hAnsi="Times New Roman"/>
                <w:szCs w:val="20"/>
              </w:rPr>
              <w:t>C.115.00</w:t>
            </w:r>
            <w:r w:rsidR="000D5626">
              <w:rPr>
                <w:rFonts w:ascii="Times New Roman" w:hAnsi="Times New Roman"/>
                <w:szCs w:val="20"/>
              </w:rPr>
              <w:t>,</w:t>
            </w:r>
            <w:r w:rsidR="000D5626" w:rsidRPr="006B5ABD">
              <w:rPr>
                <w:rStyle w:val="InstructionsTabelleText"/>
                <w:rFonts w:ascii="Times New Roman" w:hAnsi="Times New Roman"/>
                <w:szCs w:val="20"/>
              </w:rPr>
              <w:t xml:space="preserve"> </w:t>
            </w:r>
            <w:r w:rsidR="00330101" w:rsidRPr="006B5ABD">
              <w:rPr>
                <w:rStyle w:val="InstructionsTabelleText"/>
                <w:rFonts w:ascii="Times New Roman" w:hAnsi="Times New Roman"/>
                <w:szCs w:val="20"/>
              </w:rPr>
              <w:t xml:space="preserve">column 0050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1 facilities), column 0051 (in case of </w:t>
            </w:r>
            <w:r w:rsidR="009E12C8">
              <w:rPr>
                <w:rStyle w:val="InstructionsTabelleText"/>
                <w:rFonts w:ascii="Times New Roman" w:hAnsi="Times New Roman"/>
                <w:szCs w:val="20"/>
              </w:rPr>
              <w:t>s</w:t>
            </w:r>
            <w:r w:rsidR="00330101" w:rsidRPr="006B5ABD">
              <w:rPr>
                <w:rStyle w:val="InstructionsTabelleText"/>
                <w:rFonts w:ascii="Times New Roman" w:hAnsi="Times New Roman"/>
                <w:szCs w:val="20"/>
              </w:rPr>
              <w:t xml:space="preserve">tage 2 facilities) and column 0052 (in case </w:t>
            </w:r>
            <w:r w:rsidR="00B4412B" w:rsidRPr="006B5ABD">
              <w:rPr>
                <w:rStyle w:val="InstructionsTabelleText"/>
                <w:rFonts w:ascii="Times New Roman" w:hAnsi="Times New Roman"/>
                <w:szCs w:val="20"/>
              </w:rPr>
              <w:t xml:space="preserve">of </w:t>
            </w:r>
            <w:r w:rsidR="009E12C8">
              <w:rPr>
                <w:rStyle w:val="InstructionsTabelleText"/>
                <w:rFonts w:ascii="Times New Roman" w:hAnsi="Times New Roman"/>
                <w:szCs w:val="20"/>
              </w:rPr>
              <w:t>s</w:t>
            </w:r>
            <w:r w:rsidR="00B4412B" w:rsidRPr="006B5ABD">
              <w:rPr>
                <w:rStyle w:val="InstructionsTabelleText"/>
                <w:rFonts w:ascii="Times New Roman" w:hAnsi="Times New Roman"/>
                <w:szCs w:val="20"/>
              </w:rPr>
              <w:t>tage</w:t>
            </w:r>
            <w:r w:rsidR="00330101" w:rsidRPr="006B5ABD">
              <w:rPr>
                <w:rStyle w:val="InstructionsTabelleText"/>
                <w:rFonts w:ascii="Times New Roman" w:hAnsi="Times New Roman"/>
                <w:szCs w:val="20"/>
              </w:rPr>
              <w:t xml:space="preserve"> 3 facilities)</w:t>
            </w:r>
            <w:r w:rsidR="00330101" w:rsidRPr="006B5ABD">
              <w:rPr>
                <w:rFonts w:ascii="Times New Roman" w:hAnsi="Times New Roman"/>
                <w:szCs w:val="20"/>
              </w:rPr>
              <w:t>.</w:t>
            </w:r>
          </w:p>
        </w:tc>
      </w:tr>
      <w:tr w:rsidR="008704B0" w:rsidRPr="00384CAC" w14:paraId="08D84059" w14:textId="77777777" w:rsidTr="00511C07">
        <w:tc>
          <w:tcPr>
            <w:tcW w:w="880" w:type="dxa"/>
            <w:shd w:val="clear" w:color="auto" w:fill="auto"/>
          </w:tcPr>
          <w:p w14:paraId="64E035F9" w14:textId="55B3A686" w:rsidR="008704B0" w:rsidRPr="00384CAC" w:rsidRDefault="008704B0" w:rsidP="007C72BB">
            <w:pPr>
              <w:rPr>
                <w:rStyle w:val="InstructionsTabelleText"/>
                <w:rFonts w:ascii="Times New Roman" w:hAnsi="Times New Roman"/>
                <w:szCs w:val="20"/>
              </w:rPr>
            </w:pPr>
            <w:r>
              <w:rPr>
                <w:rStyle w:val="InstructionsTabelleText"/>
                <w:rFonts w:ascii="Times New Roman" w:hAnsi="Times New Roman"/>
                <w:szCs w:val="20"/>
              </w:rPr>
              <w:t>0200</w:t>
            </w:r>
          </w:p>
        </w:tc>
        <w:tc>
          <w:tcPr>
            <w:tcW w:w="2268" w:type="dxa"/>
            <w:shd w:val="clear" w:color="auto" w:fill="auto"/>
          </w:tcPr>
          <w:p w14:paraId="08838D64" w14:textId="52004F35" w:rsidR="008704B0" w:rsidRPr="004B0102" w:rsidRDefault="004B0102" w:rsidP="007C72BB">
            <w:pPr>
              <w:rPr>
                <w:rStyle w:val="InstructionsTabelleText"/>
                <w:rFonts w:ascii="Times New Roman" w:hAnsi="Times New Roman"/>
                <w:bCs/>
              </w:rPr>
            </w:pPr>
            <w:r w:rsidRPr="00384CAC">
              <w:rPr>
                <w:rStyle w:val="InstructionsTabelleText"/>
                <w:rFonts w:ascii="Times New Roman" w:hAnsi="Times New Roman"/>
                <w:szCs w:val="20"/>
              </w:rPr>
              <w:t>ECL amount</w:t>
            </w:r>
            <w:r w:rsidR="00B4412B">
              <w:rPr>
                <w:rStyle w:val="InstructionsTabelleText"/>
                <w:rFonts w:ascii="Times New Roman" w:hAnsi="Times New Roman"/>
                <w:szCs w:val="20"/>
              </w:rPr>
              <w:t xml:space="preserve"> </w:t>
            </w:r>
            <w:r w:rsidRPr="00384CAC">
              <w:rPr>
                <w:rStyle w:val="InstructionsTabelleText"/>
                <w:rFonts w:ascii="Times New Roman" w:hAnsi="Times New Roman"/>
                <w:bCs/>
                <w:szCs w:val="20"/>
              </w:rPr>
              <w:t>IFRS 9</w:t>
            </w:r>
            <w:r w:rsidR="00B4412B">
              <w:rPr>
                <w:rStyle w:val="InstructionsTabelleText"/>
                <w:rFonts w:ascii="Times New Roman" w:hAnsi="Times New Roman"/>
                <w:bCs/>
                <w:szCs w:val="20"/>
              </w:rPr>
              <w:t xml:space="preserve"> – Stage 1</w:t>
            </w:r>
          </w:p>
        </w:tc>
        <w:tc>
          <w:tcPr>
            <w:tcW w:w="1417" w:type="dxa"/>
            <w:shd w:val="clear" w:color="auto" w:fill="auto"/>
          </w:tcPr>
          <w:p w14:paraId="39D3F970" w14:textId="4A090C30" w:rsidR="008704B0" w:rsidRPr="00384CAC" w:rsidRDefault="00CF6613" w:rsidP="007C72BB">
            <w:pPr>
              <w:rPr>
                <w:rStyle w:val="InstructionsTabelleText"/>
                <w:rFonts w:ascii="Times New Roman" w:hAnsi="Times New Roman"/>
                <w:bCs/>
                <w:szCs w:val="20"/>
              </w:rPr>
            </w:pPr>
            <w:r w:rsidRPr="00FA0BAE">
              <w:rPr>
                <w:rFonts w:ascii="Times New Roman" w:eastAsia="Arial" w:hAnsi="Times New Roman"/>
                <w:szCs w:val="20"/>
                <w:lang w:eastAsia="zh-CN"/>
              </w:rPr>
              <w:t>Appendix A to IFRS 9 as set out in the Annex to Regulation (EC) No 1126/2008</w:t>
            </w:r>
          </w:p>
        </w:tc>
        <w:tc>
          <w:tcPr>
            <w:tcW w:w="9752" w:type="dxa"/>
            <w:shd w:val="clear" w:color="auto" w:fill="auto"/>
          </w:tcPr>
          <w:p w14:paraId="7D434311" w14:textId="755C00D6" w:rsidR="0056331C" w:rsidRPr="00FA0BAE" w:rsidRDefault="0056331C" w:rsidP="0056331C">
            <w:pPr>
              <w:rPr>
                <w:rFonts w:ascii="Times New Roman" w:hAnsi="Times New Roman"/>
                <w:szCs w:val="20"/>
                <w:lang w:val="en-US" w:eastAsia="de-DE"/>
              </w:rPr>
            </w:pPr>
            <w:r w:rsidRPr="00FA0BAE">
              <w:rPr>
                <w:rFonts w:ascii="Times New Roman" w:hAnsi="Times New Roman"/>
                <w:szCs w:val="20"/>
                <w:lang w:eastAsia="de-DE"/>
              </w:rPr>
              <w:t xml:space="preserve">The sum of the expected credit losses </w:t>
            </w:r>
            <w:r w:rsidR="00321502" w:rsidRPr="00384CAC">
              <w:rPr>
                <w:rFonts w:ascii="Times New Roman" w:hAnsi="Times New Roman"/>
                <w:szCs w:val="20"/>
              </w:rPr>
              <w:t>under the economic scenario considered</w:t>
            </w:r>
            <w:r w:rsidR="00321502" w:rsidRPr="00FA0BAE">
              <w:rPr>
                <w:rFonts w:ascii="Times New Roman" w:hAnsi="Times New Roman"/>
                <w:szCs w:val="20"/>
                <w:lang w:eastAsia="de-DE"/>
              </w:rPr>
              <w:t xml:space="preserve"> </w:t>
            </w:r>
            <w:r w:rsidRPr="00FA0BAE">
              <w:rPr>
                <w:rFonts w:ascii="Times New Roman" w:hAnsi="Times New Roman"/>
                <w:szCs w:val="20"/>
                <w:lang w:eastAsia="de-DE"/>
              </w:rPr>
              <w:t xml:space="preserve">over </w:t>
            </w:r>
            <w:r w:rsidR="00321502">
              <w:rPr>
                <w:rFonts w:ascii="Times New Roman" w:hAnsi="Times New Roman"/>
                <w:szCs w:val="20"/>
                <w:lang w:eastAsia="de-DE"/>
              </w:rPr>
              <w:t xml:space="preserve">the </w:t>
            </w:r>
            <w:r w:rsidRPr="00FA0BAE">
              <w:rPr>
                <w:rFonts w:ascii="Times New Roman" w:hAnsi="Times New Roman"/>
                <w:szCs w:val="20"/>
                <w:lang w:eastAsia="de-DE"/>
              </w:rPr>
              <w:t xml:space="preserve">facilities </w:t>
            </w:r>
            <w:r>
              <w:rPr>
                <w:rFonts w:ascii="Times New Roman" w:hAnsi="Times New Roman"/>
                <w:szCs w:val="20"/>
                <w:lang w:eastAsia="de-DE"/>
              </w:rPr>
              <w:t xml:space="preserve">included </w:t>
            </w:r>
            <w:r w:rsidR="00FB157B">
              <w:rPr>
                <w:rFonts w:ascii="Times New Roman" w:hAnsi="Times New Roman"/>
                <w:szCs w:val="20"/>
                <w:lang w:eastAsia="de-DE"/>
              </w:rPr>
              <w:t>in the</w:t>
            </w:r>
            <w:r w:rsidRPr="00FA0BAE">
              <w:rPr>
                <w:rFonts w:ascii="Times New Roman" w:hAnsi="Times New Roman"/>
                <w:szCs w:val="20"/>
                <w:lang w:eastAsia="de-DE"/>
              </w:rPr>
              <w:t xml:space="preserve"> </w:t>
            </w:r>
            <w:r w:rsidR="004B2638">
              <w:rPr>
                <w:rFonts w:ascii="Times New Roman" w:hAnsi="Times New Roman"/>
                <w:szCs w:val="20"/>
                <w:lang w:eastAsia="de-DE"/>
              </w:rPr>
              <w:t>respective</w:t>
            </w:r>
            <w:r w:rsidRPr="00FA0BAE">
              <w:rPr>
                <w:rFonts w:ascii="Times New Roman" w:hAnsi="Times New Roman"/>
                <w:szCs w:val="20"/>
                <w:lang w:eastAsia="de-DE"/>
              </w:rPr>
              <w:t xml:space="preserve"> portfolio</w:t>
            </w:r>
            <w:r w:rsidR="00B4412B">
              <w:rPr>
                <w:rFonts w:ascii="Times New Roman" w:hAnsi="Times New Roman"/>
                <w:szCs w:val="20"/>
                <w:lang w:eastAsia="de-DE"/>
              </w:rPr>
              <w:t xml:space="preserve">, which were allocated within </w:t>
            </w:r>
            <w:r w:rsidR="009E12C8">
              <w:rPr>
                <w:rFonts w:ascii="Times New Roman" w:hAnsi="Times New Roman"/>
                <w:szCs w:val="20"/>
                <w:lang w:eastAsia="de-DE"/>
              </w:rPr>
              <w:t>s</w:t>
            </w:r>
            <w:r w:rsidR="00B4412B">
              <w:rPr>
                <w:rFonts w:ascii="Times New Roman" w:hAnsi="Times New Roman"/>
                <w:szCs w:val="20"/>
                <w:lang w:eastAsia="de-DE"/>
              </w:rPr>
              <w:t>tage 1</w:t>
            </w:r>
            <w:r w:rsidRPr="00FA0BAE">
              <w:rPr>
                <w:rFonts w:ascii="Times New Roman" w:hAnsi="Times New Roman"/>
                <w:szCs w:val="20"/>
                <w:lang w:eastAsia="de-DE"/>
              </w:rPr>
              <w:t xml:space="preserve"> </w:t>
            </w:r>
            <w:r w:rsidRPr="00FA0BAE">
              <w:rPr>
                <w:rFonts w:ascii="Times New Roman" w:hAnsi="Times New Roman"/>
                <w:szCs w:val="20"/>
              </w:rPr>
              <w:t>at the reporting date, as considered for the application of impairment requirements under IFRS 9.</w:t>
            </w:r>
          </w:p>
          <w:p w14:paraId="14151BCD" w14:textId="39CDA8DD" w:rsidR="008704B0" w:rsidRPr="00384CAC" w:rsidRDefault="008F2658" w:rsidP="003A0EFF">
            <w:pPr>
              <w:rPr>
                <w:rStyle w:val="InstructionsTabelleText"/>
                <w:rFonts w:ascii="Times New Roman" w:hAnsi="Times New Roman"/>
                <w:szCs w:val="20"/>
              </w:rPr>
            </w:pPr>
            <w:r>
              <w:rPr>
                <w:rFonts w:ascii="Times New Roman" w:hAnsi="Times New Roman"/>
                <w:szCs w:val="20"/>
              </w:rPr>
              <w:t>T</w:t>
            </w:r>
            <w:r w:rsidR="0056331C" w:rsidRPr="00FA0BAE">
              <w:rPr>
                <w:rFonts w:ascii="Times New Roman" w:hAnsi="Times New Roman"/>
                <w:szCs w:val="20"/>
              </w:rPr>
              <w:t>he ECL amount for each facility shall be the one associated with default events over the 12 months’ period following the reporting date.</w:t>
            </w:r>
          </w:p>
        </w:tc>
      </w:tr>
      <w:tr w:rsidR="00B4412B" w:rsidRPr="00384CAC" w14:paraId="0A0A7D6B" w14:textId="77777777" w:rsidTr="00511C07">
        <w:tc>
          <w:tcPr>
            <w:tcW w:w="880" w:type="dxa"/>
            <w:shd w:val="clear" w:color="auto" w:fill="auto"/>
          </w:tcPr>
          <w:p w14:paraId="18954886" w14:textId="58ABF5B6" w:rsidR="00B4412B" w:rsidRDefault="00B4412B" w:rsidP="00B4412B">
            <w:pPr>
              <w:rPr>
                <w:rStyle w:val="InstructionsTabelleText"/>
                <w:rFonts w:ascii="Times New Roman" w:hAnsi="Times New Roman"/>
                <w:szCs w:val="20"/>
              </w:rPr>
            </w:pPr>
            <w:r>
              <w:rPr>
                <w:rStyle w:val="InstructionsTabelleText"/>
                <w:rFonts w:ascii="Times New Roman" w:hAnsi="Times New Roman"/>
                <w:szCs w:val="20"/>
              </w:rPr>
              <w:t>0201</w:t>
            </w:r>
          </w:p>
        </w:tc>
        <w:tc>
          <w:tcPr>
            <w:tcW w:w="2268" w:type="dxa"/>
            <w:shd w:val="clear" w:color="auto" w:fill="auto"/>
          </w:tcPr>
          <w:p w14:paraId="320BF673" w14:textId="57DD2429" w:rsidR="00B4412B" w:rsidRPr="00384CAC" w:rsidRDefault="00B4412B" w:rsidP="00B4412B">
            <w:pPr>
              <w:rPr>
                <w:rStyle w:val="InstructionsTabelleText"/>
                <w:rFonts w:ascii="Times New Roman" w:hAnsi="Times New Roman"/>
                <w:szCs w:val="20"/>
              </w:rPr>
            </w:pPr>
            <w:r w:rsidRPr="00384CAC">
              <w:rPr>
                <w:rStyle w:val="InstructionsTabelleText"/>
                <w:rFonts w:ascii="Times New Roman" w:hAnsi="Times New Roman"/>
                <w:szCs w:val="20"/>
              </w:rPr>
              <w:t>ECL amount</w:t>
            </w:r>
            <w:r>
              <w:rPr>
                <w:rStyle w:val="InstructionsTabelleText"/>
                <w:rFonts w:ascii="Times New Roman" w:hAnsi="Times New Roman"/>
                <w:szCs w:val="20"/>
              </w:rPr>
              <w:t xml:space="preserve"> </w:t>
            </w:r>
            <w:r w:rsidRPr="00384CAC">
              <w:rPr>
                <w:rStyle w:val="InstructionsTabelleText"/>
                <w:rFonts w:ascii="Times New Roman" w:hAnsi="Times New Roman"/>
                <w:bCs/>
                <w:szCs w:val="20"/>
              </w:rPr>
              <w:t>IFRS 9</w:t>
            </w:r>
            <w:r>
              <w:rPr>
                <w:rStyle w:val="InstructionsTabelleText"/>
                <w:rFonts w:ascii="Times New Roman" w:hAnsi="Times New Roman"/>
                <w:bCs/>
                <w:szCs w:val="20"/>
              </w:rPr>
              <w:t xml:space="preserve"> – Stage 2</w:t>
            </w:r>
          </w:p>
        </w:tc>
        <w:tc>
          <w:tcPr>
            <w:tcW w:w="1417" w:type="dxa"/>
            <w:shd w:val="clear" w:color="auto" w:fill="auto"/>
          </w:tcPr>
          <w:p w14:paraId="0FFA7558" w14:textId="582577AF" w:rsidR="00B4412B" w:rsidRPr="00FA0BAE" w:rsidRDefault="00B4412B" w:rsidP="00B4412B">
            <w:pPr>
              <w:rPr>
                <w:rFonts w:ascii="Times New Roman" w:eastAsia="Arial" w:hAnsi="Times New Roman"/>
                <w:szCs w:val="20"/>
                <w:lang w:eastAsia="zh-CN"/>
              </w:rPr>
            </w:pPr>
            <w:r w:rsidRPr="00FA0BAE">
              <w:rPr>
                <w:rFonts w:ascii="Times New Roman" w:eastAsia="Arial" w:hAnsi="Times New Roman"/>
                <w:szCs w:val="20"/>
                <w:lang w:eastAsia="zh-CN"/>
              </w:rPr>
              <w:t>Appendix A to IFRS 9 as set out in the Annex to Regulation (EC) No 1126/2008</w:t>
            </w:r>
          </w:p>
        </w:tc>
        <w:tc>
          <w:tcPr>
            <w:tcW w:w="9752" w:type="dxa"/>
            <w:shd w:val="clear" w:color="auto" w:fill="auto"/>
          </w:tcPr>
          <w:p w14:paraId="1B633A17" w14:textId="39E27ECD" w:rsidR="00B4412B" w:rsidRPr="00FA0BAE" w:rsidRDefault="00B4412B" w:rsidP="00B4412B">
            <w:pPr>
              <w:rPr>
                <w:rFonts w:ascii="Times New Roman" w:hAnsi="Times New Roman"/>
                <w:szCs w:val="20"/>
                <w:lang w:val="en-US" w:eastAsia="de-DE"/>
              </w:rPr>
            </w:pPr>
            <w:r w:rsidRPr="00FA0BAE">
              <w:rPr>
                <w:rFonts w:ascii="Times New Roman" w:hAnsi="Times New Roman"/>
                <w:szCs w:val="20"/>
                <w:lang w:eastAsia="de-DE"/>
              </w:rPr>
              <w:t xml:space="preserve">The sum of the expected credit losses </w:t>
            </w:r>
            <w:r w:rsidRPr="00384CAC">
              <w:rPr>
                <w:rFonts w:ascii="Times New Roman" w:hAnsi="Times New Roman"/>
                <w:szCs w:val="20"/>
              </w:rPr>
              <w:t>under the economic scenario considered</w:t>
            </w:r>
            <w:r w:rsidRPr="00FA0BAE">
              <w:rPr>
                <w:rFonts w:ascii="Times New Roman" w:hAnsi="Times New Roman"/>
                <w:szCs w:val="20"/>
                <w:lang w:eastAsia="de-DE"/>
              </w:rPr>
              <w:t xml:space="preserve"> over </w:t>
            </w:r>
            <w:r>
              <w:rPr>
                <w:rFonts w:ascii="Times New Roman" w:hAnsi="Times New Roman"/>
                <w:szCs w:val="20"/>
                <w:lang w:eastAsia="de-DE"/>
              </w:rPr>
              <w:t xml:space="preserve">the </w:t>
            </w:r>
            <w:r w:rsidRPr="00FA0BAE">
              <w:rPr>
                <w:rFonts w:ascii="Times New Roman" w:hAnsi="Times New Roman"/>
                <w:szCs w:val="20"/>
                <w:lang w:eastAsia="de-DE"/>
              </w:rPr>
              <w:t xml:space="preserve">facilities </w:t>
            </w:r>
            <w:r>
              <w:rPr>
                <w:rFonts w:ascii="Times New Roman" w:hAnsi="Times New Roman"/>
                <w:szCs w:val="20"/>
                <w:lang w:eastAsia="de-DE"/>
              </w:rPr>
              <w:t>included in the</w:t>
            </w:r>
            <w:r w:rsidRPr="00FA0BAE">
              <w:rPr>
                <w:rFonts w:ascii="Times New Roman" w:hAnsi="Times New Roman"/>
                <w:szCs w:val="20"/>
                <w:lang w:eastAsia="de-DE"/>
              </w:rPr>
              <w:t xml:space="preserve"> </w:t>
            </w:r>
            <w:r>
              <w:rPr>
                <w:rFonts w:ascii="Times New Roman" w:hAnsi="Times New Roman"/>
                <w:szCs w:val="20"/>
                <w:lang w:eastAsia="de-DE"/>
              </w:rPr>
              <w:t>respective</w:t>
            </w:r>
            <w:r w:rsidRPr="00FA0BAE">
              <w:rPr>
                <w:rFonts w:ascii="Times New Roman" w:hAnsi="Times New Roman"/>
                <w:szCs w:val="20"/>
                <w:lang w:eastAsia="de-DE"/>
              </w:rPr>
              <w:t xml:space="preserve"> portfolio</w:t>
            </w:r>
            <w:r>
              <w:rPr>
                <w:rFonts w:ascii="Times New Roman" w:hAnsi="Times New Roman"/>
                <w:szCs w:val="20"/>
                <w:lang w:eastAsia="de-DE"/>
              </w:rPr>
              <w:t xml:space="preserve">, which were allocated within </w:t>
            </w:r>
            <w:r w:rsidR="009E12C8">
              <w:rPr>
                <w:rFonts w:ascii="Times New Roman" w:hAnsi="Times New Roman"/>
                <w:szCs w:val="20"/>
                <w:lang w:eastAsia="de-DE"/>
              </w:rPr>
              <w:t>s</w:t>
            </w:r>
            <w:r>
              <w:rPr>
                <w:rFonts w:ascii="Times New Roman" w:hAnsi="Times New Roman"/>
                <w:szCs w:val="20"/>
                <w:lang w:eastAsia="de-DE"/>
              </w:rPr>
              <w:t>tage 2</w:t>
            </w:r>
            <w:r w:rsidRPr="00FA0BAE">
              <w:rPr>
                <w:rFonts w:ascii="Times New Roman" w:hAnsi="Times New Roman"/>
                <w:szCs w:val="20"/>
                <w:lang w:eastAsia="de-DE"/>
              </w:rPr>
              <w:t xml:space="preserve"> </w:t>
            </w:r>
            <w:r w:rsidRPr="00FA0BAE">
              <w:rPr>
                <w:rFonts w:ascii="Times New Roman" w:hAnsi="Times New Roman"/>
                <w:szCs w:val="20"/>
              </w:rPr>
              <w:t>at the reporting date, as considered for the application of impairment requirements under IFRS 9.</w:t>
            </w:r>
          </w:p>
          <w:p w14:paraId="16746319" w14:textId="46300C77" w:rsidR="009D396F" w:rsidRPr="004D0DC0" w:rsidRDefault="008F2658" w:rsidP="00B4412B">
            <w:pPr>
              <w:rPr>
                <w:rFonts w:ascii="Times New Roman" w:hAnsi="Times New Roman"/>
                <w:szCs w:val="20"/>
                <w:lang w:val="en-US" w:eastAsia="de-DE"/>
              </w:rPr>
            </w:pPr>
            <w:r>
              <w:rPr>
                <w:rFonts w:ascii="Times New Roman" w:hAnsi="Times New Roman"/>
                <w:szCs w:val="20"/>
              </w:rPr>
              <w:t>T</w:t>
            </w:r>
            <w:r w:rsidR="00B4412B" w:rsidRPr="00FA0BAE">
              <w:rPr>
                <w:rFonts w:ascii="Times New Roman" w:hAnsi="Times New Roman"/>
                <w:szCs w:val="20"/>
              </w:rPr>
              <w:t>he ECL amount of each facility shall be the one that result from all possible default events over its expected life.</w:t>
            </w:r>
          </w:p>
        </w:tc>
      </w:tr>
      <w:tr w:rsidR="00B4412B" w:rsidRPr="00384CAC" w14:paraId="6C8C1B20" w14:textId="77777777" w:rsidTr="00511C07">
        <w:tc>
          <w:tcPr>
            <w:tcW w:w="880" w:type="dxa"/>
            <w:shd w:val="clear" w:color="auto" w:fill="auto"/>
          </w:tcPr>
          <w:p w14:paraId="01300B24" w14:textId="4E25E770" w:rsidR="00B4412B" w:rsidRDefault="00B4412B" w:rsidP="00B4412B">
            <w:pPr>
              <w:rPr>
                <w:rStyle w:val="InstructionsTabelleText"/>
                <w:rFonts w:ascii="Times New Roman" w:hAnsi="Times New Roman"/>
                <w:szCs w:val="20"/>
              </w:rPr>
            </w:pPr>
            <w:r>
              <w:rPr>
                <w:rStyle w:val="InstructionsTabelleText"/>
                <w:rFonts w:ascii="Times New Roman" w:hAnsi="Times New Roman"/>
                <w:szCs w:val="20"/>
              </w:rPr>
              <w:t>0202</w:t>
            </w:r>
          </w:p>
        </w:tc>
        <w:tc>
          <w:tcPr>
            <w:tcW w:w="2268" w:type="dxa"/>
            <w:shd w:val="clear" w:color="auto" w:fill="auto"/>
          </w:tcPr>
          <w:p w14:paraId="2B2816A8" w14:textId="5900BFCA" w:rsidR="00B4412B" w:rsidRPr="00384CAC" w:rsidRDefault="00B4412B" w:rsidP="00B4412B">
            <w:pPr>
              <w:rPr>
                <w:rStyle w:val="InstructionsTabelleText"/>
                <w:rFonts w:ascii="Times New Roman" w:hAnsi="Times New Roman"/>
                <w:szCs w:val="20"/>
              </w:rPr>
            </w:pPr>
            <w:r w:rsidRPr="00384CAC">
              <w:rPr>
                <w:rStyle w:val="InstructionsTabelleText"/>
                <w:rFonts w:ascii="Times New Roman" w:hAnsi="Times New Roman"/>
                <w:szCs w:val="20"/>
              </w:rPr>
              <w:t>ECL amount</w:t>
            </w:r>
            <w:r>
              <w:rPr>
                <w:rStyle w:val="InstructionsTabelleText"/>
                <w:rFonts w:ascii="Times New Roman" w:hAnsi="Times New Roman"/>
                <w:szCs w:val="20"/>
              </w:rPr>
              <w:t xml:space="preserve"> </w:t>
            </w:r>
            <w:r w:rsidRPr="00384CAC">
              <w:rPr>
                <w:rStyle w:val="InstructionsTabelleText"/>
                <w:rFonts w:ascii="Times New Roman" w:hAnsi="Times New Roman"/>
                <w:bCs/>
                <w:szCs w:val="20"/>
              </w:rPr>
              <w:t>IFRS 9</w:t>
            </w:r>
            <w:r>
              <w:rPr>
                <w:rStyle w:val="InstructionsTabelleText"/>
                <w:rFonts w:ascii="Times New Roman" w:hAnsi="Times New Roman"/>
                <w:bCs/>
                <w:szCs w:val="20"/>
              </w:rPr>
              <w:t xml:space="preserve"> – Stage </w:t>
            </w:r>
            <w:r w:rsidR="003268D9">
              <w:rPr>
                <w:rStyle w:val="InstructionsTabelleText"/>
                <w:rFonts w:ascii="Times New Roman" w:hAnsi="Times New Roman"/>
                <w:bCs/>
                <w:szCs w:val="20"/>
              </w:rPr>
              <w:t>3</w:t>
            </w:r>
          </w:p>
        </w:tc>
        <w:tc>
          <w:tcPr>
            <w:tcW w:w="1417" w:type="dxa"/>
            <w:shd w:val="clear" w:color="auto" w:fill="auto"/>
          </w:tcPr>
          <w:p w14:paraId="3BF9F5D0" w14:textId="306D6425" w:rsidR="00B4412B" w:rsidRPr="00FA0BAE" w:rsidRDefault="00B4412B" w:rsidP="00B4412B">
            <w:pPr>
              <w:rPr>
                <w:rFonts w:ascii="Times New Roman" w:eastAsia="Arial" w:hAnsi="Times New Roman"/>
                <w:szCs w:val="20"/>
                <w:lang w:eastAsia="zh-CN"/>
              </w:rPr>
            </w:pPr>
            <w:r w:rsidRPr="00FA0BAE">
              <w:rPr>
                <w:rFonts w:ascii="Times New Roman" w:eastAsia="Arial" w:hAnsi="Times New Roman"/>
                <w:szCs w:val="20"/>
                <w:lang w:eastAsia="zh-CN"/>
              </w:rPr>
              <w:t xml:space="preserve">Appendix A to IFRS 9 as set out in the Annex to Regulation </w:t>
            </w:r>
            <w:r w:rsidRPr="00FA0BAE">
              <w:rPr>
                <w:rFonts w:ascii="Times New Roman" w:eastAsia="Arial" w:hAnsi="Times New Roman"/>
                <w:szCs w:val="20"/>
                <w:lang w:eastAsia="zh-CN"/>
              </w:rPr>
              <w:lastRenderedPageBreak/>
              <w:t>(EC) No 1126/2008</w:t>
            </w:r>
          </w:p>
        </w:tc>
        <w:tc>
          <w:tcPr>
            <w:tcW w:w="9752" w:type="dxa"/>
            <w:shd w:val="clear" w:color="auto" w:fill="auto"/>
          </w:tcPr>
          <w:p w14:paraId="28139A91" w14:textId="1B827D1C" w:rsidR="00B4412B" w:rsidRPr="00FA0BAE" w:rsidRDefault="00B4412B" w:rsidP="00B4412B">
            <w:pPr>
              <w:rPr>
                <w:rFonts w:ascii="Times New Roman" w:hAnsi="Times New Roman"/>
                <w:szCs w:val="20"/>
                <w:lang w:val="en-US" w:eastAsia="de-DE"/>
              </w:rPr>
            </w:pPr>
            <w:r w:rsidRPr="00FA0BAE">
              <w:rPr>
                <w:rFonts w:ascii="Times New Roman" w:hAnsi="Times New Roman"/>
                <w:szCs w:val="20"/>
                <w:lang w:eastAsia="de-DE"/>
              </w:rPr>
              <w:lastRenderedPageBreak/>
              <w:t xml:space="preserve">The sum of the expected credit losses </w:t>
            </w:r>
            <w:r w:rsidRPr="00384CAC">
              <w:rPr>
                <w:rFonts w:ascii="Times New Roman" w:hAnsi="Times New Roman"/>
                <w:szCs w:val="20"/>
              </w:rPr>
              <w:t>under the economic scenario considered</w:t>
            </w:r>
            <w:r w:rsidRPr="00FA0BAE">
              <w:rPr>
                <w:rFonts w:ascii="Times New Roman" w:hAnsi="Times New Roman"/>
                <w:szCs w:val="20"/>
                <w:lang w:eastAsia="de-DE"/>
              </w:rPr>
              <w:t xml:space="preserve"> over </w:t>
            </w:r>
            <w:r>
              <w:rPr>
                <w:rFonts w:ascii="Times New Roman" w:hAnsi="Times New Roman"/>
                <w:szCs w:val="20"/>
                <w:lang w:eastAsia="de-DE"/>
              </w:rPr>
              <w:t xml:space="preserve">the </w:t>
            </w:r>
            <w:r w:rsidRPr="00FA0BAE">
              <w:rPr>
                <w:rFonts w:ascii="Times New Roman" w:hAnsi="Times New Roman"/>
                <w:szCs w:val="20"/>
                <w:lang w:eastAsia="de-DE"/>
              </w:rPr>
              <w:t xml:space="preserve">facilities </w:t>
            </w:r>
            <w:r>
              <w:rPr>
                <w:rFonts w:ascii="Times New Roman" w:hAnsi="Times New Roman"/>
                <w:szCs w:val="20"/>
                <w:lang w:eastAsia="de-DE"/>
              </w:rPr>
              <w:t>included in the</w:t>
            </w:r>
            <w:r w:rsidRPr="00FA0BAE">
              <w:rPr>
                <w:rFonts w:ascii="Times New Roman" w:hAnsi="Times New Roman"/>
                <w:szCs w:val="20"/>
                <w:lang w:eastAsia="de-DE"/>
              </w:rPr>
              <w:t xml:space="preserve"> </w:t>
            </w:r>
            <w:r>
              <w:rPr>
                <w:rFonts w:ascii="Times New Roman" w:hAnsi="Times New Roman"/>
                <w:szCs w:val="20"/>
                <w:lang w:eastAsia="de-DE"/>
              </w:rPr>
              <w:t>respective</w:t>
            </w:r>
            <w:r w:rsidRPr="00FA0BAE">
              <w:rPr>
                <w:rFonts w:ascii="Times New Roman" w:hAnsi="Times New Roman"/>
                <w:szCs w:val="20"/>
                <w:lang w:eastAsia="de-DE"/>
              </w:rPr>
              <w:t xml:space="preserve"> portfolio</w:t>
            </w:r>
            <w:r>
              <w:rPr>
                <w:rFonts w:ascii="Times New Roman" w:hAnsi="Times New Roman"/>
                <w:szCs w:val="20"/>
                <w:lang w:eastAsia="de-DE"/>
              </w:rPr>
              <w:t xml:space="preserve">, which were allocated within </w:t>
            </w:r>
            <w:r w:rsidR="009E12C8">
              <w:rPr>
                <w:rFonts w:ascii="Times New Roman" w:hAnsi="Times New Roman"/>
                <w:szCs w:val="20"/>
                <w:lang w:eastAsia="de-DE"/>
              </w:rPr>
              <w:t>s</w:t>
            </w:r>
            <w:r>
              <w:rPr>
                <w:rFonts w:ascii="Times New Roman" w:hAnsi="Times New Roman"/>
                <w:szCs w:val="20"/>
                <w:lang w:eastAsia="de-DE"/>
              </w:rPr>
              <w:t>tage 3</w:t>
            </w:r>
            <w:r w:rsidRPr="00FA0BAE">
              <w:rPr>
                <w:rFonts w:ascii="Times New Roman" w:hAnsi="Times New Roman"/>
                <w:szCs w:val="20"/>
                <w:lang w:eastAsia="de-DE"/>
              </w:rPr>
              <w:t xml:space="preserve"> </w:t>
            </w:r>
            <w:r w:rsidRPr="00FA0BAE">
              <w:rPr>
                <w:rFonts w:ascii="Times New Roman" w:hAnsi="Times New Roman"/>
                <w:szCs w:val="20"/>
              </w:rPr>
              <w:t>at the reporting date, as considered for the application of impairment requirements under IFRS 9.</w:t>
            </w:r>
          </w:p>
          <w:p w14:paraId="7F57F62D" w14:textId="5B1A76CE" w:rsidR="009D396F" w:rsidRPr="004D0DC0" w:rsidRDefault="008F2658" w:rsidP="00B4412B">
            <w:pPr>
              <w:rPr>
                <w:rFonts w:ascii="Times New Roman" w:hAnsi="Times New Roman"/>
                <w:szCs w:val="20"/>
                <w:lang w:val="en-US" w:eastAsia="de-DE"/>
              </w:rPr>
            </w:pPr>
            <w:r>
              <w:rPr>
                <w:rFonts w:ascii="Times New Roman" w:hAnsi="Times New Roman"/>
                <w:szCs w:val="20"/>
              </w:rPr>
              <w:t>T</w:t>
            </w:r>
            <w:r w:rsidR="00B4412B" w:rsidRPr="00FA0BAE">
              <w:rPr>
                <w:rFonts w:ascii="Times New Roman" w:hAnsi="Times New Roman"/>
                <w:szCs w:val="20"/>
              </w:rPr>
              <w:t>he ECL amount of each facility shall be the one that result from all possible default events over its expected life.</w:t>
            </w:r>
          </w:p>
        </w:tc>
      </w:tr>
    </w:tbl>
    <w:p w14:paraId="4A2516FB" w14:textId="48F11CB7" w:rsidR="00744552" w:rsidRPr="00384CAC" w:rsidRDefault="00744552">
      <w:pPr>
        <w:spacing w:before="0" w:after="0"/>
        <w:jc w:val="left"/>
        <w:rPr>
          <w:rStyle w:val="InstructionsTabelleText"/>
          <w:rFonts w:ascii="Times New Roman" w:hAnsi="Times New Roman"/>
          <w:szCs w:val="20"/>
        </w:rPr>
      </w:pPr>
      <w:r w:rsidRPr="00384CAC">
        <w:rPr>
          <w:rStyle w:val="InstructionsTabelleText"/>
          <w:rFonts w:ascii="Times New Roman" w:hAnsi="Times New Roman"/>
          <w:szCs w:val="20"/>
        </w:rPr>
        <w:br w:type="page"/>
      </w:r>
    </w:p>
    <w:p w14:paraId="318A3F4F" w14:textId="739BEDA7" w:rsidR="00541C3C" w:rsidRPr="00044BFE" w:rsidRDefault="00541C3C" w:rsidP="00541C3C">
      <w:pPr>
        <w:pStyle w:val="Heading3"/>
        <w:rPr>
          <w:rFonts w:ascii="Times New Roman" w:hAnsi="Times New Roman"/>
          <w:lang w:val="en-GB"/>
        </w:rPr>
      </w:pPr>
      <w:bookmarkStart w:id="13" w:name="_Toc101359401"/>
      <w:r w:rsidRPr="00384CAC">
        <w:rPr>
          <w:rFonts w:ascii="Times New Roman" w:hAnsi="Times New Roman"/>
        </w:rPr>
        <w:lastRenderedPageBreak/>
        <w:t xml:space="preserve">C </w:t>
      </w:r>
      <w:r w:rsidR="007D6CD2" w:rsidRPr="00384CAC">
        <w:rPr>
          <w:rFonts w:ascii="Times New Roman" w:hAnsi="Times New Roman"/>
        </w:rPr>
        <w:t>1</w:t>
      </w:r>
      <w:r w:rsidR="007D6CD2" w:rsidRPr="00384CAC">
        <w:rPr>
          <w:rFonts w:ascii="Times New Roman" w:hAnsi="Times New Roman"/>
          <w:lang w:val="en-GB"/>
        </w:rPr>
        <w:t>1</w:t>
      </w:r>
      <w:r w:rsidR="007D6CD2">
        <w:rPr>
          <w:rFonts w:ascii="Times New Roman" w:hAnsi="Times New Roman"/>
          <w:lang w:val="en-GB"/>
        </w:rPr>
        <w:t>7</w:t>
      </w:r>
      <w:r w:rsidRPr="00384CAC">
        <w:rPr>
          <w:rFonts w:ascii="Times New Roman" w:hAnsi="Times New Roman"/>
        </w:rPr>
        <w:t>.</w:t>
      </w:r>
      <w:r w:rsidR="006C7A0B" w:rsidRPr="00384CAC">
        <w:rPr>
          <w:rFonts w:ascii="Times New Roman" w:hAnsi="Times New Roman"/>
        </w:rPr>
        <w:t>0</w:t>
      </w:r>
      <w:r w:rsidR="006C7A0B" w:rsidRPr="00384CAC">
        <w:rPr>
          <w:rFonts w:ascii="Times New Roman" w:hAnsi="Times New Roman"/>
          <w:lang w:val="en-GB"/>
        </w:rPr>
        <w:t>0</w:t>
      </w:r>
      <w:r w:rsidR="006C7A0B" w:rsidRPr="00384CAC">
        <w:rPr>
          <w:rFonts w:ascii="Times New Roman" w:hAnsi="Times New Roman"/>
        </w:rPr>
        <w:t xml:space="preserve"> </w:t>
      </w:r>
      <w:r w:rsidRPr="00384CAC">
        <w:rPr>
          <w:rFonts w:ascii="Times New Roman" w:hAnsi="Times New Roman"/>
        </w:rPr>
        <w:t xml:space="preserve">– Details on exposures in </w:t>
      </w:r>
      <w:r w:rsidR="007D6CD2">
        <w:rPr>
          <w:rFonts w:ascii="Times New Roman" w:hAnsi="Times New Roman"/>
          <w:lang w:val="en-GB"/>
        </w:rPr>
        <w:t>High</w:t>
      </w:r>
      <w:r w:rsidR="007D6CD2" w:rsidRPr="00384CAC">
        <w:rPr>
          <w:rFonts w:ascii="Times New Roman" w:hAnsi="Times New Roman"/>
        </w:rPr>
        <w:t xml:space="preserve"> </w:t>
      </w:r>
      <w:r w:rsidRPr="00384CAC">
        <w:rPr>
          <w:rFonts w:ascii="Times New Roman" w:hAnsi="Times New Roman"/>
        </w:rPr>
        <w:t xml:space="preserve">Default Portfolios by </w:t>
      </w:r>
      <w:r w:rsidR="0003062B">
        <w:rPr>
          <w:rFonts w:ascii="Times New Roman" w:hAnsi="Times New Roman"/>
          <w:lang w:val="en-GB"/>
        </w:rPr>
        <w:t>staging</w:t>
      </w:r>
      <w:bookmarkEnd w:id="13"/>
    </w:p>
    <w:p w14:paraId="411384FB" w14:textId="18492C78" w:rsidR="002B766F" w:rsidRDefault="002B766F" w:rsidP="00D04BFC">
      <w:pPr>
        <w:pStyle w:val="CommentText"/>
        <w:rPr>
          <w:rStyle w:val="InstructionsTabelleText"/>
          <w:rFonts w:ascii="Times New Roman" w:hAnsi="Times New Roman"/>
        </w:rPr>
      </w:pPr>
      <w:r>
        <w:rPr>
          <w:rStyle w:val="InstructionsTabelleText"/>
          <w:rFonts w:ascii="Times New Roman" w:hAnsi="Times New Roman"/>
        </w:rPr>
        <w:t>The information in this template shall be reported only with reference to</w:t>
      </w:r>
      <w:r w:rsidR="00C45C3D">
        <w:rPr>
          <w:rStyle w:val="InstructionsTabelleText"/>
          <w:rFonts w:ascii="Times New Roman" w:hAnsi="Times New Roman"/>
        </w:rPr>
        <w:t xml:space="preserve"> those portfolios associated to</w:t>
      </w:r>
      <w:r>
        <w:rPr>
          <w:rStyle w:val="InstructionsTabelleText"/>
          <w:rFonts w:ascii="Times New Roman" w:hAnsi="Times New Roman"/>
        </w:rPr>
        <w:t xml:space="preserve"> the following portfolio ID</w:t>
      </w:r>
      <w:r w:rsidR="00873B5D">
        <w:rPr>
          <w:rStyle w:val="InstructionsTabelleText"/>
          <w:rFonts w:ascii="Times New Roman" w:hAnsi="Times New Roman"/>
        </w:rPr>
        <w:t>, representing the total exposure by regulatory approach</w:t>
      </w:r>
      <w:r>
        <w:rPr>
          <w:rStyle w:val="InstructionsTabelleText"/>
          <w:rFonts w:ascii="Times New Roman" w:hAnsi="Times New Roman"/>
        </w:rPr>
        <w:t>:</w:t>
      </w:r>
    </w:p>
    <w:tbl>
      <w:tblPr>
        <w:tblStyle w:val="TableGrid"/>
        <w:tblW w:w="9209" w:type="dxa"/>
        <w:jc w:val="center"/>
        <w:tblLook w:val="04A0" w:firstRow="1" w:lastRow="0" w:firstColumn="1" w:lastColumn="0" w:noHBand="0" w:noVBand="1"/>
      </w:tblPr>
      <w:tblGrid>
        <w:gridCol w:w="4531"/>
        <w:gridCol w:w="4678"/>
      </w:tblGrid>
      <w:tr w:rsidR="00AF0F6E" w:rsidRPr="00CD76B7" w14:paraId="3D56A411" w14:textId="77777777" w:rsidTr="00E940E2">
        <w:trPr>
          <w:trHeight w:val="300"/>
          <w:jc w:val="center"/>
        </w:trPr>
        <w:tc>
          <w:tcPr>
            <w:tcW w:w="4531" w:type="dxa"/>
            <w:vAlign w:val="center"/>
          </w:tcPr>
          <w:p w14:paraId="66E55ACE" w14:textId="0CCA8E24"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CORP_ALL_0113_CT_AIRB_x0_Rx0_ALL</w:t>
            </w:r>
          </w:p>
        </w:tc>
        <w:tc>
          <w:tcPr>
            <w:tcW w:w="4678" w:type="dxa"/>
            <w:noWrap/>
            <w:vAlign w:val="center"/>
            <w:hideMark/>
          </w:tcPr>
          <w:p w14:paraId="07D97B2A" w14:textId="51BBA1D1"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CORP_ALL_0113_CT_FIRB_x0_Rx0_ALL</w:t>
            </w:r>
          </w:p>
        </w:tc>
      </w:tr>
      <w:tr w:rsidR="00D04BFC" w:rsidRPr="00CD76B7" w14:paraId="23F691D2" w14:textId="77777777" w:rsidTr="00E940E2">
        <w:trPr>
          <w:trHeight w:val="300"/>
          <w:jc w:val="center"/>
        </w:trPr>
        <w:tc>
          <w:tcPr>
            <w:tcW w:w="4531" w:type="dxa"/>
            <w:vAlign w:val="center"/>
          </w:tcPr>
          <w:p w14:paraId="3FE107A7" w14:textId="263BA53F"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MORT_ALL_0114_CT_AIRB_x0_Rx0_ALL</w:t>
            </w:r>
          </w:p>
        </w:tc>
        <w:tc>
          <w:tcPr>
            <w:tcW w:w="4678" w:type="dxa"/>
            <w:noWrap/>
            <w:vAlign w:val="center"/>
            <w:hideMark/>
          </w:tcPr>
          <w:p w14:paraId="36EF6597" w14:textId="593F1EF4"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SMEC_ALL_0115_CT_FIRB_x0_Rx0_ALL</w:t>
            </w:r>
          </w:p>
        </w:tc>
      </w:tr>
      <w:tr w:rsidR="00D04BFC" w:rsidRPr="00CD76B7" w14:paraId="4D83F6C4" w14:textId="77777777" w:rsidTr="00E940E2">
        <w:trPr>
          <w:trHeight w:val="300"/>
          <w:jc w:val="center"/>
        </w:trPr>
        <w:tc>
          <w:tcPr>
            <w:tcW w:w="4531" w:type="dxa"/>
            <w:vAlign w:val="center"/>
          </w:tcPr>
          <w:p w14:paraId="72724294" w14:textId="659351E7"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SMEC_ALL_0115_CT_AIRB_x0_Rx0_ALL</w:t>
            </w:r>
          </w:p>
        </w:tc>
        <w:tc>
          <w:tcPr>
            <w:tcW w:w="4678" w:type="dxa"/>
            <w:noWrap/>
            <w:vAlign w:val="center"/>
            <w:hideMark/>
          </w:tcPr>
          <w:p w14:paraId="2471251F" w14:textId="5FB9EDE6"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RSMS_ALL_0115_CT_AIRB_x0_Rx0_ALL</w:t>
            </w:r>
          </w:p>
        </w:tc>
      </w:tr>
      <w:tr w:rsidR="00D04BFC" w:rsidRPr="00CD76B7" w14:paraId="42C16A65" w14:textId="77777777" w:rsidTr="00E940E2">
        <w:trPr>
          <w:trHeight w:val="300"/>
          <w:jc w:val="center"/>
        </w:trPr>
        <w:tc>
          <w:tcPr>
            <w:tcW w:w="4531" w:type="dxa"/>
            <w:vAlign w:val="center"/>
          </w:tcPr>
          <w:p w14:paraId="48C62E9E" w14:textId="7AE8685E"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SMOT_ALL_0115_CT_AIRB_x0_Rx0_ALL</w:t>
            </w:r>
          </w:p>
        </w:tc>
        <w:tc>
          <w:tcPr>
            <w:tcW w:w="4678" w:type="dxa"/>
            <w:noWrap/>
            <w:vAlign w:val="center"/>
            <w:hideMark/>
          </w:tcPr>
          <w:p w14:paraId="75F745A0" w14:textId="40F8D9DB" w:rsidR="00AF0F6E" w:rsidRPr="00CD76B7" w:rsidRDefault="00AF0F6E" w:rsidP="00E940E2">
            <w:pPr>
              <w:spacing w:before="60" w:after="60"/>
              <w:rPr>
                <w:rFonts w:ascii="Times New Roman" w:hAnsi="Times New Roman"/>
                <w:szCs w:val="20"/>
              </w:rPr>
            </w:pPr>
            <w:r w:rsidRPr="00CD76B7">
              <w:rPr>
                <w:rFonts w:ascii="Times New Roman" w:hAnsi="Times New Roman"/>
                <w:lang w:eastAsia="en-GB"/>
              </w:rPr>
              <w:t>RETO_ALL_0114_CT_AIRB_x0_Rx0_ALL</w:t>
            </w:r>
          </w:p>
        </w:tc>
      </w:tr>
      <w:tr w:rsidR="00AF0F6E" w:rsidRPr="00CD76B7" w14:paraId="29DBE59C" w14:textId="77777777" w:rsidTr="00E940E2">
        <w:trPr>
          <w:trHeight w:val="300"/>
          <w:jc w:val="center"/>
        </w:trPr>
        <w:tc>
          <w:tcPr>
            <w:tcW w:w="4531" w:type="dxa"/>
            <w:vAlign w:val="center"/>
          </w:tcPr>
          <w:p w14:paraId="1D7AFEAD" w14:textId="25CA7C34" w:rsidR="00AF0F6E" w:rsidRPr="00CD76B7" w:rsidRDefault="00AF0F6E" w:rsidP="00E940E2">
            <w:pPr>
              <w:spacing w:before="60" w:after="60"/>
              <w:rPr>
                <w:rFonts w:ascii="Times New Roman" w:hAnsi="Times New Roman"/>
                <w:lang w:eastAsia="en-GB"/>
              </w:rPr>
            </w:pPr>
            <w:r w:rsidRPr="00CD76B7">
              <w:rPr>
                <w:rFonts w:ascii="Times New Roman" w:hAnsi="Times New Roman"/>
                <w:lang w:eastAsia="en-GB"/>
              </w:rPr>
              <w:t>RQRR_ALL_0114_CT_AIRB_x0_Rx0_ALL</w:t>
            </w:r>
          </w:p>
        </w:tc>
        <w:tc>
          <w:tcPr>
            <w:tcW w:w="4678" w:type="dxa"/>
            <w:noWrap/>
            <w:vAlign w:val="center"/>
          </w:tcPr>
          <w:p w14:paraId="1288EC3F" w14:textId="77777777" w:rsidR="00AF0F6E" w:rsidRPr="00CD76B7" w:rsidRDefault="00AF0F6E" w:rsidP="00E940E2">
            <w:pPr>
              <w:spacing w:before="60" w:after="60"/>
              <w:rPr>
                <w:rFonts w:ascii="Times New Roman" w:hAnsi="Times New Roman"/>
                <w:lang w:eastAsia="en-GB"/>
              </w:rPr>
            </w:pPr>
          </w:p>
        </w:tc>
      </w:tr>
    </w:tbl>
    <w:p w14:paraId="413027A4" w14:textId="77777777" w:rsidR="00257F5F" w:rsidRPr="006D1691" w:rsidRDefault="00257F5F" w:rsidP="006D1691"/>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384CAC" w:rsidRPr="00384CAC" w14:paraId="6D168B24" w14:textId="77777777" w:rsidTr="008E6DB3">
        <w:trPr>
          <w:tblHeader/>
        </w:trPr>
        <w:tc>
          <w:tcPr>
            <w:tcW w:w="993" w:type="dxa"/>
            <w:tcBorders>
              <w:top w:val="single" w:sz="4" w:space="0" w:color="auto"/>
              <w:left w:val="single" w:sz="4" w:space="0" w:color="auto"/>
              <w:bottom w:val="single" w:sz="4" w:space="0" w:color="auto"/>
              <w:right w:val="single" w:sz="4" w:space="0" w:color="auto"/>
            </w:tcBorders>
            <w:shd w:val="clear" w:color="auto" w:fill="D9D9D9"/>
          </w:tcPr>
          <w:p w14:paraId="0E17FDAD" w14:textId="77777777" w:rsidR="00E25C9A" w:rsidRPr="00384C07" w:rsidRDefault="00E25C9A" w:rsidP="007C72BB">
            <w:pPr>
              <w:rPr>
                <w:rStyle w:val="InstructionsTabelleText"/>
                <w:rFonts w:ascii="Times New Roman" w:hAnsi="Times New Roman"/>
                <w:bCs/>
                <w:szCs w:val="20"/>
              </w:rPr>
            </w:pPr>
            <w:r w:rsidRPr="00384CAC">
              <w:rPr>
                <w:rStyle w:val="InstructionsTabelleText"/>
                <w:rFonts w:ascii="Times New Roman" w:hAnsi="Times New Roman"/>
                <w:szCs w:val="20"/>
              </w:rPr>
              <w:t>Column</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96B8C9F" w14:textId="77777777" w:rsidR="00E25C9A" w:rsidRPr="00384CAC" w:rsidRDefault="00E25C9A" w:rsidP="007C72BB">
            <w:pPr>
              <w:rPr>
                <w:rStyle w:val="InstructionsTabelleText"/>
                <w:rFonts w:ascii="Times New Roman" w:hAnsi="Times New Roman"/>
                <w:bCs/>
                <w:szCs w:val="20"/>
              </w:rPr>
            </w:pPr>
            <w:r w:rsidRPr="00384CAC">
              <w:rPr>
                <w:rStyle w:val="InstructionsTabelleText"/>
                <w:rFonts w:ascii="Times New Roman" w:hAnsi="Times New Roman"/>
                <w:szCs w:val="20"/>
              </w:rPr>
              <w:t>Label</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3DFE8122" w14:textId="77777777" w:rsidR="00E25C9A" w:rsidRPr="00384CAC" w:rsidRDefault="00E25C9A" w:rsidP="007C72BB">
            <w:pPr>
              <w:rPr>
                <w:rStyle w:val="InstructionsTabelleText"/>
                <w:rFonts w:ascii="Times New Roman" w:hAnsi="Times New Roman"/>
                <w:bCs/>
                <w:szCs w:val="20"/>
              </w:rPr>
            </w:pPr>
            <w:r w:rsidRPr="00384CAC">
              <w:rPr>
                <w:rStyle w:val="InstructionsTabelleText"/>
                <w:rFonts w:ascii="Times New Roman" w:hAnsi="Times New Roman"/>
                <w:szCs w:val="20"/>
              </w:rPr>
              <w:t>Legal reference</w:t>
            </w:r>
          </w:p>
        </w:tc>
        <w:tc>
          <w:tcPr>
            <w:tcW w:w="9781" w:type="dxa"/>
            <w:tcBorders>
              <w:top w:val="single" w:sz="4" w:space="0" w:color="auto"/>
              <w:left w:val="single" w:sz="4" w:space="0" w:color="auto"/>
              <w:bottom w:val="single" w:sz="4" w:space="0" w:color="auto"/>
              <w:right w:val="single" w:sz="4" w:space="0" w:color="auto"/>
            </w:tcBorders>
            <w:shd w:val="clear" w:color="auto" w:fill="D9D9D9"/>
          </w:tcPr>
          <w:p w14:paraId="67ACD93B" w14:textId="77777777" w:rsidR="00E25C9A" w:rsidRPr="00384CAC" w:rsidRDefault="00E25C9A" w:rsidP="007C72BB">
            <w:pPr>
              <w:rPr>
                <w:rStyle w:val="InstructionsTabelleText"/>
                <w:rFonts w:ascii="Times New Roman" w:hAnsi="Times New Roman"/>
                <w:bCs/>
                <w:szCs w:val="20"/>
              </w:rPr>
            </w:pPr>
            <w:r w:rsidRPr="00384CAC">
              <w:rPr>
                <w:rStyle w:val="InstructionsTabelleText"/>
                <w:rFonts w:ascii="Times New Roman" w:hAnsi="Times New Roman"/>
                <w:szCs w:val="20"/>
              </w:rPr>
              <w:t>Instructions</w:t>
            </w:r>
          </w:p>
        </w:tc>
      </w:tr>
      <w:tr w:rsidR="003339DE" w:rsidRPr="00384CAC" w14:paraId="7162A67D" w14:textId="77777777" w:rsidTr="00E25C9A">
        <w:tc>
          <w:tcPr>
            <w:tcW w:w="993" w:type="dxa"/>
            <w:tcBorders>
              <w:top w:val="single" w:sz="4" w:space="0" w:color="auto"/>
              <w:left w:val="single" w:sz="4" w:space="0" w:color="auto"/>
              <w:bottom w:val="single" w:sz="4" w:space="0" w:color="auto"/>
              <w:right w:val="single" w:sz="4" w:space="0" w:color="auto"/>
            </w:tcBorders>
          </w:tcPr>
          <w:p w14:paraId="14E4D4B3" w14:textId="513CDD12" w:rsidR="003339DE" w:rsidRPr="00384CAC" w:rsidRDefault="003339DE" w:rsidP="003339DE">
            <w:pPr>
              <w:rPr>
                <w:rStyle w:val="InstructionsTabelleText"/>
                <w:rFonts w:ascii="Times New Roman" w:hAnsi="Times New Roman"/>
                <w:bCs/>
                <w:szCs w:val="20"/>
              </w:rPr>
            </w:pPr>
            <w:r w:rsidRPr="00384CAC">
              <w:rPr>
                <w:rStyle w:val="InstructionsTabelleText"/>
                <w:rFonts w:ascii="Times New Roman" w:hAnsi="Times New Roman"/>
                <w:szCs w:val="20"/>
              </w:rPr>
              <w:t>0010</w:t>
            </w:r>
          </w:p>
        </w:tc>
        <w:tc>
          <w:tcPr>
            <w:tcW w:w="1701" w:type="dxa"/>
            <w:tcBorders>
              <w:top w:val="single" w:sz="4" w:space="0" w:color="auto"/>
              <w:left w:val="single" w:sz="4" w:space="0" w:color="auto"/>
              <w:bottom w:val="single" w:sz="4" w:space="0" w:color="auto"/>
              <w:right w:val="single" w:sz="4" w:space="0" w:color="auto"/>
            </w:tcBorders>
          </w:tcPr>
          <w:p w14:paraId="29C08ACE" w14:textId="402AA43F" w:rsidR="003339DE" w:rsidRPr="00384CAC" w:rsidRDefault="003339DE" w:rsidP="003339DE">
            <w:pPr>
              <w:rPr>
                <w:rStyle w:val="InstructionsTabelleText"/>
                <w:rFonts w:ascii="Times New Roman" w:hAnsi="Times New Roman"/>
                <w:bCs/>
                <w:szCs w:val="20"/>
              </w:rPr>
            </w:pPr>
            <w:r>
              <w:rPr>
                <w:rStyle w:val="InstructionsTabelleText"/>
                <w:rFonts w:ascii="Times New Roman" w:hAnsi="Times New Roman"/>
                <w:szCs w:val="20"/>
              </w:rPr>
              <w:t>Portfolio ID</w:t>
            </w:r>
          </w:p>
        </w:tc>
        <w:tc>
          <w:tcPr>
            <w:tcW w:w="1842" w:type="dxa"/>
            <w:tcBorders>
              <w:top w:val="single" w:sz="4" w:space="0" w:color="auto"/>
              <w:left w:val="single" w:sz="4" w:space="0" w:color="auto"/>
              <w:bottom w:val="single" w:sz="4" w:space="0" w:color="auto"/>
              <w:right w:val="single" w:sz="4" w:space="0" w:color="auto"/>
            </w:tcBorders>
          </w:tcPr>
          <w:p w14:paraId="5A99C804" w14:textId="77777777" w:rsidR="003339DE" w:rsidRPr="00384CAC" w:rsidRDefault="003339DE" w:rsidP="003339DE">
            <w:pPr>
              <w:rPr>
                <w:rStyle w:val="InstructionsTabelleText"/>
                <w:rFonts w:ascii="Times New Roman" w:hAnsi="Times New Roman"/>
                <w:bCs/>
                <w:szCs w:val="20"/>
              </w:rPr>
            </w:pPr>
          </w:p>
        </w:tc>
        <w:tc>
          <w:tcPr>
            <w:tcW w:w="9781" w:type="dxa"/>
            <w:tcBorders>
              <w:top w:val="single" w:sz="4" w:space="0" w:color="auto"/>
              <w:left w:val="single" w:sz="4" w:space="0" w:color="auto"/>
              <w:bottom w:val="single" w:sz="4" w:space="0" w:color="auto"/>
              <w:right w:val="single" w:sz="4" w:space="0" w:color="auto"/>
            </w:tcBorders>
          </w:tcPr>
          <w:p w14:paraId="28409D13" w14:textId="5C15CD97" w:rsidR="00C812A5" w:rsidRDefault="000B3280" w:rsidP="006D1691">
            <w:pPr>
              <w:ind w:left="33"/>
              <w:rPr>
                <w:rFonts w:ascii="Times New Roman" w:hAnsi="Times New Roman"/>
                <w:szCs w:val="20"/>
                <w:lang w:eastAsia="de-DE"/>
              </w:rPr>
            </w:pPr>
            <w:r w:rsidRPr="007E78E1">
              <w:rPr>
                <w:rFonts w:ascii="Times New Roman" w:hAnsi="Times New Roman"/>
                <w:szCs w:val="20"/>
                <w:lang w:eastAsia="de-DE"/>
              </w:rPr>
              <w:t xml:space="preserve">The code assigned in </w:t>
            </w:r>
            <w:r w:rsidR="0017624F" w:rsidRPr="007E78E1">
              <w:rPr>
                <w:rFonts w:ascii="Times New Roman" w:hAnsi="Times New Roman"/>
                <w:szCs w:val="20"/>
                <w:lang w:eastAsia="de-DE"/>
              </w:rPr>
              <w:t>Annex I</w:t>
            </w:r>
            <w:r w:rsidR="0017624F">
              <w:rPr>
                <w:rFonts w:ascii="Times New Roman" w:hAnsi="Times New Roman"/>
                <w:szCs w:val="20"/>
                <w:lang w:eastAsia="de-DE"/>
              </w:rPr>
              <w:t>, sheet</w:t>
            </w:r>
            <w:r w:rsidR="0017624F" w:rsidRPr="007E78E1">
              <w:rPr>
                <w:rFonts w:ascii="Times New Roman" w:hAnsi="Times New Roman"/>
                <w:szCs w:val="20"/>
                <w:lang w:eastAsia="de-DE"/>
              </w:rPr>
              <w:t xml:space="preserve"> C.10</w:t>
            </w:r>
            <w:r w:rsidR="0017624F">
              <w:rPr>
                <w:rFonts w:ascii="Times New Roman" w:hAnsi="Times New Roman"/>
                <w:szCs w:val="20"/>
                <w:lang w:eastAsia="de-DE"/>
              </w:rPr>
              <w:t>4</w:t>
            </w:r>
            <w:r w:rsidR="0017624F" w:rsidRPr="007E78E1">
              <w:rPr>
                <w:rFonts w:ascii="Times New Roman" w:hAnsi="Times New Roman"/>
                <w:szCs w:val="20"/>
                <w:lang w:eastAsia="de-DE"/>
              </w:rPr>
              <w:t>.00</w:t>
            </w:r>
            <w:r w:rsidR="0017624F">
              <w:rPr>
                <w:rFonts w:ascii="Times New Roman" w:hAnsi="Times New Roman"/>
                <w:szCs w:val="20"/>
                <w:lang w:eastAsia="de-DE"/>
              </w:rPr>
              <w:t>,</w:t>
            </w:r>
            <w:r w:rsidR="0017624F" w:rsidRPr="007E78E1">
              <w:rPr>
                <w:rFonts w:ascii="Times New Roman" w:hAnsi="Times New Roman"/>
                <w:szCs w:val="20"/>
                <w:lang w:eastAsia="de-DE"/>
              </w:rPr>
              <w:t xml:space="preserve"> </w:t>
            </w:r>
            <w:r w:rsidRPr="007E78E1">
              <w:rPr>
                <w:rFonts w:ascii="Times New Roman" w:hAnsi="Times New Roman"/>
                <w:szCs w:val="20"/>
                <w:lang w:eastAsia="de-DE"/>
              </w:rPr>
              <w:t xml:space="preserve">column 0010 </w:t>
            </w:r>
            <w:r>
              <w:rPr>
                <w:rFonts w:ascii="Times New Roman" w:hAnsi="Times New Roman"/>
                <w:szCs w:val="20"/>
                <w:lang w:eastAsia="de-DE"/>
              </w:rPr>
              <w:t>for each portfolio</w:t>
            </w:r>
            <w:r w:rsidR="008B163A">
              <w:rPr>
                <w:rFonts w:ascii="Times New Roman" w:hAnsi="Times New Roman"/>
                <w:szCs w:val="20"/>
                <w:lang w:eastAsia="de-DE"/>
              </w:rPr>
              <w:t>,</w:t>
            </w:r>
            <w:r>
              <w:rPr>
                <w:rFonts w:ascii="Times New Roman" w:hAnsi="Times New Roman"/>
                <w:szCs w:val="20"/>
                <w:lang w:eastAsia="de-DE"/>
              </w:rPr>
              <w:t xml:space="preserve"> for which the information in this template shall be reported.</w:t>
            </w:r>
            <w:r w:rsidRPr="007E78E1">
              <w:rPr>
                <w:rFonts w:ascii="Times New Roman" w:hAnsi="Times New Roman"/>
                <w:szCs w:val="20"/>
                <w:lang w:eastAsia="de-DE"/>
              </w:rPr>
              <w:t xml:space="preserve"> </w:t>
            </w:r>
          </w:p>
          <w:p w14:paraId="54A8F8EE" w14:textId="1CD9E53C" w:rsidR="003339DE" w:rsidRPr="008F2658" w:rsidRDefault="000850DB" w:rsidP="006D1691">
            <w:pPr>
              <w:ind w:left="33"/>
              <w:rPr>
                <w:rStyle w:val="InstructionsTabelleText"/>
                <w:rFonts w:ascii="Times New Roman" w:hAnsi="Times New Roman"/>
                <w:szCs w:val="20"/>
                <w:lang w:eastAsia="de-DE"/>
              </w:rPr>
            </w:pPr>
            <w:r w:rsidRPr="002844C0">
              <w:rPr>
                <w:rFonts w:ascii="Times New Roman" w:hAnsi="Times New Roman"/>
                <w:szCs w:val="20"/>
                <w:lang w:eastAsia="de-DE"/>
              </w:rPr>
              <w:t>This code is</w:t>
            </w:r>
            <w:r w:rsidR="00873B5D" w:rsidRPr="002844C0">
              <w:rPr>
                <w:rFonts w:ascii="Times New Roman" w:hAnsi="Times New Roman"/>
                <w:szCs w:val="20"/>
                <w:lang w:eastAsia="de-DE"/>
              </w:rPr>
              <w:t xml:space="preserve"> the primary key or unique identifier for the rows of this template.</w:t>
            </w:r>
          </w:p>
        </w:tc>
      </w:tr>
      <w:tr w:rsidR="00A3155F" w:rsidRPr="00D04BFC" w14:paraId="258EDBB2" w14:textId="77777777" w:rsidTr="00E25C9A">
        <w:tc>
          <w:tcPr>
            <w:tcW w:w="993" w:type="dxa"/>
            <w:tcBorders>
              <w:top w:val="single" w:sz="4" w:space="0" w:color="auto"/>
              <w:left w:val="single" w:sz="4" w:space="0" w:color="auto"/>
              <w:bottom w:val="single" w:sz="4" w:space="0" w:color="auto"/>
              <w:right w:val="single" w:sz="4" w:space="0" w:color="auto"/>
            </w:tcBorders>
          </w:tcPr>
          <w:p w14:paraId="06EBE864" w14:textId="27D3688F" w:rsidR="00A3155F" w:rsidRPr="00F9474C" w:rsidRDefault="003659D2" w:rsidP="007C72BB">
            <w:pPr>
              <w:rPr>
                <w:rStyle w:val="InstructionsTabelleText"/>
                <w:rFonts w:ascii="Times New Roman" w:hAnsi="Times New Roman"/>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2</w:t>
            </w:r>
            <w:r w:rsidRPr="00384CAC">
              <w:rPr>
                <w:rStyle w:val="InstructionsTabelleText"/>
                <w:rFonts w:ascii="Times New Roman" w:hAnsi="Times New Roman"/>
                <w:szCs w:val="20"/>
              </w:rPr>
              <w:t>0</w:t>
            </w:r>
          </w:p>
        </w:tc>
        <w:tc>
          <w:tcPr>
            <w:tcW w:w="1701" w:type="dxa"/>
            <w:tcBorders>
              <w:top w:val="single" w:sz="4" w:space="0" w:color="auto"/>
              <w:left w:val="single" w:sz="4" w:space="0" w:color="auto"/>
              <w:bottom w:val="single" w:sz="4" w:space="0" w:color="auto"/>
              <w:right w:val="single" w:sz="4" w:space="0" w:color="auto"/>
            </w:tcBorders>
          </w:tcPr>
          <w:p w14:paraId="233EE96B" w14:textId="175DD0E5" w:rsidR="00A3155F" w:rsidRDefault="00556C70" w:rsidP="007C72BB">
            <w:pPr>
              <w:rPr>
                <w:rStyle w:val="InstructionsTabelleText"/>
                <w:rFonts w:ascii="Times New Roman" w:hAnsi="Times New Roman"/>
                <w:szCs w:val="20"/>
              </w:rPr>
            </w:pPr>
            <w:r>
              <w:rPr>
                <w:rStyle w:val="InstructionsTabelleText"/>
                <w:rFonts w:ascii="Times New Roman" w:hAnsi="Times New Roman"/>
                <w:szCs w:val="20"/>
              </w:rPr>
              <w:t>S</w:t>
            </w:r>
            <w:r w:rsidR="00B57BF6">
              <w:rPr>
                <w:rStyle w:val="InstructionsTabelleText"/>
                <w:rFonts w:ascii="Times New Roman" w:hAnsi="Times New Roman"/>
                <w:szCs w:val="20"/>
              </w:rPr>
              <w:t>tage 1</w:t>
            </w:r>
            <w:r w:rsidR="00CB1205">
              <w:rPr>
                <w:rStyle w:val="InstructionsTabelleText"/>
                <w:rFonts w:ascii="Times New Roman" w:hAnsi="Times New Roman"/>
                <w:szCs w:val="20"/>
              </w:rPr>
              <w:t xml:space="preserve"> exposures</w:t>
            </w:r>
            <w:r w:rsidR="00B57BF6">
              <w:rPr>
                <w:rStyle w:val="InstructionsTabelleText"/>
                <w:rFonts w:ascii="Times New Roman" w:hAnsi="Times New Roman"/>
                <w:szCs w:val="20"/>
              </w:rPr>
              <w:t xml:space="preserve"> under the l</w:t>
            </w:r>
            <w:r w:rsidR="00AC2924" w:rsidRPr="00384CAC">
              <w:rPr>
                <w:rStyle w:val="InstructionsTabelleText"/>
                <w:rFonts w:ascii="Times New Roman" w:hAnsi="Times New Roman"/>
                <w:szCs w:val="20"/>
              </w:rPr>
              <w:t xml:space="preserve">ow </w:t>
            </w:r>
            <w:r w:rsidR="00AC2924">
              <w:rPr>
                <w:rStyle w:val="InstructionsTabelleText"/>
                <w:rFonts w:ascii="Times New Roman" w:hAnsi="Times New Roman"/>
                <w:szCs w:val="20"/>
              </w:rPr>
              <w:t>c</w:t>
            </w:r>
            <w:r w:rsidR="00AC2924" w:rsidRPr="00384CAC">
              <w:rPr>
                <w:rStyle w:val="InstructionsTabelleText"/>
                <w:rFonts w:ascii="Times New Roman" w:hAnsi="Times New Roman"/>
                <w:szCs w:val="20"/>
              </w:rPr>
              <w:t xml:space="preserve">redit </w:t>
            </w:r>
            <w:r w:rsidR="00AC2924">
              <w:rPr>
                <w:rStyle w:val="InstructionsTabelleText"/>
                <w:rFonts w:ascii="Times New Roman" w:hAnsi="Times New Roman"/>
                <w:szCs w:val="20"/>
              </w:rPr>
              <w:t>r</w:t>
            </w:r>
            <w:r w:rsidR="00AC2924" w:rsidRPr="00384CAC">
              <w:rPr>
                <w:rStyle w:val="InstructionsTabelleText"/>
                <w:rFonts w:ascii="Times New Roman" w:hAnsi="Times New Roman"/>
                <w:szCs w:val="20"/>
              </w:rPr>
              <w:t xml:space="preserve">isk exemption </w:t>
            </w:r>
          </w:p>
        </w:tc>
        <w:tc>
          <w:tcPr>
            <w:tcW w:w="1842" w:type="dxa"/>
            <w:tcBorders>
              <w:top w:val="single" w:sz="4" w:space="0" w:color="auto"/>
              <w:left w:val="single" w:sz="4" w:space="0" w:color="auto"/>
              <w:bottom w:val="single" w:sz="4" w:space="0" w:color="auto"/>
              <w:right w:val="single" w:sz="4" w:space="0" w:color="auto"/>
            </w:tcBorders>
          </w:tcPr>
          <w:p w14:paraId="5B3B0CB7" w14:textId="3A495742" w:rsidR="00B57BF6" w:rsidRPr="00384CAC" w:rsidRDefault="00B57BF6" w:rsidP="00B57BF6">
            <w:pPr>
              <w:rPr>
                <w:rFonts w:ascii="Times New Roman" w:hAnsi="Times New Roman"/>
                <w:szCs w:val="20"/>
              </w:rPr>
            </w:pPr>
            <w:r w:rsidRPr="00384CAC">
              <w:rPr>
                <w:rFonts w:ascii="Times New Roman" w:hAnsi="Times New Roman"/>
                <w:szCs w:val="20"/>
              </w:rPr>
              <w:t>IFRS 9.5.5.10</w:t>
            </w:r>
          </w:p>
          <w:p w14:paraId="3F8D8457" w14:textId="259A8C99" w:rsidR="00A3155F" w:rsidRPr="00F9474C" w:rsidRDefault="00B57BF6" w:rsidP="00B57BF6">
            <w:pPr>
              <w:rPr>
                <w:rStyle w:val="InstructionsTabelleText"/>
                <w:rFonts w:ascii="Times New Roman" w:hAnsi="Times New Roman"/>
                <w:szCs w:val="20"/>
              </w:rPr>
            </w:pPr>
            <w:r w:rsidRPr="00384CAC">
              <w:rPr>
                <w:rFonts w:ascii="Times New Roman" w:hAnsi="Times New Roman"/>
                <w:szCs w:val="20"/>
              </w:rPr>
              <w:t>IFRS 9.B5.5.22 – B5.5.24</w:t>
            </w:r>
          </w:p>
        </w:tc>
        <w:tc>
          <w:tcPr>
            <w:tcW w:w="9781" w:type="dxa"/>
            <w:tcBorders>
              <w:top w:val="single" w:sz="4" w:space="0" w:color="auto"/>
              <w:left w:val="single" w:sz="4" w:space="0" w:color="auto"/>
              <w:bottom w:val="single" w:sz="4" w:space="0" w:color="auto"/>
              <w:right w:val="single" w:sz="4" w:space="0" w:color="auto"/>
            </w:tcBorders>
          </w:tcPr>
          <w:p w14:paraId="331AC89C" w14:textId="1C2CF076" w:rsidR="00A3155F" w:rsidRDefault="00B57BF6" w:rsidP="007C72BB">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sum of the exposure value, as</w:t>
            </w:r>
            <w:r w:rsidRPr="00384CAC">
              <w:rPr>
                <w:rFonts w:ascii="Times New Roman" w:hAnsi="Times New Roman"/>
                <w:szCs w:val="20"/>
              </w:rPr>
              <w:t xml:space="preserve"> defined in</w:t>
            </w:r>
            <w:r w:rsidR="0017624F" w:rsidRPr="006B5ABD">
              <w:rPr>
                <w:rFonts w:ascii="Times New Roman" w:hAnsi="Times New Roman"/>
                <w:szCs w:val="20"/>
              </w:rPr>
              <w:t xml:space="preserve"> 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Pr="00384CAC">
              <w:rPr>
                <w:rFonts w:ascii="Times New Roman" w:hAnsi="Times New Roman"/>
                <w:szCs w:val="20"/>
              </w:rPr>
              <w:t xml:space="preserve"> column 00</w:t>
            </w:r>
            <w:r>
              <w:rPr>
                <w:rFonts w:ascii="Times New Roman" w:hAnsi="Times New Roman"/>
                <w:szCs w:val="20"/>
              </w:rPr>
              <w:t>5</w:t>
            </w:r>
            <w:r w:rsidRPr="00384CAC">
              <w:rPr>
                <w:rFonts w:ascii="Times New Roman" w:hAnsi="Times New Roman"/>
                <w:szCs w:val="20"/>
              </w:rPr>
              <w:t>0</w:t>
            </w:r>
            <w:r>
              <w:rPr>
                <w:rFonts w:ascii="Times New Roman" w:hAnsi="Times New Roman"/>
                <w:szCs w:val="20"/>
              </w:rPr>
              <w:t>,</w:t>
            </w:r>
            <w:r>
              <w:rPr>
                <w:rStyle w:val="InstructionsTabelleText"/>
                <w:rFonts w:ascii="Times New Roman" w:hAnsi="Times New Roman"/>
                <w:szCs w:val="20"/>
              </w:rPr>
              <w:t xml:space="preserve"> of all the facilities</w:t>
            </w:r>
            <w:r w:rsidR="0056781A">
              <w:rPr>
                <w:rStyle w:val="InstructionsTabelleText"/>
                <w:rFonts w:ascii="Times New Roman" w:hAnsi="Times New Roman"/>
                <w:szCs w:val="20"/>
              </w:rPr>
              <w:t xml:space="preserve"> classified in stage 1, to which the low credit risk exemption is applied.</w:t>
            </w:r>
          </w:p>
        </w:tc>
      </w:tr>
      <w:tr w:rsidR="00F0593A" w:rsidRPr="00D04BFC" w14:paraId="01EA3FF9" w14:textId="77777777" w:rsidTr="00E25C9A">
        <w:tc>
          <w:tcPr>
            <w:tcW w:w="993" w:type="dxa"/>
            <w:tcBorders>
              <w:top w:val="single" w:sz="4" w:space="0" w:color="auto"/>
              <w:left w:val="single" w:sz="4" w:space="0" w:color="auto"/>
              <w:bottom w:val="single" w:sz="4" w:space="0" w:color="auto"/>
              <w:right w:val="single" w:sz="4" w:space="0" w:color="auto"/>
            </w:tcBorders>
          </w:tcPr>
          <w:p w14:paraId="4C8E9F1B" w14:textId="04EF9D7D" w:rsidR="00F0593A" w:rsidRPr="00F9474C" w:rsidRDefault="003659D2" w:rsidP="00F0593A">
            <w:pPr>
              <w:rPr>
                <w:rStyle w:val="InstructionsTabelleText"/>
                <w:rFonts w:ascii="Times New Roman" w:hAnsi="Times New Roman"/>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3</w:t>
            </w:r>
            <w:r w:rsidRPr="00384CAC">
              <w:rPr>
                <w:rStyle w:val="InstructionsTabelleText"/>
                <w:rFonts w:ascii="Times New Roman" w:hAnsi="Times New Roman"/>
                <w:szCs w:val="20"/>
              </w:rPr>
              <w:t>0</w:t>
            </w:r>
          </w:p>
        </w:tc>
        <w:tc>
          <w:tcPr>
            <w:tcW w:w="1701" w:type="dxa"/>
            <w:tcBorders>
              <w:top w:val="single" w:sz="4" w:space="0" w:color="auto"/>
              <w:left w:val="single" w:sz="4" w:space="0" w:color="auto"/>
              <w:bottom w:val="single" w:sz="4" w:space="0" w:color="auto"/>
              <w:right w:val="single" w:sz="4" w:space="0" w:color="auto"/>
            </w:tcBorders>
          </w:tcPr>
          <w:p w14:paraId="167ABDB5" w14:textId="60212C8F" w:rsidR="00F0593A" w:rsidRDefault="00F0593A" w:rsidP="00F0593A">
            <w:pPr>
              <w:rPr>
                <w:rStyle w:val="InstructionsTabelleText"/>
                <w:rFonts w:ascii="Times New Roman" w:hAnsi="Times New Roman"/>
                <w:szCs w:val="20"/>
              </w:rPr>
            </w:pPr>
            <w:r w:rsidRPr="00384CAC">
              <w:rPr>
                <w:rStyle w:val="InstructionsTabelleText"/>
                <w:rFonts w:ascii="Times New Roman" w:hAnsi="Times New Roman"/>
                <w:szCs w:val="20"/>
              </w:rPr>
              <w:t xml:space="preserve">Low </w:t>
            </w:r>
            <w:r w:rsidR="00167A38">
              <w:rPr>
                <w:rStyle w:val="InstructionsTabelleText"/>
                <w:rFonts w:ascii="Times New Roman" w:hAnsi="Times New Roman"/>
                <w:szCs w:val="20"/>
              </w:rPr>
              <w:t>c</w:t>
            </w:r>
            <w:r w:rsidRPr="00384CAC">
              <w:rPr>
                <w:rStyle w:val="InstructionsTabelleText"/>
                <w:rFonts w:ascii="Times New Roman" w:hAnsi="Times New Roman"/>
                <w:szCs w:val="20"/>
              </w:rPr>
              <w:t xml:space="preserve">redit </w:t>
            </w:r>
            <w:r w:rsidR="00167A38">
              <w:rPr>
                <w:rStyle w:val="InstructionsTabelleText"/>
                <w:rFonts w:ascii="Times New Roman" w:hAnsi="Times New Roman"/>
                <w:szCs w:val="20"/>
              </w:rPr>
              <w:t>r</w:t>
            </w:r>
            <w:r w:rsidRPr="00384CAC">
              <w:rPr>
                <w:rStyle w:val="InstructionsTabelleText"/>
                <w:rFonts w:ascii="Times New Roman" w:hAnsi="Times New Roman"/>
                <w:szCs w:val="20"/>
              </w:rPr>
              <w:t xml:space="preserve">isk exemption threshold </w:t>
            </w:r>
          </w:p>
        </w:tc>
        <w:tc>
          <w:tcPr>
            <w:tcW w:w="1842" w:type="dxa"/>
            <w:tcBorders>
              <w:top w:val="single" w:sz="4" w:space="0" w:color="auto"/>
              <w:left w:val="single" w:sz="4" w:space="0" w:color="auto"/>
              <w:bottom w:val="single" w:sz="4" w:space="0" w:color="auto"/>
              <w:right w:val="single" w:sz="4" w:space="0" w:color="auto"/>
            </w:tcBorders>
          </w:tcPr>
          <w:p w14:paraId="72E309A4" w14:textId="3510914A" w:rsidR="00F0593A" w:rsidRPr="00384CAC" w:rsidRDefault="00F0593A" w:rsidP="00F0593A">
            <w:pPr>
              <w:rPr>
                <w:rFonts w:ascii="Times New Roman" w:hAnsi="Times New Roman"/>
                <w:szCs w:val="20"/>
              </w:rPr>
            </w:pPr>
            <w:r w:rsidRPr="00384CAC">
              <w:rPr>
                <w:rFonts w:ascii="Times New Roman" w:hAnsi="Times New Roman"/>
                <w:szCs w:val="20"/>
              </w:rPr>
              <w:t>IFRS 9.5.5.10</w:t>
            </w:r>
          </w:p>
          <w:p w14:paraId="7DCC75A2" w14:textId="57A29734" w:rsidR="00F0593A" w:rsidRPr="00F9474C" w:rsidRDefault="00F0593A" w:rsidP="00F0593A">
            <w:pPr>
              <w:rPr>
                <w:rStyle w:val="InstructionsTabelleText"/>
                <w:rFonts w:ascii="Times New Roman" w:hAnsi="Times New Roman"/>
                <w:szCs w:val="20"/>
              </w:rPr>
            </w:pPr>
            <w:r w:rsidRPr="00384CAC">
              <w:rPr>
                <w:rFonts w:ascii="Times New Roman" w:hAnsi="Times New Roman"/>
                <w:szCs w:val="20"/>
              </w:rPr>
              <w:t xml:space="preserve">IFRS 9.B5.5.22 – B5.5.24 </w:t>
            </w:r>
          </w:p>
        </w:tc>
        <w:tc>
          <w:tcPr>
            <w:tcW w:w="9781" w:type="dxa"/>
            <w:tcBorders>
              <w:top w:val="single" w:sz="4" w:space="0" w:color="auto"/>
              <w:left w:val="single" w:sz="4" w:space="0" w:color="auto"/>
              <w:bottom w:val="single" w:sz="4" w:space="0" w:color="auto"/>
              <w:right w:val="single" w:sz="4" w:space="0" w:color="auto"/>
            </w:tcBorders>
          </w:tcPr>
          <w:p w14:paraId="15A115C9" w14:textId="47B76554" w:rsidR="00F0593A" w:rsidRPr="00384CAC" w:rsidRDefault="00F0593A" w:rsidP="00F0593A">
            <w:pPr>
              <w:rPr>
                <w:rFonts w:ascii="Times New Roman" w:hAnsi="Times New Roman"/>
                <w:szCs w:val="20"/>
              </w:rPr>
            </w:pPr>
            <w:r w:rsidRPr="00384CAC">
              <w:rPr>
                <w:rStyle w:val="InstructionsTabelleText"/>
                <w:rFonts w:ascii="Times New Roman" w:hAnsi="Times New Roman"/>
                <w:szCs w:val="20"/>
              </w:rPr>
              <w:t xml:space="preserve">The </w:t>
            </w:r>
            <w:r w:rsidR="00A51C49">
              <w:rPr>
                <w:rStyle w:val="InstructionsTabelleText"/>
                <w:rFonts w:ascii="Times New Roman" w:hAnsi="Times New Roman"/>
                <w:szCs w:val="20"/>
              </w:rPr>
              <w:t>median of the</w:t>
            </w:r>
            <w:r w:rsidRPr="00384CAC">
              <w:rPr>
                <w:rStyle w:val="InstructionsTabelleText"/>
                <w:rFonts w:ascii="Times New Roman" w:hAnsi="Times New Roman"/>
                <w:szCs w:val="20"/>
              </w:rPr>
              <w:t xml:space="preserve"> lifetime PD level</w:t>
            </w:r>
            <w:r w:rsidRPr="00384CAC">
              <w:rPr>
                <w:rFonts w:ascii="Times New Roman" w:hAnsi="Times New Roman"/>
                <w:szCs w:val="20"/>
              </w:rPr>
              <w:t>,</w:t>
            </w:r>
            <w:r w:rsidRPr="00384CAC">
              <w:rPr>
                <w:rStyle w:val="InstructionsTabelleText"/>
                <w:rFonts w:ascii="Times New Roman" w:hAnsi="Times New Roman"/>
                <w:szCs w:val="20"/>
              </w:rPr>
              <w:t xml:space="preserve"> below which the financial instrument</w:t>
            </w:r>
            <w:r w:rsidR="00B77A13">
              <w:rPr>
                <w:rStyle w:val="InstructionsTabelleText"/>
                <w:rFonts w:ascii="Times New Roman" w:hAnsi="Times New Roman"/>
                <w:szCs w:val="20"/>
              </w:rPr>
              <w:t>s</w:t>
            </w:r>
            <w:r w:rsidR="00167A38">
              <w:rPr>
                <w:rStyle w:val="InstructionsTabelleText"/>
                <w:rFonts w:ascii="Times New Roman" w:hAnsi="Times New Roman"/>
                <w:szCs w:val="20"/>
              </w:rPr>
              <w:t xml:space="preserve"> included in the reporte</w:t>
            </w:r>
            <w:r w:rsidR="00672852">
              <w:rPr>
                <w:rStyle w:val="InstructionsTabelleText"/>
                <w:rFonts w:ascii="Times New Roman" w:hAnsi="Times New Roman"/>
                <w:szCs w:val="20"/>
              </w:rPr>
              <w:t>d portfolio</w:t>
            </w:r>
            <w:r w:rsidRPr="00384CAC">
              <w:rPr>
                <w:rStyle w:val="InstructionsTabelleText"/>
                <w:rFonts w:ascii="Times New Roman" w:hAnsi="Times New Roman"/>
                <w:szCs w:val="20"/>
              </w:rPr>
              <w:t xml:space="preserve"> </w:t>
            </w:r>
            <w:r w:rsidR="00672852">
              <w:rPr>
                <w:rStyle w:val="InstructionsTabelleText"/>
                <w:rFonts w:ascii="Times New Roman" w:hAnsi="Times New Roman"/>
                <w:szCs w:val="20"/>
              </w:rPr>
              <w:t>are</w:t>
            </w:r>
            <w:r w:rsidRPr="00384CAC">
              <w:rPr>
                <w:rStyle w:val="InstructionsTabelleText"/>
                <w:rFonts w:ascii="Times New Roman" w:hAnsi="Times New Roman"/>
                <w:szCs w:val="20"/>
              </w:rPr>
              <w:t xml:space="preserve"> considered to have a low risk of default</w:t>
            </w:r>
            <w:r w:rsidRPr="00384CAC">
              <w:rPr>
                <w:rFonts w:ascii="Times New Roman" w:hAnsi="Times New Roman"/>
                <w:szCs w:val="20"/>
              </w:rPr>
              <w:t>, calculated in accordance with the following formula:</w:t>
            </w:r>
          </w:p>
          <w:p w14:paraId="5FCD894C" w14:textId="77777777" w:rsidR="00F0593A" w:rsidRPr="00384CAC" w:rsidRDefault="00F0593A" w:rsidP="00F0593A">
            <w:pPr>
              <w:rPr>
                <w:rFonts w:ascii="Times New Roman" w:hAnsi="Times New Roman"/>
                <w:szCs w:val="20"/>
              </w:rPr>
            </w:pPr>
            <m:oMathPara>
              <m:oMath>
                <m:r>
                  <w:rPr>
                    <w:rFonts w:ascii="Cambria Math" w:hAnsi="Cambria Math"/>
                    <w:szCs w:val="20"/>
                  </w:rPr>
                  <m:t>Annualised</m:t>
                </m:r>
                <m:r>
                  <m:rPr>
                    <m:sty m:val="p"/>
                  </m:rPr>
                  <w:rPr>
                    <w:rFonts w:ascii="Cambria Math" w:hAnsi="Cambria Math"/>
                    <w:szCs w:val="20"/>
                  </w:rPr>
                  <m:t xml:space="preserve"> </m:t>
                </m:r>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r>
                  <m:rPr>
                    <m:sty m:val="p"/>
                  </m:rPr>
                  <w:rPr>
                    <w:rFonts w:ascii="Cambria Math" w:hAnsi="Cambria Math"/>
                    <w:szCs w:val="20"/>
                  </w:rPr>
                  <m:t>= 1-</m:t>
                </m:r>
                <m:rad>
                  <m:radPr>
                    <m:ctrlPr>
                      <w:rPr>
                        <w:rFonts w:ascii="Cambria Math" w:hAnsi="Cambria Math"/>
                        <w:szCs w:val="20"/>
                      </w:rPr>
                    </m:ctrlPr>
                  </m:radPr>
                  <m:deg>
                    <m:r>
                      <w:rPr>
                        <w:rFonts w:ascii="Cambria Math" w:hAnsi="Cambria Math"/>
                        <w:szCs w:val="20"/>
                      </w:rPr>
                      <m:t>M</m:t>
                    </m:r>
                  </m:deg>
                  <m:e>
                    <m:d>
                      <m:dPr>
                        <m:ctrlPr>
                          <w:rPr>
                            <w:rFonts w:ascii="Cambria Math" w:hAnsi="Cambria Math"/>
                            <w:szCs w:val="20"/>
                          </w:rPr>
                        </m:ctrlPr>
                      </m:dPr>
                      <m:e>
                        <m:r>
                          <m:rPr>
                            <m:sty m:val="p"/>
                          </m:rPr>
                          <w:rPr>
                            <w:rFonts w:ascii="Cambria Math" w:hAnsi="Cambria Math"/>
                            <w:szCs w:val="20"/>
                          </w:rPr>
                          <m:t>1-</m:t>
                        </m:r>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e>
                    </m:d>
                  </m:e>
                </m:rad>
              </m:oMath>
            </m:oMathPara>
          </w:p>
          <w:p w14:paraId="6B191B2C" w14:textId="77777777" w:rsidR="00F0593A" w:rsidRPr="00384CAC" w:rsidRDefault="00F0593A" w:rsidP="00F0593A">
            <w:pPr>
              <w:rPr>
                <w:rFonts w:ascii="Times New Roman" w:hAnsi="Times New Roman"/>
                <w:szCs w:val="20"/>
              </w:rPr>
            </w:pPr>
            <w:r w:rsidRPr="00384CAC">
              <w:rPr>
                <w:rFonts w:ascii="Times New Roman" w:hAnsi="Times New Roman"/>
                <w:szCs w:val="20"/>
              </w:rPr>
              <w:t>where:</w:t>
            </w:r>
          </w:p>
          <w:p w14:paraId="3D345CC6" w14:textId="77777777" w:rsidR="00F0593A" w:rsidRPr="00384CAC" w:rsidRDefault="00F0593A" w:rsidP="00EC7E5C">
            <w:pPr>
              <w:pStyle w:val="ListParagraph"/>
              <w:numPr>
                <w:ilvl w:val="0"/>
                <w:numId w:val="21"/>
              </w:numPr>
              <w:rPr>
                <w:rFonts w:ascii="Times New Roman" w:hAnsi="Times New Roman"/>
                <w:szCs w:val="20"/>
              </w:rPr>
            </w:pPr>
            <w:r w:rsidRPr="00384CAC">
              <w:rPr>
                <w:rFonts w:ascii="Times New Roman" w:hAnsi="Times New Roman"/>
                <w:szCs w:val="20"/>
              </w:rPr>
              <w:t xml:space="preserve">M is the residual number of years of the maturity of the exposure at the reporting </w:t>
            </w:r>
            <w:proofErr w:type="gramStart"/>
            <w:r w:rsidRPr="00384CAC">
              <w:rPr>
                <w:rFonts w:ascii="Times New Roman" w:hAnsi="Times New Roman"/>
                <w:szCs w:val="20"/>
              </w:rPr>
              <w:t>date;</w:t>
            </w:r>
            <w:proofErr w:type="gramEnd"/>
          </w:p>
          <w:p w14:paraId="1CD7E017" w14:textId="095AAADC" w:rsidR="00F0593A" w:rsidRDefault="00F0593A" w:rsidP="00EC7E5C">
            <w:pPr>
              <w:pStyle w:val="ListParagraph"/>
              <w:numPr>
                <w:ilvl w:val="0"/>
                <w:numId w:val="21"/>
              </w:numPr>
              <w:rPr>
                <w:rStyle w:val="InstructionsTabelleText"/>
                <w:rFonts w:ascii="Times New Roman" w:hAnsi="Times New Roman"/>
                <w:szCs w:val="20"/>
              </w:rPr>
            </w:pPr>
            <m:oMath>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oMath>
            <w:r w:rsidRPr="00384CAC">
              <w:rPr>
                <w:rFonts w:ascii="Times New Roman" w:hAnsi="Times New Roman"/>
                <w:szCs w:val="20"/>
              </w:rPr>
              <w:t xml:space="preserve"> is </w:t>
            </w:r>
            <w:r w:rsidRPr="00384CAC">
              <w:rPr>
                <w:rStyle w:val="InstructionsTabelleText"/>
                <w:rFonts w:ascii="Times New Roman" w:hAnsi="Times New Roman"/>
                <w:szCs w:val="20"/>
              </w:rPr>
              <w:t>the lifetime PD level</w:t>
            </w:r>
            <w:r w:rsidRPr="00384CAC">
              <w:rPr>
                <w:rFonts w:ascii="Times New Roman" w:hAnsi="Times New Roman"/>
                <w:szCs w:val="20"/>
              </w:rPr>
              <w:t xml:space="preserve"> </w:t>
            </w:r>
            <w:r w:rsidRPr="00384CAC">
              <w:rPr>
                <w:rStyle w:val="InstructionsTabelleText"/>
                <w:rFonts w:ascii="Times New Roman" w:hAnsi="Times New Roman"/>
                <w:szCs w:val="20"/>
              </w:rPr>
              <w:t>below which the financial instrument is considered to have a low risk of default at the reporting date.</w:t>
            </w:r>
          </w:p>
          <w:p w14:paraId="20BC82C3" w14:textId="025E836A" w:rsidR="00F0593A" w:rsidRPr="00384CAC" w:rsidRDefault="00F0593A" w:rsidP="00F0593A">
            <w:pPr>
              <w:rPr>
                <w:rFonts w:ascii="Times New Roman" w:hAnsi="Times New Roman"/>
                <w:szCs w:val="20"/>
              </w:rPr>
            </w:pPr>
            <w:r w:rsidRPr="00384CAC">
              <w:rPr>
                <w:rStyle w:val="InstructionsTabelleText"/>
                <w:rFonts w:ascii="Times New Roman" w:hAnsi="Times New Roman"/>
                <w:szCs w:val="20"/>
              </w:rPr>
              <w:t xml:space="preserve">Where the </w:t>
            </w:r>
            <w:r w:rsidR="00167A38">
              <w:rPr>
                <w:rStyle w:val="InstructionsTabelleText"/>
                <w:rFonts w:ascii="Times New Roman" w:hAnsi="Times New Roman"/>
                <w:szCs w:val="20"/>
              </w:rPr>
              <w:t>l</w:t>
            </w:r>
            <w:r w:rsidRPr="00384CAC">
              <w:rPr>
                <w:rStyle w:val="InstructionsTabelleText"/>
                <w:rFonts w:ascii="Times New Roman" w:hAnsi="Times New Roman"/>
                <w:szCs w:val="20"/>
              </w:rPr>
              <w:t xml:space="preserve">ow </w:t>
            </w:r>
            <w:r w:rsidR="00167A38">
              <w:rPr>
                <w:rStyle w:val="InstructionsTabelleText"/>
                <w:rFonts w:ascii="Times New Roman" w:hAnsi="Times New Roman"/>
                <w:szCs w:val="20"/>
              </w:rPr>
              <w:t>c</w:t>
            </w:r>
            <w:r w:rsidRPr="00384CAC">
              <w:rPr>
                <w:rStyle w:val="InstructionsTabelleText"/>
                <w:rFonts w:ascii="Times New Roman" w:hAnsi="Times New Roman"/>
                <w:szCs w:val="20"/>
              </w:rPr>
              <w:t xml:space="preserve">redit </w:t>
            </w:r>
            <w:r w:rsidR="00167A38">
              <w:rPr>
                <w:rStyle w:val="InstructionsTabelleText"/>
                <w:rFonts w:ascii="Times New Roman" w:hAnsi="Times New Roman"/>
                <w:szCs w:val="20"/>
              </w:rPr>
              <w:t>r</w:t>
            </w:r>
            <w:r w:rsidRPr="00384CAC">
              <w:rPr>
                <w:rStyle w:val="InstructionsTabelleText"/>
                <w:rFonts w:ascii="Times New Roman" w:hAnsi="Times New Roman"/>
                <w:szCs w:val="20"/>
              </w:rPr>
              <w:t>isk exemption</w:t>
            </w:r>
            <w:r w:rsidR="00286F80">
              <w:rPr>
                <w:rStyle w:val="InstructionsTabelleText"/>
                <w:rFonts w:ascii="Times New Roman" w:hAnsi="Times New Roman"/>
                <w:szCs w:val="20"/>
              </w:rPr>
              <w:t xml:space="preserve"> is not used for the respective portfolio</w:t>
            </w:r>
            <w:r w:rsidRPr="00384CAC">
              <w:rPr>
                <w:rStyle w:val="InstructionsTabelleText"/>
                <w:rFonts w:ascii="Times New Roman" w:hAnsi="Times New Roman"/>
                <w:szCs w:val="20"/>
              </w:rPr>
              <w:t xml:space="preserve">, this data point shall be left </w:t>
            </w:r>
            <w:proofErr w:type="gramStart"/>
            <w:r w:rsidRPr="00384CAC">
              <w:rPr>
                <w:rFonts w:ascii="Times New Roman" w:hAnsi="Times New Roman"/>
                <w:szCs w:val="20"/>
              </w:rPr>
              <w:t>blank</w:t>
            </w:r>
            <w:proofErr w:type="gramEnd"/>
            <w:r w:rsidR="001D0590" w:rsidRPr="008D562A">
              <w:rPr>
                <w:rFonts w:ascii="Times New Roman" w:hAnsi="Times New Roman"/>
                <w:szCs w:val="20"/>
                <w:lang w:eastAsia="de-DE"/>
              </w:rPr>
              <w:t xml:space="preserve"> or ‘NULL’ shall be inserted</w:t>
            </w:r>
            <w:r w:rsidRPr="00384CAC">
              <w:rPr>
                <w:rFonts w:ascii="Times New Roman" w:hAnsi="Times New Roman"/>
                <w:szCs w:val="20"/>
              </w:rPr>
              <w:t>.</w:t>
            </w:r>
          </w:p>
          <w:p w14:paraId="27C9C07D" w14:textId="7AF1335A" w:rsidR="00F0593A" w:rsidRDefault="00F0593A" w:rsidP="00F0593A">
            <w:pPr>
              <w:rPr>
                <w:rStyle w:val="InstructionsTabelleText"/>
                <w:rFonts w:ascii="Times New Roman" w:hAnsi="Times New Roman"/>
                <w:szCs w:val="20"/>
              </w:rPr>
            </w:pPr>
            <w:r w:rsidRPr="00384CAC">
              <w:rPr>
                <w:rFonts w:ascii="Times New Roman" w:hAnsi="Times New Roman"/>
                <w:szCs w:val="20"/>
              </w:rPr>
              <w:lastRenderedPageBreak/>
              <w:t xml:space="preserve">Where the 12-month PD is used as a proxy for the </w:t>
            </w:r>
            <w:r w:rsidRPr="00384CAC">
              <w:rPr>
                <w:rStyle w:val="InstructionsTabelleText"/>
                <w:rFonts w:ascii="Times New Roman" w:hAnsi="Times New Roman"/>
                <w:szCs w:val="20"/>
              </w:rPr>
              <w:t>low credit risk</w:t>
            </w:r>
            <w:r w:rsidRPr="00384CAC">
              <w:rPr>
                <w:rFonts w:ascii="Times New Roman" w:hAnsi="Times New Roman"/>
                <w:szCs w:val="20"/>
              </w:rPr>
              <w:t xml:space="preserve"> assessment, the 12-month PD </w:t>
            </w:r>
            <w:r w:rsidRPr="00384CAC">
              <w:rPr>
                <w:rStyle w:val="InstructionsTabelleText"/>
                <w:rFonts w:ascii="Times New Roman" w:hAnsi="Times New Roman"/>
                <w:szCs w:val="20"/>
              </w:rPr>
              <w:t>below which the financial instrument is considered to have a low risk of default</w:t>
            </w:r>
            <w:r w:rsidRPr="00384CAC">
              <w:rPr>
                <w:rFonts w:ascii="Times New Roman" w:hAnsi="Times New Roman"/>
                <w:szCs w:val="20"/>
              </w:rPr>
              <w:t xml:space="preserve"> shall be reported. </w:t>
            </w:r>
          </w:p>
        </w:tc>
      </w:tr>
      <w:tr w:rsidR="00414202" w:rsidRPr="00D04BFC" w14:paraId="0DDC3AEC" w14:textId="77777777" w:rsidTr="00E25C9A">
        <w:tc>
          <w:tcPr>
            <w:tcW w:w="993" w:type="dxa"/>
            <w:tcBorders>
              <w:top w:val="single" w:sz="4" w:space="0" w:color="auto"/>
              <w:left w:val="single" w:sz="4" w:space="0" w:color="auto"/>
              <w:bottom w:val="single" w:sz="4" w:space="0" w:color="auto"/>
              <w:right w:val="single" w:sz="4" w:space="0" w:color="auto"/>
            </w:tcBorders>
          </w:tcPr>
          <w:p w14:paraId="0FBD960B" w14:textId="520B853C" w:rsidR="00414202" w:rsidRPr="00F9474C" w:rsidRDefault="0066548B" w:rsidP="00F0593A">
            <w:pPr>
              <w:rPr>
                <w:rStyle w:val="InstructionsTabelleText"/>
                <w:rFonts w:ascii="Times New Roman" w:hAnsi="Times New Roman"/>
                <w:szCs w:val="20"/>
              </w:rPr>
            </w:pPr>
            <w:r w:rsidRPr="00384CAC">
              <w:rPr>
                <w:rStyle w:val="InstructionsTabelleText"/>
                <w:rFonts w:ascii="Times New Roman" w:hAnsi="Times New Roman"/>
                <w:szCs w:val="20"/>
              </w:rPr>
              <w:lastRenderedPageBreak/>
              <w:t>00</w:t>
            </w:r>
            <w:r>
              <w:rPr>
                <w:rStyle w:val="InstructionsTabelleText"/>
                <w:rFonts w:ascii="Times New Roman" w:hAnsi="Times New Roman"/>
                <w:szCs w:val="20"/>
              </w:rPr>
              <w:t>4</w:t>
            </w:r>
            <w:r w:rsidRPr="00384CAC">
              <w:rPr>
                <w:rStyle w:val="InstructionsTabelleText"/>
                <w:rFonts w:ascii="Times New Roman" w:hAnsi="Times New Roman"/>
                <w:szCs w:val="20"/>
              </w:rPr>
              <w:t>0</w:t>
            </w:r>
          </w:p>
        </w:tc>
        <w:tc>
          <w:tcPr>
            <w:tcW w:w="1701" w:type="dxa"/>
            <w:tcBorders>
              <w:top w:val="single" w:sz="4" w:space="0" w:color="auto"/>
              <w:left w:val="single" w:sz="4" w:space="0" w:color="auto"/>
              <w:bottom w:val="single" w:sz="4" w:space="0" w:color="auto"/>
              <w:right w:val="single" w:sz="4" w:space="0" w:color="auto"/>
            </w:tcBorders>
          </w:tcPr>
          <w:p w14:paraId="7731E9FA" w14:textId="4837CCA5" w:rsidR="00414202" w:rsidRDefault="006B62CA" w:rsidP="00F0593A">
            <w:pPr>
              <w:rPr>
                <w:rStyle w:val="InstructionsTabelleText"/>
                <w:rFonts w:ascii="Times New Roman" w:hAnsi="Times New Roman"/>
                <w:szCs w:val="20"/>
              </w:rPr>
            </w:pPr>
            <w:r>
              <w:rPr>
                <w:rStyle w:val="InstructionsTabelleText"/>
                <w:rFonts w:ascii="Times New Roman" w:hAnsi="Times New Roman"/>
                <w:szCs w:val="20"/>
              </w:rPr>
              <w:t>S</w:t>
            </w:r>
            <w:r w:rsidR="00414202">
              <w:rPr>
                <w:rStyle w:val="InstructionsTabelleText"/>
                <w:rFonts w:ascii="Times New Roman" w:hAnsi="Times New Roman"/>
                <w:szCs w:val="20"/>
              </w:rPr>
              <w:t>tage 1</w:t>
            </w:r>
            <w:r w:rsidR="00860469">
              <w:rPr>
                <w:rStyle w:val="InstructionsTabelleText"/>
                <w:rFonts w:ascii="Times New Roman" w:hAnsi="Times New Roman"/>
                <w:szCs w:val="20"/>
              </w:rPr>
              <w:t xml:space="preserve"> exposures</w:t>
            </w:r>
            <w:r w:rsidR="00414202">
              <w:rPr>
                <w:rStyle w:val="InstructionsTabelleText"/>
                <w:rFonts w:ascii="Times New Roman" w:hAnsi="Times New Roman"/>
                <w:szCs w:val="20"/>
              </w:rPr>
              <w:t xml:space="preserve"> </w:t>
            </w:r>
            <w:r w:rsidR="00860E6F">
              <w:rPr>
                <w:rStyle w:val="InstructionsTabelleText"/>
                <w:rFonts w:ascii="Times New Roman" w:hAnsi="Times New Roman"/>
                <w:szCs w:val="20"/>
              </w:rPr>
              <w:t xml:space="preserve">with more than </w:t>
            </w:r>
            <w:r w:rsidR="00414202">
              <w:rPr>
                <w:rStyle w:val="InstructionsTabelleText"/>
                <w:rFonts w:ascii="Times New Roman" w:hAnsi="Times New Roman"/>
                <w:szCs w:val="20"/>
              </w:rPr>
              <w:t>a three</w:t>
            </w:r>
            <w:r w:rsidR="00A53ADF">
              <w:rPr>
                <w:rStyle w:val="InstructionsTabelleText"/>
                <w:rFonts w:ascii="Times New Roman" w:hAnsi="Times New Roman"/>
                <w:szCs w:val="20"/>
              </w:rPr>
              <w:t xml:space="preserve"> </w:t>
            </w:r>
            <w:r w:rsidR="00860E6F">
              <w:rPr>
                <w:rStyle w:val="InstructionsTabelleText"/>
                <w:rFonts w:ascii="Times New Roman" w:hAnsi="Times New Roman"/>
                <w:szCs w:val="20"/>
              </w:rPr>
              <w:t xml:space="preserve">- </w:t>
            </w:r>
            <w:r w:rsidR="00414202">
              <w:rPr>
                <w:rStyle w:val="InstructionsTabelleText"/>
                <w:rFonts w:ascii="Times New Roman" w:hAnsi="Times New Roman"/>
                <w:szCs w:val="20"/>
              </w:rPr>
              <w:t>fold increase in PD</w:t>
            </w:r>
          </w:p>
        </w:tc>
        <w:tc>
          <w:tcPr>
            <w:tcW w:w="1842" w:type="dxa"/>
            <w:tcBorders>
              <w:top w:val="single" w:sz="4" w:space="0" w:color="auto"/>
              <w:left w:val="single" w:sz="4" w:space="0" w:color="auto"/>
              <w:bottom w:val="single" w:sz="4" w:space="0" w:color="auto"/>
              <w:right w:val="single" w:sz="4" w:space="0" w:color="auto"/>
            </w:tcBorders>
          </w:tcPr>
          <w:p w14:paraId="26DF5AD6" w14:textId="2DFCE221" w:rsidR="00FB2AA8" w:rsidRPr="00384CAC" w:rsidRDefault="00FB2AA8" w:rsidP="00FB2AA8">
            <w:pPr>
              <w:rPr>
                <w:rStyle w:val="InstructionsTabelleText"/>
                <w:rFonts w:ascii="Times New Roman" w:hAnsi="Times New Roman"/>
                <w:bCs/>
                <w:szCs w:val="20"/>
              </w:rPr>
            </w:pPr>
            <w:r w:rsidRPr="00384CAC">
              <w:rPr>
                <w:rStyle w:val="InstructionsTabelleText"/>
                <w:rFonts w:ascii="Times New Roman" w:hAnsi="Times New Roman"/>
                <w:szCs w:val="20"/>
              </w:rPr>
              <w:t>IFRS 9.5.5.9</w:t>
            </w:r>
          </w:p>
          <w:p w14:paraId="61AC9CE8" w14:textId="597BDCD6" w:rsidR="00FB2AA8" w:rsidRPr="00384CAC" w:rsidRDefault="00FB2AA8" w:rsidP="00FB2AA8">
            <w:pPr>
              <w:rPr>
                <w:rStyle w:val="InstructionsTabelleText"/>
                <w:rFonts w:ascii="Times New Roman" w:hAnsi="Times New Roman"/>
                <w:bCs/>
                <w:szCs w:val="20"/>
              </w:rPr>
            </w:pPr>
            <w:r w:rsidRPr="00384CAC">
              <w:rPr>
                <w:rStyle w:val="InstructionsTabelleText"/>
                <w:rFonts w:ascii="Times New Roman" w:hAnsi="Times New Roman"/>
                <w:szCs w:val="20"/>
              </w:rPr>
              <w:t>IFRS 9.B5.5.11</w:t>
            </w:r>
          </w:p>
          <w:p w14:paraId="360C4FF7" w14:textId="7FD3D734" w:rsidR="00FB2AA8" w:rsidRPr="00384CAC" w:rsidRDefault="00FB2AA8" w:rsidP="00FB2AA8">
            <w:pPr>
              <w:rPr>
                <w:rStyle w:val="InstructionsTabelleText"/>
                <w:rFonts w:ascii="Times New Roman" w:hAnsi="Times New Roman"/>
                <w:bCs/>
                <w:szCs w:val="20"/>
              </w:rPr>
            </w:pPr>
            <w:r w:rsidRPr="00384CAC">
              <w:rPr>
                <w:rStyle w:val="InstructionsTabelleText"/>
                <w:rFonts w:ascii="Times New Roman" w:hAnsi="Times New Roman"/>
                <w:szCs w:val="20"/>
              </w:rPr>
              <w:t>IFRS 9.B5.5.13</w:t>
            </w:r>
          </w:p>
          <w:p w14:paraId="0C484ACD" w14:textId="7CF3E172" w:rsidR="00FB2AA8" w:rsidRPr="00FB2AA8" w:rsidRDefault="00FB2AA8" w:rsidP="00FB2AA8">
            <w:pPr>
              <w:rPr>
                <w:rStyle w:val="InstructionsTabelleText"/>
                <w:rFonts w:ascii="Times New Roman" w:hAnsi="Times New Roman"/>
                <w:bCs/>
                <w:szCs w:val="20"/>
              </w:rPr>
            </w:pPr>
            <w:r w:rsidRPr="00384CAC">
              <w:rPr>
                <w:rStyle w:val="InstructionsTabelleText"/>
                <w:rFonts w:ascii="Times New Roman" w:hAnsi="Times New Roman"/>
                <w:szCs w:val="20"/>
              </w:rPr>
              <w:t>IFRS 9.B5.5.1</w:t>
            </w:r>
            <w:r>
              <w:rPr>
                <w:rStyle w:val="InstructionsTabelleText"/>
                <w:rFonts w:ascii="Times New Roman" w:hAnsi="Times New Roman"/>
                <w:szCs w:val="20"/>
              </w:rPr>
              <w:t>4</w:t>
            </w:r>
          </w:p>
          <w:p w14:paraId="50EA0EAF" w14:textId="331CC07C" w:rsidR="00414202" w:rsidRPr="00384CAC" w:rsidRDefault="00FB2AA8" w:rsidP="00FB2AA8">
            <w:pPr>
              <w:rPr>
                <w:rFonts w:ascii="Times New Roman" w:hAnsi="Times New Roman"/>
                <w:szCs w:val="20"/>
              </w:rPr>
            </w:pPr>
            <w:r w:rsidRPr="00384CAC">
              <w:rPr>
                <w:rStyle w:val="InstructionsTabelleText"/>
                <w:rFonts w:ascii="Times New Roman" w:hAnsi="Times New Roman"/>
                <w:szCs w:val="20"/>
              </w:rPr>
              <w:t>IFRS 9.B5.5.43</w:t>
            </w:r>
          </w:p>
        </w:tc>
        <w:tc>
          <w:tcPr>
            <w:tcW w:w="9781" w:type="dxa"/>
            <w:tcBorders>
              <w:top w:val="single" w:sz="4" w:space="0" w:color="auto"/>
              <w:left w:val="single" w:sz="4" w:space="0" w:color="auto"/>
              <w:bottom w:val="single" w:sz="4" w:space="0" w:color="auto"/>
              <w:right w:val="single" w:sz="4" w:space="0" w:color="auto"/>
            </w:tcBorders>
          </w:tcPr>
          <w:p w14:paraId="047BCF0C" w14:textId="5441EA7A" w:rsidR="003A421D" w:rsidRDefault="003A421D" w:rsidP="003A421D">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sum of the exposure value, as</w:t>
            </w:r>
            <w:r w:rsidRPr="00384CAC">
              <w:rPr>
                <w:rFonts w:ascii="Times New Roman" w:hAnsi="Times New Roman"/>
                <w:szCs w:val="20"/>
              </w:rPr>
              <w:t xml:space="preserve"> defined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384CAC">
              <w:rPr>
                <w:rFonts w:ascii="Times New Roman" w:hAnsi="Times New Roman"/>
                <w:szCs w:val="20"/>
              </w:rPr>
              <w:t>column 00</w:t>
            </w:r>
            <w:r>
              <w:rPr>
                <w:rFonts w:ascii="Times New Roman" w:hAnsi="Times New Roman"/>
                <w:szCs w:val="20"/>
              </w:rPr>
              <w:t>5</w:t>
            </w:r>
            <w:r w:rsidRPr="00384CAC">
              <w:rPr>
                <w:rFonts w:ascii="Times New Roman" w:hAnsi="Times New Roman"/>
                <w:szCs w:val="20"/>
              </w:rPr>
              <w:t>0</w:t>
            </w:r>
            <w:r>
              <w:rPr>
                <w:rFonts w:ascii="Times New Roman" w:hAnsi="Times New Roman"/>
                <w:szCs w:val="20"/>
              </w:rPr>
              <w:t>,</w:t>
            </w:r>
            <w:r>
              <w:rPr>
                <w:rStyle w:val="InstructionsTabelleText"/>
                <w:rFonts w:ascii="Times New Roman" w:hAnsi="Times New Roman"/>
                <w:szCs w:val="20"/>
              </w:rPr>
              <w:t xml:space="preserve"> of all the facilities reported in stage 1, </w:t>
            </w:r>
            <w:r w:rsidR="00744E77">
              <w:rPr>
                <w:rStyle w:val="InstructionsTabelleText"/>
                <w:rFonts w:ascii="Times New Roman" w:hAnsi="Times New Roman"/>
                <w:szCs w:val="20"/>
              </w:rPr>
              <w:t>for which</w:t>
            </w:r>
            <w:r w:rsidR="00127BB0">
              <w:rPr>
                <w:rStyle w:val="InstructionsTabelleText"/>
                <w:rFonts w:ascii="Times New Roman" w:hAnsi="Times New Roman"/>
                <w:szCs w:val="20"/>
              </w:rPr>
              <w:t>:</w:t>
            </w:r>
          </w:p>
          <w:p w14:paraId="7ACBFFD8" w14:textId="2114C32D" w:rsidR="00127BB0" w:rsidRDefault="00127BB0" w:rsidP="00EC7E5C">
            <w:pPr>
              <w:numPr>
                <w:ilvl w:val="0"/>
                <w:numId w:val="28"/>
              </w:numPr>
              <w:rPr>
                <w:rStyle w:val="InstructionsTabelleText"/>
                <w:rFonts w:ascii="Times New Roman" w:hAnsi="Times New Roman"/>
                <w:szCs w:val="20"/>
              </w:rPr>
            </w:pPr>
            <w:r>
              <w:rPr>
                <w:rStyle w:val="InstructionsTabelleText"/>
                <w:rFonts w:ascii="Times New Roman" w:hAnsi="Times New Roman"/>
                <w:szCs w:val="20"/>
              </w:rPr>
              <w:t xml:space="preserve">the </w:t>
            </w:r>
            <w:r w:rsidR="0012683C">
              <w:rPr>
                <w:rStyle w:val="InstructionsTabelleText"/>
                <w:rFonts w:ascii="Times New Roman" w:hAnsi="Times New Roman"/>
                <w:szCs w:val="20"/>
              </w:rPr>
              <w:t xml:space="preserve">annualised lifetime PD at the reporting date </w:t>
            </w:r>
            <w:r w:rsidR="00744E77">
              <w:rPr>
                <w:rStyle w:val="InstructionsTabelleText"/>
                <w:rFonts w:ascii="Times New Roman" w:hAnsi="Times New Roman"/>
                <w:szCs w:val="20"/>
              </w:rPr>
              <w:t>is</w:t>
            </w:r>
            <w:r w:rsidR="00AC44EF">
              <w:rPr>
                <w:rStyle w:val="InstructionsTabelleText"/>
                <w:rFonts w:ascii="Times New Roman" w:hAnsi="Times New Roman"/>
                <w:szCs w:val="20"/>
              </w:rPr>
              <w:t xml:space="preserve"> equal to or higher than</w:t>
            </w:r>
            <w:r w:rsidR="00CC7D9D">
              <w:rPr>
                <w:rStyle w:val="InstructionsTabelleText"/>
                <w:rFonts w:ascii="Times New Roman" w:hAnsi="Times New Roman"/>
                <w:szCs w:val="20"/>
              </w:rPr>
              <w:t xml:space="preserve"> 0.3%; and</w:t>
            </w:r>
          </w:p>
          <w:p w14:paraId="7881D21A" w14:textId="2D518116" w:rsidR="00CC7D9D" w:rsidRDefault="005966B2" w:rsidP="00EC7E5C">
            <w:pPr>
              <w:numPr>
                <w:ilvl w:val="0"/>
                <w:numId w:val="28"/>
              </w:numPr>
              <w:rPr>
                <w:rStyle w:val="InstructionsTabelleText"/>
                <w:rFonts w:ascii="Times New Roman" w:hAnsi="Times New Roman"/>
                <w:szCs w:val="20"/>
              </w:rPr>
            </w:pPr>
            <w:r>
              <w:rPr>
                <w:rStyle w:val="InstructionsTabelleText"/>
                <w:rFonts w:ascii="Times New Roman" w:hAnsi="Times New Roman"/>
                <w:szCs w:val="20"/>
              </w:rPr>
              <w:t xml:space="preserve">more than </w:t>
            </w:r>
            <w:r w:rsidR="00637012">
              <w:rPr>
                <w:rStyle w:val="InstructionsTabelleText"/>
                <w:rFonts w:ascii="Times New Roman" w:hAnsi="Times New Roman"/>
                <w:szCs w:val="20"/>
              </w:rPr>
              <w:t>a three-fold increase in</w:t>
            </w:r>
            <w:r>
              <w:rPr>
                <w:rStyle w:val="InstructionsTabelleText"/>
                <w:rFonts w:ascii="Times New Roman" w:hAnsi="Times New Roman"/>
                <w:szCs w:val="20"/>
              </w:rPr>
              <w:t xml:space="preserve"> the annualised lifetime PD </w:t>
            </w:r>
            <w:r w:rsidR="003268D9">
              <w:rPr>
                <w:rStyle w:val="InstructionsTabelleText"/>
                <w:rFonts w:ascii="Times New Roman" w:hAnsi="Times New Roman"/>
                <w:szCs w:val="20"/>
              </w:rPr>
              <w:t>ha</w:t>
            </w:r>
            <w:r>
              <w:rPr>
                <w:rStyle w:val="InstructionsTabelleText"/>
                <w:rFonts w:ascii="Times New Roman" w:hAnsi="Times New Roman"/>
                <w:szCs w:val="20"/>
              </w:rPr>
              <w:t>s occurred since the origination</w:t>
            </w:r>
            <w:r w:rsidR="00ED28A6">
              <w:rPr>
                <w:rStyle w:val="InstructionsTabelleText"/>
                <w:rFonts w:ascii="Times New Roman" w:hAnsi="Times New Roman"/>
                <w:szCs w:val="20"/>
              </w:rPr>
              <w:t>.</w:t>
            </w:r>
          </w:p>
          <w:p w14:paraId="18AF8634" w14:textId="1FB2C390" w:rsidR="00D87F5B" w:rsidRPr="00D87F5B" w:rsidRDefault="00ED28A6" w:rsidP="006D1691">
            <w:pPr>
              <w:rPr>
                <w:rStyle w:val="InstructionsTabelleText"/>
                <w:rFonts w:ascii="Times New Roman" w:hAnsi="Times New Roman"/>
                <w:szCs w:val="20"/>
              </w:rPr>
            </w:pPr>
            <w:proofErr w:type="gramStart"/>
            <w:r>
              <w:rPr>
                <w:rStyle w:val="InstructionsTabelleText"/>
                <w:rFonts w:ascii="Times New Roman" w:hAnsi="Times New Roman"/>
                <w:szCs w:val="20"/>
              </w:rPr>
              <w:t>For the purpose of</w:t>
            </w:r>
            <w:proofErr w:type="gramEnd"/>
            <w:r>
              <w:rPr>
                <w:rStyle w:val="InstructionsTabelleText"/>
                <w:rFonts w:ascii="Times New Roman" w:hAnsi="Times New Roman"/>
                <w:szCs w:val="20"/>
              </w:rPr>
              <w:t xml:space="preserve"> this computation:</w:t>
            </w:r>
            <w:r w:rsidR="00A53ADF">
              <w:rPr>
                <w:rStyle w:val="InstructionsTabelleText"/>
                <w:rFonts w:ascii="Times New Roman" w:hAnsi="Times New Roman"/>
                <w:szCs w:val="20"/>
              </w:rPr>
              <w:t xml:space="preserve"> </w:t>
            </w:r>
            <w:r w:rsidR="00A76BCD">
              <w:rPr>
                <w:rStyle w:val="InstructionsTabelleText"/>
                <w:rFonts w:ascii="Times New Roman" w:hAnsi="Times New Roman"/>
                <w:szCs w:val="20"/>
              </w:rPr>
              <w:t>a three-fold increase in the in the annualised lifetime PD</w:t>
            </w:r>
            <w:r w:rsidR="00D87F5B">
              <w:rPr>
                <w:rStyle w:val="InstructionsTabelleText"/>
                <w:rFonts w:ascii="Times New Roman" w:hAnsi="Times New Roman"/>
                <w:szCs w:val="20"/>
              </w:rPr>
              <w:t xml:space="preserve"> </w:t>
            </w:r>
            <w:r w:rsidR="00D87F5B" w:rsidRPr="00D87F5B">
              <w:rPr>
                <w:rStyle w:val="InstructionsTabelleText"/>
                <w:rFonts w:ascii="Times New Roman" w:hAnsi="Times New Roman"/>
                <w:szCs w:val="20"/>
              </w:rPr>
              <w:t xml:space="preserve">is intended as an increase of 200% of </w:t>
            </w:r>
            <w:r w:rsidR="009B1539" w:rsidRPr="00D87F5B">
              <w:rPr>
                <w:rStyle w:val="InstructionsTabelleText"/>
                <w:rFonts w:ascii="Times New Roman" w:hAnsi="Times New Roman"/>
                <w:szCs w:val="20"/>
              </w:rPr>
              <w:t>the PD</w:t>
            </w:r>
            <w:r w:rsidR="00D87F5B">
              <w:rPr>
                <w:rStyle w:val="InstructionsTabelleText"/>
                <w:rFonts w:ascii="Times New Roman" w:hAnsi="Times New Roman"/>
                <w:szCs w:val="20"/>
              </w:rPr>
              <w:t xml:space="preserve"> at the </w:t>
            </w:r>
            <w:r w:rsidR="002D4D1F">
              <w:rPr>
                <w:rStyle w:val="InstructionsTabelleText"/>
                <w:rFonts w:ascii="Times New Roman" w:hAnsi="Times New Roman"/>
                <w:szCs w:val="20"/>
              </w:rPr>
              <w:t>origination, in accordance with the following formula:</w:t>
            </w:r>
          </w:p>
          <w:p w14:paraId="14A4810D" w14:textId="1BA8CDE9" w:rsidR="00ED28A6" w:rsidRDefault="003A0E03" w:rsidP="009B1539">
            <w:pPr>
              <w:ind w:left="708"/>
              <w:jc w:val="center"/>
              <w:rPr>
                <w:rStyle w:val="InstructionsTabelleText"/>
                <w:rFonts w:ascii="Times New Roman" w:hAnsi="Times New Roman"/>
                <w:szCs w:val="20"/>
              </w:rPr>
            </w:pPr>
            <w:r w:rsidRPr="006D1691">
              <w:rPr>
                <w:rStyle w:val="InstructionsTabelleText"/>
                <w:rFonts w:ascii="Times New Roman" w:hAnsi="Times New Roman"/>
                <w:i/>
                <w:iCs/>
                <w:szCs w:val="20"/>
              </w:rPr>
              <w:t xml:space="preserve">Three-fold increase in </w:t>
            </w:r>
            <w:r w:rsidR="00BD4943">
              <w:rPr>
                <w:rStyle w:val="InstructionsTabelleText"/>
                <w:rFonts w:ascii="Times New Roman" w:hAnsi="Times New Roman"/>
                <w:i/>
                <w:iCs/>
                <w:szCs w:val="20"/>
              </w:rPr>
              <w:t xml:space="preserve">annualised </w:t>
            </w:r>
            <w:proofErr w:type="spellStart"/>
            <w:r w:rsidRPr="006D1691">
              <w:rPr>
                <w:rStyle w:val="InstructionsTabelleText"/>
                <w:rFonts w:ascii="Times New Roman" w:hAnsi="Times New Roman"/>
                <w:i/>
                <w:iCs/>
                <w:szCs w:val="20"/>
              </w:rPr>
              <w:t>PD</w:t>
            </w:r>
            <w:r w:rsidR="00456FDD" w:rsidRPr="006D1691">
              <w:rPr>
                <w:rStyle w:val="InstructionsTabelleText"/>
                <w:rFonts w:ascii="Times New Roman" w:hAnsi="Times New Roman"/>
                <w:i/>
                <w:iCs/>
                <w:szCs w:val="20"/>
                <w:vertAlign w:val="subscript"/>
              </w:rPr>
              <w:t>t</w:t>
            </w:r>
            <w:proofErr w:type="spellEnd"/>
            <w:r>
              <w:rPr>
                <w:rStyle w:val="InstructionsTabelleText"/>
                <w:rFonts w:ascii="Times New Roman" w:hAnsi="Times New Roman"/>
                <w:szCs w:val="20"/>
              </w:rPr>
              <w:t xml:space="preserve"> = </w:t>
            </w:r>
            <w:r w:rsidR="00D87F5B" w:rsidRPr="00D87F5B">
              <w:rPr>
                <w:rStyle w:val="InstructionsTabelleText"/>
                <w:rFonts w:ascii="Times New Roman" w:hAnsi="Times New Roman"/>
                <w:szCs w:val="20"/>
              </w:rPr>
              <w:t xml:space="preserve">(1+200%)* </w:t>
            </w:r>
            <w:r w:rsidR="00B347F8">
              <w:rPr>
                <w:rStyle w:val="InstructionsTabelleText"/>
                <w:rFonts w:ascii="Times New Roman" w:hAnsi="Times New Roman"/>
                <w:szCs w:val="20"/>
              </w:rPr>
              <w:t xml:space="preserve">annualised lifetime </w:t>
            </w:r>
            <w:proofErr w:type="spellStart"/>
            <w:r w:rsidR="00B347F8">
              <w:rPr>
                <w:rStyle w:val="InstructionsTabelleText"/>
                <w:rFonts w:ascii="Times New Roman" w:hAnsi="Times New Roman"/>
                <w:szCs w:val="20"/>
              </w:rPr>
              <w:t>PD</w:t>
            </w:r>
            <w:r w:rsidR="00456FDD" w:rsidRPr="006D1691">
              <w:rPr>
                <w:rStyle w:val="InstructionsTabelleText"/>
                <w:rFonts w:ascii="Times New Roman" w:hAnsi="Times New Roman"/>
                <w:szCs w:val="20"/>
                <w:vertAlign w:val="subscript"/>
              </w:rPr>
              <w:t>o</w:t>
            </w:r>
            <w:proofErr w:type="spellEnd"/>
          </w:p>
          <w:p w14:paraId="76E799F4" w14:textId="4A88CD23" w:rsidR="005D22E4" w:rsidRDefault="005E76F4" w:rsidP="006D1691">
            <w:pPr>
              <w:rPr>
                <w:rStyle w:val="InstructionsTabelleText"/>
                <w:rFonts w:ascii="Times New Roman" w:hAnsi="Times New Roman"/>
                <w:szCs w:val="20"/>
              </w:rPr>
            </w:pPr>
            <w:r>
              <w:rPr>
                <w:rStyle w:val="InstructionsTabelleText"/>
                <w:rFonts w:ascii="Times New Roman" w:hAnsi="Times New Roman"/>
                <w:szCs w:val="20"/>
              </w:rPr>
              <w:t>where:</w:t>
            </w:r>
          </w:p>
          <w:p w14:paraId="7D6679E4" w14:textId="3911E919" w:rsidR="003A421D" w:rsidRPr="006D1691" w:rsidRDefault="00ED28A6" w:rsidP="00EC7E5C">
            <w:pPr>
              <w:numPr>
                <w:ilvl w:val="0"/>
                <w:numId w:val="29"/>
              </w:numPr>
              <w:rPr>
                <w:rStyle w:val="InstructionsTabelleText"/>
                <w:rFonts w:ascii="Times New Roman" w:hAnsi="Times New Roman"/>
              </w:rPr>
            </w:pPr>
            <w:r>
              <w:rPr>
                <w:rStyle w:val="InstructionsTabelleText"/>
                <w:rFonts w:ascii="Times New Roman" w:hAnsi="Times New Roman"/>
                <w:szCs w:val="20"/>
              </w:rPr>
              <w:t>t</w:t>
            </w:r>
            <w:r w:rsidR="003A421D" w:rsidRPr="00384CAC">
              <w:rPr>
                <w:rStyle w:val="InstructionsTabelleText"/>
                <w:rFonts w:ascii="Times New Roman" w:hAnsi="Times New Roman"/>
                <w:szCs w:val="20"/>
              </w:rPr>
              <w:t xml:space="preserve">he </w:t>
            </w:r>
            <w:r w:rsidR="003A421D" w:rsidRPr="006D1691">
              <w:rPr>
                <w:rStyle w:val="InstructionsTabelleText"/>
                <w:rFonts w:ascii="Times New Roman" w:hAnsi="Times New Roman"/>
                <w:i/>
                <w:iCs/>
                <w:szCs w:val="20"/>
              </w:rPr>
              <w:t xml:space="preserve">annualised lifetime </w:t>
            </w:r>
            <w:proofErr w:type="spellStart"/>
            <w:r w:rsidR="003A421D" w:rsidRPr="006D1691">
              <w:rPr>
                <w:rStyle w:val="InstructionsTabelleText"/>
                <w:rFonts w:ascii="Times New Roman" w:hAnsi="Times New Roman"/>
                <w:i/>
                <w:iCs/>
              </w:rPr>
              <w:t>PD</w:t>
            </w:r>
            <w:r w:rsidR="00456FDD" w:rsidRPr="006D1691">
              <w:rPr>
                <w:rStyle w:val="InstructionsTabelleText"/>
                <w:rFonts w:ascii="Times New Roman" w:hAnsi="Times New Roman"/>
                <w:i/>
                <w:iCs/>
                <w:vertAlign w:val="subscript"/>
              </w:rPr>
              <w:t>t</w:t>
            </w:r>
            <w:proofErr w:type="spellEnd"/>
            <w:r w:rsidR="00C308ED">
              <w:rPr>
                <w:rStyle w:val="InstructionsTabelleText"/>
                <w:rFonts w:ascii="Times New Roman" w:hAnsi="Times New Roman"/>
              </w:rPr>
              <w:t xml:space="preserve"> </w:t>
            </w:r>
            <w:r w:rsidR="003A421D" w:rsidRPr="006D1691">
              <w:rPr>
                <w:rStyle w:val="InstructionsTabelleText"/>
                <w:rFonts w:ascii="Times New Roman" w:hAnsi="Times New Roman"/>
              </w:rPr>
              <w:t>represent</w:t>
            </w:r>
            <w:r w:rsidR="00666021" w:rsidRPr="006D1691">
              <w:rPr>
                <w:rStyle w:val="InstructionsTabelleText"/>
                <w:rFonts w:ascii="Times New Roman" w:hAnsi="Times New Roman"/>
              </w:rPr>
              <w:t xml:space="preserve">s </w:t>
            </w:r>
            <w:r w:rsidR="003A421D" w:rsidRPr="006D1691">
              <w:rPr>
                <w:rStyle w:val="InstructionsTabelleText"/>
                <w:rFonts w:ascii="Times New Roman" w:hAnsi="Times New Roman"/>
              </w:rPr>
              <w:t>the probability of default assigned to the facilit</w:t>
            </w:r>
            <w:r w:rsidR="00C46B26">
              <w:rPr>
                <w:rStyle w:val="InstructionsTabelleText"/>
                <w:rFonts w:ascii="Times New Roman" w:hAnsi="Times New Roman"/>
              </w:rPr>
              <w:t>y</w:t>
            </w:r>
            <w:r w:rsidR="00C46B26" w:rsidRPr="00384CAC">
              <w:rPr>
                <w:rFonts w:ascii="Times New Roman" w:hAnsi="Times New Roman"/>
                <w:szCs w:val="20"/>
              </w:rPr>
              <w:t>, evaluated at the reporting date,</w:t>
            </w:r>
            <w:r w:rsidR="003A421D" w:rsidRPr="006D1691">
              <w:rPr>
                <w:rStyle w:val="InstructionsTabelleText"/>
                <w:rFonts w:ascii="Times New Roman" w:hAnsi="Times New Roman"/>
              </w:rPr>
              <w:t xml:space="preserve"> used for the assessment of the significant increase in credit risk, calculated in accordance with the following formula:</w:t>
            </w:r>
          </w:p>
          <w:p w14:paraId="5F5F1F81" w14:textId="77777777" w:rsidR="003A421D" w:rsidRPr="00384CAC" w:rsidRDefault="003A421D" w:rsidP="003A421D">
            <w:pPr>
              <w:rPr>
                <w:rFonts w:ascii="Times New Roman" w:hAnsi="Times New Roman"/>
                <w:szCs w:val="20"/>
              </w:rPr>
            </w:pPr>
            <m:oMathPara>
              <m:oMath>
                <m:r>
                  <w:rPr>
                    <w:rFonts w:ascii="Cambria Math" w:hAnsi="Cambria Math"/>
                    <w:szCs w:val="20"/>
                  </w:rPr>
                  <m:t>Annualised</m:t>
                </m:r>
                <m:r>
                  <m:rPr>
                    <m:sty m:val="p"/>
                  </m:rPr>
                  <w:rPr>
                    <w:rFonts w:ascii="Cambria Math" w:hAnsi="Cambria Math"/>
                    <w:szCs w:val="20"/>
                  </w:rPr>
                  <m:t xml:space="preserve"> </m:t>
                </m:r>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r>
                  <m:rPr>
                    <m:sty m:val="p"/>
                  </m:rPr>
                  <w:rPr>
                    <w:rFonts w:ascii="Cambria Math" w:hAnsi="Cambria Math"/>
                    <w:szCs w:val="20"/>
                  </w:rPr>
                  <m:t>= 1-</m:t>
                </m:r>
                <m:rad>
                  <m:radPr>
                    <m:ctrlPr>
                      <w:rPr>
                        <w:rFonts w:ascii="Cambria Math" w:hAnsi="Cambria Math"/>
                        <w:szCs w:val="20"/>
                      </w:rPr>
                    </m:ctrlPr>
                  </m:radPr>
                  <m:deg>
                    <m:r>
                      <w:rPr>
                        <w:rFonts w:ascii="Cambria Math" w:hAnsi="Cambria Math"/>
                        <w:szCs w:val="20"/>
                      </w:rPr>
                      <m:t>M</m:t>
                    </m:r>
                  </m:deg>
                  <m:e>
                    <m:d>
                      <m:dPr>
                        <m:ctrlPr>
                          <w:rPr>
                            <w:rFonts w:ascii="Cambria Math" w:hAnsi="Cambria Math"/>
                            <w:szCs w:val="20"/>
                          </w:rPr>
                        </m:ctrlPr>
                      </m:dPr>
                      <m:e>
                        <m:r>
                          <m:rPr>
                            <m:sty m:val="p"/>
                          </m:rPr>
                          <w:rPr>
                            <w:rFonts w:ascii="Cambria Math" w:hAnsi="Cambria Math"/>
                            <w:szCs w:val="20"/>
                          </w:rPr>
                          <m:t>1-</m:t>
                        </m:r>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e>
                    </m:d>
                  </m:e>
                </m:rad>
              </m:oMath>
            </m:oMathPara>
          </w:p>
          <w:p w14:paraId="5F48857B" w14:textId="77777777" w:rsidR="003A421D" w:rsidRPr="00384CAC" w:rsidRDefault="003A421D" w:rsidP="006D1691">
            <w:pPr>
              <w:ind w:left="708"/>
              <w:rPr>
                <w:rFonts w:ascii="Times New Roman" w:hAnsi="Times New Roman"/>
                <w:szCs w:val="20"/>
              </w:rPr>
            </w:pPr>
            <w:r w:rsidRPr="00384CAC">
              <w:rPr>
                <w:rFonts w:ascii="Times New Roman" w:hAnsi="Times New Roman"/>
                <w:szCs w:val="20"/>
              </w:rPr>
              <w:t>where:</w:t>
            </w:r>
          </w:p>
          <w:p w14:paraId="7C35B5EB" w14:textId="77777777" w:rsidR="003A421D" w:rsidRPr="00384CAC" w:rsidRDefault="003A421D" w:rsidP="00EC7E5C">
            <w:pPr>
              <w:pStyle w:val="ListParagraph"/>
              <w:numPr>
                <w:ilvl w:val="0"/>
                <w:numId w:val="20"/>
              </w:numPr>
              <w:ind w:left="1428"/>
              <w:rPr>
                <w:rFonts w:ascii="Times New Roman" w:hAnsi="Times New Roman"/>
                <w:szCs w:val="20"/>
              </w:rPr>
            </w:pPr>
            <w:r w:rsidRPr="00384CAC">
              <w:rPr>
                <w:rFonts w:ascii="Times New Roman" w:hAnsi="Times New Roman"/>
                <w:szCs w:val="20"/>
              </w:rPr>
              <w:t xml:space="preserve">M is the residual number of years of the maturity of the facility at the reporting </w:t>
            </w:r>
            <w:proofErr w:type="gramStart"/>
            <w:r w:rsidRPr="00384CAC">
              <w:rPr>
                <w:rFonts w:ascii="Times New Roman" w:hAnsi="Times New Roman"/>
                <w:szCs w:val="20"/>
              </w:rPr>
              <w:t>date;</w:t>
            </w:r>
            <w:proofErr w:type="gramEnd"/>
          </w:p>
          <w:p w14:paraId="05937A7E" w14:textId="77777777" w:rsidR="00147158" w:rsidRDefault="003A421D" w:rsidP="00EC7E5C">
            <w:pPr>
              <w:pStyle w:val="ListParagraph"/>
              <w:numPr>
                <w:ilvl w:val="0"/>
                <w:numId w:val="20"/>
              </w:numPr>
              <w:ind w:left="1428"/>
              <w:rPr>
                <w:rFonts w:ascii="Times New Roman" w:hAnsi="Times New Roman"/>
                <w:szCs w:val="20"/>
              </w:rPr>
            </w:pPr>
            <m:oMath>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oMath>
            <w:r w:rsidRPr="00384CAC">
              <w:rPr>
                <w:rFonts w:ascii="Times New Roman" w:hAnsi="Times New Roman"/>
                <w:szCs w:val="20"/>
              </w:rPr>
              <w:t xml:space="preserve"> is </w:t>
            </w:r>
            <w:r w:rsidRPr="00384CAC">
              <w:rPr>
                <w:rStyle w:val="InstructionsTabelleText"/>
                <w:rFonts w:ascii="Times New Roman" w:hAnsi="Times New Roman"/>
                <w:szCs w:val="20"/>
              </w:rPr>
              <w:t xml:space="preserve">the lifetime </w:t>
            </w:r>
            <w:r w:rsidRPr="00384CAC">
              <w:rPr>
                <w:rFonts w:ascii="Times New Roman" w:hAnsi="Times New Roman"/>
                <w:szCs w:val="20"/>
              </w:rPr>
              <w:t>PD representing the probability of default assigned to the facility, for the residual number of years at the reporting date, evaluated at the reporting date, used for the assessment of the significant increase in credit risk.</w:t>
            </w:r>
          </w:p>
          <w:p w14:paraId="7EA6A35D" w14:textId="44A0F701" w:rsidR="007C7CCD" w:rsidRPr="00384CAC" w:rsidRDefault="007C7CCD" w:rsidP="00EC7E5C">
            <w:pPr>
              <w:numPr>
                <w:ilvl w:val="0"/>
                <w:numId w:val="29"/>
              </w:numPr>
              <w:rPr>
                <w:rFonts w:ascii="Times New Roman" w:hAnsi="Times New Roman"/>
                <w:szCs w:val="20"/>
              </w:rPr>
            </w:pPr>
            <w:r>
              <w:rPr>
                <w:rStyle w:val="InstructionsTabelleText"/>
                <w:rFonts w:ascii="Times New Roman" w:hAnsi="Times New Roman"/>
                <w:szCs w:val="20"/>
              </w:rPr>
              <w:t>t</w:t>
            </w:r>
            <w:r w:rsidRPr="00384CAC">
              <w:rPr>
                <w:rStyle w:val="InstructionsTabelleText"/>
                <w:rFonts w:ascii="Times New Roman" w:hAnsi="Times New Roman"/>
                <w:szCs w:val="20"/>
              </w:rPr>
              <w:t xml:space="preserve">he </w:t>
            </w:r>
            <w:r w:rsidRPr="006D1691">
              <w:rPr>
                <w:rStyle w:val="InstructionsTabelleText"/>
                <w:rFonts w:ascii="Times New Roman" w:hAnsi="Times New Roman"/>
                <w:i/>
                <w:iCs/>
                <w:szCs w:val="20"/>
              </w:rPr>
              <w:t xml:space="preserve">annualised lifetime </w:t>
            </w:r>
            <w:proofErr w:type="spellStart"/>
            <w:r w:rsidRPr="006D1691">
              <w:rPr>
                <w:rFonts w:ascii="Times New Roman" w:hAnsi="Times New Roman"/>
                <w:i/>
                <w:iCs/>
                <w:szCs w:val="20"/>
              </w:rPr>
              <w:t>PDo</w:t>
            </w:r>
            <w:proofErr w:type="spellEnd"/>
            <w:r w:rsidRPr="00384CAC">
              <w:rPr>
                <w:rFonts w:ascii="Times New Roman" w:hAnsi="Times New Roman"/>
                <w:szCs w:val="20"/>
              </w:rPr>
              <w:t xml:space="preserve"> represent</w:t>
            </w:r>
            <w:r>
              <w:rPr>
                <w:rFonts w:ascii="Times New Roman" w:hAnsi="Times New Roman"/>
                <w:szCs w:val="20"/>
              </w:rPr>
              <w:t>s</w:t>
            </w:r>
            <w:r w:rsidRPr="00384CAC">
              <w:rPr>
                <w:rFonts w:ascii="Times New Roman" w:hAnsi="Times New Roman"/>
                <w:szCs w:val="20"/>
              </w:rPr>
              <w:t xml:space="preserve"> the probability of default assigned to the facility, evaluated at the origination date, used for the assessment of the significant increase in credit risk, calculated in accordance with the following formula:</w:t>
            </w:r>
          </w:p>
          <w:p w14:paraId="59D61E25" w14:textId="77777777" w:rsidR="007C7CCD" w:rsidRPr="00384CAC" w:rsidRDefault="007C7CCD" w:rsidP="007C7CCD">
            <w:pPr>
              <w:rPr>
                <w:rFonts w:ascii="Times New Roman" w:hAnsi="Times New Roman"/>
                <w:szCs w:val="20"/>
              </w:rPr>
            </w:pPr>
            <m:oMathPara>
              <m:oMath>
                <m:r>
                  <w:rPr>
                    <w:rFonts w:ascii="Cambria Math" w:hAnsi="Cambria Math"/>
                    <w:szCs w:val="20"/>
                  </w:rPr>
                  <m:t>Annualised</m:t>
                </m:r>
                <m:r>
                  <m:rPr>
                    <m:sty m:val="p"/>
                  </m:rPr>
                  <w:rPr>
                    <w:rFonts w:ascii="Cambria Math" w:hAnsi="Cambria Math"/>
                    <w:szCs w:val="20"/>
                  </w:rPr>
                  <m:t xml:space="preserve"> </m:t>
                </m:r>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r>
                  <m:rPr>
                    <m:sty m:val="p"/>
                  </m:rPr>
                  <w:rPr>
                    <w:rFonts w:ascii="Cambria Math" w:hAnsi="Cambria Math"/>
                    <w:szCs w:val="20"/>
                  </w:rPr>
                  <m:t>= 1-</m:t>
                </m:r>
                <m:rad>
                  <m:radPr>
                    <m:ctrlPr>
                      <w:rPr>
                        <w:rFonts w:ascii="Cambria Math" w:hAnsi="Cambria Math"/>
                        <w:szCs w:val="20"/>
                      </w:rPr>
                    </m:ctrlPr>
                  </m:radPr>
                  <m:deg>
                    <m:r>
                      <w:rPr>
                        <w:rFonts w:ascii="Cambria Math" w:hAnsi="Cambria Math"/>
                        <w:szCs w:val="20"/>
                      </w:rPr>
                      <m:t>M</m:t>
                    </m:r>
                  </m:deg>
                  <m:e>
                    <m:d>
                      <m:dPr>
                        <m:ctrlPr>
                          <w:rPr>
                            <w:rFonts w:ascii="Cambria Math" w:hAnsi="Cambria Math"/>
                            <w:szCs w:val="20"/>
                          </w:rPr>
                        </m:ctrlPr>
                      </m:dPr>
                      <m:e>
                        <m:r>
                          <m:rPr>
                            <m:sty m:val="p"/>
                          </m:rPr>
                          <w:rPr>
                            <w:rFonts w:ascii="Cambria Math" w:hAnsi="Cambria Math"/>
                            <w:szCs w:val="20"/>
                          </w:rPr>
                          <m:t>1-</m:t>
                        </m:r>
                        <m:r>
                          <w:rPr>
                            <w:rFonts w:ascii="Cambria Math" w:hAnsi="Cambria Math"/>
                            <w:szCs w:val="20"/>
                          </w:rPr>
                          <m:t>lifetime</m:t>
                        </m:r>
                        <m:r>
                          <m:rPr>
                            <m:sty m:val="p"/>
                          </m:rPr>
                          <w:rPr>
                            <w:rFonts w:ascii="Cambria Math" w:hAnsi="Cambria Math"/>
                            <w:szCs w:val="20"/>
                          </w:rPr>
                          <m:t xml:space="preserve"> </m:t>
                        </m:r>
                        <m:r>
                          <w:rPr>
                            <w:rFonts w:ascii="Cambria Math" w:hAnsi="Cambria Math"/>
                            <w:szCs w:val="20"/>
                          </w:rPr>
                          <m:t>PD</m:t>
                        </m:r>
                      </m:e>
                    </m:d>
                  </m:e>
                </m:rad>
              </m:oMath>
            </m:oMathPara>
          </w:p>
          <w:p w14:paraId="064F58EC" w14:textId="15FD2D01" w:rsidR="007C7CCD" w:rsidRPr="00384CAC" w:rsidRDefault="005E76F4" w:rsidP="006D1691">
            <w:pPr>
              <w:ind w:left="708"/>
              <w:rPr>
                <w:rFonts w:ascii="Times New Roman" w:hAnsi="Times New Roman"/>
                <w:szCs w:val="20"/>
              </w:rPr>
            </w:pPr>
            <w:r>
              <w:rPr>
                <w:rFonts w:ascii="Times New Roman" w:hAnsi="Times New Roman"/>
                <w:szCs w:val="20"/>
              </w:rPr>
              <w:t>w</w:t>
            </w:r>
            <w:r w:rsidR="007C7CCD" w:rsidRPr="00384CAC">
              <w:rPr>
                <w:rFonts w:ascii="Times New Roman" w:hAnsi="Times New Roman"/>
                <w:szCs w:val="20"/>
              </w:rPr>
              <w:t>here</w:t>
            </w:r>
            <w:r>
              <w:rPr>
                <w:rFonts w:ascii="Times New Roman" w:hAnsi="Times New Roman"/>
                <w:szCs w:val="20"/>
              </w:rPr>
              <w:t>:</w:t>
            </w:r>
            <w:r w:rsidR="007C7CCD" w:rsidRPr="00384CAC">
              <w:rPr>
                <w:rFonts w:ascii="Times New Roman" w:hAnsi="Times New Roman"/>
                <w:szCs w:val="20"/>
              </w:rPr>
              <w:t xml:space="preserve"> </w:t>
            </w:r>
          </w:p>
          <w:p w14:paraId="2D13034B" w14:textId="0F6E9640" w:rsidR="007C7CCD" w:rsidRPr="00384CAC" w:rsidRDefault="007C7CCD" w:rsidP="00EC7E5C">
            <w:pPr>
              <w:pStyle w:val="ListParagraph"/>
              <w:numPr>
                <w:ilvl w:val="0"/>
                <w:numId w:val="22"/>
              </w:numPr>
              <w:ind w:left="1428"/>
              <w:rPr>
                <w:rFonts w:ascii="Times New Roman" w:hAnsi="Times New Roman"/>
                <w:szCs w:val="20"/>
              </w:rPr>
            </w:pPr>
            <w:r w:rsidRPr="00384CAC">
              <w:rPr>
                <w:rFonts w:ascii="Times New Roman" w:hAnsi="Times New Roman"/>
                <w:szCs w:val="20"/>
              </w:rPr>
              <w:t xml:space="preserve">M is the residual number of years of the maturity of the facility at the reporting </w:t>
            </w:r>
            <w:proofErr w:type="gramStart"/>
            <w:r w:rsidRPr="00384CAC">
              <w:rPr>
                <w:rFonts w:ascii="Times New Roman" w:hAnsi="Times New Roman"/>
                <w:szCs w:val="20"/>
              </w:rPr>
              <w:t>date;</w:t>
            </w:r>
            <w:proofErr w:type="gramEnd"/>
          </w:p>
          <w:p w14:paraId="3390EA57" w14:textId="36EE8C20" w:rsidR="003A421D" w:rsidRPr="00867DE7" w:rsidRDefault="007C7CCD" w:rsidP="00EC7E5C">
            <w:pPr>
              <w:pStyle w:val="ListParagraph"/>
              <w:numPr>
                <w:ilvl w:val="0"/>
                <w:numId w:val="22"/>
              </w:numPr>
              <w:ind w:left="1428"/>
              <w:rPr>
                <w:rStyle w:val="InstructionsTabelleText"/>
                <w:rFonts w:ascii="Times New Roman" w:hAnsi="Times New Roman"/>
                <w:szCs w:val="20"/>
              </w:rPr>
            </w:pPr>
            <m:oMath>
              <m:r>
                <w:rPr>
                  <w:rFonts w:ascii="Cambria Math" w:hAnsi="Cambria Math"/>
                  <w:szCs w:val="20"/>
                </w:rPr>
                <w:lastRenderedPageBreak/>
                <m:t>lifetime</m:t>
              </m:r>
              <m:r>
                <m:rPr>
                  <m:sty m:val="p"/>
                </m:rPr>
                <w:rPr>
                  <w:rFonts w:ascii="Cambria Math" w:hAnsi="Cambria Math"/>
                  <w:szCs w:val="20"/>
                </w:rPr>
                <m:t xml:space="preserve"> </m:t>
              </m:r>
              <m:r>
                <w:rPr>
                  <w:rFonts w:ascii="Cambria Math" w:hAnsi="Cambria Math"/>
                  <w:szCs w:val="20"/>
                </w:rPr>
                <m:t>PD</m:t>
              </m:r>
            </m:oMath>
            <w:r w:rsidRPr="00384CAC">
              <w:rPr>
                <w:rFonts w:ascii="Times New Roman" w:hAnsi="Times New Roman"/>
                <w:szCs w:val="20"/>
              </w:rPr>
              <w:t xml:space="preserve"> is </w:t>
            </w:r>
            <w:r w:rsidRPr="00384CAC">
              <w:rPr>
                <w:rStyle w:val="InstructionsTabelleText"/>
                <w:rFonts w:ascii="Times New Roman" w:hAnsi="Times New Roman"/>
                <w:szCs w:val="20"/>
              </w:rPr>
              <w:t xml:space="preserve">the lifetime </w:t>
            </w:r>
            <w:r w:rsidRPr="00384CAC">
              <w:rPr>
                <w:rFonts w:ascii="Times New Roman" w:hAnsi="Times New Roman"/>
                <w:szCs w:val="20"/>
              </w:rPr>
              <w:t>PD representing the probability of default assigned to the facility, for the residual number of years at the reporting date, evaluated at the origination date, used for the assessment of the significant increase in credit risk</w:t>
            </w:r>
            <w:r w:rsidR="00FB2AA8">
              <w:rPr>
                <w:rFonts w:ascii="Times New Roman" w:hAnsi="Times New Roman"/>
                <w:szCs w:val="20"/>
              </w:rPr>
              <w:t>.</w:t>
            </w:r>
            <w:r w:rsidRPr="00384CAC">
              <w:rPr>
                <w:rFonts w:ascii="Times New Roman" w:hAnsi="Times New Roman"/>
                <w:szCs w:val="20"/>
              </w:rPr>
              <w:t xml:space="preserve"> </w:t>
            </w:r>
          </w:p>
          <w:p w14:paraId="3E423AF2" w14:textId="7C87EBD6" w:rsidR="00414202" w:rsidRDefault="005E76F4" w:rsidP="005E76F4">
            <w:pPr>
              <w:rPr>
                <w:rStyle w:val="InstructionsTabelleText"/>
                <w:rFonts w:ascii="Times New Roman" w:hAnsi="Times New Roman"/>
                <w:szCs w:val="20"/>
              </w:rPr>
            </w:pPr>
            <w:r>
              <w:rPr>
                <w:rStyle w:val="InstructionsTabelleText"/>
                <w:rFonts w:ascii="Times New Roman" w:hAnsi="Times New Roman"/>
              </w:rPr>
              <w:t>W</w:t>
            </w:r>
            <w:r w:rsidR="003A421D" w:rsidRPr="006D1691">
              <w:rPr>
                <w:rStyle w:val="InstructionsTabelleText"/>
                <w:rFonts w:ascii="Times New Roman" w:hAnsi="Times New Roman"/>
              </w:rPr>
              <w:t>here the 12-month PD is used as a proxy for the assessment of the significant increase in credit risk, the 12-month PD evaluated at the reporting date</w:t>
            </w:r>
            <w:r w:rsidR="00147158" w:rsidRPr="006D1691">
              <w:rPr>
                <w:rStyle w:val="InstructionsTabelleText"/>
                <w:rFonts w:ascii="Times New Roman" w:hAnsi="Times New Roman"/>
              </w:rPr>
              <w:t xml:space="preserve"> and </w:t>
            </w:r>
            <w:r w:rsidR="00DC5861" w:rsidRPr="00AB0918">
              <w:rPr>
                <w:rStyle w:val="InstructionsTabelleText"/>
                <w:rFonts w:ascii="Times New Roman" w:hAnsi="Times New Roman"/>
              </w:rPr>
              <w:t xml:space="preserve">the 12-month PD evaluated </w:t>
            </w:r>
            <w:r w:rsidR="00147158" w:rsidRPr="006D1691">
              <w:rPr>
                <w:rStyle w:val="InstructionsTabelleText"/>
                <w:rFonts w:ascii="Times New Roman" w:hAnsi="Times New Roman"/>
              </w:rPr>
              <w:t>at the origination</w:t>
            </w:r>
            <w:r w:rsidR="003A421D" w:rsidRPr="006D1691">
              <w:rPr>
                <w:rStyle w:val="InstructionsTabelleText"/>
                <w:rFonts w:ascii="Times New Roman" w:hAnsi="Times New Roman"/>
              </w:rPr>
              <w:t xml:space="preserve"> shall be </w:t>
            </w:r>
            <w:r w:rsidR="007C7CCD" w:rsidRPr="006D1691">
              <w:rPr>
                <w:rStyle w:val="InstructionsTabelleText"/>
                <w:rFonts w:ascii="Times New Roman" w:hAnsi="Times New Roman"/>
              </w:rPr>
              <w:t xml:space="preserve">used, instead of the </w:t>
            </w:r>
            <w:r w:rsidR="00867DE7" w:rsidRPr="006D1691">
              <w:rPr>
                <w:rStyle w:val="InstructionsTabelleText"/>
                <w:rFonts w:ascii="Times New Roman" w:hAnsi="Times New Roman"/>
              </w:rPr>
              <w:t xml:space="preserve">respective </w:t>
            </w:r>
            <w:r w:rsidR="007C7CCD">
              <w:rPr>
                <w:rStyle w:val="InstructionsTabelleText"/>
                <w:rFonts w:ascii="Times New Roman" w:hAnsi="Times New Roman"/>
                <w:szCs w:val="20"/>
              </w:rPr>
              <w:t>annualised lifetime PD</w:t>
            </w:r>
            <w:r w:rsidR="003A421D" w:rsidRPr="00384CAC">
              <w:rPr>
                <w:rFonts w:ascii="Times New Roman" w:hAnsi="Times New Roman"/>
                <w:szCs w:val="20"/>
              </w:rPr>
              <w:t>.</w:t>
            </w:r>
          </w:p>
        </w:tc>
      </w:tr>
      <w:tr w:rsidR="00F0593A" w:rsidRPr="00D04BFC" w14:paraId="371A1A29" w14:textId="77777777" w:rsidTr="00E25C9A">
        <w:tc>
          <w:tcPr>
            <w:tcW w:w="993" w:type="dxa"/>
            <w:tcBorders>
              <w:top w:val="single" w:sz="4" w:space="0" w:color="auto"/>
              <w:left w:val="single" w:sz="4" w:space="0" w:color="auto"/>
              <w:bottom w:val="single" w:sz="4" w:space="0" w:color="auto"/>
              <w:right w:val="single" w:sz="4" w:space="0" w:color="auto"/>
            </w:tcBorders>
          </w:tcPr>
          <w:p w14:paraId="19EF50F6" w14:textId="41863681" w:rsidR="00F0593A" w:rsidRPr="00F9474C" w:rsidRDefault="001A7921" w:rsidP="00F0593A">
            <w:pPr>
              <w:rPr>
                <w:rStyle w:val="InstructionsTabelleText"/>
                <w:rFonts w:ascii="Times New Roman" w:hAnsi="Times New Roman"/>
                <w:szCs w:val="20"/>
              </w:rPr>
            </w:pPr>
            <w:r w:rsidRPr="00384CAC">
              <w:rPr>
                <w:rStyle w:val="InstructionsTabelleText"/>
                <w:rFonts w:ascii="Times New Roman" w:hAnsi="Times New Roman"/>
                <w:szCs w:val="20"/>
              </w:rPr>
              <w:lastRenderedPageBreak/>
              <w:t>00</w:t>
            </w:r>
            <w:r>
              <w:rPr>
                <w:rStyle w:val="InstructionsTabelleText"/>
                <w:rFonts w:ascii="Times New Roman" w:hAnsi="Times New Roman"/>
                <w:szCs w:val="20"/>
              </w:rPr>
              <w:t>5</w:t>
            </w:r>
            <w:r w:rsidRPr="00384CAC">
              <w:rPr>
                <w:rStyle w:val="InstructionsTabelleText"/>
                <w:rFonts w:ascii="Times New Roman" w:hAnsi="Times New Roman"/>
                <w:szCs w:val="20"/>
              </w:rPr>
              <w:t>0</w:t>
            </w:r>
          </w:p>
        </w:tc>
        <w:tc>
          <w:tcPr>
            <w:tcW w:w="1701" w:type="dxa"/>
            <w:tcBorders>
              <w:top w:val="single" w:sz="4" w:space="0" w:color="auto"/>
              <w:left w:val="single" w:sz="4" w:space="0" w:color="auto"/>
              <w:bottom w:val="single" w:sz="4" w:space="0" w:color="auto"/>
              <w:right w:val="single" w:sz="4" w:space="0" w:color="auto"/>
            </w:tcBorders>
          </w:tcPr>
          <w:p w14:paraId="0D01A4AB" w14:textId="7F343B8E" w:rsidR="00F0593A" w:rsidRDefault="00DE6124" w:rsidP="00F0593A">
            <w:pPr>
              <w:rPr>
                <w:rStyle w:val="InstructionsTabelleText"/>
                <w:rFonts w:ascii="Times New Roman" w:hAnsi="Times New Roman"/>
                <w:szCs w:val="20"/>
              </w:rPr>
            </w:pPr>
            <w:r>
              <w:rPr>
                <w:rStyle w:val="InstructionsTabelleText"/>
                <w:rFonts w:ascii="Times New Roman" w:hAnsi="Times New Roman"/>
                <w:szCs w:val="20"/>
              </w:rPr>
              <w:t>E</w:t>
            </w:r>
            <w:r w:rsidR="00F0593A">
              <w:rPr>
                <w:rStyle w:val="InstructionsTabelleText"/>
                <w:rFonts w:ascii="Times New Roman" w:hAnsi="Times New Roman"/>
                <w:szCs w:val="20"/>
              </w:rPr>
              <w:t>xposures in stage 2 due to quantitative triggers</w:t>
            </w:r>
          </w:p>
        </w:tc>
        <w:tc>
          <w:tcPr>
            <w:tcW w:w="1842" w:type="dxa"/>
            <w:tcBorders>
              <w:top w:val="single" w:sz="4" w:space="0" w:color="auto"/>
              <w:left w:val="single" w:sz="4" w:space="0" w:color="auto"/>
              <w:bottom w:val="single" w:sz="4" w:space="0" w:color="auto"/>
              <w:right w:val="single" w:sz="4" w:space="0" w:color="auto"/>
            </w:tcBorders>
          </w:tcPr>
          <w:p w14:paraId="1316E98C" w14:textId="7B924843" w:rsidR="00F0593A" w:rsidRPr="00F9474C" w:rsidRDefault="00F0593A" w:rsidP="00F0593A">
            <w:pPr>
              <w:rPr>
                <w:rStyle w:val="InstructionsTabelleText"/>
                <w:rFonts w:ascii="Times New Roman" w:hAnsi="Times New Roman"/>
                <w:szCs w:val="20"/>
              </w:rPr>
            </w:pPr>
            <w:r w:rsidRPr="00384CAC">
              <w:rPr>
                <w:rFonts w:ascii="Times New Roman" w:hAnsi="Times New Roman"/>
                <w:szCs w:val="20"/>
              </w:rPr>
              <w:t>IFRS 9.5.5.9</w:t>
            </w:r>
          </w:p>
        </w:tc>
        <w:tc>
          <w:tcPr>
            <w:tcW w:w="9781" w:type="dxa"/>
            <w:tcBorders>
              <w:top w:val="single" w:sz="4" w:space="0" w:color="auto"/>
              <w:left w:val="single" w:sz="4" w:space="0" w:color="auto"/>
              <w:bottom w:val="single" w:sz="4" w:space="0" w:color="auto"/>
              <w:right w:val="single" w:sz="4" w:space="0" w:color="auto"/>
            </w:tcBorders>
          </w:tcPr>
          <w:p w14:paraId="710A66E4" w14:textId="7C10C025" w:rsidR="00F0593A" w:rsidRDefault="00F0593A" w:rsidP="00F0593A">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sum of the exposure value, as</w:t>
            </w:r>
            <w:r w:rsidRPr="00384CAC">
              <w:rPr>
                <w:rFonts w:ascii="Times New Roman" w:hAnsi="Times New Roman"/>
                <w:szCs w:val="20"/>
              </w:rPr>
              <w:t xml:space="preserve"> defined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384CAC">
              <w:rPr>
                <w:rFonts w:ascii="Times New Roman" w:hAnsi="Times New Roman"/>
                <w:szCs w:val="20"/>
              </w:rPr>
              <w:t>column 00</w:t>
            </w:r>
            <w:r>
              <w:rPr>
                <w:rFonts w:ascii="Times New Roman" w:hAnsi="Times New Roman"/>
                <w:szCs w:val="20"/>
              </w:rPr>
              <w:t>5</w:t>
            </w:r>
            <w:r w:rsidR="00330101">
              <w:rPr>
                <w:rFonts w:ascii="Times New Roman" w:hAnsi="Times New Roman"/>
                <w:szCs w:val="20"/>
              </w:rPr>
              <w:t>1</w:t>
            </w:r>
            <w:r>
              <w:rPr>
                <w:rFonts w:ascii="Times New Roman" w:hAnsi="Times New Roman"/>
                <w:szCs w:val="20"/>
              </w:rPr>
              <w:t>,</w:t>
            </w:r>
            <w:r>
              <w:rPr>
                <w:rStyle w:val="InstructionsTabelleText"/>
                <w:rFonts w:ascii="Times New Roman" w:hAnsi="Times New Roman"/>
                <w:szCs w:val="20"/>
              </w:rPr>
              <w:t xml:space="preserve"> of all the facilities, which have been classified in stage 2, only </w:t>
            </w:r>
            <w:proofErr w:type="gramStart"/>
            <w:r>
              <w:rPr>
                <w:rStyle w:val="InstructionsTabelleText"/>
                <w:rFonts w:ascii="Times New Roman" w:hAnsi="Times New Roman"/>
                <w:szCs w:val="20"/>
              </w:rPr>
              <w:t>as a consequence of</w:t>
            </w:r>
            <w:proofErr w:type="gramEnd"/>
            <w:r>
              <w:rPr>
                <w:rStyle w:val="InstructionsTabelleText"/>
                <w:rFonts w:ascii="Times New Roman" w:hAnsi="Times New Roman"/>
                <w:szCs w:val="20"/>
              </w:rPr>
              <w:t xml:space="preserve"> the breach of a quantitative trigger.</w:t>
            </w:r>
          </w:p>
        </w:tc>
      </w:tr>
      <w:tr w:rsidR="00F0593A" w:rsidRPr="00D04BFC" w14:paraId="73E45579" w14:textId="77777777" w:rsidTr="00E25C9A">
        <w:tc>
          <w:tcPr>
            <w:tcW w:w="993" w:type="dxa"/>
            <w:tcBorders>
              <w:top w:val="single" w:sz="4" w:space="0" w:color="auto"/>
              <w:left w:val="single" w:sz="4" w:space="0" w:color="auto"/>
              <w:bottom w:val="single" w:sz="4" w:space="0" w:color="auto"/>
              <w:right w:val="single" w:sz="4" w:space="0" w:color="auto"/>
            </w:tcBorders>
          </w:tcPr>
          <w:p w14:paraId="5ADED4C1" w14:textId="0CA9210F" w:rsidR="00F0593A" w:rsidRPr="00F9474C" w:rsidRDefault="001A7921" w:rsidP="00F0593A">
            <w:pPr>
              <w:rPr>
                <w:rStyle w:val="InstructionsTabelleText"/>
                <w:rFonts w:ascii="Times New Roman" w:hAnsi="Times New Roman"/>
                <w:szCs w:val="20"/>
              </w:rPr>
            </w:pPr>
            <w:r w:rsidRPr="00384CAC">
              <w:rPr>
                <w:rStyle w:val="InstructionsTabelleText"/>
                <w:rFonts w:ascii="Times New Roman" w:hAnsi="Times New Roman"/>
                <w:szCs w:val="20"/>
              </w:rPr>
              <w:t>00</w:t>
            </w:r>
            <w:r>
              <w:rPr>
                <w:rStyle w:val="InstructionsTabelleText"/>
                <w:rFonts w:ascii="Times New Roman" w:hAnsi="Times New Roman"/>
                <w:szCs w:val="20"/>
              </w:rPr>
              <w:t>6</w:t>
            </w:r>
            <w:r w:rsidRPr="00384CAC">
              <w:rPr>
                <w:rStyle w:val="InstructionsTabelleText"/>
                <w:rFonts w:ascii="Times New Roman" w:hAnsi="Times New Roman"/>
                <w:szCs w:val="20"/>
              </w:rPr>
              <w:t>0</w:t>
            </w:r>
          </w:p>
        </w:tc>
        <w:tc>
          <w:tcPr>
            <w:tcW w:w="1701" w:type="dxa"/>
            <w:tcBorders>
              <w:top w:val="single" w:sz="4" w:space="0" w:color="auto"/>
              <w:left w:val="single" w:sz="4" w:space="0" w:color="auto"/>
              <w:bottom w:val="single" w:sz="4" w:space="0" w:color="auto"/>
              <w:right w:val="single" w:sz="4" w:space="0" w:color="auto"/>
            </w:tcBorders>
          </w:tcPr>
          <w:p w14:paraId="3194CCF3" w14:textId="11C68318" w:rsidR="00F0593A" w:rsidRDefault="00F0593A" w:rsidP="00F0593A">
            <w:pPr>
              <w:rPr>
                <w:rStyle w:val="InstructionsTabelleText"/>
                <w:rFonts w:ascii="Times New Roman" w:hAnsi="Times New Roman"/>
                <w:szCs w:val="20"/>
              </w:rPr>
            </w:pPr>
            <w:r>
              <w:rPr>
                <w:rStyle w:val="InstructionsTabelleText"/>
                <w:rFonts w:ascii="Times New Roman" w:hAnsi="Times New Roman"/>
                <w:szCs w:val="20"/>
              </w:rPr>
              <w:t>Exposures in stage 2 due to qualitative or backstop indicators</w:t>
            </w:r>
          </w:p>
        </w:tc>
        <w:tc>
          <w:tcPr>
            <w:tcW w:w="1842" w:type="dxa"/>
            <w:tcBorders>
              <w:top w:val="single" w:sz="4" w:space="0" w:color="auto"/>
              <w:left w:val="single" w:sz="4" w:space="0" w:color="auto"/>
              <w:bottom w:val="single" w:sz="4" w:space="0" w:color="auto"/>
              <w:right w:val="single" w:sz="4" w:space="0" w:color="auto"/>
            </w:tcBorders>
          </w:tcPr>
          <w:p w14:paraId="555E2228" w14:textId="77777777" w:rsidR="00F0593A" w:rsidRPr="00384CAC" w:rsidRDefault="00F0593A" w:rsidP="00F0593A">
            <w:pPr>
              <w:rPr>
                <w:rFonts w:ascii="Times New Roman" w:hAnsi="Times New Roman"/>
                <w:szCs w:val="20"/>
              </w:rPr>
            </w:pPr>
            <w:r w:rsidRPr="00384CAC">
              <w:rPr>
                <w:rFonts w:ascii="Times New Roman" w:hAnsi="Times New Roman"/>
                <w:szCs w:val="20"/>
              </w:rPr>
              <w:t>IFRS 9.B5.5.17</w:t>
            </w:r>
          </w:p>
          <w:p w14:paraId="34876224" w14:textId="17513C1D" w:rsidR="00F0593A" w:rsidRPr="00F9474C" w:rsidRDefault="00F0593A" w:rsidP="00F0593A">
            <w:pPr>
              <w:rPr>
                <w:rStyle w:val="InstructionsTabelleText"/>
                <w:rFonts w:ascii="Times New Roman" w:hAnsi="Times New Roman"/>
                <w:szCs w:val="20"/>
              </w:rPr>
            </w:pPr>
            <w:r w:rsidRPr="00384CAC">
              <w:rPr>
                <w:rFonts w:ascii="Times New Roman" w:hAnsi="Times New Roman"/>
                <w:szCs w:val="20"/>
              </w:rPr>
              <w:t>IFRS 9.B5.5.19 – B5.5.21</w:t>
            </w:r>
          </w:p>
        </w:tc>
        <w:tc>
          <w:tcPr>
            <w:tcW w:w="9781" w:type="dxa"/>
            <w:tcBorders>
              <w:top w:val="single" w:sz="4" w:space="0" w:color="auto"/>
              <w:left w:val="single" w:sz="4" w:space="0" w:color="auto"/>
              <w:bottom w:val="single" w:sz="4" w:space="0" w:color="auto"/>
              <w:right w:val="single" w:sz="4" w:space="0" w:color="auto"/>
            </w:tcBorders>
          </w:tcPr>
          <w:p w14:paraId="48CCCD14" w14:textId="35F26724" w:rsidR="00F0593A" w:rsidRPr="00B764A8" w:rsidRDefault="00F0593A" w:rsidP="00F0593A">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sum of the exposure value, as</w:t>
            </w:r>
            <w:r w:rsidRPr="00384CAC">
              <w:rPr>
                <w:rFonts w:ascii="Times New Roman" w:hAnsi="Times New Roman"/>
                <w:szCs w:val="20"/>
              </w:rPr>
              <w:t xml:space="preserve"> defined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384CAC">
              <w:rPr>
                <w:rFonts w:ascii="Times New Roman" w:hAnsi="Times New Roman"/>
                <w:szCs w:val="20"/>
              </w:rPr>
              <w:t>column 00</w:t>
            </w:r>
            <w:r>
              <w:rPr>
                <w:rFonts w:ascii="Times New Roman" w:hAnsi="Times New Roman"/>
                <w:szCs w:val="20"/>
              </w:rPr>
              <w:t>5</w:t>
            </w:r>
            <w:r w:rsidR="00330101">
              <w:rPr>
                <w:rFonts w:ascii="Times New Roman" w:hAnsi="Times New Roman"/>
                <w:szCs w:val="20"/>
              </w:rPr>
              <w:t>1</w:t>
            </w:r>
            <w:r>
              <w:rPr>
                <w:rFonts w:ascii="Times New Roman" w:hAnsi="Times New Roman"/>
                <w:szCs w:val="20"/>
              </w:rPr>
              <w:t>,</w:t>
            </w:r>
            <w:r>
              <w:rPr>
                <w:rStyle w:val="InstructionsTabelleText"/>
                <w:rFonts w:ascii="Times New Roman" w:hAnsi="Times New Roman"/>
                <w:szCs w:val="20"/>
              </w:rPr>
              <w:t xml:space="preserve"> of all the facilities, which have been classified in stage 2, only </w:t>
            </w:r>
            <w:proofErr w:type="gramStart"/>
            <w:r>
              <w:rPr>
                <w:rStyle w:val="InstructionsTabelleText"/>
                <w:rFonts w:ascii="Times New Roman" w:hAnsi="Times New Roman"/>
                <w:szCs w:val="20"/>
              </w:rPr>
              <w:t>as a consequence of</w:t>
            </w:r>
            <w:proofErr w:type="gramEnd"/>
            <w:r>
              <w:rPr>
                <w:rStyle w:val="InstructionsTabelleText"/>
                <w:rFonts w:ascii="Times New Roman" w:hAnsi="Times New Roman"/>
                <w:szCs w:val="20"/>
              </w:rPr>
              <w:t xml:space="preserve"> a qualitative indicator or of a backstop indicator.</w:t>
            </w:r>
          </w:p>
        </w:tc>
      </w:tr>
      <w:tr w:rsidR="001A7921" w:rsidRPr="00D04BFC" w14:paraId="3D30CE7A" w14:textId="77777777" w:rsidTr="00E25C9A">
        <w:tc>
          <w:tcPr>
            <w:tcW w:w="993" w:type="dxa"/>
            <w:tcBorders>
              <w:top w:val="single" w:sz="4" w:space="0" w:color="auto"/>
              <w:left w:val="single" w:sz="4" w:space="0" w:color="auto"/>
              <w:bottom w:val="single" w:sz="4" w:space="0" w:color="auto"/>
              <w:right w:val="single" w:sz="4" w:space="0" w:color="auto"/>
            </w:tcBorders>
          </w:tcPr>
          <w:p w14:paraId="76FF1DB1" w14:textId="367C1F74" w:rsidR="001A7921" w:rsidRPr="0056781A" w:rsidRDefault="001A7921" w:rsidP="001A7921">
            <w:pPr>
              <w:rPr>
                <w:rStyle w:val="InstructionsTabelleText"/>
                <w:rFonts w:ascii="Times New Roman" w:hAnsi="Times New Roman"/>
                <w:szCs w:val="20"/>
              </w:rPr>
            </w:pPr>
            <w:r w:rsidRPr="00642BF4">
              <w:rPr>
                <w:rStyle w:val="InstructionsTabelleText"/>
                <w:rFonts w:ascii="Times New Roman" w:hAnsi="Times New Roman"/>
                <w:szCs w:val="20"/>
              </w:rPr>
              <w:t>00</w:t>
            </w:r>
            <w:r>
              <w:rPr>
                <w:rStyle w:val="InstructionsTabelleText"/>
                <w:rFonts w:ascii="Times New Roman" w:hAnsi="Times New Roman"/>
                <w:szCs w:val="20"/>
              </w:rPr>
              <w:t>8</w:t>
            </w:r>
            <w:r w:rsidRPr="00642BF4">
              <w:rPr>
                <w:rStyle w:val="InstructionsTabelleText"/>
                <w:rFonts w:ascii="Times New Roman" w:hAnsi="Times New Roman"/>
                <w:szCs w:val="20"/>
              </w:rPr>
              <w:t>0</w:t>
            </w:r>
          </w:p>
        </w:tc>
        <w:tc>
          <w:tcPr>
            <w:tcW w:w="1701" w:type="dxa"/>
            <w:tcBorders>
              <w:top w:val="single" w:sz="4" w:space="0" w:color="auto"/>
              <w:left w:val="single" w:sz="4" w:space="0" w:color="auto"/>
              <w:bottom w:val="single" w:sz="4" w:space="0" w:color="auto"/>
              <w:right w:val="single" w:sz="4" w:space="0" w:color="auto"/>
            </w:tcBorders>
          </w:tcPr>
          <w:p w14:paraId="342316B2" w14:textId="60A3DF33" w:rsidR="001A7921" w:rsidRDefault="001A7921" w:rsidP="001A7921">
            <w:pPr>
              <w:rPr>
                <w:rStyle w:val="InstructionsTabelleText"/>
                <w:rFonts w:ascii="Times New Roman" w:hAnsi="Times New Roman"/>
                <w:szCs w:val="20"/>
              </w:rPr>
            </w:pPr>
            <w:r>
              <w:rPr>
                <w:rStyle w:val="InstructionsTabelleText"/>
                <w:rFonts w:ascii="Times New Roman" w:hAnsi="Times New Roman"/>
                <w:szCs w:val="20"/>
              </w:rPr>
              <w:t>Additional ECL amount in case of transfer to stage 2</w:t>
            </w:r>
          </w:p>
        </w:tc>
        <w:tc>
          <w:tcPr>
            <w:tcW w:w="1842" w:type="dxa"/>
            <w:tcBorders>
              <w:top w:val="single" w:sz="4" w:space="0" w:color="auto"/>
              <w:left w:val="single" w:sz="4" w:space="0" w:color="auto"/>
              <w:bottom w:val="single" w:sz="4" w:space="0" w:color="auto"/>
              <w:right w:val="single" w:sz="4" w:space="0" w:color="auto"/>
            </w:tcBorders>
          </w:tcPr>
          <w:p w14:paraId="5F9E3352" w14:textId="77777777" w:rsidR="001A7921" w:rsidRDefault="001A7921" w:rsidP="001A7921">
            <w:pPr>
              <w:rPr>
                <w:rFonts w:ascii="Times New Roman" w:hAnsi="Times New Roman"/>
                <w:szCs w:val="20"/>
              </w:rPr>
            </w:pPr>
            <w:r w:rsidRPr="00384CAC">
              <w:rPr>
                <w:rFonts w:ascii="Times New Roman" w:hAnsi="Times New Roman"/>
                <w:szCs w:val="20"/>
              </w:rPr>
              <w:t>IFRS 9.5.5.9</w:t>
            </w:r>
          </w:p>
          <w:p w14:paraId="5323B558" w14:textId="77777777" w:rsidR="001A7921" w:rsidRPr="00384CAC" w:rsidRDefault="001A7921" w:rsidP="001A7921">
            <w:pPr>
              <w:rPr>
                <w:rFonts w:ascii="Times New Roman" w:hAnsi="Times New Roman"/>
                <w:szCs w:val="20"/>
              </w:rPr>
            </w:pPr>
            <w:r w:rsidRPr="00384CAC">
              <w:rPr>
                <w:rFonts w:ascii="Times New Roman" w:hAnsi="Times New Roman"/>
                <w:szCs w:val="20"/>
              </w:rPr>
              <w:t>IFRS 9.B5.5.17</w:t>
            </w:r>
          </w:p>
          <w:p w14:paraId="412A8D32" w14:textId="1BF0C1AB" w:rsidR="001A7921" w:rsidRPr="00384CAC" w:rsidRDefault="001A7921" w:rsidP="001A7921">
            <w:pPr>
              <w:rPr>
                <w:rFonts w:ascii="Times New Roman" w:hAnsi="Times New Roman"/>
                <w:szCs w:val="20"/>
              </w:rPr>
            </w:pPr>
            <w:r w:rsidRPr="00384CAC">
              <w:rPr>
                <w:rFonts w:ascii="Times New Roman" w:hAnsi="Times New Roman"/>
                <w:szCs w:val="20"/>
              </w:rPr>
              <w:t>IFRS 9.B5.5.19 – B5.5.21</w:t>
            </w:r>
          </w:p>
        </w:tc>
        <w:tc>
          <w:tcPr>
            <w:tcW w:w="9781" w:type="dxa"/>
            <w:tcBorders>
              <w:top w:val="single" w:sz="4" w:space="0" w:color="auto"/>
              <w:left w:val="single" w:sz="4" w:space="0" w:color="auto"/>
              <w:bottom w:val="single" w:sz="4" w:space="0" w:color="auto"/>
              <w:right w:val="single" w:sz="4" w:space="0" w:color="auto"/>
            </w:tcBorders>
          </w:tcPr>
          <w:p w14:paraId="250AB017" w14:textId="77777777" w:rsidR="001A7921" w:rsidRDefault="001A7921" w:rsidP="001A7921">
            <w:pPr>
              <w:rPr>
                <w:rStyle w:val="InstructionsTabelleText"/>
                <w:rFonts w:ascii="Times New Roman" w:hAnsi="Times New Roman"/>
                <w:szCs w:val="20"/>
              </w:rPr>
            </w:pPr>
            <w:r>
              <w:rPr>
                <w:rStyle w:val="InstructionsTabelleText"/>
                <w:rFonts w:ascii="Times New Roman" w:hAnsi="Times New Roman"/>
                <w:szCs w:val="20"/>
              </w:rPr>
              <w:t>The additional amount of ECL that would have been recognised for the respective portfolio whereas a lifetime ECL would have been applied to all the facilities classified in stage 1 at the reporting date.</w:t>
            </w:r>
          </w:p>
          <w:p w14:paraId="18778B89" w14:textId="0F3D033A" w:rsidR="001A7921" w:rsidRDefault="001A7921" w:rsidP="001A7921">
            <w:pPr>
              <w:rPr>
                <w:rStyle w:val="InstructionsTabelleText"/>
                <w:rFonts w:ascii="Times New Roman" w:hAnsi="Times New Roman"/>
                <w:szCs w:val="20"/>
              </w:rPr>
            </w:pPr>
            <w:r>
              <w:rPr>
                <w:rStyle w:val="InstructionsTabelleText"/>
                <w:rFonts w:ascii="Times New Roman" w:hAnsi="Times New Roman"/>
                <w:szCs w:val="20"/>
              </w:rPr>
              <w:t>For the purpose of performing this estimation, a lifetime ECL is defined as the expected credit losses that result from all possible default events over the expected life of a financial instrument.</w:t>
            </w:r>
          </w:p>
        </w:tc>
      </w:tr>
      <w:tr w:rsidR="001A7921" w:rsidRPr="00D04BFC" w14:paraId="47261D46" w14:textId="77777777" w:rsidTr="00E25C9A">
        <w:tc>
          <w:tcPr>
            <w:tcW w:w="993" w:type="dxa"/>
            <w:tcBorders>
              <w:top w:val="single" w:sz="4" w:space="0" w:color="auto"/>
              <w:left w:val="single" w:sz="4" w:space="0" w:color="auto"/>
              <w:bottom w:val="single" w:sz="4" w:space="0" w:color="auto"/>
              <w:right w:val="single" w:sz="4" w:space="0" w:color="auto"/>
            </w:tcBorders>
          </w:tcPr>
          <w:p w14:paraId="36FF86B7" w14:textId="41262380" w:rsidR="001A7921" w:rsidRPr="006D1691" w:rsidRDefault="001A7921" w:rsidP="001A7921">
            <w:pPr>
              <w:rPr>
                <w:rStyle w:val="InstructionsTabelleText"/>
                <w:rFonts w:ascii="Times New Roman" w:hAnsi="Times New Roman"/>
                <w:szCs w:val="20"/>
              </w:rPr>
            </w:pPr>
            <w:r w:rsidRPr="00A330AE">
              <w:rPr>
                <w:rStyle w:val="InstructionsTabelleText"/>
                <w:rFonts w:ascii="Times New Roman" w:hAnsi="Times New Roman"/>
                <w:szCs w:val="20"/>
              </w:rPr>
              <w:t>0</w:t>
            </w:r>
            <w:r>
              <w:rPr>
                <w:rStyle w:val="InstructionsTabelleText"/>
                <w:rFonts w:ascii="Times New Roman" w:hAnsi="Times New Roman"/>
                <w:szCs w:val="20"/>
              </w:rPr>
              <w:t>120</w:t>
            </w:r>
          </w:p>
        </w:tc>
        <w:tc>
          <w:tcPr>
            <w:tcW w:w="1701" w:type="dxa"/>
            <w:tcBorders>
              <w:top w:val="single" w:sz="4" w:space="0" w:color="auto"/>
              <w:left w:val="single" w:sz="4" w:space="0" w:color="auto"/>
              <w:bottom w:val="single" w:sz="4" w:space="0" w:color="auto"/>
              <w:right w:val="single" w:sz="4" w:space="0" w:color="auto"/>
            </w:tcBorders>
          </w:tcPr>
          <w:p w14:paraId="03DFDB39" w14:textId="34558818" w:rsidR="001A7921" w:rsidRPr="006D1691" w:rsidRDefault="001A7921" w:rsidP="001A7921">
            <w:pPr>
              <w:rPr>
                <w:rStyle w:val="InstructionsTabelleText"/>
                <w:rFonts w:ascii="Times New Roman" w:hAnsi="Times New Roman"/>
                <w:szCs w:val="20"/>
              </w:rPr>
            </w:pPr>
            <w:r>
              <w:rPr>
                <w:rStyle w:val="InstructionsTabelleText"/>
                <w:rFonts w:ascii="Times New Roman" w:hAnsi="Times New Roman"/>
                <w:szCs w:val="20"/>
              </w:rPr>
              <w:t>Transition rate from stage 1 to stage 3</w:t>
            </w:r>
          </w:p>
        </w:tc>
        <w:tc>
          <w:tcPr>
            <w:tcW w:w="1842" w:type="dxa"/>
            <w:tcBorders>
              <w:top w:val="single" w:sz="4" w:space="0" w:color="auto"/>
              <w:left w:val="single" w:sz="4" w:space="0" w:color="auto"/>
              <w:bottom w:val="single" w:sz="4" w:space="0" w:color="auto"/>
              <w:right w:val="single" w:sz="4" w:space="0" w:color="auto"/>
            </w:tcBorders>
          </w:tcPr>
          <w:p w14:paraId="3DE9CAC9" w14:textId="751475C9" w:rsidR="001A7921" w:rsidRPr="006D1691" w:rsidRDefault="001A7921" w:rsidP="001A7921">
            <w:pPr>
              <w:rPr>
                <w:rStyle w:val="InstructionsTabelleText"/>
                <w:rFonts w:ascii="Times New Roman" w:hAnsi="Times New Roman"/>
                <w:szCs w:val="20"/>
              </w:rPr>
            </w:pPr>
          </w:p>
        </w:tc>
        <w:tc>
          <w:tcPr>
            <w:tcW w:w="9781" w:type="dxa"/>
            <w:tcBorders>
              <w:top w:val="single" w:sz="4" w:space="0" w:color="auto"/>
              <w:left w:val="single" w:sz="4" w:space="0" w:color="auto"/>
              <w:bottom w:val="single" w:sz="4" w:space="0" w:color="auto"/>
              <w:right w:val="single" w:sz="4" w:space="0" w:color="auto"/>
            </w:tcBorders>
          </w:tcPr>
          <w:p w14:paraId="44BF2D92" w14:textId="4E65EE3D" w:rsidR="001A7921" w:rsidRDefault="001A7921" w:rsidP="001A7921">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share of stage 1 exposures transferred to stage 3 during the reporting period, expressed as the ratio of:</w:t>
            </w:r>
          </w:p>
          <w:p w14:paraId="24177BDE" w14:textId="4F401B1B" w:rsidR="001A7921" w:rsidRDefault="001A7921" w:rsidP="00EC7E5C">
            <w:pPr>
              <w:numPr>
                <w:ilvl w:val="0"/>
                <w:numId w:val="26"/>
              </w:numPr>
              <w:rPr>
                <w:rStyle w:val="InstructionsTabelleText"/>
                <w:rFonts w:ascii="Times New Roman" w:hAnsi="Times New Roman"/>
                <w:szCs w:val="20"/>
              </w:rPr>
            </w:pPr>
            <w:r>
              <w:rPr>
                <w:rStyle w:val="InstructionsTabelleText"/>
                <w:rFonts w:ascii="Times New Roman" w:hAnsi="Times New Roman"/>
                <w:szCs w:val="20"/>
              </w:rPr>
              <w:t>the exposure value, as</w:t>
            </w:r>
            <w:r w:rsidRPr="00384CAC">
              <w:rPr>
                <w:rFonts w:ascii="Times New Roman" w:hAnsi="Times New Roman"/>
                <w:szCs w:val="20"/>
              </w:rPr>
              <w:t xml:space="preserve"> defined in</w:t>
            </w:r>
            <w:r w:rsidR="0017624F" w:rsidRPr="006B5ABD">
              <w:rPr>
                <w:rFonts w:ascii="Times New Roman" w:hAnsi="Times New Roman"/>
                <w:szCs w:val="20"/>
              </w:rPr>
              <w:t xml:space="preserve"> 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Pr="00384CAC">
              <w:rPr>
                <w:rFonts w:ascii="Times New Roman" w:hAnsi="Times New Roman"/>
                <w:szCs w:val="20"/>
              </w:rPr>
              <w:t xml:space="preserve"> column 00</w:t>
            </w:r>
            <w:r>
              <w:rPr>
                <w:rFonts w:ascii="Times New Roman" w:hAnsi="Times New Roman"/>
                <w:szCs w:val="20"/>
              </w:rPr>
              <w:t>5</w:t>
            </w:r>
            <w:r w:rsidRPr="00384CAC">
              <w:rPr>
                <w:rFonts w:ascii="Times New Roman" w:hAnsi="Times New Roman"/>
                <w:szCs w:val="20"/>
              </w:rPr>
              <w:t>0</w:t>
            </w:r>
            <w:r>
              <w:rPr>
                <w:rFonts w:ascii="Times New Roman" w:hAnsi="Times New Roman"/>
                <w:szCs w:val="20"/>
              </w:rPr>
              <w:t>,</w:t>
            </w:r>
            <w:r>
              <w:rPr>
                <w:rStyle w:val="InstructionsTabelleText"/>
                <w:rFonts w:ascii="Times New Roman" w:hAnsi="Times New Roman"/>
                <w:szCs w:val="20"/>
              </w:rPr>
              <w:t xml:space="preserve"> of the facilities of the reported portfolio, which were classified in stage 1 at the beginning of the reporting period and that were reported within stage 3 at the reference date, to</w:t>
            </w:r>
          </w:p>
          <w:p w14:paraId="1A084CCF" w14:textId="695CAE6D" w:rsidR="001A7921" w:rsidRDefault="001A7921" w:rsidP="00EC7E5C">
            <w:pPr>
              <w:numPr>
                <w:ilvl w:val="0"/>
                <w:numId w:val="26"/>
              </w:numPr>
              <w:rPr>
                <w:rStyle w:val="InstructionsTabelleText"/>
                <w:rFonts w:ascii="Times New Roman" w:hAnsi="Times New Roman"/>
                <w:szCs w:val="20"/>
              </w:rPr>
            </w:pPr>
            <w:r w:rsidRPr="009170A6">
              <w:rPr>
                <w:rStyle w:val="InstructionsTabelleText"/>
                <w:rFonts w:ascii="Times New Roman" w:hAnsi="Times New Roman"/>
                <w:szCs w:val="20"/>
              </w:rPr>
              <w:t xml:space="preserve">the exposure value </w:t>
            </w:r>
            <w:r w:rsidRPr="009170A6">
              <w:rPr>
                <w:rStyle w:val="InstructionsTabelleText"/>
                <w:rFonts w:ascii="Times New Roman" w:hAnsi="Times New Roman"/>
              </w:rPr>
              <w:t xml:space="preserve">as defined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9170A6">
              <w:rPr>
                <w:rStyle w:val="InstructionsTabelleText"/>
                <w:rFonts w:ascii="Times New Roman" w:hAnsi="Times New Roman"/>
              </w:rPr>
              <w:t>column 0050,</w:t>
            </w:r>
            <w:r w:rsidRPr="009170A6">
              <w:rPr>
                <w:rStyle w:val="InstructionsTabelleText"/>
                <w:rFonts w:ascii="Times New Roman" w:hAnsi="Times New Roman"/>
                <w:szCs w:val="20"/>
              </w:rPr>
              <w:t xml:space="preserve"> of </w:t>
            </w:r>
            <w:r w:rsidR="00534B86">
              <w:rPr>
                <w:rStyle w:val="InstructionsTabelleText"/>
                <w:rFonts w:ascii="Times New Roman" w:hAnsi="Times New Roman"/>
                <w:szCs w:val="20"/>
              </w:rPr>
              <w:t xml:space="preserve">all </w:t>
            </w:r>
            <w:r w:rsidRPr="009170A6">
              <w:rPr>
                <w:rStyle w:val="InstructionsTabelleText"/>
                <w:rFonts w:ascii="Times New Roman" w:hAnsi="Times New Roman"/>
                <w:szCs w:val="20"/>
              </w:rPr>
              <w:t xml:space="preserve">the facilities of the reported portfolio, which were classified in stage </w:t>
            </w:r>
            <w:r>
              <w:rPr>
                <w:rStyle w:val="InstructionsTabelleText"/>
                <w:rFonts w:ascii="Times New Roman" w:hAnsi="Times New Roman"/>
                <w:szCs w:val="20"/>
              </w:rPr>
              <w:t>1</w:t>
            </w:r>
            <w:r w:rsidRPr="009170A6">
              <w:rPr>
                <w:rStyle w:val="InstructionsTabelleText"/>
                <w:rFonts w:ascii="Times New Roman" w:hAnsi="Times New Roman"/>
                <w:szCs w:val="20"/>
              </w:rPr>
              <w:t xml:space="preserve"> at the beginning of the reporting period.</w:t>
            </w:r>
          </w:p>
          <w:p w14:paraId="4D1559E2" w14:textId="4B775653" w:rsidR="009E3132" w:rsidRPr="006D1691" w:rsidRDefault="009E3132" w:rsidP="00044BFE">
            <w:pPr>
              <w:rPr>
                <w:rStyle w:val="InstructionsTabelleText"/>
                <w:rFonts w:ascii="Times New Roman" w:hAnsi="Times New Roman"/>
                <w:szCs w:val="20"/>
              </w:rPr>
            </w:pPr>
            <w:r>
              <w:rPr>
                <w:rFonts w:ascii="Times New Roman" w:hAnsi="Times New Roman"/>
                <w:szCs w:val="20"/>
                <w:lang w:eastAsia="de-DE"/>
              </w:rPr>
              <w:t xml:space="preserve">This information </w:t>
            </w:r>
            <w:r w:rsidRPr="00384CAC">
              <w:rPr>
                <w:rFonts w:ascii="Times New Roman" w:hAnsi="Times New Roman"/>
                <w:szCs w:val="20"/>
                <w:lang w:eastAsia="de-DE"/>
              </w:rPr>
              <w:t>shall be expressed in decimals with a minimum precision equivalent to four decimals.</w:t>
            </w:r>
          </w:p>
        </w:tc>
      </w:tr>
      <w:tr w:rsidR="001A7921" w:rsidRPr="00D04BFC" w14:paraId="6DA8A028" w14:textId="77777777" w:rsidTr="00E25C9A">
        <w:tc>
          <w:tcPr>
            <w:tcW w:w="993" w:type="dxa"/>
            <w:tcBorders>
              <w:top w:val="single" w:sz="4" w:space="0" w:color="auto"/>
              <w:left w:val="single" w:sz="4" w:space="0" w:color="auto"/>
              <w:bottom w:val="single" w:sz="4" w:space="0" w:color="auto"/>
              <w:right w:val="single" w:sz="4" w:space="0" w:color="auto"/>
            </w:tcBorders>
          </w:tcPr>
          <w:p w14:paraId="011B8CB3" w14:textId="53CF6234" w:rsidR="001A7921" w:rsidRPr="006D1691" w:rsidRDefault="001A7921" w:rsidP="001A7921">
            <w:pPr>
              <w:rPr>
                <w:rStyle w:val="InstructionsTabelleText"/>
                <w:rFonts w:ascii="Times New Roman" w:hAnsi="Times New Roman"/>
                <w:szCs w:val="20"/>
              </w:rPr>
            </w:pPr>
            <w:r w:rsidRPr="00A330AE">
              <w:rPr>
                <w:rStyle w:val="InstructionsTabelleText"/>
                <w:rFonts w:ascii="Times New Roman" w:hAnsi="Times New Roman"/>
                <w:szCs w:val="20"/>
              </w:rPr>
              <w:lastRenderedPageBreak/>
              <w:t>0</w:t>
            </w:r>
            <w:r>
              <w:rPr>
                <w:rStyle w:val="InstructionsTabelleText"/>
                <w:rFonts w:ascii="Times New Roman" w:hAnsi="Times New Roman"/>
                <w:szCs w:val="20"/>
              </w:rPr>
              <w:t>130</w:t>
            </w:r>
          </w:p>
        </w:tc>
        <w:tc>
          <w:tcPr>
            <w:tcW w:w="1701" w:type="dxa"/>
            <w:tcBorders>
              <w:top w:val="single" w:sz="4" w:space="0" w:color="auto"/>
              <w:left w:val="single" w:sz="4" w:space="0" w:color="auto"/>
              <w:bottom w:val="single" w:sz="4" w:space="0" w:color="auto"/>
              <w:right w:val="single" w:sz="4" w:space="0" w:color="auto"/>
            </w:tcBorders>
          </w:tcPr>
          <w:p w14:paraId="18F16FC5" w14:textId="22AD0D21" w:rsidR="001A7921" w:rsidRPr="006D1691" w:rsidRDefault="001A7921" w:rsidP="001A7921">
            <w:pPr>
              <w:rPr>
                <w:rStyle w:val="InstructionsTabelleText"/>
                <w:rFonts w:ascii="Times New Roman" w:hAnsi="Times New Roman"/>
                <w:szCs w:val="20"/>
              </w:rPr>
            </w:pPr>
            <w:r>
              <w:rPr>
                <w:rStyle w:val="InstructionsTabelleText"/>
                <w:rFonts w:ascii="Times New Roman" w:hAnsi="Times New Roman"/>
                <w:szCs w:val="20"/>
              </w:rPr>
              <w:t>Transition rate from stage 2 to stage 3</w:t>
            </w:r>
          </w:p>
        </w:tc>
        <w:tc>
          <w:tcPr>
            <w:tcW w:w="1842" w:type="dxa"/>
            <w:tcBorders>
              <w:top w:val="single" w:sz="4" w:space="0" w:color="auto"/>
              <w:left w:val="single" w:sz="4" w:space="0" w:color="auto"/>
              <w:bottom w:val="single" w:sz="4" w:space="0" w:color="auto"/>
              <w:right w:val="single" w:sz="4" w:space="0" w:color="auto"/>
            </w:tcBorders>
          </w:tcPr>
          <w:p w14:paraId="015989A6" w14:textId="01060E3E" w:rsidR="001A7921" w:rsidRPr="006D1691" w:rsidRDefault="001A7921" w:rsidP="001A7921">
            <w:pPr>
              <w:rPr>
                <w:rStyle w:val="InstructionsTabelleText"/>
                <w:rFonts w:ascii="Times New Roman" w:hAnsi="Times New Roman"/>
                <w:szCs w:val="20"/>
              </w:rPr>
            </w:pPr>
          </w:p>
        </w:tc>
        <w:tc>
          <w:tcPr>
            <w:tcW w:w="9781" w:type="dxa"/>
            <w:tcBorders>
              <w:top w:val="single" w:sz="4" w:space="0" w:color="auto"/>
              <w:left w:val="single" w:sz="4" w:space="0" w:color="auto"/>
              <w:bottom w:val="single" w:sz="4" w:space="0" w:color="auto"/>
              <w:right w:val="single" w:sz="4" w:space="0" w:color="auto"/>
            </w:tcBorders>
          </w:tcPr>
          <w:p w14:paraId="5E591E76" w14:textId="3829DB4D" w:rsidR="001A7921" w:rsidRDefault="001A7921" w:rsidP="001A7921">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share of stage 2 exposures transferred to stage 3 during the reporting period, expressed as the ratio of:</w:t>
            </w:r>
          </w:p>
          <w:p w14:paraId="7F656713" w14:textId="6D327203" w:rsidR="001A7921" w:rsidRDefault="001A7921" w:rsidP="00EC7E5C">
            <w:pPr>
              <w:numPr>
                <w:ilvl w:val="0"/>
                <w:numId w:val="27"/>
              </w:numPr>
              <w:rPr>
                <w:rStyle w:val="InstructionsTabelleText"/>
                <w:rFonts w:ascii="Times New Roman" w:hAnsi="Times New Roman"/>
                <w:szCs w:val="20"/>
              </w:rPr>
            </w:pPr>
            <w:r>
              <w:rPr>
                <w:rStyle w:val="InstructionsTabelleText"/>
                <w:rFonts w:ascii="Times New Roman" w:hAnsi="Times New Roman"/>
                <w:szCs w:val="20"/>
              </w:rPr>
              <w:t>the exposure value, as</w:t>
            </w:r>
            <w:r w:rsidRPr="00384CAC">
              <w:rPr>
                <w:rFonts w:ascii="Times New Roman" w:hAnsi="Times New Roman"/>
                <w:szCs w:val="20"/>
              </w:rPr>
              <w:t xml:space="preserve"> defined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384CAC">
              <w:rPr>
                <w:rFonts w:ascii="Times New Roman" w:hAnsi="Times New Roman"/>
                <w:szCs w:val="20"/>
              </w:rPr>
              <w:t xml:space="preserve">column </w:t>
            </w:r>
            <w:r w:rsidR="00330101" w:rsidRPr="00384CAC">
              <w:rPr>
                <w:rFonts w:ascii="Times New Roman" w:hAnsi="Times New Roman"/>
                <w:szCs w:val="20"/>
              </w:rPr>
              <w:t>00</w:t>
            </w:r>
            <w:r w:rsidR="00330101">
              <w:rPr>
                <w:rFonts w:ascii="Times New Roman" w:hAnsi="Times New Roman"/>
                <w:szCs w:val="20"/>
              </w:rPr>
              <w:t>51</w:t>
            </w:r>
            <w:r>
              <w:rPr>
                <w:rFonts w:ascii="Times New Roman" w:hAnsi="Times New Roman"/>
                <w:szCs w:val="20"/>
              </w:rPr>
              <w:t>,</w:t>
            </w:r>
            <w:r>
              <w:rPr>
                <w:rStyle w:val="InstructionsTabelleText"/>
                <w:rFonts w:ascii="Times New Roman" w:hAnsi="Times New Roman"/>
                <w:szCs w:val="20"/>
              </w:rPr>
              <w:t xml:space="preserve"> of the facilities of the reported portfolio, which were classified in stage 2 at the beginning of the reporting period and that were reported within stage 3 at the reference date, to</w:t>
            </w:r>
          </w:p>
          <w:p w14:paraId="75C48D0D" w14:textId="434CC098" w:rsidR="001A7921" w:rsidRDefault="001A7921" w:rsidP="00EC7E5C">
            <w:pPr>
              <w:numPr>
                <w:ilvl w:val="0"/>
                <w:numId w:val="27"/>
              </w:numPr>
              <w:rPr>
                <w:rStyle w:val="InstructionsTabelleText"/>
                <w:rFonts w:ascii="Times New Roman" w:hAnsi="Times New Roman"/>
                <w:szCs w:val="20"/>
              </w:rPr>
            </w:pPr>
            <w:r w:rsidRPr="008E0272">
              <w:rPr>
                <w:rStyle w:val="InstructionsTabelleText"/>
                <w:rFonts w:ascii="Times New Roman" w:hAnsi="Times New Roman"/>
                <w:szCs w:val="20"/>
              </w:rPr>
              <w:t xml:space="preserve">the exposure value </w:t>
            </w:r>
            <w:r w:rsidRPr="008E0272">
              <w:rPr>
                <w:rStyle w:val="InstructionsTabelleText"/>
                <w:rFonts w:ascii="Times New Roman" w:hAnsi="Times New Roman"/>
              </w:rPr>
              <w:t xml:space="preserve">as defined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8E0272">
              <w:rPr>
                <w:rStyle w:val="InstructionsTabelleText"/>
                <w:rFonts w:ascii="Times New Roman" w:hAnsi="Times New Roman"/>
              </w:rPr>
              <w:t>column 005</w:t>
            </w:r>
            <w:r w:rsidR="00330101">
              <w:rPr>
                <w:rStyle w:val="InstructionsTabelleText"/>
                <w:rFonts w:ascii="Times New Roman" w:hAnsi="Times New Roman"/>
              </w:rPr>
              <w:t>1</w:t>
            </w:r>
            <w:r w:rsidRPr="008E0272">
              <w:rPr>
                <w:rStyle w:val="InstructionsTabelleText"/>
                <w:rFonts w:ascii="Times New Roman" w:hAnsi="Times New Roman"/>
              </w:rPr>
              <w:t>,</w:t>
            </w:r>
            <w:r w:rsidRPr="008E0272">
              <w:rPr>
                <w:rStyle w:val="InstructionsTabelleText"/>
                <w:rFonts w:ascii="Times New Roman" w:hAnsi="Times New Roman"/>
                <w:szCs w:val="20"/>
              </w:rPr>
              <w:t xml:space="preserve"> of </w:t>
            </w:r>
            <w:r w:rsidR="00534B86">
              <w:rPr>
                <w:rStyle w:val="InstructionsTabelleText"/>
                <w:rFonts w:ascii="Times New Roman" w:hAnsi="Times New Roman"/>
                <w:szCs w:val="20"/>
              </w:rPr>
              <w:t xml:space="preserve">all </w:t>
            </w:r>
            <w:r w:rsidRPr="008E0272">
              <w:rPr>
                <w:rStyle w:val="InstructionsTabelleText"/>
                <w:rFonts w:ascii="Times New Roman" w:hAnsi="Times New Roman"/>
                <w:szCs w:val="20"/>
              </w:rPr>
              <w:t xml:space="preserve">the facilities of the reported portfolio, which were classified in stage </w:t>
            </w:r>
            <w:r>
              <w:rPr>
                <w:rStyle w:val="InstructionsTabelleText"/>
                <w:rFonts w:ascii="Times New Roman" w:hAnsi="Times New Roman"/>
                <w:szCs w:val="20"/>
              </w:rPr>
              <w:t>2</w:t>
            </w:r>
            <w:r w:rsidRPr="008E0272">
              <w:rPr>
                <w:rStyle w:val="InstructionsTabelleText"/>
                <w:rFonts w:ascii="Times New Roman" w:hAnsi="Times New Roman"/>
                <w:szCs w:val="20"/>
              </w:rPr>
              <w:t xml:space="preserve"> at the beginning of the reporting period.</w:t>
            </w:r>
          </w:p>
          <w:p w14:paraId="6302634E" w14:textId="1064251C" w:rsidR="009E3132" w:rsidRPr="006D1691" w:rsidRDefault="009E3132" w:rsidP="00044BFE">
            <w:pPr>
              <w:rPr>
                <w:rStyle w:val="InstructionsTabelleText"/>
                <w:rFonts w:ascii="Times New Roman" w:hAnsi="Times New Roman"/>
                <w:szCs w:val="20"/>
              </w:rPr>
            </w:pPr>
            <w:r>
              <w:rPr>
                <w:rFonts w:ascii="Times New Roman" w:hAnsi="Times New Roman"/>
                <w:szCs w:val="20"/>
                <w:lang w:eastAsia="de-DE"/>
              </w:rPr>
              <w:t xml:space="preserve">This information </w:t>
            </w:r>
            <w:r w:rsidRPr="00384CAC">
              <w:rPr>
                <w:rFonts w:ascii="Times New Roman" w:hAnsi="Times New Roman"/>
                <w:szCs w:val="20"/>
                <w:lang w:eastAsia="de-DE"/>
              </w:rPr>
              <w:t>shall be expressed in decimals with a minimum precision equivalent to four decimals.</w:t>
            </w:r>
          </w:p>
        </w:tc>
      </w:tr>
      <w:tr w:rsidR="001A7921" w:rsidRPr="00D04BFC" w14:paraId="20F378FA" w14:textId="77777777" w:rsidTr="00E25C9A">
        <w:tc>
          <w:tcPr>
            <w:tcW w:w="993" w:type="dxa"/>
            <w:tcBorders>
              <w:top w:val="single" w:sz="4" w:space="0" w:color="auto"/>
              <w:left w:val="single" w:sz="4" w:space="0" w:color="auto"/>
              <w:bottom w:val="single" w:sz="4" w:space="0" w:color="auto"/>
              <w:right w:val="single" w:sz="4" w:space="0" w:color="auto"/>
            </w:tcBorders>
          </w:tcPr>
          <w:p w14:paraId="6EE576BC" w14:textId="7552B5D0" w:rsidR="001A7921" w:rsidRPr="006D1691" w:rsidRDefault="001A7921" w:rsidP="001A7921">
            <w:pPr>
              <w:rPr>
                <w:rStyle w:val="InstructionsTabelleText"/>
                <w:rFonts w:ascii="Times New Roman" w:hAnsi="Times New Roman"/>
                <w:szCs w:val="20"/>
              </w:rPr>
            </w:pPr>
            <w:r w:rsidRPr="007626BA">
              <w:rPr>
                <w:rStyle w:val="InstructionsTabelleText"/>
                <w:rFonts w:ascii="Times New Roman" w:hAnsi="Times New Roman"/>
                <w:szCs w:val="20"/>
              </w:rPr>
              <w:t>0</w:t>
            </w:r>
            <w:r>
              <w:rPr>
                <w:rStyle w:val="InstructionsTabelleText"/>
                <w:rFonts w:ascii="Times New Roman" w:hAnsi="Times New Roman"/>
                <w:szCs w:val="20"/>
              </w:rPr>
              <w:t>140</w:t>
            </w:r>
          </w:p>
        </w:tc>
        <w:tc>
          <w:tcPr>
            <w:tcW w:w="1701" w:type="dxa"/>
            <w:tcBorders>
              <w:top w:val="single" w:sz="4" w:space="0" w:color="auto"/>
              <w:left w:val="single" w:sz="4" w:space="0" w:color="auto"/>
              <w:bottom w:val="single" w:sz="4" w:space="0" w:color="auto"/>
              <w:right w:val="single" w:sz="4" w:space="0" w:color="auto"/>
            </w:tcBorders>
          </w:tcPr>
          <w:p w14:paraId="7408F285" w14:textId="4034B3D3" w:rsidR="001A7921" w:rsidRPr="006D1691" w:rsidRDefault="001A7921" w:rsidP="001A7921">
            <w:pPr>
              <w:rPr>
                <w:rStyle w:val="InstructionsTabelleText"/>
                <w:rFonts w:ascii="Times New Roman" w:hAnsi="Times New Roman"/>
                <w:szCs w:val="20"/>
              </w:rPr>
            </w:pPr>
            <w:r>
              <w:rPr>
                <w:rStyle w:val="InstructionsTabelleText"/>
                <w:rFonts w:ascii="Times New Roman" w:hAnsi="Times New Roman"/>
                <w:szCs w:val="20"/>
              </w:rPr>
              <w:t xml:space="preserve">Total transfers to stage 3 </w:t>
            </w:r>
          </w:p>
        </w:tc>
        <w:tc>
          <w:tcPr>
            <w:tcW w:w="1842" w:type="dxa"/>
            <w:tcBorders>
              <w:top w:val="single" w:sz="4" w:space="0" w:color="auto"/>
              <w:left w:val="single" w:sz="4" w:space="0" w:color="auto"/>
              <w:bottom w:val="single" w:sz="4" w:space="0" w:color="auto"/>
              <w:right w:val="single" w:sz="4" w:space="0" w:color="auto"/>
            </w:tcBorders>
          </w:tcPr>
          <w:p w14:paraId="164CCBA2" w14:textId="6B4D40AA" w:rsidR="001A7921" w:rsidRPr="006D1691" w:rsidRDefault="001A7921" w:rsidP="001A7921">
            <w:pPr>
              <w:rPr>
                <w:rStyle w:val="InstructionsTabelleText"/>
                <w:rFonts w:ascii="Times New Roman" w:hAnsi="Times New Roman"/>
                <w:szCs w:val="20"/>
              </w:rPr>
            </w:pPr>
          </w:p>
        </w:tc>
        <w:tc>
          <w:tcPr>
            <w:tcW w:w="9781" w:type="dxa"/>
            <w:tcBorders>
              <w:top w:val="single" w:sz="4" w:space="0" w:color="auto"/>
              <w:left w:val="single" w:sz="4" w:space="0" w:color="auto"/>
              <w:bottom w:val="single" w:sz="4" w:space="0" w:color="auto"/>
              <w:right w:val="single" w:sz="4" w:space="0" w:color="auto"/>
            </w:tcBorders>
          </w:tcPr>
          <w:p w14:paraId="1B2CCE4F" w14:textId="032B3FA4" w:rsidR="001A7921" w:rsidRPr="006D1691" w:rsidRDefault="001A7921" w:rsidP="001A7921">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sum of the exposure value, as</w:t>
            </w:r>
            <w:r w:rsidRPr="00384CAC">
              <w:rPr>
                <w:rFonts w:ascii="Times New Roman" w:hAnsi="Times New Roman"/>
                <w:szCs w:val="20"/>
              </w:rPr>
              <w:t xml:space="preserve"> defined </w:t>
            </w:r>
            <w:r w:rsidR="00330101">
              <w:rPr>
                <w:rFonts w:ascii="Times New Roman" w:hAnsi="Times New Roman"/>
                <w:szCs w:val="20"/>
              </w:rPr>
              <w:t xml:space="preserve">respectively </w:t>
            </w:r>
            <w:r w:rsidRPr="00384CAC">
              <w:rPr>
                <w:rFonts w:ascii="Times New Roman" w:hAnsi="Times New Roman"/>
                <w:szCs w:val="20"/>
              </w:rPr>
              <w:t>in</w:t>
            </w:r>
            <w:r w:rsidR="0017624F" w:rsidRPr="006B5ABD">
              <w:rPr>
                <w:rFonts w:ascii="Times New Roman" w:hAnsi="Times New Roman"/>
                <w:szCs w:val="20"/>
              </w:rPr>
              <w:t xml:space="preserve"> 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Pr="00384CAC">
              <w:rPr>
                <w:rFonts w:ascii="Times New Roman" w:hAnsi="Times New Roman"/>
                <w:szCs w:val="20"/>
              </w:rPr>
              <w:t xml:space="preserve"> column</w:t>
            </w:r>
            <w:r w:rsidR="00330101">
              <w:rPr>
                <w:rFonts w:ascii="Times New Roman" w:hAnsi="Times New Roman"/>
                <w:szCs w:val="20"/>
              </w:rPr>
              <w:t>s</w:t>
            </w:r>
            <w:r w:rsidRPr="00384CAC">
              <w:rPr>
                <w:rFonts w:ascii="Times New Roman" w:hAnsi="Times New Roman"/>
                <w:szCs w:val="20"/>
              </w:rPr>
              <w:t xml:space="preserve"> 00</w:t>
            </w:r>
            <w:r>
              <w:rPr>
                <w:rFonts w:ascii="Times New Roman" w:hAnsi="Times New Roman"/>
                <w:szCs w:val="20"/>
              </w:rPr>
              <w:t>5</w:t>
            </w:r>
            <w:r w:rsidRPr="00384CAC">
              <w:rPr>
                <w:rFonts w:ascii="Times New Roman" w:hAnsi="Times New Roman"/>
                <w:szCs w:val="20"/>
              </w:rPr>
              <w:t>0</w:t>
            </w:r>
            <w:r w:rsidR="00330101">
              <w:rPr>
                <w:rFonts w:ascii="Times New Roman" w:hAnsi="Times New Roman"/>
                <w:szCs w:val="20"/>
              </w:rPr>
              <w:t xml:space="preserve"> and 0051</w:t>
            </w:r>
            <w:r>
              <w:rPr>
                <w:rFonts w:ascii="Times New Roman" w:hAnsi="Times New Roman"/>
                <w:szCs w:val="20"/>
              </w:rPr>
              <w:t>,</w:t>
            </w:r>
            <w:r>
              <w:rPr>
                <w:rStyle w:val="InstructionsTabelleText"/>
                <w:rFonts w:ascii="Times New Roman" w:hAnsi="Times New Roman"/>
                <w:szCs w:val="20"/>
              </w:rPr>
              <w:t xml:space="preserve"> of all the facilities, which have been transferred from stage 1 or stage 2 to stage 3 during the reporting period and that are still classified in stage 3 at the reporting date.</w:t>
            </w:r>
          </w:p>
        </w:tc>
      </w:tr>
      <w:tr w:rsidR="001A7921" w:rsidRPr="00D04BFC" w14:paraId="6FBE0B82" w14:textId="77777777" w:rsidTr="00E25C9A">
        <w:tc>
          <w:tcPr>
            <w:tcW w:w="993" w:type="dxa"/>
            <w:tcBorders>
              <w:top w:val="single" w:sz="4" w:space="0" w:color="auto"/>
              <w:left w:val="single" w:sz="4" w:space="0" w:color="auto"/>
              <w:bottom w:val="single" w:sz="4" w:space="0" w:color="auto"/>
              <w:right w:val="single" w:sz="4" w:space="0" w:color="auto"/>
            </w:tcBorders>
          </w:tcPr>
          <w:p w14:paraId="6E5C5C70" w14:textId="5EA8AB57" w:rsidR="001A7921" w:rsidRPr="006D1691" w:rsidRDefault="001A7921" w:rsidP="001A7921">
            <w:pPr>
              <w:rPr>
                <w:rStyle w:val="InstructionsTabelleText"/>
                <w:rFonts w:ascii="Times New Roman" w:hAnsi="Times New Roman"/>
                <w:szCs w:val="20"/>
              </w:rPr>
            </w:pPr>
            <w:r w:rsidRPr="007626BA">
              <w:rPr>
                <w:rStyle w:val="InstructionsTabelleText"/>
                <w:rFonts w:ascii="Times New Roman" w:hAnsi="Times New Roman"/>
                <w:szCs w:val="20"/>
              </w:rPr>
              <w:t>0</w:t>
            </w:r>
            <w:r w:rsidR="00BB6028">
              <w:rPr>
                <w:rStyle w:val="InstructionsTabelleText"/>
                <w:rFonts w:ascii="Times New Roman" w:hAnsi="Times New Roman"/>
                <w:szCs w:val="20"/>
              </w:rPr>
              <w:t>150</w:t>
            </w:r>
          </w:p>
        </w:tc>
        <w:tc>
          <w:tcPr>
            <w:tcW w:w="1701" w:type="dxa"/>
            <w:tcBorders>
              <w:top w:val="single" w:sz="4" w:space="0" w:color="auto"/>
              <w:left w:val="single" w:sz="4" w:space="0" w:color="auto"/>
              <w:bottom w:val="single" w:sz="4" w:space="0" w:color="auto"/>
              <w:right w:val="single" w:sz="4" w:space="0" w:color="auto"/>
            </w:tcBorders>
          </w:tcPr>
          <w:p w14:paraId="685333FD" w14:textId="51197748" w:rsidR="001A7921" w:rsidRPr="006D1691" w:rsidRDefault="001A7921" w:rsidP="001A7921">
            <w:pPr>
              <w:rPr>
                <w:rStyle w:val="InstructionsTabelleText"/>
                <w:rFonts w:ascii="Times New Roman" w:hAnsi="Times New Roman"/>
                <w:szCs w:val="20"/>
              </w:rPr>
            </w:pPr>
            <w:r>
              <w:rPr>
                <w:rStyle w:val="InstructionsTabelleText"/>
                <w:rFonts w:ascii="Times New Roman" w:hAnsi="Times New Roman"/>
                <w:szCs w:val="20"/>
              </w:rPr>
              <w:t>Transfers from stage 1 directly to stage 3</w:t>
            </w:r>
          </w:p>
        </w:tc>
        <w:tc>
          <w:tcPr>
            <w:tcW w:w="1842" w:type="dxa"/>
            <w:tcBorders>
              <w:top w:val="single" w:sz="4" w:space="0" w:color="auto"/>
              <w:left w:val="single" w:sz="4" w:space="0" w:color="auto"/>
              <w:bottom w:val="single" w:sz="4" w:space="0" w:color="auto"/>
              <w:right w:val="single" w:sz="4" w:space="0" w:color="auto"/>
            </w:tcBorders>
          </w:tcPr>
          <w:p w14:paraId="5AFE6220" w14:textId="0E4DCDB9" w:rsidR="001A7921" w:rsidRPr="006D1691" w:rsidRDefault="001A7921" w:rsidP="001A7921">
            <w:pPr>
              <w:rPr>
                <w:rStyle w:val="InstructionsTabelleText"/>
                <w:rFonts w:ascii="Times New Roman" w:hAnsi="Times New Roman"/>
                <w:szCs w:val="20"/>
              </w:rPr>
            </w:pPr>
          </w:p>
        </w:tc>
        <w:tc>
          <w:tcPr>
            <w:tcW w:w="9781" w:type="dxa"/>
            <w:tcBorders>
              <w:top w:val="single" w:sz="4" w:space="0" w:color="auto"/>
              <w:left w:val="single" w:sz="4" w:space="0" w:color="auto"/>
              <w:bottom w:val="single" w:sz="4" w:space="0" w:color="auto"/>
              <w:right w:val="single" w:sz="4" w:space="0" w:color="auto"/>
            </w:tcBorders>
          </w:tcPr>
          <w:p w14:paraId="6C075112" w14:textId="1D90B90F" w:rsidR="001A7921" w:rsidRPr="006D1691" w:rsidRDefault="001A7921" w:rsidP="001A7921">
            <w:pPr>
              <w:rPr>
                <w:rStyle w:val="InstructionsTabelleText"/>
                <w:rFonts w:ascii="Times New Roman" w:hAnsi="Times New Roman"/>
                <w:szCs w:val="20"/>
              </w:rPr>
            </w:pPr>
            <w:r>
              <w:rPr>
                <w:rStyle w:val="InstructionsTabelleText"/>
                <w:rFonts w:ascii="Times New Roman" w:hAnsi="Times New Roman"/>
                <w:szCs w:val="20"/>
              </w:rPr>
              <w:t>With reference to the respective portfolio, the sum of the exposure value, as</w:t>
            </w:r>
            <w:r w:rsidRPr="00384CAC">
              <w:rPr>
                <w:rFonts w:ascii="Times New Roman" w:hAnsi="Times New Roman"/>
                <w:szCs w:val="20"/>
              </w:rPr>
              <w:t xml:space="preserve"> defined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384CAC">
              <w:rPr>
                <w:rFonts w:ascii="Times New Roman" w:hAnsi="Times New Roman"/>
                <w:szCs w:val="20"/>
              </w:rPr>
              <w:t xml:space="preserve">column </w:t>
            </w:r>
            <w:r w:rsidR="00330101" w:rsidRPr="00384CAC">
              <w:rPr>
                <w:rFonts w:ascii="Times New Roman" w:hAnsi="Times New Roman"/>
                <w:szCs w:val="20"/>
              </w:rPr>
              <w:t>00</w:t>
            </w:r>
            <w:r w:rsidR="00330101">
              <w:rPr>
                <w:rFonts w:ascii="Times New Roman" w:hAnsi="Times New Roman"/>
                <w:szCs w:val="20"/>
              </w:rPr>
              <w:t>50</w:t>
            </w:r>
            <w:r>
              <w:rPr>
                <w:rFonts w:ascii="Times New Roman" w:hAnsi="Times New Roman"/>
                <w:szCs w:val="20"/>
              </w:rPr>
              <w:t>,</w:t>
            </w:r>
            <w:r>
              <w:rPr>
                <w:rStyle w:val="InstructionsTabelleText"/>
                <w:rFonts w:ascii="Times New Roman" w:hAnsi="Times New Roman"/>
                <w:szCs w:val="20"/>
              </w:rPr>
              <w:t xml:space="preserve"> of all the facilities, which have been transferred from stage 1 directly to stage 3 during the reporting period and that are still classified in stage 3 at the reporting date.</w:t>
            </w:r>
          </w:p>
        </w:tc>
      </w:tr>
    </w:tbl>
    <w:p w14:paraId="7E806B44" w14:textId="77777777" w:rsidR="007723B2" w:rsidRDefault="007723B2">
      <w:pPr>
        <w:spacing w:before="0" w:after="0"/>
        <w:jc w:val="left"/>
        <w:rPr>
          <w:rStyle w:val="InstructionsTabelleText"/>
          <w:rFonts w:ascii="Times New Roman" w:hAnsi="Times New Roman"/>
          <w:szCs w:val="20"/>
        </w:rPr>
      </w:pPr>
      <w:r>
        <w:rPr>
          <w:rStyle w:val="InstructionsTabelleText"/>
          <w:rFonts w:ascii="Times New Roman" w:hAnsi="Times New Roman"/>
          <w:szCs w:val="20"/>
        </w:rPr>
        <w:br w:type="page"/>
      </w:r>
    </w:p>
    <w:p w14:paraId="585786CF" w14:textId="7CAB31BC" w:rsidR="00062A37" w:rsidRPr="00384CAC" w:rsidRDefault="00242338">
      <w:pPr>
        <w:pStyle w:val="Heading3"/>
        <w:rPr>
          <w:rFonts w:ascii="Times New Roman" w:hAnsi="Times New Roman"/>
          <w:lang w:val="en-US"/>
        </w:rPr>
      </w:pPr>
      <w:bookmarkStart w:id="14" w:name="_Toc101359402"/>
      <w:r w:rsidRPr="00384CAC">
        <w:rPr>
          <w:rFonts w:ascii="Times New Roman" w:hAnsi="Times New Roman"/>
        </w:rPr>
        <w:lastRenderedPageBreak/>
        <w:t xml:space="preserve">C </w:t>
      </w:r>
      <w:r w:rsidR="009E10EE" w:rsidRPr="00384CAC">
        <w:rPr>
          <w:rFonts w:ascii="Times New Roman" w:hAnsi="Times New Roman"/>
        </w:rPr>
        <w:t>1</w:t>
      </w:r>
      <w:r w:rsidR="009E10EE" w:rsidRPr="00384CAC">
        <w:rPr>
          <w:rFonts w:ascii="Times New Roman" w:hAnsi="Times New Roman"/>
          <w:lang w:val="en-US"/>
        </w:rPr>
        <w:t>1</w:t>
      </w:r>
      <w:r w:rsidR="00BF4EB1">
        <w:rPr>
          <w:rFonts w:ascii="Times New Roman" w:hAnsi="Times New Roman"/>
          <w:lang w:val="en-US"/>
        </w:rPr>
        <w:t>8</w:t>
      </w:r>
      <w:r w:rsidR="00AF42F9" w:rsidRPr="00384CAC">
        <w:rPr>
          <w:rFonts w:ascii="Times New Roman" w:hAnsi="Times New Roman"/>
          <w:lang w:val="en-US"/>
        </w:rPr>
        <w:t>.</w:t>
      </w:r>
      <w:r w:rsidR="006C7A0B" w:rsidRPr="00384CAC">
        <w:rPr>
          <w:rFonts w:ascii="Times New Roman" w:hAnsi="Times New Roman"/>
          <w:lang w:val="en-US"/>
        </w:rPr>
        <w:t>00</w:t>
      </w:r>
      <w:r w:rsidR="006C7A0B" w:rsidRPr="00384CAC">
        <w:rPr>
          <w:rFonts w:ascii="Times New Roman" w:hAnsi="Times New Roman"/>
        </w:rPr>
        <w:t xml:space="preserve"> </w:t>
      </w:r>
      <w:r w:rsidRPr="00384CAC">
        <w:rPr>
          <w:rFonts w:ascii="Times New Roman" w:hAnsi="Times New Roman"/>
        </w:rPr>
        <w:t xml:space="preserve">– </w:t>
      </w:r>
      <w:r w:rsidR="00AF42F9" w:rsidRPr="00384CAC">
        <w:rPr>
          <w:rFonts w:ascii="Times New Roman" w:hAnsi="Times New Roman"/>
        </w:rPr>
        <w:t xml:space="preserve">Details on macroeconomic scenarios per </w:t>
      </w:r>
      <w:r w:rsidR="00A65392" w:rsidRPr="00384CAC">
        <w:rPr>
          <w:rFonts w:ascii="Times New Roman" w:hAnsi="Times New Roman"/>
          <w:lang w:val="en-US"/>
        </w:rPr>
        <w:t>GDP Area code</w:t>
      </w:r>
      <w:bookmarkEnd w:id="14"/>
    </w:p>
    <w:p w14:paraId="49D91DAA" w14:textId="39985F2A" w:rsidR="002D44EC" w:rsidRPr="00384CAC" w:rsidRDefault="002D44EC" w:rsidP="002D44EC">
      <w:pPr>
        <w:rPr>
          <w:rFonts w:ascii="Times New Roman" w:hAnsi="Times New Roman"/>
          <w:szCs w:val="20"/>
          <w:lang w:eastAsia="de-DE"/>
        </w:rPr>
      </w:pPr>
      <w:r w:rsidRPr="00384CAC">
        <w:rPr>
          <w:rFonts w:ascii="Times New Roman" w:hAnsi="Times New Roman"/>
          <w:szCs w:val="20"/>
          <w:lang w:eastAsia="de-DE"/>
        </w:rPr>
        <w:t xml:space="preserve">The estimated yearly GDP growth of the countries reported in columns </w:t>
      </w:r>
      <w:r w:rsidR="00092210" w:rsidRPr="00384CAC">
        <w:rPr>
          <w:rFonts w:ascii="Times New Roman" w:hAnsi="Times New Roman"/>
          <w:szCs w:val="20"/>
          <w:lang w:eastAsia="de-DE"/>
        </w:rPr>
        <w:t>0</w:t>
      </w:r>
      <w:r w:rsidRPr="00384CAC">
        <w:rPr>
          <w:rFonts w:ascii="Times New Roman" w:hAnsi="Times New Roman"/>
          <w:szCs w:val="20"/>
          <w:lang w:eastAsia="de-DE"/>
        </w:rPr>
        <w:t xml:space="preserve">100, </w:t>
      </w:r>
      <w:r w:rsidR="00092210" w:rsidRPr="00384CAC">
        <w:rPr>
          <w:rFonts w:ascii="Times New Roman" w:hAnsi="Times New Roman"/>
          <w:szCs w:val="20"/>
          <w:lang w:eastAsia="de-DE"/>
        </w:rPr>
        <w:t>0</w:t>
      </w:r>
      <w:r w:rsidRPr="00384CAC">
        <w:rPr>
          <w:rFonts w:ascii="Times New Roman" w:hAnsi="Times New Roman"/>
          <w:szCs w:val="20"/>
          <w:lang w:eastAsia="de-DE"/>
        </w:rPr>
        <w:t>11</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092210" w:rsidRPr="00384CAC">
        <w:rPr>
          <w:rFonts w:ascii="Times New Roman" w:hAnsi="Times New Roman"/>
          <w:szCs w:val="20"/>
          <w:lang w:eastAsia="de-DE"/>
        </w:rPr>
        <w:t>0</w:t>
      </w:r>
      <w:r w:rsidRPr="00384CAC">
        <w:rPr>
          <w:rFonts w:ascii="Times New Roman" w:hAnsi="Times New Roman"/>
          <w:szCs w:val="20"/>
          <w:lang w:eastAsia="de-DE"/>
        </w:rPr>
        <w:t>12</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092210" w:rsidRPr="00384CAC">
        <w:rPr>
          <w:rFonts w:ascii="Times New Roman" w:hAnsi="Times New Roman"/>
          <w:szCs w:val="20"/>
          <w:lang w:eastAsia="de-DE"/>
        </w:rPr>
        <w:t>0</w:t>
      </w:r>
      <w:r w:rsidRPr="00384CAC">
        <w:rPr>
          <w:rFonts w:ascii="Times New Roman" w:hAnsi="Times New Roman"/>
          <w:szCs w:val="20"/>
          <w:lang w:eastAsia="de-DE"/>
        </w:rPr>
        <w:t>13</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092210" w:rsidRPr="00384CAC">
        <w:rPr>
          <w:rFonts w:ascii="Times New Roman" w:hAnsi="Times New Roman"/>
          <w:szCs w:val="20"/>
          <w:lang w:eastAsia="de-DE"/>
        </w:rPr>
        <w:t>0</w:t>
      </w:r>
      <w:r w:rsidRPr="00384CAC">
        <w:rPr>
          <w:rFonts w:ascii="Times New Roman" w:hAnsi="Times New Roman"/>
          <w:szCs w:val="20"/>
          <w:lang w:eastAsia="de-DE"/>
        </w:rPr>
        <w:t>14</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092210" w:rsidRPr="00384CAC">
        <w:rPr>
          <w:rFonts w:ascii="Times New Roman" w:hAnsi="Times New Roman"/>
          <w:szCs w:val="20"/>
          <w:lang w:eastAsia="de-DE"/>
        </w:rPr>
        <w:t>0</w:t>
      </w:r>
      <w:r w:rsidRPr="00384CAC">
        <w:rPr>
          <w:rFonts w:ascii="Times New Roman" w:hAnsi="Times New Roman"/>
          <w:szCs w:val="20"/>
          <w:lang w:eastAsia="de-DE"/>
        </w:rPr>
        <w:t>15</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092210" w:rsidRPr="00384CAC">
        <w:rPr>
          <w:rFonts w:ascii="Times New Roman" w:hAnsi="Times New Roman"/>
          <w:szCs w:val="20"/>
          <w:lang w:eastAsia="de-DE"/>
        </w:rPr>
        <w:t>0</w:t>
      </w:r>
      <w:r w:rsidRPr="00384CAC">
        <w:rPr>
          <w:rFonts w:ascii="Times New Roman" w:hAnsi="Times New Roman"/>
          <w:szCs w:val="20"/>
          <w:lang w:eastAsia="de-DE"/>
        </w:rPr>
        <w:t>16</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092210" w:rsidRPr="00384CAC">
        <w:rPr>
          <w:rFonts w:ascii="Times New Roman" w:hAnsi="Times New Roman"/>
          <w:szCs w:val="20"/>
          <w:lang w:eastAsia="de-DE"/>
        </w:rPr>
        <w:t>0</w:t>
      </w:r>
      <w:r w:rsidRPr="00384CAC">
        <w:rPr>
          <w:rFonts w:ascii="Times New Roman" w:hAnsi="Times New Roman"/>
          <w:szCs w:val="20"/>
          <w:lang w:eastAsia="de-DE"/>
        </w:rPr>
        <w:t>17</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092210" w:rsidRPr="00384CAC">
        <w:rPr>
          <w:rFonts w:ascii="Times New Roman" w:hAnsi="Times New Roman"/>
          <w:szCs w:val="20"/>
          <w:lang w:eastAsia="de-DE"/>
        </w:rPr>
        <w:t>0</w:t>
      </w:r>
      <w:r w:rsidRPr="00384CAC">
        <w:rPr>
          <w:rFonts w:ascii="Times New Roman" w:hAnsi="Times New Roman"/>
          <w:szCs w:val="20"/>
          <w:lang w:eastAsia="de-DE"/>
        </w:rPr>
        <w:t>18</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CE3561" w:rsidRPr="00384CAC">
        <w:rPr>
          <w:rFonts w:ascii="Times New Roman" w:hAnsi="Times New Roman"/>
          <w:szCs w:val="20"/>
          <w:lang w:eastAsia="de-DE"/>
        </w:rPr>
        <w:t xml:space="preserve">and </w:t>
      </w:r>
      <w:r w:rsidR="00092210" w:rsidRPr="00384CAC">
        <w:rPr>
          <w:rFonts w:ascii="Times New Roman" w:hAnsi="Times New Roman"/>
          <w:szCs w:val="20"/>
          <w:lang w:eastAsia="de-DE"/>
        </w:rPr>
        <w:t>0</w:t>
      </w:r>
      <w:r w:rsidRPr="00384CAC">
        <w:rPr>
          <w:rFonts w:ascii="Times New Roman" w:hAnsi="Times New Roman"/>
          <w:szCs w:val="20"/>
          <w:lang w:eastAsia="de-DE"/>
        </w:rPr>
        <w:t>19</w:t>
      </w:r>
      <w:r w:rsidR="00092210" w:rsidRPr="00384CAC">
        <w:rPr>
          <w:rFonts w:ascii="Times New Roman" w:hAnsi="Times New Roman"/>
          <w:szCs w:val="20"/>
          <w:lang w:eastAsia="de-DE"/>
        </w:rPr>
        <w:t>0</w:t>
      </w:r>
      <w:r w:rsidRPr="00384CAC">
        <w:rPr>
          <w:rFonts w:ascii="Times New Roman" w:hAnsi="Times New Roman"/>
          <w:szCs w:val="20"/>
          <w:lang w:eastAsia="de-DE"/>
        </w:rPr>
        <w:t xml:space="preserve"> </w:t>
      </w:r>
      <w:r w:rsidR="0077022E" w:rsidRPr="00384CAC">
        <w:rPr>
          <w:rFonts w:ascii="Times New Roman" w:hAnsi="Times New Roman"/>
          <w:szCs w:val="20"/>
          <w:lang w:eastAsia="de-DE"/>
        </w:rPr>
        <w:t>shall</w:t>
      </w:r>
      <w:r w:rsidRPr="00384CAC">
        <w:rPr>
          <w:rFonts w:ascii="Times New Roman" w:hAnsi="Times New Roman"/>
          <w:szCs w:val="20"/>
          <w:lang w:eastAsia="de-DE"/>
        </w:rPr>
        <w:t xml:space="preserve"> be expressed in decimals</w:t>
      </w:r>
      <w:r w:rsidR="009C0FF0" w:rsidRPr="00384CAC">
        <w:rPr>
          <w:rFonts w:ascii="Times New Roman" w:hAnsi="Times New Roman"/>
          <w:szCs w:val="20"/>
          <w:lang w:eastAsia="de-DE"/>
        </w:rPr>
        <w:t xml:space="preserve"> with a minimum precision equivalent to four decimals</w:t>
      </w:r>
      <w:r w:rsidRPr="00384CAC">
        <w:rPr>
          <w:rFonts w:ascii="Times New Roman" w:hAnsi="Times New Roman"/>
          <w:szCs w:val="20"/>
          <w:lang w:eastAsia="de-DE"/>
        </w:rPr>
        <w:t>.</w:t>
      </w:r>
      <w:r w:rsidR="001C367F" w:rsidRPr="00384CAC">
        <w:rPr>
          <w:rFonts w:ascii="Times New Roman" w:hAnsi="Times New Roman"/>
          <w:szCs w:val="20"/>
          <w:lang w:eastAsia="de-DE"/>
        </w:rPr>
        <w:t xml:space="preserve"> </w:t>
      </w:r>
      <w:r w:rsidR="007C4FF0" w:rsidRPr="00384CAC">
        <w:rPr>
          <w:rFonts w:ascii="Times New Roman" w:hAnsi="Times New Roman"/>
          <w:szCs w:val="20"/>
          <w:lang w:eastAsia="de-DE"/>
        </w:rPr>
        <w:t>Where</w:t>
      </w:r>
      <w:r w:rsidR="001C367F" w:rsidRPr="00384CAC">
        <w:rPr>
          <w:rFonts w:ascii="Times New Roman" w:hAnsi="Times New Roman"/>
          <w:szCs w:val="20"/>
          <w:lang w:eastAsia="de-DE"/>
        </w:rPr>
        <w:t xml:space="preserve"> the </w:t>
      </w:r>
      <w:r w:rsidR="007C4FF0" w:rsidRPr="00384CAC">
        <w:rPr>
          <w:rFonts w:ascii="Times New Roman" w:hAnsi="Times New Roman"/>
          <w:szCs w:val="20"/>
          <w:lang w:eastAsia="de-DE"/>
        </w:rPr>
        <w:t xml:space="preserve">annual </w:t>
      </w:r>
      <w:r w:rsidR="001C367F" w:rsidRPr="00384CAC">
        <w:rPr>
          <w:rFonts w:ascii="Times New Roman" w:hAnsi="Times New Roman"/>
          <w:szCs w:val="20"/>
          <w:lang w:eastAsia="de-DE"/>
        </w:rPr>
        <w:t>GDP growth</w:t>
      </w:r>
      <w:r w:rsidR="00633E75">
        <w:rPr>
          <w:rFonts w:ascii="Times New Roman" w:hAnsi="Times New Roman"/>
          <w:szCs w:val="20"/>
          <w:lang w:eastAsia="de-DE"/>
        </w:rPr>
        <w:t xml:space="preserve"> or weights of scenario</w:t>
      </w:r>
      <w:r w:rsidR="001C367F" w:rsidRPr="00384CAC">
        <w:rPr>
          <w:rFonts w:ascii="Times New Roman" w:hAnsi="Times New Roman"/>
          <w:szCs w:val="20"/>
          <w:lang w:eastAsia="de-DE"/>
        </w:rPr>
        <w:t xml:space="preserve"> </w:t>
      </w:r>
      <w:r w:rsidR="00633E75">
        <w:rPr>
          <w:rFonts w:ascii="Times New Roman" w:hAnsi="Times New Roman"/>
          <w:szCs w:val="20"/>
          <w:lang w:eastAsia="de-DE"/>
        </w:rPr>
        <w:t>are</w:t>
      </w:r>
      <w:r w:rsidR="001C367F" w:rsidRPr="00384CAC">
        <w:rPr>
          <w:rFonts w:ascii="Times New Roman" w:hAnsi="Times New Roman"/>
          <w:szCs w:val="20"/>
          <w:lang w:eastAsia="de-DE"/>
        </w:rPr>
        <w:t xml:space="preserve"> estimated for aggregated geographical zones</w:t>
      </w:r>
      <w:r w:rsidR="009C0FF0" w:rsidRPr="00384CAC">
        <w:rPr>
          <w:rFonts w:ascii="Times New Roman" w:hAnsi="Times New Roman"/>
          <w:szCs w:val="20"/>
          <w:lang w:eastAsia="de-DE"/>
        </w:rPr>
        <w:t xml:space="preserve"> different from the ones referred to </w:t>
      </w:r>
      <w:r w:rsidR="00B57436" w:rsidRPr="00384CAC">
        <w:rPr>
          <w:rFonts w:ascii="Times New Roman" w:hAnsi="Times New Roman"/>
          <w:szCs w:val="20"/>
          <w:lang w:eastAsia="de-DE"/>
        </w:rPr>
        <w:t xml:space="preserve">in </w:t>
      </w:r>
      <w:r w:rsidR="009C0FF0" w:rsidRPr="00384CAC">
        <w:rPr>
          <w:rFonts w:ascii="Times New Roman" w:hAnsi="Times New Roman"/>
          <w:szCs w:val="20"/>
          <w:lang w:eastAsia="de-DE"/>
        </w:rPr>
        <w:t xml:space="preserve">column </w:t>
      </w:r>
      <w:r w:rsidR="003A709F" w:rsidRPr="00384CAC">
        <w:rPr>
          <w:rFonts w:ascii="Times New Roman" w:hAnsi="Times New Roman"/>
          <w:szCs w:val="20"/>
          <w:lang w:eastAsia="de-DE"/>
        </w:rPr>
        <w:t>0</w:t>
      </w:r>
      <w:r w:rsidR="009C0FF0" w:rsidRPr="00384CAC">
        <w:rPr>
          <w:rFonts w:ascii="Times New Roman" w:hAnsi="Times New Roman"/>
          <w:szCs w:val="20"/>
          <w:lang w:eastAsia="de-DE"/>
        </w:rPr>
        <w:t>010</w:t>
      </w:r>
      <w:r w:rsidR="001C367F" w:rsidRPr="00384CAC">
        <w:rPr>
          <w:rFonts w:ascii="Times New Roman" w:hAnsi="Times New Roman"/>
          <w:szCs w:val="20"/>
          <w:lang w:eastAsia="de-DE"/>
        </w:rPr>
        <w:t xml:space="preserve">, this estimation </w:t>
      </w:r>
      <w:r w:rsidR="0077022E" w:rsidRPr="00384CAC">
        <w:rPr>
          <w:rFonts w:ascii="Times New Roman" w:hAnsi="Times New Roman"/>
          <w:szCs w:val="20"/>
          <w:lang w:eastAsia="de-DE"/>
        </w:rPr>
        <w:t>shall</w:t>
      </w:r>
      <w:r w:rsidR="001C367F" w:rsidRPr="00384CAC">
        <w:rPr>
          <w:rFonts w:ascii="Times New Roman" w:hAnsi="Times New Roman"/>
          <w:szCs w:val="20"/>
          <w:lang w:eastAsia="de-DE"/>
        </w:rPr>
        <w:t xml:space="preserve"> be reported for each of the countries belonging to </w:t>
      </w:r>
      <w:r w:rsidR="007C4FF0" w:rsidRPr="00384CAC">
        <w:rPr>
          <w:rFonts w:ascii="Times New Roman" w:hAnsi="Times New Roman"/>
          <w:szCs w:val="20"/>
          <w:lang w:eastAsia="de-DE"/>
        </w:rPr>
        <w:t xml:space="preserve">the relevant </w:t>
      </w:r>
      <w:r w:rsidR="001C367F" w:rsidRPr="00384CAC">
        <w:rPr>
          <w:rFonts w:ascii="Times New Roman" w:hAnsi="Times New Roman"/>
          <w:szCs w:val="20"/>
          <w:lang w:eastAsia="de-DE"/>
        </w:rPr>
        <w:t>geographical zone</w:t>
      </w:r>
      <w:r w:rsidR="0040680C" w:rsidRPr="00384CAC">
        <w:rPr>
          <w:rFonts w:ascii="Times New Roman" w:hAnsi="Times New Roman"/>
          <w:szCs w:val="20"/>
          <w:lang w:eastAsia="de-DE"/>
        </w:rPr>
        <w:t xml:space="preserve"> and for each maturity bucket</w:t>
      </w:r>
      <w:r w:rsidR="001C367F" w:rsidRPr="00384CAC">
        <w:rPr>
          <w:rFonts w:ascii="Times New Roman" w:hAnsi="Times New Roman"/>
          <w:szCs w:val="20"/>
          <w:lang w:eastAsia="de-DE"/>
        </w:rPr>
        <w:t>.</w:t>
      </w:r>
      <w:r w:rsidR="00633E75">
        <w:rPr>
          <w:rFonts w:ascii="Times New Roman" w:hAnsi="Times New Roman"/>
          <w:szCs w:val="20"/>
          <w:lang w:eastAsia="de-DE"/>
        </w:rPr>
        <w:t xml:space="preserve"> </w:t>
      </w:r>
    </w:p>
    <w:p w14:paraId="7E8AD775" w14:textId="62FDADAD" w:rsidR="003A709F" w:rsidRPr="00384CAC" w:rsidRDefault="008C7B68" w:rsidP="002D44EC">
      <w:pPr>
        <w:rPr>
          <w:rStyle w:val="InstructionsTabelleText"/>
          <w:rFonts w:ascii="Times New Roman" w:hAnsi="Times New Roman"/>
          <w:szCs w:val="20"/>
        </w:rPr>
      </w:pPr>
      <w:r w:rsidRPr="00384CAC">
        <w:rPr>
          <w:rFonts w:ascii="Times New Roman" w:hAnsi="Times New Roman"/>
          <w:szCs w:val="20"/>
        </w:rPr>
        <w:t xml:space="preserve">Where </w:t>
      </w:r>
      <w:r w:rsidRPr="00384CAC">
        <w:rPr>
          <w:rFonts w:ascii="Times New Roman" w:hAnsi="Times New Roman"/>
          <w:bCs/>
          <w:szCs w:val="20"/>
        </w:rPr>
        <w:t xml:space="preserve">the </w:t>
      </w:r>
      <w:r w:rsidRPr="00384CAC">
        <w:rPr>
          <w:rFonts w:ascii="Times New Roman" w:hAnsi="Times New Roman"/>
          <w:szCs w:val="20"/>
        </w:rPr>
        <w:t>IFRS 9 model related to the obligor uses a higher number of economic scenarios than five, including when performing Monte Carlo simulation</w:t>
      </w:r>
      <w:r w:rsidR="003A709F" w:rsidRPr="00384CAC">
        <w:rPr>
          <w:rStyle w:val="InstructionsTabelleText"/>
          <w:rFonts w:ascii="Times New Roman" w:hAnsi="Times New Roman"/>
          <w:szCs w:val="20"/>
        </w:rPr>
        <w:t xml:space="preserve">, the template </w:t>
      </w:r>
      <w:r w:rsidR="009E10EE" w:rsidRPr="00384CAC">
        <w:rPr>
          <w:rStyle w:val="InstructionsTabelleText"/>
          <w:rFonts w:ascii="Times New Roman" w:hAnsi="Times New Roman"/>
          <w:szCs w:val="20"/>
        </w:rPr>
        <w:t>C11</w:t>
      </w:r>
      <w:r w:rsidR="00BF4EB1">
        <w:rPr>
          <w:rStyle w:val="InstructionsTabelleText"/>
          <w:rFonts w:ascii="Times New Roman" w:hAnsi="Times New Roman"/>
          <w:szCs w:val="20"/>
        </w:rPr>
        <w:t>8</w:t>
      </w:r>
      <w:r w:rsidR="003A709F" w:rsidRPr="00384CAC">
        <w:rPr>
          <w:rStyle w:val="InstructionsTabelleText"/>
          <w:rFonts w:ascii="Times New Roman" w:hAnsi="Times New Roman"/>
          <w:szCs w:val="20"/>
        </w:rPr>
        <w:t>.00 should not be populated.</w:t>
      </w:r>
    </w:p>
    <w:p w14:paraId="6DEA9551" w14:textId="4BAE3842" w:rsidR="00B55654" w:rsidRDefault="00451226" w:rsidP="002D44EC">
      <w:pPr>
        <w:rPr>
          <w:rStyle w:val="InstructionsTabelleText"/>
          <w:rFonts w:ascii="Times New Roman" w:hAnsi="Times New Roman"/>
          <w:szCs w:val="20"/>
        </w:rPr>
      </w:pPr>
      <w:r w:rsidRPr="00384CAC">
        <w:rPr>
          <w:rStyle w:val="InstructionsTabelleText"/>
          <w:rFonts w:ascii="Times New Roman" w:hAnsi="Times New Roman"/>
          <w:szCs w:val="20"/>
        </w:rPr>
        <w:t xml:space="preserve">In the case where the </w:t>
      </w:r>
      <w:r w:rsidR="00152099" w:rsidRPr="00384CAC">
        <w:rPr>
          <w:rStyle w:val="InstructionsTabelleText"/>
          <w:rFonts w:ascii="Times New Roman" w:hAnsi="Times New Roman"/>
          <w:szCs w:val="20"/>
        </w:rPr>
        <w:t>weights for all the economic scenarios of a given country</w:t>
      </w:r>
      <w:r w:rsidRPr="00384CAC">
        <w:rPr>
          <w:rStyle w:val="InstructionsTabelleText"/>
          <w:rFonts w:ascii="Times New Roman" w:hAnsi="Times New Roman"/>
          <w:szCs w:val="20"/>
        </w:rPr>
        <w:t xml:space="preserve"> are the same over the different time horizon</w:t>
      </w:r>
      <w:r w:rsidR="00C61637">
        <w:rPr>
          <w:rStyle w:val="InstructionsTabelleText"/>
          <w:rFonts w:ascii="Times New Roman" w:hAnsi="Times New Roman"/>
          <w:szCs w:val="20"/>
        </w:rPr>
        <w:t>s</w:t>
      </w:r>
      <w:r w:rsidRPr="00384CAC">
        <w:rPr>
          <w:rStyle w:val="InstructionsTabelleText"/>
          <w:rFonts w:ascii="Times New Roman" w:hAnsi="Times New Roman"/>
          <w:szCs w:val="20"/>
        </w:rPr>
        <w:t>,</w:t>
      </w:r>
      <w:r w:rsidR="00152099" w:rsidRPr="00384CAC">
        <w:rPr>
          <w:rStyle w:val="InstructionsTabelleText"/>
          <w:rFonts w:ascii="Times New Roman" w:hAnsi="Times New Roman"/>
          <w:szCs w:val="20"/>
        </w:rPr>
        <w:t xml:space="preserve"> the columns 201 to 209 </w:t>
      </w:r>
      <w:r w:rsidRPr="00384CAC">
        <w:rPr>
          <w:rStyle w:val="InstructionsTabelleText"/>
          <w:rFonts w:ascii="Times New Roman" w:hAnsi="Times New Roman"/>
          <w:szCs w:val="20"/>
        </w:rPr>
        <w:t>may</w:t>
      </w:r>
      <w:r w:rsidR="00152099" w:rsidRPr="00384CAC">
        <w:rPr>
          <w:rStyle w:val="InstructionsTabelleText"/>
          <w:rFonts w:ascii="Times New Roman" w:hAnsi="Times New Roman"/>
          <w:szCs w:val="20"/>
        </w:rPr>
        <w:t xml:space="preserve"> be left blan</w:t>
      </w:r>
      <w:r w:rsidRPr="00384CAC">
        <w:rPr>
          <w:rStyle w:val="InstructionsTabelleText"/>
          <w:rFonts w:ascii="Times New Roman" w:hAnsi="Times New Roman"/>
          <w:szCs w:val="20"/>
        </w:rPr>
        <w:t>k</w:t>
      </w:r>
      <w:r w:rsidR="00152099" w:rsidRPr="00384CAC">
        <w:rPr>
          <w:rStyle w:val="InstructionsTabelleText"/>
          <w:rFonts w:ascii="Times New Roman" w:hAnsi="Times New Roman"/>
          <w:szCs w:val="20"/>
        </w:rPr>
        <w:t>.</w:t>
      </w:r>
    </w:p>
    <w:p w14:paraId="4047F224" w14:textId="32812016" w:rsidR="007D628B" w:rsidRPr="00256C82" w:rsidRDefault="007D628B" w:rsidP="00256C82">
      <w:pPr>
        <w:rPr>
          <w:rFonts w:ascii="Times New Roman" w:hAnsi="Times New Roman"/>
          <w:szCs w:val="20"/>
          <w:lang w:eastAsia="de-DE"/>
        </w:rPr>
      </w:pPr>
      <w:r w:rsidRPr="00256C82">
        <w:rPr>
          <w:rFonts w:ascii="Times New Roman" w:hAnsi="Times New Roman"/>
          <w:szCs w:val="20"/>
          <w:lang w:eastAsia="de-DE"/>
        </w:rPr>
        <w:t>When different ECL approaches envisaging different number of scenarios and weight</w:t>
      </w:r>
      <w:r w:rsidR="00B34491" w:rsidRPr="00256C82">
        <w:rPr>
          <w:rFonts w:ascii="Times New Roman" w:hAnsi="Times New Roman"/>
          <w:szCs w:val="20"/>
          <w:lang w:eastAsia="de-DE"/>
        </w:rPr>
        <w:t>s are used,</w:t>
      </w:r>
      <w:r w:rsidRPr="00256C82">
        <w:rPr>
          <w:rFonts w:ascii="Times New Roman" w:hAnsi="Times New Roman"/>
          <w:szCs w:val="20"/>
          <w:lang w:eastAsia="de-DE"/>
        </w:rPr>
        <w:t xml:space="preserve"> institutions shall report the information </w:t>
      </w:r>
      <w:r w:rsidR="00FE19F6" w:rsidRPr="00256C82">
        <w:rPr>
          <w:rFonts w:ascii="Times New Roman" w:hAnsi="Times New Roman"/>
          <w:szCs w:val="20"/>
          <w:lang w:eastAsia="de-DE"/>
        </w:rPr>
        <w:t>using</w:t>
      </w:r>
      <w:r w:rsidRPr="00256C82">
        <w:rPr>
          <w:rFonts w:ascii="Times New Roman" w:hAnsi="Times New Roman"/>
          <w:szCs w:val="20"/>
          <w:lang w:eastAsia="de-DE"/>
        </w:rPr>
        <w:t xml:space="preserve"> the number of economic scenarios and weights that accounts for the largest share of exposures </w:t>
      </w:r>
      <w:r w:rsidR="00EB062A" w:rsidRPr="00256C82">
        <w:rPr>
          <w:rFonts w:ascii="Times New Roman" w:hAnsi="Times New Roman"/>
          <w:szCs w:val="20"/>
          <w:lang w:eastAsia="de-DE"/>
        </w:rPr>
        <w:t>of the most relevant ECL approach used</w:t>
      </w:r>
      <w:r w:rsidRPr="00256C82">
        <w:rPr>
          <w:rFonts w:ascii="Times New Roman" w:hAnsi="Times New Roman"/>
          <w:szCs w:val="20"/>
          <w:lang w:eastAsia="de-DE"/>
        </w:rPr>
        <w:t>. Institutions shall map the economic scenarios of the different exposures on a best effort basis based on their ranking of severity.</w:t>
      </w:r>
      <w:r w:rsidR="00A12FC1" w:rsidRPr="00256C82">
        <w:rPr>
          <w:rFonts w:ascii="Times New Roman" w:hAnsi="Times New Roman"/>
          <w:szCs w:val="20"/>
          <w:lang w:eastAsia="de-DE"/>
        </w:rPr>
        <w:t xml:space="preserve"> The total exposure to be considered shall correspond to the sum of the amounts reported respectively in</w:t>
      </w:r>
      <w:r w:rsidR="00CB2316" w:rsidRPr="00256C82">
        <w:rPr>
          <w:rFonts w:ascii="Times New Roman" w:hAnsi="Times New Roman"/>
          <w:szCs w:val="20"/>
          <w:lang w:eastAsia="de-DE"/>
        </w:rPr>
        <w:t xml:space="preserve"> Annex </w:t>
      </w:r>
      <w:r w:rsidR="007459E6" w:rsidRPr="00256C82">
        <w:rPr>
          <w:rFonts w:ascii="Times New Roman" w:hAnsi="Times New Roman"/>
          <w:szCs w:val="20"/>
          <w:lang w:eastAsia="de-DE"/>
        </w:rPr>
        <w:t>VIII</w:t>
      </w:r>
      <w:r w:rsidR="00CB2316" w:rsidRPr="00256C82">
        <w:rPr>
          <w:rFonts w:ascii="Times New Roman" w:hAnsi="Times New Roman"/>
          <w:szCs w:val="20"/>
          <w:lang w:eastAsia="de-DE"/>
        </w:rPr>
        <w:t xml:space="preserve">, template C.115.00, </w:t>
      </w:r>
      <w:r w:rsidR="00A12FC1" w:rsidRPr="00256C82">
        <w:rPr>
          <w:rFonts w:ascii="Times New Roman" w:hAnsi="Times New Roman"/>
          <w:szCs w:val="20"/>
          <w:lang w:eastAsia="de-DE"/>
        </w:rPr>
        <w:t xml:space="preserve">column 0050 (stage 1 facilities), column 0051 (stage 2 facilities) and column 0052 (stage 3 facilities).  </w:t>
      </w:r>
    </w:p>
    <w:p w14:paraId="75B12207" w14:textId="77777777" w:rsidR="007D628B" w:rsidRPr="00256C82" w:rsidRDefault="007D628B" w:rsidP="002D44EC">
      <w:pPr>
        <w:rPr>
          <w:rFonts w:ascii="Times New Roman" w:hAnsi="Times New Roman"/>
          <w:szCs w:val="20"/>
          <w:lang w:eastAsia="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384CAC" w:rsidRPr="00384CAC" w14:paraId="78CE6CEB" w14:textId="77777777" w:rsidTr="008E6DB3">
        <w:trPr>
          <w:tblHeader/>
        </w:trPr>
        <w:tc>
          <w:tcPr>
            <w:tcW w:w="993" w:type="dxa"/>
            <w:shd w:val="clear" w:color="auto" w:fill="D9D9D9" w:themeFill="background1" w:themeFillShade="D9"/>
          </w:tcPr>
          <w:p w14:paraId="75817EFA" w14:textId="77777777" w:rsidR="00807CFF" w:rsidRPr="00384CAC" w:rsidRDefault="00807CFF" w:rsidP="007C72BB">
            <w:pPr>
              <w:rPr>
                <w:rFonts w:ascii="Times New Roman" w:hAnsi="Times New Roman"/>
                <w:szCs w:val="20"/>
                <w:lang w:eastAsia="de-DE"/>
              </w:rPr>
            </w:pPr>
            <w:r w:rsidRPr="00384CAC">
              <w:rPr>
                <w:rFonts w:ascii="Times New Roman" w:hAnsi="Times New Roman"/>
                <w:szCs w:val="20"/>
                <w:lang w:eastAsia="de-DE"/>
              </w:rPr>
              <w:t>Column</w:t>
            </w:r>
          </w:p>
        </w:tc>
        <w:tc>
          <w:tcPr>
            <w:tcW w:w="1701" w:type="dxa"/>
            <w:shd w:val="clear" w:color="auto" w:fill="D9D9D9" w:themeFill="background1" w:themeFillShade="D9"/>
          </w:tcPr>
          <w:p w14:paraId="03F13D1A" w14:textId="77777777" w:rsidR="00807CFF" w:rsidRPr="00384CAC" w:rsidRDefault="00807CFF" w:rsidP="007C72BB">
            <w:pPr>
              <w:rPr>
                <w:rStyle w:val="InstructionsTabelleText"/>
                <w:rFonts w:ascii="Times New Roman" w:hAnsi="Times New Roman"/>
                <w:bCs/>
                <w:szCs w:val="20"/>
              </w:rPr>
            </w:pPr>
            <w:r w:rsidRPr="00384CAC">
              <w:rPr>
                <w:rStyle w:val="InstructionsTabelleText"/>
                <w:rFonts w:ascii="Times New Roman" w:hAnsi="Times New Roman"/>
                <w:szCs w:val="20"/>
              </w:rPr>
              <w:t>Label</w:t>
            </w:r>
          </w:p>
        </w:tc>
        <w:tc>
          <w:tcPr>
            <w:tcW w:w="1842" w:type="dxa"/>
            <w:shd w:val="clear" w:color="auto" w:fill="D9D9D9" w:themeFill="background1" w:themeFillShade="D9"/>
          </w:tcPr>
          <w:p w14:paraId="58C1C0B9" w14:textId="77777777" w:rsidR="00807CFF" w:rsidRPr="00384CAC" w:rsidRDefault="00807CFF" w:rsidP="007C72BB">
            <w:pPr>
              <w:rPr>
                <w:rFonts w:ascii="Times New Roman" w:hAnsi="Times New Roman"/>
                <w:szCs w:val="20"/>
                <w:lang w:eastAsia="de-DE"/>
              </w:rPr>
            </w:pPr>
            <w:r w:rsidRPr="00384CAC">
              <w:rPr>
                <w:rFonts w:ascii="Times New Roman" w:hAnsi="Times New Roman"/>
                <w:szCs w:val="20"/>
                <w:lang w:eastAsia="de-DE"/>
              </w:rPr>
              <w:t>Legal reference</w:t>
            </w:r>
          </w:p>
        </w:tc>
        <w:tc>
          <w:tcPr>
            <w:tcW w:w="9781" w:type="dxa"/>
            <w:shd w:val="clear" w:color="auto" w:fill="D9D9D9" w:themeFill="background1" w:themeFillShade="D9"/>
          </w:tcPr>
          <w:p w14:paraId="1C0B4E7A" w14:textId="77777777" w:rsidR="00807CFF" w:rsidRPr="00384CAC" w:rsidRDefault="00807CFF" w:rsidP="007C72BB">
            <w:pPr>
              <w:rPr>
                <w:rFonts w:ascii="Times New Roman" w:hAnsi="Times New Roman"/>
                <w:szCs w:val="20"/>
                <w:lang w:eastAsia="de-DE"/>
              </w:rPr>
            </w:pPr>
            <w:r w:rsidRPr="00384CAC">
              <w:rPr>
                <w:rFonts w:ascii="Times New Roman" w:hAnsi="Times New Roman"/>
                <w:szCs w:val="20"/>
                <w:lang w:eastAsia="de-DE"/>
              </w:rPr>
              <w:t>Instructions</w:t>
            </w:r>
          </w:p>
        </w:tc>
      </w:tr>
      <w:tr w:rsidR="00384CAC" w:rsidRPr="00384CAC" w14:paraId="114F50DE" w14:textId="77777777" w:rsidTr="00511C07">
        <w:tc>
          <w:tcPr>
            <w:tcW w:w="993" w:type="dxa"/>
            <w:shd w:val="clear" w:color="auto" w:fill="auto"/>
          </w:tcPr>
          <w:p w14:paraId="223561F8" w14:textId="0F4F3FB3" w:rsidR="00AF42F9"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AF42F9" w:rsidRPr="00384CAC">
              <w:rPr>
                <w:rStyle w:val="InstructionsTabelleText"/>
                <w:rFonts w:ascii="Times New Roman" w:hAnsi="Times New Roman"/>
                <w:szCs w:val="20"/>
              </w:rPr>
              <w:t>010</w:t>
            </w:r>
          </w:p>
        </w:tc>
        <w:tc>
          <w:tcPr>
            <w:tcW w:w="1701" w:type="dxa"/>
            <w:shd w:val="clear" w:color="auto" w:fill="auto"/>
          </w:tcPr>
          <w:p w14:paraId="74FC1E76" w14:textId="5E184390" w:rsidR="00AF42F9" w:rsidRPr="00384CAC" w:rsidRDefault="00652C48" w:rsidP="007C72BB">
            <w:pPr>
              <w:rPr>
                <w:rStyle w:val="InstructionsTabelleText"/>
                <w:rFonts w:ascii="Times New Roman" w:hAnsi="Times New Roman"/>
                <w:bCs/>
                <w:szCs w:val="20"/>
              </w:rPr>
            </w:pPr>
            <w:r w:rsidRPr="00384CAC">
              <w:rPr>
                <w:rStyle w:val="InstructionsTabelleText"/>
                <w:rFonts w:ascii="Times New Roman" w:hAnsi="Times New Roman"/>
                <w:szCs w:val="20"/>
              </w:rPr>
              <w:t>GDP Area</w:t>
            </w:r>
            <w:r w:rsidR="00AF42F9" w:rsidRPr="00384CAC">
              <w:rPr>
                <w:rStyle w:val="InstructionsTabelleText"/>
                <w:rFonts w:ascii="Times New Roman" w:hAnsi="Times New Roman"/>
                <w:szCs w:val="20"/>
              </w:rPr>
              <w:t xml:space="preserve"> Code</w:t>
            </w:r>
          </w:p>
        </w:tc>
        <w:tc>
          <w:tcPr>
            <w:tcW w:w="1842" w:type="dxa"/>
            <w:shd w:val="clear" w:color="auto" w:fill="auto"/>
          </w:tcPr>
          <w:p w14:paraId="07299DFD" w14:textId="77777777" w:rsidR="00AF42F9" w:rsidRPr="00384CAC" w:rsidRDefault="00AF42F9" w:rsidP="007C72BB">
            <w:pPr>
              <w:rPr>
                <w:rStyle w:val="InstructionsTabelleText"/>
                <w:rFonts w:ascii="Times New Roman" w:hAnsi="Times New Roman"/>
                <w:bCs/>
                <w:szCs w:val="20"/>
              </w:rPr>
            </w:pPr>
          </w:p>
        </w:tc>
        <w:tc>
          <w:tcPr>
            <w:tcW w:w="9781" w:type="dxa"/>
            <w:shd w:val="clear" w:color="auto" w:fill="auto"/>
          </w:tcPr>
          <w:p w14:paraId="407965AB" w14:textId="77FABB36" w:rsidR="00E62F51" w:rsidRPr="00384CAC" w:rsidRDefault="00E62F51" w:rsidP="007C72BB">
            <w:pPr>
              <w:rPr>
                <w:rStyle w:val="InstructionsTabelleText"/>
                <w:rFonts w:ascii="Times New Roman" w:hAnsi="Times New Roman"/>
                <w:szCs w:val="20"/>
              </w:rPr>
            </w:pPr>
            <w:r w:rsidRPr="00384CAC">
              <w:rPr>
                <w:rStyle w:val="InstructionsTabelleText"/>
                <w:rFonts w:ascii="Times New Roman" w:hAnsi="Times New Roman"/>
                <w:szCs w:val="20"/>
              </w:rPr>
              <w:t xml:space="preserve">The list of areas identified in </w:t>
            </w:r>
            <w:r w:rsidR="0017624F" w:rsidRPr="006B5ABD">
              <w:rPr>
                <w:rFonts w:ascii="Times New Roman" w:hAnsi="Times New Roman"/>
                <w:szCs w:val="20"/>
              </w:rPr>
              <w:t>this Annex</w:t>
            </w:r>
            <w:r w:rsidR="0017624F">
              <w:rPr>
                <w:rFonts w:ascii="Times New Roman" w:hAnsi="Times New Roman"/>
                <w:szCs w:val="20"/>
              </w:rPr>
              <w:t xml:space="preserve">, </w:t>
            </w:r>
            <w:r w:rsidR="0017624F" w:rsidRPr="006B5ABD">
              <w:rPr>
                <w:rStyle w:val="InstructionsTabelleText"/>
                <w:rFonts w:ascii="Times New Roman" w:hAnsi="Times New Roman"/>
                <w:szCs w:val="20"/>
              </w:rPr>
              <w:t xml:space="preserve">template </w:t>
            </w:r>
            <w:r w:rsidR="0017624F" w:rsidRPr="006B5ABD">
              <w:rPr>
                <w:rFonts w:ascii="Times New Roman" w:hAnsi="Times New Roman"/>
                <w:szCs w:val="20"/>
              </w:rPr>
              <w:t>C.115.00</w:t>
            </w:r>
            <w:r w:rsidR="0017624F">
              <w:rPr>
                <w:rFonts w:ascii="Times New Roman" w:hAnsi="Times New Roman"/>
                <w:szCs w:val="20"/>
              </w:rPr>
              <w:t>,</w:t>
            </w:r>
            <w:r w:rsidR="0017624F" w:rsidRPr="006B5ABD">
              <w:rPr>
                <w:rStyle w:val="InstructionsTabelleText"/>
                <w:rFonts w:ascii="Times New Roman" w:hAnsi="Times New Roman"/>
                <w:szCs w:val="20"/>
              </w:rPr>
              <w:t xml:space="preserve"> </w:t>
            </w:r>
            <w:r w:rsidRPr="00384CAC">
              <w:rPr>
                <w:rStyle w:val="InstructionsTabelleText"/>
                <w:rFonts w:ascii="Times New Roman" w:hAnsi="Times New Roman"/>
                <w:szCs w:val="20"/>
              </w:rPr>
              <w:t xml:space="preserve">column </w:t>
            </w:r>
            <w:r w:rsidR="00D43722" w:rsidRPr="00384CAC">
              <w:rPr>
                <w:rStyle w:val="InstructionsTabelleText"/>
                <w:rFonts w:ascii="Times New Roman" w:hAnsi="Times New Roman"/>
                <w:szCs w:val="20"/>
              </w:rPr>
              <w:t>00</w:t>
            </w:r>
            <w:r w:rsidR="00D43722">
              <w:rPr>
                <w:rStyle w:val="InstructionsTabelleText"/>
                <w:rFonts w:ascii="Times New Roman" w:hAnsi="Times New Roman"/>
                <w:szCs w:val="20"/>
              </w:rPr>
              <w:t>45</w:t>
            </w:r>
            <w:r w:rsidR="00BD7C06" w:rsidRPr="00384CAC">
              <w:rPr>
                <w:rStyle w:val="InstructionsTabelleText"/>
                <w:rFonts w:ascii="Times New Roman" w:hAnsi="Times New Roman"/>
                <w:szCs w:val="20"/>
              </w:rPr>
              <w:t>.</w:t>
            </w:r>
          </w:p>
          <w:p w14:paraId="7DB7DABC" w14:textId="716F4F4D" w:rsidR="0086264B" w:rsidRPr="002844C0" w:rsidRDefault="00010900" w:rsidP="007C72BB">
            <w:pPr>
              <w:rPr>
                <w:rFonts w:ascii="Times New Roman" w:hAnsi="Times New Roman"/>
                <w:szCs w:val="20"/>
                <w:lang w:eastAsia="de-DE"/>
              </w:rPr>
            </w:pPr>
            <w:r w:rsidRPr="002844C0">
              <w:rPr>
                <w:rStyle w:val="InstructionsTabelleText"/>
                <w:rFonts w:ascii="Times New Roman" w:hAnsi="Times New Roman"/>
                <w:szCs w:val="20"/>
              </w:rPr>
              <w:t xml:space="preserve">Columns </w:t>
            </w:r>
            <w:r w:rsidR="007F7240" w:rsidRPr="002844C0">
              <w:rPr>
                <w:rStyle w:val="InstructionsTabelleText"/>
                <w:rFonts w:ascii="Times New Roman" w:hAnsi="Times New Roman"/>
                <w:szCs w:val="20"/>
              </w:rPr>
              <w:t>0</w:t>
            </w:r>
            <w:r w:rsidRPr="002844C0">
              <w:rPr>
                <w:rStyle w:val="InstructionsTabelleText"/>
                <w:rFonts w:ascii="Times New Roman" w:hAnsi="Times New Roman"/>
                <w:szCs w:val="20"/>
              </w:rPr>
              <w:t xml:space="preserve">010 and </w:t>
            </w:r>
            <w:r w:rsidR="007F7240" w:rsidRPr="002844C0">
              <w:rPr>
                <w:rStyle w:val="InstructionsTabelleText"/>
                <w:rFonts w:ascii="Times New Roman" w:hAnsi="Times New Roman"/>
                <w:szCs w:val="20"/>
              </w:rPr>
              <w:t>0</w:t>
            </w:r>
            <w:r w:rsidRPr="002844C0">
              <w:rPr>
                <w:rStyle w:val="InstructionsTabelleText"/>
                <w:rFonts w:ascii="Times New Roman" w:hAnsi="Times New Roman"/>
                <w:szCs w:val="20"/>
              </w:rPr>
              <w:t>020 are a composite row identifier and together shall be unique for each row in the table.</w:t>
            </w:r>
          </w:p>
        </w:tc>
      </w:tr>
      <w:tr w:rsidR="00384CAC" w:rsidRPr="00384CAC" w14:paraId="194C2C2E" w14:textId="77777777" w:rsidTr="00511C07">
        <w:tc>
          <w:tcPr>
            <w:tcW w:w="993" w:type="dxa"/>
            <w:shd w:val="clear" w:color="auto" w:fill="auto"/>
          </w:tcPr>
          <w:p w14:paraId="005A41B0" w14:textId="5E32082E" w:rsidR="00010900"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010900" w:rsidRPr="00384CAC">
              <w:rPr>
                <w:rStyle w:val="InstructionsTabelleText"/>
                <w:rFonts w:ascii="Times New Roman" w:hAnsi="Times New Roman"/>
                <w:szCs w:val="20"/>
              </w:rPr>
              <w:t>020</w:t>
            </w:r>
          </w:p>
        </w:tc>
        <w:tc>
          <w:tcPr>
            <w:tcW w:w="1701" w:type="dxa"/>
            <w:shd w:val="clear" w:color="auto" w:fill="auto"/>
          </w:tcPr>
          <w:p w14:paraId="2196BEF4" w14:textId="338EA224" w:rsidR="00010900" w:rsidRPr="00384CAC" w:rsidRDefault="0086264B" w:rsidP="007C72BB">
            <w:pPr>
              <w:rPr>
                <w:rStyle w:val="InstructionsTabelleText"/>
                <w:rFonts w:ascii="Times New Roman" w:hAnsi="Times New Roman"/>
                <w:bCs/>
                <w:szCs w:val="20"/>
              </w:rPr>
            </w:pPr>
            <w:r w:rsidRPr="00384CAC">
              <w:rPr>
                <w:rStyle w:val="InstructionsTabelleText"/>
                <w:rFonts w:ascii="Times New Roman" w:hAnsi="Times New Roman"/>
                <w:szCs w:val="20"/>
              </w:rPr>
              <w:t>Economic scenario ID</w:t>
            </w:r>
          </w:p>
        </w:tc>
        <w:tc>
          <w:tcPr>
            <w:tcW w:w="1842" w:type="dxa"/>
            <w:shd w:val="clear" w:color="auto" w:fill="auto"/>
          </w:tcPr>
          <w:p w14:paraId="1AE48511" w14:textId="688B4704" w:rsidR="00010900" w:rsidRPr="00384CAC" w:rsidRDefault="00CF46B8" w:rsidP="007C72BB">
            <w:pPr>
              <w:rPr>
                <w:rStyle w:val="InstructionsTabelleText"/>
                <w:rFonts w:ascii="Times New Roman" w:hAnsi="Times New Roman"/>
                <w:bCs/>
                <w:szCs w:val="20"/>
              </w:rPr>
            </w:pPr>
            <w:r w:rsidRPr="00384CAC">
              <w:rPr>
                <w:rStyle w:val="InstructionsTabelleText"/>
                <w:rFonts w:ascii="Times New Roman" w:hAnsi="Times New Roman"/>
                <w:szCs w:val="20"/>
              </w:rPr>
              <w:t>IFRS 9</w:t>
            </w:r>
            <w:r w:rsidR="00F718EA" w:rsidRPr="00384CAC">
              <w:rPr>
                <w:rStyle w:val="InstructionsTabelleText"/>
                <w:rFonts w:ascii="Times New Roman" w:hAnsi="Times New Roman"/>
                <w:szCs w:val="20"/>
              </w:rPr>
              <w:t>.</w:t>
            </w:r>
            <w:r w:rsidRPr="00384CAC">
              <w:rPr>
                <w:rStyle w:val="InstructionsTabelleText"/>
                <w:rFonts w:ascii="Times New Roman" w:hAnsi="Times New Roman"/>
                <w:szCs w:val="20"/>
              </w:rPr>
              <w:t>5.5.17(a)</w:t>
            </w:r>
          </w:p>
          <w:p w14:paraId="0EFB9638" w14:textId="42305B11" w:rsidR="00CF46B8" w:rsidRPr="00384CAC" w:rsidRDefault="00CF46B8" w:rsidP="007C72BB">
            <w:pPr>
              <w:rPr>
                <w:rStyle w:val="InstructionsTabelleText"/>
                <w:rFonts w:ascii="Times New Roman" w:hAnsi="Times New Roman"/>
                <w:bCs/>
                <w:szCs w:val="20"/>
              </w:rPr>
            </w:pPr>
            <w:r w:rsidRPr="00384CAC">
              <w:rPr>
                <w:rStyle w:val="InstructionsTabelleText"/>
                <w:rFonts w:ascii="Times New Roman" w:hAnsi="Times New Roman"/>
                <w:szCs w:val="20"/>
              </w:rPr>
              <w:t>IFRS 9</w:t>
            </w:r>
            <w:r w:rsidR="00F718EA" w:rsidRPr="00384CAC">
              <w:rPr>
                <w:rStyle w:val="InstructionsTabelleText"/>
                <w:rFonts w:ascii="Times New Roman" w:hAnsi="Times New Roman"/>
                <w:szCs w:val="20"/>
              </w:rPr>
              <w:t>.</w:t>
            </w:r>
            <w:r w:rsidRPr="00384CAC">
              <w:rPr>
                <w:rStyle w:val="InstructionsTabelleText"/>
                <w:rFonts w:ascii="Times New Roman" w:hAnsi="Times New Roman"/>
                <w:szCs w:val="20"/>
              </w:rPr>
              <w:t>5.5.18</w:t>
            </w:r>
          </w:p>
          <w:p w14:paraId="3BC4293F" w14:textId="54226342" w:rsidR="00CF46B8" w:rsidRPr="00384CAC" w:rsidRDefault="00CF46B8" w:rsidP="007C72BB">
            <w:pPr>
              <w:rPr>
                <w:rStyle w:val="InstructionsTabelleText"/>
                <w:rFonts w:ascii="Times New Roman" w:hAnsi="Times New Roman"/>
                <w:bCs/>
                <w:szCs w:val="20"/>
              </w:rPr>
            </w:pPr>
            <w:r w:rsidRPr="00384CAC">
              <w:rPr>
                <w:rStyle w:val="InstructionsTabelleText"/>
                <w:rFonts w:ascii="Times New Roman" w:hAnsi="Times New Roman"/>
                <w:szCs w:val="20"/>
              </w:rPr>
              <w:t>IFRS 9</w:t>
            </w:r>
            <w:r w:rsidR="00F718EA" w:rsidRPr="00384CAC">
              <w:rPr>
                <w:rStyle w:val="InstructionsTabelleText"/>
                <w:rFonts w:ascii="Times New Roman" w:hAnsi="Times New Roman"/>
                <w:szCs w:val="20"/>
              </w:rPr>
              <w:t>.</w:t>
            </w:r>
            <w:r w:rsidRPr="00384CAC">
              <w:rPr>
                <w:rStyle w:val="InstructionsTabelleText"/>
                <w:rFonts w:ascii="Times New Roman" w:hAnsi="Times New Roman"/>
                <w:szCs w:val="20"/>
              </w:rPr>
              <w:t>B5.5.41</w:t>
            </w:r>
          </w:p>
          <w:p w14:paraId="2F284B18" w14:textId="4646AAC6" w:rsidR="00CF46B8" w:rsidRPr="00384CAC" w:rsidRDefault="00CF46B8" w:rsidP="007C72BB">
            <w:pPr>
              <w:rPr>
                <w:rStyle w:val="InstructionsTabelleText"/>
                <w:rFonts w:ascii="Times New Roman" w:hAnsi="Times New Roman"/>
                <w:bCs/>
                <w:szCs w:val="20"/>
              </w:rPr>
            </w:pPr>
            <w:r w:rsidRPr="00384CAC">
              <w:rPr>
                <w:rStyle w:val="InstructionsTabelleText"/>
                <w:rFonts w:ascii="Times New Roman" w:hAnsi="Times New Roman"/>
                <w:szCs w:val="20"/>
              </w:rPr>
              <w:t>IFRS 9</w:t>
            </w:r>
            <w:r w:rsidR="00F718EA" w:rsidRPr="00384CAC">
              <w:rPr>
                <w:rStyle w:val="InstructionsTabelleText"/>
                <w:rFonts w:ascii="Times New Roman" w:hAnsi="Times New Roman"/>
                <w:szCs w:val="20"/>
              </w:rPr>
              <w:t>.</w:t>
            </w:r>
            <w:r w:rsidRPr="00384CAC">
              <w:rPr>
                <w:rStyle w:val="InstructionsTabelleText"/>
                <w:rFonts w:ascii="Times New Roman" w:hAnsi="Times New Roman"/>
                <w:szCs w:val="20"/>
              </w:rPr>
              <w:t>B5.5.42</w:t>
            </w:r>
          </w:p>
        </w:tc>
        <w:tc>
          <w:tcPr>
            <w:tcW w:w="9781" w:type="dxa"/>
            <w:shd w:val="clear" w:color="auto" w:fill="auto"/>
          </w:tcPr>
          <w:p w14:paraId="37D59F47" w14:textId="41BF0AD8" w:rsidR="00010900" w:rsidRPr="00384CAC" w:rsidRDefault="0086264B" w:rsidP="00CE3561">
            <w:pPr>
              <w:rPr>
                <w:rFonts w:ascii="Times New Roman" w:hAnsi="Times New Roman"/>
                <w:szCs w:val="20"/>
                <w:lang w:eastAsia="de-DE"/>
              </w:rPr>
            </w:pPr>
            <w:r w:rsidRPr="00384CAC">
              <w:rPr>
                <w:rStyle w:val="InstructionsTabelleText"/>
                <w:rFonts w:ascii="Times New Roman" w:hAnsi="Times New Roman"/>
                <w:szCs w:val="20"/>
              </w:rPr>
              <w:t xml:space="preserve">The instructions provided in </w:t>
            </w:r>
            <w:r w:rsidR="00CE3561" w:rsidRPr="00384CAC">
              <w:rPr>
                <w:rStyle w:val="InstructionsTabelleText"/>
                <w:rFonts w:ascii="Times New Roman" w:hAnsi="Times New Roman"/>
                <w:szCs w:val="20"/>
              </w:rPr>
              <w:t xml:space="preserve">this </w:t>
            </w:r>
            <w:r w:rsidR="00B0116D" w:rsidRPr="00384CAC">
              <w:rPr>
                <w:rStyle w:val="InstructionsTabelleText"/>
                <w:rFonts w:ascii="Times New Roman" w:hAnsi="Times New Roman"/>
                <w:szCs w:val="20"/>
              </w:rPr>
              <w:t>A</w:t>
            </w:r>
            <w:r w:rsidRPr="00384CAC">
              <w:rPr>
                <w:rStyle w:val="InstructionsTabelleText"/>
                <w:rFonts w:ascii="Times New Roman" w:hAnsi="Times New Roman"/>
                <w:szCs w:val="20"/>
              </w:rPr>
              <w:t>nnex for column 0</w:t>
            </w:r>
            <w:r w:rsidR="007F7240" w:rsidRPr="00384CAC">
              <w:rPr>
                <w:rStyle w:val="InstructionsTabelleText"/>
                <w:rFonts w:ascii="Times New Roman" w:hAnsi="Times New Roman"/>
                <w:szCs w:val="20"/>
              </w:rPr>
              <w:t>0</w:t>
            </w:r>
            <w:r w:rsidRPr="00384CAC">
              <w:rPr>
                <w:rStyle w:val="InstructionsTabelleText"/>
                <w:rFonts w:ascii="Times New Roman" w:hAnsi="Times New Roman"/>
                <w:szCs w:val="20"/>
              </w:rPr>
              <w:t xml:space="preserve">20 of </w:t>
            </w:r>
            <w:r w:rsidR="00D43722" w:rsidRPr="00384CAC">
              <w:rPr>
                <w:rStyle w:val="InstructionsTabelleText"/>
                <w:rFonts w:ascii="Times New Roman" w:hAnsi="Times New Roman"/>
                <w:szCs w:val="20"/>
              </w:rPr>
              <w:t>C11</w:t>
            </w:r>
            <w:r w:rsidR="00D43722">
              <w:rPr>
                <w:rStyle w:val="InstructionsTabelleText"/>
                <w:rFonts w:ascii="Times New Roman" w:hAnsi="Times New Roman"/>
                <w:szCs w:val="20"/>
              </w:rPr>
              <w:t>6</w:t>
            </w:r>
            <w:r w:rsidRPr="00384CAC">
              <w:rPr>
                <w:rStyle w:val="InstructionsTabelleText"/>
                <w:rFonts w:ascii="Times New Roman" w:hAnsi="Times New Roman"/>
                <w:szCs w:val="20"/>
              </w:rPr>
              <w:t>.</w:t>
            </w:r>
            <w:r w:rsidR="006C7A0B" w:rsidRPr="00384CAC">
              <w:rPr>
                <w:rStyle w:val="InstructionsTabelleText"/>
                <w:rFonts w:ascii="Times New Roman" w:hAnsi="Times New Roman"/>
                <w:szCs w:val="20"/>
              </w:rPr>
              <w:t xml:space="preserve">00 </w:t>
            </w:r>
            <w:r w:rsidRPr="00384CAC">
              <w:rPr>
                <w:rStyle w:val="InstructionsTabelleText"/>
                <w:rFonts w:ascii="Times New Roman" w:hAnsi="Times New Roman"/>
                <w:szCs w:val="20"/>
              </w:rPr>
              <w:t>shall apply</w:t>
            </w:r>
            <w:r w:rsidR="00092210" w:rsidRPr="00384CAC">
              <w:rPr>
                <w:rStyle w:val="InstructionsTabelleText"/>
                <w:rFonts w:ascii="Times New Roman" w:hAnsi="Times New Roman"/>
                <w:szCs w:val="20"/>
              </w:rPr>
              <w:t xml:space="preserve"> for scenario 1 to 5. However, in case the</w:t>
            </w:r>
            <w:r w:rsidR="00092210" w:rsidRPr="00384CAC">
              <w:rPr>
                <w:rFonts w:ascii="Times New Roman" w:hAnsi="Times New Roman"/>
                <w:szCs w:val="20"/>
              </w:rPr>
              <w:t xml:space="preserve"> IFRS 9 model related to the GDP area code uses an average macro-economic scenario</w:t>
            </w:r>
            <w:r w:rsidR="00092210" w:rsidRPr="00384CAC">
              <w:rPr>
                <w:rStyle w:val="InstructionsTabelleText"/>
                <w:rFonts w:ascii="Times New Roman" w:hAnsi="Times New Roman"/>
                <w:szCs w:val="20"/>
              </w:rPr>
              <w:t xml:space="preserve">, </w:t>
            </w:r>
            <w:r w:rsidR="00092210" w:rsidRPr="00384CAC">
              <w:rPr>
                <w:rFonts w:ascii="Times New Roman" w:hAnsi="Times New Roman"/>
                <w:szCs w:val="20"/>
              </w:rPr>
              <w:t>with no individual macro-economic scenario available</w:t>
            </w:r>
            <w:r w:rsidR="00092210" w:rsidRPr="00384CAC">
              <w:rPr>
                <w:rStyle w:val="InstructionsTabelleText"/>
                <w:rFonts w:ascii="Times New Roman" w:hAnsi="Times New Roman"/>
                <w:szCs w:val="20"/>
              </w:rPr>
              <w:t xml:space="preserve">, the scenario 1 to 5 should not be populated. Instead, the </w:t>
            </w:r>
            <w:r w:rsidR="00092210" w:rsidRPr="007C7456">
              <w:rPr>
                <w:rFonts w:ascii="Times New Roman" w:hAnsi="Times New Roman"/>
                <w:szCs w:val="20"/>
              </w:rPr>
              <w:t>average macro-economic scenario</w:t>
            </w:r>
            <w:r w:rsidR="00092210" w:rsidRPr="007C7456">
              <w:rPr>
                <w:rStyle w:val="InstructionsTabelleText"/>
                <w:rFonts w:ascii="Times New Roman" w:hAnsi="Times New Roman"/>
                <w:szCs w:val="20"/>
              </w:rPr>
              <w:t xml:space="preserve"> should be reported under the economic scenario 0, and </w:t>
            </w:r>
            <w:r w:rsidR="00092210" w:rsidRPr="00A01D22">
              <w:rPr>
                <w:rFonts w:ascii="Times New Roman" w:hAnsi="Times New Roman"/>
                <w:szCs w:val="20"/>
              </w:rPr>
              <w:t>no data should be reported for the economic scenarios 1 to 5</w:t>
            </w:r>
            <w:r w:rsidR="003C36CC" w:rsidRPr="00A01D22">
              <w:rPr>
                <w:rFonts w:ascii="Times New Roman" w:hAnsi="Times New Roman"/>
                <w:szCs w:val="20"/>
              </w:rPr>
              <w:t>.</w:t>
            </w:r>
          </w:p>
        </w:tc>
      </w:tr>
      <w:tr w:rsidR="00384CAC" w:rsidRPr="00384CAC" w14:paraId="7629B7E6" w14:textId="77777777" w:rsidTr="00511C07">
        <w:trPr>
          <w:trHeight w:val="769"/>
        </w:trPr>
        <w:tc>
          <w:tcPr>
            <w:tcW w:w="993" w:type="dxa"/>
            <w:shd w:val="clear" w:color="auto" w:fill="auto"/>
          </w:tcPr>
          <w:p w14:paraId="2ADDFDC9" w14:textId="43BBF97A" w:rsidR="00934464" w:rsidRPr="00384CAC" w:rsidRDefault="007C72BB" w:rsidP="00FF6D95">
            <w:pPr>
              <w:rPr>
                <w:rStyle w:val="InstructionsTabelleText"/>
                <w:rFonts w:ascii="Times New Roman" w:hAnsi="Times New Roman"/>
                <w:bCs/>
                <w:szCs w:val="20"/>
              </w:rPr>
            </w:pPr>
            <w:r w:rsidRPr="00384CAC">
              <w:rPr>
                <w:rStyle w:val="InstructionsTabelleText"/>
                <w:rFonts w:ascii="Times New Roman" w:hAnsi="Times New Roman"/>
                <w:szCs w:val="20"/>
              </w:rPr>
              <w:t>0</w:t>
            </w:r>
            <w:r w:rsidR="00934464" w:rsidRPr="00384CAC">
              <w:rPr>
                <w:rStyle w:val="InstructionsTabelleText"/>
                <w:rFonts w:ascii="Times New Roman" w:hAnsi="Times New Roman"/>
                <w:szCs w:val="20"/>
              </w:rPr>
              <w:t>100</w:t>
            </w:r>
          </w:p>
        </w:tc>
        <w:tc>
          <w:tcPr>
            <w:tcW w:w="1701" w:type="dxa"/>
            <w:shd w:val="clear" w:color="auto" w:fill="auto"/>
          </w:tcPr>
          <w:p w14:paraId="215DD725" w14:textId="4624997A" w:rsidR="00934464" w:rsidRPr="00384CAC" w:rsidRDefault="00934464" w:rsidP="00FF6D95">
            <w:pPr>
              <w:rPr>
                <w:rStyle w:val="InstructionsTabelleText"/>
                <w:rFonts w:ascii="Times New Roman" w:hAnsi="Times New Roman"/>
                <w:bCs/>
                <w:szCs w:val="20"/>
              </w:rPr>
            </w:pPr>
            <w:r w:rsidRPr="00384CAC">
              <w:rPr>
                <w:rStyle w:val="InstructionsTabelleText"/>
                <w:rFonts w:ascii="Times New Roman" w:hAnsi="Times New Roman"/>
                <w:szCs w:val="20"/>
              </w:rPr>
              <w:t>GDP growth - 0 - 12 months</w:t>
            </w:r>
          </w:p>
        </w:tc>
        <w:tc>
          <w:tcPr>
            <w:tcW w:w="1842" w:type="dxa"/>
            <w:shd w:val="clear" w:color="auto" w:fill="auto"/>
          </w:tcPr>
          <w:p w14:paraId="28137917" w14:textId="77777777" w:rsidR="00934464" w:rsidRPr="00384CAC" w:rsidRDefault="00934464" w:rsidP="00FF6D95">
            <w:pPr>
              <w:rPr>
                <w:rStyle w:val="InstructionsTabelleText"/>
                <w:rFonts w:ascii="Times New Roman" w:hAnsi="Times New Roman"/>
                <w:bCs/>
                <w:szCs w:val="20"/>
              </w:rPr>
            </w:pPr>
          </w:p>
        </w:tc>
        <w:tc>
          <w:tcPr>
            <w:tcW w:w="9781" w:type="dxa"/>
            <w:shd w:val="clear" w:color="auto" w:fill="auto"/>
          </w:tcPr>
          <w:p w14:paraId="0E19283F" w14:textId="3C31BF31" w:rsidR="00934464" w:rsidRPr="00384CAC" w:rsidRDefault="00934464" w:rsidP="00FF6D95">
            <w:pPr>
              <w:rPr>
                <w:rFonts w:ascii="Times New Roman" w:hAnsi="Times New Roman"/>
                <w:szCs w:val="20"/>
                <w:lang w:eastAsia="de-DE"/>
              </w:rPr>
            </w:pPr>
            <w:r w:rsidRPr="00384CAC">
              <w:rPr>
                <w:rFonts w:ascii="Times New Roman" w:hAnsi="Times New Roman"/>
                <w:szCs w:val="20"/>
                <w:lang w:eastAsia="de-DE"/>
              </w:rPr>
              <w:t xml:space="preserve">The estimated yearly GDP growth within the next 12 months after the reporting date of the country reported in column </w:t>
            </w:r>
            <w:r w:rsidR="00CE3561" w:rsidRPr="00384CAC">
              <w:rPr>
                <w:rFonts w:ascii="Times New Roman" w:hAnsi="Times New Roman"/>
                <w:szCs w:val="20"/>
                <w:lang w:eastAsia="de-DE"/>
              </w:rPr>
              <w:t>0</w:t>
            </w:r>
            <w:r w:rsidRPr="00384CAC">
              <w:rPr>
                <w:rFonts w:ascii="Times New Roman" w:hAnsi="Times New Roman"/>
                <w:szCs w:val="20"/>
                <w:lang w:eastAsia="de-DE"/>
              </w:rPr>
              <w:t xml:space="preserve">010 under the economic scenario reported in column </w:t>
            </w:r>
            <w:r w:rsidR="007F7240" w:rsidRPr="00384CAC">
              <w:rPr>
                <w:rFonts w:ascii="Times New Roman" w:hAnsi="Times New Roman"/>
                <w:szCs w:val="20"/>
                <w:lang w:eastAsia="de-DE"/>
              </w:rPr>
              <w:t>0</w:t>
            </w:r>
            <w:r w:rsidRPr="00384CAC">
              <w:rPr>
                <w:rFonts w:ascii="Times New Roman" w:hAnsi="Times New Roman"/>
                <w:szCs w:val="20"/>
                <w:lang w:eastAsia="de-DE"/>
              </w:rPr>
              <w:t xml:space="preserve">020 shall be reported. </w:t>
            </w:r>
          </w:p>
        </w:tc>
      </w:tr>
      <w:tr w:rsidR="00384CAC" w:rsidRPr="00384CAC" w14:paraId="49CEE1A2" w14:textId="77777777" w:rsidTr="00511C07">
        <w:tc>
          <w:tcPr>
            <w:tcW w:w="993" w:type="dxa"/>
            <w:shd w:val="clear" w:color="auto" w:fill="auto"/>
          </w:tcPr>
          <w:p w14:paraId="48E9436E" w14:textId="7CFFF7CF"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C0FF0" w:rsidRPr="00384CAC">
              <w:rPr>
                <w:rStyle w:val="InstructionsTabelleText"/>
                <w:rFonts w:ascii="Times New Roman" w:hAnsi="Times New Roman"/>
                <w:szCs w:val="20"/>
              </w:rPr>
              <w:t>110</w:t>
            </w:r>
          </w:p>
        </w:tc>
        <w:tc>
          <w:tcPr>
            <w:tcW w:w="1701" w:type="dxa"/>
            <w:shd w:val="clear" w:color="auto" w:fill="auto"/>
          </w:tcPr>
          <w:p w14:paraId="37CCBDCF" w14:textId="778FBEE7"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 xml:space="preserve">GDP growth </w:t>
            </w:r>
            <w:r w:rsidR="009D079B" w:rsidRPr="00384CAC">
              <w:rPr>
                <w:rStyle w:val="InstructionsTabelleText"/>
                <w:rFonts w:ascii="Times New Roman" w:hAnsi="Times New Roman"/>
                <w:szCs w:val="20"/>
              </w:rPr>
              <w:t>- 12</w:t>
            </w:r>
            <w:r w:rsidRPr="00384CAC">
              <w:rPr>
                <w:rStyle w:val="InstructionsTabelleText"/>
                <w:rFonts w:ascii="Times New Roman" w:hAnsi="Times New Roman"/>
                <w:szCs w:val="20"/>
              </w:rPr>
              <w:t xml:space="preserve"> - 24 months</w:t>
            </w:r>
          </w:p>
        </w:tc>
        <w:tc>
          <w:tcPr>
            <w:tcW w:w="1842" w:type="dxa"/>
            <w:shd w:val="clear" w:color="auto" w:fill="auto"/>
          </w:tcPr>
          <w:p w14:paraId="449A88CA"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777E7802" w14:textId="2B5948B4" w:rsidR="00934464" w:rsidRPr="00384CAC" w:rsidRDefault="00934464" w:rsidP="007C72BB">
            <w:pPr>
              <w:rPr>
                <w:rFonts w:ascii="Times New Roman" w:hAnsi="Times New Roman"/>
                <w:szCs w:val="20"/>
                <w:lang w:eastAsia="de-DE"/>
              </w:rPr>
            </w:pPr>
            <w:r w:rsidRPr="00384CAC">
              <w:rPr>
                <w:rFonts w:ascii="Times New Roman" w:hAnsi="Times New Roman"/>
                <w:szCs w:val="20"/>
                <w:lang w:eastAsia="de-DE"/>
              </w:rPr>
              <w:t xml:space="preserve">The estimated </w:t>
            </w:r>
            <w:r w:rsidR="009D079B" w:rsidRPr="00384CAC">
              <w:rPr>
                <w:rFonts w:ascii="Times New Roman" w:hAnsi="Times New Roman"/>
                <w:szCs w:val="20"/>
                <w:lang w:eastAsia="de-DE"/>
              </w:rPr>
              <w:t xml:space="preserve">yearly </w:t>
            </w:r>
            <w:r w:rsidRPr="00384CAC">
              <w:rPr>
                <w:rFonts w:ascii="Times New Roman" w:hAnsi="Times New Roman"/>
                <w:szCs w:val="20"/>
                <w:lang w:eastAsia="de-DE"/>
              </w:rPr>
              <w:t xml:space="preserve">GDP growth </w:t>
            </w:r>
            <w:r w:rsidR="00224125" w:rsidRPr="00384CAC">
              <w:rPr>
                <w:rFonts w:ascii="Times New Roman" w:hAnsi="Times New Roman"/>
                <w:szCs w:val="20"/>
                <w:lang w:eastAsia="de-DE"/>
              </w:rPr>
              <w:t>within the next 12 month</w:t>
            </w:r>
            <w:r w:rsidR="007C4FF0" w:rsidRPr="00384CAC">
              <w:rPr>
                <w:rFonts w:ascii="Times New Roman" w:hAnsi="Times New Roman"/>
                <w:szCs w:val="20"/>
                <w:lang w:eastAsia="de-DE"/>
              </w:rPr>
              <w:t>s</w:t>
            </w:r>
            <w:r w:rsidR="00224125" w:rsidRPr="00384CAC">
              <w:rPr>
                <w:rFonts w:ascii="Times New Roman" w:hAnsi="Times New Roman"/>
                <w:szCs w:val="20"/>
                <w:lang w:eastAsia="de-DE"/>
              </w:rPr>
              <w:t xml:space="preserve"> starting 12 month</w:t>
            </w:r>
            <w:r w:rsidR="007C4FF0" w:rsidRPr="00384CAC">
              <w:rPr>
                <w:rFonts w:ascii="Times New Roman" w:hAnsi="Times New Roman"/>
                <w:szCs w:val="20"/>
                <w:lang w:eastAsia="de-DE"/>
              </w:rPr>
              <w:t>s</w:t>
            </w:r>
            <w:r w:rsidR="00224125" w:rsidRPr="00384CAC">
              <w:rPr>
                <w:rFonts w:ascii="Times New Roman" w:hAnsi="Times New Roman"/>
                <w:szCs w:val="20"/>
                <w:lang w:eastAsia="de-DE"/>
              </w:rPr>
              <w:t xml:space="preserve"> after the reporting period </w:t>
            </w:r>
            <w:r w:rsidRPr="00384CAC">
              <w:rPr>
                <w:rFonts w:ascii="Times New Roman" w:hAnsi="Times New Roman"/>
                <w:szCs w:val="20"/>
                <w:lang w:eastAsia="de-DE"/>
              </w:rPr>
              <w:t xml:space="preserve">of the country reported in column </w:t>
            </w:r>
            <w:r w:rsidR="007F7240" w:rsidRPr="00384CAC">
              <w:rPr>
                <w:rFonts w:ascii="Times New Roman" w:hAnsi="Times New Roman"/>
                <w:szCs w:val="20"/>
                <w:lang w:eastAsia="de-DE"/>
              </w:rPr>
              <w:t>0</w:t>
            </w:r>
            <w:r w:rsidRPr="00384CAC">
              <w:rPr>
                <w:rFonts w:ascii="Times New Roman" w:hAnsi="Times New Roman"/>
                <w:szCs w:val="20"/>
                <w:lang w:eastAsia="de-DE"/>
              </w:rPr>
              <w:t>010 under the economic scenario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20 shall be reported. </w:t>
            </w:r>
          </w:p>
        </w:tc>
      </w:tr>
      <w:tr w:rsidR="00384CAC" w:rsidRPr="00384CAC" w14:paraId="0E9D3F2F" w14:textId="77777777" w:rsidTr="00511C07">
        <w:tc>
          <w:tcPr>
            <w:tcW w:w="993" w:type="dxa"/>
            <w:shd w:val="clear" w:color="auto" w:fill="auto"/>
          </w:tcPr>
          <w:p w14:paraId="389A4F6C" w14:textId="5E2ABEE9"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C0FF0" w:rsidRPr="00384CAC">
              <w:rPr>
                <w:rStyle w:val="InstructionsTabelleText"/>
                <w:rFonts w:ascii="Times New Roman" w:hAnsi="Times New Roman"/>
                <w:szCs w:val="20"/>
              </w:rPr>
              <w:t>120</w:t>
            </w:r>
          </w:p>
        </w:tc>
        <w:tc>
          <w:tcPr>
            <w:tcW w:w="1701" w:type="dxa"/>
            <w:shd w:val="clear" w:color="auto" w:fill="auto"/>
          </w:tcPr>
          <w:p w14:paraId="12E5C1B2" w14:textId="60AD6A15"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- 24</w:t>
            </w:r>
            <w:r w:rsidRPr="00384CAC">
              <w:rPr>
                <w:rStyle w:val="InstructionsTabelleText"/>
                <w:rFonts w:ascii="Times New Roman" w:hAnsi="Times New Roman"/>
                <w:szCs w:val="20"/>
              </w:rPr>
              <w:t xml:space="preserve"> - 36 months</w:t>
            </w:r>
          </w:p>
        </w:tc>
        <w:tc>
          <w:tcPr>
            <w:tcW w:w="1842" w:type="dxa"/>
            <w:shd w:val="clear" w:color="auto" w:fill="auto"/>
          </w:tcPr>
          <w:p w14:paraId="13448CE1"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47DD4497" w14:textId="0CEAFFB3"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24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10 under the economic scenario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20 shall be reported. </w:t>
            </w:r>
          </w:p>
        </w:tc>
      </w:tr>
      <w:tr w:rsidR="00384CAC" w:rsidRPr="00384CAC" w14:paraId="18D6C085" w14:textId="77777777" w:rsidTr="00511C07">
        <w:tc>
          <w:tcPr>
            <w:tcW w:w="993" w:type="dxa"/>
            <w:shd w:val="clear" w:color="auto" w:fill="auto"/>
          </w:tcPr>
          <w:p w14:paraId="2C8F421E" w14:textId="4B4C3E03"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lastRenderedPageBreak/>
              <w:t>0</w:t>
            </w:r>
            <w:r w:rsidR="009C0FF0" w:rsidRPr="00384CAC">
              <w:rPr>
                <w:rStyle w:val="InstructionsTabelleText"/>
                <w:rFonts w:ascii="Times New Roman" w:hAnsi="Times New Roman"/>
                <w:szCs w:val="20"/>
              </w:rPr>
              <w:t>130</w:t>
            </w:r>
          </w:p>
        </w:tc>
        <w:tc>
          <w:tcPr>
            <w:tcW w:w="1701" w:type="dxa"/>
            <w:shd w:val="clear" w:color="auto" w:fill="auto"/>
          </w:tcPr>
          <w:p w14:paraId="0EE8469A" w14:textId="790C73F4"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- 36</w:t>
            </w:r>
            <w:r w:rsidRPr="00384CAC">
              <w:rPr>
                <w:rStyle w:val="InstructionsTabelleText"/>
                <w:rFonts w:ascii="Times New Roman" w:hAnsi="Times New Roman"/>
                <w:szCs w:val="20"/>
              </w:rPr>
              <w:t xml:space="preserve"> - 48 months</w:t>
            </w:r>
          </w:p>
        </w:tc>
        <w:tc>
          <w:tcPr>
            <w:tcW w:w="1842" w:type="dxa"/>
            <w:shd w:val="clear" w:color="auto" w:fill="auto"/>
          </w:tcPr>
          <w:p w14:paraId="7FE94347"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32C709FB" w14:textId="563A56EC"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36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10 under the economic scenario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20 shall be reported. </w:t>
            </w:r>
          </w:p>
        </w:tc>
      </w:tr>
      <w:tr w:rsidR="00384CAC" w:rsidRPr="00384CAC" w14:paraId="5E1C23DE" w14:textId="77777777" w:rsidTr="00511C07">
        <w:tc>
          <w:tcPr>
            <w:tcW w:w="993" w:type="dxa"/>
            <w:shd w:val="clear" w:color="auto" w:fill="auto"/>
          </w:tcPr>
          <w:p w14:paraId="298D8F75" w14:textId="11DC7CD1"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C0FF0" w:rsidRPr="00384CAC">
              <w:rPr>
                <w:rStyle w:val="InstructionsTabelleText"/>
                <w:rFonts w:ascii="Times New Roman" w:hAnsi="Times New Roman"/>
                <w:szCs w:val="20"/>
              </w:rPr>
              <w:t>140</w:t>
            </w:r>
          </w:p>
        </w:tc>
        <w:tc>
          <w:tcPr>
            <w:tcW w:w="1701" w:type="dxa"/>
            <w:shd w:val="clear" w:color="auto" w:fill="auto"/>
          </w:tcPr>
          <w:p w14:paraId="36C54E86" w14:textId="2A3A5945"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- 48</w:t>
            </w:r>
            <w:r w:rsidRPr="00384CAC">
              <w:rPr>
                <w:rStyle w:val="InstructionsTabelleText"/>
                <w:rFonts w:ascii="Times New Roman" w:hAnsi="Times New Roman"/>
                <w:szCs w:val="20"/>
              </w:rPr>
              <w:t xml:space="preserve"> - 60 months</w:t>
            </w:r>
          </w:p>
        </w:tc>
        <w:tc>
          <w:tcPr>
            <w:tcW w:w="1842" w:type="dxa"/>
            <w:shd w:val="clear" w:color="auto" w:fill="auto"/>
          </w:tcPr>
          <w:p w14:paraId="4A624E69"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3866E2EB" w14:textId="5C2BD402"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48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10 under the economic scenario reported in column </w:t>
            </w:r>
            <w:r w:rsidR="007F7240" w:rsidRPr="00384CAC">
              <w:rPr>
                <w:rFonts w:ascii="Times New Roman" w:hAnsi="Times New Roman"/>
                <w:szCs w:val="20"/>
                <w:lang w:eastAsia="de-DE"/>
              </w:rPr>
              <w:t>0</w:t>
            </w:r>
            <w:r w:rsidRPr="00384CAC">
              <w:rPr>
                <w:rFonts w:ascii="Times New Roman" w:hAnsi="Times New Roman"/>
                <w:szCs w:val="20"/>
                <w:lang w:eastAsia="de-DE"/>
              </w:rPr>
              <w:t xml:space="preserve">020 shall be reported. </w:t>
            </w:r>
          </w:p>
        </w:tc>
      </w:tr>
      <w:tr w:rsidR="00384CAC" w:rsidRPr="00384CAC" w14:paraId="00C57CC3" w14:textId="77777777" w:rsidTr="00511C07">
        <w:tc>
          <w:tcPr>
            <w:tcW w:w="993" w:type="dxa"/>
            <w:shd w:val="clear" w:color="auto" w:fill="auto"/>
          </w:tcPr>
          <w:p w14:paraId="0925F8DD" w14:textId="0B3669B0"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34464" w:rsidRPr="00384CAC">
              <w:rPr>
                <w:rStyle w:val="InstructionsTabelleText"/>
                <w:rFonts w:ascii="Times New Roman" w:hAnsi="Times New Roman"/>
                <w:szCs w:val="20"/>
              </w:rPr>
              <w:t>1</w:t>
            </w:r>
            <w:r w:rsidR="009C0FF0" w:rsidRPr="00384CAC">
              <w:rPr>
                <w:rStyle w:val="InstructionsTabelleText"/>
                <w:rFonts w:ascii="Times New Roman" w:hAnsi="Times New Roman"/>
                <w:szCs w:val="20"/>
              </w:rPr>
              <w:t>50</w:t>
            </w:r>
          </w:p>
        </w:tc>
        <w:tc>
          <w:tcPr>
            <w:tcW w:w="1701" w:type="dxa"/>
            <w:shd w:val="clear" w:color="auto" w:fill="auto"/>
          </w:tcPr>
          <w:p w14:paraId="10C8F8AD" w14:textId="3E566900"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- 60</w:t>
            </w:r>
            <w:r w:rsidRPr="00384CAC">
              <w:rPr>
                <w:rStyle w:val="InstructionsTabelleText"/>
                <w:rFonts w:ascii="Times New Roman" w:hAnsi="Times New Roman"/>
                <w:szCs w:val="20"/>
              </w:rPr>
              <w:t xml:space="preserve"> - 72 months</w:t>
            </w:r>
          </w:p>
        </w:tc>
        <w:tc>
          <w:tcPr>
            <w:tcW w:w="1842" w:type="dxa"/>
            <w:shd w:val="clear" w:color="auto" w:fill="auto"/>
          </w:tcPr>
          <w:p w14:paraId="08F8B5C8"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48625E39" w14:textId="67E203CA"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60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10 under the economic scenario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20 shall be reported. </w:t>
            </w:r>
          </w:p>
        </w:tc>
      </w:tr>
      <w:tr w:rsidR="00384CAC" w:rsidRPr="00384CAC" w14:paraId="340FF89B" w14:textId="77777777" w:rsidTr="00511C07">
        <w:tc>
          <w:tcPr>
            <w:tcW w:w="993" w:type="dxa"/>
            <w:shd w:val="clear" w:color="auto" w:fill="auto"/>
          </w:tcPr>
          <w:p w14:paraId="7064183A" w14:textId="2EE63519"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34464" w:rsidRPr="00384CAC">
              <w:rPr>
                <w:rStyle w:val="InstructionsTabelleText"/>
                <w:rFonts w:ascii="Times New Roman" w:hAnsi="Times New Roman"/>
                <w:szCs w:val="20"/>
              </w:rPr>
              <w:t>1</w:t>
            </w:r>
            <w:r w:rsidR="009C0FF0" w:rsidRPr="00384CAC">
              <w:rPr>
                <w:rStyle w:val="InstructionsTabelleText"/>
                <w:rFonts w:ascii="Times New Roman" w:hAnsi="Times New Roman"/>
                <w:szCs w:val="20"/>
              </w:rPr>
              <w:t>60</w:t>
            </w:r>
          </w:p>
        </w:tc>
        <w:tc>
          <w:tcPr>
            <w:tcW w:w="1701" w:type="dxa"/>
            <w:shd w:val="clear" w:color="auto" w:fill="auto"/>
          </w:tcPr>
          <w:p w14:paraId="4B024FB9" w14:textId="14E4C569"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- 72</w:t>
            </w:r>
            <w:r w:rsidRPr="00384CAC">
              <w:rPr>
                <w:rStyle w:val="InstructionsTabelleText"/>
                <w:rFonts w:ascii="Times New Roman" w:hAnsi="Times New Roman"/>
                <w:szCs w:val="20"/>
              </w:rPr>
              <w:t xml:space="preserve"> - 84 months</w:t>
            </w:r>
          </w:p>
        </w:tc>
        <w:tc>
          <w:tcPr>
            <w:tcW w:w="1842" w:type="dxa"/>
            <w:shd w:val="clear" w:color="auto" w:fill="auto"/>
          </w:tcPr>
          <w:p w14:paraId="32B9405A"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07E695DD" w14:textId="1E5B47A5"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72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10 under the economic scenario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20 shall be reported. </w:t>
            </w:r>
          </w:p>
        </w:tc>
      </w:tr>
      <w:tr w:rsidR="00384CAC" w:rsidRPr="00384CAC" w14:paraId="0486F942" w14:textId="77777777" w:rsidTr="00511C07">
        <w:tc>
          <w:tcPr>
            <w:tcW w:w="993" w:type="dxa"/>
            <w:shd w:val="clear" w:color="auto" w:fill="auto"/>
          </w:tcPr>
          <w:p w14:paraId="7EB97947" w14:textId="76E58B32"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34464" w:rsidRPr="00384CAC">
              <w:rPr>
                <w:rStyle w:val="InstructionsTabelleText"/>
                <w:rFonts w:ascii="Times New Roman" w:hAnsi="Times New Roman"/>
                <w:szCs w:val="20"/>
              </w:rPr>
              <w:t>1</w:t>
            </w:r>
            <w:r w:rsidR="009C0FF0" w:rsidRPr="00384CAC">
              <w:rPr>
                <w:rStyle w:val="InstructionsTabelleText"/>
                <w:rFonts w:ascii="Times New Roman" w:hAnsi="Times New Roman"/>
                <w:szCs w:val="20"/>
              </w:rPr>
              <w:t>70</w:t>
            </w:r>
          </w:p>
        </w:tc>
        <w:tc>
          <w:tcPr>
            <w:tcW w:w="1701" w:type="dxa"/>
            <w:shd w:val="clear" w:color="auto" w:fill="auto"/>
          </w:tcPr>
          <w:p w14:paraId="2C6E988C" w14:textId="1C322D40"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- 84</w:t>
            </w:r>
            <w:r w:rsidRPr="00384CAC">
              <w:rPr>
                <w:rStyle w:val="InstructionsTabelleText"/>
                <w:rFonts w:ascii="Times New Roman" w:hAnsi="Times New Roman"/>
                <w:szCs w:val="20"/>
              </w:rPr>
              <w:t xml:space="preserve"> - 96 months</w:t>
            </w:r>
          </w:p>
        </w:tc>
        <w:tc>
          <w:tcPr>
            <w:tcW w:w="1842" w:type="dxa"/>
            <w:shd w:val="clear" w:color="auto" w:fill="auto"/>
          </w:tcPr>
          <w:p w14:paraId="29DF0129"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6B3C549D" w14:textId="2D73EAD2"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84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10 under the economic scenario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20 shall be reported. </w:t>
            </w:r>
          </w:p>
        </w:tc>
      </w:tr>
      <w:tr w:rsidR="00384CAC" w:rsidRPr="00384CAC" w14:paraId="43079EEE" w14:textId="77777777" w:rsidTr="00511C07">
        <w:tc>
          <w:tcPr>
            <w:tcW w:w="993" w:type="dxa"/>
            <w:shd w:val="clear" w:color="auto" w:fill="auto"/>
          </w:tcPr>
          <w:p w14:paraId="66903504" w14:textId="0DA12986"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34464" w:rsidRPr="00384CAC">
              <w:rPr>
                <w:rStyle w:val="InstructionsTabelleText"/>
                <w:rFonts w:ascii="Times New Roman" w:hAnsi="Times New Roman"/>
                <w:szCs w:val="20"/>
              </w:rPr>
              <w:t>1</w:t>
            </w:r>
            <w:r w:rsidR="009C0FF0" w:rsidRPr="00384CAC">
              <w:rPr>
                <w:rStyle w:val="InstructionsTabelleText"/>
                <w:rFonts w:ascii="Times New Roman" w:hAnsi="Times New Roman"/>
                <w:szCs w:val="20"/>
              </w:rPr>
              <w:t>80</w:t>
            </w:r>
          </w:p>
        </w:tc>
        <w:tc>
          <w:tcPr>
            <w:tcW w:w="1701" w:type="dxa"/>
            <w:shd w:val="clear" w:color="auto" w:fill="auto"/>
          </w:tcPr>
          <w:p w14:paraId="454ED9E8" w14:textId="29D490A9"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- 96</w:t>
            </w:r>
            <w:r w:rsidRPr="00384CAC">
              <w:rPr>
                <w:rStyle w:val="InstructionsTabelleText"/>
                <w:rFonts w:ascii="Times New Roman" w:hAnsi="Times New Roman"/>
                <w:szCs w:val="20"/>
              </w:rPr>
              <w:t xml:space="preserve"> - 108 months</w:t>
            </w:r>
          </w:p>
        </w:tc>
        <w:tc>
          <w:tcPr>
            <w:tcW w:w="1842" w:type="dxa"/>
            <w:shd w:val="clear" w:color="auto" w:fill="auto"/>
          </w:tcPr>
          <w:p w14:paraId="7D0A71FE"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14C41FE0" w14:textId="417619C7"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96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10 under the economic scenario reported in column </w:t>
            </w:r>
            <w:r w:rsidR="007F7240" w:rsidRPr="00384CAC">
              <w:rPr>
                <w:rFonts w:ascii="Times New Roman" w:hAnsi="Times New Roman"/>
                <w:szCs w:val="20"/>
                <w:lang w:eastAsia="de-DE"/>
              </w:rPr>
              <w:t>0</w:t>
            </w:r>
            <w:r w:rsidRPr="00384CAC">
              <w:rPr>
                <w:rFonts w:ascii="Times New Roman" w:hAnsi="Times New Roman"/>
                <w:szCs w:val="20"/>
                <w:lang w:eastAsia="de-DE"/>
              </w:rPr>
              <w:t xml:space="preserve">020 shall be reported. </w:t>
            </w:r>
          </w:p>
        </w:tc>
      </w:tr>
      <w:tr w:rsidR="00384CAC" w:rsidRPr="00384CAC" w14:paraId="1021A4F7" w14:textId="77777777" w:rsidTr="00511C07">
        <w:tc>
          <w:tcPr>
            <w:tcW w:w="993" w:type="dxa"/>
            <w:shd w:val="clear" w:color="auto" w:fill="auto"/>
          </w:tcPr>
          <w:p w14:paraId="11E588AD" w14:textId="44CAA07C" w:rsidR="00934464" w:rsidRPr="00384CAC" w:rsidRDefault="007C72BB" w:rsidP="007C72BB">
            <w:pPr>
              <w:rPr>
                <w:rStyle w:val="InstructionsTabelleText"/>
                <w:rFonts w:ascii="Times New Roman" w:hAnsi="Times New Roman"/>
                <w:bCs/>
                <w:szCs w:val="20"/>
              </w:rPr>
            </w:pPr>
            <w:r w:rsidRPr="00384CAC">
              <w:rPr>
                <w:rStyle w:val="InstructionsTabelleText"/>
                <w:rFonts w:ascii="Times New Roman" w:hAnsi="Times New Roman"/>
                <w:szCs w:val="20"/>
              </w:rPr>
              <w:t>0</w:t>
            </w:r>
            <w:r w:rsidR="00934464" w:rsidRPr="00384CAC">
              <w:rPr>
                <w:rStyle w:val="InstructionsTabelleText"/>
                <w:rFonts w:ascii="Times New Roman" w:hAnsi="Times New Roman"/>
                <w:szCs w:val="20"/>
              </w:rPr>
              <w:t>1</w:t>
            </w:r>
            <w:r w:rsidR="009C0FF0" w:rsidRPr="00384CAC">
              <w:rPr>
                <w:rStyle w:val="InstructionsTabelleText"/>
                <w:rFonts w:ascii="Times New Roman" w:hAnsi="Times New Roman"/>
                <w:szCs w:val="20"/>
              </w:rPr>
              <w:t>90</w:t>
            </w:r>
          </w:p>
        </w:tc>
        <w:tc>
          <w:tcPr>
            <w:tcW w:w="1701" w:type="dxa"/>
            <w:shd w:val="clear" w:color="auto" w:fill="auto"/>
          </w:tcPr>
          <w:p w14:paraId="2DB91703" w14:textId="721A0698" w:rsidR="00934464" w:rsidRPr="00384CAC" w:rsidRDefault="00934464" w:rsidP="007C72BB">
            <w:pPr>
              <w:rPr>
                <w:rStyle w:val="InstructionsTabelleText"/>
                <w:rFonts w:ascii="Times New Roman" w:hAnsi="Times New Roman"/>
                <w:bCs/>
                <w:szCs w:val="20"/>
              </w:rPr>
            </w:pPr>
            <w:r w:rsidRPr="00384CAC">
              <w:rPr>
                <w:rStyle w:val="InstructionsTabelleText"/>
                <w:rFonts w:ascii="Times New Roman" w:hAnsi="Times New Roman"/>
                <w:szCs w:val="20"/>
              </w:rPr>
              <w:t>GDP growth</w:t>
            </w:r>
            <w:r w:rsidR="00224125" w:rsidRPr="00384CAC">
              <w:rPr>
                <w:rStyle w:val="InstructionsTabelleText"/>
                <w:rFonts w:ascii="Times New Roman" w:hAnsi="Times New Roman"/>
                <w:szCs w:val="20"/>
              </w:rPr>
              <w:t xml:space="preserve"> - 108</w:t>
            </w:r>
            <w:r w:rsidRPr="00384CAC">
              <w:rPr>
                <w:rStyle w:val="InstructionsTabelleText"/>
                <w:rFonts w:ascii="Times New Roman" w:hAnsi="Times New Roman"/>
                <w:szCs w:val="20"/>
              </w:rPr>
              <w:t xml:space="preserve"> - 120 months</w:t>
            </w:r>
          </w:p>
        </w:tc>
        <w:tc>
          <w:tcPr>
            <w:tcW w:w="1842" w:type="dxa"/>
            <w:shd w:val="clear" w:color="auto" w:fill="auto"/>
          </w:tcPr>
          <w:p w14:paraId="30B4907A" w14:textId="77777777" w:rsidR="00934464" w:rsidRPr="00384CAC" w:rsidRDefault="00934464" w:rsidP="007C72BB">
            <w:pPr>
              <w:rPr>
                <w:rStyle w:val="InstructionsTabelleText"/>
                <w:rFonts w:ascii="Times New Roman" w:hAnsi="Times New Roman"/>
                <w:bCs/>
                <w:szCs w:val="20"/>
              </w:rPr>
            </w:pPr>
          </w:p>
        </w:tc>
        <w:tc>
          <w:tcPr>
            <w:tcW w:w="9781" w:type="dxa"/>
            <w:shd w:val="clear" w:color="auto" w:fill="auto"/>
          </w:tcPr>
          <w:p w14:paraId="1A176F9D" w14:textId="6A22C27C" w:rsidR="00934464" w:rsidRPr="00384CAC" w:rsidRDefault="00224125" w:rsidP="007C72BB">
            <w:pPr>
              <w:rPr>
                <w:rFonts w:ascii="Times New Roman" w:hAnsi="Times New Roman"/>
                <w:szCs w:val="20"/>
                <w:lang w:eastAsia="de-DE"/>
              </w:rPr>
            </w:pPr>
            <w:r w:rsidRPr="00384CAC">
              <w:rPr>
                <w:rFonts w:ascii="Times New Roman" w:hAnsi="Times New Roman"/>
                <w:szCs w:val="20"/>
                <w:lang w:eastAsia="de-DE"/>
              </w:rPr>
              <w:t>The estimated yearly GDP growth within the next 12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starting 108 month</w:t>
            </w:r>
            <w:r w:rsidR="007C4FF0" w:rsidRPr="00384CAC">
              <w:rPr>
                <w:rFonts w:ascii="Times New Roman" w:hAnsi="Times New Roman"/>
                <w:szCs w:val="20"/>
                <w:lang w:eastAsia="de-DE"/>
              </w:rPr>
              <w:t>s</w:t>
            </w:r>
            <w:r w:rsidRPr="00384CAC">
              <w:rPr>
                <w:rFonts w:ascii="Times New Roman" w:hAnsi="Times New Roman"/>
                <w:szCs w:val="20"/>
                <w:lang w:eastAsia="de-DE"/>
              </w:rPr>
              <w:t xml:space="preserve"> after the reporting period of the country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10 under the economic scenario reported in column 0</w:t>
            </w:r>
            <w:r w:rsidR="007F7240" w:rsidRPr="00384CAC">
              <w:rPr>
                <w:rFonts w:ascii="Times New Roman" w:hAnsi="Times New Roman"/>
                <w:szCs w:val="20"/>
                <w:lang w:eastAsia="de-DE"/>
              </w:rPr>
              <w:t>0</w:t>
            </w:r>
            <w:r w:rsidRPr="00384CAC">
              <w:rPr>
                <w:rFonts w:ascii="Times New Roman" w:hAnsi="Times New Roman"/>
                <w:szCs w:val="20"/>
                <w:lang w:eastAsia="de-DE"/>
              </w:rPr>
              <w:t xml:space="preserve">20 shall be reported. </w:t>
            </w:r>
          </w:p>
        </w:tc>
      </w:tr>
      <w:tr w:rsidR="00384CAC" w:rsidRPr="00384CAC" w14:paraId="0A044790" w14:textId="77777777" w:rsidTr="00511C07">
        <w:tc>
          <w:tcPr>
            <w:tcW w:w="993" w:type="dxa"/>
            <w:shd w:val="clear" w:color="auto" w:fill="auto"/>
          </w:tcPr>
          <w:p w14:paraId="78558634" w14:textId="7AF4EB54" w:rsidR="008A461D" w:rsidRPr="00384CAC" w:rsidRDefault="0081786B" w:rsidP="007C72BB">
            <w:pPr>
              <w:rPr>
                <w:rStyle w:val="InstructionsTabelleText"/>
                <w:rFonts w:ascii="Times New Roman" w:hAnsi="Times New Roman"/>
                <w:szCs w:val="20"/>
              </w:rPr>
            </w:pPr>
            <w:r w:rsidRPr="00384CAC">
              <w:rPr>
                <w:rFonts w:ascii="Times New Roman" w:hAnsi="Times New Roman"/>
                <w:szCs w:val="20"/>
              </w:rPr>
              <w:t>0199</w:t>
            </w:r>
          </w:p>
        </w:tc>
        <w:tc>
          <w:tcPr>
            <w:tcW w:w="1701" w:type="dxa"/>
            <w:shd w:val="clear" w:color="auto" w:fill="auto"/>
          </w:tcPr>
          <w:p w14:paraId="040A713B" w14:textId="09D81C5C"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- 0 - 12 months</w:t>
            </w:r>
          </w:p>
        </w:tc>
        <w:tc>
          <w:tcPr>
            <w:tcW w:w="1842" w:type="dxa"/>
            <w:shd w:val="clear" w:color="auto" w:fill="auto"/>
          </w:tcPr>
          <w:p w14:paraId="1FA68D1F"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5380A9F0" w14:textId="640DE669" w:rsidR="008A461D" w:rsidRPr="00384CAC" w:rsidRDefault="00A70B68" w:rsidP="00A70B68">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for the period</w:t>
            </w:r>
            <w:r w:rsidR="004451F6" w:rsidRPr="00384CAC">
              <w:rPr>
                <w:rFonts w:ascii="Times New Roman" w:hAnsi="Times New Roman"/>
                <w:szCs w:val="20"/>
              </w:rPr>
              <w:t xml:space="preserve"> 0-12 months shall be reported. The weight shall be expressed as a value between 0 and 1. </w:t>
            </w:r>
          </w:p>
        </w:tc>
      </w:tr>
      <w:tr w:rsidR="00384CAC" w:rsidRPr="00384CAC" w14:paraId="26A6AD22" w14:textId="77777777" w:rsidTr="00511C07">
        <w:tc>
          <w:tcPr>
            <w:tcW w:w="993" w:type="dxa"/>
            <w:shd w:val="clear" w:color="auto" w:fill="auto"/>
          </w:tcPr>
          <w:p w14:paraId="18AF7AF0" w14:textId="24B4F7F3"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0201</w:t>
            </w:r>
          </w:p>
        </w:tc>
        <w:tc>
          <w:tcPr>
            <w:tcW w:w="1701" w:type="dxa"/>
            <w:shd w:val="clear" w:color="auto" w:fill="auto"/>
          </w:tcPr>
          <w:p w14:paraId="1F0BF792" w14:textId="58BA5BF8"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- 12 - 24 months</w:t>
            </w:r>
          </w:p>
        </w:tc>
        <w:tc>
          <w:tcPr>
            <w:tcW w:w="1842" w:type="dxa"/>
            <w:shd w:val="clear" w:color="auto" w:fill="auto"/>
          </w:tcPr>
          <w:p w14:paraId="2925603A"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19E94FCA" w14:textId="5A4FDFFF"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 xml:space="preserve">for the period </w:t>
            </w:r>
            <w:r w:rsidR="007A2554" w:rsidRPr="00384CAC">
              <w:rPr>
                <w:rFonts w:ascii="Times New Roman" w:hAnsi="Times New Roman"/>
                <w:szCs w:val="20"/>
              </w:rPr>
              <w:t>12-24</w:t>
            </w:r>
            <w:r w:rsidR="004451F6" w:rsidRPr="00384CAC">
              <w:rPr>
                <w:rFonts w:ascii="Times New Roman" w:hAnsi="Times New Roman"/>
                <w:szCs w:val="20"/>
              </w:rPr>
              <w:t xml:space="preserve"> months shall be reported. The weight shall be expressed as a value between 0 and 1. </w:t>
            </w:r>
          </w:p>
        </w:tc>
      </w:tr>
      <w:tr w:rsidR="00384CAC" w:rsidRPr="00384CAC" w14:paraId="77544F20" w14:textId="77777777" w:rsidTr="00511C07">
        <w:tc>
          <w:tcPr>
            <w:tcW w:w="993" w:type="dxa"/>
            <w:shd w:val="clear" w:color="auto" w:fill="auto"/>
          </w:tcPr>
          <w:p w14:paraId="6983129C" w14:textId="34349D65"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0202</w:t>
            </w:r>
          </w:p>
        </w:tc>
        <w:tc>
          <w:tcPr>
            <w:tcW w:w="1701" w:type="dxa"/>
            <w:shd w:val="clear" w:color="auto" w:fill="auto"/>
          </w:tcPr>
          <w:p w14:paraId="646DCD94" w14:textId="774E0C29"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- 24 - 36 months</w:t>
            </w:r>
          </w:p>
        </w:tc>
        <w:tc>
          <w:tcPr>
            <w:tcW w:w="1842" w:type="dxa"/>
            <w:shd w:val="clear" w:color="auto" w:fill="auto"/>
          </w:tcPr>
          <w:p w14:paraId="63748E9D"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099013CD" w14:textId="7DDF8C54"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for the period</w:t>
            </w:r>
            <w:r w:rsidR="007A2554" w:rsidRPr="00384CAC">
              <w:rPr>
                <w:rFonts w:ascii="Times New Roman" w:hAnsi="Times New Roman"/>
                <w:szCs w:val="20"/>
              </w:rPr>
              <w:t xml:space="preserve"> 24-36</w:t>
            </w:r>
            <w:r w:rsidR="004451F6" w:rsidRPr="00384CAC">
              <w:rPr>
                <w:rFonts w:ascii="Times New Roman" w:hAnsi="Times New Roman"/>
                <w:szCs w:val="20"/>
              </w:rPr>
              <w:t xml:space="preserve"> months shall be reported. The weight shall be expressed as a value between 0 and 1. </w:t>
            </w:r>
          </w:p>
        </w:tc>
      </w:tr>
      <w:tr w:rsidR="00384CAC" w:rsidRPr="00384CAC" w14:paraId="1A97DD73" w14:textId="77777777" w:rsidTr="00511C07">
        <w:tc>
          <w:tcPr>
            <w:tcW w:w="993" w:type="dxa"/>
            <w:shd w:val="clear" w:color="auto" w:fill="auto"/>
          </w:tcPr>
          <w:p w14:paraId="28898E5B" w14:textId="354B8825"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lastRenderedPageBreak/>
              <w:t>0203</w:t>
            </w:r>
          </w:p>
        </w:tc>
        <w:tc>
          <w:tcPr>
            <w:tcW w:w="1701" w:type="dxa"/>
            <w:shd w:val="clear" w:color="auto" w:fill="auto"/>
          </w:tcPr>
          <w:p w14:paraId="4026F693" w14:textId="111BB83D"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- 36 - 48 months</w:t>
            </w:r>
          </w:p>
        </w:tc>
        <w:tc>
          <w:tcPr>
            <w:tcW w:w="1842" w:type="dxa"/>
            <w:shd w:val="clear" w:color="auto" w:fill="auto"/>
          </w:tcPr>
          <w:p w14:paraId="31CE441D"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5117D6CA" w14:textId="522A0664"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 xml:space="preserve">for the period </w:t>
            </w:r>
            <w:r w:rsidR="007A2554" w:rsidRPr="00384CAC">
              <w:rPr>
                <w:rFonts w:ascii="Times New Roman" w:hAnsi="Times New Roman"/>
                <w:szCs w:val="20"/>
              </w:rPr>
              <w:t>36-48</w:t>
            </w:r>
            <w:r w:rsidR="004451F6" w:rsidRPr="00384CAC">
              <w:rPr>
                <w:rFonts w:ascii="Times New Roman" w:hAnsi="Times New Roman"/>
                <w:szCs w:val="20"/>
              </w:rPr>
              <w:t xml:space="preserve"> months shall be reported. The weight shall be expressed as a value between 0 and 1. </w:t>
            </w:r>
          </w:p>
        </w:tc>
      </w:tr>
      <w:tr w:rsidR="00384CAC" w:rsidRPr="00384CAC" w14:paraId="1C4E77A6" w14:textId="77777777" w:rsidTr="00511C07">
        <w:tc>
          <w:tcPr>
            <w:tcW w:w="993" w:type="dxa"/>
            <w:shd w:val="clear" w:color="auto" w:fill="auto"/>
          </w:tcPr>
          <w:p w14:paraId="3EEA5649" w14:textId="24A2B840"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0204</w:t>
            </w:r>
          </w:p>
        </w:tc>
        <w:tc>
          <w:tcPr>
            <w:tcW w:w="1701" w:type="dxa"/>
            <w:shd w:val="clear" w:color="auto" w:fill="auto"/>
          </w:tcPr>
          <w:p w14:paraId="3EFD0F1A" w14:textId="338D35B1"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- 48 - 60 months</w:t>
            </w:r>
          </w:p>
        </w:tc>
        <w:tc>
          <w:tcPr>
            <w:tcW w:w="1842" w:type="dxa"/>
            <w:shd w:val="clear" w:color="auto" w:fill="auto"/>
          </w:tcPr>
          <w:p w14:paraId="0D393775"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67114344" w14:textId="5494A423"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 xml:space="preserve">for the period </w:t>
            </w:r>
            <w:r w:rsidR="007A2554" w:rsidRPr="00384CAC">
              <w:rPr>
                <w:rFonts w:ascii="Times New Roman" w:hAnsi="Times New Roman"/>
                <w:szCs w:val="20"/>
              </w:rPr>
              <w:t>48-60</w:t>
            </w:r>
            <w:r w:rsidR="004451F6" w:rsidRPr="00384CAC">
              <w:rPr>
                <w:rFonts w:ascii="Times New Roman" w:hAnsi="Times New Roman"/>
                <w:szCs w:val="20"/>
              </w:rPr>
              <w:t xml:space="preserve"> months shall be reported. The weight shall be expressed as a value between 0 and 1. </w:t>
            </w:r>
          </w:p>
        </w:tc>
      </w:tr>
      <w:tr w:rsidR="00384CAC" w:rsidRPr="00384CAC" w14:paraId="7FBEC0C8" w14:textId="77777777" w:rsidTr="00511C07">
        <w:tc>
          <w:tcPr>
            <w:tcW w:w="993" w:type="dxa"/>
            <w:shd w:val="clear" w:color="auto" w:fill="auto"/>
          </w:tcPr>
          <w:p w14:paraId="39C40DAF" w14:textId="6802FBFF"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0205</w:t>
            </w:r>
          </w:p>
        </w:tc>
        <w:tc>
          <w:tcPr>
            <w:tcW w:w="1701" w:type="dxa"/>
            <w:shd w:val="clear" w:color="auto" w:fill="auto"/>
          </w:tcPr>
          <w:p w14:paraId="314DD4F5" w14:textId="464DE93A"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- 60 - 72 months</w:t>
            </w:r>
          </w:p>
        </w:tc>
        <w:tc>
          <w:tcPr>
            <w:tcW w:w="1842" w:type="dxa"/>
            <w:shd w:val="clear" w:color="auto" w:fill="auto"/>
          </w:tcPr>
          <w:p w14:paraId="11EF8171"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2C4575A3" w14:textId="14D29F48"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 xml:space="preserve">for the period </w:t>
            </w:r>
            <w:r w:rsidR="007A2554" w:rsidRPr="00384CAC">
              <w:rPr>
                <w:rFonts w:ascii="Times New Roman" w:hAnsi="Times New Roman"/>
                <w:szCs w:val="20"/>
              </w:rPr>
              <w:t>60-7</w:t>
            </w:r>
            <w:r w:rsidR="004451F6" w:rsidRPr="00384CAC">
              <w:rPr>
                <w:rFonts w:ascii="Times New Roman" w:hAnsi="Times New Roman"/>
                <w:szCs w:val="20"/>
              </w:rPr>
              <w:t xml:space="preserve">2 months shall be reported. The weight shall be expressed as a value between 0 and 1. </w:t>
            </w:r>
          </w:p>
        </w:tc>
      </w:tr>
      <w:tr w:rsidR="00384CAC" w:rsidRPr="00384CAC" w14:paraId="57630F47" w14:textId="77777777" w:rsidTr="00511C07">
        <w:tc>
          <w:tcPr>
            <w:tcW w:w="993" w:type="dxa"/>
            <w:shd w:val="clear" w:color="auto" w:fill="auto"/>
          </w:tcPr>
          <w:p w14:paraId="0C9D3AC8" w14:textId="3B4452DD"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0206</w:t>
            </w:r>
          </w:p>
        </w:tc>
        <w:tc>
          <w:tcPr>
            <w:tcW w:w="1701" w:type="dxa"/>
            <w:shd w:val="clear" w:color="auto" w:fill="auto"/>
          </w:tcPr>
          <w:p w14:paraId="06E4CEC5" w14:textId="5759E4EC"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- 72 - 84 months</w:t>
            </w:r>
          </w:p>
        </w:tc>
        <w:tc>
          <w:tcPr>
            <w:tcW w:w="1842" w:type="dxa"/>
            <w:shd w:val="clear" w:color="auto" w:fill="auto"/>
          </w:tcPr>
          <w:p w14:paraId="12DD1351"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463AC34C" w14:textId="0C42B08F"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 xml:space="preserve">for the period </w:t>
            </w:r>
            <w:r w:rsidR="007A2554" w:rsidRPr="00384CAC">
              <w:rPr>
                <w:rFonts w:ascii="Times New Roman" w:hAnsi="Times New Roman"/>
                <w:szCs w:val="20"/>
              </w:rPr>
              <w:t>72-84</w:t>
            </w:r>
            <w:r w:rsidR="004451F6" w:rsidRPr="00384CAC">
              <w:rPr>
                <w:rFonts w:ascii="Times New Roman" w:hAnsi="Times New Roman"/>
                <w:szCs w:val="20"/>
              </w:rPr>
              <w:t xml:space="preserve"> months shall be reported. The weight shall be expressed as a value between 0 and 1. </w:t>
            </w:r>
          </w:p>
        </w:tc>
      </w:tr>
      <w:tr w:rsidR="00384CAC" w:rsidRPr="00384CAC" w14:paraId="605E70EC" w14:textId="77777777" w:rsidTr="00511C07">
        <w:tc>
          <w:tcPr>
            <w:tcW w:w="993" w:type="dxa"/>
            <w:shd w:val="clear" w:color="auto" w:fill="auto"/>
          </w:tcPr>
          <w:p w14:paraId="538F43FB" w14:textId="0FF478F3"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0207</w:t>
            </w:r>
          </w:p>
        </w:tc>
        <w:tc>
          <w:tcPr>
            <w:tcW w:w="1701" w:type="dxa"/>
            <w:shd w:val="clear" w:color="auto" w:fill="auto"/>
          </w:tcPr>
          <w:p w14:paraId="3A2FD3A5" w14:textId="08D3E314"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- 84 - 96 months</w:t>
            </w:r>
          </w:p>
        </w:tc>
        <w:tc>
          <w:tcPr>
            <w:tcW w:w="1842" w:type="dxa"/>
            <w:shd w:val="clear" w:color="auto" w:fill="auto"/>
          </w:tcPr>
          <w:p w14:paraId="57D72427"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7392C362" w14:textId="1F6F1CEC"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 xml:space="preserve">for the period </w:t>
            </w:r>
            <w:r w:rsidR="007A2554" w:rsidRPr="00384CAC">
              <w:rPr>
                <w:rFonts w:ascii="Times New Roman" w:hAnsi="Times New Roman"/>
                <w:szCs w:val="20"/>
              </w:rPr>
              <w:t>84-96</w:t>
            </w:r>
            <w:r w:rsidR="004451F6" w:rsidRPr="00384CAC">
              <w:rPr>
                <w:rFonts w:ascii="Times New Roman" w:hAnsi="Times New Roman"/>
                <w:szCs w:val="20"/>
              </w:rPr>
              <w:t xml:space="preserve"> months shall be reported. The weight shall be expressed as a value between 0 and 1. </w:t>
            </w:r>
          </w:p>
        </w:tc>
      </w:tr>
      <w:tr w:rsidR="00384CAC" w:rsidRPr="00384CAC" w14:paraId="1E03ADB1" w14:textId="77777777" w:rsidTr="00511C07">
        <w:tc>
          <w:tcPr>
            <w:tcW w:w="993" w:type="dxa"/>
            <w:shd w:val="clear" w:color="auto" w:fill="auto"/>
          </w:tcPr>
          <w:p w14:paraId="43E53E2A" w14:textId="078187B1"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0208</w:t>
            </w:r>
          </w:p>
        </w:tc>
        <w:tc>
          <w:tcPr>
            <w:tcW w:w="1701" w:type="dxa"/>
            <w:shd w:val="clear" w:color="auto" w:fill="auto"/>
          </w:tcPr>
          <w:p w14:paraId="4C8EA03B" w14:textId="42891D49"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- 96 - 108 months</w:t>
            </w:r>
          </w:p>
        </w:tc>
        <w:tc>
          <w:tcPr>
            <w:tcW w:w="1842" w:type="dxa"/>
            <w:shd w:val="clear" w:color="auto" w:fill="auto"/>
          </w:tcPr>
          <w:p w14:paraId="16A5E282"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74EF5E5B" w14:textId="07F8C7D7"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for the period</w:t>
            </w:r>
            <w:r w:rsidR="007A2554" w:rsidRPr="00384CAC">
              <w:rPr>
                <w:rFonts w:ascii="Times New Roman" w:hAnsi="Times New Roman"/>
                <w:szCs w:val="20"/>
              </w:rPr>
              <w:t xml:space="preserve"> 96-108</w:t>
            </w:r>
            <w:r w:rsidR="004451F6" w:rsidRPr="00384CAC">
              <w:rPr>
                <w:rFonts w:ascii="Times New Roman" w:hAnsi="Times New Roman"/>
                <w:szCs w:val="20"/>
              </w:rPr>
              <w:t xml:space="preserve"> months shall be reported. The weight shall be expressed as a value between 0 and 1. </w:t>
            </w:r>
          </w:p>
        </w:tc>
      </w:tr>
      <w:tr w:rsidR="008A461D" w:rsidRPr="00384CAC" w14:paraId="0019447E" w14:textId="77777777" w:rsidTr="00511C07">
        <w:tc>
          <w:tcPr>
            <w:tcW w:w="993" w:type="dxa"/>
            <w:shd w:val="clear" w:color="auto" w:fill="auto"/>
          </w:tcPr>
          <w:p w14:paraId="5B8940CC" w14:textId="5C36BE3F"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0209</w:t>
            </w:r>
          </w:p>
        </w:tc>
        <w:tc>
          <w:tcPr>
            <w:tcW w:w="1701" w:type="dxa"/>
            <w:shd w:val="clear" w:color="auto" w:fill="auto"/>
          </w:tcPr>
          <w:p w14:paraId="3B87C580" w14:textId="50D0B9FA" w:rsidR="008A461D" w:rsidRPr="00384CAC" w:rsidRDefault="00BA1FF1" w:rsidP="007C72BB">
            <w:pPr>
              <w:rPr>
                <w:rStyle w:val="InstructionsTabelleText"/>
                <w:rFonts w:ascii="Times New Roman" w:hAnsi="Times New Roman"/>
                <w:szCs w:val="20"/>
              </w:rPr>
            </w:pPr>
            <w:r w:rsidRPr="00384CAC">
              <w:rPr>
                <w:rStyle w:val="InstructionsTabelleText"/>
                <w:rFonts w:ascii="Times New Roman" w:hAnsi="Times New Roman"/>
                <w:szCs w:val="20"/>
              </w:rPr>
              <w:t>Weight of the Scenarios - 108 - 120 months</w:t>
            </w:r>
          </w:p>
        </w:tc>
        <w:tc>
          <w:tcPr>
            <w:tcW w:w="1842" w:type="dxa"/>
            <w:shd w:val="clear" w:color="auto" w:fill="auto"/>
          </w:tcPr>
          <w:p w14:paraId="62B08ED9" w14:textId="77777777" w:rsidR="008A461D" w:rsidRPr="00384CAC" w:rsidRDefault="008A461D" w:rsidP="007C72BB">
            <w:pPr>
              <w:rPr>
                <w:rStyle w:val="InstructionsTabelleText"/>
                <w:rFonts w:ascii="Times New Roman" w:hAnsi="Times New Roman"/>
                <w:szCs w:val="20"/>
              </w:rPr>
            </w:pPr>
          </w:p>
        </w:tc>
        <w:tc>
          <w:tcPr>
            <w:tcW w:w="9781" w:type="dxa"/>
            <w:shd w:val="clear" w:color="auto" w:fill="auto"/>
          </w:tcPr>
          <w:p w14:paraId="2A650262" w14:textId="0C046E08" w:rsidR="008A461D" w:rsidRPr="00384CAC" w:rsidRDefault="00A70B68" w:rsidP="008A1EC3">
            <w:pPr>
              <w:rPr>
                <w:rFonts w:ascii="Times New Roman" w:hAnsi="Times New Roman"/>
                <w:szCs w:val="20"/>
              </w:rPr>
            </w:pPr>
            <w:r w:rsidRPr="00384CAC">
              <w:rPr>
                <w:rFonts w:ascii="Times New Roman" w:hAnsi="Times New Roman"/>
                <w:szCs w:val="20"/>
              </w:rPr>
              <w:t xml:space="preserve">The weight assigned to </w:t>
            </w:r>
            <w:r w:rsidRPr="00384CAC">
              <w:rPr>
                <w:rFonts w:ascii="Times New Roman" w:hAnsi="Times New Roman"/>
                <w:szCs w:val="20"/>
                <w:lang w:eastAsia="de-DE"/>
              </w:rPr>
              <w:t xml:space="preserve">the country reported in column 0010 under the economic scenario reported in column 0020 </w:t>
            </w:r>
            <w:r w:rsidRPr="00384CAC">
              <w:rPr>
                <w:rFonts w:ascii="Times New Roman" w:hAnsi="Times New Roman"/>
                <w:szCs w:val="20"/>
              </w:rPr>
              <w:t xml:space="preserve">for the period </w:t>
            </w:r>
            <w:r w:rsidR="007A2554" w:rsidRPr="00384CAC">
              <w:rPr>
                <w:rFonts w:ascii="Times New Roman" w:hAnsi="Times New Roman"/>
                <w:szCs w:val="20"/>
              </w:rPr>
              <w:t>1</w:t>
            </w:r>
            <w:r w:rsidR="004451F6" w:rsidRPr="00384CAC">
              <w:rPr>
                <w:rFonts w:ascii="Times New Roman" w:hAnsi="Times New Roman"/>
                <w:szCs w:val="20"/>
              </w:rPr>
              <w:t>0</w:t>
            </w:r>
            <w:r w:rsidR="007A2554" w:rsidRPr="00384CAC">
              <w:rPr>
                <w:rFonts w:ascii="Times New Roman" w:hAnsi="Times New Roman"/>
                <w:szCs w:val="20"/>
              </w:rPr>
              <w:t>8</w:t>
            </w:r>
            <w:r w:rsidR="004451F6" w:rsidRPr="00384CAC">
              <w:rPr>
                <w:rFonts w:ascii="Times New Roman" w:hAnsi="Times New Roman"/>
                <w:szCs w:val="20"/>
              </w:rPr>
              <w:t>-12</w:t>
            </w:r>
            <w:r w:rsidR="007A2554" w:rsidRPr="00384CAC">
              <w:rPr>
                <w:rFonts w:ascii="Times New Roman" w:hAnsi="Times New Roman"/>
                <w:szCs w:val="20"/>
              </w:rPr>
              <w:t>0</w:t>
            </w:r>
            <w:r w:rsidR="004451F6" w:rsidRPr="00384CAC">
              <w:rPr>
                <w:rFonts w:ascii="Times New Roman" w:hAnsi="Times New Roman"/>
                <w:szCs w:val="20"/>
              </w:rPr>
              <w:t xml:space="preserve"> months shall be reported. The weight shall be expressed as a value between 0 and 1. </w:t>
            </w:r>
          </w:p>
        </w:tc>
      </w:tr>
    </w:tbl>
    <w:p w14:paraId="5AD52027" w14:textId="6DF1777F" w:rsidR="00C43DCF" w:rsidRPr="00384CAC" w:rsidRDefault="00C43DCF" w:rsidP="00C43DCF">
      <w:pPr>
        <w:rPr>
          <w:rStyle w:val="InstructionsTabelleText"/>
          <w:rFonts w:ascii="Times New Roman" w:hAnsi="Times New Roman"/>
          <w:szCs w:val="20"/>
        </w:rPr>
      </w:pPr>
    </w:p>
    <w:sectPr w:rsidR="00C43DCF" w:rsidRPr="00384CAC" w:rsidSect="00A31834">
      <w:headerReference w:type="even" r:id="rId18"/>
      <w:headerReference w:type="default" r:id="rId19"/>
      <w:footerReference w:type="even" r:id="rId20"/>
      <w:footerReference w:type="default" r:id="rId21"/>
      <w:headerReference w:type="first" r:id="rId22"/>
      <w:endnotePr>
        <w:numFmt w:val="decimal"/>
      </w:endnotePr>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07D37" w14:textId="77777777" w:rsidR="00DD2EE6" w:rsidRPr="00F239D8" w:rsidRDefault="00DD2EE6" w:rsidP="00D946DB">
      <w:pPr>
        <w:spacing w:before="0" w:after="0"/>
      </w:pPr>
      <w:r w:rsidRPr="00F239D8">
        <w:separator/>
      </w:r>
    </w:p>
  </w:endnote>
  <w:endnote w:type="continuationSeparator" w:id="0">
    <w:p w14:paraId="1D567B1B" w14:textId="77777777" w:rsidR="00DD2EE6" w:rsidRPr="00F239D8" w:rsidRDefault="00DD2EE6" w:rsidP="00D946DB">
      <w:pPr>
        <w:spacing w:before="0" w:after="0"/>
      </w:pPr>
      <w:r w:rsidRPr="00F239D8">
        <w:continuationSeparator/>
      </w:r>
    </w:p>
  </w:endnote>
  <w:endnote w:type="continuationNotice" w:id="1">
    <w:p w14:paraId="17E2C2A7" w14:textId="77777777" w:rsidR="00DD2EE6" w:rsidRDefault="00DD2E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984D" w14:textId="77777777" w:rsidR="00E940E2" w:rsidRDefault="00E94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EC05" w14:textId="5BA26FB4" w:rsidR="00E940E2" w:rsidRPr="00F239D8" w:rsidRDefault="00E940E2">
    <w:pPr>
      <w:pStyle w:val="Footer"/>
      <w:jc w:val="right"/>
      <w:rPr>
        <w:rFonts w:ascii="Times New Roman" w:hAnsi="Times New Roman"/>
        <w:lang w:val="en-GB"/>
      </w:rPr>
    </w:pPr>
    <w:r w:rsidRPr="00F239D8">
      <w:rPr>
        <w:rFonts w:ascii="Times New Roman" w:hAnsi="Times New Roman"/>
        <w:lang w:val="en-GB"/>
      </w:rPr>
      <w:fldChar w:fldCharType="begin"/>
    </w:r>
    <w:r w:rsidRPr="00F239D8">
      <w:rPr>
        <w:rFonts w:ascii="Times New Roman" w:hAnsi="Times New Roman"/>
        <w:lang w:val="en-GB"/>
      </w:rPr>
      <w:instrText xml:space="preserve"> PAGE   \* MERGEFORMAT </w:instrText>
    </w:r>
    <w:r w:rsidRPr="00F239D8">
      <w:rPr>
        <w:rFonts w:ascii="Times New Roman" w:hAnsi="Times New Roman"/>
        <w:lang w:val="en-GB"/>
      </w:rPr>
      <w:fldChar w:fldCharType="separate"/>
    </w:r>
    <w:r w:rsidR="006E4A25">
      <w:rPr>
        <w:rFonts w:ascii="Times New Roman" w:hAnsi="Times New Roman"/>
        <w:noProof/>
        <w:lang w:val="en-GB"/>
      </w:rPr>
      <w:t>3</w:t>
    </w:r>
    <w:r w:rsidRPr="00F239D8">
      <w:rPr>
        <w:rFonts w:ascii="Times New Roman" w:hAnsi="Times New Roman"/>
        <w:lang w:val="en-GB"/>
      </w:rPr>
      <w:fldChar w:fldCharType="end"/>
    </w:r>
  </w:p>
  <w:p w14:paraId="00913AFC" w14:textId="77777777" w:rsidR="00E940E2" w:rsidRPr="00F239D8" w:rsidRDefault="00E940E2">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681057006"/>
      <w:docPartObj>
        <w:docPartGallery w:val="Page Numbers (Bottom of Page)"/>
        <w:docPartUnique/>
      </w:docPartObj>
    </w:sdtPr>
    <w:sdtEndPr/>
    <w:sdtContent>
      <w:p w14:paraId="6A9A94B4" w14:textId="5D50DB64" w:rsidR="00E940E2" w:rsidRPr="00F239D8" w:rsidRDefault="00E940E2">
        <w:pPr>
          <w:pStyle w:val="Footer"/>
          <w:jc w:val="right"/>
          <w:rPr>
            <w:lang w:val="en-GB"/>
          </w:rPr>
        </w:pPr>
        <w:r w:rsidRPr="00F239D8">
          <w:rPr>
            <w:lang w:val="en-GB"/>
          </w:rPr>
          <w:fldChar w:fldCharType="begin"/>
        </w:r>
        <w:r w:rsidRPr="00F239D8">
          <w:rPr>
            <w:lang w:val="en-GB"/>
          </w:rPr>
          <w:instrText xml:space="preserve"> PAGE   \* MERGEFORMAT </w:instrText>
        </w:r>
        <w:r w:rsidRPr="00F239D8">
          <w:rPr>
            <w:lang w:val="en-GB"/>
          </w:rPr>
          <w:fldChar w:fldCharType="separate"/>
        </w:r>
        <w:r w:rsidR="006E4A25">
          <w:rPr>
            <w:noProof/>
            <w:lang w:val="en-GB"/>
          </w:rPr>
          <w:t>1</w:t>
        </w:r>
        <w:r w:rsidRPr="00F239D8">
          <w:rPr>
            <w:lang w:val="en-GB"/>
          </w:rPr>
          <w:fldChar w:fldCharType="end"/>
        </w:r>
      </w:p>
    </w:sdtContent>
  </w:sdt>
  <w:p w14:paraId="4747AB29" w14:textId="77777777" w:rsidR="00E940E2" w:rsidRPr="00F239D8" w:rsidRDefault="00E940E2">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E01D" w14:textId="77777777" w:rsidR="00E940E2" w:rsidRDefault="00E940E2">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end"/>
    </w:r>
  </w:p>
  <w:p w14:paraId="7FA59DAF" w14:textId="77777777" w:rsidR="00E940E2" w:rsidRDefault="00E940E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CFD0" w14:textId="2441C0A4" w:rsidR="00E940E2" w:rsidRPr="00F239D8" w:rsidRDefault="00E940E2">
    <w:pPr>
      <w:pStyle w:val="Footer"/>
      <w:jc w:val="right"/>
      <w:rPr>
        <w:rFonts w:ascii="Times New Roman" w:hAnsi="Times New Roman"/>
        <w:lang w:val="en-GB"/>
      </w:rPr>
    </w:pPr>
    <w:r w:rsidRPr="00F239D8">
      <w:rPr>
        <w:rFonts w:ascii="Times New Roman" w:hAnsi="Times New Roman"/>
        <w:lang w:val="en-GB"/>
      </w:rPr>
      <w:fldChar w:fldCharType="begin"/>
    </w:r>
    <w:r w:rsidRPr="00F239D8">
      <w:rPr>
        <w:rFonts w:ascii="Times New Roman" w:hAnsi="Times New Roman"/>
        <w:lang w:val="en-GB"/>
      </w:rPr>
      <w:instrText xml:space="preserve"> PAGE   \* MERGEFORMAT </w:instrText>
    </w:r>
    <w:r w:rsidRPr="00F239D8">
      <w:rPr>
        <w:rFonts w:ascii="Times New Roman" w:hAnsi="Times New Roman"/>
        <w:lang w:val="en-GB"/>
      </w:rPr>
      <w:fldChar w:fldCharType="separate"/>
    </w:r>
    <w:r w:rsidR="006E4A25">
      <w:rPr>
        <w:rFonts w:ascii="Times New Roman" w:hAnsi="Times New Roman"/>
        <w:noProof/>
        <w:lang w:val="en-GB"/>
      </w:rPr>
      <w:t>22</w:t>
    </w:r>
    <w:r w:rsidRPr="00F239D8">
      <w:rPr>
        <w:rFonts w:ascii="Times New Roman" w:hAnsi="Times New Roman"/>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2D20" w14:textId="77777777" w:rsidR="00DD2EE6" w:rsidRPr="00F239D8" w:rsidRDefault="00DD2EE6" w:rsidP="00D946DB">
      <w:pPr>
        <w:spacing w:before="0" w:after="0"/>
      </w:pPr>
      <w:r w:rsidRPr="00F239D8">
        <w:separator/>
      </w:r>
    </w:p>
  </w:footnote>
  <w:footnote w:type="continuationSeparator" w:id="0">
    <w:p w14:paraId="2E85E7D8" w14:textId="77777777" w:rsidR="00DD2EE6" w:rsidRPr="00F239D8" w:rsidRDefault="00DD2EE6" w:rsidP="00D946DB">
      <w:pPr>
        <w:spacing w:before="0" w:after="0"/>
      </w:pPr>
      <w:r w:rsidRPr="00F239D8">
        <w:continuationSeparator/>
      </w:r>
    </w:p>
  </w:footnote>
  <w:footnote w:type="continuationNotice" w:id="1">
    <w:p w14:paraId="6A5B7833" w14:textId="77777777" w:rsidR="00DD2EE6" w:rsidRDefault="00DD2EE6">
      <w:pPr>
        <w:spacing w:before="0" w:after="0"/>
      </w:pPr>
    </w:p>
  </w:footnote>
  <w:footnote w:id="2">
    <w:p w14:paraId="05E73C21" w14:textId="785262DE" w:rsidR="00E940E2" w:rsidRPr="00384C07" w:rsidRDefault="00E940E2">
      <w:pPr>
        <w:pStyle w:val="FootnoteText"/>
        <w:rPr>
          <w:rFonts w:ascii="Times New Roman" w:hAnsi="Times New Roman"/>
          <w:lang w:val="en-GB"/>
        </w:rPr>
      </w:pPr>
      <w:r w:rsidRPr="00384C07">
        <w:rPr>
          <w:rStyle w:val="FootnoteReference"/>
          <w:rFonts w:ascii="Times New Roman" w:hAnsi="Times New Roman"/>
        </w:rPr>
        <w:footnoteRef/>
      </w:r>
      <w:r w:rsidRPr="00384C07">
        <w:rPr>
          <w:rFonts w:ascii="Times New Roman" w:hAnsi="Times New Roman"/>
        </w:rPr>
        <w:t xml:space="preserve"> </w:t>
      </w:r>
      <w:r>
        <w:rPr>
          <w:rFonts w:ascii="Times New Roman" w:hAnsi="Times New Roman"/>
        </w:rPr>
        <w:tab/>
      </w:r>
      <w:r w:rsidRPr="00384C07">
        <w:rPr>
          <w:rFonts w:ascii="Times New Roman" w:hAnsi="Times New Roman"/>
          <w:lang w:val="en-GB"/>
        </w:rPr>
        <w:t xml:space="preserve">Commission Implementing Regulation (EU) No 2021/451 of 17 December 2020 laying down implementing technical standards </w:t>
      </w:r>
      <w:r w:rsidRPr="00384C07">
        <w:rPr>
          <w:rFonts w:ascii="Times New Roman" w:hAnsi="Times New Roman"/>
        </w:rPr>
        <w:t>for the application of Regulation (EU) No 575/2013 of the European Parliament and of the Council with regard to supervisory reporting of institutions and repealing Implementing Regulation (EU) No 680/2014</w:t>
      </w:r>
      <w:r w:rsidRPr="00384C07">
        <w:rPr>
          <w:rFonts w:ascii="Times New Roman" w:hAnsi="Times New Roman"/>
          <w:lang w:val="en-GB"/>
        </w:rPr>
        <w:t xml:space="preserve"> (</w:t>
      </w:r>
      <w:r w:rsidRPr="00384C07">
        <w:rPr>
          <w:rFonts w:ascii="Times New Roman" w:hAnsi="Times New Roman"/>
          <w:iCs/>
          <w:lang w:val="en-GB"/>
        </w:rPr>
        <w:t>OJ L 97, 19.3.2021,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2CE5" w14:textId="3849F060" w:rsidR="00E940E2" w:rsidRDefault="00DF2202">
    <w:pPr>
      <w:pStyle w:val="Header"/>
    </w:pPr>
    <w:r>
      <w:rPr>
        <w:noProof/>
      </w:rPr>
      <mc:AlternateContent>
        <mc:Choice Requires="wps">
          <w:drawing>
            <wp:anchor distT="0" distB="0" distL="0" distR="0" simplePos="0" relativeHeight="251659264" behindDoc="0" locked="0" layoutInCell="1" allowOverlap="1" wp14:anchorId="079754D1" wp14:editId="10D44661">
              <wp:simplePos x="635" y="635"/>
              <wp:positionH relativeFrom="page">
                <wp:align>left</wp:align>
              </wp:positionH>
              <wp:positionV relativeFrom="page">
                <wp:align>top</wp:align>
              </wp:positionV>
              <wp:extent cx="443865" cy="443865"/>
              <wp:effectExtent l="0" t="0" r="3175" b="444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7106F" w14:textId="5BCE627E"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9754D1" id="_x0000_t202" coordsize="21600,21600" o:spt="202" path="m,l,21600r21600,l21600,xe">
              <v:stroke joinstyle="miter"/>
              <v:path gradientshapeok="t" o:connecttype="rect"/>
            </v:shapetype>
            <v:shape id="Text Box 4"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CC7106F" w14:textId="5BCE627E"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02A8" w14:textId="27C99A98" w:rsidR="00E940E2" w:rsidRPr="00F239D8" w:rsidRDefault="00DF2202" w:rsidP="004D4419">
    <w:pPr>
      <w:pStyle w:val="Header"/>
      <w:spacing w:before="0" w:after="0"/>
      <w:jc w:val="center"/>
      <w:rPr>
        <w:rFonts w:ascii="Times New Roman" w:hAnsi="Times New Roman"/>
        <w:lang w:val="en-GB"/>
      </w:rPr>
    </w:pPr>
    <w:r>
      <w:rPr>
        <w:rFonts w:ascii="Times New Roman" w:hAnsi="Times New Roman"/>
        <w:noProof/>
        <w:lang w:val="en-GB"/>
      </w:rPr>
      <mc:AlternateContent>
        <mc:Choice Requires="wps">
          <w:drawing>
            <wp:anchor distT="0" distB="0" distL="0" distR="0" simplePos="0" relativeHeight="251660288" behindDoc="0" locked="0" layoutInCell="1" allowOverlap="1" wp14:anchorId="7C3C7ADA" wp14:editId="6071402D">
              <wp:simplePos x="635" y="635"/>
              <wp:positionH relativeFrom="page">
                <wp:align>left</wp:align>
              </wp:positionH>
              <wp:positionV relativeFrom="page">
                <wp:align>top</wp:align>
              </wp:positionV>
              <wp:extent cx="443865" cy="443865"/>
              <wp:effectExtent l="0" t="0" r="3175" b="444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F7C0A" w14:textId="56568145"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3C7ADA" id="_x0000_t202" coordsize="21600,21600" o:spt="202" path="m,l,21600r21600,l21600,xe">
              <v:stroke joinstyle="miter"/>
              <v:path gradientshapeok="t" o:connecttype="rect"/>
            </v:shapetype>
            <v:shape id="Text Box 5"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A4F7C0A" w14:textId="56568145"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5AC3" w14:textId="269AE215" w:rsidR="00E940E2" w:rsidRDefault="00DF2202">
    <w:pPr>
      <w:pStyle w:val="Header"/>
    </w:pPr>
    <w:r>
      <w:rPr>
        <w:noProof/>
      </w:rPr>
      <mc:AlternateContent>
        <mc:Choice Requires="wps">
          <w:drawing>
            <wp:anchor distT="0" distB="0" distL="0" distR="0" simplePos="0" relativeHeight="251658240" behindDoc="0" locked="0" layoutInCell="1" allowOverlap="1" wp14:anchorId="1EDFF6B4" wp14:editId="3C6F67C1">
              <wp:simplePos x="635" y="635"/>
              <wp:positionH relativeFrom="page">
                <wp:align>left</wp:align>
              </wp:positionH>
              <wp:positionV relativeFrom="page">
                <wp:align>top</wp:align>
              </wp:positionV>
              <wp:extent cx="443865" cy="443865"/>
              <wp:effectExtent l="0" t="0" r="3175" b="4445"/>
              <wp:wrapNone/>
              <wp:docPr id="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E36D2" w14:textId="280A1CDD"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DFF6B4" id="_x0000_t202" coordsize="21600,21600" o:spt="202" path="m,l,21600r21600,l21600,xe">
              <v:stroke joinstyle="miter"/>
              <v:path gradientshapeok="t" o:connecttype="rect"/>
            </v:shapetype>
            <v:shape id="Text Box 3"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F7E36D2" w14:textId="280A1CDD"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3D4A" w14:textId="64AD21CD" w:rsidR="00745884" w:rsidRDefault="00DF2202">
    <w:pPr>
      <w:pStyle w:val="Header"/>
    </w:pPr>
    <w:r>
      <w:rPr>
        <w:noProof/>
      </w:rPr>
      <mc:AlternateContent>
        <mc:Choice Requires="wps">
          <w:drawing>
            <wp:anchor distT="0" distB="0" distL="0" distR="0" simplePos="0" relativeHeight="251662336" behindDoc="0" locked="0" layoutInCell="1" allowOverlap="1" wp14:anchorId="60F697C7" wp14:editId="2D84E0F9">
              <wp:simplePos x="635" y="635"/>
              <wp:positionH relativeFrom="page">
                <wp:align>left</wp:align>
              </wp:positionH>
              <wp:positionV relativeFrom="page">
                <wp:align>top</wp:align>
              </wp:positionV>
              <wp:extent cx="443865" cy="443865"/>
              <wp:effectExtent l="0" t="0" r="3175" b="4445"/>
              <wp:wrapNone/>
              <wp:docPr id="7" name="Text Box 7"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DE055" w14:textId="2E93EF3A"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F697C7" id="_x0000_t202" coordsize="21600,21600" o:spt="202" path="m,l,21600r21600,l21600,xe">
              <v:stroke joinstyle="miter"/>
              <v:path gradientshapeok="t" o:connecttype="rect"/>
            </v:shapetype>
            <v:shape id="Text Box 7" o:spid="_x0000_s1029" type="#_x0000_t202" alt="EBA Regular Use"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28FDE055" w14:textId="2E93EF3A"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6597" w14:textId="6358AD44" w:rsidR="00745884" w:rsidRDefault="00DF2202">
    <w:pPr>
      <w:pStyle w:val="Header"/>
    </w:pPr>
    <w:r>
      <w:rPr>
        <w:noProof/>
      </w:rPr>
      <mc:AlternateContent>
        <mc:Choice Requires="wps">
          <w:drawing>
            <wp:anchor distT="0" distB="0" distL="0" distR="0" simplePos="0" relativeHeight="251663360" behindDoc="0" locked="0" layoutInCell="1" allowOverlap="1" wp14:anchorId="5BFBED22" wp14:editId="726AF48D">
              <wp:simplePos x="635" y="635"/>
              <wp:positionH relativeFrom="page">
                <wp:align>left</wp:align>
              </wp:positionH>
              <wp:positionV relativeFrom="page">
                <wp:align>top</wp:align>
              </wp:positionV>
              <wp:extent cx="443865" cy="443865"/>
              <wp:effectExtent l="0" t="0" r="3175" b="4445"/>
              <wp:wrapNone/>
              <wp:docPr id="8" name="Text Box 8"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1C604" w14:textId="21965F59"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FBED22" id="_x0000_t202" coordsize="21600,21600" o:spt="202" path="m,l,21600r21600,l21600,xe">
              <v:stroke joinstyle="miter"/>
              <v:path gradientshapeok="t" o:connecttype="rect"/>
            </v:shapetype>
            <v:shape id="Text Box 8" o:spid="_x0000_s1030" type="#_x0000_t202" alt="EBA Regular Use"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2481C604" w14:textId="21965F59"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BEF5" w14:textId="72D00E5C" w:rsidR="00E940E2" w:rsidRDefault="00DF2202">
    <w:pPr>
      <w:rPr>
        <w:rFonts w:ascii="Arial" w:hAnsi="Arial" w:cs="Arial"/>
      </w:rPr>
    </w:pPr>
    <w:r>
      <w:rPr>
        <w:rFonts w:ascii="Arial" w:hAnsi="Arial" w:cs="Arial"/>
        <w:noProof/>
      </w:rPr>
      <mc:AlternateContent>
        <mc:Choice Requires="wps">
          <w:drawing>
            <wp:anchor distT="0" distB="0" distL="0" distR="0" simplePos="0" relativeHeight="251661312" behindDoc="0" locked="0" layoutInCell="1" allowOverlap="1" wp14:anchorId="32C3D8BB" wp14:editId="6DC906DD">
              <wp:simplePos x="635" y="635"/>
              <wp:positionH relativeFrom="page">
                <wp:align>left</wp:align>
              </wp:positionH>
              <wp:positionV relativeFrom="page">
                <wp:align>top</wp:align>
              </wp:positionV>
              <wp:extent cx="443865" cy="443865"/>
              <wp:effectExtent l="0" t="0" r="3175" b="444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CD136E" w14:textId="6A6F30F6"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C3D8BB" id="_x0000_t202" coordsize="21600,21600" o:spt="202" path="m,l,21600r21600,l21600,xe">
              <v:stroke joinstyle="miter"/>
              <v:path gradientshapeok="t" o:connecttype="rect"/>
            </v:shapetype>
            <v:shape id="Text Box 6" o:spid="_x0000_s1031" type="#_x0000_t202" alt="EBA Regular Use"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24CD136E" w14:textId="6A6F30F6" w:rsidR="00DF2202" w:rsidRPr="00DF2202" w:rsidRDefault="00DF2202" w:rsidP="00DF2202">
                    <w:pPr>
                      <w:spacing w:after="0"/>
                      <w:rPr>
                        <w:rFonts w:ascii="Calibri" w:eastAsia="Calibri" w:hAnsi="Calibri" w:cs="Calibri"/>
                        <w:noProof/>
                        <w:color w:val="000000"/>
                        <w:sz w:val="24"/>
                      </w:rPr>
                    </w:pPr>
                    <w:r w:rsidRPr="00DF2202">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269"/>
    <w:multiLevelType w:val="hybridMultilevel"/>
    <w:tmpl w:val="345C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84EA2"/>
    <w:multiLevelType w:val="hybridMultilevel"/>
    <w:tmpl w:val="246C8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65C5E0C"/>
    <w:multiLevelType w:val="hybridMultilevel"/>
    <w:tmpl w:val="54AE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D3E43"/>
    <w:multiLevelType w:val="multilevel"/>
    <w:tmpl w:val="6BE6DD7A"/>
    <w:lvl w:ilvl="0">
      <w:start w:val="1"/>
      <w:numFmt w:val="decimal"/>
      <w:pStyle w:val="InstructionsText"/>
      <w:lvlText w:val="%1."/>
      <w:lvlJc w:val="left"/>
      <w:pPr>
        <w:ind w:left="357" w:hanging="357"/>
      </w:pPr>
      <w:rPr>
        <w:rFonts w:cs="Times New Roman" w:hint="default"/>
      </w:rPr>
    </w:lvl>
    <w:lvl w:ilvl="1">
      <w:start w:val="1"/>
      <w:numFmt w:val="lowerLetter"/>
      <w:lvlText w:val="%2)"/>
      <w:lvlJc w:val="left"/>
      <w:pPr>
        <w:ind w:left="357" w:hanging="357"/>
      </w:pPr>
      <w:rPr>
        <w:rFonts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7"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7D7F02"/>
    <w:multiLevelType w:val="multilevel"/>
    <w:tmpl w:val="0407001D"/>
    <w:numStyleLink w:val="Formatvorlage3"/>
  </w:abstractNum>
  <w:abstractNum w:abstractNumId="9" w15:restartNumberingAfterBreak="0">
    <w:nsid w:val="368B33E7"/>
    <w:multiLevelType w:val="hybridMultilevel"/>
    <w:tmpl w:val="BF0CC6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A4D0F"/>
    <w:multiLevelType w:val="hybridMultilevel"/>
    <w:tmpl w:val="C900B430"/>
    <w:lvl w:ilvl="0" w:tplc="7DD621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4745BFD"/>
    <w:multiLevelType w:val="hybridMultilevel"/>
    <w:tmpl w:val="7604DD42"/>
    <w:lvl w:ilvl="0" w:tplc="7954F7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E6614"/>
    <w:multiLevelType w:val="hybridMultilevel"/>
    <w:tmpl w:val="7604DD42"/>
    <w:lvl w:ilvl="0" w:tplc="7954F7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5F2F77"/>
    <w:multiLevelType w:val="hybridMultilevel"/>
    <w:tmpl w:val="7C88FA54"/>
    <w:lvl w:ilvl="0" w:tplc="98463F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73E1"/>
    <w:multiLevelType w:val="hybridMultilevel"/>
    <w:tmpl w:val="8CC02D7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357"/>
        </w:tabs>
        <w:ind w:left="357" w:hanging="357"/>
      </w:pPr>
      <w:rPr>
        <w:rFonts w:ascii="Wingdings" w:hAnsi="Wingdings" w:hint="default"/>
        <w:sz w:val="32"/>
      </w:rPr>
    </w:lvl>
    <w:lvl w:ilvl="1" w:tplc="040A0019" w:tentative="1">
      <w:start w:val="1"/>
      <w:numFmt w:val="bullet"/>
      <w:lvlText w:val="o"/>
      <w:lvlJc w:val="left"/>
      <w:pPr>
        <w:tabs>
          <w:tab w:val="num" w:pos="1440"/>
        </w:tabs>
        <w:ind w:left="1440" w:hanging="360"/>
      </w:pPr>
      <w:rPr>
        <w:rFonts w:ascii="Courier New" w:hAnsi="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002A9F"/>
    <w:multiLevelType w:val="hybridMultilevel"/>
    <w:tmpl w:val="9EBC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9B6403"/>
    <w:multiLevelType w:val="hybridMultilevel"/>
    <w:tmpl w:val="DE16AA0A"/>
    <w:lvl w:ilvl="0" w:tplc="04090001">
      <w:start w:val="1"/>
      <w:numFmt w:val="bullet"/>
      <w:lvlText w:val=""/>
      <w:lvlJc w:val="left"/>
      <w:pPr>
        <w:ind w:left="1428" w:hanging="360"/>
      </w:pPr>
      <w:rPr>
        <w:rFonts w:ascii="Symbol" w:hAnsi="Symbol" w:hint="default"/>
      </w:rPr>
    </w:lvl>
    <w:lvl w:ilvl="1" w:tplc="117E617A">
      <w:start w:val="1"/>
      <w:numFmt w:val="bullet"/>
      <w:lvlText w:val="-"/>
      <w:lvlJc w:val="left"/>
      <w:pPr>
        <w:ind w:left="2148" w:hanging="360"/>
      </w:pPr>
      <w:rPr>
        <w:rFonts w:ascii="Calibri" w:hAnsi="Calibri"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153F2"/>
    <w:multiLevelType w:val="hybridMultilevel"/>
    <w:tmpl w:val="78FCFED4"/>
    <w:lvl w:ilvl="0" w:tplc="117E617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C7C65"/>
    <w:multiLevelType w:val="hybridMultilevel"/>
    <w:tmpl w:val="04CC70AA"/>
    <w:lvl w:ilvl="0" w:tplc="7954F772">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E56ABD"/>
    <w:multiLevelType w:val="hybridMultilevel"/>
    <w:tmpl w:val="5FA6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539526">
    <w:abstractNumId w:val="1"/>
  </w:num>
  <w:num w:numId="2" w16cid:durableId="1583643397">
    <w:abstractNumId w:val="21"/>
  </w:num>
  <w:num w:numId="3" w16cid:durableId="448210106">
    <w:abstractNumId w:val="28"/>
  </w:num>
  <w:num w:numId="4" w16cid:durableId="904296954">
    <w:abstractNumId w:val="14"/>
  </w:num>
  <w:num w:numId="5" w16cid:durableId="1295217176">
    <w:abstractNumId w:val="24"/>
  </w:num>
  <w:num w:numId="6" w16cid:durableId="1052653431">
    <w:abstractNumId w:val="12"/>
  </w:num>
  <w:num w:numId="7" w16cid:durableId="387847939">
    <w:abstractNumId w:val="27"/>
  </w:num>
  <w:num w:numId="8" w16cid:durableId="1461998090">
    <w:abstractNumId w:val="4"/>
  </w:num>
  <w:num w:numId="9" w16cid:durableId="1486429738">
    <w:abstractNumId w:val="23"/>
  </w:num>
  <w:num w:numId="10" w16cid:durableId="1642997076">
    <w:abstractNumId w:val="11"/>
  </w:num>
  <w:num w:numId="11" w16cid:durableId="1027171999">
    <w:abstractNumId w:val="17"/>
  </w:num>
  <w:num w:numId="12" w16cid:durableId="1298418630">
    <w:abstractNumId w:val="7"/>
  </w:num>
  <w:num w:numId="13" w16cid:durableId="1959604051">
    <w:abstractNumId w:val="20"/>
  </w:num>
  <w:num w:numId="14" w16cid:durableId="1355183390">
    <w:abstractNumId w:val="16"/>
  </w:num>
  <w:num w:numId="15" w16cid:durableId="363755659">
    <w:abstractNumId w:val="8"/>
  </w:num>
  <w:num w:numId="16" w16cid:durableId="238447201">
    <w:abstractNumId w:val="25"/>
  </w:num>
  <w:num w:numId="17" w16cid:durableId="310643505">
    <w:abstractNumId w:val="3"/>
  </w:num>
  <w:num w:numId="18" w16cid:durableId="573322650">
    <w:abstractNumId w:val="6"/>
  </w:num>
  <w:num w:numId="19" w16cid:durableId="1604457113">
    <w:abstractNumId w:val="0"/>
  </w:num>
  <w:num w:numId="20" w16cid:durableId="945161109">
    <w:abstractNumId w:val="31"/>
  </w:num>
  <w:num w:numId="21" w16cid:durableId="1653635631">
    <w:abstractNumId w:val="22"/>
  </w:num>
  <w:num w:numId="22" w16cid:durableId="1879006548">
    <w:abstractNumId w:val="5"/>
  </w:num>
  <w:num w:numId="23" w16cid:durableId="1106534359">
    <w:abstractNumId w:val="26"/>
  </w:num>
  <w:num w:numId="24" w16cid:durableId="412699396">
    <w:abstractNumId w:val="10"/>
  </w:num>
  <w:num w:numId="25" w16cid:durableId="86507708">
    <w:abstractNumId w:val="29"/>
  </w:num>
  <w:num w:numId="26" w16cid:durableId="357967714">
    <w:abstractNumId w:val="15"/>
  </w:num>
  <w:num w:numId="27" w16cid:durableId="2086566624">
    <w:abstractNumId w:val="13"/>
  </w:num>
  <w:num w:numId="28" w16cid:durableId="1886985932">
    <w:abstractNumId w:val="19"/>
  </w:num>
  <w:num w:numId="29" w16cid:durableId="523061257">
    <w:abstractNumId w:val="30"/>
  </w:num>
  <w:num w:numId="30" w16cid:durableId="1636906941">
    <w:abstractNumId w:val="18"/>
  </w:num>
  <w:num w:numId="31" w16cid:durableId="1746796860">
    <w:abstractNumId w:val="9"/>
  </w:num>
  <w:num w:numId="32" w16cid:durableId="200312414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FISMA\FISMA-2018-00289\FISMA-2018-00289-00-01-EN-EDT-00.201809171201582748831.DOCX"/>
  </w:docVars>
  <w:rsids>
    <w:rsidRoot w:val="00884FEB"/>
    <w:rsid w:val="00000067"/>
    <w:rsid w:val="00000695"/>
    <w:rsid w:val="00000F70"/>
    <w:rsid w:val="000017F3"/>
    <w:rsid w:val="00001EA2"/>
    <w:rsid w:val="000020E5"/>
    <w:rsid w:val="000027B1"/>
    <w:rsid w:val="00002933"/>
    <w:rsid w:val="00002DBA"/>
    <w:rsid w:val="00003411"/>
    <w:rsid w:val="00004FE8"/>
    <w:rsid w:val="00005765"/>
    <w:rsid w:val="00005FFC"/>
    <w:rsid w:val="0000626F"/>
    <w:rsid w:val="00006298"/>
    <w:rsid w:val="00006405"/>
    <w:rsid w:val="000070AD"/>
    <w:rsid w:val="00007605"/>
    <w:rsid w:val="00007D0D"/>
    <w:rsid w:val="00010900"/>
    <w:rsid w:val="00011BD0"/>
    <w:rsid w:val="000120EB"/>
    <w:rsid w:val="0001217C"/>
    <w:rsid w:val="00012C7E"/>
    <w:rsid w:val="00013A71"/>
    <w:rsid w:val="00013B4F"/>
    <w:rsid w:val="0001416D"/>
    <w:rsid w:val="00014271"/>
    <w:rsid w:val="000147D6"/>
    <w:rsid w:val="00014890"/>
    <w:rsid w:val="00014DC3"/>
    <w:rsid w:val="00016323"/>
    <w:rsid w:val="00016430"/>
    <w:rsid w:val="000168F9"/>
    <w:rsid w:val="0001693F"/>
    <w:rsid w:val="0001711E"/>
    <w:rsid w:val="00017183"/>
    <w:rsid w:val="00020200"/>
    <w:rsid w:val="00020516"/>
    <w:rsid w:val="00020AF9"/>
    <w:rsid w:val="000232E2"/>
    <w:rsid w:val="00023383"/>
    <w:rsid w:val="000243CE"/>
    <w:rsid w:val="000254FF"/>
    <w:rsid w:val="0002657F"/>
    <w:rsid w:val="00027235"/>
    <w:rsid w:val="00027834"/>
    <w:rsid w:val="0003062B"/>
    <w:rsid w:val="00032170"/>
    <w:rsid w:val="000326C1"/>
    <w:rsid w:val="00032D2C"/>
    <w:rsid w:val="00033843"/>
    <w:rsid w:val="00033C55"/>
    <w:rsid w:val="00034834"/>
    <w:rsid w:val="000359E1"/>
    <w:rsid w:val="0003684D"/>
    <w:rsid w:val="00036C1A"/>
    <w:rsid w:val="00037093"/>
    <w:rsid w:val="000377CC"/>
    <w:rsid w:val="00037812"/>
    <w:rsid w:val="00037937"/>
    <w:rsid w:val="00037DC7"/>
    <w:rsid w:val="00040482"/>
    <w:rsid w:val="00041480"/>
    <w:rsid w:val="00041A02"/>
    <w:rsid w:val="00042B9A"/>
    <w:rsid w:val="000433C4"/>
    <w:rsid w:val="00044249"/>
    <w:rsid w:val="00044BFE"/>
    <w:rsid w:val="00045036"/>
    <w:rsid w:val="00045A98"/>
    <w:rsid w:val="00045B62"/>
    <w:rsid w:val="00046597"/>
    <w:rsid w:val="00051F01"/>
    <w:rsid w:val="000527C5"/>
    <w:rsid w:val="000530BC"/>
    <w:rsid w:val="00053CFE"/>
    <w:rsid w:val="0005400A"/>
    <w:rsid w:val="00054382"/>
    <w:rsid w:val="0005482E"/>
    <w:rsid w:val="000548A2"/>
    <w:rsid w:val="00054B55"/>
    <w:rsid w:val="0005609F"/>
    <w:rsid w:val="000565B6"/>
    <w:rsid w:val="00056C0F"/>
    <w:rsid w:val="00057362"/>
    <w:rsid w:val="0005746D"/>
    <w:rsid w:val="0005754C"/>
    <w:rsid w:val="00057671"/>
    <w:rsid w:val="00060772"/>
    <w:rsid w:val="000611BE"/>
    <w:rsid w:val="00061E48"/>
    <w:rsid w:val="00062A37"/>
    <w:rsid w:val="00063085"/>
    <w:rsid w:val="00063762"/>
    <w:rsid w:val="00063B3F"/>
    <w:rsid w:val="000642BC"/>
    <w:rsid w:val="000660B0"/>
    <w:rsid w:val="00067B24"/>
    <w:rsid w:val="00067EEA"/>
    <w:rsid w:val="000709D2"/>
    <w:rsid w:val="00070E18"/>
    <w:rsid w:val="00070F74"/>
    <w:rsid w:val="00071341"/>
    <w:rsid w:val="00071591"/>
    <w:rsid w:val="000716F4"/>
    <w:rsid w:val="00071D1F"/>
    <w:rsid w:val="00072BB0"/>
    <w:rsid w:val="000740E1"/>
    <w:rsid w:val="000758FE"/>
    <w:rsid w:val="00076091"/>
    <w:rsid w:val="00076880"/>
    <w:rsid w:val="00077C5F"/>
    <w:rsid w:val="00080E1D"/>
    <w:rsid w:val="00080FB4"/>
    <w:rsid w:val="0008111C"/>
    <w:rsid w:val="000828C6"/>
    <w:rsid w:val="000843B3"/>
    <w:rsid w:val="0008496A"/>
    <w:rsid w:val="00084A4D"/>
    <w:rsid w:val="00084D20"/>
    <w:rsid w:val="00085061"/>
    <w:rsid w:val="000850DB"/>
    <w:rsid w:val="000858A9"/>
    <w:rsid w:val="00085F94"/>
    <w:rsid w:val="00086287"/>
    <w:rsid w:val="00086BB4"/>
    <w:rsid w:val="00086BE8"/>
    <w:rsid w:val="00086C09"/>
    <w:rsid w:val="000903FA"/>
    <w:rsid w:val="00090D16"/>
    <w:rsid w:val="00091EE4"/>
    <w:rsid w:val="00092210"/>
    <w:rsid w:val="00092F67"/>
    <w:rsid w:val="000933A2"/>
    <w:rsid w:val="0009340E"/>
    <w:rsid w:val="00093686"/>
    <w:rsid w:val="00094D25"/>
    <w:rsid w:val="00095191"/>
    <w:rsid w:val="000955E9"/>
    <w:rsid w:val="000A069B"/>
    <w:rsid w:val="000A0A0D"/>
    <w:rsid w:val="000A0AD0"/>
    <w:rsid w:val="000A179A"/>
    <w:rsid w:val="000A3B1A"/>
    <w:rsid w:val="000A4B61"/>
    <w:rsid w:val="000A4C19"/>
    <w:rsid w:val="000A4D7A"/>
    <w:rsid w:val="000A57BC"/>
    <w:rsid w:val="000A664F"/>
    <w:rsid w:val="000A6A2B"/>
    <w:rsid w:val="000A7096"/>
    <w:rsid w:val="000B02A0"/>
    <w:rsid w:val="000B0B09"/>
    <w:rsid w:val="000B0E46"/>
    <w:rsid w:val="000B0EBE"/>
    <w:rsid w:val="000B13A1"/>
    <w:rsid w:val="000B2003"/>
    <w:rsid w:val="000B2A0A"/>
    <w:rsid w:val="000B3138"/>
    <w:rsid w:val="000B3280"/>
    <w:rsid w:val="000B3C33"/>
    <w:rsid w:val="000B3E25"/>
    <w:rsid w:val="000B43F9"/>
    <w:rsid w:val="000B50B6"/>
    <w:rsid w:val="000B5C76"/>
    <w:rsid w:val="000B5F8A"/>
    <w:rsid w:val="000B6974"/>
    <w:rsid w:val="000B6A14"/>
    <w:rsid w:val="000B70E1"/>
    <w:rsid w:val="000B7AED"/>
    <w:rsid w:val="000C0C4F"/>
    <w:rsid w:val="000C1F8C"/>
    <w:rsid w:val="000C24B5"/>
    <w:rsid w:val="000C2AF8"/>
    <w:rsid w:val="000C30A6"/>
    <w:rsid w:val="000C33ED"/>
    <w:rsid w:val="000C341B"/>
    <w:rsid w:val="000C4A6C"/>
    <w:rsid w:val="000C4E97"/>
    <w:rsid w:val="000C5A1A"/>
    <w:rsid w:val="000C61AD"/>
    <w:rsid w:val="000C6B4D"/>
    <w:rsid w:val="000C75E3"/>
    <w:rsid w:val="000C7632"/>
    <w:rsid w:val="000D163C"/>
    <w:rsid w:val="000D1C22"/>
    <w:rsid w:val="000D220D"/>
    <w:rsid w:val="000D3E91"/>
    <w:rsid w:val="000D3EBB"/>
    <w:rsid w:val="000D4352"/>
    <w:rsid w:val="000D4C02"/>
    <w:rsid w:val="000D4C3B"/>
    <w:rsid w:val="000D4F8F"/>
    <w:rsid w:val="000D519F"/>
    <w:rsid w:val="000D5292"/>
    <w:rsid w:val="000D5626"/>
    <w:rsid w:val="000D6ACD"/>
    <w:rsid w:val="000D6B9B"/>
    <w:rsid w:val="000D7D2D"/>
    <w:rsid w:val="000E0BCE"/>
    <w:rsid w:val="000E1572"/>
    <w:rsid w:val="000E262F"/>
    <w:rsid w:val="000E29C9"/>
    <w:rsid w:val="000E2DAA"/>
    <w:rsid w:val="000E3746"/>
    <w:rsid w:val="000E403F"/>
    <w:rsid w:val="000E6A3F"/>
    <w:rsid w:val="000E6AE1"/>
    <w:rsid w:val="000E7BA8"/>
    <w:rsid w:val="000E7BF1"/>
    <w:rsid w:val="000E7D9D"/>
    <w:rsid w:val="000F0033"/>
    <w:rsid w:val="000F13F9"/>
    <w:rsid w:val="000F168E"/>
    <w:rsid w:val="000F17F5"/>
    <w:rsid w:val="000F2C51"/>
    <w:rsid w:val="000F2EC8"/>
    <w:rsid w:val="000F2F09"/>
    <w:rsid w:val="000F3293"/>
    <w:rsid w:val="000F33AF"/>
    <w:rsid w:val="000F46D5"/>
    <w:rsid w:val="000F4702"/>
    <w:rsid w:val="000F5B6A"/>
    <w:rsid w:val="000F5C2E"/>
    <w:rsid w:val="000F6A80"/>
    <w:rsid w:val="000F6ADE"/>
    <w:rsid w:val="000F6B25"/>
    <w:rsid w:val="000F6C8D"/>
    <w:rsid w:val="00100DC2"/>
    <w:rsid w:val="001015B2"/>
    <w:rsid w:val="0010177C"/>
    <w:rsid w:val="00101AB6"/>
    <w:rsid w:val="00102181"/>
    <w:rsid w:val="00102BD1"/>
    <w:rsid w:val="00102C6F"/>
    <w:rsid w:val="00103A85"/>
    <w:rsid w:val="00104370"/>
    <w:rsid w:val="0010455D"/>
    <w:rsid w:val="00105504"/>
    <w:rsid w:val="0010559F"/>
    <w:rsid w:val="00106224"/>
    <w:rsid w:val="00106795"/>
    <w:rsid w:val="001074E0"/>
    <w:rsid w:val="001078DD"/>
    <w:rsid w:val="00107D83"/>
    <w:rsid w:val="00110554"/>
    <w:rsid w:val="00111A18"/>
    <w:rsid w:val="00113EA5"/>
    <w:rsid w:val="0011434F"/>
    <w:rsid w:val="0011750E"/>
    <w:rsid w:val="0012049B"/>
    <w:rsid w:val="00120E4E"/>
    <w:rsid w:val="001219C2"/>
    <w:rsid w:val="00122E4C"/>
    <w:rsid w:val="00124A44"/>
    <w:rsid w:val="00124B85"/>
    <w:rsid w:val="00125033"/>
    <w:rsid w:val="001250CC"/>
    <w:rsid w:val="00125249"/>
    <w:rsid w:val="00125D44"/>
    <w:rsid w:val="00126276"/>
    <w:rsid w:val="00126452"/>
    <w:rsid w:val="0012648C"/>
    <w:rsid w:val="0012683C"/>
    <w:rsid w:val="001273B5"/>
    <w:rsid w:val="00127BB0"/>
    <w:rsid w:val="001305C1"/>
    <w:rsid w:val="00131645"/>
    <w:rsid w:val="001328E6"/>
    <w:rsid w:val="00133AC1"/>
    <w:rsid w:val="0013532A"/>
    <w:rsid w:val="00136316"/>
    <w:rsid w:val="00137AC5"/>
    <w:rsid w:val="00137FBD"/>
    <w:rsid w:val="00140078"/>
    <w:rsid w:val="001402DB"/>
    <w:rsid w:val="00141692"/>
    <w:rsid w:val="00141DD1"/>
    <w:rsid w:val="00141FE7"/>
    <w:rsid w:val="001420A5"/>
    <w:rsid w:val="001432EE"/>
    <w:rsid w:val="00144F03"/>
    <w:rsid w:val="00145378"/>
    <w:rsid w:val="00145589"/>
    <w:rsid w:val="00145CDE"/>
    <w:rsid w:val="00145D1B"/>
    <w:rsid w:val="00146200"/>
    <w:rsid w:val="00147158"/>
    <w:rsid w:val="001474C7"/>
    <w:rsid w:val="001474E0"/>
    <w:rsid w:val="00151071"/>
    <w:rsid w:val="00151D8A"/>
    <w:rsid w:val="00152099"/>
    <w:rsid w:val="001523DC"/>
    <w:rsid w:val="00152B61"/>
    <w:rsid w:val="001532AB"/>
    <w:rsid w:val="001533C4"/>
    <w:rsid w:val="0015375E"/>
    <w:rsid w:val="00153B15"/>
    <w:rsid w:val="0015405D"/>
    <w:rsid w:val="00154BF5"/>
    <w:rsid w:val="00154CCF"/>
    <w:rsid w:val="00156301"/>
    <w:rsid w:val="00156555"/>
    <w:rsid w:val="00156854"/>
    <w:rsid w:val="001570C4"/>
    <w:rsid w:val="00157B19"/>
    <w:rsid w:val="00160518"/>
    <w:rsid w:val="0016072E"/>
    <w:rsid w:val="0016075E"/>
    <w:rsid w:val="001623DE"/>
    <w:rsid w:val="001628F4"/>
    <w:rsid w:val="00162AEF"/>
    <w:rsid w:val="00162CCF"/>
    <w:rsid w:val="00163DBA"/>
    <w:rsid w:val="0016457C"/>
    <w:rsid w:val="00164970"/>
    <w:rsid w:val="001668C3"/>
    <w:rsid w:val="0016695B"/>
    <w:rsid w:val="0016785C"/>
    <w:rsid w:val="0016791C"/>
    <w:rsid w:val="00167A38"/>
    <w:rsid w:val="00167E59"/>
    <w:rsid w:val="00171AFC"/>
    <w:rsid w:val="001721BD"/>
    <w:rsid w:val="001723DD"/>
    <w:rsid w:val="001734AB"/>
    <w:rsid w:val="00173539"/>
    <w:rsid w:val="0017357F"/>
    <w:rsid w:val="0017379A"/>
    <w:rsid w:val="0017440D"/>
    <w:rsid w:val="00175957"/>
    <w:rsid w:val="0017624F"/>
    <w:rsid w:val="001764A6"/>
    <w:rsid w:val="00176C58"/>
    <w:rsid w:val="00181174"/>
    <w:rsid w:val="00181B30"/>
    <w:rsid w:val="001822DF"/>
    <w:rsid w:val="00183B7A"/>
    <w:rsid w:val="00184ABA"/>
    <w:rsid w:val="00184E8A"/>
    <w:rsid w:val="00184FBB"/>
    <w:rsid w:val="0018533B"/>
    <w:rsid w:val="001854F6"/>
    <w:rsid w:val="00185877"/>
    <w:rsid w:val="001868B6"/>
    <w:rsid w:val="0018763B"/>
    <w:rsid w:val="00190F10"/>
    <w:rsid w:val="00190FA3"/>
    <w:rsid w:val="001919E9"/>
    <w:rsid w:val="00193CE6"/>
    <w:rsid w:val="00196AA9"/>
    <w:rsid w:val="00197F4E"/>
    <w:rsid w:val="001A0DA4"/>
    <w:rsid w:val="001A2115"/>
    <w:rsid w:val="001A3896"/>
    <w:rsid w:val="001A44B3"/>
    <w:rsid w:val="001A523B"/>
    <w:rsid w:val="001A75D8"/>
    <w:rsid w:val="001A7921"/>
    <w:rsid w:val="001A79C4"/>
    <w:rsid w:val="001B0707"/>
    <w:rsid w:val="001B21AE"/>
    <w:rsid w:val="001B2C31"/>
    <w:rsid w:val="001B2F3D"/>
    <w:rsid w:val="001B331C"/>
    <w:rsid w:val="001B3323"/>
    <w:rsid w:val="001B4EA5"/>
    <w:rsid w:val="001B5499"/>
    <w:rsid w:val="001B553B"/>
    <w:rsid w:val="001B6EA8"/>
    <w:rsid w:val="001B7054"/>
    <w:rsid w:val="001B705F"/>
    <w:rsid w:val="001B7D0F"/>
    <w:rsid w:val="001B7EF2"/>
    <w:rsid w:val="001B7F1A"/>
    <w:rsid w:val="001C0280"/>
    <w:rsid w:val="001C05AA"/>
    <w:rsid w:val="001C0C33"/>
    <w:rsid w:val="001C1392"/>
    <w:rsid w:val="001C16AD"/>
    <w:rsid w:val="001C29DB"/>
    <w:rsid w:val="001C2BA5"/>
    <w:rsid w:val="001C367F"/>
    <w:rsid w:val="001C6210"/>
    <w:rsid w:val="001C7897"/>
    <w:rsid w:val="001C7AB7"/>
    <w:rsid w:val="001D03C3"/>
    <w:rsid w:val="001D0590"/>
    <w:rsid w:val="001D1960"/>
    <w:rsid w:val="001D2422"/>
    <w:rsid w:val="001D2FE6"/>
    <w:rsid w:val="001D3409"/>
    <w:rsid w:val="001D448B"/>
    <w:rsid w:val="001D6EBC"/>
    <w:rsid w:val="001D7382"/>
    <w:rsid w:val="001D773F"/>
    <w:rsid w:val="001E01BA"/>
    <w:rsid w:val="001E0564"/>
    <w:rsid w:val="001E06FE"/>
    <w:rsid w:val="001E0E83"/>
    <w:rsid w:val="001E115F"/>
    <w:rsid w:val="001E11A0"/>
    <w:rsid w:val="001E2272"/>
    <w:rsid w:val="001E268E"/>
    <w:rsid w:val="001E38FD"/>
    <w:rsid w:val="001E39E5"/>
    <w:rsid w:val="001E4B84"/>
    <w:rsid w:val="001E5A75"/>
    <w:rsid w:val="001E60B4"/>
    <w:rsid w:val="001E6B9D"/>
    <w:rsid w:val="001E7AE4"/>
    <w:rsid w:val="001E7EA7"/>
    <w:rsid w:val="001F0111"/>
    <w:rsid w:val="001F06B8"/>
    <w:rsid w:val="001F1AEB"/>
    <w:rsid w:val="001F1F46"/>
    <w:rsid w:val="001F2920"/>
    <w:rsid w:val="001F2DF7"/>
    <w:rsid w:val="001F5AC3"/>
    <w:rsid w:val="001F78E3"/>
    <w:rsid w:val="0020185C"/>
    <w:rsid w:val="00202198"/>
    <w:rsid w:val="00202475"/>
    <w:rsid w:val="0020282E"/>
    <w:rsid w:val="00203D2B"/>
    <w:rsid w:val="00204FB6"/>
    <w:rsid w:val="0020546B"/>
    <w:rsid w:val="00206687"/>
    <w:rsid w:val="00206D7E"/>
    <w:rsid w:val="002115AA"/>
    <w:rsid w:val="00212D95"/>
    <w:rsid w:val="0021389C"/>
    <w:rsid w:val="00213DC3"/>
    <w:rsid w:val="00215548"/>
    <w:rsid w:val="00215F48"/>
    <w:rsid w:val="00216FBF"/>
    <w:rsid w:val="0021766C"/>
    <w:rsid w:val="0021767A"/>
    <w:rsid w:val="00221103"/>
    <w:rsid w:val="00221A8E"/>
    <w:rsid w:val="00221C2F"/>
    <w:rsid w:val="00222596"/>
    <w:rsid w:val="002229FF"/>
    <w:rsid w:val="00222AC6"/>
    <w:rsid w:val="00222CD3"/>
    <w:rsid w:val="0022344F"/>
    <w:rsid w:val="002235B9"/>
    <w:rsid w:val="0022371C"/>
    <w:rsid w:val="00224125"/>
    <w:rsid w:val="00224E0C"/>
    <w:rsid w:val="00224FE5"/>
    <w:rsid w:val="00225D42"/>
    <w:rsid w:val="00225F96"/>
    <w:rsid w:val="002301C6"/>
    <w:rsid w:val="00230665"/>
    <w:rsid w:val="002307AD"/>
    <w:rsid w:val="00230CCD"/>
    <w:rsid w:val="0023488F"/>
    <w:rsid w:val="00234D20"/>
    <w:rsid w:val="002357EA"/>
    <w:rsid w:val="00235897"/>
    <w:rsid w:val="00236014"/>
    <w:rsid w:val="002367E6"/>
    <w:rsid w:val="00236D34"/>
    <w:rsid w:val="00237276"/>
    <w:rsid w:val="00237BAA"/>
    <w:rsid w:val="00237F07"/>
    <w:rsid w:val="00241808"/>
    <w:rsid w:val="00242338"/>
    <w:rsid w:val="002423CA"/>
    <w:rsid w:val="00243377"/>
    <w:rsid w:val="00244E5F"/>
    <w:rsid w:val="002450B6"/>
    <w:rsid w:val="00245325"/>
    <w:rsid w:val="00246893"/>
    <w:rsid w:val="00246BCA"/>
    <w:rsid w:val="002470E0"/>
    <w:rsid w:val="00250176"/>
    <w:rsid w:val="002506A3"/>
    <w:rsid w:val="00251CF4"/>
    <w:rsid w:val="00251EE7"/>
    <w:rsid w:val="00251F24"/>
    <w:rsid w:val="002526CF"/>
    <w:rsid w:val="00253022"/>
    <w:rsid w:val="00253695"/>
    <w:rsid w:val="002547C1"/>
    <w:rsid w:val="00254B3E"/>
    <w:rsid w:val="00254DF6"/>
    <w:rsid w:val="00255092"/>
    <w:rsid w:val="00255961"/>
    <w:rsid w:val="00255976"/>
    <w:rsid w:val="00255A42"/>
    <w:rsid w:val="0025607F"/>
    <w:rsid w:val="002562F9"/>
    <w:rsid w:val="00256C82"/>
    <w:rsid w:val="002573AE"/>
    <w:rsid w:val="00257A77"/>
    <w:rsid w:val="00257F5F"/>
    <w:rsid w:val="00260AA2"/>
    <w:rsid w:val="002618F4"/>
    <w:rsid w:val="0026247C"/>
    <w:rsid w:val="002628D9"/>
    <w:rsid w:val="00262C1B"/>
    <w:rsid w:val="00264483"/>
    <w:rsid w:val="00264687"/>
    <w:rsid w:val="002647D2"/>
    <w:rsid w:val="0026485D"/>
    <w:rsid w:val="002648B0"/>
    <w:rsid w:val="002664C7"/>
    <w:rsid w:val="00266951"/>
    <w:rsid w:val="002675DC"/>
    <w:rsid w:val="0026780A"/>
    <w:rsid w:val="00267915"/>
    <w:rsid w:val="00270BE1"/>
    <w:rsid w:val="002715F7"/>
    <w:rsid w:val="00271C8B"/>
    <w:rsid w:val="00272362"/>
    <w:rsid w:val="00272F65"/>
    <w:rsid w:val="002735FE"/>
    <w:rsid w:val="00276060"/>
    <w:rsid w:val="00276138"/>
    <w:rsid w:val="00276B41"/>
    <w:rsid w:val="002773F1"/>
    <w:rsid w:val="0027740D"/>
    <w:rsid w:val="0027793D"/>
    <w:rsid w:val="00280079"/>
    <w:rsid w:val="002801EB"/>
    <w:rsid w:val="002805FD"/>
    <w:rsid w:val="0028072E"/>
    <w:rsid w:val="00280B99"/>
    <w:rsid w:val="00281A8C"/>
    <w:rsid w:val="00283184"/>
    <w:rsid w:val="0028322D"/>
    <w:rsid w:val="002844C0"/>
    <w:rsid w:val="00284BD5"/>
    <w:rsid w:val="00285A68"/>
    <w:rsid w:val="00285E2F"/>
    <w:rsid w:val="002864FC"/>
    <w:rsid w:val="002869B1"/>
    <w:rsid w:val="00286CB6"/>
    <w:rsid w:val="00286F80"/>
    <w:rsid w:val="00290EE2"/>
    <w:rsid w:val="002920FF"/>
    <w:rsid w:val="00292409"/>
    <w:rsid w:val="00292EF9"/>
    <w:rsid w:val="002934F1"/>
    <w:rsid w:val="00297074"/>
    <w:rsid w:val="002A04D3"/>
    <w:rsid w:val="002A15E2"/>
    <w:rsid w:val="002A1796"/>
    <w:rsid w:val="002A391D"/>
    <w:rsid w:val="002A4556"/>
    <w:rsid w:val="002A568B"/>
    <w:rsid w:val="002A5969"/>
    <w:rsid w:val="002A7C84"/>
    <w:rsid w:val="002A7F5C"/>
    <w:rsid w:val="002B0E12"/>
    <w:rsid w:val="002B0FC9"/>
    <w:rsid w:val="002B15B5"/>
    <w:rsid w:val="002B1600"/>
    <w:rsid w:val="002B2B9C"/>
    <w:rsid w:val="002B2BA3"/>
    <w:rsid w:val="002B2C5A"/>
    <w:rsid w:val="002B2DBD"/>
    <w:rsid w:val="002B4FFA"/>
    <w:rsid w:val="002B5403"/>
    <w:rsid w:val="002B5492"/>
    <w:rsid w:val="002B592B"/>
    <w:rsid w:val="002B5B50"/>
    <w:rsid w:val="002B6FE3"/>
    <w:rsid w:val="002B766F"/>
    <w:rsid w:val="002C00A8"/>
    <w:rsid w:val="002C0206"/>
    <w:rsid w:val="002C053E"/>
    <w:rsid w:val="002C0B8F"/>
    <w:rsid w:val="002C1251"/>
    <w:rsid w:val="002C2EED"/>
    <w:rsid w:val="002C37D9"/>
    <w:rsid w:val="002C41F1"/>
    <w:rsid w:val="002C488A"/>
    <w:rsid w:val="002C498D"/>
    <w:rsid w:val="002C499F"/>
    <w:rsid w:val="002C4F34"/>
    <w:rsid w:val="002C54E6"/>
    <w:rsid w:val="002C6263"/>
    <w:rsid w:val="002C6E33"/>
    <w:rsid w:val="002D194B"/>
    <w:rsid w:val="002D1C76"/>
    <w:rsid w:val="002D23E9"/>
    <w:rsid w:val="002D3982"/>
    <w:rsid w:val="002D3A56"/>
    <w:rsid w:val="002D44EC"/>
    <w:rsid w:val="002D4561"/>
    <w:rsid w:val="002D4D1F"/>
    <w:rsid w:val="002D4E10"/>
    <w:rsid w:val="002D4F6A"/>
    <w:rsid w:val="002D52DC"/>
    <w:rsid w:val="002D5722"/>
    <w:rsid w:val="002D5A0C"/>
    <w:rsid w:val="002D6B9E"/>
    <w:rsid w:val="002D7EDD"/>
    <w:rsid w:val="002E053A"/>
    <w:rsid w:val="002E0DDB"/>
    <w:rsid w:val="002E1807"/>
    <w:rsid w:val="002E2061"/>
    <w:rsid w:val="002E2164"/>
    <w:rsid w:val="002E23D4"/>
    <w:rsid w:val="002E2A1A"/>
    <w:rsid w:val="002E3720"/>
    <w:rsid w:val="002E4EA1"/>
    <w:rsid w:val="002E4EB7"/>
    <w:rsid w:val="002E587F"/>
    <w:rsid w:val="002E6203"/>
    <w:rsid w:val="002E6765"/>
    <w:rsid w:val="002E6AC2"/>
    <w:rsid w:val="002E7096"/>
    <w:rsid w:val="002F0725"/>
    <w:rsid w:val="002F07EA"/>
    <w:rsid w:val="002F15B8"/>
    <w:rsid w:val="002F170E"/>
    <w:rsid w:val="002F1920"/>
    <w:rsid w:val="002F1B82"/>
    <w:rsid w:val="002F1BCD"/>
    <w:rsid w:val="002F1E8D"/>
    <w:rsid w:val="002F2663"/>
    <w:rsid w:val="002F2DD0"/>
    <w:rsid w:val="002F3156"/>
    <w:rsid w:val="002F39A7"/>
    <w:rsid w:val="002F3E8C"/>
    <w:rsid w:val="002F41C7"/>
    <w:rsid w:val="002F4604"/>
    <w:rsid w:val="002F4A67"/>
    <w:rsid w:val="002F4DD4"/>
    <w:rsid w:val="002F6A28"/>
    <w:rsid w:val="002F7555"/>
    <w:rsid w:val="003000DD"/>
    <w:rsid w:val="00300224"/>
    <w:rsid w:val="003006F3"/>
    <w:rsid w:val="003008BE"/>
    <w:rsid w:val="00302ADC"/>
    <w:rsid w:val="00302C26"/>
    <w:rsid w:val="00303816"/>
    <w:rsid w:val="003046C0"/>
    <w:rsid w:val="00306AD1"/>
    <w:rsid w:val="00306F71"/>
    <w:rsid w:val="00307C57"/>
    <w:rsid w:val="003105C6"/>
    <w:rsid w:val="00310F05"/>
    <w:rsid w:val="00311119"/>
    <w:rsid w:val="00311B2D"/>
    <w:rsid w:val="00312BA3"/>
    <w:rsid w:val="003137B9"/>
    <w:rsid w:val="00315CFF"/>
    <w:rsid w:val="0031684D"/>
    <w:rsid w:val="00316F4B"/>
    <w:rsid w:val="00320A95"/>
    <w:rsid w:val="00320BB4"/>
    <w:rsid w:val="00321502"/>
    <w:rsid w:val="003220BD"/>
    <w:rsid w:val="00322346"/>
    <w:rsid w:val="00323648"/>
    <w:rsid w:val="00324711"/>
    <w:rsid w:val="00324D52"/>
    <w:rsid w:val="00325164"/>
    <w:rsid w:val="00325654"/>
    <w:rsid w:val="0032635E"/>
    <w:rsid w:val="003268D9"/>
    <w:rsid w:val="00327E44"/>
    <w:rsid w:val="003300FF"/>
    <w:rsid w:val="00330101"/>
    <w:rsid w:val="00330199"/>
    <w:rsid w:val="00330675"/>
    <w:rsid w:val="00331BA0"/>
    <w:rsid w:val="00331FE6"/>
    <w:rsid w:val="003324F8"/>
    <w:rsid w:val="0033351A"/>
    <w:rsid w:val="003339DE"/>
    <w:rsid w:val="00333A44"/>
    <w:rsid w:val="00334093"/>
    <w:rsid w:val="00336173"/>
    <w:rsid w:val="003374C1"/>
    <w:rsid w:val="00337849"/>
    <w:rsid w:val="003378F4"/>
    <w:rsid w:val="00340094"/>
    <w:rsid w:val="003400BB"/>
    <w:rsid w:val="00340CF2"/>
    <w:rsid w:val="00342150"/>
    <w:rsid w:val="00343764"/>
    <w:rsid w:val="003438E8"/>
    <w:rsid w:val="00343A82"/>
    <w:rsid w:val="00344913"/>
    <w:rsid w:val="003459F8"/>
    <w:rsid w:val="00345A82"/>
    <w:rsid w:val="00345E53"/>
    <w:rsid w:val="0034671C"/>
    <w:rsid w:val="00346C65"/>
    <w:rsid w:val="00347FF9"/>
    <w:rsid w:val="003502A7"/>
    <w:rsid w:val="00350DDB"/>
    <w:rsid w:val="00351F94"/>
    <w:rsid w:val="00352C6E"/>
    <w:rsid w:val="00352F94"/>
    <w:rsid w:val="003536FD"/>
    <w:rsid w:val="00353D40"/>
    <w:rsid w:val="0035485E"/>
    <w:rsid w:val="00354D9D"/>
    <w:rsid w:val="0035719F"/>
    <w:rsid w:val="0035769E"/>
    <w:rsid w:val="00357B9A"/>
    <w:rsid w:val="00357F63"/>
    <w:rsid w:val="00357FAB"/>
    <w:rsid w:val="00360CE2"/>
    <w:rsid w:val="00360DB0"/>
    <w:rsid w:val="00361606"/>
    <w:rsid w:val="003616A1"/>
    <w:rsid w:val="00362C90"/>
    <w:rsid w:val="00363389"/>
    <w:rsid w:val="003654B0"/>
    <w:rsid w:val="003659D2"/>
    <w:rsid w:val="00366D61"/>
    <w:rsid w:val="00366D8E"/>
    <w:rsid w:val="003670E4"/>
    <w:rsid w:val="0036730A"/>
    <w:rsid w:val="00371593"/>
    <w:rsid w:val="00371919"/>
    <w:rsid w:val="003728BC"/>
    <w:rsid w:val="003733F2"/>
    <w:rsid w:val="00373925"/>
    <w:rsid w:val="003739A7"/>
    <w:rsid w:val="00373E3E"/>
    <w:rsid w:val="0037409A"/>
    <w:rsid w:val="00375069"/>
    <w:rsid w:val="00375C47"/>
    <w:rsid w:val="0037605C"/>
    <w:rsid w:val="00376E1F"/>
    <w:rsid w:val="00377200"/>
    <w:rsid w:val="00380D47"/>
    <w:rsid w:val="0038147E"/>
    <w:rsid w:val="00381DF5"/>
    <w:rsid w:val="003826D9"/>
    <w:rsid w:val="0038389D"/>
    <w:rsid w:val="00383FF2"/>
    <w:rsid w:val="00384C07"/>
    <w:rsid w:val="00384CAC"/>
    <w:rsid w:val="00385449"/>
    <w:rsid w:val="00387480"/>
    <w:rsid w:val="00387665"/>
    <w:rsid w:val="00387E21"/>
    <w:rsid w:val="00387E40"/>
    <w:rsid w:val="00387EA9"/>
    <w:rsid w:val="00390A56"/>
    <w:rsid w:val="00390DDA"/>
    <w:rsid w:val="00392C11"/>
    <w:rsid w:val="00393539"/>
    <w:rsid w:val="003937A3"/>
    <w:rsid w:val="0039393D"/>
    <w:rsid w:val="00393B61"/>
    <w:rsid w:val="00394FF1"/>
    <w:rsid w:val="0039531C"/>
    <w:rsid w:val="003953E6"/>
    <w:rsid w:val="00396EF1"/>
    <w:rsid w:val="00397314"/>
    <w:rsid w:val="0039740A"/>
    <w:rsid w:val="00397A77"/>
    <w:rsid w:val="003A0C05"/>
    <w:rsid w:val="003A0E03"/>
    <w:rsid w:val="003A0E62"/>
    <w:rsid w:val="003A0EFF"/>
    <w:rsid w:val="003A16DB"/>
    <w:rsid w:val="003A19A6"/>
    <w:rsid w:val="003A1B96"/>
    <w:rsid w:val="003A1E57"/>
    <w:rsid w:val="003A200A"/>
    <w:rsid w:val="003A2D66"/>
    <w:rsid w:val="003A3877"/>
    <w:rsid w:val="003A421D"/>
    <w:rsid w:val="003A449C"/>
    <w:rsid w:val="003A497B"/>
    <w:rsid w:val="003A4BE4"/>
    <w:rsid w:val="003A4C8B"/>
    <w:rsid w:val="003A4CE9"/>
    <w:rsid w:val="003A5743"/>
    <w:rsid w:val="003A5D8C"/>
    <w:rsid w:val="003A5DCA"/>
    <w:rsid w:val="003A709F"/>
    <w:rsid w:val="003A71B6"/>
    <w:rsid w:val="003A7214"/>
    <w:rsid w:val="003B03AD"/>
    <w:rsid w:val="003B1038"/>
    <w:rsid w:val="003B2324"/>
    <w:rsid w:val="003B25F0"/>
    <w:rsid w:val="003B3112"/>
    <w:rsid w:val="003B3DBB"/>
    <w:rsid w:val="003B531E"/>
    <w:rsid w:val="003B573D"/>
    <w:rsid w:val="003B5E84"/>
    <w:rsid w:val="003B5EF6"/>
    <w:rsid w:val="003B6BE0"/>
    <w:rsid w:val="003B7034"/>
    <w:rsid w:val="003B7060"/>
    <w:rsid w:val="003C050A"/>
    <w:rsid w:val="003C085E"/>
    <w:rsid w:val="003C0AB7"/>
    <w:rsid w:val="003C0FB5"/>
    <w:rsid w:val="003C1F85"/>
    <w:rsid w:val="003C1FA8"/>
    <w:rsid w:val="003C2409"/>
    <w:rsid w:val="003C2566"/>
    <w:rsid w:val="003C3509"/>
    <w:rsid w:val="003C36CC"/>
    <w:rsid w:val="003C3A50"/>
    <w:rsid w:val="003C3AAB"/>
    <w:rsid w:val="003C3B79"/>
    <w:rsid w:val="003C3FD5"/>
    <w:rsid w:val="003C4307"/>
    <w:rsid w:val="003C51D9"/>
    <w:rsid w:val="003C59C5"/>
    <w:rsid w:val="003C60B9"/>
    <w:rsid w:val="003C6F91"/>
    <w:rsid w:val="003C7853"/>
    <w:rsid w:val="003C7B53"/>
    <w:rsid w:val="003D09B8"/>
    <w:rsid w:val="003D10E9"/>
    <w:rsid w:val="003D1657"/>
    <w:rsid w:val="003D2B87"/>
    <w:rsid w:val="003D3AF1"/>
    <w:rsid w:val="003D3CED"/>
    <w:rsid w:val="003D3FF7"/>
    <w:rsid w:val="003D431C"/>
    <w:rsid w:val="003D56DE"/>
    <w:rsid w:val="003D574E"/>
    <w:rsid w:val="003D5905"/>
    <w:rsid w:val="003D73DE"/>
    <w:rsid w:val="003D7F50"/>
    <w:rsid w:val="003E25E5"/>
    <w:rsid w:val="003E4D9B"/>
    <w:rsid w:val="003E5145"/>
    <w:rsid w:val="003E6075"/>
    <w:rsid w:val="003E74D5"/>
    <w:rsid w:val="003E786B"/>
    <w:rsid w:val="003F0783"/>
    <w:rsid w:val="003F0866"/>
    <w:rsid w:val="003F0924"/>
    <w:rsid w:val="003F15BB"/>
    <w:rsid w:val="003F17BB"/>
    <w:rsid w:val="003F19A9"/>
    <w:rsid w:val="003F1DB3"/>
    <w:rsid w:val="003F491E"/>
    <w:rsid w:val="003F573B"/>
    <w:rsid w:val="003F5C55"/>
    <w:rsid w:val="003F613D"/>
    <w:rsid w:val="003F653C"/>
    <w:rsid w:val="003F67C0"/>
    <w:rsid w:val="003F74CE"/>
    <w:rsid w:val="003F7D80"/>
    <w:rsid w:val="0040021A"/>
    <w:rsid w:val="00400B05"/>
    <w:rsid w:val="00401111"/>
    <w:rsid w:val="004016A4"/>
    <w:rsid w:val="00401C10"/>
    <w:rsid w:val="00402CB2"/>
    <w:rsid w:val="0040416E"/>
    <w:rsid w:val="0040445D"/>
    <w:rsid w:val="0040521E"/>
    <w:rsid w:val="00405985"/>
    <w:rsid w:val="00405C0A"/>
    <w:rsid w:val="0040654A"/>
    <w:rsid w:val="0040680C"/>
    <w:rsid w:val="00406DDE"/>
    <w:rsid w:val="00407110"/>
    <w:rsid w:val="00407936"/>
    <w:rsid w:val="00410796"/>
    <w:rsid w:val="00410F21"/>
    <w:rsid w:val="004129D0"/>
    <w:rsid w:val="00412CA0"/>
    <w:rsid w:val="00412D44"/>
    <w:rsid w:val="004133D9"/>
    <w:rsid w:val="00414202"/>
    <w:rsid w:val="00414D9A"/>
    <w:rsid w:val="00415A1B"/>
    <w:rsid w:val="004169A7"/>
    <w:rsid w:val="00421136"/>
    <w:rsid w:val="00421EE3"/>
    <w:rsid w:val="00424A42"/>
    <w:rsid w:val="00424B48"/>
    <w:rsid w:val="00424E15"/>
    <w:rsid w:val="00426AF6"/>
    <w:rsid w:val="0042766A"/>
    <w:rsid w:val="00427738"/>
    <w:rsid w:val="00427E61"/>
    <w:rsid w:val="0043001B"/>
    <w:rsid w:val="00430302"/>
    <w:rsid w:val="004304C0"/>
    <w:rsid w:val="00430FB0"/>
    <w:rsid w:val="0043231D"/>
    <w:rsid w:val="004350F2"/>
    <w:rsid w:val="004357B9"/>
    <w:rsid w:val="00436204"/>
    <w:rsid w:val="00436490"/>
    <w:rsid w:val="004377DA"/>
    <w:rsid w:val="004377E2"/>
    <w:rsid w:val="00440881"/>
    <w:rsid w:val="004408E7"/>
    <w:rsid w:val="00440AE8"/>
    <w:rsid w:val="00440F85"/>
    <w:rsid w:val="00442272"/>
    <w:rsid w:val="00443003"/>
    <w:rsid w:val="0044314D"/>
    <w:rsid w:val="00443DD0"/>
    <w:rsid w:val="00444632"/>
    <w:rsid w:val="0044516F"/>
    <w:rsid w:val="004451F6"/>
    <w:rsid w:val="00445E06"/>
    <w:rsid w:val="004471EA"/>
    <w:rsid w:val="00450A2E"/>
    <w:rsid w:val="00451226"/>
    <w:rsid w:val="00451B63"/>
    <w:rsid w:val="00452EBF"/>
    <w:rsid w:val="00452FEF"/>
    <w:rsid w:val="00454082"/>
    <w:rsid w:val="00454139"/>
    <w:rsid w:val="00454B0F"/>
    <w:rsid w:val="00455364"/>
    <w:rsid w:val="00456FDD"/>
    <w:rsid w:val="004600E4"/>
    <w:rsid w:val="004603C7"/>
    <w:rsid w:val="00460CE0"/>
    <w:rsid w:val="00461414"/>
    <w:rsid w:val="00461A5A"/>
    <w:rsid w:val="004629A2"/>
    <w:rsid w:val="00462BAB"/>
    <w:rsid w:val="00462F3D"/>
    <w:rsid w:val="00464170"/>
    <w:rsid w:val="00464F34"/>
    <w:rsid w:val="00465B35"/>
    <w:rsid w:val="004665B5"/>
    <w:rsid w:val="004669B3"/>
    <w:rsid w:val="00466D28"/>
    <w:rsid w:val="0046784F"/>
    <w:rsid w:val="00467F08"/>
    <w:rsid w:val="004707D9"/>
    <w:rsid w:val="00471A96"/>
    <w:rsid w:val="00472B6F"/>
    <w:rsid w:val="00473104"/>
    <w:rsid w:val="0047364E"/>
    <w:rsid w:val="004749E1"/>
    <w:rsid w:val="00474C49"/>
    <w:rsid w:val="0047503C"/>
    <w:rsid w:val="0047563E"/>
    <w:rsid w:val="00475B6A"/>
    <w:rsid w:val="0047602E"/>
    <w:rsid w:val="00476566"/>
    <w:rsid w:val="00476812"/>
    <w:rsid w:val="00476942"/>
    <w:rsid w:val="00477E7E"/>
    <w:rsid w:val="00480A69"/>
    <w:rsid w:val="0048116C"/>
    <w:rsid w:val="0048143B"/>
    <w:rsid w:val="0048306B"/>
    <w:rsid w:val="00483961"/>
    <w:rsid w:val="004839A8"/>
    <w:rsid w:val="0048426D"/>
    <w:rsid w:val="00484DDA"/>
    <w:rsid w:val="00486801"/>
    <w:rsid w:val="00486CB7"/>
    <w:rsid w:val="00486DA5"/>
    <w:rsid w:val="00486FD6"/>
    <w:rsid w:val="00487597"/>
    <w:rsid w:val="004901BE"/>
    <w:rsid w:val="00490212"/>
    <w:rsid w:val="00490788"/>
    <w:rsid w:val="00490AC9"/>
    <w:rsid w:val="00491072"/>
    <w:rsid w:val="004913CE"/>
    <w:rsid w:val="00492D77"/>
    <w:rsid w:val="00492F90"/>
    <w:rsid w:val="00493D5E"/>
    <w:rsid w:val="0049500E"/>
    <w:rsid w:val="00495F8D"/>
    <w:rsid w:val="00496245"/>
    <w:rsid w:val="00496342"/>
    <w:rsid w:val="00496C53"/>
    <w:rsid w:val="00496F5D"/>
    <w:rsid w:val="00497B41"/>
    <w:rsid w:val="00497CD0"/>
    <w:rsid w:val="00497D60"/>
    <w:rsid w:val="004A01BF"/>
    <w:rsid w:val="004A01DF"/>
    <w:rsid w:val="004A02F5"/>
    <w:rsid w:val="004A0D4A"/>
    <w:rsid w:val="004A3DF3"/>
    <w:rsid w:val="004A4350"/>
    <w:rsid w:val="004A50CC"/>
    <w:rsid w:val="004A5880"/>
    <w:rsid w:val="004A6C52"/>
    <w:rsid w:val="004A7B60"/>
    <w:rsid w:val="004B0102"/>
    <w:rsid w:val="004B135C"/>
    <w:rsid w:val="004B1AAC"/>
    <w:rsid w:val="004B1D32"/>
    <w:rsid w:val="004B2638"/>
    <w:rsid w:val="004B2A17"/>
    <w:rsid w:val="004B304D"/>
    <w:rsid w:val="004B38D3"/>
    <w:rsid w:val="004B38D7"/>
    <w:rsid w:val="004B3B8E"/>
    <w:rsid w:val="004B4DF9"/>
    <w:rsid w:val="004B7000"/>
    <w:rsid w:val="004B7AF3"/>
    <w:rsid w:val="004C15A0"/>
    <w:rsid w:val="004C1ACF"/>
    <w:rsid w:val="004C2080"/>
    <w:rsid w:val="004C29B7"/>
    <w:rsid w:val="004C3427"/>
    <w:rsid w:val="004C4039"/>
    <w:rsid w:val="004C4478"/>
    <w:rsid w:val="004C5963"/>
    <w:rsid w:val="004C6975"/>
    <w:rsid w:val="004C6E6F"/>
    <w:rsid w:val="004C74EC"/>
    <w:rsid w:val="004D0B54"/>
    <w:rsid w:val="004D0C15"/>
    <w:rsid w:val="004D0DC0"/>
    <w:rsid w:val="004D1D9E"/>
    <w:rsid w:val="004D1E9D"/>
    <w:rsid w:val="004D2031"/>
    <w:rsid w:val="004D39CC"/>
    <w:rsid w:val="004D4419"/>
    <w:rsid w:val="004D471B"/>
    <w:rsid w:val="004D621F"/>
    <w:rsid w:val="004D6C74"/>
    <w:rsid w:val="004E00F7"/>
    <w:rsid w:val="004E0244"/>
    <w:rsid w:val="004E04BF"/>
    <w:rsid w:val="004E1CAB"/>
    <w:rsid w:val="004E21C4"/>
    <w:rsid w:val="004E4C85"/>
    <w:rsid w:val="004E5B02"/>
    <w:rsid w:val="004E5BC8"/>
    <w:rsid w:val="004F0D16"/>
    <w:rsid w:val="004F0F84"/>
    <w:rsid w:val="004F1762"/>
    <w:rsid w:val="004F3766"/>
    <w:rsid w:val="004F394D"/>
    <w:rsid w:val="004F4298"/>
    <w:rsid w:val="004F458D"/>
    <w:rsid w:val="004F4BB8"/>
    <w:rsid w:val="004F50AF"/>
    <w:rsid w:val="004F5D9C"/>
    <w:rsid w:val="004F7122"/>
    <w:rsid w:val="004F79C6"/>
    <w:rsid w:val="004F7DBC"/>
    <w:rsid w:val="005002A9"/>
    <w:rsid w:val="005011A0"/>
    <w:rsid w:val="005013F0"/>
    <w:rsid w:val="00502FC6"/>
    <w:rsid w:val="00503751"/>
    <w:rsid w:val="0050394C"/>
    <w:rsid w:val="0050399F"/>
    <w:rsid w:val="00503F93"/>
    <w:rsid w:val="005045D1"/>
    <w:rsid w:val="00504A16"/>
    <w:rsid w:val="005050CE"/>
    <w:rsid w:val="00505B5C"/>
    <w:rsid w:val="005067A1"/>
    <w:rsid w:val="00507E20"/>
    <w:rsid w:val="00511C07"/>
    <w:rsid w:val="00511EAF"/>
    <w:rsid w:val="0051287D"/>
    <w:rsid w:val="005130D9"/>
    <w:rsid w:val="005135D6"/>
    <w:rsid w:val="00513822"/>
    <w:rsid w:val="00513842"/>
    <w:rsid w:val="0051535E"/>
    <w:rsid w:val="005156B7"/>
    <w:rsid w:val="00515BDE"/>
    <w:rsid w:val="00515D89"/>
    <w:rsid w:val="00515FD9"/>
    <w:rsid w:val="0051775D"/>
    <w:rsid w:val="00521AF4"/>
    <w:rsid w:val="00521D56"/>
    <w:rsid w:val="00522ABD"/>
    <w:rsid w:val="0052367C"/>
    <w:rsid w:val="00523DD6"/>
    <w:rsid w:val="0052417D"/>
    <w:rsid w:val="00525954"/>
    <w:rsid w:val="00525E48"/>
    <w:rsid w:val="005263B9"/>
    <w:rsid w:val="00527876"/>
    <w:rsid w:val="00527B4D"/>
    <w:rsid w:val="005303EB"/>
    <w:rsid w:val="0053078D"/>
    <w:rsid w:val="00530ED3"/>
    <w:rsid w:val="00530FC7"/>
    <w:rsid w:val="00531DC6"/>
    <w:rsid w:val="0053203F"/>
    <w:rsid w:val="00533178"/>
    <w:rsid w:val="00533226"/>
    <w:rsid w:val="0053327A"/>
    <w:rsid w:val="005338C4"/>
    <w:rsid w:val="00533D6A"/>
    <w:rsid w:val="005342A5"/>
    <w:rsid w:val="00534B86"/>
    <w:rsid w:val="00535350"/>
    <w:rsid w:val="00535F3E"/>
    <w:rsid w:val="0053702D"/>
    <w:rsid w:val="005376E7"/>
    <w:rsid w:val="00541C3C"/>
    <w:rsid w:val="00542360"/>
    <w:rsid w:val="005429A0"/>
    <w:rsid w:val="00542C33"/>
    <w:rsid w:val="00542F5D"/>
    <w:rsid w:val="005430E0"/>
    <w:rsid w:val="00543BAB"/>
    <w:rsid w:val="0054411A"/>
    <w:rsid w:val="00544DA4"/>
    <w:rsid w:val="0054558F"/>
    <w:rsid w:val="005464C0"/>
    <w:rsid w:val="00546871"/>
    <w:rsid w:val="005468FE"/>
    <w:rsid w:val="00546AAA"/>
    <w:rsid w:val="00547047"/>
    <w:rsid w:val="00550012"/>
    <w:rsid w:val="0055035D"/>
    <w:rsid w:val="005511AD"/>
    <w:rsid w:val="00551D33"/>
    <w:rsid w:val="00552A30"/>
    <w:rsid w:val="00552A83"/>
    <w:rsid w:val="00552E3E"/>
    <w:rsid w:val="005547A4"/>
    <w:rsid w:val="00554A32"/>
    <w:rsid w:val="00555AF6"/>
    <w:rsid w:val="0055657F"/>
    <w:rsid w:val="00556C70"/>
    <w:rsid w:val="00556DB7"/>
    <w:rsid w:val="0055791B"/>
    <w:rsid w:val="00557D09"/>
    <w:rsid w:val="005617F7"/>
    <w:rsid w:val="00561B6A"/>
    <w:rsid w:val="00562181"/>
    <w:rsid w:val="00563313"/>
    <w:rsid w:val="0056331C"/>
    <w:rsid w:val="005643EA"/>
    <w:rsid w:val="005648B0"/>
    <w:rsid w:val="00564A89"/>
    <w:rsid w:val="00565031"/>
    <w:rsid w:val="00566508"/>
    <w:rsid w:val="005666F4"/>
    <w:rsid w:val="0056781A"/>
    <w:rsid w:val="005678E6"/>
    <w:rsid w:val="00570147"/>
    <w:rsid w:val="005703A7"/>
    <w:rsid w:val="00571E3E"/>
    <w:rsid w:val="005721FB"/>
    <w:rsid w:val="005723E9"/>
    <w:rsid w:val="0057240E"/>
    <w:rsid w:val="00572C82"/>
    <w:rsid w:val="00573DB4"/>
    <w:rsid w:val="00574C97"/>
    <w:rsid w:val="00574D47"/>
    <w:rsid w:val="005756A4"/>
    <w:rsid w:val="00576331"/>
    <w:rsid w:val="00580249"/>
    <w:rsid w:val="005812D1"/>
    <w:rsid w:val="00583BDF"/>
    <w:rsid w:val="005850B1"/>
    <w:rsid w:val="0058535A"/>
    <w:rsid w:val="00585466"/>
    <w:rsid w:val="00585623"/>
    <w:rsid w:val="005901E2"/>
    <w:rsid w:val="005911AC"/>
    <w:rsid w:val="00593818"/>
    <w:rsid w:val="00593E1F"/>
    <w:rsid w:val="00594403"/>
    <w:rsid w:val="005953F9"/>
    <w:rsid w:val="00595458"/>
    <w:rsid w:val="0059550D"/>
    <w:rsid w:val="005963D3"/>
    <w:rsid w:val="005966B2"/>
    <w:rsid w:val="00597A4E"/>
    <w:rsid w:val="00597BBC"/>
    <w:rsid w:val="005A12E6"/>
    <w:rsid w:val="005A18FB"/>
    <w:rsid w:val="005A2363"/>
    <w:rsid w:val="005A2AE3"/>
    <w:rsid w:val="005A43B1"/>
    <w:rsid w:val="005A44FB"/>
    <w:rsid w:val="005A5343"/>
    <w:rsid w:val="005A5D5A"/>
    <w:rsid w:val="005A5E55"/>
    <w:rsid w:val="005A6305"/>
    <w:rsid w:val="005B02DE"/>
    <w:rsid w:val="005B0463"/>
    <w:rsid w:val="005B0C8D"/>
    <w:rsid w:val="005B13A0"/>
    <w:rsid w:val="005B1C36"/>
    <w:rsid w:val="005B1DAD"/>
    <w:rsid w:val="005B1EE5"/>
    <w:rsid w:val="005B29AD"/>
    <w:rsid w:val="005B321D"/>
    <w:rsid w:val="005B3B7C"/>
    <w:rsid w:val="005B4A18"/>
    <w:rsid w:val="005B5B88"/>
    <w:rsid w:val="005B68A2"/>
    <w:rsid w:val="005C00C2"/>
    <w:rsid w:val="005C1162"/>
    <w:rsid w:val="005C1712"/>
    <w:rsid w:val="005C18C4"/>
    <w:rsid w:val="005C1BC9"/>
    <w:rsid w:val="005C287F"/>
    <w:rsid w:val="005C3404"/>
    <w:rsid w:val="005C517E"/>
    <w:rsid w:val="005C6DEB"/>
    <w:rsid w:val="005C7A91"/>
    <w:rsid w:val="005C7B54"/>
    <w:rsid w:val="005C7D59"/>
    <w:rsid w:val="005C7D84"/>
    <w:rsid w:val="005D026D"/>
    <w:rsid w:val="005D0D32"/>
    <w:rsid w:val="005D22E4"/>
    <w:rsid w:val="005D3318"/>
    <w:rsid w:val="005D35A0"/>
    <w:rsid w:val="005D3655"/>
    <w:rsid w:val="005D3E00"/>
    <w:rsid w:val="005D4156"/>
    <w:rsid w:val="005D5E88"/>
    <w:rsid w:val="005E03B8"/>
    <w:rsid w:val="005E0917"/>
    <w:rsid w:val="005E0AAC"/>
    <w:rsid w:val="005E1599"/>
    <w:rsid w:val="005E3272"/>
    <w:rsid w:val="005E468B"/>
    <w:rsid w:val="005E5AD2"/>
    <w:rsid w:val="005E76F4"/>
    <w:rsid w:val="005E7DF2"/>
    <w:rsid w:val="005F05ED"/>
    <w:rsid w:val="005F1957"/>
    <w:rsid w:val="005F292F"/>
    <w:rsid w:val="005F3345"/>
    <w:rsid w:val="005F3AB8"/>
    <w:rsid w:val="005F5B6B"/>
    <w:rsid w:val="005F5DF8"/>
    <w:rsid w:val="005F6603"/>
    <w:rsid w:val="005F6DFA"/>
    <w:rsid w:val="005F6FB6"/>
    <w:rsid w:val="005F6FDF"/>
    <w:rsid w:val="006003C7"/>
    <w:rsid w:val="0060062B"/>
    <w:rsid w:val="00600733"/>
    <w:rsid w:val="00600982"/>
    <w:rsid w:val="0060105C"/>
    <w:rsid w:val="00601450"/>
    <w:rsid w:val="006022CB"/>
    <w:rsid w:val="00604587"/>
    <w:rsid w:val="00604661"/>
    <w:rsid w:val="006046A4"/>
    <w:rsid w:val="0060673F"/>
    <w:rsid w:val="00606885"/>
    <w:rsid w:val="0060723F"/>
    <w:rsid w:val="00607FD1"/>
    <w:rsid w:val="006108B8"/>
    <w:rsid w:val="00610920"/>
    <w:rsid w:val="00610FAF"/>
    <w:rsid w:val="00611073"/>
    <w:rsid w:val="00611DCE"/>
    <w:rsid w:val="0061222C"/>
    <w:rsid w:val="0061248F"/>
    <w:rsid w:val="006124FB"/>
    <w:rsid w:val="00612780"/>
    <w:rsid w:val="006128D7"/>
    <w:rsid w:val="00612FA5"/>
    <w:rsid w:val="00613349"/>
    <w:rsid w:val="0061482E"/>
    <w:rsid w:val="00614A12"/>
    <w:rsid w:val="0061552A"/>
    <w:rsid w:val="00616264"/>
    <w:rsid w:val="00616690"/>
    <w:rsid w:val="00616E90"/>
    <w:rsid w:val="006172AC"/>
    <w:rsid w:val="006209BC"/>
    <w:rsid w:val="00620AB3"/>
    <w:rsid w:val="0062124E"/>
    <w:rsid w:val="0062166A"/>
    <w:rsid w:val="00622A46"/>
    <w:rsid w:val="00623BD2"/>
    <w:rsid w:val="00623E36"/>
    <w:rsid w:val="00624310"/>
    <w:rsid w:val="0062453E"/>
    <w:rsid w:val="0062458B"/>
    <w:rsid w:val="0062558D"/>
    <w:rsid w:val="00626BB7"/>
    <w:rsid w:val="00627143"/>
    <w:rsid w:val="00630711"/>
    <w:rsid w:val="00630C77"/>
    <w:rsid w:val="006317A9"/>
    <w:rsid w:val="006317BD"/>
    <w:rsid w:val="006326B1"/>
    <w:rsid w:val="0063337F"/>
    <w:rsid w:val="00633D3C"/>
    <w:rsid w:val="00633DEB"/>
    <w:rsid w:val="00633E75"/>
    <w:rsid w:val="006354F9"/>
    <w:rsid w:val="006364E5"/>
    <w:rsid w:val="00637012"/>
    <w:rsid w:val="006411AC"/>
    <w:rsid w:val="0064191E"/>
    <w:rsid w:val="00641DC7"/>
    <w:rsid w:val="00642016"/>
    <w:rsid w:val="00642D9C"/>
    <w:rsid w:val="00643011"/>
    <w:rsid w:val="00643408"/>
    <w:rsid w:val="00643922"/>
    <w:rsid w:val="006443E5"/>
    <w:rsid w:val="006455B0"/>
    <w:rsid w:val="00645CC5"/>
    <w:rsid w:val="00646687"/>
    <w:rsid w:val="006469D3"/>
    <w:rsid w:val="00646CC9"/>
    <w:rsid w:val="0064788C"/>
    <w:rsid w:val="00647C31"/>
    <w:rsid w:val="00647F9C"/>
    <w:rsid w:val="00650D5A"/>
    <w:rsid w:val="00650DB8"/>
    <w:rsid w:val="00651C18"/>
    <w:rsid w:val="00652122"/>
    <w:rsid w:val="00652C48"/>
    <w:rsid w:val="00652D8A"/>
    <w:rsid w:val="00652DF7"/>
    <w:rsid w:val="00652F11"/>
    <w:rsid w:val="00655032"/>
    <w:rsid w:val="00656BF0"/>
    <w:rsid w:val="006579B2"/>
    <w:rsid w:val="006601FE"/>
    <w:rsid w:val="0066173C"/>
    <w:rsid w:val="00662545"/>
    <w:rsid w:val="006638CC"/>
    <w:rsid w:val="0066409B"/>
    <w:rsid w:val="0066548B"/>
    <w:rsid w:val="00666021"/>
    <w:rsid w:val="00666996"/>
    <w:rsid w:val="0066743F"/>
    <w:rsid w:val="006678BE"/>
    <w:rsid w:val="00667E96"/>
    <w:rsid w:val="006706C6"/>
    <w:rsid w:val="00672852"/>
    <w:rsid w:val="006746DB"/>
    <w:rsid w:val="006750B8"/>
    <w:rsid w:val="0067662B"/>
    <w:rsid w:val="00676B98"/>
    <w:rsid w:val="00676EEB"/>
    <w:rsid w:val="006771CE"/>
    <w:rsid w:val="006778A2"/>
    <w:rsid w:val="00681382"/>
    <w:rsid w:val="0068474F"/>
    <w:rsid w:val="00684D9E"/>
    <w:rsid w:val="00685182"/>
    <w:rsid w:val="00686762"/>
    <w:rsid w:val="00690717"/>
    <w:rsid w:val="00691461"/>
    <w:rsid w:val="006916DC"/>
    <w:rsid w:val="00691F9C"/>
    <w:rsid w:val="00692A55"/>
    <w:rsid w:val="00692BE0"/>
    <w:rsid w:val="00692DBA"/>
    <w:rsid w:val="0069453C"/>
    <w:rsid w:val="00694E5B"/>
    <w:rsid w:val="0069549F"/>
    <w:rsid w:val="00695C59"/>
    <w:rsid w:val="006966FF"/>
    <w:rsid w:val="00696F12"/>
    <w:rsid w:val="006972E8"/>
    <w:rsid w:val="0069732D"/>
    <w:rsid w:val="00697B0E"/>
    <w:rsid w:val="006A01F5"/>
    <w:rsid w:val="006A1265"/>
    <w:rsid w:val="006A14F6"/>
    <w:rsid w:val="006A20A0"/>
    <w:rsid w:val="006A2A99"/>
    <w:rsid w:val="006A3201"/>
    <w:rsid w:val="006A48A3"/>
    <w:rsid w:val="006A4B1B"/>
    <w:rsid w:val="006A6CCF"/>
    <w:rsid w:val="006B19A0"/>
    <w:rsid w:val="006B2787"/>
    <w:rsid w:val="006B2A31"/>
    <w:rsid w:val="006B2D31"/>
    <w:rsid w:val="006B36C2"/>
    <w:rsid w:val="006B55D6"/>
    <w:rsid w:val="006B5A2B"/>
    <w:rsid w:val="006B5BA8"/>
    <w:rsid w:val="006B62CA"/>
    <w:rsid w:val="006B6AEA"/>
    <w:rsid w:val="006B6F18"/>
    <w:rsid w:val="006B70E5"/>
    <w:rsid w:val="006B7228"/>
    <w:rsid w:val="006B72F3"/>
    <w:rsid w:val="006C04CB"/>
    <w:rsid w:val="006C0666"/>
    <w:rsid w:val="006C0915"/>
    <w:rsid w:val="006C11BB"/>
    <w:rsid w:val="006C163A"/>
    <w:rsid w:val="006C1B64"/>
    <w:rsid w:val="006C31B2"/>
    <w:rsid w:val="006C3817"/>
    <w:rsid w:val="006C3FF9"/>
    <w:rsid w:val="006C4136"/>
    <w:rsid w:val="006C4174"/>
    <w:rsid w:val="006C45C6"/>
    <w:rsid w:val="006C481E"/>
    <w:rsid w:val="006C4D76"/>
    <w:rsid w:val="006C52E6"/>
    <w:rsid w:val="006C534C"/>
    <w:rsid w:val="006C66DB"/>
    <w:rsid w:val="006C6D3F"/>
    <w:rsid w:val="006C6EE0"/>
    <w:rsid w:val="006C7201"/>
    <w:rsid w:val="006C7341"/>
    <w:rsid w:val="006C7A0B"/>
    <w:rsid w:val="006D049A"/>
    <w:rsid w:val="006D1691"/>
    <w:rsid w:val="006D34E2"/>
    <w:rsid w:val="006D49F3"/>
    <w:rsid w:val="006D57EF"/>
    <w:rsid w:val="006D590F"/>
    <w:rsid w:val="006D665A"/>
    <w:rsid w:val="006E0809"/>
    <w:rsid w:val="006E1897"/>
    <w:rsid w:val="006E224D"/>
    <w:rsid w:val="006E2561"/>
    <w:rsid w:val="006E4381"/>
    <w:rsid w:val="006E450D"/>
    <w:rsid w:val="006E4A25"/>
    <w:rsid w:val="006E52E7"/>
    <w:rsid w:val="006E537A"/>
    <w:rsid w:val="006E5645"/>
    <w:rsid w:val="006E57E6"/>
    <w:rsid w:val="006E6AEF"/>
    <w:rsid w:val="006E74FF"/>
    <w:rsid w:val="006F05F3"/>
    <w:rsid w:val="006F06BB"/>
    <w:rsid w:val="006F2637"/>
    <w:rsid w:val="006F4466"/>
    <w:rsid w:val="006F53D7"/>
    <w:rsid w:val="006F603F"/>
    <w:rsid w:val="006F6178"/>
    <w:rsid w:val="006F7CDD"/>
    <w:rsid w:val="00700DFD"/>
    <w:rsid w:val="00701E22"/>
    <w:rsid w:val="00702240"/>
    <w:rsid w:val="00703609"/>
    <w:rsid w:val="00703802"/>
    <w:rsid w:val="00704204"/>
    <w:rsid w:val="00704854"/>
    <w:rsid w:val="00704B20"/>
    <w:rsid w:val="00704D50"/>
    <w:rsid w:val="00704F89"/>
    <w:rsid w:val="007057B4"/>
    <w:rsid w:val="007058C6"/>
    <w:rsid w:val="00705B2C"/>
    <w:rsid w:val="00705F34"/>
    <w:rsid w:val="007065FE"/>
    <w:rsid w:val="00707C52"/>
    <w:rsid w:val="00711121"/>
    <w:rsid w:val="007111B3"/>
    <w:rsid w:val="00711C80"/>
    <w:rsid w:val="00711F3A"/>
    <w:rsid w:val="007121C9"/>
    <w:rsid w:val="00712B6C"/>
    <w:rsid w:val="00712E91"/>
    <w:rsid w:val="00713A9C"/>
    <w:rsid w:val="007144FF"/>
    <w:rsid w:val="00714BF9"/>
    <w:rsid w:val="00715BAB"/>
    <w:rsid w:val="00716B34"/>
    <w:rsid w:val="00717F56"/>
    <w:rsid w:val="00720042"/>
    <w:rsid w:val="00720ADC"/>
    <w:rsid w:val="00720FA0"/>
    <w:rsid w:val="00721A22"/>
    <w:rsid w:val="00721CEA"/>
    <w:rsid w:val="0072265E"/>
    <w:rsid w:val="00722870"/>
    <w:rsid w:val="00723062"/>
    <w:rsid w:val="007233B1"/>
    <w:rsid w:val="007235A5"/>
    <w:rsid w:val="00723C08"/>
    <w:rsid w:val="00724282"/>
    <w:rsid w:val="007247ED"/>
    <w:rsid w:val="007248BD"/>
    <w:rsid w:val="00726C0E"/>
    <w:rsid w:val="0072760D"/>
    <w:rsid w:val="00727756"/>
    <w:rsid w:val="0073125C"/>
    <w:rsid w:val="0073134A"/>
    <w:rsid w:val="007314B3"/>
    <w:rsid w:val="00731831"/>
    <w:rsid w:val="00731DAA"/>
    <w:rsid w:val="0073242B"/>
    <w:rsid w:val="0073409A"/>
    <w:rsid w:val="0073581C"/>
    <w:rsid w:val="00735CD2"/>
    <w:rsid w:val="00736AD5"/>
    <w:rsid w:val="00736D27"/>
    <w:rsid w:val="00736FC0"/>
    <w:rsid w:val="007375F0"/>
    <w:rsid w:val="007420C6"/>
    <w:rsid w:val="007434D0"/>
    <w:rsid w:val="00743BDC"/>
    <w:rsid w:val="00744552"/>
    <w:rsid w:val="00744E77"/>
    <w:rsid w:val="00745369"/>
    <w:rsid w:val="00745884"/>
    <w:rsid w:val="007458CA"/>
    <w:rsid w:val="007459BA"/>
    <w:rsid w:val="007459E6"/>
    <w:rsid w:val="0075007C"/>
    <w:rsid w:val="007500FA"/>
    <w:rsid w:val="007503D4"/>
    <w:rsid w:val="0075180A"/>
    <w:rsid w:val="00752DC1"/>
    <w:rsid w:val="0075507A"/>
    <w:rsid w:val="0075517F"/>
    <w:rsid w:val="00755AC5"/>
    <w:rsid w:val="00756B60"/>
    <w:rsid w:val="00756FE7"/>
    <w:rsid w:val="00757D62"/>
    <w:rsid w:val="0076018B"/>
    <w:rsid w:val="00760DF8"/>
    <w:rsid w:val="00761856"/>
    <w:rsid w:val="0076257F"/>
    <w:rsid w:val="00763A4B"/>
    <w:rsid w:val="00763BC0"/>
    <w:rsid w:val="00764172"/>
    <w:rsid w:val="00764625"/>
    <w:rsid w:val="00764E61"/>
    <w:rsid w:val="00765008"/>
    <w:rsid w:val="00766558"/>
    <w:rsid w:val="007679BF"/>
    <w:rsid w:val="0077022E"/>
    <w:rsid w:val="00770830"/>
    <w:rsid w:val="00770EAF"/>
    <w:rsid w:val="007711E7"/>
    <w:rsid w:val="00771B5F"/>
    <w:rsid w:val="007723B2"/>
    <w:rsid w:val="00772411"/>
    <w:rsid w:val="00773FD5"/>
    <w:rsid w:val="0077511D"/>
    <w:rsid w:val="0077624D"/>
    <w:rsid w:val="0078015D"/>
    <w:rsid w:val="00780F26"/>
    <w:rsid w:val="00781160"/>
    <w:rsid w:val="007827A3"/>
    <w:rsid w:val="00782BF4"/>
    <w:rsid w:val="0078314B"/>
    <w:rsid w:val="007832DF"/>
    <w:rsid w:val="00783881"/>
    <w:rsid w:val="00783DA7"/>
    <w:rsid w:val="00783FE0"/>
    <w:rsid w:val="007841C0"/>
    <w:rsid w:val="007844AB"/>
    <w:rsid w:val="00784E07"/>
    <w:rsid w:val="00785885"/>
    <w:rsid w:val="00785E60"/>
    <w:rsid w:val="007864CA"/>
    <w:rsid w:val="00787028"/>
    <w:rsid w:val="007879AA"/>
    <w:rsid w:val="00787A94"/>
    <w:rsid w:val="00787CDE"/>
    <w:rsid w:val="007913A2"/>
    <w:rsid w:val="00793DAB"/>
    <w:rsid w:val="00794145"/>
    <w:rsid w:val="0079584B"/>
    <w:rsid w:val="00795CC9"/>
    <w:rsid w:val="00796559"/>
    <w:rsid w:val="00797B77"/>
    <w:rsid w:val="00797C89"/>
    <w:rsid w:val="007A1067"/>
    <w:rsid w:val="007A17B8"/>
    <w:rsid w:val="007A1831"/>
    <w:rsid w:val="007A1D61"/>
    <w:rsid w:val="007A2554"/>
    <w:rsid w:val="007A275E"/>
    <w:rsid w:val="007A40CB"/>
    <w:rsid w:val="007A47F4"/>
    <w:rsid w:val="007A4CFD"/>
    <w:rsid w:val="007A501C"/>
    <w:rsid w:val="007A77F1"/>
    <w:rsid w:val="007B0068"/>
    <w:rsid w:val="007B025E"/>
    <w:rsid w:val="007B07F2"/>
    <w:rsid w:val="007B0AC3"/>
    <w:rsid w:val="007B16A3"/>
    <w:rsid w:val="007B5523"/>
    <w:rsid w:val="007B5555"/>
    <w:rsid w:val="007B7813"/>
    <w:rsid w:val="007C00B0"/>
    <w:rsid w:val="007C099C"/>
    <w:rsid w:val="007C2E12"/>
    <w:rsid w:val="007C3B71"/>
    <w:rsid w:val="007C4C33"/>
    <w:rsid w:val="007C4FF0"/>
    <w:rsid w:val="007C5D49"/>
    <w:rsid w:val="007C5DF2"/>
    <w:rsid w:val="007C5F44"/>
    <w:rsid w:val="007C6D65"/>
    <w:rsid w:val="007C72BB"/>
    <w:rsid w:val="007C7456"/>
    <w:rsid w:val="007C7787"/>
    <w:rsid w:val="007C7846"/>
    <w:rsid w:val="007C78AB"/>
    <w:rsid w:val="007C7CCD"/>
    <w:rsid w:val="007D06BF"/>
    <w:rsid w:val="007D183F"/>
    <w:rsid w:val="007D1FB2"/>
    <w:rsid w:val="007D2AEF"/>
    <w:rsid w:val="007D2CE6"/>
    <w:rsid w:val="007D3F1E"/>
    <w:rsid w:val="007D434F"/>
    <w:rsid w:val="007D4A03"/>
    <w:rsid w:val="007D5D49"/>
    <w:rsid w:val="007D5D7C"/>
    <w:rsid w:val="007D628B"/>
    <w:rsid w:val="007D63B3"/>
    <w:rsid w:val="007D6CD2"/>
    <w:rsid w:val="007D7765"/>
    <w:rsid w:val="007D7D3B"/>
    <w:rsid w:val="007D7E62"/>
    <w:rsid w:val="007E0DFE"/>
    <w:rsid w:val="007E128E"/>
    <w:rsid w:val="007E16E5"/>
    <w:rsid w:val="007E18BB"/>
    <w:rsid w:val="007E1C7A"/>
    <w:rsid w:val="007E33D4"/>
    <w:rsid w:val="007E3B1C"/>
    <w:rsid w:val="007E475F"/>
    <w:rsid w:val="007E5D47"/>
    <w:rsid w:val="007E66D9"/>
    <w:rsid w:val="007E67F6"/>
    <w:rsid w:val="007E69CE"/>
    <w:rsid w:val="007E6FDE"/>
    <w:rsid w:val="007E72BB"/>
    <w:rsid w:val="007E7340"/>
    <w:rsid w:val="007E78E1"/>
    <w:rsid w:val="007E7AEB"/>
    <w:rsid w:val="007F0394"/>
    <w:rsid w:val="007F0442"/>
    <w:rsid w:val="007F0D7B"/>
    <w:rsid w:val="007F1841"/>
    <w:rsid w:val="007F297A"/>
    <w:rsid w:val="007F4FD0"/>
    <w:rsid w:val="007F5225"/>
    <w:rsid w:val="007F5488"/>
    <w:rsid w:val="007F5ECA"/>
    <w:rsid w:val="007F6D99"/>
    <w:rsid w:val="007F7240"/>
    <w:rsid w:val="007F7A60"/>
    <w:rsid w:val="008004DF"/>
    <w:rsid w:val="008015A0"/>
    <w:rsid w:val="00801980"/>
    <w:rsid w:val="00802419"/>
    <w:rsid w:val="00802421"/>
    <w:rsid w:val="008024B2"/>
    <w:rsid w:val="00802A01"/>
    <w:rsid w:val="008031A6"/>
    <w:rsid w:val="00805255"/>
    <w:rsid w:val="00806926"/>
    <w:rsid w:val="008070EF"/>
    <w:rsid w:val="00807CFF"/>
    <w:rsid w:val="0081033C"/>
    <w:rsid w:val="00810F87"/>
    <w:rsid w:val="008111A7"/>
    <w:rsid w:val="0081176B"/>
    <w:rsid w:val="00812582"/>
    <w:rsid w:val="00812F2D"/>
    <w:rsid w:val="00813E9D"/>
    <w:rsid w:val="00815BC5"/>
    <w:rsid w:val="0081607E"/>
    <w:rsid w:val="00816B32"/>
    <w:rsid w:val="00816F2D"/>
    <w:rsid w:val="0081786B"/>
    <w:rsid w:val="00817B10"/>
    <w:rsid w:val="00820805"/>
    <w:rsid w:val="00820E23"/>
    <w:rsid w:val="0082105B"/>
    <w:rsid w:val="00821893"/>
    <w:rsid w:val="00821AFD"/>
    <w:rsid w:val="0082245D"/>
    <w:rsid w:val="008248E0"/>
    <w:rsid w:val="00824D69"/>
    <w:rsid w:val="0082551C"/>
    <w:rsid w:val="0082562C"/>
    <w:rsid w:val="008278CC"/>
    <w:rsid w:val="0083078A"/>
    <w:rsid w:val="00831757"/>
    <w:rsid w:val="008318D3"/>
    <w:rsid w:val="00832974"/>
    <w:rsid w:val="00832AAF"/>
    <w:rsid w:val="00833858"/>
    <w:rsid w:val="0083444D"/>
    <w:rsid w:val="00836845"/>
    <w:rsid w:val="00836FF5"/>
    <w:rsid w:val="00837104"/>
    <w:rsid w:val="00837CA9"/>
    <w:rsid w:val="00837D85"/>
    <w:rsid w:val="00841322"/>
    <w:rsid w:val="008420D9"/>
    <w:rsid w:val="008427C5"/>
    <w:rsid w:val="00844564"/>
    <w:rsid w:val="00844689"/>
    <w:rsid w:val="008453FE"/>
    <w:rsid w:val="00845545"/>
    <w:rsid w:val="008468A4"/>
    <w:rsid w:val="00846AB7"/>
    <w:rsid w:val="0085014C"/>
    <w:rsid w:val="008503E1"/>
    <w:rsid w:val="008515EE"/>
    <w:rsid w:val="00852019"/>
    <w:rsid w:val="00852306"/>
    <w:rsid w:val="00854049"/>
    <w:rsid w:val="00854625"/>
    <w:rsid w:val="00854E5A"/>
    <w:rsid w:val="008550BD"/>
    <w:rsid w:val="008559B0"/>
    <w:rsid w:val="00855D25"/>
    <w:rsid w:val="00855D5F"/>
    <w:rsid w:val="008565A5"/>
    <w:rsid w:val="00856854"/>
    <w:rsid w:val="0085693C"/>
    <w:rsid w:val="00856AC9"/>
    <w:rsid w:val="00856E42"/>
    <w:rsid w:val="00856E64"/>
    <w:rsid w:val="00860469"/>
    <w:rsid w:val="00860CCF"/>
    <w:rsid w:val="00860E6F"/>
    <w:rsid w:val="00860FCB"/>
    <w:rsid w:val="0086119A"/>
    <w:rsid w:val="00862431"/>
    <w:rsid w:val="0086264A"/>
    <w:rsid w:val="0086264B"/>
    <w:rsid w:val="00864E3F"/>
    <w:rsid w:val="008659C8"/>
    <w:rsid w:val="0086634C"/>
    <w:rsid w:val="00866409"/>
    <w:rsid w:val="00867459"/>
    <w:rsid w:val="0086793A"/>
    <w:rsid w:val="00867D7E"/>
    <w:rsid w:val="00867DE7"/>
    <w:rsid w:val="00867EDC"/>
    <w:rsid w:val="008704B0"/>
    <w:rsid w:val="00870531"/>
    <w:rsid w:val="0087118D"/>
    <w:rsid w:val="008714E3"/>
    <w:rsid w:val="00873489"/>
    <w:rsid w:val="00873532"/>
    <w:rsid w:val="008737EA"/>
    <w:rsid w:val="00873855"/>
    <w:rsid w:val="008739E3"/>
    <w:rsid w:val="00873B5D"/>
    <w:rsid w:val="00873BC6"/>
    <w:rsid w:val="008744A5"/>
    <w:rsid w:val="0087489F"/>
    <w:rsid w:val="00874F0C"/>
    <w:rsid w:val="00875044"/>
    <w:rsid w:val="00875C7F"/>
    <w:rsid w:val="008815DE"/>
    <w:rsid w:val="0088172D"/>
    <w:rsid w:val="00881A2A"/>
    <w:rsid w:val="00881E7E"/>
    <w:rsid w:val="008824B3"/>
    <w:rsid w:val="008831A9"/>
    <w:rsid w:val="00883309"/>
    <w:rsid w:val="0088331E"/>
    <w:rsid w:val="00883C60"/>
    <w:rsid w:val="0088439B"/>
    <w:rsid w:val="00884B2C"/>
    <w:rsid w:val="00884FEB"/>
    <w:rsid w:val="00885185"/>
    <w:rsid w:val="0088630E"/>
    <w:rsid w:val="00886C44"/>
    <w:rsid w:val="00887637"/>
    <w:rsid w:val="00887A83"/>
    <w:rsid w:val="00887BC4"/>
    <w:rsid w:val="0089084B"/>
    <w:rsid w:val="00892DF6"/>
    <w:rsid w:val="00893F9D"/>
    <w:rsid w:val="00894221"/>
    <w:rsid w:val="008962D5"/>
    <w:rsid w:val="0089649A"/>
    <w:rsid w:val="008968A4"/>
    <w:rsid w:val="00896E71"/>
    <w:rsid w:val="00897B68"/>
    <w:rsid w:val="008A03C8"/>
    <w:rsid w:val="008A067B"/>
    <w:rsid w:val="008A1A1E"/>
    <w:rsid w:val="008A1C28"/>
    <w:rsid w:val="008A1C51"/>
    <w:rsid w:val="008A1EC3"/>
    <w:rsid w:val="008A21B8"/>
    <w:rsid w:val="008A28BD"/>
    <w:rsid w:val="008A2935"/>
    <w:rsid w:val="008A3152"/>
    <w:rsid w:val="008A3468"/>
    <w:rsid w:val="008A38DD"/>
    <w:rsid w:val="008A461D"/>
    <w:rsid w:val="008A49E8"/>
    <w:rsid w:val="008A509C"/>
    <w:rsid w:val="008A5164"/>
    <w:rsid w:val="008A5DBC"/>
    <w:rsid w:val="008A6EB1"/>
    <w:rsid w:val="008A78EB"/>
    <w:rsid w:val="008A7A5D"/>
    <w:rsid w:val="008A7C30"/>
    <w:rsid w:val="008B005E"/>
    <w:rsid w:val="008B0D01"/>
    <w:rsid w:val="008B0DA6"/>
    <w:rsid w:val="008B163A"/>
    <w:rsid w:val="008B22F7"/>
    <w:rsid w:val="008B2F5E"/>
    <w:rsid w:val="008B37B1"/>
    <w:rsid w:val="008B54F3"/>
    <w:rsid w:val="008B6066"/>
    <w:rsid w:val="008B7267"/>
    <w:rsid w:val="008B73EE"/>
    <w:rsid w:val="008B7503"/>
    <w:rsid w:val="008B7F83"/>
    <w:rsid w:val="008C0170"/>
    <w:rsid w:val="008C0C1C"/>
    <w:rsid w:val="008C122C"/>
    <w:rsid w:val="008C189C"/>
    <w:rsid w:val="008C1B61"/>
    <w:rsid w:val="008C405E"/>
    <w:rsid w:val="008C43C1"/>
    <w:rsid w:val="008C5328"/>
    <w:rsid w:val="008C5AE4"/>
    <w:rsid w:val="008C624D"/>
    <w:rsid w:val="008C6A9B"/>
    <w:rsid w:val="008C6E0B"/>
    <w:rsid w:val="008C7B68"/>
    <w:rsid w:val="008D0054"/>
    <w:rsid w:val="008D1279"/>
    <w:rsid w:val="008D19C4"/>
    <w:rsid w:val="008D2210"/>
    <w:rsid w:val="008D274F"/>
    <w:rsid w:val="008D2907"/>
    <w:rsid w:val="008D4535"/>
    <w:rsid w:val="008D562A"/>
    <w:rsid w:val="008D6256"/>
    <w:rsid w:val="008D6581"/>
    <w:rsid w:val="008D7CE6"/>
    <w:rsid w:val="008D7D83"/>
    <w:rsid w:val="008E0272"/>
    <w:rsid w:val="008E0E86"/>
    <w:rsid w:val="008E0F08"/>
    <w:rsid w:val="008E20BD"/>
    <w:rsid w:val="008E3CA9"/>
    <w:rsid w:val="008E47D2"/>
    <w:rsid w:val="008E4AAA"/>
    <w:rsid w:val="008E5624"/>
    <w:rsid w:val="008E5ADB"/>
    <w:rsid w:val="008E6358"/>
    <w:rsid w:val="008E66D8"/>
    <w:rsid w:val="008E6DB3"/>
    <w:rsid w:val="008F01E2"/>
    <w:rsid w:val="008F08D4"/>
    <w:rsid w:val="008F111A"/>
    <w:rsid w:val="008F1D51"/>
    <w:rsid w:val="008F2658"/>
    <w:rsid w:val="008F28C1"/>
    <w:rsid w:val="008F2D4E"/>
    <w:rsid w:val="008F42E6"/>
    <w:rsid w:val="008F4B77"/>
    <w:rsid w:val="008F50DF"/>
    <w:rsid w:val="008F54B0"/>
    <w:rsid w:val="008F5BFE"/>
    <w:rsid w:val="008F736D"/>
    <w:rsid w:val="008F7E3B"/>
    <w:rsid w:val="00900C1D"/>
    <w:rsid w:val="00901501"/>
    <w:rsid w:val="009015EE"/>
    <w:rsid w:val="0090255D"/>
    <w:rsid w:val="00904151"/>
    <w:rsid w:val="00905785"/>
    <w:rsid w:val="00906666"/>
    <w:rsid w:val="00907115"/>
    <w:rsid w:val="00907513"/>
    <w:rsid w:val="00907521"/>
    <w:rsid w:val="009078CB"/>
    <w:rsid w:val="00910210"/>
    <w:rsid w:val="0091066B"/>
    <w:rsid w:val="00912141"/>
    <w:rsid w:val="00912C2E"/>
    <w:rsid w:val="00914286"/>
    <w:rsid w:val="00914C99"/>
    <w:rsid w:val="00915A8F"/>
    <w:rsid w:val="00916094"/>
    <w:rsid w:val="009170A6"/>
    <w:rsid w:val="00917DE4"/>
    <w:rsid w:val="00920661"/>
    <w:rsid w:val="00921B18"/>
    <w:rsid w:val="00924A88"/>
    <w:rsid w:val="00924EEF"/>
    <w:rsid w:val="00925A57"/>
    <w:rsid w:val="00925F45"/>
    <w:rsid w:val="009270FE"/>
    <w:rsid w:val="00927A8B"/>
    <w:rsid w:val="009306BC"/>
    <w:rsid w:val="00931528"/>
    <w:rsid w:val="009328BB"/>
    <w:rsid w:val="009339C1"/>
    <w:rsid w:val="00934464"/>
    <w:rsid w:val="00934E47"/>
    <w:rsid w:val="00934F04"/>
    <w:rsid w:val="00934FFE"/>
    <w:rsid w:val="009353D2"/>
    <w:rsid w:val="009356CC"/>
    <w:rsid w:val="00935B3F"/>
    <w:rsid w:val="0093681A"/>
    <w:rsid w:val="00936AD6"/>
    <w:rsid w:val="009371BA"/>
    <w:rsid w:val="009404A3"/>
    <w:rsid w:val="0094162B"/>
    <w:rsid w:val="009420AD"/>
    <w:rsid w:val="00942368"/>
    <w:rsid w:val="009437EE"/>
    <w:rsid w:val="00944536"/>
    <w:rsid w:val="009460F1"/>
    <w:rsid w:val="00946EBB"/>
    <w:rsid w:val="00950950"/>
    <w:rsid w:val="009527D5"/>
    <w:rsid w:val="00952FDC"/>
    <w:rsid w:val="009559EF"/>
    <w:rsid w:val="00955C81"/>
    <w:rsid w:val="00955F25"/>
    <w:rsid w:val="00955FF8"/>
    <w:rsid w:val="0095624B"/>
    <w:rsid w:val="00960B47"/>
    <w:rsid w:val="00960CB4"/>
    <w:rsid w:val="00960CF7"/>
    <w:rsid w:val="00963610"/>
    <w:rsid w:val="0096378F"/>
    <w:rsid w:val="00964E1D"/>
    <w:rsid w:val="00965272"/>
    <w:rsid w:val="00967868"/>
    <w:rsid w:val="00971A2C"/>
    <w:rsid w:val="00971E59"/>
    <w:rsid w:val="009720F9"/>
    <w:rsid w:val="009721C1"/>
    <w:rsid w:val="009723AC"/>
    <w:rsid w:val="00973B8E"/>
    <w:rsid w:val="00974150"/>
    <w:rsid w:val="0097451B"/>
    <w:rsid w:val="009748AF"/>
    <w:rsid w:val="00974BF5"/>
    <w:rsid w:val="009751A9"/>
    <w:rsid w:val="00975987"/>
    <w:rsid w:val="00975CA2"/>
    <w:rsid w:val="00975F7F"/>
    <w:rsid w:val="009769DE"/>
    <w:rsid w:val="00980149"/>
    <w:rsid w:val="0098046C"/>
    <w:rsid w:val="00980CF0"/>
    <w:rsid w:val="0098104A"/>
    <w:rsid w:val="00981540"/>
    <w:rsid w:val="00981646"/>
    <w:rsid w:val="0098172D"/>
    <w:rsid w:val="00981CC3"/>
    <w:rsid w:val="00981F18"/>
    <w:rsid w:val="0098245F"/>
    <w:rsid w:val="00984A5C"/>
    <w:rsid w:val="00985397"/>
    <w:rsid w:val="0098541B"/>
    <w:rsid w:val="00985B4B"/>
    <w:rsid w:val="00985C80"/>
    <w:rsid w:val="00986026"/>
    <w:rsid w:val="00986FA9"/>
    <w:rsid w:val="0098778D"/>
    <w:rsid w:val="00990059"/>
    <w:rsid w:val="00991C37"/>
    <w:rsid w:val="00991D59"/>
    <w:rsid w:val="009921F0"/>
    <w:rsid w:val="0099270E"/>
    <w:rsid w:val="009939B7"/>
    <w:rsid w:val="009944F2"/>
    <w:rsid w:val="009945E4"/>
    <w:rsid w:val="0099643B"/>
    <w:rsid w:val="0099694B"/>
    <w:rsid w:val="009A015E"/>
    <w:rsid w:val="009A09F9"/>
    <w:rsid w:val="009A0C55"/>
    <w:rsid w:val="009A0EA6"/>
    <w:rsid w:val="009A1317"/>
    <w:rsid w:val="009A1A73"/>
    <w:rsid w:val="009A2864"/>
    <w:rsid w:val="009A2E43"/>
    <w:rsid w:val="009A3F54"/>
    <w:rsid w:val="009A4170"/>
    <w:rsid w:val="009A4B3E"/>
    <w:rsid w:val="009A4D4E"/>
    <w:rsid w:val="009A510C"/>
    <w:rsid w:val="009A65E4"/>
    <w:rsid w:val="009A6E08"/>
    <w:rsid w:val="009A743B"/>
    <w:rsid w:val="009B09F5"/>
    <w:rsid w:val="009B0E38"/>
    <w:rsid w:val="009B11F1"/>
    <w:rsid w:val="009B1539"/>
    <w:rsid w:val="009B354F"/>
    <w:rsid w:val="009B511B"/>
    <w:rsid w:val="009B689C"/>
    <w:rsid w:val="009B6CE4"/>
    <w:rsid w:val="009B7565"/>
    <w:rsid w:val="009C001E"/>
    <w:rsid w:val="009C0FF0"/>
    <w:rsid w:val="009C1754"/>
    <w:rsid w:val="009C1F08"/>
    <w:rsid w:val="009C2C58"/>
    <w:rsid w:val="009C3310"/>
    <w:rsid w:val="009C363E"/>
    <w:rsid w:val="009C3801"/>
    <w:rsid w:val="009C3D16"/>
    <w:rsid w:val="009C3F82"/>
    <w:rsid w:val="009C4291"/>
    <w:rsid w:val="009C4410"/>
    <w:rsid w:val="009C44E7"/>
    <w:rsid w:val="009C5394"/>
    <w:rsid w:val="009C5429"/>
    <w:rsid w:val="009C589F"/>
    <w:rsid w:val="009C76BE"/>
    <w:rsid w:val="009C7752"/>
    <w:rsid w:val="009C7899"/>
    <w:rsid w:val="009C7D6A"/>
    <w:rsid w:val="009D079B"/>
    <w:rsid w:val="009D09F2"/>
    <w:rsid w:val="009D1EDF"/>
    <w:rsid w:val="009D313F"/>
    <w:rsid w:val="009D3244"/>
    <w:rsid w:val="009D391E"/>
    <w:rsid w:val="009D396F"/>
    <w:rsid w:val="009D433C"/>
    <w:rsid w:val="009D4BBF"/>
    <w:rsid w:val="009D4F1A"/>
    <w:rsid w:val="009D58D9"/>
    <w:rsid w:val="009D5D1A"/>
    <w:rsid w:val="009D7A90"/>
    <w:rsid w:val="009E10EE"/>
    <w:rsid w:val="009E12C8"/>
    <w:rsid w:val="009E172A"/>
    <w:rsid w:val="009E283E"/>
    <w:rsid w:val="009E2D78"/>
    <w:rsid w:val="009E3132"/>
    <w:rsid w:val="009E563E"/>
    <w:rsid w:val="009E5CB6"/>
    <w:rsid w:val="009E6F52"/>
    <w:rsid w:val="009F074D"/>
    <w:rsid w:val="009F1084"/>
    <w:rsid w:val="009F194B"/>
    <w:rsid w:val="009F3AD0"/>
    <w:rsid w:val="009F4790"/>
    <w:rsid w:val="009F4B13"/>
    <w:rsid w:val="009F63FB"/>
    <w:rsid w:val="009F6C95"/>
    <w:rsid w:val="009F72A6"/>
    <w:rsid w:val="009F7F4A"/>
    <w:rsid w:val="00A0107A"/>
    <w:rsid w:val="00A01C72"/>
    <w:rsid w:val="00A01D22"/>
    <w:rsid w:val="00A020E3"/>
    <w:rsid w:val="00A02850"/>
    <w:rsid w:val="00A02A9C"/>
    <w:rsid w:val="00A0392D"/>
    <w:rsid w:val="00A03C89"/>
    <w:rsid w:val="00A03DC9"/>
    <w:rsid w:val="00A045D1"/>
    <w:rsid w:val="00A04748"/>
    <w:rsid w:val="00A047E4"/>
    <w:rsid w:val="00A0483F"/>
    <w:rsid w:val="00A1075D"/>
    <w:rsid w:val="00A115D5"/>
    <w:rsid w:val="00A117FD"/>
    <w:rsid w:val="00A120CC"/>
    <w:rsid w:val="00A12812"/>
    <w:rsid w:val="00A129BE"/>
    <w:rsid w:val="00A12FC1"/>
    <w:rsid w:val="00A136CD"/>
    <w:rsid w:val="00A13DAC"/>
    <w:rsid w:val="00A14A31"/>
    <w:rsid w:val="00A16DE5"/>
    <w:rsid w:val="00A16E2A"/>
    <w:rsid w:val="00A17D3A"/>
    <w:rsid w:val="00A20AD6"/>
    <w:rsid w:val="00A20B29"/>
    <w:rsid w:val="00A2144B"/>
    <w:rsid w:val="00A220A6"/>
    <w:rsid w:val="00A224EE"/>
    <w:rsid w:val="00A232F8"/>
    <w:rsid w:val="00A24751"/>
    <w:rsid w:val="00A248E2"/>
    <w:rsid w:val="00A25A6E"/>
    <w:rsid w:val="00A25FF9"/>
    <w:rsid w:val="00A2674E"/>
    <w:rsid w:val="00A275C2"/>
    <w:rsid w:val="00A2774E"/>
    <w:rsid w:val="00A31125"/>
    <w:rsid w:val="00A31384"/>
    <w:rsid w:val="00A3155F"/>
    <w:rsid w:val="00A31834"/>
    <w:rsid w:val="00A320B1"/>
    <w:rsid w:val="00A325F5"/>
    <w:rsid w:val="00A333BE"/>
    <w:rsid w:val="00A33695"/>
    <w:rsid w:val="00A34026"/>
    <w:rsid w:val="00A34733"/>
    <w:rsid w:val="00A34E7C"/>
    <w:rsid w:val="00A37554"/>
    <w:rsid w:val="00A402A8"/>
    <w:rsid w:val="00A4309F"/>
    <w:rsid w:val="00A44155"/>
    <w:rsid w:val="00A448EF"/>
    <w:rsid w:val="00A44C18"/>
    <w:rsid w:val="00A47550"/>
    <w:rsid w:val="00A502D0"/>
    <w:rsid w:val="00A50700"/>
    <w:rsid w:val="00A51AA9"/>
    <w:rsid w:val="00A51C49"/>
    <w:rsid w:val="00A52048"/>
    <w:rsid w:val="00A5221E"/>
    <w:rsid w:val="00A53ADF"/>
    <w:rsid w:val="00A53C11"/>
    <w:rsid w:val="00A557E6"/>
    <w:rsid w:val="00A56331"/>
    <w:rsid w:val="00A60195"/>
    <w:rsid w:val="00A6169B"/>
    <w:rsid w:val="00A630C3"/>
    <w:rsid w:val="00A64421"/>
    <w:rsid w:val="00A65392"/>
    <w:rsid w:val="00A66EC6"/>
    <w:rsid w:val="00A6706B"/>
    <w:rsid w:val="00A67088"/>
    <w:rsid w:val="00A67AED"/>
    <w:rsid w:val="00A67DD4"/>
    <w:rsid w:val="00A70159"/>
    <w:rsid w:val="00A70966"/>
    <w:rsid w:val="00A70B68"/>
    <w:rsid w:val="00A710EA"/>
    <w:rsid w:val="00A71B2E"/>
    <w:rsid w:val="00A71B81"/>
    <w:rsid w:val="00A71F3B"/>
    <w:rsid w:val="00A72DF3"/>
    <w:rsid w:val="00A73282"/>
    <w:rsid w:val="00A7376F"/>
    <w:rsid w:val="00A737A8"/>
    <w:rsid w:val="00A74B3A"/>
    <w:rsid w:val="00A74D8D"/>
    <w:rsid w:val="00A74FC7"/>
    <w:rsid w:val="00A75BA8"/>
    <w:rsid w:val="00A76BCD"/>
    <w:rsid w:val="00A772B4"/>
    <w:rsid w:val="00A774C1"/>
    <w:rsid w:val="00A77611"/>
    <w:rsid w:val="00A801A9"/>
    <w:rsid w:val="00A802AF"/>
    <w:rsid w:val="00A80A02"/>
    <w:rsid w:val="00A80BF9"/>
    <w:rsid w:val="00A80C2E"/>
    <w:rsid w:val="00A80D31"/>
    <w:rsid w:val="00A8219C"/>
    <w:rsid w:val="00A827A5"/>
    <w:rsid w:val="00A840BE"/>
    <w:rsid w:val="00A84DE2"/>
    <w:rsid w:val="00A856C8"/>
    <w:rsid w:val="00A85CE0"/>
    <w:rsid w:val="00A85F79"/>
    <w:rsid w:val="00A86139"/>
    <w:rsid w:val="00A86EB4"/>
    <w:rsid w:val="00A87BB4"/>
    <w:rsid w:val="00A87D68"/>
    <w:rsid w:val="00A90BDF"/>
    <w:rsid w:val="00A91C47"/>
    <w:rsid w:val="00A92DDE"/>
    <w:rsid w:val="00A93460"/>
    <w:rsid w:val="00A94FBC"/>
    <w:rsid w:val="00A953CC"/>
    <w:rsid w:val="00A9559C"/>
    <w:rsid w:val="00A95860"/>
    <w:rsid w:val="00A95FD0"/>
    <w:rsid w:val="00A96030"/>
    <w:rsid w:val="00A961D2"/>
    <w:rsid w:val="00A976DA"/>
    <w:rsid w:val="00AA02BE"/>
    <w:rsid w:val="00AA12F3"/>
    <w:rsid w:val="00AA1513"/>
    <w:rsid w:val="00AA1B66"/>
    <w:rsid w:val="00AA2530"/>
    <w:rsid w:val="00AA3189"/>
    <w:rsid w:val="00AA4001"/>
    <w:rsid w:val="00AA629F"/>
    <w:rsid w:val="00AA70A1"/>
    <w:rsid w:val="00AA784A"/>
    <w:rsid w:val="00AA795A"/>
    <w:rsid w:val="00AB014C"/>
    <w:rsid w:val="00AB0412"/>
    <w:rsid w:val="00AB1B57"/>
    <w:rsid w:val="00AB2F46"/>
    <w:rsid w:val="00AB393F"/>
    <w:rsid w:val="00AB3FFE"/>
    <w:rsid w:val="00AB4E51"/>
    <w:rsid w:val="00AB5E38"/>
    <w:rsid w:val="00AB5F0D"/>
    <w:rsid w:val="00AB6EA7"/>
    <w:rsid w:val="00AB7B8D"/>
    <w:rsid w:val="00AB7EF6"/>
    <w:rsid w:val="00AC06B8"/>
    <w:rsid w:val="00AC0F2C"/>
    <w:rsid w:val="00AC14E2"/>
    <w:rsid w:val="00AC2924"/>
    <w:rsid w:val="00AC2EFC"/>
    <w:rsid w:val="00AC44EF"/>
    <w:rsid w:val="00AC470E"/>
    <w:rsid w:val="00AC568D"/>
    <w:rsid w:val="00AC5975"/>
    <w:rsid w:val="00AC5F45"/>
    <w:rsid w:val="00AC6255"/>
    <w:rsid w:val="00AC654C"/>
    <w:rsid w:val="00AC6605"/>
    <w:rsid w:val="00AC6FED"/>
    <w:rsid w:val="00AC7107"/>
    <w:rsid w:val="00AC7BD1"/>
    <w:rsid w:val="00AD061B"/>
    <w:rsid w:val="00AD074F"/>
    <w:rsid w:val="00AD0C6F"/>
    <w:rsid w:val="00AD0D74"/>
    <w:rsid w:val="00AD1A08"/>
    <w:rsid w:val="00AD4571"/>
    <w:rsid w:val="00AD4BBB"/>
    <w:rsid w:val="00AD52EC"/>
    <w:rsid w:val="00AD5A6C"/>
    <w:rsid w:val="00AD62BC"/>
    <w:rsid w:val="00AD6803"/>
    <w:rsid w:val="00AD70F1"/>
    <w:rsid w:val="00AE045F"/>
    <w:rsid w:val="00AE0B99"/>
    <w:rsid w:val="00AE0CB9"/>
    <w:rsid w:val="00AE1B5D"/>
    <w:rsid w:val="00AE1CD7"/>
    <w:rsid w:val="00AE1E0D"/>
    <w:rsid w:val="00AE1F46"/>
    <w:rsid w:val="00AE28FE"/>
    <w:rsid w:val="00AE3CEC"/>
    <w:rsid w:val="00AE3D79"/>
    <w:rsid w:val="00AE4015"/>
    <w:rsid w:val="00AE41D1"/>
    <w:rsid w:val="00AE5FB7"/>
    <w:rsid w:val="00AE685E"/>
    <w:rsid w:val="00AE6C85"/>
    <w:rsid w:val="00AE6CD7"/>
    <w:rsid w:val="00AE7BEE"/>
    <w:rsid w:val="00AF003B"/>
    <w:rsid w:val="00AF010A"/>
    <w:rsid w:val="00AF0F6E"/>
    <w:rsid w:val="00AF1037"/>
    <w:rsid w:val="00AF19B4"/>
    <w:rsid w:val="00AF1E50"/>
    <w:rsid w:val="00AF1F57"/>
    <w:rsid w:val="00AF2F56"/>
    <w:rsid w:val="00AF3C10"/>
    <w:rsid w:val="00AF42F9"/>
    <w:rsid w:val="00AF47AC"/>
    <w:rsid w:val="00AF5997"/>
    <w:rsid w:val="00AF62BC"/>
    <w:rsid w:val="00AF672F"/>
    <w:rsid w:val="00AF67FB"/>
    <w:rsid w:val="00AF798A"/>
    <w:rsid w:val="00AF7FA5"/>
    <w:rsid w:val="00B01163"/>
    <w:rsid w:val="00B0116D"/>
    <w:rsid w:val="00B024AD"/>
    <w:rsid w:val="00B032D5"/>
    <w:rsid w:val="00B048F1"/>
    <w:rsid w:val="00B049B4"/>
    <w:rsid w:val="00B04AD1"/>
    <w:rsid w:val="00B04E82"/>
    <w:rsid w:val="00B057CA"/>
    <w:rsid w:val="00B05D23"/>
    <w:rsid w:val="00B07E95"/>
    <w:rsid w:val="00B1036E"/>
    <w:rsid w:val="00B11D0D"/>
    <w:rsid w:val="00B11D65"/>
    <w:rsid w:val="00B120DA"/>
    <w:rsid w:val="00B124F0"/>
    <w:rsid w:val="00B12A9B"/>
    <w:rsid w:val="00B12C76"/>
    <w:rsid w:val="00B12EA6"/>
    <w:rsid w:val="00B1366D"/>
    <w:rsid w:val="00B1419E"/>
    <w:rsid w:val="00B14497"/>
    <w:rsid w:val="00B15280"/>
    <w:rsid w:val="00B17100"/>
    <w:rsid w:val="00B171A7"/>
    <w:rsid w:val="00B171C0"/>
    <w:rsid w:val="00B178E8"/>
    <w:rsid w:val="00B17999"/>
    <w:rsid w:val="00B209CD"/>
    <w:rsid w:val="00B20AC5"/>
    <w:rsid w:val="00B20E5D"/>
    <w:rsid w:val="00B21058"/>
    <w:rsid w:val="00B22110"/>
    <w:rsid w:val="00B22AC0"/>
    <w:rsid w:val="00B22F19"/>
    <w:rsid w:val="00B23005"/>
    <w:rsid w:val="00B238E4"/>
    <w:rsid w:val="00B25F10"/>
    <w:rsid w:val="00B2628F"/>
    <w:rsid w:val="00B26927"/>
    <w:rsid w:val="00B26E2D"/>
    <w:rsid w:val="00B300B6"/>
    <w:rsid w:val="00B30BD0"/>
    <w:rsid w:val="00B31960"/>
    <w:rsid w:val="00B31E0E"/>
    <w:rsid w:val="00B32D00"/>
    <w:rsid w:val="00B3370B"/>
    <w:rsid w:val="00B34491"/>
    <w:rsid w:val="00B347F8"/>
    <w:rsid w:val="00B3484F"/>
    <w:rsid w:val="00B35F80"/>
    <w:rsid w:val="00B36890"/>
    <w:rsid w:val="00B36BA6"/>
    <w:rsid w:val="00B373EF"/>
    <w:rsid w:val="00B375BA"/>
    <w:rsid w:val="00B37DDF"/>
    <w:rsid w:val="00B4036E"/>
    <w:rsid w:val="00B40A0D"/>
    <w:rsid w:val="00B413F3"/>
    <w:rsid w:val="00B4177D"/>
    <w:rsid w:val="00B42A40"/>
    <w:rsid w:val="00B42AE6"/>
    <w:rsid w:val="00B43025"/>
    <w:rsid w:val="00B439B1"/>
    <w:rsid w:val="00B4412B"/>
    <w:rsid w:val="00B4423C"/>
    <w:rsid w:val="00B442BD"/>
    <w:rsid w:val="00B4512A"/>
    <w:rsid w:val="00B46F46"/>
    <w:rsid w:val="00B47F20"/>
    <w:rsid w:val="00B50194"/>
    <w:rsid w:val="00B503D8"/>
    <w:rsid w:val="00B50562"/>
    <w:rsid w:val="00B51CC6"/>
    <w:rsid w:val="00B51F42"/>
    <w:rsid w:val="00B522A4"/>
    <w:rsid w:val="00B52872"/>
    <w:rsid w:val="00B53030"/>
    <w:rsid w:val="00B539E9"/>
    <w:rsid w:val="00B542AB"/>
    <w:rsid w:val="00B54C35"/>
    <w:rsid w:val="00B550E4"/>
    <w:rsid w:val="00B55654"/>
    <w:rsid w:val="00B5621B"/>
    <w:rsid w:val="00B57436"/>
    <w:rsid w:val="00B57BF6"/>
    <w:rsid w:val="00B57E38"/>
    <w:rsid w:val="00B6017B"/>
    <w:rsid w:val="00B62300"/>
    <w:rsid w:val="00B62635"/>
    <w:rsid w:val="00B6282C"/>
    <w:rsid w:val="00B64C8D"/>
    <w:rsid w:val="00B64E12"/>
    <w:rsid w:val="00B651B9"/>
    <w:rsid w:val="00B65A9A"/>
    <w:rsid w:val="00B65C85"/>
    <w:rsid w:val="00B65F25"/>
    <w:rsid w:val="00B67098"/>
    <w:rsid w:val="00B7099E"/>
    <w:rsid w:val="00B71DAC"/>
    <w:rsid w:val="00B72078"/>
    <w:rsid w:val="00B722D6"/>
    <w:rsid w:val="00B72C64"/>
    <w:rsid w:val="00B72E87"/>
    <w:rsid w:val="00B730C7"/>
    <w:rsid w:val="00B7350E"/>
    <w:rsid w:val="00B74827"/>
    <w:rsid w:val="00B7578D"/>
    <w:rsid w:val="00B759BA"/>
    <w:rsid w:val="00B764A8"/>
    <w:rsid w:val="00B776EE"/>
    <w:rsid w:val="00B779DD"/>
    <w:rsid w:val="00B77A13"/>
    <w:rsid w:val="00B77DEF"/>
    <w:rsid w:val="00B80EB1"/>
    <w:rsid w:val="00B811B0"/>
    <w:rsid w:val="00B81949"/>
    <w:rsid w:val="00B81A4F"/>
    <w:rsid w:val="00B822A4"/>
    <w:rsid w:val="00B830CB"/>
    <w:rsid w:val="00B83834"/>
    <w:rsid w:val="00B846EC"/>
    <w:rsid w:val="00B84AC1"/>
    <w:rsid w:val="00B8560C"/>
    <w:rsid w:val="00B86830"/>
    <w:rsid w:val="00B8713C"/>
    <w:rsid w:val="00B91440"/>
    <w:rsid w:val="00B93498"/>
    <w:rsid w:val="00B94411"/>
    <w:rsid w:val="00B944E7"/>
    <w:rsid w:val="00B94E95"/>
    <w:rsid w:val="00B958B2"/>
    <w:rsid w:val="00B95AD7"/>
    <w:rsid w:val="00B976CF"/>
    <w:rsid w:val="00BA0EA0"/>
    <w:rsid w:val="00BA1C6C"/>
    <w:rsid w:val="00BA1FC5"/>
    <w:rsid w:val="00BA1FF1"/>
    <w:rsid w:val="00BA26ED"/>
    <w:rsid w:val="00BA43ED"/>
    <w:rsid w:val="00BA4656"/>
    <w:rsid w:val="00BA5325"/>
    <w:rsid w:val="00BA53CD"/>
    <w:rsid w:val="00BA5A16"/>
    <w:rsid w:val="00BA6384"/>
    <w:rsid w:val="00BA6E03"/>
    <w:rsid w:val="00BA7CE0"/>
    <w:rsid w:val="00BB0B7D"/>
    <w:rsid w:val="00BB1376"/>
    <w:rsid w:val="00BB147B"/>
    <w:rsid w:val="00BB169C"/>
    <w:rsid w:val="00BB1E22"/>
    <w:rsid w:val="00BB20D8"/>
    <w:rsid w:val="00BB28D8"/>
    <w:rsid w:val="00BB2F5D"/>
    <w:rsid w:val="00BB3210"/>
    <w:rsid w:val="00BB34FC"/>
    <w:rsid w:val="00BB50BB"/>
    <w:rsid w:val="00BB5FB0"/>
    <w:rsid w:val="00BB6028"/>
    <w:rsid w:val="00BB6397"/>
    <w:rsid w:val="00BB64A8"/>
    <w:rsid w:val="00BB7790"/>
    <w:rsid w:val="00BB7E19"/>
    <w:rsid w:val="00BB7F97"/>
    <w:rsid w:val="00BC068F"/>
    <w:rsid w:val="00BC0A7F"/>
    <w:rsid w:val="00BC1D24"/>
    <w:rsid w:val="00BC2ACA"/>
    <w:rsid w:val="00BC2C58"/>
    <w:rsid w:val="00BC4DA0"/>
    <w:rsid w:val="00BC5B74"/>
    <w:rsid w:val="00BC79A3"/>
    <w:rsid w:val="00BD00B8"/>
    <w:rsid w:val="00BD0482"/>
    <w:rsid w:val="00BD1379"/>
    <w:rsid w:val="00BD29E1"/>
    <w:rsid w:val="00BD36DE"/>
    <w:rsid w:val="00BD4641"/>
    <w:rsid w:val="00BD4943"/>
    <w:rsid w:val="00BD4966"/>
    <w:rsid w:val="00BD5169"/>
    <w:rsid w:val="00BD5FE0"/>
    <w:rsid w:val="00BD630F"/>
    <w:rsid w:val="00BD687C"/>
    <w:rsid w:val="00BD7C06"/>
    <w:rsid w:val="00BE0866"/>
    <w:rsid w:val="00BE095E"/>
    <w:rsid w:val="00BE0A45"/>
    <w:rsid w:val="00BE0ED8"/>
    <w:rsid w:val="00BE1311"/>
    <w:rsid w:val="00BE187F"/>
    <w:rsid w:val="00BE19C2"/>
    <w:rsid w:val="00BE211B"/>
    <w:rsid w:val="00BE239A"/>
    <w:rsid w:val="00BE358B"/>
    <w:rsid w:val="00BE4150"/>
    <w:rsid w:val="00BE447B"/>
    <w:rsid w:val="00BE483E"/>
    <w:rsid w:val="00BE4BCA"/>
    <w:rsid w:val="00BE6018"/>
    <w:rsid w:val="00BE6B35"/>
    <w:rsid w:val="00BE6DFE"/>
    <w:rsid w:val="00BE6F0F"/>
    <w:rsid w:val="00BE76FC"/>
    <w:rsid w:val="00BE7D4B"/>
    <w:rsid w:val="00BF00EC"/>
    <w:rsid w:val="00BF06A6"/>
    <w:rsid w:val="00BF1239"/>
    <w:rsid w:val="00BF2945"/>
    <w:rsid w:val="00BF2A55"/>
    <w:rsid w:val="00BF39A6"/>
    <w:rsid w:val="00BF414A"/>
    <w:rsid w:val="00BF4973"/>
    <w:rsid w:val="00BF4EB1"/>
    <w:rsid w:val="00BF540A"/>
    <w:rsid w:val="00BF658F"/>
    <w:rsid w:val="00BF6EC1"/>
    <w:rsid w:val="00BF7257"/>
    <w:rsid w:val="00BF7AB9"/>
    <w:rsid w:val="00C016DD"/>
    <w:rsid w:val="00C017D1"/>
    <w:rsid w:val="00C026C3"/>
    <w:rsid w:val="00C026ED"/>
    <w:rsid w:val="00C029BC"/>
    <w:rsid w:val="00C03DAD"/>
    <w:rsid w:val="00C04351"/>
    <w:rsid w:val="00C0496C"/>
    <w:rsid w:val="00C04BEB"/>
    <w:rsid w:val="00C04D37"/>
    <w:rsid w:val="00C057C2"/>
    <w:rsid w:val="00C0640B"/>
    <w:rsid w:val="00C07160"/>
    <w:rsid w:val="00C074C4"/>
    <w:rsid w:val="00C1064F"/>
    <w:rsid w:val="00C10CD4"/>
    <w:rsid w:val="00C1130F"/>
    <w:rsid w:val="00C12AE0"/>
    <w:rsid w:val="00C12FEB"/>
    <w:rsid w:val="00C13AD5"/>
    <w:rsid w:val="00C140C6"/>
    <w:rsid w:val="00C144EF"/>
    <w:rsid w:val="00C15F95"/>
    <w:rsid w:val="00C2185D"/>
    <w:rsid w:val="00C22970"/>
    <w:rsid w:val="00C23D4E"/>
    <w:rsid w:val="00C23D68"/>
    <w:rsid w:val="00C23DEB"/>
    <w:rsid w:val="00C24388"/>
    <w:rsid w:val="00C25193"/>
    <w:rsid w:val="00C253F5"/>
    <w:rsid w:val="00C25670"/>
    <w:rsid w:val="00C2598D"/>
    <w:rsid w:val="00C25B9C"/>
    <w:rsid w:val="00C2636B"/>
    <w:rsid w:val="00C26D1C"/>
    <w:rsid w:val="00C276B7"/>
    <w:rsid w:val="00C277FB"/>
    <w:rsid w:val="00C30639"/>
    <w:rsid w:val="00C306B3"/>
    <w:rsid w:val="00C306F6"/>
    <w:rsid w:val="00C308ED"/>
    <w:rsid w:val="00C30979"/>
    <w:rsid w:val="00C30F42"/>
    <w:rsid w:val="00C3194E"/>
    <w:rsid w:val="00C3336F"/>
    <w:rsid w:val="00C34837"/>
    <w:rsid w:val="00C356C8"/>
    <w:rsid w:val="00C367B4"/>
    <w:rsid w:val="00C36B2D"/>
    <w:rsid w:val="00C37982"/>
    <w:rsid w:val="00C40D60"/>
    <w:rsid w:val="00C410CC"/>
    <w:rsid w:val="00C43A7D"/>
    <w:rsid w:val="00C43DCF"/>
    <w:rsid w:val="00C44DE0"/>
    <w:rsid w:val="00C45A23"/>
    <w:rsid w:val="00C45C3D"/>
    <w:rsid w:val="00C46127"/>
    <w:rsid w:val="00C46B26"/>
    <w:rsid w:val="00C46DB1"/>
    <w:rsid w:val="00C4706F"/>
    <w:rsid w:val="00C47BD3"/>
    <w:rsid w:val="00C538C4"/>
    <w:rsid w:val="00C53AE1"/>
    <w:rsid w:val="00C53B22"/>
    <w:rsid w:val="00C542A9"/>
    <w:rsid w:val="00C54763"/>
    <w:rsid w:val="00C54AAB"/>
    <w:rsid w:val="00C5561B"/>
    <w:rsid w:val="00C55649"/>
    <w:rsid w:val="00C55B1B"/>
    <w:rsid w:val="00C55F82"/>
    <w:rsid w:val="00C563A1"/>
    <w:rsid w:val="00C56FC7"/>
    <w:rsid w:val="00C5710A"/>
    <w:rsid w:val="00C57341"/>
    <w:rsid w:val="00C57F07"/>
    <w:rsid w:val="00C60F01"/>
    <w:rsid w:val="00C61637"/>
    <w:rsid w:val="00C61FF5"/>
    <w:rsid w:val="00C62CD3"/>
    <w:rsid w:val="00C635CF"/>
    <w:rsid w:val="00C63734"/>
    <w:rsid w:val="00C6398B"/>
    <w:rsid w:val="00C642DB"/>
    <w:rsid w:val="00C6569E"/>
    <w:rsid w:val="00C663CA"/>
    <w:rsid w:val="00C663E2"/>
    <w:rsid w:val="00C6716B"/>
    <w:rsid w:val="00C67804"/>
    <w:rsid w:val="00C7013E"/>
    <w:rsid w:val="00C707EE"/>
    <w:rsid w:val="00C70A2D"/>
    <w:rsid w:val="00C711B4"/>
    <w:rsid w:val="00C717C8"/>
    <w:rsid w:val="00C7187C"/>
    <w:rsid w:val="00C71B5E"/>
    <w:rsid w:val="00C71D3E"/>
    <w:rsid w:val="00C723EA"/>
    <w:rsid w:val="00C7419A"/>
    <w:rsid w:val="00C741C7"/>
    <w:rsid w:val="00C74261"/>
    <w:rsid w:val="00C745A3"/>
    <w:rsid w:val="00C75BCB"/>
    <w:rsid w:val="00C766E7"/>
    <w:rsid w:val="00C77351"/>
    <w:rsid w:val="00C77A11"/>
    <w:rsid w:val="00C80731"/>
    <w:rsid w:val="00C812A5"/>
    <w:rsid w:val="00C81A4B"/>
    <w:rsid w:val="00C83364"/>
    <w:rsid w:val="00C836D9"/>
    <w:rsid w:val="00C84BAF"/>
    <w:rsid w:val="00C84C64"/>
    <w:rsid w:val="00C85377"/>
    <w:rsid w:val="00C8571F"/>
    <w:rsid w:val="00C85A57"/>
    <w:rsid w:val="00C8615C"/>
    <w:rsid w:val="00C87322"/>
    <w:rsid w:val="00C87CEE"/>
    <w:rsid w:val="00C90176"/>
    <w:rsid w:val="00C917B0"/>
    <w:rsid w:val="00C93697"/>
    <w:rsid w:val="00C941FF"/>
    <w:rsid w:val="00C9489E"/>
    <w:rsid w:val="00C94AFD"/>
    <w:rsid w:val="00C95414"/>
    <w:rsid w:val="00C954AD"/>
    <w:rsid w:val="00C9591D"/>
    <w:rsid w:val="00C960CE"/>
    <w:rsid w:val="00C973FB"/>
    <w:rsid w:val="00CA049F"/>
    <w:rsid w:val="00CA0798"/>
    <w:rsid w:val="00CA0C40"/>
    <w:rsid w:val="00CA126C"/>
    <w:rsid w:val="00CA1B9B"/>
    <w:rsid w:val="00CA2E80"/>
    <w:rsid w:val="00CA4B58"/>
    <w:rsid w:val="00CA4D96"/>
    <w:rsid w:val="00CA5BE4"/>
    <w:rsid w:val="00CA61EE"/>
    <w:rsid w:val="00CA6F54"/>
    <w:rsid w:val="00CA7704"/>
    <w:rsid w:val="00CB0237"/>
    <w:rsid w:val="00CB084A"/>
    <w:rsid w:val="00CB1205"/>
    <w:rsid w:val="00CB121B"/>
    <w:rsid w:val="00CB1CD8"/>
    <w:rsid w:val="00CB1EE2"/>
    <w:rsid w:val="00CB1F27"/>
    <w:rsid w:val="00CB2316"/>
    <w:rsid w:val="00CB3847"/>
    <w:rsid w:val="00CB40C2"/>
    <w:rsid w:val="00CB484B"/>
    <w:rsid w:val="00CB4E0C"/>
    <w:rsid w:val="00CB5059"/>
    <w:rsid w:val="00CB5D66"/>
    <w:rsid w:val="00CB6C8D"/>
    <w:rsid w:val="00CB712E"/>
    <w:rsid w:val="00CB751E"/>
    <w:rsid w:val="00CB7BCC"/>
    <w:rsid w:val="00CB7CDF"/>
    <w:rsid w:val="00CC10BE"/>
    <w:rsid w:val="00CC2508"/>
    <w:rsid w:val="00CC3DC9"/>
    <w:rsid w:val="00CC4957"/>
    <w:rsid w:val="00CC4F4F"/>
    <w:rsid w:val="00CC5092"/>
    <w:rsid w:val="00CC547E"/>
    <w:rsid w:val="00CC5B63"/>
    <w:rsid w:val="00CC6811"/>
    <w:rsid w:val="00CC7D9D"/>
    <w:rsid w:val="00CC7FC0"/>
    <w:rsid w:val="00CD0D88"/>
    <w:rsid w:val="00CD1DF3"/>
    <w:rsid w:val="00CD2F2A"/>
    <w:rsid w:val="00CD385E"/>
    <w:rsid w:val="00CD4D79"/>
    <w:rsid w:val="00CD5D7F"/>
    <w:rsid w:val="00CD7239"/>
    <w:rsid w:val="00CD7D5B"/>
    <w:rsid w:val="00CD7ED8"/>
    <w:rsid w:val="00CE0365"/>
    <w:rsid w:val="00CE2B78"/>
    <w:rsid w:val="00CE31F7"/>
    <w:rsid w:val="00CE31FA"/>
    <w:rsid w:val="00CE3561"/>
    <w:rsid w:val="00CE3819"/>
    <w:rsid w:val="00CE3918"/>
    <w:rsid w:val="00CE59B8"/>
    <w:rsid w:val="00CE5ACF"/>
    <w:rsid w:val="00CE60C2"/>
    <w:rsid w:val="00CE625E"/>
    <w:rsid w:val="00CE714F"/>
    <w:rsid w:val="00CE7F91"/>
    <w:rsid w:val="00CF095A"/>
    <w:rsid w:val="00CF1220"/>
    <w:rsid w:val="00CF16DE"/>
    <w:rsid w:val="00CF1F22"/>
    <w:rsid w:val="00CF3A9B"/>
    <w:rsid w:val="00CF418F"/>
    <w:rsid w:val="00CF46B8"/>
    <w:rsid w:val="00CF5357"/>
    <w:rsid w:val="00CF56EC"/>
    <w:rsid w:val="00CF5951"/>
    <w:rsid w:val="00CF5B97"/>
    <w:rsid w:val="00CF65C8"/>
    <w:rsid w:val="00CF6613"/>
    <w:rsid w:val="00CF6D85"/>
    <w:rsid w:val="00CF6D89"/>
    <w:rsid w:val="00D0041F"/>
    <w:rsid w:val="00D00597"/>
    <w:rsid w:val="00D010BF"/>
    <w:rsid w:val="00D024BD"/>
    <w:rsid w:val="00D02647"/>
    <w:rsid w:val="00D02770"/>
    <w:rsid w:val="00D02CE6"/>
    <w:rsid w:val="00D02E89"/>
    <w:rsid w:val="00D034EA"/>
    <w:rsid w:val="00D039F0"/>
    <w:rsid w:val="00D03ADF"/>
    <w:rsid w:val="00D0402E"/>
    <w:rsid w:val="00D047B9"/>
    <w:rsid w:val="00D04BFC"/>
    <w:rsid w:val="00D054C0"/>
    <w:rsid w:val="00D06A9A"/>
    <w:rsid w:val="00D06F70"/>
    <w:rsid w:val="00D0778E"/>
    <w:rsid w:val="00D104FE"/>
    <w:rsid w:val="00D10700"/>
    <w:rsid w:val="00D10E67"/>
    <w:rsid w:val="00D10FBF"/>
    <w:rsid w:val="00D1112F"/>
    <w:rsid w:val="00D11D41"/>
    <w:rsid w:val="00D1223C"/>
    <w:rsid w:val="00D12EEC"/>
    <w:rsid w:val="00D14A32"/>
    <w:rsid w:val="00D14EE0"/>
    <w:rsid w:val="00D150E5"/>
    <w:rsid w:val="00D15808"/>
    <w:rsid w:val="00D16519"/>
    <w:rsid w:val="00D16FBF"/>
    <w:rsid w:val="00D2018B"/>
    <w:rsid w:val="00D20269"/>
    <w:rsid w:val="00D20799"/>
    <w:rsid w:val="00D209AF"/>
    <w:rsid w:val="00D20B5F"/>
    <w:rsid w:val="00D20C67"/>
    <w:rsid w:val="00D212FE"/>
    <w:rsid w:val="00D22842"/>
    <w:rsid w:val="00D23559"/>
    <w:rsid w:val="00D2506C"/>
    <w:rsid w:val="00D27AE0"/>
    <w:rsid w:val="00D27F99"/>
    <w:rsid w:val="00D300D9"/>
    <w:rsid w:val="00D30BE6"/>
    <w:rsid w:val="00D3130B"/>
    <w:rsid w:val="00D31C7A"/>
    <w:rsid w:val="00D32447"/>
    <w:rsid w:val="00D32EC2"/>
    <w:rsid w:val="00D33AA1"/>
    <w:rsid w:val="00D33EDF"/>
    <w:rsid w:val="00D349BF"/>
    <w:rsid w:val="00D34F75"/>
    <w:rsid w:val="00D3505B"/>
    <w:rsid w:val="00D35848"/>
    <w:rsid w:val="00D35BD5"/>
    <w:rsid w:val="00D35C30"/>
    <w:rsid w:val="00D36501"/>
    <w:rsid w:val="00D366BA"/>
    <w:rsid w:val="00D36C81"/>
    <w:rsid w:val="00D404A7"/>
    <w:rsid w:val="00D41823"/>
    <w:rsid w:val="00D4194D"/>
    <w:rsid w:val="00D436F1"/>
    <w:rsid w:val="00D43722"/>
    <w:rsid w:val="00D444B9"/>
    <w:rsid w:val="00D4457C"/>
    <w:rsid w:val="00D45122"/>
    <w:rsid w:val="00D45945"/>
    <w:rsid w:val="00D459F5"/>
    <w:rsid w:val="00D45B15"/>
    <w:rsid w:val="00D45E51"/>
    <w:rsid w:val="00D47222"/>
    <w:rsid w:val="00D47551"/>
    <w:rsid w:val="00D5285D"/>
    <w:rsid w:val="00D52F14"/>
    <w:rsid w:val="00D52FEA"/>
    <w:rsid w:val="00D533DD"/>
    <w:rsid w:val="00D5433B"/>
    <w:rsid w:val="00D54C42"/>
    <w:rsid w:val="00D56798"/>
    <w:rsid w:val="00D56AF5"/>
    <w:rsid w:val="00D57C92"/>
    <w:rsid w:val="00D57D84"/>
    <w:rsid w:val="00D60795"/>
    <w:rsid w:val="00D60F96"/>
    <w:rsid w:val="00D61578"/>
    <w:rsid w:val="00D61651"/>
    <w:rsid w:val="00D61AC9"/>
    <w:rsid w:val="00D61F31"/>
    <w:rsid w:val="00D62054"/>
    <w:rsid w:val="00D62F43"/>
    <w:rsid w:val="00D63C97"/>
    <w:rsid w:val="00D6494A"/>
    <w:rsid w:val="00D64B66"/>
    <w:rsid w:val="00D651E7"/>
    <w:rsid w:val="00D655AC"/>
    <w:rsid w:val="00D6607A"/>
    <w:rsid w:val="00D667A4"/>
    <w:rsid w:val="00D66CAA"/>
    <w:rsid w:val="00D67483"/>
    <w:rsid w:val="00D70AF7"/>
    <w:rsid w:val="00D70F07"/>
    <w:rsid w:val="00D72027"/>
    <w:rsid w:val="00D72132"/>
    <w:rsid w:val="00D7242F"/>
    <w:rsid w:val="00D72C2D"/>
    <w:rsid w:val="00D736C1"/>
    <w:rsid w:val="00D739A0"/>
    <w:rsid w:val="00D73A4C"/>
    <w:rsid w:val="00D742A8"/>
    <w:rsid w:val="00D743BA"/>
    <w:rsid w:val="00D761BC"/>
    <w:rsid w:val="00D77799"/>
    <w:rsid w:val="00D8036A"/>
    <w:rsid w:val="00D8096D"/>
    <w:rsid w:val="00D80AA0"/>
    <w:rsid w:val="00D81422"/>
    <w:rsid w:val="00D81C35"/>
    <w:rsid w:val="00D825FC"/>
    <w:rsid w:val="00D82913"/>
    <w:rsid w:val="00D8369E"/>
    <w:rsid w:val="00D8416E"/>
    <w:rsid w:val="00D84BB7"/>
    <w:rsid w:val="00D84E85"/>
    <w:rsid w:val="00D84EB7"/>
    <w:rsid w:val="00D8545A"/>
    <w:rsid w:val="00D85527"/>
    <w:rsid w:val="00D8562A"/>
    <w:rsid w:val="00D86905"/>
    <w:rsid w:val="00D87BAB"/>
    <w:rsid w:val="00D87F5B"/>
    <w:rsid w:val="00D9063B"/>
    <w:rsid w:val="00D90BFF"/>
    <w:rsid w:val="00D91B12"/>
    <w:rsid w:val="00D91E06"/>
    <w:rsid w:val="00D92396"/>
    <w:rsid w:val="00D92A98"/>
    <w:rsid w:val="00D92D00"/>
    <w:rsid w:val="00D935C5"/>
    <w:rsid w:val="00D946DB"/>
    <w:rsid w:val="00DA1325"/>
    <w:rsid w:val="00DA1CC4"/>
    <w:rsid w:val="00DA1F40"/>
    <w:rsid w:val="00DA2370"/>
    <w:rsid w:val="00DA2441"/>
    <w:rsid w:val="00DA3B36"/>
    <w:rsid w:val="00DA44A1"/>
    <w:rsid w:val="00DA4727"/>
    <w:rsid w:val="00DA49A6"/>
    <w:rsid w:val="00DA4AAA"/>
    <w:rsid w:val="00DA4CE8"/>
    <w:rsid w:val="00DA5D19"/>
    <w:rsid w:val="00DA77E1"/>
    <w:rsid w:val="00DB00FB"/>
    <w:rsid w:val="00DB0274"/>
    <w:rsid w:val="00DB0700"/>
    <w:rsid w:val="00DB0F07"/>
    <w:rsid w:val="00DB2981"/>
    <w:rsid w:val="00DB2DD0"/>
    <w:rsid w:val="00DB3B2C"/>
    <w:rsid w:val="00DB3B68"/>
    <w:rsid w:val="00DB3EEA"/>
    <w:rsid w:val="00DB40CA"/>
    <w:rsid w:val="00DB4974"/>
    <w:rsid w:val="00DB5A2D"/>
    <w:rsid w:val="00DB6035"/>
    <w:rsid w:val="00DB6635"/>
    <w:rsid w:val="00DC03E0"/>
    <w:rsid w:val="00DC2849"/>
    <w:rsid w:val="00DC2D05"/>
    <w:rsid w:val="00DC3B38"/>
    <w:rsid w:val="00DC3B82"/>
    <w:rsid w:val="00DC3C18"/>
    <w:rsid w:val="00DC3DFB"/>
    <w:rsid w:val="00DC40DA"/>
    <w:rsid w:val="00DC4926"/>
    <w:rsid w:val="00DC4CE4"/>
    <w:rsid w:val="00DC570A"/>
    <w:rsid w:val="00DC5861"/>
    <w:rsid w:val="00DC7453"/>
    <w:rsid w:val="00DD00F8"/>
    <w:rsid w:val="00DD07FF"/>
    <w:rsid w:val="00DD092D"/>
    <w:rsid w:val="00DD156E"/>
    <w:rsid w:val="00DD1906"/>
    <w:rsid w:val="00DD2EE6"/>
    <w:rsid w:val="00DD3C4A"/>
    <w:rsid w:val="00DD4859"/>
    <w:rsid w:val="00DD4DED"/>
    <w:rsid w:val="00DD5F87"/>
    <w:rsid w:val="00DD60DF"/>
    <w:rsid w:val="00DD63F8"/>
    <w:rsid w:val="00DD6645"/>
    <w:rsid w:val="00DD6D54"/>
    <w:rsid w:val="00DD72AA"/>
    <w:rsid w:val="00DD7D24"/>
    <w:rsid w:val="00DE0157"/>
    <w:rsid w:val="00DE07FC"/>
    <w:rsid w:val="00DE08E6"/>
    <w:rsid w:val="00DE0962"/>
    <w:rsid w:val="00DE140C"/>
    <w:rsid w:val="00DE1551"/>
    <w:rsid w:val="00DE1809"/>
    <w:rsid w:val="00DE230A"/>
    <w:rsid w:val="00DE26F2"/>
    <w:rsid w:val="00DE28B9"/>
    <w:rsid w:val="00DE4001"/>
    <w:rsid w:val="00DE4EF2"/>
    <w:rsid w:val="00DE4FC4"/>
    <w:rsid w:val="00DE56CC"/>
    <w:rsid w:val="00DE5A31"/>
    <w:rsid w:val="00DE6122"/>
    <w:rsid w:val="00DE6124"/>
    <w:rsid w:val="00DE6B3E"/>
    <w:rsid w:val="00DE6C01"/>
    <w:rsid w:val="00DE7302"/>
    <w:rsid w:val="00DE7A6F"/>
    <w:rsid w:val="00DF2202"/>
    <w:rsid w:val="00DF297D"/>
    <w:rsid w:val="00DF423A"/>
    <w:rsid w:val="00DF70AE"/>
    <w:rsid w:val="00DF714B"/>
    <w:rsid w:val="00DF732E"/>
    <w:rsid w:val="00DF7773"/>
    <w:rsid w:val="00DF7FEE"/>
    <w:rsid w:val="00E00605"/>
    <w:rsid w:val="00E0175F"/>
    <w:rsid w:val="00E01FF0"/>
    <w:rsid w:val="00E02F76"/>
    <w:rsid w:val="00E03B63"/>
    <w:rsid w:val="00E040B5"/>
    <w:rsid w:val="00E04873"/>
    <w:rsid w:val="00E050DE"/>
    <w:rsid w:val="00E050F3"/>
    <w:rsid w:val="00E051BE"/>
    <w:rsid w:val="00E052A9"/>
    <w:rsid w:val="00E058F9"/>
    <w:rsid w:val="00E0639C"/>
    <w:rsid w:val="00E06628"/>
    <w:rsid w:val="00E067D9"/>
    <w:rsid w:val="00E0757F"/>
    <w:rsid w:val="00E07C8E"/>
    <w:rsid w:val="00E11F7B"/>
    <w:rsid w:val="00E13987"/>
    <w:rsid w:val="00E142F1"/>
    <w:rsid w:val="00E143FD"/>
    <w:rsid w:val="00E14C4D"/>
    <w:rsid w:val="00E15866"/>
    <w:rsid w:val="00E1696D"/>
    <w:rsid w:val="00E1750A"/>
    <w:rsid w:val="00E200AF"/>
    <w:rsid w:val="00E22083"/>
    <w:rsid w:val="00E23272"/>
    <w:rsid w:val="00E25862"/>
    <w:rsid w:val="00E25C3B"/>
    <w:rsid w:val="00E25C9A"/>
    <w:rsid w:val="00E26C9C"/>
    <w:rsid w:val="00E26CB6"/>
    <w:rsid w:val="00E27969"/>
    <w:rsid w:val="00E3001E"/>
    <w:rsid w:val="00E3065B"/>
    <w:rsid w:val="00E30874"/>
    <w:rsid w:val="00E31A2A"/>
    <w:rsid w:val="00E32DA2"/>
    <w:rsid w:val="00E338E7"/>
    <w:rsid w:val="00E33BF7"/>
    <w:rsid w:val="00E40518"/>
    <w:rsid w:val="00E40689"/>
    <w:rsid w:val="00E40CAE"/>
    <w:rsid w:val="00E4176A"/>
    <w:rsid w:val="00E41A58"/>
    <w:rsid w:val="00E41E4F"/>
    <w:rsid w:val="00E425CE"/>
    <w:rsid w:val="00E42A4D"/>
    <w:rsid w:val="00E42C2F"/>
    <w:rsid w:val="00E43CD2"/>
    <w:rsid w:val="00E4445C"/>
    <w:rsid w:val="00E45EE7"/>
    <w:rsid w:val="00E4643B"/>
    <w:rsid w:val="00E46936"/>
    <w:rsid w:val="00E47B54"/>
    <w:rsid w:val="00E47CCD"/>
    <w:rsid w:val="00E50017"/>
    <w:rsid w:val="00E50600"/>
    <w:rsid w:val="00E509EA"/>
    <w:rsid w:val="00E52B34"/>
    <w:rsid w:val="00E52D28"/>
    <w:rsid w:val="00E530EF"/>
    <w:rsid w:val="00E53E55"/>
    <w:rsid w:val="00E543B2"/>
    <w:rsid w:val="00E54B05"/>
    <w:rsid w:val="00E54BB0"/>
    <w:rsid w:val="00E55432"/>
    <w:rsid w:val="00E55B1B"/>
    <w:rsid w:val="00E56675"/>
    <w:rsid w:val="00E577AC"/>
    <w:rsid w:val="00E57C55"/>
    <w:rsid w:val="00E608A8"/>
    <w:rsid w:val="00E60C82"/>
    <w:rsid w:val="00E61840"/>
    <w:rsid w:val="00E62F51"/>
    <w:rsid w:val="00E637EC"/>
    <w:rsid w:val="00E63DC8"/>
    <w:rsid w:val="00E66040"/>
    <w:rsid w:val="00E6616A"/>
    <w:rsid w:val="00E662B7"/>
    <w:rsid w:val="00E66E7C"/>
    <w:rsid w:val="00E67F16"/>
    <w:rsid w:val="00E700AA"/>
    <w:rsid w:val="00E70BF2"/>
    <w:rsid w:val="00E712D6"/>
    <w:rsid w:val="00E71CDA"/>
    <w:rsid w:val="00E721D9"/>
    <w:rsid w:val="00E73F4B"/>
    <w:rsid w:val="00E7471E"/>
    <w:rsid w:val="00E748B9"/>
    <w:rsid w:val="00E74C2C"/>
    <w:rsid w:val="00E75993"/>
    <w:rsid w:val="00E80172"/>
    <w:rsid w:val="00E804CC"/>
    <w:rsid w:val="00E81DB9"/>
    <w:rsid w:val="00E81F69"/>
    <w:rsid w:val="00E82285"/>
    <w:rsid w:val="00E822F7"/>
    <w:rsid w:val="00E8262F"/>
    <w:rsid w:val="00E82A32"/>
    <w:rsid w:val="00E83CA2"/>
    <w:rsid w:val="00E84C8E"/>
    <w:rsid w:val="00E86638"/>
    <w:rsid w:val="00E86A66"/>
    <w:rsid w:val="00E87B6C"/>
    <w:rsid w:val="00E923E3"/>
    <w:rsid w:val="00E92C04"/>
    <w:rsid w:val="00E92E77"/>
    <w:rsid w:val="00E93AB5"/>
    <w:rsid w:val="00E940E2"/>
    <w:rsid w:val="00E96A85"/>
    <w:rsid w:val="00E9758A"/>
    <w:rsid w:val="00EA050A"/>
    <w:rsid w:val="00EA0BAB"/>
    <w:rsid w:val="00EA11F0"/>
    <w:rsid w:val="00EA167E"/>
    <w:rsid w:val="00EA1EF3"/>
    <w:rsid w:val="00EA201D"/>
    <w:rsid w:val="00EA2902"/>
    <w:rsid w:val="00EA2EDF"/>
    <w:rsid w:val="00EA35DF"/>
    <w:rsid w:val="00EA3AF5"/>
    <w:rsid w:val="00EA3FEF"/>
    <w:rsid w:val="00EA4108"/>
    <w:rsid w:val="00EA419C"/>
    <w:rsid w:val="00EA57EF"/>
    <w:rsid w:val="00EA6586"/>
    <w:rsid w:val="00EA70DE"/>
    <w:rsid w:val="00EB012E"/>
    <w:rsid w:val="00EB062A"/>
    <w:rsid w:val="00EB06C2"/>
    <w:rsid w:val="00EB0FF2"/>
    <w:rsid w:val="00EB154B"/>
    <w:rsid w:val="00EB18E3"/>
    <w:rsid w:val="00EB3B6C"/>
    <w:rsid w:val="00EB5013"/>
    <w:rsid w:val="00EB5804"/>
    <w:rsid w:val="00EB5810"/>
    <w:rsid w:val="00EB5C2F"/>
    <w:rsid w:val="00EB5C9A"/>
    <w:rsid w:val="00EB6DEA"/>
    <w:rsid w:val="00EC1715"/>
    <w:rsid w:val="00EC19AE"/>
    <w:rsid w:val="00EC5046"/>
    <w:rsid w:val="00EC53E0"/>
    <w:rsid w:val="00EC57C6"/>
    <w:rsid w:val="00EC5FA2"/>
    <w:rsid w:val="00EC6696"/>
    <w:rsid w:val="00EC7018"/>
    <w:rsid w:val="00EC785C"/>
    <w:rsid w:val="00EC7E5C"/>
    <w:rsid w:val="00ED0D36"/>
    <w:rsid w:val="00ED28A6"/>
    <w:rsid w:val="00ED3AB6"/>
    <w:rsid w:val="00ED4EAD"/>
    <w:rsid w:val="00ED52BC"/>
    <w:rsid w:val="00ED55F7"/>
    <w:rsid w:val="00ED5824"/>
    <w:rsid w:val="00ED66A4"/>
    <w:rsid w:val="00ED73D7"/>
    <w:rsid w:val="00ED7576"/>
    <w:rsid w:val="00ED7C8E"/>
    <w:rsid w:val="00EE05E3"/>
    <w:rsid w:val="00EE2205"/>
    <w:rsid w:val="00EE27A2"/>
    <w:rsid w:val="00EE2BDA"/>
    <w:rsid w:val="00EE3735"/>
    <w:rsid w:val="00EE3D7D"/>
    <w:rsid w:val="00EE4A0E"/>
    <w:rsid w:val="00EE4ABB"/>
    <w:rsid w:val="00EE5494"/>
    <w:rsid w:val="00EE5691"/>
    <w:rsid w:val="00EE63B4"/>
    <w:rsid w:val="00EE68B3"/>
    <w:rsid w:val="00EE71F7"/>
    <w:rsid w:val="00EE7A29"/>
    <w:rsid w:val="00EF09E7"/>
    <w:rsid w:val="00EF0DA4"/>
    <w:rsid w:val="00EF0F9F"/>
    <w:rsid w:val="00EF28B2"/>
    <w:rsid w:val="00EF31CC"/>
    <w:rsid w:val="00EF3BB0"/>
    <w:rsid w:val="00EF4BA7"/>
    <w:rsid w:val="00EF4CCF"/>
    <w:rsid w:val="00EF5535"/>
    <w:rsid w:val="00EF5551"/>
    <w:rsid w:val="00F0027B"/>
    <w:rsid w:val="00F006CF"/>
    <w:rsid w:val="00F00DAA"/>
    <w:rsid w:val="00F00F88"/>
    <w:rsid w:val="00F015E6"/>
    <w:rsid w:val="00F020E3"/>
    <w:rsid w:val="00F0228E"/>
    <w:rsid w:val="00F0322C"/>
    <w:rsid w:val="00F052D1"/>
    <w:rsid w:val="00F05896"/>
    <w:rsid w:val="00F0593A"/>
    <w:rsid w:val="00F05DEF"/>
    <w:rsid w:val="00F06243"/>
    <w:rsid w:val="00F1041F"/>
    <w:rsid w:val="00F106A2"/>
    <w:rsid w:val="00F1094A"/>
    <w:rsid w:val="00F10B96"/>
    <w:rsid w:val="00F11185"/>
    <w:rsid w:val="00F12EA3"/>
    <w:rsid w:val="00F132D6"/>
    <w:rsid w:val="00F13FB3"/>
    <w:rsid w:val="00F1455C"/>
    <w:rsid w:val="00F14B07"/>
    <w:rsid w:val="00F14D44"/>
    <w:rsid w:val="00F172EA"/>
    <w:rsid w:val="00F177C6"/>
    <w:rsid w:val="00F17EEB"/>
    <w:rsid w:val="00F2228C"/>
    <w:rsid w:val="00F22414"/>
    <w:rsid w:val="00F224CA"/>
    <w:rsid w:val="00F22648"/>
    <w:rsid w:val="00F239D8"/>
    <w:rsid w:val="00F249CD"/>
    <w:rsid w:val="00F2543D"/>
    <w:rsid w:val="00F26B14"/>
    <w:rsid w:val="00F26DF2"/>
    <w:rsid w:val="00F26EC1"/>
    <w:rsid w:val="00F271B3"/>
    <w:rsid w:val="00F30076"/>
    <w:rsid w:val="00F30485"/>
    <w:rsid w:val="00F315FD"/>
    <w:rsid w:val="00F325B9"/>
    <w:rsid w:val="00F3264A"/>
    <w:rsid w:val="00F33276"/>
    <w:rsid w:val="00F34190"/>
    <w:rsid w:val="00F3541C"/>
    <w:rsid w:val="00F356CE"/>
    <w:rsid w:val="00F358AF"/>
    <w:rsid w:val="00F35A92"/>
    <w:rsid w:val="00F36161"/>
    <w:rsid w:val="00F36D86"/>
    <w:rsid w:val="00F40D45"/>
    <w:rsid w:val="00F423F0"/>
    <w:rsid w:val="00F436D1"/>
    <w:rsid w:val="00F45359"/>
    <w:rsid w:val="00F453DD"/>
    <w:rsid w:val="00F460C2"/>
    <w:rsid w:val="00F463F5"/>
    <w:rsid w:val="00F47628"/>
    <w:rsid w:val="00F479EA"/>
    <w:rsid w:val="00F50709"/>
    <w:rsid w:val="00F5118C"/>
    <w:rsid w:val="00F519AA"/>
    <w:rsid w:val="00F519C3"/>
    <w:rsid w:val="00F51D49"/>
    <w:rsid w:val="00F52DF6"/>
    <w:rsid w:val="00F52EAA"/>
    <w:rsid w:val="00F53094"/>
    <w:rsid w:val="00F53582"/>
    <w:rsid w:val="00F5381F"/>
    <w:rsid w:val="00F549B3"/>
    <w:rsid w:val="00F5524C"/>
    <w:rsid w:val="00F55349"/>
    <w:rsid w:val="00F55E6E"/>
    <w:rsid w:val="00F56546"/>
    <w:rsid w:val="00F576FF"/>
    <w:rsid w:val="00F57838"/>
    <w:rsid w:val="00F57ED1"/>
    <w:rsid w:val="00F6009C"/>
    <w:rsid w:val="00F601D8"/>
    <w:rsid w:val="00F60F2D"/>
    <w:rsid w:val="00F60F37"/>
    <w:rsid w:val="00F61095"/>
    <w:rsid w:val="00F61687"/>
    <w:rsid w:val="00F620A2"/>
    <w:rsid w:val="00F62BA7"/>
    <w:rsid w:val="00F63080"/>
    <w:rsid w:val="00F6342A"/>
    <w:rsid w:val="00F63BA7"/>
    <w:rsid w:val="00F63CE8"/>
    <w:rsid w:val="00F641BA"/>
    <w:rsid w:val="00F6432E"/>
    <w:rsid w:val="00F657FF"/>
    <w:rsid w:val="00F65C22"/>
    <w:rsid w:val="00F65D49"/>
    <w:rsid w:val="00F65DB2"/>
    <w:rsid w:val="00F66830"/>
    <w:rsid w:val="00F6685C"/>
    <w:rsid w:val="00F67634"/>
    <w:rsid w:val="00F70151"/>
    <w:rsid w:val="00F7047E"/>
    <w:rsid w:val="00F70AEE"/>
    <w:rsid w:val="00F71130"/>
    <w:rsid w:val="00F718EA"/>
    <w:rsid w:val="00F723C2"/>
    <w:rsid w:val="00F72968"/>
    <w:rsid w:val="00F73B4B"/>
    <w:rsid w:val="00F73DD8"/>
    <w:rsid w:val="00F745D5"/>
    <w:rsid w:val="00F74B0F"/>
    <w:rsid w:val="00F75259"/>
    <w:rsid w:val="00F75CC1"/>
    <w:rsid w:val="00F7642D"/>
    <w:rsid w:val="00F76AA8"/>
    <w:rsid w:val="00F777C7"/>
    <w:rsid w:val="00F800B6"/>
    <w:rsid w:val="00F80DDF"/>
    <w:rsid w:val="00F82FE4"/>
    <w:rsid w:val="00F84014"/>
    <w:rsid w:val="00F84B2D"/>
    <w:rsid w:val="00F87B4D"/>
    <w:rsid w:val="00F87E46"/>
    <w:rsid w:val="00F904FA"/>
    <w:rsid w:val="00F913DC"/>
    <w:rsid w:val="00F915DA"/>
    <w:rsid w:val="00F91DBA"/>
    <w:rsid w:val="00F91E1F"/>
    <w:rsid w:val="00F92CD7"/>
    <w:rsid w:val="00F93B5F"/>
    <w:rsid w:val="00F9474C"/>
    <w:rsid w:val="00F9591C"/>
    <w:rsid w:val="00F96C8D"/>
    <w:rsid w:val="00F97A64"/>
    <w:rsid w:val="00F97CA1"/>
    <w:rsid w:val="00FA2296"/>
    <w:rsid w:val="00FA37B6"/>
    <w:rsid w:val="00FA3865"/>
    <w:rsid w:val="00FA46C8"/>
    <w:rsid w:val="00FA610E"/>
    <w:rsid w:val="00FA6CBF"/>
    <w:rsid w:val="00FA6E69"/>
    <w:rsid w:val="00FA6FEC"/>
    <w:rsid w:val="00FA77E4"/>
    <w:rsid w:val="00FA7A04"/>
    <w:rsid w:val="00FA7A7D"/>
    <w:rsid w:val="00FB0B03"/>
    <w:rsid w:val="00FB1017"/>
    <w:rsid w:val="00FB1578"/>
    <w:rsid w:val="00FB157B"/>
    <w:rsid w:val="00FB199D"/>
    <w:rsid w:val="00FB1C26"/>
    <w:rsid w:val="00FB1D44"/>
    <w:rsid w:val="00FB25EE"/>
    <w:rsid w:val="00FB2779"/>
    <w:rsid w:val="00FB2AA8"/>
    <w:rsid w:val="00FB2B4C"/>
    <w:rsid w:val="00FB2E7B"/>
    <w:rsid w:val="00FB3DA7"/>
    <w:rsid w:val="00FB4960"/>
    <w:rsid w:val="00FB5258"/>
    <w:rsid w:val="00FB550D"/>
    <w:rsid w:val="00FB5985"/>
    <w:rsid w:val="00FB5B0F"/>
    <w:rsid w:val="00FB5F95"/>
    <w:rsid w:val="00FB6F03"/>
    <w:rsid w:val="00FB7660"/>
    <w:rsid w:val="00FB78DC"/>
    <w:rsid w:val="00FB79BA"/>
    <w:rsid w:val="00FC0C25"/>
    <w:rsid w:val="00FC1030"/>
    <w:rsid w:val="00FC18DB"/>
    <w:rsid w:val="00FC19E9"/>
    <w:rsid w:val="00FC20DD"/>
    <w:rsid w:val="00FC30E6"/>
    <w:rsid w:val="00FC371D"/>
    <w:rsid w:val="00FC3B6F"/>
    <w:rsid w:val="00FC41EC"/>
    <w:rsid w:val="00FC486D"/>
    <w:rsid w:val="00FC4D06"/>
    <w:rsid w:val="00FC5D50"/>
    <w:rsid w:val="00FC6D77"/>
    <w:rsid w:val="00FC6D7A"/>
    <w:rsid w:val="00FC6F12"/>
    <w:rsid w:val="00FD0193"/>
    <w:rsid w:val="00FD0FAA"/>
    <w:rsid w:val="00FD16F5"/>
    <w:rsid w:val="00FD2C0B"/>
    <w:rsid w:val="00FD344F"/>
    <w:rsid w:val="00FD3674"/>
    <w:rsid w:val="00FD5526"/>
    <w:rsid w:val="00FD5ABD"/>
    <w:rsid w:val="00FD6CCB"/>
    <w:rsid w:val="00FD7524"/>
    <w:rsid w:val="00FD7960"/>
    <w:rsid w:val="00FD7E66"/>
    <w:rsid w:val="00FE01DE"/>
    <w:rsid w:val="00FE052A"/>
    <w:rsid w:val="00FE14E7"/>
    <w:rsid w:val="00FE19F6"/>
    <w:rsid w:val="00FE21F5"/>
    <w:rsid w:val="00FE30C1"/>
    <w:rsid w:val="00FE341D"/>
    <w:rsid w:val="00FE349C"/>
    <w:rsid w:val="00FE3CA1"/>
    <w:rsid w:val="00FE43D5"/>
    <w:rsid w:val="00FE4AE0"/>
    <w:rsid w:val="00FE4D22"/>
    <w:rsid w:val="00FE555F"/>
    <w:rsid w:val="00FE55BE"/>
    <w:rsid w:val="00FE583F"/>
    <w:rsid w:val="00FE69AC"/>
    <w:rsid w:val="00FE6CFB"/>
    <w:rsid w:val="00FE7CC3"/>
    <w:rsid w:val="00FF0040"/>
    <w:rsid w:val="00FF1283"/>
    <w:rsid w:val="00FF208F"/>
    <w:rsid w:val="00FF2658"/>
    <w:rsid w:val="00FF324B"/>
    <w:rsid w:val="00FF3C3D"/>
    <w:rsid w:val="00FF444C"/>
    <w:rsid w:val="00FF4B69"/>
    <w:rsid w:val="00FF5182"/>
    <w:rsid w:val="00FF5CCA"/>
    <w:rsid w:val="00FF6D95"/>
    <w:rsid w:val="00FF7470"/>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6C9E9C"/>
  <w15:docId w15:val="{689BFC09-28D8-46C8-AF07-4452200E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EB"/>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F239D8"/>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F239D8"/>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5"/>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F239D8"/>
    <w:rPr>
      <w:rFonts w:ascii="Verdana" w:hAnsi="Verdana"/>
      <w:b/>
      <w:sz w:val="24"/>
      <w:szCs w:val="24"/>
      <w:u w:val="single"/>
      <w:lang w:val="en-US" w:eastAsia="x-none"/>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F239D8"/>
    <w:rPr>
      <w:b/>
      <w:lang w:val="x-none"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3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rPr>
      <w:rFonts w:cs="Arial"/>
      <w:b w:val="0"/>
      <w:sz w:val="20"/>
    </w:rPr>
  </w:style>
  <w:style w:type="paragraph" w:customStyle="1" w:styleId="Instructionsberschrift3">
    <w:name w:val="Instructions Überschrift 3"/>
    <w:basedOn w:val="Heading3"/>
    <w:link w:val="Instructionsberschrift3Zchn"/>
    <w:rsid w:val="006746DB"/>
    <w:pPr>
      <w:numPr>
        <w:numId w:val="13"/>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DC4926"/>
    <w:pPr>
      <w:numPr>
        <w:numId w:val="18"/>
      </w:numPr>
      <w:shd w:val="clear" w:color="auto" w:fill="FFFFFF" w:themeFill="background1"/>
    </w:pPr>
    <w:rPr>
      <w:rFonts w:ascii="Times New Roman" w:hAnsi="Times New Roman"/>
      <w:szCs w:val="20"/>
      <w:lang w:val="en-US"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DC4926"/>
    <w:rPr>
      <w:rFonts w:ascii="Times New Roman" w:eastAsia="Times New Roman" w:hAnsi="Times New Roman"/>
      <w:shd w:val="clear" w:color="auto" w:fill="FFFFFF" w:themeFill="background1"/>
      <w:lang w:val="en-US"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7"/>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eastAsia="en-GB"/>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4"/>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6"/>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B550E4"/>
    <w:pPr>
      <w:autoSpaceDE w:val="0"/>
      <w:autoSpaceDN w:val="0"/>
      <w:adjustRightInd w:val="0"/>
    </w:pPr>
    <w:rPr>
      <w:rFonts w:ascii="Times New Roman" w:hAnsi="Times New Roman"/>
      <w:color w:val="000000"/>
      <w:sz w:val="24"/>
      <w:szCs w:val="24"/>
    </w:rPr>
  </w:style>
  <w:style w:type="paragraph" w:customStyle="1" w:styleId="Fait">
    <w:name w:val="Fait à"/>
    <w:basedOn w:val="Normal"/>
    <w:next w:val="Normal"/>
    <w:rsid w:val="00FF6D95"/>
    <w:pPr>
      <w:keepNext/>
      <w:spacing w:after="0"/>
    </w:pPr>
    <w:rPr>
      <w:rFonts w:ascii="Times New Roman" w:hAnsi="Times New Roman"/>
      <w:sz w:val="24"/>
    </w:rPr>
  </w:style>
  <w:style w:type="paragraph" w:customStyle="1" w:styleId="CM1">
    <w:name w:val="CM1"/>
    <w:basedOn w:val="Default"/>
    <w:next w:val="Default"/>
    <w:uiPriority w:val="99"/>
    <w:rsid w:val="009A510C"/>
    <w:rPr>
      <w:rFonts w:ascii="EUAlbertina" w:hAnsi="EUAlbertina"/>
      <w:color w:val="auto"/>
    </w:rPr>
  </w:style>
  <w:style w:type="paragraph" w:customStyle="1" w:styleId="CM3">
    <w:name w:val="CM3"/>
    <w:basedOn w:val="Default"/>
    <w:next w:val="Default"/>
    <w:uiPriority w:val="99"/>
    <w:rsid w:val="009A510C"/>
    <w:rPr>
      <w:rFonts w:ascii="EUAlbertina" w:hAnsi="EUAlbertina"/>
      <w:color w:val="auto"/>
    </w:rPr>
  </w:style>
  <w:style w:type="paragraph" w:customStyle="1" w:styleId="CM19">
    <w:name w:val="CM1+9"/>
    <w:basedOn w:val="Default"/>
    <w:next w:val="Default"/>
    <w:uiPriority w:val="99"/>
    <w:rsid w:val="000E6A3F"/>
    <w:rPr>
      <w:color w:val="auto"/>
    </w:rPr>
  </w:style>
  <w:style w:type="paragraph" w:customStyle="1" w:styleId="CM39">
    <w:name w:val="CM3+9"/>
    <w:basedOn w:val="Default"/>
    <w:next w:val="Default"/>
    <w:uiPriority w:val="99"/>
    <w:rsid w:val="000E6A3F"/>
    <w:rPr>
      <w:color w:val="auto"/>
    </w:rPr>
  </w:style>
  <w:style w:type="character" w:customStyle="1" w:styleId="markedcontent">
    <w:name w:val="markedcontent"/>
    <w:basedOn w:val="DefaultParagraphFont"/>
    <w:rsid w:val="0071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2677">
      <w:bodyDiv w:val="1"/>
      <w:marLeft w:val="0"/>
      <w:marRight w:val="0"/>
      <w:marTop w:val="0"/>
      <w:marBottom w:val="0"/>
      <w:divBdr>
        <w:top w:val="none" w:sz="0" w:space="0" w:color="auto"/>
        <w:left w:val="none" w:sz="0" w:space="0" w:color="auto"/>
        <w:bottom w:val="none" w:sz="0" w:space="0" w:color="auto"/>
        <w:right w:val="none" w:sz="0" w:space="0" w:color="auto"/>
      </w:divBdr>
    </w:div>
    <w:div w:id="165944937">
      <w:bodyDiv w:val="1"/>
      <w:marLeft w:val="0"/>
      <w:marRight w:val="0"/>
      <w:marTop w:val="0"/>
      <w:marBottom w:val="0"/>
      <w:divBdr>
        <w:top w:val="none" w:sz="0" w:space="0" w:color="auto"/>
        <w:left w:val="none" w:sz="0" w:space="0" w:color="auto"/>
        <w:bottom w:val="none" w:sz="0" w:space="0" w:color="auto"/>
        <w:right w:val="none" w:sz="0" w:space="0" w:color="auto"/>
      </w:divBdr>
    </w:div>
    <w:div w:id="231353045">
      <w:bodyDiv w:val="1"/>
      <w:marLeft w:val="0"/>
      <w:marRight w:val="0"/>
      <w:marTop w:val="0"/>
      <w:marBottom w:val="0"/>
      <w:divBdr>
        <w:top w:val="none" w:sz="0" w:space="0" w:color="auto"/>
        <w:left w:val="none" w:sz="0" w:space="0" w:color="auto"/>
        <w:bottom w:val="none" w:sz="0" w:space="0" w:color="auto"/>
        <w:right w:val="none" w:sz="0" w:space="0" w:color="auto"/>
      </w:divBdr>
    </w:div>
    <w:div w:id="295449107">
      <w:bodyDiv w:val="1"/>
      <w:marLeft w:val="0"/>
      <w:marRight w:val="0"/>
      <w:marTop w:val="0"/>
      <w:marBottom w:val="0"/>
      <w:divBdr>
        <w:top w:val="none" w:sz="0" w:space="0" w:color="auto"/>
        <w:left w:val="none" w:sz="0" w:space="0" w:color="auto"/>
        <w:bottom w:val="none" w:sz="0" w:space="0" w:color="auto"/>
        <w:right w:val="none" w:sz="0" w:space="0" w:color="auto"/>
      </w:divBdr>
    </w:div>
    <w:div w:id="411317577">
      <w:bodyDiv w:val="1"/>
      <w:marLeft w:val="0"/>
      <w:marRight w:val="0"/>
      <w:marTop w:val="0"/>
      <w:marBottom w:val="0"/>
      <w:divBdr>
        <w:top w:val="none" w:sz="0" w:space="0" w:color="auto"/>
        <w:left w:val="none" w:sz="0" w:space="0" w:color="auto"/>
        <w:bottom w:val="none" w:sz="0" w:space="0" w:color="auto"/>
        <w:right w:val="none" w:sz="0" w:space="0" w:color="auto"/>
      </w:divBdr>
    </w:div>
    <w:div w:id="437722459">
      <w:bodyDiv w:val="1"/>
      <w:marLeft w:val="0"/>
      <w:marRight w:val="0"/>
      <w:marTop w:val="0"/>
      <w:marBottom w:val="0"/>
      <w:divBdr>
        <w:top w:val="none" w:sz="0" w:space="0" w:color="auto"/>
        <w:left w:val="none" w:sz="0" w:space="0" w:color="auto"/>
        <w:bottom w:val="none" w:sz="0" w:space="0" w:color="auto"/>
        <w:right w:val="none" w:sz="0" w:space="0" w:color="auto"/>
      </w:divBdr>
    </w:div>
    <w:div w:id="444812936">
      <w:bodyDiv w:val="1"/>
      <w:marLeft w:val="0"/>
      <w:marRight w:val="0"/>
      <w:marTop w:val="0"/>
      <w:marBottom w:val="0"/>
      <w:divBdr>
        <w:top w:val="none" w:sz="0" w:space="0" w:color="auto"/>
        <w:left w:val="none" w:sz="0" w:space="0" w:color="auto"/>
        <w:bottom w:val="none" w:sz="0" w:space="0" w:color="auto"/>
        <w:right w:val="none" w:sz="0" w:space="0" w:color="auto"/>
      </w:divBdr>
    </w:div>
    <w:div w:id="674114868">
      <w:bodyDiv w:val="1"/>
      <w:marLeft w:val="0"/>
      <w:marRight w:val="0"/>
      <w:marTop w:val="0"/>
      <w:marBottom w:val="0"/>
      <w:divBdr>
        <w:top w:val="none" w:sz="0" w:space="0" w:color="auto"/>
        <w:left w:val="none" w:sz="0" w:space="0" w:color="auto"/>
        <w:bottom w:val="none" w:sz="0" w:space="0" w:color="auto"/>
        <w:right w:val="none" w:sz="0" w:space="0" w:color="auto"/>
      </w:divBdr>
    </w:div>
    <w:div w:id="674260958">
      <w:bodyDiv w:val="1"/>
      <w:marLeft w:val="0"/>
      <w:marRight w:val="0"/>
      <w:marTop w:val="0"/>
      <w:marBottom w:val="0"/>
      <w:divBdr>
        <w:top w:val="none" w:sz="0" w:space="0" w:color="auto"/>
        <w:left w:val="none" w:sz="0" w:space="0" w:color="auto"/>
        <w:bottom w:val="none" w:sz="0" w:space="0" w:color="auto"/>
        <w:right w:val="none" w:sz="0" w:space="0" w:color="auto"/>
      </w:divBdr>
    </w:div>
    <w:div w:id="713895365">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794905185">
      <w:bodyDiv w:val="1"/>
      <w:marLeft w:val="0"/>
      <w:marRight w:val="0"/>
      <w:marTop w:val="0"/>
      <w:marBottom w:val="0"/>
      <w:divBdr>
        <w:top w:val="none" w:sz="0" w:space="0" w:color="auto"/>
        <w:left w:val="none" w:sz="0" w:space="0" w:color="auto"/>
        <w:bottom w:val="none" w:sz="0" w:space="0" w:color="auto"/>
        <w:right w:val="none" w:sz="0" w:space="0" w:color="auto"/>
      </w:divBdr>
    </w:div>
    <w:div w:id="835846973">
      <w:bodyDiv w:val="1"/>
      <w:marLeft w:val="0"/>
      <w:marRight w:val="0"/>
      <w:marTop w:val="0"/>
      <w:marBottom w:val="0"/>
      <w:divBdr>
        <w:top w:val="none" w:sz="0" w:space="0" w:color="auto"/>
        <w:left w:val="none" w:sz="0" w:space="0" w:color="auto"/>
        <w:bottom w:val="none" w:sz="0" w:space="0" w:color="auto"/>
        <w:right w:val="none" w:sz="0" w:space="0" w:color="auto"/>
      </w:divBdr>
    </w:div>
    <w:div w:id="896630749">
      <w:bodyDiv w:val="1"/>
      <w:marLeft w:val="0"/>
      <w:marRight w:val="0"/>
      <w:marTop w:val="0"/>
      <w:marBottom w:val="0"/>
      <w:divBdr>
        <w:top w:val="none" w:sz="0" w:space="0" w:color="auto"/>
        <w:left w:val="none" w:sz="0" w:space="0" w:color="auto"/>
        <w:bottom w:val="none" w:sz="0" w:space="0" w:color="auto"/>
        <w:right w:val="none" w:sz="0" w:space="0" w:color="auto"/>
      </w:divBdr>
    </w:div>
    <w:div w:id="946423002">
      <w:bodyDiv w:val="1"/>
      <w:marLeft w:val="0"/>
      <w:marRight w:val="0"/>
      <w:marTop w:val="0"/>
      <w:marBottom w:val="0"/>
      <w:divBdr>
        <w:top w:val="none" w:sz="0" w:space="0" w:color="auto"/>
        <w:left w:val="none" w:sz="0" w:space="0" w:color="auto"/>
        <w:bottom w:val="none" w:sz="0" w:space="0" w:color="auto"/>
        <w:right w:val="none" w:sz="0" w:space="0" w:color="auto"/>
      </w:divBdr>
    </w:div>
    <w:div w:id="1056271967">
      <w:bodyDiv w:val="1"/>
      <w:marLeft w:val="0"/>
      <w:marRight w:val="0"/>
      <w:marTop w:val="0"/>
      <w:marBottom w:val="0"/>
      <w:divBdr>
        <w:top w:val="none" w:sz="0" w:space="0" w:color="auto"/>
        <w:left w:val="none" w:sz="0" w:space="0" w:color="auto"/>
        <w:bottom w:val="none" w:sz="0" w:space="0" w:color="auto"/>
        <w:right w:val="none" w:sz="0" w:space="0" w:color="auto"/>
      </w:divBdr>
    </w:div>
    <w:div w:id="1105616786">
      <w:bodyDiv w:val="1"/>
      <w:marLeft w:val="0"/>
      <w:marRight w:val="0"/>
      <w:marTop w:val="0"/>
      <w:marBottom w:val="0"/>
      <w:divBdr>
        <w:top w:val="none" w:sz="0" w:space="0" w:color="auto"/>
        <w:left w:val="none" w:sz="0" w:space="0" w:color="auto"/>
        <w:bottom w:val="none" w:sz="0" w:space="0" w:color="auto"/>
        <w:right w:val="none" w:sz="0" w:space="0" w:color="auto"/>
      </w:divBdr>
    </w:div>
    <w:div w:id="1223522199">
      <w:bodyDiv w:val="1"/>
      <w:marLeft w:val="0"/>
      <w:marRight w:val="0"/>
      <w:marTop w:val="0"/>
      <w:marBottom w:val="0"/>
      <w:divBdr>
        <w:top w:val="none" w:sz="0" w:space="0" w:color="auto"/>
        <w:left w:val="none" w:sz="0" w:space="0" w:color="auto"/>
        <w:bottom w:val="none" w:sz="0" w:space="0" w:color="auto"/>
        <w:right w:val="none" w:sz="0" w:space="0" w:color="auto"/>
      </w:divBdr>
    </w:div>
    <w:div w:id="1277324753">
      <w:bodyDiv w:val="1"/>
      <w:marLeft w:val="0"/>
      <w:marRight w:val="0"/>
      <w:marTop w:val="0"/>
      <w:marBottom w:val="0"/>
      <w:divBdr>
        <w:top w:val="none" w:sz="0" w:space="0" w:color="auto"/>
        <w:left w:val="none" w:sz="0" w:space="0" w:color="auto"/>
        <w:bottom w:val="none" w:sz="0" w:space="0" w:color="auto"/>
        <w:right w:val="none" w:sz="0" w:space="0" w:color="auto"/>
      </w:divBdr>
    </w:div>
    <w:div w:id="1279334409">
      <w:bodyDiv w:val="1"/>
      <w:marLeft w:val="0"/>
      <w:marRight w:val="0"/>
      <w:marTop w:val="0"/>
      <w:marBottom w:val="0"/>
      <w:divBdr>
        <w:top w:val="none" w:sz="0" w:space="0" w:color="auto"/>
        <w:left w:val="none" w:sz="0" w:space="0" w:color="auto"/>
        <w:bottom w:val="none" w:sz="0" w:space="0" w:color="auto"/>
        <w:right w:val="none" w:sz="0" w:space="0" w:color="auto"/>
      </w:divBdr>
    </w:div>
    <w:div w:id="1412502855">
      <w:bodyDiv w:val="1"/>
      <w:marLeft w:val="0"/>
      <w:marRight w:val="0"/>
      <w:marTop w:val="0"/>
      <w:marBottom w:val="0"/>
      <w:divBdr>
        <w:top w:val="none" w:sz="0" w:space="0" w:color="auto"/>
        <w:left w:val="none" w:sz="0" w:space="0" w:color="auto"/>
        <w:bottom w:val="none" w:sz="0" w:space="0" w:color="auto"/>
        <w:right w:val="none" w:sz="0" w:space="0" w:color="auto"/>
      </w:divBdr>
    </w:div>
    <w:div w:id="1413965264">
      <w:bodyDiv w:val="1"/>
      <w:marLeft w:val="0"/>
      <w:marRight w:val="0"/>
      <w:marTop w:val="0"/>
      <w:marBottom w:val="0"/>
      <w:divBdr>
        <w:top w:val="none" w:sz="0" w:space="0" w:color="auto"/>
        <w:left w:val="none" w:sz="0" w:space="0" w:color="auto"/>
        <w:bottom w:val="none" w:sz="0" w:space="0" w:color="auto"/>
        <w:right w:val="none" w:sz="0" w:space="0" w:color="auto"/>
      </w:divBdr>
    </w:div>
    <w:div w:id="1427387231">
      <w:bodyDiv w:val="1"/>
      <w:marLeft w:val="0"/>
      <w:marRight w:val="0"/>
      <w:marTop w:val="0"/>
      <w:marBottom w:val="0"/>
      <w:divBdr>
        <w:top w:val="none" w:sz="0" w:space="0" w:color="auto"/>
        <w:left w:val="none" w:sz="0" w:space="0" w:color="auto"/>
        <w:bottom w:val="none" w:sz="0" w:space="0" w:color="auto"/>
        <w:right w:val="none" w:sz="0" w:space="0" w:color="auto"/>
      </w:divBdr>
    </w:div>
    <w:div w:id="1449399505">
      <w:bodyDiv w:val="1"/>
      <w:marLeft w:val="0"/>
      <w:marRight w:val="0"/>
      <w:marTop w:val="0"/>
      <w:marBottom w:val="0"/>
      <w:divBdr>
        <w:top w:val="none" w:sz="0" w:space="0" w:color="auto"/>
        <w:left w:val="none" w:sz="0" w:space="0" w:color="auto"/>
        <w:bottom w:val="none" w:sz="0" w:space="0" w:color="auto"/>
        <w:right w:val="none" w:sz="0" w:space="0" w:color="auto"/>
      </w:divBdr>
    </w:div>
    <w:div w:id="1585913890">
      <w:bodyDiv w:val="1"/>
      <w:marLeft w:val="0"/>
      <w:marRight w:val="0"/>
      <w:marTop w:val="0"/>
      <w:marBottom w:val="0"/>
      <w:divBdr>
        <w:top w:val="none" w:sz="0" w:space="0" w:color="auto"/>
        <w:left w:val="none" w:sz="0" w:space="0" w:color="auto"/>
        <w:bottom w:val="none" w:sz="0" w:space="0" w:color="auto"/>
        <w:right w:val="none" w:sz="0" w:space="0" w:color="auto"/>
      </w:divBdr>
    </w:div>
    <w:div w:id="1596134552">
      <w:bodyDiv w:val="1"/>
      <w:marLeft w:val="0"/>
      <w:marRight w:val="0"/>
      <w:marTop w:val="0"/>
      <w:marBottom w:val="0"/>
      <w:divBdr>
        <w:top w:val="none" w:sz="0" w:space="0" w:color="auto"/>
        <w:left w:val="none" w:sz="0" w:space="0" w:color="auto"/>
        <w:bottom w:val="none" w:sz="0" w:space="0" w:color="auto"/>
        <w:right w:val="none" w:sz="0" w:space="0" w:color="auto"/>
      </w:divBdr>
    </w:div>
    <w:div w:id="1651211568">
      <w:bodyDiv w:val="1"/>
      <w:marLeft w:val="0"/>
      <w:marRight w:val="0"/>
      <w:marTop w:val="0"/>
      <w:marBottom w:val="0"/>
      <w:divBdr>
        <w:top w:val="none" w:sz="0" w:space="0" w:color="auto"/>
        <w:left w:val="none" w:sz="0" w:space="0" w:color="auto"/>
        <w:bottom w:val="none" w:sz="0" w:space="0" w:color="auto"/>
        <w:right w:val="none" w:sz="0" w:space="0" w:color="auto"/>
      </w:divBdr>
    </w:div>
    <w:div w:id="1671520675">
      <w:bodyDiv w:val="1"/>
      <w:marLeft w:val="0"/>
      <w:marRight w:val="0"/>
      <w:marTop w:val="0"/>
      <w:marBottom w:val="0"/>
      <w:divBdr>
        <w:top w:val="none" w:sz="0" w:space="0" w:color="auto"/>
        <w:left w:val="none" w:sz="0" w:space="0" w:color="auto"/>
        <w:bottom w:val="none" w:sz="0" w:space="0" w:color="auto"/>
        <w:right w:val="none" w:sz="0" w:space="0" w:color="auto"/>
      </w:divBdr>
    </w:div>
    <w:div w:id="1731535334">
      <w:bodyDiv w:val="1"/>
      <w:marLeft w:val="0"/>
      <w:marRight w:val="0"/>
      <w:marTop w:val="0"/>
      <w:marBottom w:val="0"/>
      <w:divBdr>
        <w:top w:val="none" w:sz="0" w:space="0" w:color="auto"/>
        <w:left w:val="none" w:sz="0" w:space="0" w:color="auto"/>
        <w:bottom w:val="none" w:sz="0" w:space="0" w:color="auto"/>
        <w:right w:val="none" w:sz="0" w:space="0" w:color="auto"/>
      </w:divBdr>
    </w:div>
    <w:div w:id="1745252824">
      <w:bodyDiv w:val="1"/>
      <w:marLeft w:val="0"/>
      <w:marRight w:val="0"/>
      <w:marTop w:val="0"/>
      <w:marBottom w:val="0"/>
      <w:divBdr>
        <w:top w:val="none" w:sz="0" w:space="0" w:color="auto"/>
        <w:left w:val="none" w:sz="0" w:space="0" w:color="auto"/>
        <w:bottom w:val="none" w:sz="0" w:space="0" w:color="auto"/>
        <w:right w:val="none" w:sz="0" w:space="0" w:color="auto"/>
      </w:divBdr>
    </w:div>
    <w:div w:id="1860729622">
      <w:bodyDiv w:val="1"/>
      <w:marLeft w:val="0"/>
      <w:marRight w:val="0"/>
      <w:marTop w:val="0"/>
      <w:marBottom w:val="0"/>
      <w:divBdr>
        <w:top w:val="none" w:sz="0" w:space="0" w:color="auto"/>
        <w:left w:val="none" w:sz="0" w:space="0" w:color="auto"/>
        <w:bottom w:val="none" w:sz="0" w:space="0" w:color="auto"/>
        <w:right w:val="none" w:sz="0" w:space="0" w:color="auto"/>
      </w:divBdr>
    </w:div>
    <w:div w:id="1867863645">
      <w:bodyDiv w:val="1"/>
      <w:marLeft w:val="0"/>
      <w:marRight w:val="0"/>
      <w:marTop w:val="0"/>
      <w:marBottom w:val="0"/>
      <w:divBdr>
        <w:top w:val="none" w:sz="0" w:space="0" w:color="auto"/>
        <w:left w:val="none" w:sz="0" w:space="0" w:color="auto"/>
        <w:bottom w:val="none" w:sz="0" w:space="0" w:color="auto"/>
        <w:right w:val="none" w:sz="0" w:space="0" w:color="auto"/>
      </w:divBdr>
    </w:div>
    <w:div w:id="1916741742">
      <w:bodyDiv w:val="1"/>
      <w:marLeft w:val="0"/>
      <w:marRight w:val="0"/>
      <w:marTop w:val="0"/>
      <w:marBottom w:val="0"/>
      <w:divBdr>
        <w:top w:val="none" w:sz="0" w:space="0" w:color="auto"/>
        <w:left w:val="none" w:sz="0" w:space="0" w:color="auto"/>
        <w:bottom w:val="none" w:sz="0" w:space="0" w:color="auto"/>
        <w:right w:val="none" w:sz="0" w:space="0" w:color="auto"/>
      </w:divBdr>
    </w:div>
    <w:div w:id="1931036546">
      <w:bodyDiv w:val="1"/>
      <w:marLeft w:val="0"/>
      <w:marRight w:val="0"/>
      <w:marTop w:val="0"/>
      <w:marBottom w:val="0"/>
      <w:divBdr>
        <w:top w:val="none" w:sz="0" w:space="0" w:color="auto"/>
        <w:left w:val="none" w:sz="0" w:space="0" w:color="auto"/>
        <w:bottom w:val="none" w:sz="0" w:space="0" w:color="auto"/>
        <w:right w:val="none" w:sz="0" w:space="0" w:color="auto"/>
      </w:divBdr>
    </w:div>
    <w:div w:id="1986474050">
      <w:bodyDiv w:val="1"/>
      <w:marLeft w:val="0"/>
      <w:marRight w:val="0"/>
      <w:marTop w:val="0"/>
      <w:marBottom w:val="0"/>
      <w:divBdr>
        <w:top w:val="none" w:sz="0" w:space="0" w:color="auto"/>
        <w:left w:val="none" w:sz="0" w:space="0" w:color="auto"/>
        <w:bottom w:val="none" w:sz="0" w:space="0" w:color="auto"/>
        <w:right w:val="none" w:sz="0" w:space="0" w:color="auto"/>
      </w:divBdr>
    </w:div>
    <w:div w:id="2046246183">
      <w:bodyDiv w:val="1"/>
      <w:marLeft w:val="0"/>
      <w:marRight w:val="0"/>
      <w:marTop w:val="0"/>
      <w:marBottom w:val="0"/>
      <w:divBdr>
        <w:top w:val="none" w:sz="0" w:space="0" w:color="auto"/>
        <w:left w:val="none" w:sz="0" w:space="0" w:color="auto"/>
        <w:bottom w:val="none" w:sz="0" w:space="0" w:color="auto"/>
        <w:right w:val="none" w:sz="0" w:space="0" w:color="auto"/>
      </w:divBdr>
    </w:div>
    <w:div w:id="21061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2E590-9C2C-4D2B-902E-F407DA99D0FE}">
  <ds:schemaRefs>
    <ds:schemaRef ds:uri="http://schemas.openxmlformats.org/officeDocument/2006/bibliography"/>
  </ds:schemaRefs>
</ds:datastoreItem>
</file>

<file path=customXml/itemProps2.xml><?xml version="1.0" encoding="utf-8"?>
<ds:datastoreItem xmlns:ds="http://schemas.openxmlformats.org/officeDocument/2006/customXml" ds:itemID="{BFE7F00A-831A-49D7-B429-3F39AEA1523C}">
  <ds:schemaRefs>
    <ds:schemaRef ds:uri="http://schemas.openxmlformats.org/officeDocument/2006/bibliography"/>
  </ds:schemaRefs>
</ds:datastoreItem>
</file>

<file path=customXml/itemProps3.xml><?xml version="1.0" encoding="utf-8"?>
<ds:datastoreItem xmlns:ds="http://schemas.openxmlformats.org/officeDocument/2006/customXml" ds:itemID="{C4217B25-3545-45B6-846C-02506EF9ADCF}">
  <ds:schemaRefs>
    <ds:schemaRef ds:uri="http://schemas.openxmlformats.org/officeDocument/2006/bibliography"/>
  </ds:schemaRefs>
</ds:datastoreItem>
</file>

<file path=customXml/itemProps4.xml><?xml version="1.0" encoding="utf-8"?>
<ds:datastoreItem xmlns:ds="http://schemas.openxmlformats.org/officeDocument/2006/customXml" ds:itemID="{EEEC01BD-9C06-4876-9590-348BE00B34EC}">
  <ds:schemaRefs>
    <ds:schemaRef ds:uri="http://schemas.openxmlformats.org/officeDocument/2006/bibliography"/>
  </ds:schemaRefs>
</ds:datastoreItem>
</file>

<file path=customXml/itemProps5.xml><?xml version="1.0" encoding="utf-8"?>
<ds:datastoreItem xmlns:ds="http://schemas.openxmlformats.org/officeDocument/2006/customXml" ds:itemID="{3D308ECB-71AC-43A0-A52B-E435F2B4FB9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8360</Words>
  <Characters>43133</Characters>
  <Application>Microsoft Office Word</Application>
  <DocSecurity>4</DocSecurity>
  <Lines>845</Lines>
  <Paragraphs>220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ariant>
        <vt:lpstr>Cím</vt:lpstr>
      </vt:variant>
      <vt:variant>
        <vt:i4>1</vt:i4>
      </vt:variant>
    </vt:vector>
  </HeadingPairs>
  <TitlesOfParts>
    <vt:vector size="5" baseType="lpstr">
      <vt:lpstr>ANNEX IV</vt:lpstr>
      <vt:lpstr>ANNEX IV</vt:lpstr>
      <vt:lpstr>ANNEX IV</vt:lpstr>
      <vt:lpstr>ANNEX IV</vt:lpstr>
      <vt:lpstr>ANNEX II</vt:lpstr>
    </vt:vector>
  </TitlesOfParts>
  <Company>Deutsche Bundesbank</Company>
  <LinksUpToDate>false</LinksUpToDate>
  <CharactersWithSpaces>51273</CharactersWithSpaces>
  <SharedDoc>false</SharedDoc>
  <HLinks>
    <vt:vector size="36" baseType="variant">
      <vt:variant>
        <vt:i4>1572919</vt:i4>
      </vt:variant>
      <vt:variant>
        <vt:i4>32</vt:i4>
      </vt:variant>
      <vt:variant>
        <vt:i4>0</vt:i4>
      </vt:variant>
      <vt:variant>
        <vt:i4>5</vt:i4>
      </vt:variant>
      <vt:variant>
        <vt:lpwstr/>
      </vt:variant>
      <vt:variant>
        <vt:lpwstr>_Toc382576147</vt:lpwstr>
      </vt:variant>
      <vt:variant>
        <vt:i4>1572919</vt:i4>
      </vt:variant>
      <vt:variant>
        <vt:i4>26</vt:i4>
      </vt:variant>
      <vt:variant>
        <vt:i4>0</vt:i4>
      </vt:variant>
      <vt:variant>
        <vt:i4>5</vt:i4>
      </vt:variant>
      <vt:variant>
        <vt:lpwstr/>
      </vt:variant>
      <vt:variant>
        <vt:lpwstr>_Toc382576146</vt:lpwstr>
      </vt:variant>
      <vt:variant>
        <vt:i4>1572919</vt:i4>
      </vt:variant>
      <vt:variant>
        <vt:i4>20</vt:i4>
      </vt:variant>
      <vt:variant>
        <vt:i4>0</vt:i4>
      </vt:variant>
      <vt:variant>
        <vt:i4>5</vt:i4>
      </vt:variant>
      <vt:variant>
        <vt:lpwstr/>
      </vt:variant>
      <vt:variant>
        <vt:lpwstr>_Toc382576145</vt:lpwstr>
      </vt:variant>
      <vt:variant>
        <vt:i4>1572919</vt:i4>
      </vt:variant>
      <vt:variant>
        <vt:i4>14</vt:i4>
      </vt:variant>
      <vt:variant>
        <vt:i4>0</vt:i4>
      </vt:variant>
      <vt:variant>
        <vt:i4>5</vt:i4>
      </vt:variant>
      <vt:variant>
        <vt:lpwstr/>
      </vt:variant>
      <vt:variant>
        <vt:lpwstr>_Toc382576144</vt:lpwstr>
      </vt:variant>
      <vt:variant>
        <vt:i4>1572919</vt:i4>
      </vt:variant>
      <vt:variant>
        <vt:i4>8</vt:i4>
      </vt:variant>
      <vt:variant>
        <vt:i4>0</vt:i4>
      </vt:variant>
      <vt:variant>
        <vt:i4>5</vt:i4>
      </vt:variant>
      <vt:variant>
        <vt:lpwstr/>
      </vt:variant>
      <vt:variant>
        <vt:lpwstr>_Toc382576143</vt:lpwstr>
      </vt:variant>
      <vt:variant>
        <vt:i4>1572919</vt:i4>
      </vt:variant>
      <vt:variant>
        <vt:i4>2</vt:i4>
      </vt:variant>
      <vt:variant>
        <vt:i4>0</vt:i4>
      </vt:variant>
      <vt:variant>
        <vt:i4>5</vt:i4>
      </vt:variant>
      <vt:variant>
        <vt:lpwstr/>
      </vt:variant>
      <vt:variant>
        <vt:lpwstr>_Toc382576142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IV</dc:title>
  <dc:creator>wstrohbach</dc:creator>
  <cp:lastModifiedBy>Danilo Barbagallo</cp:lastModifiedBy>
  <cp:revision>2</cp:revision>
  <cp:lastPrinted>2020-07-29T14:23:00Z</cp:lastPrinted>
  <dcterms:created xsi:type="dcterms:W3CDTF">2023-04-12T07:53:00Z</dcterms:created>
  <dcterms:modified xsi:type="dcterms:W3CDTF">2023-04-12T07:53:00Z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7eb9de-735b-4a68-8fe4-c9c62709b012_Enabled">
    <vt:lpwstr>true</vt:lpwstr>
  </property>
  <property fmtid="{D5CDD505-2E9C-101B-9397-08002B2CF9AE}" pid="3" name="MSIP_Label_5c7eb9de-735b-4a68-8fe4-c9c62709b012_SetDate">
    <vt:lpwstr>2022-01-31T13:50:39Z</vt:lpwstr>
  </property>
  <property fmtid="{D5CDD505-2E9C-101B-9397-08002B2CF9AE}" pid="4" name="MSIP_Label_5c7eb9de-735b-4a68-8fe4-c9c62709b012_Method">
    <vt:lpwstr>Standard</vt:lpwstr>
  </property>
  <property fmtid="{D5CDD505-2E9C-101B-9397-08002B2CF9AE}" pid="5" name="MSIP_Label_5c7eb9de-735b-4a68-8fe4-c9c62709b012_Name">
    <vt:lpwstr>EBA Regular Use</vt:lpwstr>
  </property>
  <property fmtid="{D5CDD505-2E9C-101B-9397-08002B2CF9AE}" pid="6" name="MSIP_Label_5c7eb9de-735b-4a68-8fe4-c9c62709b012_SiteId">
    <vt:lpwstr>3bacb4ff-f1a2-4c92-b96c-e99fec826b68</vt:lpwstr>
  </property>
  <property fmtid="{D5CDD505-2E9C-101B-9397-08002B2CF9AE}" pid="7" name="MSIP_Label_5c7eb9de-735b-4a68-8fe4-c9c62709b012_ActionId">
    <vt:lpwstr>6d29d17c-362c-48c1-b0c0-ede77699ec80</vt:lpwstr>
  </property>
  <property fmtid="{D5CDD505-2E9C-101B-9397-08002B2CF9AE}" pid="8" name="MSIP_Label_5c7eb9de-735b-4a68-8fe4-c9c62709b012_ContentBits">
    <vt:lpwstr>1</vt:lpwstr>
  </property>
  <property fmtid="{D5CDD505-2E9C-101B-9397-08002B2CF9AE}" pid="9" name="MSIP_Label_84339546-1082-4534-91e1-91aa69eb15e8_Enabled">
    <vt:lpwstr>true</vt:lpwstr>
  </property>
  <property fmtid="{D5CDD505-2E9C-101B-9397-08002B2CF9AE}" pid="10" name="MSIP_Label_84339546-1082-4534-91e1-91aa69eb15e8_SetDate">
    <vt:lpwstr>2022-03-24T15:04:48Z</vt:lpwstr>
  </property>
  <property fmtid="{D5CDD505-2E9C-101B-9397-08002B2CF9AE}" pid="11" name="MSIP_Label_84339546-1082-4534-91e1-91aa69eb15e8_Method">
    <vt:lpwstr>Privileged</vt:lpwstr>
  </property>
  <property fmtid="{D5CDD505-2E9C-101B-9397-08002B2CF9AE}" pid="12" name="MSIP_Label_84339546-1082-4534-91e1-91aa69eb15e8_Name">
    <vt:lpwstr>Interno - Sem marca de água</vt:lpwstr>
  </property>
  <property fmtid="{D5CDD505-2E9C-101B-9397-08002B2CF9AE}" pid="13" name="MSIP_Label_84339546-1082-4534-91e1-91aa69eb15e8_SiteId">
    <vt:lpwstr>f92c299d-3d5a-4621-abd4-755e52e5161d</vt:lpwstr>
  </property>
  <property fmtid="{D5CDD505-2E9C-101B-9397-08002B2CF9AE}" pid="14" name="MSIP_Label_84339546-1082-4534-91e1-91aa69eb15e8_ActionId">
    <vt:lpwstr>3a96e31c-e34c-4ee1-9279-7c4d2aae1ea1</vt:lpwstr>
  </property>
  <property fmtid="{D5CDD505-2E9C-101B-9397-08002B2CF9AE}" pid="15" name="MSIP_Label_84339546-1082-4534-91e1-91aa69eb15e8_ContentBits">
    <vt:lpwstr>0</vt:lpwstr>
  </property>
  <property fmtid="{D5CDD505-2E9C-101B-9397-08002B2CF9AE}" pid="16" name="ClassificationContentMarkingHeaderShapeIds">
    <vt:lpwstr>3,4,5,6,7,8</vt:lpwstr>
  </property>
  <property fmtid="{D5CDD505-2E9C-101B-9397-08002B2CF9AE}" pid="17" name="ClassificationContentMarkingHeaderFontProps">
    <vt:lpwstr>#000000,12,Calibri</vt:lpwstr>
  </property>
  <property fmtid="{D5CDD505-2E9C-101B-9397-08002B2CF9AE}" pid="18" name="ClassificationContentMarkingHeaderText">
    <vt:lpwstr>EBA Regular Use</vt:lpwstr>
  </property>
</Properties>
</file>