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4953A12A" w:rsidR="00183684" w:rsidRDefault="000C2272" w:rsidP="000C2272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23F85D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1EF3B12F-74EA-4210-836A-1E776F52EF6A" style="width:455.25pt;height:372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0C227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“C 16.01 - OPERATIONEEL RISICO - EIGENVERMOGENSVEREISTEN (OPR OF)”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00"/>
        <w:gridCol w:w="4259"/>
        <w:gridCol w:w="1730"/>
        <w:gridCol w:w="1991"/>
        <w:gridCol w:w="1730"/>
        <w:gridCol w:w="2622"/>
        <w:gridCol w:w="1567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16.01 - OPERATIONEEL RISICO - Eigenvermogensvereisten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Waarde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Eigenvermogensvereisten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Bedrag risicoposten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waarvan: aanpassingen als gevolg van fusie / acquisitie van entiteiten of activiteiten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(Aanpassingen als gevolg van afstoten van entiteiten of activiteiten)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2C385A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5C53C9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lang w:val="en-IE"/>
                <w14:ligatures w14:val="none"/>
              </w:rPr>
            </w:pPr>
            <w:r w:rsidRPr="005C53C9">
              <w:rPr>
                <w:rFonts w:ascii="Aptos Narrow" w:hAnsi="Aptos Narrow"/>
                <w:b/>
                <w:noProof/>
                <w:color w:val="000000"/>
                <w:lang w:val="en-IE"/>
              </w:rPr>
              <w:t>Business Indicator Component en ASA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5C53C9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lang w:val="en-IE"/>
                <w14:ligatures w14:val="none"/>
              </w:rPr>
            </w:pPr>
            <w:r w:rsidRPr="005C53C9">
              <w:rPr>
                <w:rFonts w:ascii="Aptos Narrow" w:hAnsi="Aptos Narrow"/>
                <w:noProof/>
                <w:color w:val="000000"/>
                <w:lang w:val="en-IE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5C53C9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lang w:val="en-IE"/>
                <w14:ligatures w14:val="none"/>
              </w:rPr>
            </w:pPr>
            <w:r w:rsidRPr="005C53C9">
              <w:rPr>
                <w:rFonts w:ascii="Aptos Narrow" w:hAnsi="Aptos Narrow"/>
                <w:noProof/>
                <w:color w:val="000000"/>
                <w:lang w:val="en-IE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5C53C9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lang w:val="en-IE"/>
                <w14:ligatures w14:val="none"/>
              </w:rPr>
            </w:pPr>
            <w:r w:rsidRPr="005C53C9">
              <w:rPr>
                <w:rFonts w:ascii="Aptos Narrow" w:hAnsi="Aptos Narrow"/>
                <w:noProof/>
                <w:color w:val="000000"/>
                <w:lang w:val="en-IE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5C53C9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lang w:val="en-IE"/>
                <w14:ligatures w14:val="none"/>
              </w:rPr>
            </w:pPr>
            <w:r w:rsidRPr="005C53C9">
              <w:rPr>
                <w:rFonts w:ascii="Aptos Narrow" w:hAnsi="Aptos Narrow"/>
                <w:noProof/>
                <w:color w:val="000000"/>
                <w:lang w:val="en-IE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5C53C9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lang w:val="en-IE"/>
                <w14:ligatures w14:val="none"/>
              </w:rPr>
            </w:pPr>
            <w:r w:rsidRPr="005C53C9">
              <w:rPr>
                <w:rFonts w:ascii="Aptos Narrow" w:hAnsi="Aptos Narrow"/>
                <w:noProof/>
                <w:color w:val="000000"/>
                <w:lang w:val="en-IE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Business Indicator (BI)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Rente-, lease- en dividendcomponent (ILDC)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met betrekking tot de individuele instelling/geconsolideerde groep (met uitzondering van entiteiten als bedoeld in artikel 314, lid 3)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voor in artikel 314, lid 3, bedoelde entiteiten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Dienstencomponent (SC)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Financiële component (FC)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uit hoofde van artikel 314, lid 4 (bankdiensten ten behoeve van particulieren en kleine partijen)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uit hoofde van artikel 314, lid 4 (handelsbanken)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Memoriepost</w:t>
            </w:r>
            <w:r>
              <w:rPr>
                <w:rFonts w:ascii="Aptos Narrow" w:hAnsi="Aptos Narrow"/>
                <w:noProof/>
                <w:color w:val="000000"/>
              </w:rPr>
              <w:t>:ILDC met betrekking tot de individuele instelling/geconsolideerde groep, met inbegrip van entiteiten als bedoeld in artikel 314, lid 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Andere informatie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Aanpak voor berekening FC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77777777" w:rsidR="00183684" w:rsidRPr="005C53C9" w:rsidRDefault="00183684" w:rsidP="00183684">
      <w:pPr>
        <w:pStyle w:val="Point0number"/>
        <w:numPr>
          <w:ilvl w:val="0"/>
          <w:numId w:val="0"/>
        </w:numPr>
        <w:rPr>
          <w:noProof/>
          <w:lang w:val="en-IE"/>
        </w:rPr>
      </w:pPr>
      <w:r w:rsidRPr="005C53C9">
        <w:rPr>
          <w:noProof/>
          <w:lang w:val="en-IE"/>
        </w:rPr>
        <w:t xml:space="preserve">“C 16.02 - OPERATIONEEL RISICO - Business Indicator Component (OPR BIC)”   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545"/>
        <w:gridCol w:w="1469"/>
        <w:gridCol w:w="1265"/>
        <w:gridCol w:w="1505"/>
        <w:gridCol w:w="1265"/>
        <w:gridCol w:w="1469"/>
        <w:gridCol w:w="1969"/>
        <w:gridCol w:w="1412"/>
        <w:gridCol w:w="304"/>
      </w:tblGrid>
      <w:tr w:rsidR="005F74E6" w:rsidRPr="002C385A" w14:paraId="1F996140" w14:textId="77777777" w:rsidTr="005F74E6">
        <w:trPr>
          <w:gridAfter w:val="1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C53C9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:lang w:val="en-IE"/>
                <w14:ligatures w14:val="none"/>
              </w:rPr>
            </w:pPr>
            <w:r w:rsidRPr="005C53C9">
              <w:rPr>
                <w:rFonts w:ascii="Verdana" w:hAnsi="Verdana"/>
                <w:b/>
                <w:noProof/>
                <w:sz w:val="24"/>
                <w:lang w:val="en-IE"/>
              </w:rPr>
              <w:t>C 16.02 - OPERATIONEEL RISICO - Business Indicator Component (OPR BIC)</w:t>
            </w:r>
          </w:p>
        </w:tc>
      </w:tr>
      <w:tr w:rsidR="005F74E6" w:rsidRPr="002C385A" w14:paraId="782FFB66" w14:textId="77777777" w:rsidTr="005F74E6">
        <w:trPr>
          <w:gridAfter w:val="1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C53C9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:lang w:val="en-IE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C53C9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IE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C53C9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lang w:val="en-IE"/>
                <w14:ligatures w14:val="none"/>
              </w:rPr>
            </w:pPr>
            <w:r w:rsidRPr="005C53C9">
              <w:rPr>
                <w:rFonts w:ascii="Aptos Narrow" w:hAnsi="Aptos Narrow"/>
                <w:noProof/>
                <w:color w:val="FF0000"/>
                <w:lang w:val="en-IE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C53C9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lang w:val="en-IE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C53C9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IE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C53C9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IE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C53C9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IE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C53C9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IE"/>
                <w14:ligatures w14:val="none"/>
              </w:rPr>
            </w:pPr>
          </w:p>
        </w:tc>
      </w:tr>
      <w:tr w:rsidR="005F74E6" w:rsidRPr="005F74E6" w14:paraId="3EE76E87" w14:textId="77777777" w:rsidTr="005F74E6">
        <w:trPr>
          <w:gridAfter w:val="1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C53C9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:lang w:val="en-IE"/>
                <w14:ligatures w14:val="none"/>
              </w:rPr>
            </w:pPr>
            <w:r w:rsidRPr="005C53C9">
              <w:rPr>
                <w:rFonts w:ascii="Verdana" w:hAnsi="Verdana"/>
                <w:b/>
                <w:strike/>
                <w:noProof/>
                <w:sz w:val="24"/>
                <w:lang w:val="en-IE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JAAR-3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JAAR-2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VORIG JAAR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5F74E6">
        <w:trPr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F74E6">
        <w:trPr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Boekwaarde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Waarde — Prudential Boundary Approach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Boekwaarde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Waarde — Prudential Boundary Approach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Boekwaarde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Waarde — Prudential Boundary Approach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Gemiddelde waarde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F74E6">
        <w:trPr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0010 - 0210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Rente-, lease- en dividendcomponent (ILDC)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Rentecomponent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Nettobaten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Rentebaten (met inbegrip van uit geleasede activa (financieel&amp;operationeel))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Rentebaten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Baten uit geleasede activa (financieel&amp;operationeel) andere dan rentebaten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Winsten uit geleasede activa (financieel&amp;operationeel)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(Rentelasten (met inbegrip van uit geleasede activa (financieel&amp;operationeel)))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(Rentelasten)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(Lasten voor exploitatie van geleasede activa andere dan rentelasten)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(Verliezen uit de exploitatie van geleasede activa)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Activacomponent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Totaal activa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Tegoeden bij centrale banken en overige direct opvraagbare deposito’s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Schuldbewijzen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Leningen en voorschotten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Derivaten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Afdekkingen voor handelsdoeleinden en economische afdekkingen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Hedge accounting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Aan leaseovereenkomsten onderworpen activa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Dividendcomponent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Baten uit dividenden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0220 - 0360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Dienstencomponent (SC)</w:t>
            </w:r>
          </w:p>
        </w:tc>
        <w:tc>
          <w:tcPr>
            <w:tcW w:w="374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Overige bedrijfsbaten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Overige bedrijfsbaten van leden die tot hetzelfde IPS behoren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Winst op vaste activa en groepen activa die worden afgestoten en zijn geclassificeerd als aangehouden voor verkoop en niet als beëindigde bedrijfsactiviteiten in aanmerking komen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Andere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(Overige bedrijfslasten)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(Overige bedrijfslasten aan leden die tot hetzelfde IPS behoren)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(Totale verliezen, lasten, voorzieningen en andere financiële effecten als gevolg van gebeurtenissen uit hoofde van operationeel risico)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(Verliezen op vaste activa en groepen activa die worden afgestoten en zijn geclassificeerd als aangehouden voor verkoop en niet als beëindigde bedrijfsactiviteiten in aanmerking komen)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(Andere)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Component vergoedings- en provisiebaten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Vergoedings- en provisiebaten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waarvan: van leden die tot hetzelfde IPS behoren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(Component vergoedings- en provisielasten)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(Vergoedings- en provisielasten)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F74E6">
        <w:trPr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(waarvan: aan leden die tot hetzelfde IPS behoren)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0370 - 0480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Financiële component (FC)</w:t>
            </w:r>
          </w:p>
        </w:tc>
        <w:tc>
          <w:tcPr>
            <w:tcW w:w="374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Component handelsportefeuille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Nettowinst of (-) -verlies van toepassing op de handelsportefeuille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Winsten of (-) verliezen uit financiële activa en verplichtingen die voor handelsdoeleinden worden aangehouden of uit handel in financiële activa en verplichtingen,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Handelsportefeuille - Winsten of (–) verliezen uit hoofde van hedge accounting, netto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Handelsportefeuille - Wisselkoersverschillen [winsten of (-) verliezen],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Component niet-handelsportefeuille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Nettowinst of (-) -verlies van toepassing op de niet-handelsportefeuille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Winsten of (-) verliezen bij verwijdering uit de balans van financiële activa en verplichtingen die niet als gewaardeerd tegen reële waarde met verwerking van waardeveranderingen in winst of verlies zijn aangewezen,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Winsten of (–) verliezen op verplicht tegen reële waarde gewaardeerde financiële activa voor niet-handelsdoeleinden met verwerking van waardeveranderingen in winst of verlies,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Winsten of (-) verliezen m.b.t. financiële activa en verplichtingen die als gewaardeerd tegen reële waarde met verwerking van waardeveranderingen in winst of verlies zijn aangewezen,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Niet-handelsportefeuille - Winsten of (–) verliezen uit hoofde van hedge accounting, netto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Niet-handelsportefeuille - Wisselkoersverschillen [winsten of (-) verliezen],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“C 16.03 UITSPLITSING OPERATIONEEL RISICO (OPR BD) — Verliezen, lasten, voorzieningen en andere financiële effecten als gevolg van gebeurtenissen uit hoofde van operationeel risico”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UITSPLITSING OPERATIONEEL RISICO (OPR BD) — Verliezen, lasten, voorzieningen en andere financiële effecten als gevolg van gebeurtenissen uit hoofde van operationeel risico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Boekwaarde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JAAR-3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JAAR-2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VORIG JAAR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0010 - 0080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Verliezen, lasten, voorzieningen en andere financiële effecten als gevolg van gebeurtenissen uit hoofde van operationeel risico, als volgt: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(Rentelasten)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(Overige exploitatielasten)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(Administratieve lasten)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(Afschrijving als gevolg van gebeurtenissen uit hoofde van operationeel risico)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(Voorzieningen of (-) terugneming van voorzieningen)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(Bijzondere-waardeverminderingsverliezen of (-) terugneming van bijzondere-waardeverminderingsverliezen)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(Andere)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(Totaal)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“C 16.04 OPERATIONEEL RISICO - INFORMATIE OVER DOCHTERONDERNEMINGEN DIE ONDER ARTIKEL 314, LID 3, VKV VALLEN”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35"/>
        <w:gridCol w:w="1242"/>
        <w:gridCol w:w="1142"/>
        <w:gridCol w:w="1044"/>
        <w:gridCol w:w="1157"/>
        <w:gridCol w:w="945"/>
        <w:gridCol w:w="1238"/>
        <w:gridCol w:w="228"/>
        <w:gridCol w:w="1142"/>
        <w:gridCol w:w="1044"/>
        <w:gridCol w:w="1157"/>
        <w:gridCol w:w="1849"/>
        <w:gridCol w:w="677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OPERATIONEEL RISICO - INFORMATIE OVER DOCHTERONDERNEMINGEN DIE ONDER ARTIKEL 314, LID 3, VKV VALLEN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Naam juridische entiteit (LEI)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LEI-code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ILDC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Rijen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AA570" w14:textId="77777777" w:rsidR="00183684" w:rsidRDefault="00183684" w:rsidP="00183684">
      <w:pPr>
        <w:spacing w:after="0" w:line="240" w:lineRule="auto"/>
      </w:pPr>
      <w:r>
        <w:separator/>
      </w:r>
    </w:p>
  </w:endnote>
  <w:endnote w:type="continuationSeparator" w:id="0">
    <w:p w14:paraId="2FC891D8" w14:textId="77777777" w:rsidR="00183684" w:rsidRDefault="0018368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B9CBF" w14:textId="4243F786" w:rsidR="000C2272" w:rsidRPr="000C2272" w:rsidRDefault="000C2272" w:rsidP="000C2272">
    <w:pPr>
      <w:pStyle w:val="FooterCoverPage"/>
      <w:rPr>
        <w:rFonts w:ascii="Arial" w:hAnsi="Arial" w:cs="Arial"/>
        <w:b/>
        <w:sz w:val="48"/>
      </w:rPr>
    </w:pPr>
    <w:r w:rsidRPr="000C2272">
      <w:rPr>
        <w:rFonts w:ascii="Arial" w:hAnsi="Arial" w:cs="Arial"/>
        <w:b/>
        <w:sz w:val="48"/>
      </w:rPr>
      <w:t>NL</w:t>
    </w:r>
    <w:r w:rsidRPr="000C2272">
      <w:rPr>
        <w:rFonts w:ascii="Arial" w:hAnsi="Arial" w:cs="Arial"/>
        <w:b/>
        <w:sz w:val="48"/>
      </w:rPr>
      <w:tab/>
    </w:r>
    <w:r w:rsidRPr="000C2272">
      <w:rPr>
        <w:rFonts w:ascii="Arial" w:hAnsi="Arial" w:cs="Arial"/>
        <w:b/>
        <w:sz w:val="48"/>
      </w:rPr>
      <w:tab/>
    </w:r>
    <w:r w:rsidRPr="000C2272">
      <w:tab/>
    </w:r>
    <w:r w:rsidRPr="000C2272">
      <w:rPr>
        <w:rFonts w:ascii="Arial" w:hAnsi="Arial" w:cs="Arial"/>
        <w:b/>
        <w:sz w:val="48"/>
      </w:rPr>
      <w:t>NL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7D073" w14:textId="33D5D3EB" w:rsidR="000C2272" w:rsidRPr="000C2272" w:rsidRDefault="000C2272" w:rsidP="000C2272">
    <w:pPr>
      <w:pStyle w:val="FooterCoverPage"/>
      <w:rPr>
        <w:rFonts w:ascii="Arial" w:hAnsi="Arial" w:cs="Arial"/>
        <w:b/>
        <w:sz w:val="48"/>
      </w:rPr>
    </w:pPr>
    <w:r w:rsidRPr="000C2272">
      <w:rPr>
        <w:rFonts w:ascii="Arial" w:hAnsi="Arial" w:cs="Arial"/>
        <w:b/>
        <w:sz w:val="48"/>
      </w:rPr>
      <w:t>NL</w:t>
    </w:r>
    <w:r w:rsidRPr="000C2272">
      <w:rPr>
        <w:rFonts w:ascii="Arial" w:hAnsi="Arial" w:cs="Arial"/>
        <w:b/>
        <w:sz w:val="48"/>
      </w:rPr>
      <w:tab/>
    </w:r>
    <w:r w:rsidRPr="000C2272">
      <w:rPr>
        <w:rFonts w:ascii="Arial" w:hAnsi="Arial" w:cs="Arial"/>
        <w:b/>
        <w:sz w:val="48"/>
      </w:rPr>
      <w:tab/>
    </w:r>
    <w:r w:rsidRPr="000C2272">
      <w:tab/>
    </w:r>
    <w:r w:rsidRPr="000C2272">
      <w:rPr>
        <w:rFonts w:ascii="Arial" w:hAnsi="Arial" w:cs="Arial"/>
        <w:b/>
        <w:sz w:val="48"/>
      </w:rPr>
      <w:t>NL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E6882" w14:textId="77777777" w:rsidR="000C2272" w:rsidRPr="000C2272" w:rsidRDefault="000C2272" w:rsidP="000C2272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2F590F59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2272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51D92" w14:textId="77777777" w:rsidR="00183684" w:rsidRDefault="00183684" w:rsidP="00183684">
      <w:pPr>
        <w:spacing w:after="0" w:line="240" w:lineRule="auto"/>
      </w:pPr>
      <w:r>
        <w:separator/>
      </w:r>
    </w:p>
  </w:footnote>
  <w:footnote w:type="continuationSeparator" w:id="0">
    <w:p w14:paraId="2604E741" w14:textId="77777777" w:rsidR="00183684" w:rsidRDefault="0018368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8FEEE" w14:textId="77777777" w:rsidR="000C2272" w:rsidRPr="000C2272" w:rsidRDefault="000C2272" w:rsidP="000C2272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00E75" w14:textId="77777777" w:rsidR="000C2272" w:rsidRPr="000C2272" w:rsidRDefault="000C2272" w:rsidP="000C2272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0B8CA" w14:textId="77777777" w:rsidR="000C2272" w:rsidRPr="000C2272" w:rsidRDefault="000C2272" w:rsidP="000C2272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bij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1EF3B12F-74EA-4210-836A-1E776F52EF6A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Brussel, "/>
    <w:docVar w:name="LW_EMISSION_SUFFIX" w:val=" "/>
    <w:docVar w:name="LW_ID_DOCTYPE_NONLW" w:val="CP-038"/>
    <w:docVar w:name="LW_LANGUE" w:val="NL"/>
    <w:docVar w:name="LW_LEVEL_OF_SENSITIVITY" w:val="Standard treatment"/>
    <w:docVar w:name="LW_NOM.INST" w:val="EUROPESE COMMISSIE"/>
    <w:docVar w:name="LW_NOM.INST_JOINTDOC" w:val="&lt;EMPTY&gt;"/>
    <w:docVar w:name="LW_OBJETACTEPRINCIPAL.CP" w:val="tot wijziging van de in Uitvoeringsverordening (EU) 2024/3117 vastgestelde technische uitvoeringsnormen wat betreft rapportage over operationele risico\u8217?s aan de toezichthoudende autoriteit door instellingen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BIJLAGE_x000b_"/>
    <w:docVar w:name="LW_TYPEACTEPRINCIPAL.CP" w:val="UITVOERINGSVERORDENING (EU) \u8230?/... VAN DE COMMISSIE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2272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28C4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C385A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501B83"/>
    <w:rsid w:val="005157C3"/>
    <w:rsid w:val="005202EF"/>
    <w:rsid w:val="00523B17"/>
    <w:rsid w:val="00572270"/>
    <w:rsid w:val="005735EF"/>
    <w:rsid w:val="00594378"/>
    <w:rsid w:val="00594634"/>
    <w:rsid w:val="005A1937"/>
    <w:rsid w:val="005A3E41"/>
    <w:rsid w:val="005B68FF"/>
    <w:rsid w:val="005C53C9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C6C28"/>
    <w:rsid w:val="006D6F8B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CBD"/>
    <w:rsid w:val="00957D69"/>
    <w:rsid w:val="009775C3"/>
    <w:rsid w:val="0098101F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C46D4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A4F57"/>
    <w:rsid w:val="00CB4F43"/>
    <w:rsid w:val="00CB749B"/>
    <w:rsid w:val="00CC23FF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70215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6C6C28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6C6C28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6C6C28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6C6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C87630-3B47-46B1-AADD-3315A3FFEC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02945E-68B4-4E99-91C5-A5620F5AD776}"/>
</file>

<file path=customXml/itemProps3.xml><?xml version="1.0" encoding="utf-8"?>
<ds:datastoreItem xmlns:ds="http://schemas.openxmlformats.org/officeDocument/2006/customXml" ds:itemID="{AD7ECCE8-7FB6-45CF-9EBE-7E01C0B28E3C}"/>
</file>

<file path=customXml/itemProps4.xml><?xml version="1.0" encoding="utf-8"?>
<ds:datastoreItem xmlns:ds="http://schemas.openxmlformats.org/officeDocument/2006/customXml" ds:itemID="{3F8EB27A-39A4-4B53-938E-C0899D74DD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12</cp:revision>
  <dcterms:created xsi:type="dcterms:W3CDTF">2025-10-20T16:56:00Z</dcterms:created>
  <dcterms:modified xsi:type="dcterms:W3CDTF">2025-12-02T09:06:00Z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