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79E8A10F" w:rsidR="00183684" w:rsidRDefault="00832021" w:rsidP="00832021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27CD97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C8490CE7-74D2-454B-9DF3-FD5DB5EF8DA8" style="width:455.25pt;height:359.2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8320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„C 16.01 – OPERATIVNI RIZIK – KAPITALNI ZAHTJEVI (OPR OF)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53"/>
        <w:gridCol w:w="4624"/>
        <w:gridCol w:w="1867"/>
        <w:gridCol w:w="2151"/>
        <w:gridCol w:w="1867"/>
        <w:gridCol w:w="1636"/>
        <w:gridCol w:w="1691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– OPERATIVNI RIZIK – KAPITALNI zahtjevi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Vrijednost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Kapitalni zahtjevi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Iznos izloženosti riziku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Od čega: prilagodbe zbog spajanja/stjecanja subjekata ili djelatnosti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(Prilagodbe zbog prodaje subjekata ili djelatnosti)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Komponenta pokazatelja poslovanja i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Pokazatelj poslovanja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Komponenta kamata, najmova i dividendi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povezan s pojedinačnom institucijom / konsolidiranom grupom (ne uključujući subjekte iz članka 314. stavka 3.)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za subjekte iz članka 314. stavka 3.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Komponenta usluga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Financijska komponenta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na temelju članka 314. stavka 4. (poslovanje sa stanovništvom)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na temelju članka 314. stavka 4. (poslovno bankarstvo)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Bilješka</w:t>
            </w:r>
            <w:r>
              <w:rPr>
                <w:rFonts w:ascii="Aptos Narrow" w:hAnsi="Aptos Narrow"/>
                <w:noProof/>
                <w:color w:val="000000"/>
              </w:rPr>
              <w:t>: ILDC povezan s pojedinačnom institucijom / konsolidiranom grupom, uključujući subjekte iz članka 314. stavka 3.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Ostale informacije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Pristup za izračun financijske komponente (FC)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16.02 – OPERATIVNI RIZIK – Komponenta pokazatelja poslovanja (OPR BIC)”   </w:t>
      </w:r>
    </w:p>
    <w:tbl>
      <w:tblPr>
        <w:tblW w:w="14491" w:type="dxa"/>
        <w:tblInd w:w="118" w:type="dxa"/>
        <w:tblLook w:val="04A0" w:firstRow="1" w:lastRow="0" w:firstColumn="1" w:lastColumn="0" w:noHBand="0" w:noVBand="1"/>
      </w:tblPr>
      <w:tblGrid>
        <w:gridCol w:w="758"/>
        <w:gridCol w:w="2770"/>
        <w:gridCol w:w="1920"/>
        <w:gridCol w:w="1214"/>
        <w:gridCol w:w="1920"/>
        <w:gridCol w:w="1214"/>
        <w:gridCol w:w="1920"/>
        <w:gridCol w:w="1542"/>
        <w:gridCol w:w="1195"/>
        <w:gridCol w:w="246"/>
      </w:tblGrid>
      <w:tr w:rsidR="005F74E6" w:rsidRPr="005F74E6" w14:paraId="1F996140" w14:textId="77777777" w:rsidTr="00813DC6">
        <w:trPr>
          <w:gridAfter w:val="1"/>
          <w:wAfter w:w="248" w:type="dxa"/>
          <w:trHeight w:val="443"/>
        </w:trPr>
        <w:tc>
          <w:tcPr>
            <w:tcW w:w="1424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– OPERATIVNI RIZIK – Komponenta pokazatelja poslovanja (OPR BIC)”</w:t>
            </w:r>
          </w:p>
        </w:tc>
      </w:tr>
      <w:tr w:rsidR="005F74E6" w:rsidRPr="005F74E6" w14:paraId="782FFB66" w14:textId="77777777" w:rsidTr="00813DC6">
        <w:trPr>
          <w:gridAfter w:val="1"/>
          <w:wAfter w:w="250" w:type="dxa"/>
          <w:trHeight w:val="284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813DC6">
        <w:trPr>
          <w:gridAfter w:val="1"/>
          <w:wAfter w:w="250" w:type="dxa"/>
          <w:trHeight w:val="509"/>
        </w:trPr>
        <w:tc>
          <w:tcPr>
            <w:tcW w:w="36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990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GODINA–3</w:t>
            </w:r>
          </w:p>
        </w:tc>
        <w:tc>
          <w:tcPr>
            <w:tcW w:w="299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GODINA–2</w:t>
            </w:r>
          </w:p>
        </w:tc>
        <w:tc>
          <w:tcPr>
            <w:tcW w:w="344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PRETHODNA GODINA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813DC6">
        <w:trPr>
          <w:trHeight w:val="274"/>
        </w:trPr>
        <w:tc>
          <w:tcPr>
            <w:tcW w:w="36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9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99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4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813DC6">
        <w:trPr>
          <w:trHeight w:val="1187"/>
        </w:trPr>
        <w:tc>
          <w:tcPr>
            <w:tcW w:w="36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Računovodstvena vrijednost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Vrijednost – Pristup bonitetne granice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Računovodstvena vrijednost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Vrijednost – Pristup bonitetne granice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Računovodstvena vrijednost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Vrijednost – Pristup bonitetne granice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Prosječna vrijednost</w:t>
            </w:r>
          </w:p>
        </w:tc>
        <w:tc>
          <w:tcPr>
            <w:tcW w:w="248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813DC6">
        <w:trPr>
          <w:trHeight w:val="284"/>
        </w:trPr>
        <w:tc>
          <w:tcPr>
            <w:tcW w:w="36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248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813DC6">
        <w:trPr>
          <w:trHeight w:val="669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 – 0210</w:t>
            </w:r>
          </w:p>
        </w:tc>
        <w:tc>
          <w:tcPr>
            <w:tcW w:w="12319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Komponenta kamata, najmova i dividendi (ILDC)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813DC6">
        <w:trPr>
          <w:trHeight w:val="284"/>
        </w:trPr>
        <w:tc>
          <w:tcPr>
            <w:tcW w:w="7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Komponenta kamata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Neto prihod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813DC6">
        <w:trPr>
          <w:trHeight w:val="427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Kamatni prihod (uključujući od imovine u najmu (financijskom i poslovnom))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Kamatni prihod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813DC6">
        <w:trPr>
          <w:trHeight w:val="427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Prihod od imovine u najmu (financijskom i poslovnom), osim kamatnog prihoda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Dobit od imovine u najmu (financijskom i poslovnom)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813DC6">
        <w:trPr>
          <w:trHeight w:val="669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(Kamatni rashodi (uključujući od imovine u najmu (financijskom i poslovnom))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(Kamatni rashodi)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813DC6">
        <w:trPr>
          <w:trHeight w:val="427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(Rashodi za imovinu u poslovnom najmu osim kamatnih rashoda)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(Gubici od imovine u poslovnom najmu)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Komponenta imovine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Ukupna imovina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813DC6">
        <w:trPr>
          <w:trHeight w:val="427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Sredstva u središnjim bankama i ostali depoziti po viđenju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Dužnički vrijednosni papiri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Krediti i predujmovi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Izvedenice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Kojima se trguje i koje su ekonomske zaštite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Računovodstvo zaštite od rizika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Imovina u 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najmu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Komponenta dividendi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Prihod od dividendi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813DC6">
        <w:trPr>
          <w:trHeight w:val="443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 – 0360</w:t>
            </w:r>
          </w:p>
        </w:tc>
        <w:tc>
          <w:tcPr>
            <w:tcW w:w="13457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Komponenta usluga (SC)</w:t>
            </w:r>
          </w:p>
        </w:tc>
        <w:tc>
          <w:tcPr>
            <w:tcW w:w="248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813DC6">
        <w:trPr>
          <w:trHeight w:val="284"/>
        </w:trPr>
        <w:tc>
          <w:tcPr>
            <w:tcW w:w="7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Ostali prihodi iz poslovanja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813DC6">
        <w:trPr>
          <w:trHeight w:val="427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Ostali prihodi iz poslovanja od članova koji pripadaju istom institucionalnom sustavu zaštite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813DC6">
        <w:trPr>
          <w:trHeight w:val="643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Dobit od dugotrajne imovine i grupa za otuđenje klasificiranih kao namijenjene za prodaju koje nisu kvalificirane kao poslovanje koje se neće nastaviti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Ostalo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(Ostali rashodi iz poslovanja)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813DC6">
        <w:trPr>
          <w:trHeight w:val="427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(Ostali rashodi iz poslovanja za članove koji pripadaju istom institucionalnom sustavu zaštite)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813DC6">
        <w:trPr>
          <w:trHeight w:val="427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(Ukupni gubici, troškovi, rezervacije i drugi financijski učinci zbog događaja operativnog rizika)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813DC6">
        <w:trPr>
          <w:trHeight w:val="643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(Gubici od dugotrajne imovine i grupa za otuđenje klasificiranih kao namijenjene za prodaju koje nisu kvalificirane kao poslovanje koje se neće nastaviti)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(Ostalo)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Komponenta prihoda od naknada i provizija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Prihodi od naknada i provizija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Od čega: od članova koji pripadaju istom institucionalnom sustavu zaštite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(Komponenta prihoda od naknada i provizija)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(Rashodi za naknade i provizije)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813DC6">
        <w:trPr>
          <w:trHeight w:val="299"/>
        </w:trPr>
        <w:tc>
          <w:tcPr>
            <w:tcW w:w="7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(Od čega: za članove koji pripadaju istom institucionalnom sustavu zaštite)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813DC6">
        <w:trPr>
          <w:trHeight w:val="443"/>
        </w:trPr>
        <w:tc>
          <w:tcPr>
            <w:tcW w:w="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 – 0480</w:t>
            </w:r>
          </w:p>
        </w:tc>
        <w:tc>
          <w:tcPr>
            <w:tcW w:w="1345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Financijska komponenta (FC)</w:t>
            </w:r>
          </w:p>
        </w:tc>
        <w:tc>
          <w:tcPr>
            <w:tcW w:w="248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813DC6">
        <w:trPr>
          <w:trHeight w:val="284"/>
        </w:trPr>
        <w:tc>
          <w:tcPr>
            <w:tcW w:w="7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Komponenta knjige trgovanja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Neto dobit ili (–) gubitak koji se primjenjuju na knjigu trgovanja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813DC6">
        <w:trPr>
          <w:trHeight w:val="427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Dobici ili (–) gubici po financijskoj imovini i financijskim obvezama koje se drže radi trgovanja, neto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813DC6">
        <w:trPr>
          <w:trHeight w:val="427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Knjiga trgovanja – Dobici ili (–) gubici od računovodstva zaštite, neto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813DC6">
        <w:trPr>
          <w:trHeight w:val="427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Knjiga trgovanja – Tečajne razlike [dobitak ili (–) gubitak], neto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Komponenta knjige pozicija kojima se ne trguje 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813DC6">
        <w:trPr>
          <w:trHeight w:val="284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Neto dobit ili (–) gubitak koji se primjenjuju na knjigu pozicija kojima se ne trguje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813DC6">
        <w:trPr>
          <w:trHeight w:val="643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Dobici ili (–) gubici po prestanku priznavanja financijske imovine i financijskih obveza koje nisu mjerene po fer vrijednosti kroz dobit ili gubitak, neto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813DC6">
        <w:trPr>
          <w:trHeight w:val="643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Dobici ili (–) gubici po financijskoj imovini kojom se ne trguje koja se obvezno mjeri po fer vrijednosti kroz dobit ili gubitak, neto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813DC6">
        <w:trPr>
          <w:trHeight w:val="643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Dobici ili (–) gubici po financijskoj imovini i financijskim obvezama po fer vrijednosti kroz dobit ili gubitak, neto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813DC6">
        <w:trPr>
          <w:trHeight w:val="427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Knjiga pozicija kojima se ne trguje – Dobici ili (–) gubici od računovodstva zaštite, neto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813DC6">
        <w:trPr>
          <w:trHeight w:val="443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Knjiga pozicija kojima se ne trguje – Tečajne razlike [dobitak ili (–) gubitak], neto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48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„C 16.03 – RAŠČLAMBA OPERATIVNOG RIZIKA (OPR BD) – Gubici, troškovi, rezervacije i drugi financijski učinci koji proizlaze iz događaja operativnog rizika”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– RAŠČLAMBA OPERATIVNOG RIZIKA (OPR BD) – Gubici, troškovi, rezervacije i drugi financijski učinci koji proizlaze iz događaja operativnog rizika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Računovodstvena vrijednost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GODINA–3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GODINA–2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PRETHODNA GODINA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 –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Gubici, troškovi, rezervacije i drugi financijski učinci zbog događaja operativnog rizika: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(Kamatni rashodi)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(Ostali rashodi iz poslovanja)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(Administrativni rashodi)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(Amortizacija zbog događaja operativnog rizika)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(Rezervacije ili (–) ukidanje rezervacija)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(Umanjenje vrijednosti ili (–) poništenje umanjenja vrijednosti)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(Ostalo)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(Ukupno)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16.04 – OPERATIVNI RIZIK – Informacije o društvima kćerima na koja se primjenjuje članak 314. stavak 3. CRR-a”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242"/>
        <w:gridCol w:w="1142"/>
        <w:gridCol w:w="1044"/>
        <w:gridCol w:w="1157"/>
        <w:gridCol w:w="945"/>
        <w:gridCol w:w="1238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– OPERATIVNI RIZIK – Informacije o društvima kćerima na koja se primjenjuje članak 314. stavak 3. CRR-a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Naziv pravnog subjekta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Oznaka LEI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Redci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071D7" w14:textId="77777777" w:rsidR="00BB1BD6" w:rsidRDefault="00BB1BD6" w:rsidP="00183684">
      <w:pPr>
        <w:spacing w:after="0" w:line="240" w:lineRule="auto"/>
      </w:pPr>
      <w:r>
        <w:separator/>
      </w:r>
    </w:p>
  </w:endnote>
  <w:endnote w:type="continuationSeparator" w:id="0">
    <w:p w14:paraId="52711370" w14:textId="77777777" w:rsidR="00BB1BD6" w:rsidRDefault="00BB1BD6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7F830" w14:textId="063CB888" w:rsidR="00832021" w:rsidRPr="00832021" w:rsidRDefault="00832021" w:rsidP="00832021">
    <w:pPr>
      <w:pStyle w:val="FooterCoverPage"/>
      <w:rPr>
        <w:rFonts w:ascii="Arial" w:hAnsi="Arial" w:cs="Arial"/>
        <w:b/>
        <w:sz w:val="48"/>
      </w:rPr>
    </w:pPr>
    <w:r w:rsidRPr="00832021">
      <w:rPr>
        <w:rFonts w:ascii="Arial" w:hAnsi="Arial" w:cs="Arial"/>
        <w:b/>
        <w:sz w:val="48"/>
      </w:rPr>
      <w:t>HR</w:t>
    </w:r>
    <w:r w:rsidRPr="00832021">
      <w:rPr>
        <w:rFonts w:ascii="Arial" w:hAnsi="Arial" w:cs="Arial"/>
        <w:b/>
        <w:sz w:val="48"/>
      </w:rPr>
      <w:tab/>
    </w:r>
    <w:r w:rsidRPr="00832021">
      <w:rPr>
        <w:rFonts w:ascii="Arial" w:hAnsi="Arial" w:cs="Arial"/>
        <w:b/>
        <w:sz w:val="48"/>
      </w:rPr>
      <w:tab/>
    </w:r>
    <w:r w:rsidRPr="00832021">
      <w:tab/>
    </w:r>
    <w:r w:rsidRPr="00832021">
      <w:rPr>
        <w:rFonts w:ascii="Arial" w:hAnsi="Arial" w:cs="Arial"/>
        <w:b/>
        <w:sz w:val="48"/>
      </w:rPr>
      <w:t>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67609" w14:textId="729537E9" w:rsidR="00832021" w:rsidRPr="00832021" w:rsidRDefault="00832021" w:rsidP="00832021">
    <w:pPr>
      <w:pStyle w:val="FooterCoverPage"/>
      <w:rPr>
        <w:rFonts w:ascii="Arial" w:hAnsi="Arial" w:cs="Arial"/>
        <w:b/>
        <w:sz w:val="48"/>
      </w:rPr>
    </w:pPr>
    <w:r w:rsidRPr="00832021">
      <w:rPr>
        <w:rFonts w:ascii="Arial" w:hAnsi="Arial" w:cs="Arial"/>
        <w:b/>
        <w:sz w:val="48"/>
      </w:rPr>
      <w:t>HR</w:t>
    </w:r>
    <w:r w:rsidRPr="00832021">
      <w:rPr>
        <w:rFonts w:ascii="Arial" w:hAnsi="Arial" w:cs="Arial"/>
        <w:b/>
        <w:sz w:val="48"/>
      </w:rPr>
      <w:tab/>
    </w:r>
    <w:r w:rsidRPr="00832021">
      <w:rPr>
        <w:rFonts w:ascii="Arial" w:hAnsi="Arial" w:cs="Arial"/>
        <w:b/>
        <w:sz w:val="48"/>
      </w:rPr>
      <w:tab/>
    </w:r>
    <w:r w:rsidRPr="00832021">
      <w:tab/>
    </w:r>
    <w:r w:rsidRPr="00832021">
      <w:rPr>
        <w:rFonts w:ascii="Arial" w:hAnsi="Arial" w:cs="Arial"/>
        <w:b/>
        <w:sz w:val="48"/>
      </w:rPr>
      <w:t>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C6AA9" w14:textId="77777777" w:rsidR="00832021" w:rsidRPr="00832021" w:rsidRDefault="00832021" w:rsidP="00832021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3B7A9B3D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2021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AB938" w14:textId="77777777" w:rsidR="00BB1BD6" w:rsidRDefault="00BB1BD6" w:rsidP="00183684">
      <w:pPr>
        <w:spacing w:after="0" w:line="240" w:lineRule="auto"/>
      </w:pPr>
      <w:r>
        <w:separator/>
      </w:r>
    </w:p>
  </w:footnote>
  <w:footnote w:type="continuationSeparator" w:id="0">
    <w:p w14:paraId="0A8F636F" w14:textId="77777777" w:rsidR="00BB1BD6" w:rsidRDefault="00BB1BD6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C1B1A" w14:textId="77777777" w:rsidR="00832021" w:rsidRPr="00832021" w:rsidRDefault="00832021" w:rsidP="00832021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B3B39" w14:textId="77777777" w:rsidR="00832021" w:rsidRPr="00832021" w:rsidRDefault="00832021" w:rsidP="00832021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034FC" w14:textId="77777777" w:rsidR="00832021" w:rsidRPr="00832021" w:rsidRDefault="00832021" w:rsidP="00832021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 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C8490CE7-74D2-454B-9DF3-FD5DB5EF8DA8"/>
    <w:docVar w:name="LW_COVERPAGE_TYPE" w:val="1"/>
    <w:docVar w:name="LW_CROSSREFERENCE" w:val="&lt;UNUSED&gt;"/>
    <w:docVar w:name="LW_DocType" w:val="NORMAL"/>
    <w:docVar w:name="LW_EMISSION" w:val="8.12.2025."/>
    <w:docVar w:name="LW_EMISSION_ISODATE" w:val="2025-12-08"/>
    <w:docVar w:name="LW_EMISSION_LOCATION" w:val="BRX"/>
    <w:docVar w:name="LW_EMISSION_PREFIX" w:val="Bruxelles, "/>
    <w:docVar w:name="LW_EMISSION_SUFFIX" w:val="&lt;EMPTY&gt;"/>
    <w:docVar w:name="LW_ID_DOCTYPE_NONLW" w:val="CP-038"/>
    <w:docVar w:name="LW_LANGUE" w:val="HR"/>
    <w:docVar w:name="LW_LEVEL_OF_SENSITIVITY" w:val="Standard treatment"/>
    <w:docVar w:name="LW_NOM.INST" w:val="EUROPSKA KOMISIJA"/>
    <w:docVar w:name="LW_NOM.INST_JOINTDOC" w:val="&lt;EMPTY&gt;"/>
    <w:docVar w:name="LW_OBJETACTEPRINCIPAL.CP" w:val="&lt;FMT:Bold&gt;o izmjeni provedbenih tehni\u269?kih standarda iz Provedbene uredbe (EU) 2024/3117 u pogledu nadzornog izvje\u353?\u263?ivanja institucija o operativnom riziku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PRILOG_x000b_"/>
    <w:docVar w:name="LW_TYPEACTEPRINCIPAL.CP" w:val="PROVEDBENOJ UREDBI KOMISIJE (EU) \u8230?/...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1AA5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D68F8"/>
    <w:rsid w:val="001E0FE2"/>
    <w:rsid w:val="001F1D4D"/>
    <w:rsid w:val="001F2BC0"/>
    <w:rsid w:val="00206BA7"/>
    <w:rsid w:val="002101EA"/>
    <w:rsid w:val="002106B9"/>
    <w:rsid w:val="00212768"/>
    <w:rsid w:val="00214E86"/>
    <w:rsid w:val="002208C3"/>
    <w:rsid w:val="002314D6"/>
    <w:rsid w:val="0024237A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D4920"/>
    <w:rsid w:val="007D62B8"/>
    <w:rsid w:val="007E7392"/>
    <w:rsid w:val="007F62C9"/>
    <w:rsid w:val="00806975"/>
    <w:rsid w:val="00813DC6"/>
    <w:rsid w:val="00824A19"/>
    <w:rsid w:val="008268B7"/>
    <w:rsid w:val="00832021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0C22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4FF9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C2098"/>
    <w:rsid w:val="00AD1495"/>
    <w:rsid w:val="00AD77BA"/>
    <w:rsid w:val="00AE590C"/>
    <w:rsid w:val="00AE75DE"/>
    <w:rsid w:val="00AE7AED"/>
    <w:rsid w:val="00AF45C6"/>
    <w:rsid w:val="00AF723D"/>
    <w:rsid w:val="00B075A3"/>
    <w:rsid w:val="00B159B3"/>
    <w:rsid w:val="00B1610B"/>
    <w:rsid w:val="00B26CF2"/>
    <w:rsid w:val="00B35DC2"/>
    <w:rsid w:val="00B46511"/>
    <w:rsid w:val="00B50F66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1BD6"/>
    <w:rsid w:val="00BB6FB5"/>
    <w:rsid w:val="00BC0F23"/>
    <w:rsid w:val="00BC4E7B"/>
    <w:rsid w:val="00BC5329"/>
    <w:rsid w:val="00BC7EA5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CF79D9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1D25"/>
    <w:rsid w:val="00EE4603"/>
    <w:rsid w:val="00EE4D43"/>
    <w:rsid w:val="00EF7A96"/>
    <w:rsid w:val="00F047B5"/>
    <w:rsid w:val="00F068D1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85DCF"/>
    <w:rsid w:val="00F9140C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CF79D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CF79D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CF79D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CF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1B2841-0B3A-44FC-B501-76F44436EF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E4D0F5-A28B-454A-B0A2-E8EC2F48DA9E}"/>
</file>

<file path=customXml/itemProps3.xml><?xml version="1.0" encoding="utf-8"?>
<ds:datastoreItem xmlns:ds="http://schemas.openxmlformats.org/officeDocument/2006/customXml" ds:itemID="{18B858CB-2545-499E-8ED8-1DF22EDE26C3}"/>
</file>

<file path=customXml/itemProps4.xml><?xml version="1.0" encoding="utf-8"?>
<ds:datastoreItem xmlns:ds="http://schemas.openxmlformats.org/officeDocument/2006/customXml" ds:itemID="{877F3A07-19D6-49EB-8F58-8CF3BDE02A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7</cp:revision>
  <dcterms:created xsi:type="dcterms:W3CDTF">2025-11-28T14:42:00Z</dcterms:created>
  <dcterms:modified xsi:type="dcterms:W3CDTF">2025-12-02T09:07:00Z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