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6623D60D" w:rsidR="00183684" w:rsidRDefault="00251D93" w:rsidP="00251D93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7AE492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87A4A6CA-1044-445B-B7EA-58EF88D661EA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251D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”C 16.01 – OPERATIIVINEN RISKI – OMIEN VAROJEN VAATIMUKSET (OPR OF)”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11"/>
        <w:gridCol w:w="4323"/>
        <w:gridCol w:w="1754"/>
        <w:gridCol w:w="2929"/>
        <w:gridCol w:w="1754"/>
        <w:gridCol w:w="1539"/>
        <w:gridCol w:w="1589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OPERATIIVINEN RISKI – OMIEN VAROJEN VAATIMUKSET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Arvo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Omien varojen vaatimukset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Riskin määrä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Josta: yhteisöjen tai toimintojen sulautumisesta/hankinnasta aiheutuvat oikaisut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(yhteisöjen tai toimintojen luovutuksista aiheutuvat oikaisut)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Liiketoimintaindikaattorikomponentti ja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Liiketoimintaindikaattori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Korko-, leasing- ja osinkokomponentti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Yksittäiseen laitokseen / konsolidoituun konserniin liittyvä ILDC (pois lukien 314 artiklan 3 kohdassa tarkoitetut yhteisöt)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314 artiklan 3 kohdassa tarkoitettujen yhteisöjen osalta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Palvelukomponentti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Rahoituskomponentti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314 artiklan 4 kohdan mukainen ASA (vähittäispankkitoiminta)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314 artiklan 4 kohdan mukainen ASA (yritysrahoitus)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Lisätietoerä</w:t>
            </w:r>
            <w:r>
              <w:rPr>
                <w:rFonts w:ascii="Aptos Narrow" w:hAnsi="Aptos Narrow"/>
                <w:noProof/>
                <w:color w:val="000000"/>
              </w:rPr>
              <w:t>: Yksittäiseen laitokseen / konsolidoituun konserniin liittyvä ILDC, mukaan lukien 314 artiklan 3 kohdassa tarkoitetut yhteisöt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Muut tiedot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Rahoituskomponentin laskennassa käytetty menetelmä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”C 16.02 – OPERATIIVINEN RISKI – Liiketoimintaindikaattorikomponentti (OPR BIC)”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0"/>
        <w:gridCol w:w="3136"/>
        <w:gridCol w:w="1451"/>
        <w:gridCol w:w="1797"/>
        <w:gridCol w:w="1452"/>
        <w:gridCol w:w="1797"/>
        <w:gridCol w:w="1452"/>
        <w:gridCol w:w="1797"/>
        <w:gridCol w:w="1064"/>
        <w:gridCol w:w="221"/>
      </w:tblGrid>
      <w:tr w:rsidR="005F74E6" w:rsidRPr="005F74E6" w14:paraId="1F996140" w14:textId="77777777" w:rsidTr="009869B4">
        <w:trPr>
          <w:gridAfter w:val="1"/>
          <w:wAfter w:w="87" w:type="pct"/>
          <w:trHeight w:val="451"/>
        </w:trPr>
        <w:tc>
          <w:tcPr>
            <w:tcW w:w="491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OPERATIIVINEN RISKI – Liiketoimintaindikaattorikomponentti (OPR BIC)</w:t>
            </w:r>
          </w:p>
        </w:tc>
      </w:tr>
      <w:tr w:rsidR="005F74E6" w:rsidRPr="005F74E6" w14:paraId="782FFB66" w14:textId="77777777" w:rsidTr="009869B4">
        <w:trPr>
          <w:gridAfter w:val="1"/>
          <w:wAfter w:w="87" w:type="pct"/>
          <w:trHeight w:val="290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7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9869B4">
        <w:trPr>
          <w:gridAfter w:val="1"/>
          <w:wAfter w:w="87" w:type="pct"/>
          <w:trHeight w:val="509"/>
        </w:trPr>
        <w:tc>
          <w:tcPr>
            <w:tcW w:w="13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1067" w:type="pct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VUOSI-3</w:t>
            </w:r>
          </w:p>
        </w:tc>
        <w:tc>
          <w:tcPr>
            <w:tcW w:w="1067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VUOSI-2</w:t>
            </w:r>
          </w:p>
        </w:tc>
        <w:tc>
          <w:tcPr>
            <w:tcW w:w="1067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EDELLISVUOSI</w:t>
            </w:r>
          </w:p>
        </w:tc>
        <w:tc>
          <w:tcPr>
            <w:tcW w:w="39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9869B4">
        <w:trPr>
          <w:trHeight w:val="279"/>
        </w:trPr>
        <w:tc>
          <w:tcPr>
            <w:tcW w:w="13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67" w:type="pct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67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67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9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9869B4">
        <w:trPr>
          <w:trHeight w:val="1207"/>
        </w:trPr>
        <w:tc>
          <w:tcPr>
            <w:tcW w:w="13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Kirjanpitoarvo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Arvo – vakavaraisuusraja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Kirjanpitoarvo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Arvo – vakavaraisuusraja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Kirjanpitoarvo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Arvo – vakavaraisuusraja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Keskiarvo</w:t>
            </w:r>
          </w:p>
        </w:tc>
        <w:tc>
          <w:tcPr>
            <w:tcW w:w="87" w:type="pct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9869B4">
        <w:trPr>
          <w:trHeight w:val="290"/>
        </w:trPr>
        <w:tc>
          <w:tcPr>
            <w:tcW w:w="13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87" w:type="pct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9869B4">
        <w:trPr>
          <w:trHeight w:val="68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– 0210</w:t>
            </w:r>
          </w:p>
        </w:tc>
        <w:tc>
          <w:tcPr>
            <w:tcW w:w="424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Korko-, leasing- ja osinkokomponentti (ILDC)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9869B4">
        <w:trPr>
          <w:trHeight w:val="290"/>
        </w:trPr>
        <w:tc>
          <w:tcPr>
            <w:tcW w:w="2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Korkokomponentti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Nettotulot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Korkotuotot (mukaan lukien vuokratuista omaisuuseristä (rahoitus ja liiketoiminta))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Korkotuotot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Tuotot vuokratuista omaisuuseristä (rahoitus ja liiketoiminta) lukuun ottamatta korkotuottoja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Voitot vuokratuista omaisuuseristä (rahoitus ja liiketoiminta)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9869B4">
        <w:trPr>
          <w:trHeight w:val="68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(Korkokulut (mukaan lukien vuokratuista omaisuuseristä (rahoitus ja liiketoiminta)))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(Korkokulut)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(Liiketoiminnan vuokratuista omaisuuseristä aiheutuvat muut kulut kuin korkokulut)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(Tappiot liiketoiminnan vuokratuista omaisuuseristä)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Omaisuuseräkomponentti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Omaisuuserät yhteensä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Keskuspankkitalletukset ja muut vaadittaessa maksettavat talletukset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Vieraan pääoman ehtoiset arvopaperit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Lainat ja ennakot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Johdannaiset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Kaupankäynti ja taloudelliset suojaukset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Suojauslaskenta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Vuokrasopimuksen kohteena olevat omaisuuserät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Osinkokomponentti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Osinkotuotot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9869B4">
        <w:trPr>
          <w:trHeight w:val="451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– 0360</w:t>
            </w:r>
          </w:p>
        </w:tc>
        <w:tc>
          <w:tcPr>
            <w:tcW w:w="4639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Palvelukomponentti (SC)</w:t>
            </w:r>
          </w:p>
        </w:tc>
        <w:tc>
          <w:tcPr>
            <w:tcW w:w="87" w:type="pct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9869B4">
        <w:trPr>
          <w:trHeight w:val="290"/>
        </w:trPr>
        <w:tc>
          <w:tcPr>
            <w:tcW w:w="2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Muut liiketoiminnan tuotot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Muut liiketoiminnan tuotot samaan laitosten suojajärjestelmään kuuluvilta jäseniltä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9869B4">
        <w:trPr>
          <w:trHeight w:val="654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Voitot pitkäaikaisista omaisuuseristä ja myytävänä oleviksi luokitelluista luovutettavien erien ryhmistä, joita ei voida pitää lopetettuina toimintoina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Muut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(Muut liiketoiminnan kulut)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(Muut liiketoiminnan kulut samaan laitosten suojajärjestelmään kuuluville jäsenille)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(Operatiivisen riskin aiheuttavista tapahtumista johtuvat tappiot, kulut, varaukset ja muut taloudelliset vaikutukset yhteensä)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9869B4">
        <w:trPr>
          <w:trHeight w:val="654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(Tappiot pitkäaikaisista omaisuuseristä ja myytävänä oleviksi luokitelluista luovutettavien erien ryhmistä, joita ei voida pitää lopetettuina toimintoina)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(Muut)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Palkkiotuottokomponentti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Palkkiotuotot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joista: samaan laitosten suojajärjestelmään kuuluvilta jäseniltä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Palkkiokulukomponentti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(Palkkiokulut)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9869B4">
        <w:trPr>
          <w:trHeight w:val="305"/>
        </w:trPr>
        <w:tc>
          <w:tcPr>
            <w:tcW w:w="27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(joista: samaan laitosten suojajärjestelmään kuuluville jäsenille)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9869B4">
        <w:trPr>
          <w:trHeight w:val="451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– 0480</w:t>
            </w:r>
          </w:p>
        </w:tc>
        <w:tc>
          <w:tcPr>
            <w:tcW w:w="4639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Rahoituskomponentti (FC)</w:t>
            </w:r>
          </w:p>
        </w:tc>
        <w:tc>
          <w:tcPr>
            <w:tcW w:w="87" w:type="pct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9869B4">
        <w:trPr>
          <w:trHeight w:val="290"/>
        </w:trPr>
        <w:tc>
          <w:tcPr>
            <w:tcW w:w="2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Kaupankäyntivarastokomponentti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Kaupankäyntivarastoon sovellettava nettovoitto tai (-) -tappio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Voitot tai (-) tappiot kaupankäyntitarkoituksessa pidettävistä rahoitusvaroista ja -veloista, netto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Kaupankäyntivarasto – Voitot tai (-) tappiot suojauslaskennasta, netto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Kaupankäyntivarasto – Kurssierot [voitto tai (-) tappio], netto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Kaupankäyntivaraston ulkopuolisten erien komponentti 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9869B4">
        <w:trPr>
          <w:trHeight w:val="290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Kaupankäyntivaraston ulkopuolisiin eriin sovellettava nettovoitto tai (-) -tappio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9869B4">
        <w:trPr>
          <w:trHeight w:val="654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Voitot tai (-) tappiot taseesta pois kirjatuista rahoitusvaroista ja -veloista, joita ei arvosteta käypään arvoon tulosvaikutteisesti, netto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9869B4">
        <w:trPr>
          <w:trHeight w:val="654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Voitot tai tappiot kaupankäyntivaraston ulkopuolisista rahoitusvaroista, jotka on pakko arvostaa käypään arvoon tulosvaikutteisesti, netto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9869B4">
        <w:trPr>
          <w:trHeight w:val="654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Voitot tai (-) tappiot rahoitusvaroista ja -veloista, jotka on nimenomaisesti luokiteltu käypään arvoon tulosvaikutteisesti kirjattaviksi, netto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9869B4">
        <w:trPr>
          <w:trHeight w:val="435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Kaupankäyntivaraston ulkopuoliset erät – Voitot tai (-) tappiot suojauslaskennasta, netto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9869B4">
        <w:trPr>
          <w:trHeight w:val="451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Kaupankäyntivaraston ulkopuoliset erät – Kurssierot [voitto tai (-) tappio], netto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7" w:type="pct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”C 16.03 – OPERATIIVISEN RISKIN JAOTTELU (OPR BD) – Operatiivisen riskin aiheuttavista tapahtumista johtuvat tappiot, kulut, varaukset ja muut taloudelliset vaikutukset”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OPERATIIVISEN RISKIN JAOTTELU (OPR BD) – Operatiivisen riskin aiheuttavista tapahtumista johtuvat tappiot, kulut, varaukset ja muut taloudelliset vaikutukset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Kirjanpitoarvo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VUOSI-3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VUOSI-2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EDELLISVUOSI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–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Operatiivisen riskin aiheuttavista tapahtumista johtuvat tappiot, kulut, varaukset ja muut taloudelliset vaikutukset seuraavasti: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(Korkokulut)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(Liiketoiminnan muut kulut)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(Hallintokulut)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(Operatiivisen riskin aiheuttavista tapahtumista johtuva arvonalennus)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(Varaukset tai (-) varausten peruutukset)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(Arvonalentumiset tai (-) niiden peruutukset)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(Muut)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(Yhteensä)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”C 16.04 – OPERATIIVINEN RISKI – Tiedot vakavaraisuusasetuksen 314 artiklan 3 kohdan soveltamisalaan kuuluvista tytäryrityksistä” </w:t>
      </w:r>
    </w:p>
    <w:tbl>
      <w:tblPr>
        <w:tblW w:w="14699" w:type="dxa"/>
        <w:tblInd w:w="118" w:type="dxa"/>
        <w:tblLook w:val="04A0" w:firstRow="1" w:lastRow="0" w:firstColumn="1" w:lastColumn="0" w:noHBand="0" w:noVBand="1"/>
      </w:tblPr>
      <w:tblGrid>
        <w:gridCol w:w="1430"/>
        <w:gridCol w:w="1828"/>
        <w:gridCol w:w="1124"/>
        <w:gridCol w:w="1028"/>
        <w:gridCol w:w="1139"/>
        <w:gridCol w:w="931"/>
        <w:gridCol w:w="1214"/>
        <w:gridCol w:w="228"/>
        <w:gridCol w:w="1124"/>
        <w:gridCol w:w="1028"/>
        <w:gridCol w:w="1139"/>
        <w:gridCol w:w="1818"/>
        <w:gridCol w:w="668"/>
      </w:tblGrid>
      <w:tr w:rsidR="005F74E6" w:rsidRPr="005F74E6" w14:paraId="0BFF8233" w14:textId="77777777" w:rsidTr="009869B4">
        <w:trPr>
          <w:gridAfter w:val="5"/>
          <w:wAfter w:w="5777" w:type="dxa"/>
          <w:trHeight w:val="382"/>
        </w:trPr>
        <w:tc>
          <w:tcPr>
            <w:tcW w:w="86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OPERATIIVINEN RISKI – Tiedot vakavaraisuusasetuksen 314 artiklan 3 kohdan soveltamisalaan kuuluvista tytäryrityksistä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9869B4">
        <w:trPr>
          <w:trHeight w:val="364"/>
        </w:trPr>
        <w:tc>
          <w:tcPr>
            <w:tcW w:w="86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9869B4">
        <w:trPr>
          <w:gridAfter w:val="5"/>
          <w:wAfter w:w="5777" w:type="dxa"/>
          <w:trHeight w:val="36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9869B4">
        <w:trPr>
          <w:gridAfter w:val="5"/>
          <w:wAfter w:w="5777" w:type="dxa"/>
          <w:trHeight w:val="635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Oikeushenkilön nimi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LEI-koodi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9869B4">
        <w:trPr>
          <w:gridAfter w:val="5"/>
          <w:wAfter w:w="5777" w:type="dxa"/>
          <w:trHeight w:val="364"/>
        </w:trPr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9869B4">
        <w:trPr>
          <w:gridAfter w:val="5"/>
          <w:wAfter w:w="5777" w:type="dxa"/>
          <w:trHeight w:val="364"/>
        </w:trPr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9869B4">
        <w:trPr>
          <w:gridAfter w:val="5"/>
          <w:wAfter w:w="5777" w:type="dxa"/>
          <w:trHeight w:val="364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Rivit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9869B4">
        <w:trPr>
          <w:gridAfter w:val="5"/>
          <w:wAfter w:w="5777" w:type="dxa"/>
          <w:trHeight w:val="364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F0AD8" w14:textId="7EA55E7F" w:rsidR="00251D93" w:rsidRPr="00251D93" w:rsidRDefault="00251D93" w:rsidP="00251D93">
    <w:pPr>
      <w:pStyle w:val="FooterCoverPage"/>
      <w:rPr>
        <w:rFonts w:ascii="Arial" w:hAnsi="Arial" w:cs="Arial"/>
        <w:b/>
        <w:sz w:val="48"/>
      </w:rPr>
    </w:pPr>
    <w:r w:rsidRPr="00251D93">
      <w:rPr>
        <w:rFonts w:ascii="Arial" w:hAnsi="Arial" w:cs="Arial"/>
        <w:b/>
        <w:sz w:val="48"/>
      </w:rPr>
      <w:t>FI</w:t>
    </w:r>
    <w:r w:rsidRPr="00251D93">
      <w:rPr>
        <w:rFonts w:ascii="Arial" w:hAnsi="Arial" w:cs="Arial"/>
        <w:b/>
        <w:sz w:val="48"/>
      </w:rPr>
      <w:tab/>
    </w:r>
    <w:r w:rsidRPr="00251D93">
      <w:rPr>
        <w:rFonts w:ascii="Arial" w:hAnsi="Arial" w:cs="Arial"/>
        <w:b/>
        <w:sz w:val="48"/>
      </w:rPr>
      <w:tab/>
    </w:r>
    <w:r w:rsidRPr="00251D93">
      <w:tab/>
    </w:r>
    <w:r w:rsidRPr="00251D93">
      <w:rPr>
        <w:rFonts w:ascii="Arial" w:hAnsi="Arial" w:cs="Arial"/>
        <w:b/>
        <w:sz w:val="48"/>
      </w:rPr>
      <w:t>FI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D6D82" w14:textId="4E47205C" w:rsidR="00251D93" w:rsidRPr="00251D93" w:rsidRDefault="00251D93" w:rsidP="00251D93">
    <w:pPr>
      <w:pStyle w:val="FooterCoverPage"/>
      <w:rPr>
        <w:rFonts w:ascii="Arial" w:hAnsi="Arial" w:cs="Arial"/>
        <w:b/>
        <w:sz w:val="48"/>
      </w:rPr>
    </w:pPr>
    <w:r w:rsidRPr="00251D93">
      <w:rPr>
        <w:rFonts w:ascii="Arial" w:hAnsi="Arial" w:cs="Arial"/>
        <w:b/>
        <w:sz w:val="48"/>
      </w:rPr>
      <w:t>FI</w:t>
    </w:r>
    <w:r w:rsidRPr="00251D93">
      <w:rPr>
        <w:rFonts w:ascii="Arial" w:hAnsi="Arial" w:cs="Arial"/>
        <w:b/>
        <w:sz w:val="48"/>
      </w:rPr>
      <w:tab/>
    </w:r>
    <w:r w:rsidRPr="00251D93">
      <w:rPr>
        <w:rFonts w:ascii="Arial" w:hAnsi="Arial" w:cs="Arial"/>
        <w:b/>
        <w:sz w:val="48"/>
      </w:rPr>
      <w:tab/>
    </w:r>
    <w:r w:rsidRPr="00251D93">
      <w:tab/>
    </w:r>
    <w:r w:rsidRPr="00251D93">
      <w:rPr>
        <w:rFonts w:ascii="Arial" w:hAnsi="Arial" w:cs="Arial"/>
        <w:b/>
        <w:sz w:val="48"/>
      </w:rPr>
      <w:t>FI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E65FE" w14:textId="77777777" w:rsidR="00251D93" w:rsidRPr="00251D93" w:rsidRDefault="00251D93" w:rsidP="00251D93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57CD9EE3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D93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9F70D" w14:textId="77777777" w:rsidR="00251D93" w:rsidRPr="00251D93" w:rsidRDefault="00251D93" w:rsidP="00251D93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F0873" w14:textId="77777777" w:rsidR="00251D93" w:rsidRPr="00251D93" w:rsidRDefault="00251D93" w:rsidP="00251D93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8D923" w14:textId="77777777" w:rsidR="00251D93" w:rsidRPr="00251D93" w:rsidRDefault="00251D93" w:rsidP="00251D93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asiakirjaan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87A4A6CA-1044-445B-B7EA-58EF88D661EA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yssel "/>
    <w:docVar w:name="LW_EMISSION_SUFFIX" w:val=" "/>
    <w:docVar w:name="LW_ID_DOCTYPE_NONLW" w:val="CP-038"/>
    <w:docVar w:name="LW_LANGUE" w:val="FI"/>
    <w:docVar w:name="LW_LEVEL_OF_SENSITIVITY" w:val="Standard treatment"/>
    <w:docVar w:name="LW_NOM.INST" w:val="EUROOPAN KOMISSIO"/>
    <w:docVar w:name="LW_NOM.INST_JOINTDOC" w:val="&lt;EMPTY&gt;"/>
    <w:docVar w:name="LW_OBJETACTEPRINCIPAL.CP" w:val="&lt;FMT:Bold&gt;täytäntöönpanoasetuksessa (EU) 2024/3117 vahvistettujen teknisten täytäntöönpanostandardien muuttamisesta operatiivista riskiä koskevaan vakavaraisuusvalvontaan liittyvän raportoinnin osalta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LIITTEET_x000b_"/>
    <w:docVar w:name="LW_TYPEACTEPRINCIPAL.CP" w:val="KOMISSION TÄYTÄNTÖÖNPANOASETUS (EU) \u8230?/...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734E8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248AF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1D93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381A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869B4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07F5F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679B4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4F15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71E3BE-9276-4B6B-A25D-87541B025F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0C890-15D8-4E73-9344-9CAE3D183A44}"/>
</file>

<file path=customXml/itemProps3.xml><?xml version="1.0" encoding="utf-8"?>
<ds:datastoreItem xmlns:ds="http://schemas.openxmlformats.org/officeDocument/2006/customXml" ds:itemID="{28973746-0455-483C-A661-34AF7F93197B}"/>
</file>

<file path=customXml/itemProps4.xml><?xml version="1.0" encoding="utf-8"?>
<ds:datastoreItem xmlns:ds="http://schemas.openxmlformats.org/officeDocument/2006/customXml" ds:itemID="{072B4B10-0B72-4074-B528-4261ED86DA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13</cp:revision>
  <dcterms:created xsi:type="dcterms:W3CDTF">2025-10-20T16:56:00Z</dcterms:created>
  <dcterms:modified xsi:type="dcterms:W3CDTF">2025-12-02T09:12:00Z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