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6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5ED74" w14:textId="641F0A23" w:rsidR="00183684" w:rsidRDefault="00945A77" w:rsidP="00945A77">
      <w:pPr>
        <w:pStyle w:val="Pagedecouverture"/>
        <w:rPr>
          <w:noProof/>
        </w:rPr>
      </w:pPr>
      <w:bookmarkStart w:id="0" w:name="LW_BM_COVERPAGE"/>
      <w:r>
        <w:rPr>
          <w:noProof/>
        </w:rPr>
        <w:pict w14:anchorId="225980D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7CB829F8-5A8F-42BE-B17A-B7B337FB7B04" style="width:455.25pt;height:387pt">
            <v:imagedata r:id="rId8" o:title=""/>
          </v:shape>
        </w:pict>
      </w:r>
    </w:p>
    <w:bookmarkEnd w:id="0"/>
    <w:p w14:paraId="2041BB68" w14:textId="77777777" w:rsidR="00183684" w:rsidRDefault="00183684" w:rsidP="00183684">
      <w:pPr>
        <w:rPr>
          <w:noProof/>
        </w:rPr>
        <w:sectPr w:rsidR="00183684" w:rsidSect="00945A7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6273F622" w14:textId="11D89540" w:rsidR="00183684" w:rsidRPr="00183684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bookmarkStart w:id="1" w:name="_GoBack"/>
      <w:bookmarkEnd w:id="1"/>
      <w:r>
        <w:rPr>
          <w:noProof/>
        </w:rPr>
        <w:lastRenderedPageBreak/>
        <w:t xml:space="preserve">„C 16.01 – OPERAČNÍ RIZIKO – KAPITÁLOVÉ POŽADAVKY (OPR OF)“ </w:t>
      </w:r>
    </w:p>
    <w:tbl>
      <w:tblPr>
        <w:tblW w:w="14689" w:type="dxa"/>
        <w:tblInd w:w="118" w:type="dxa"/>
        <w:tblLook w:val="04A0" w:firstRow="1" w:lastRow="0" w:firstColumn="1" w:lastColumn="0" w:noHBand="0" w:noVBand="1"/>
      </w:tblPr>
      <w:tblGrid>
        <w:gridCol w:w="853"/>
        <w:gridCol w:w="4624"/>
        <w:gridCol w:w="1867"/>
        <w:gridCol w:w="2151"/>
        <w:gridCol w:w="1867"/>
        <w:gridCol w:w="1636"/>
        <w:gridCol w:w="1691"/>
      </w:tblGrid>
      <w:tr w:rsidR="00183684" w:rsidRPr="00183684" w14:paraId="39B0DD5F" w14:textId="77777777" w:rsidTr="00183684">
        <w:trPr>
          <w:trHeight w:val="533"/>
        </w:trPr>
        <w:tc>
          <w:tcPr>
            <w:tcW w:w="1468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567C9AD" w14:textId="77777777" w:rsidR="00183684" w:rsidRPr="00183684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40"/>
              </w:rPr>
              <w:t>C 16.01 – OPERAČNÍ RIZIKO – Kapitálové požadavky (OPR OF)</w:t>
            </w:r>
          </w:p>
        </w:tc>
      </w:tr>
      <w:tr w:rsidR="00183684" w:rsidRPr="00183684" w14:paraId="77EE1658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95216" w14:textId="77777777" w:rsidR="00183684" w:rsidRPr="00183684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F0842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CA5E4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4F478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374DC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10E2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F9CC5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83684" w:rsidRPr="00183684" w14:paraId="50ECD3B6" w14:textId="77777777" w:rsidTr="00183684">
        <w:trPr>
          <w:trHeight w:val="392"/>
        </w:trPr>
        <w:tc>
          <w:tcPr>
            <w:tcW w:w="54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03DC1393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14:paraId="2CE7AD9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Hodnota 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EFA723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FD4A79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1F0CA1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Kapitálové požadavky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343BF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Objem rizikové expozice</w:t>
            </w:r>
          </w:p>
        </w:tc>
      </w:tr>
      <w:tr w:rsidR="00183684" w:rsidRPr="00183684" w14:paraId="4DD3AA25" w14:textId="77777777" w:rsidTr="00183684">
        <w:trPr>
          <w:trHeight w:val="706"/>
        </w:trPr>
        <w:tc>
          <w:tcPr>
            <w:tcW w:w="5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2BF5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AF243DE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B227363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Z toho: úpravy kvůli fúzi/nabytí subjektů nebo činností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B191B3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(Úpravy kvůli pozbytí subjektů nebo činností)</w:t>
            </w:r>
          </w:p>
        </w:tc>
        <w:tc>
          <w:tcPr>
            <w:tcW w:w="16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F803A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292D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  <w:tr w:rsidR="00183684" w:rsidRPr="00183684" w14:paraId="2FBD4C5C" w14:textId="77777777" w:rsidTr="00183684">
        <w:trPr>
          <w:trHeight w:val="266"/>
        </w:trPr>
        <w:tc>
          <w:tcPr>
            <w:tcW w:w="5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31E97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2955D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CE9117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A0E87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03C1A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29E18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</w:tr>
      <w:tr w:rsidR="00183684" w:rsidRPr="00183684" w14:paraId="5C6CD7FA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7433C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4B182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Složka obchodního ukazatele a alternativní standardizovaný přístup (ASA)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EA9BB0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3636AA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7FF7FF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C94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6DF9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7BE2E415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A668A9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0A093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Obchodní ukazatel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14DF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7D5C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18BE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261483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91BD5B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57A8CD0F" w14:textId="77777777" w:rsidTr="00183684">
        <w:trPr>
          <w:trHeight w:val="389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54FD9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90EBA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Úroková, leasingová a dividendová složka (ILDC)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D848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198C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593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DF93E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33948C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CC2D01E" w14:textId="77777777" w:rsidTr="00183684">
        <w:trPr>
          <w:trHeight w:val="627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CF9417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70EF74" w14:textId="77777777" w:rsidR="00183684" w:rsidRPr="00183684" w:rsidRDefault="00183684" w:rsidP="00183684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ILDC ve vztahu k jednotlivé instituci / konsolidované skupině (vyjma subjektů uvedených v čl. 314 odst. 3)</w:t>
            </w:r>
            <w:r>
              <w:rPr>
                <w:rFonts w:ascii="Aptos Narrow" w:hAnsi="Aptos Narrow"/>
                <w:strike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EF85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AA82E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F6D2C5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A4ADD9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5230D5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2D1E7571" w14:textId="77777777" w:rsidTr="00183684">
        <w:trPr>
          <w:trHeight w:val="452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B6D3C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E6908C" w14:textId="77777777" w:rsidR="00183684" w:rsidRPr="00183684" w:rsidRDefault="00183684" w:rsidP="00183684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ILDC u subjektů uvedených v čl. 314 odst. 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400E3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BE2B68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80CCA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390A2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A48277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5598F44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8C43E6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158BD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Složka služeb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2CDA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7BCD6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105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u w:val="single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u w:val="single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82E49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687732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4B289287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D9CCF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99E2F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Finanční složka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534D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C3E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13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4FE676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ED1369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316C528C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8A240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95ECD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ASA podle čl. 314 odst. 4 (Retailové bankovnictví)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6AC30D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6DAE3E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664E98F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0DCF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70A4E5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0266A2C4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A790C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0090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6962C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ASA podle čl. 314 odst. 4 (Komerční bankovnictví)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BFE5EC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85E77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40D49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9220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55AAB3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38125427" w14:textId="77777777" w:rsidTr="00183684">
        <w:trPr>
          <w:trHeight w:val="941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7EE78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0100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8449CF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Doplňková položka</w:t>
            </w:r>
            <w:r>
              <w:rPr>
                <w:rFonts w:ascii="Aptos Narrow" w:hAnsi="Aptos Narrow"/>
                <w:noProof/>
                <w:color w:val="000000"/>
              </w:rPr>
              <w:t>: ILDC ve vztahu k jednotlivé instituci / konsolidované skupině (včetně subjektů uvedených v čl. 314 odst. 3)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0640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ADAA54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1047AB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E4FFE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38E0B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183684" w:rsidRPr="00183684" w14:paraId="72C86698" w14:textId="77777777" w:rsidTr="00183684">
        <w:trPr>
          <w:trHeight w:val="361"/>
        </w:trPr>
        <w:tc>
          <w:tcPr>
            <w:tcW w:w="14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32333D6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Další informace</w:t>
            </w:r>
          </w:p>
        </w:tc>
      </w:tr>
      <w:tr w:rsidR="00183684" w:rsidRPr="00183684" w14:paraId="7C84F98A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14D9EC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0110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F8DA3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Přístup použitý pro výpočet finanční složky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8BF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A7EFCE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4B989F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CEE3387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3B8C5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</w:tbl>
    <w:p w14:paraId="7154F990" w14:textId="77777777" w:rsidR="00183684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r>
        <w:rPr>
          <w:noProof/>
        </w:rPr>
        <w:t xml:space="preserve">„C 16.02 – OPERAČNÍ RIZIKO – Složka obchodního ukazatele (OPR BIC)“   </w:t>
      </w:r>
    </w:p>
    <w:tbl>
      <w:tblPr>
        <w:tblW w:w="14967" w:type="dxa"/>
        <w:tblInd w:w="118" w:type="dxa"/>
        <w:tblLook w:val="04A0" w:firstRow="1" w:lastRow="0" w:firstColumn="1" w:lastColumn="0" w:noHBand="0" w:noVBand="1"/>
      </w:tblPr>
      <w:tblGrid>
        <w:gridCol w:w="963"/>
        <w:gridCol w:w="3545"/>
        <w:gridCol w:w="1346"/>
        <w:gridCol w:w="1614"/>
        <w:gridCol w:w="1505"/>
        <w:gridCol w:w="1614"/>
        <w:gridCol w:w="1346"/>
        <w:gridCol w:w="1969"/>
        <w:gridCol w:w="1389"/>
        <w:gridCol w:w="304"/>
      </w:tblGrid>
      <w:tr w:rsidR="005F74E6" w:rsidRPr="005F74E6" w14:paraId="1F996140" w14:textId="77777777" w:rsidTr="005F74E6">
        <w:trPr>
          <w:gridAfter w:val="1"/>
          <w:wAfter w:w="374" w:type="dxa"/>
          <w:trHeight w:val="451"/>
        </w:trPr>
        <w:tc>
          <w:tcPr>
            <w:tcW w:w="1459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AD8F0C3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>C 16.02 – OPERAČNÍ RIZIKO – Složka obchodního ukazatele (OPR BIC)</w:t>
            </w:r>
          </w:p>
        </w:tc>
      </w:tr>
      <w:tr w:rsidR="005F74E6" w:rsidRPr="005F74E6" w14:paraId="782FFB66" w14:textId="77777777" w:rsidTr="005F74E6">
        <w:trPr>
          <w:gridAfter w:val="1"/>
          <w:wAfter w:w="374" w:type="dxa"/>
          <w:trHeight w:val="290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AA3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200C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11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B5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B4F8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5F1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66D2B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6B07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6E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EE76E87" w14:textId="77777777" w:rsidTr="005F74E6">
        <w:trPr>
          <w:gridAfter w:val="1"/>
          <w:wAfter w:w="374" w:type="dxa"/>
          <w:trHeight w:val="509"/>
        </w:trPr>
        <w:tc>
          <w:tcPr>
            <w:tcW w:w="450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884434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strike/>
                <w:noProof/>
                <w:sz w:val="24"/>
              </w:rPr>
              <w:t xml:space="preserve"> </w:t>
            </w:r>
          </w:p>
        </w:tc>
        <w:tc>
          <w:tcPr>
            <w:tcW w:w="2611" w:type="dxa"/>
            <w:gridSpan w:val="2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153C7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ROK –3</w:t>
            </w:r>
          </w:p>
        </w:tc>
        <w:tc>
          <w:tcPr>
            <w:tcW w:w="277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BD033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ROK –2</w:t>
            </w:r>
          </w:p>
        </w:tc>
        <w:tc>
          <w:tcPr>
            <w:tcW w:w="331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30022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LOŇSKÝ ROK</w:t>
            </w:r>
          </w:p>
        </w:tc>
        <w:tc>
          <w:tcPr>
            <w:tcW w:w="138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EA6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</w:tr>
      <w:tr w:rsidR="005F74E6" w:rsidRPr="005F74E6" w14:paraId="0FF37144" w14:textId="77777777" w:rsidTr="005F74E6">
        <w:trPr>
          <w:trHeight w:val="279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F87F80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11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1F25D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7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B5E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1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D0EE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1B21E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E23E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6FE6DBAF" w14:textId="77777777" w:rsidTr="005F74E6">
        <w:trPr>
          <w:trHeight w:val="1207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94D01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467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Účetní hodnota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7B649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Hodnota – přístup obezřetnostní hranice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CEEC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Účetní hodnota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62C05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Hodnota – přístup obezřetnostní hranice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AB25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Účetní hodnota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176A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Hodnota – přístup obezřetnostní hranice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660562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Průměrná hodnota</w:t>
            </w:r>
          </w:p>
        </w:tc>
        <w:tc>
          <w:tcPr>
            <w:tcW w:w="304" w:type="dxa"/>
            <w:vAlign w:val="center"/>
            <w:hideMark/>
          </w:tcPr>
          <w:p w14:paraId="08D509D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8694F87" w14:textId="77777777" w:rsidTr="005F74E6">
        <w:trPr>
          <w:trHeight w:val="290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686C855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C00CD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B880A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C28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D8E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133F5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0D56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2B7952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304" w:type="dxa"/>
            <w:vAlign w:val="center"/>
            <w:hideMark/>
          </w:tcPr>
          <w:p w14:paraId="67E0DC1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4470681" w14:textId="77777777" w:rsidTr="005F74E6">
        <w:trPr>
          <w:trHeight w:val="68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B1CC5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0010–0210</w:t>
            </w:r>
          </w:p>
        </w:tc>
        <w:tc>
          <w:tcPr>
            <w:tcW w:w="12241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59D99E8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1. Úroková, leasingová a dividendová složka (ILDC)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CA3587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74" w:type="dxa"/>
            <w:vAlign w:val="center"/>
            <w:hideMark/>
          </w:tcPr>
          <w:p w14:paraId="71869D2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319CC17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D1651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289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Úroková složka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C18DF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FC1D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6BA2F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583D2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2F674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99BB4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34EC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7E18E3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4E7BCE0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76E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2C95" w14:textId="77777777" w:rsidR="005F74E6" w:rsidRPr="005F74E6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Čisté výnosy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429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4E963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AE9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68E02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229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76EBD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F41944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1E2627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9DD66C3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45DB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F66393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Úrokové výnosy (včetně výnosů z pronajatých aktiv (finanční a operativní leasing))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05D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89257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02F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74B0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231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BB86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0DCEE3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6AB04A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9A6DBF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BC0B4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0869E0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Úrokové výnosy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25EC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8A350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07A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FDB72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7E97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758B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85ADF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16F65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BBA2AC1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507D0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D937AC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Výnosy z pronajatých aktiv (finanční a operativní leasing) jiné než úrokové výnosy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96D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1F5BE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66C7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4CC5A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C9F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BEFB1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DB2C26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DD97DC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B70E84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071F8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5264BA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Zisky z pronajatých aktiv (finanční a operativní leasing)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EFAC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16870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69A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A384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205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6B67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17480C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D7D4F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D317FDE" w14:textId="77777777" w:rsidTr="005F74E6">
        <w:trPr>
          <w:trHeight w:val="68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8BE5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E3D314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Úrokové náklady (včetně nákladů na pronajatá aktiva (finanční a operativní leasing))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770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548D2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044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2CEB9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6F6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2BC2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DCAA83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2A348E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A9CACC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03445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7C2C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(Úrokové náklady)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5713D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35EF0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A0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E6B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576D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CE6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C4F8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071D8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035FC27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9C57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C59AD7" w14:textId="74770FC2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(Náklady na aktiva pronajatá v rámci operativního leasingu jiné než úrokové náklady)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1E9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D7E8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C90F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1E78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64A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605EB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F1F58D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0A11F2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D06D4E3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17593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C61575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(Ztráty z aktiv pronajatých v rámci operativního leasingu)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31DCC1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EEBB3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921F47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6B3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F02E83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514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3664C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689BC3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7053CB9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1DDC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4723C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Složka aktiv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400D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108A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A5DA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B898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BB925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E9F5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F1E3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DE78C7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B3CD2AB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F770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6C2D9" w14:textId="77777777" w:rsidR="005F74E6" w:rsidRPr="005F74E6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Aktiva celkem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DB3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F30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E80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6DC29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F77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F87D8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EF5649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720AA9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A235704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6AE15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5357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Hotovost u centrálních bank a ostatní vklady na požádání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12C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F80E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0D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E67B1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47D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2BF47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4D72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43D2E3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BAA649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CDF6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98E90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Dluhové cenné papíry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F3F8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3239C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F421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F81C9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ABD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08FD5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BEAFE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7139A63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FAB44A2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E2FD1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CA61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Úvěry a zálohy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AF58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E7C77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B194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65DA3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0470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614DA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ECDA6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783A058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C2ECB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74CD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0160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4843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Deriváty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3ED3D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30E7C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93E2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1204C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4ED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D7133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909990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04045D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D56A8D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0106F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0170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338A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Obchodovatelné a ekonomické zajištění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3F2E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:u w:val="single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  <w:sz w:val="18"/>
                <w:u w:val="single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A948A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4066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85926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F3B9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AEAB9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FFA54A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18DF0A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2B80F7B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97F5F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68A9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Zajišťovací účetnictví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00A5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CA6C1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0EA0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3EA8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36F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A898A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0F6694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832DF9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B5B7285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6859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3278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Aktiva v leasingu</w:t>
            </w: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FCD0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027B8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993D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B9F9A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0F6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D7CD0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8E1E4A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D0EC9AB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E7A8DF7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454A8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302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Dividendová složka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6CE4D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328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82E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9004D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1637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646D9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D8C2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A87956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6FA72BD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A533D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9E4B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Výnosy z dividend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8A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7CEF6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757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BF418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B61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F2F5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23B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265D07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8035092" w14:textId="77777777" w:rsidTr="005F74E6">
        <w:trPr>
          <w:trHeight w:val="451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110A7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0220–0360</w:t>
            </w:r>
          </w:p>
        </w:tc>
        <w:tc>
          <w:tcPr>
            <w:tcW w:w="13630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705603D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2. Složka služeb</w:t>
            </w:r>
          </w:p>
        </w:tc>
        <w:tc>
          <w:tcPr>
            <w:tcW w:w="374" w:type="dxa"/>
            <w:vAlign w:val="center"/>
            <w:hideMark/>
          </w:tcPr>
          <w:p w14:paraId="244A0DE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9FF7FDD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36D7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0220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765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Ostatní provozní výnosy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5660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0B0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B9988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1D9D0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1F016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855B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D84F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9B32E2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7F4DA27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D9235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9E12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Ostatní provozní výnosy od členů patřících do téhož institucionálního systému ochrany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F8F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C639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9DE9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C111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132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3350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1C71F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F205F4D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354178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61D8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E6F5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Zisk z dlouhodobých aktiv a vyřazovaných skupin, které jsou klasifikovány jako určené k prodeji a nesplňují podmínky pro ukončované činnosti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847E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7B4F5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C86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D8BA5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F7B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C01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22D8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6E5E2A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5A9D7A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1D446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ED66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Ostatní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602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9BD3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4D7C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D5F1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863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212C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E81C5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492FAB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410F74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C449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9C02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(Ostatní provozní náklady)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68EB2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11ABE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D99D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0462F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547F1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9D1A8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09B1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7119C11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EA6043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EC397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3532" w14:textId="213552F3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(Ostatní provozní náklady vyplacené členům patřícím do téhož institucionálního systému ochrany)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38F4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6BDD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A5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2A464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641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9D5D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D09354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54D399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FDEF9B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FC364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A1CA7" w14:textId="1370851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(Celkové ztráty, náklady, rezervy a jiné finanční dopady v důsledku událostí operačního rizika)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FF9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003F2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333C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652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2FF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267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2BD16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B17FAD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4D70456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DDE9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CAB9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(Ztráty z dlouhodobých aktiv a vyřazovaných skupin, které jsou klasifikovány jako určené k prodeji a nesplňují podmínky pro ukončované činnosti)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A16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0F855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742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81434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DFD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81230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329C1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3EB4C3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1607A23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CE3F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0AD3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(Ostatní)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013D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9550F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F8F8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24E0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7C1B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8FC12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AF0F0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848F15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0EA48EF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3A8C8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C0A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Složka výnosů z poplatků a provizí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E86CD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A42C3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4188C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29471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98D61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59BB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03A2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3737F6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852D64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FCE87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0FF3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Výnosy z poplatků a provizí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94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1C27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C224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2B90E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2AD9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AAFC4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9D425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6F075B9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29447C6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4256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F406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Z toho: od členů patřících do téhož institucionálního systému ochrany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D84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12E3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AE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9F988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1B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50C0B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7FF02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D0276C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DB408FA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9264B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04E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(Složka nákladů na poplatky a provize)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7F4F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1377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D39A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E9C3D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BFE7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E7E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D17C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545B16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2A61A2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C90DA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874D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(Náklady na poplatky a provize)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C615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8E8A8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A9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D581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9081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4840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BDBBEC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831DE4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016536F" w14:textId="77777777" w:rsidTr="005F74E6">
        <w:trPr>
          <w:trHeight w:val="305"/>
        </w:trPr>
        <w:tc>
          <w:tcPr>
            <w:tcW w:w="96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F02AA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0360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990C" w14:textId="058FC2AE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(Z toho: vyplacené členům patřícím do téhož institucionálního systému ochrany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1A4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F2FDF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618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F6B2B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3952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BEE2E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8BC6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C533B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FB1EB38" w14:textId="77777777" w:rsidTr="005F74E6">
        <w:trPr>
          <w:trHeight w:val="451"/>
        </w:trPr>
        <w:tc>
          <w:tcPr>
            <w:tcW w:w="9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638BA3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0370–0480</w:t>
            </w:r>
          </w:p>
        </w:tc>
        <w:tc>
          <w:tcPr>
            <w:tcW w:w="1363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EFC740E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3. Finanční složka</w:t>
            </w:r>
          </w:p>
        </w:tc>
        <w:tc>
          <w:tcPr>
            <w:tcW w:w="374" w:type="dxa"/>
            <w:vAlign w:val="center"/>
            <w:hideMark/>
          </w:tcPr>
          <w:p w14:paraId="35FD40F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488BD40" w14:textId="77777777" w:rsidTr="005F74E6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9992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0370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A97FB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Složka obchodního portfolia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C557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1B8C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0B55E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C73E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27936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4FA5A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29E1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5C8699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04EAA5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D0F47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B6F3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Čistý zisk nebo (–) ztráta vztahující se na obchodní portfolio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5ED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4704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896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8D0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04AB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FF34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DA5A51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6BC492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236EC4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EAAC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AD2AC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Čisté zisky nebo (–) ztráty z finančních aktiv a závazků určených k obchodování nebo z obchodování finančních aktiv a závazků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D20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EDB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CA7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6258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A6DE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7412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EBA0A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880046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27442A9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12D3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9D89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Obchodní portfolio – Čisté zisky nebo (–) ztráty ze zajišťovacího účetnictví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E71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87C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8CC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D945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B6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691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433007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33A595E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8C6A645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2E50B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72E6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Obchodní portfolio – Čisté kurzové rozdíly [zisk nebo (–) ztráta]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AE5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B9D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473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8494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8CF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C23C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435CA3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E9C2F1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F20388E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E5920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5AF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Složka investičního portfolia 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F1F3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09D9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F6C93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9176E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8C544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8A6DD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43AC7" w14:textId="77777777" w:rsidR="005F74E6" w:rsidRPr="005F74E6" w:rsidRDefault="005F74E6" w:rsidP="005F74E6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E6FB92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B93A451" w14:textId="77777777" w:rsidTr="005F74E6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26A2C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D4F4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Čistý zisk nebo (–) ztráta vztahující se na investiční portfolio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98FF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1C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BF6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3A5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4F6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6CCE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AEF4B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0EDBDB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760D68A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138FE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F1B3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Čisté zisky nebo (–) ztráty z odúčtování finančních aktiv a závazků neoceňovaných reálnou hodnotou do zisku nebo ztráty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5D3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8E5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FE7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5168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454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5C2B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56C9AB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4279027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0BF410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134C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A845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Čisté zisky nebo (-) ztráty z neobchodních finančních aktiv povinně oceňovaných reálnou hodnotou do zisku nebo ztráty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11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727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48F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2982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06B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6C8A5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7DC342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05C9068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6C965C" w14:textId="77777777" w:rsidTr="005F74E6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9EB1D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C559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Čisté zisky nebo (–) ztráty z finančních aktiv a závazků oceňovaných reálnou hodnotou do zisku nebo ztráty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84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ACF0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F4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B64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A14F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23625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E24060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17090E0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DE632A" w14:textId="77777777" w:rsidTr="005F74E6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D1238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1521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Investiční portfolio – Čisté zisky nebo (–) ztráty ze zajišťovacího účetnictví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38A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A01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885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351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8CA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2AFF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335686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52F310F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4C5F368" w14:textId="77777777" w:rsidTr="005F74E6">
        <w:trPr>
          <w:trHeight w:val="451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8F2C2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E115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Investiční portfolio – Čisté kurzové rozdíly [zisk nebo (–) ztráta]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961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5B7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571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422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B7B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3C00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C19A0E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304" w:type="dxa"/>
            <w:vAlign w:val="center"/>
            <w:hideMark/>
          </w:tcPr>
          <w:p w14:paraId="2E3DD29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068939D" w14:textId="77777777" w:rsidR="00CE5CDC" w:rsidRDefault="00CE5CDC">
      <w:pPr>
        <w:rPr>
          <w:rFonts w:ascii="Times New Roman" w:hAnsi="Times New Roman" w:cs="Times New Roman"/>
          <w:noProof/>
          <w:kern w:val="0"/>
          <w:sz w:val="24"/>
        </w:rPr>
      </w:pPr>
      <w:r>
        <w:rPr>
          <w:noProof/>
        </w:rPr>
        <w:br w:type="page"/>
      </w:r>
    </w:p>
    <w:p w14:paraId="374724F2" w14:textId="1F836FE6" w:rsidR="00183684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</w:rPr>
      </w:pPr>
      <w:r>
        <w:rPr>
          <w:noProof/>
        </w:rPr>
        <w:t xml:space="preserve">„C 16.03 – ROZČLENĚNÍ OPERAČNÍHO RIZIKA (OPR BD) – Ztráty, náklady, rezervy a jiné finanční dopady vyplývající z událostí operačního rizika“ </w:t>
      </w:r>
    </w:p>
    <w:tbl>
      <w:tblPr>
        <w:tblW w:w="14659" w:type="dxa"/>
        <w:tblInd w:w="118" w:type="dxa"/>
        <w:tblLook w:val="04A0" w:firstRow="1" w:lastRow="0" w:firstColumn="1" w:lastColumn="0" w:noHBand="0" w:noVBand="1"/>
      </w:tblPr>
      <w:tblGrid>
        <w:gridCol w:w="858"/>
        <w:gridCol w:w="7347"/>
        <w:gridCol w:w="2109"/>
        <w:gridCol w:w="2145"/>
        <w:gridCol w:w="2003"/>
        <w:gridCol w:w="222"/>
      </w:tblGrid>
      <w:tr w:rsidR="005F74E6" w:rsidRPr="005F74E6" w14:paraId="410C3F86" w14:textId="77777777" w:rsidTr="005F74E6">
        <w:trPr>
          <w:gridAfter w:val="1"/>
          <w:wAfter w:w="197" w:type="dxa"/>
          <w:trHeight w:val="509"/>
        </w:trPr>
        <w:tc>
          <w:tcPr>
            <w:tcW w:w="144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2EE0A4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>C 16.03 – ROZČLENĚNÍ OPERAČNÍHO RIZIKA (OPR BD) – Ztráty, náklady, rezervy a jiné finanční dopady vyplývající z událostí operačního rizika</w:t>
            </w:r>
          </w:p>
        </w:tc>
      </w:tr>
      <w:tr w:rsidR="005F74E6" w:rsidRPr="005F74E6" w14:paraId="665D06AE" w14:textId="77777777" w:rsidTr="005F74E6">
        <w:trPr>
          <w:gridAfter w:val="1"/>
          <w:wAfter w:w="197" w:type="dxa"/>
          <w:trHeight w:val="525"/>
        </w:trPr>
        <w:tc>
          <w:tcPr>
            <w:tcW w:w="82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D60584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6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4268F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Účetní hodnota</w:t>
            </w:r>
          </w:p>
        </w:tc>
      </w:tr>
      <w:tr w:rsidR="005F74E6" w:rsidRPr="005F74E6" w14:paraId="2A7E0ABB" w14:textId="77777777" w:rsidTr="005F74E6">
        <w:trPr>
          <w:gridAfter w:val="1"/>
          <w:wAfter w:w="198" w:type="dxa"/>
          <w:trHeight w:val="509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63CD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E8F91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ROK –3</w:t>
            </w:r>
          </w:p>
        </w:tc>
        <w:tc>
          <w:tcPr>
            <w:tcW w:w="2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A7EFC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ROK –2</w:t>
            </w:r>
          </w:p>
        </w:tc>
        <w:tc>
          <w:tcPr>
            <w:tcW w:w="2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A6364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LOŇSKÝ ROK</w:t>
            </w:r>
          </w:p>
        </w:tc>
      </w:tr>
      <w:tr w:rsidR="005F74E6" w:rsidRPr="005F74E6" w14:paraId="1B4F87F1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E6AD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C22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70CC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2966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17C6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39CD33E2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EE55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503A2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D4C3D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68D8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98" w:type="dxa"/>
            <w:vAlign w:val="center"/>
            <w:hideMark/>
          </w:tcPr>
          <w:p w14:paraId="6B55132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5689CE4" w14:textId="77777777" w:rsidTr="005F74E6">
        <w:trPr>
          <w:trHeight w:val="842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04C483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>0010–0080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97BE52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>Ztráty, náklady, rezervy a jiné finanční dopady v důsledku událostí operačního rizika: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42F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70977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6EFA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C81AA2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C970157" w14:textId="77777777" w:rsidTr="005F74E6">
        <w:trPr>
          <w:trHeight w:val="506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5795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0010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9059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(Úrokové náklady)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C997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7DF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7A7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8B400F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8207B1A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1B443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E0A0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(Ostatní provozní náklady)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FE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37F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BDA3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355F67D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82CA27F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F6AE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5E03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(Správní náklady)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6C1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45D6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017E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6050D5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9B5A6D6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2A61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ADD4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(Odpisy v důsledku událostí operačního rizika)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EE1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BC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E93E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195DACA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1AF5C9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CE389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7C7B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(Rezervy nebo (–) reverzace rezerv)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A634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B0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154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1A54A2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601D03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5419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07D6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(Znehodnocení nebo (–) reverzace ztráty ze znehodnocení)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1681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3CC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D40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6C225D3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8E81EC4" w14:textId="77777777" w:rsidTr="005F74E6">
        <w:trPr>
          <w:trHeight w:val="46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4608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864C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(Ostatní)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5113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2B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A9E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5084FCE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452A4E2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F0F2B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07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24"/>
              </w:rPr>
              <w:t>(Celkem)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2C3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AF6C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09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6610D9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7BB65B3" w14:textId="77777777" w:rsidR="00183684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10B9D44D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0A013A7D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2A7C81B4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7F49812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A8A4660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49E86E0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B39473D" w14:textId="77777777" w:rsidR="00183684" w:rsidRPr="00F638A5" w:rsidRDefault="00183684" w:rsidP="00183684">
      <w:pPr>
        <w:pStyle w:val="Point0number"/>
        <w:numPr>
          <w:ilvl w:val="0"/>
          <w:numId w:val="0"/>
        </w:numPr>
        <w:rPr>
          <w:noProof/>
        </w:rPr>
      </w:pPr>
      <w:r>
        <w:rPr>
          <w:noProof/>
        </w:rPr>
        <w:t xml:space="preserve">„C 16.04 – OPERAČNÍ RIZIKO – Informace o dceřiných společnostech, na něž se vztahuje čl. 314 odst. 3 nařízení o kapitálových požadavcích“ </w:t>
      </w:r>
    </w:p>
    <w:tbl>
      <w:tblPr>
        <w:tblW w:w="14400" w:type="dxa"/>
        <w:tblInd w:w="118" w:type="dxa"/>
        <w:tblLook w:val="04A0" w:firstRow="1" w:lastRow="0" w:firstColumn="1" w:lastColumn="0" w:noHBand="0" w:noVBand="1"/>
      </w:tblPr>
      <w:tblGrid>
        <w:gridCol w:w="1535"/>
        <w:gridCol w:w="1242"/>
        <w:gridCol w:w="1142"/>
        <w:gridCol w:w="1044"/>
        <w:gridCol w:w="1157"/>
        <w:gridCol w:w="945"/>
        <w:gridCol w:w="1238"/>
        <w:gridCol w:w="228"/>
        <w:gridCol w:w="1142"/>
        <w:gridCol w:w="1044"/>
        <w:gridCol w:w="1157"/>
        <w:gridCol w:w="1849"/>
        <w:gridCol w:w="677"/>
      </w:tblGrid>
      <w:tr w:rsidR="005F74E6" w:rsidRPr="005F74E6" w14:paraId="0BFF8233" w14:textId="77777777" w:rsidTr="0033148A">
        <w:trPr>
          <w:gridAfter w:val="5"/>
          <w:wAfter w:w="5869" w:type="dxa"/>
          <w:trHeight w:val="382"/>
        </w:trPr>
        <w:tc>
          <w:tcPr>
            <w:tcW w:w="83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8D90B7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24"/>
              </w:rPr>
              <w:t>C 16.04 – OPERAČNÍ RIZIKO – Informace o dceřiných společnostech, na něž se vztahuje čl. 314 odst. 3 nařízení o kapitálových požadavcích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FF7B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  <w:tr w:rsidR="005F74E6" w:rsidRPr="005F74E6" w14:paraId="3631BD43" w14:textId="77777777" w:rsidTr="0033148A">
        <w:trPr>
          <w:trHeight w:val="364"/>
        </w:trPr>
        <w:tc>
          <w:tcPr>
            <w:tcW w:w="83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29A0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B943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12EF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635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ECF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D2E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56AD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75A057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67B6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9AE09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653E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AD7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3B0C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27FC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C4D2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DD6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74331DE" w14:textId="77777777" w:rsidTr="0033148A">
        <w:trPr>
          <w:gridAfter w:val="5"/>
          <w:wAfter w:w="5873" w:type="dxa"/>
          <w:trHeight w:val="635"/>
        </w:trPr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952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 xml:space="preserve"> 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12E0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Název právnické osoby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334CC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Kód LEI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1441B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ILDC 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2A96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IC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ECBC7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AC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070E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DC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B26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2FD13391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CEA7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AADE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DF08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21A35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41F1F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AC71E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5C87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7DC0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99E4314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4038B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9203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63E81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A44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3AB63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2BC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A69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26DE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56BDB33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8037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hAnsi="Verdana"/>
                <w:noProof/>
                <w:sz w:val="20"/>
              </w:rPr>
              <w:t>Řádky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0815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FE22C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89B74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866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894D1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5F89A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1AA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5BE43D8F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FEE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hAnsi="Verdana"/>
                <w:noProof/>
                <w:sz w:val="20"/>
              </w:rPr>
              <w:t>…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D9C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69CC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774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2AC3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EC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ED8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8E9F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</w:tbl>
    <w:p w14:paraId="1417EF13" w14:textId="618A0670" w:rsidR="00E240EE" w:rsidRDefault="00E240EE">
      <w:pPr>
        <w:rPr>
          <w:noProof/>
        </w:rPr>
      </w:pPr>
    </w:p>
    <w:sectPr w:rsidR="00E240EE" w:rsidSect="0018368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993" w:right="820" w:bottom="1134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3A096E" w14:textId="77777777" w:rsidR="006E02F4" w:rsidRDefault="006E02F4" w:rsidP="00183684">
      <w:pPr>
        <w:spacing w:after="0" w:line="240" w:lineRule="auto"/>
      </w:pPr>
      <w:r>
        <w:separator/>
      </w:r>
    </w:p>
  </w:endnote>
  <w:endnote w:type="continuationSeparator" w:id="0">
    <w:p w14:paraId="266AF35A" w14:textId="77777777" w:rsidR="006E02F4" w:rsidRDefault="006E02F4" w:rsidP="00183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FF9260" w14:textId="4AF82DB3" w:rsidR="00945A77" w:rsidRPr="00945A77" w:rsidRDefault="00945A77" w:rsidP="00945A77">
    <w:pPr>
      <w:pStyle w:val="FooterCoverPage"/>
      <w:rPr>
        <w:rFonts w:ascii="Arial" w:hAnsi="Arial" w:cs="Arial"/>
        <w:b/>
        <w:sz w:val="48"/>
      </w:rPr>
    </w:pPr>
    <w:r w:rsidRPr="00945A77">
      <w:rPr>
        <w:rFonts w:ascii="Arial" w:hAnsi="Arial" w:cs="Arial"/>
        <w:b/>
        <w:sz w:val="48"/>
      </w:rPr>
      <w:t>CS</w:t>
    </w:r>
    <w:r w:rsidRPr="00945A77">
      <w:rPr>
        <w:rFonts w:ascii="Arial" w:hAnsi="Arial" w:cs="Arial"/>
        <w:b/>
        <w:sz w:val="48"/>
      </w:rPr>
      <w:tab/>
    </w:r>
    <w:r w:rsidRPr="00945A77">
      <w:rPr>
        <w:rFonts w:ascii="Arial" w:hAnsi="Arial" w:cs="Arial"/>
        <w:b/>
        <w:sz w:val="48"/>
      </w:rPr>
      <w:tab/>
    </w:r>
    <w:r w:rsidRPr="00945A77">
      <w:tab/>
    </w:r>
    <w:r w:rsidRPr="00945A77">
      <w:rPr>
        <w:rFonts w:ascii="Arial" w:hAnsi="Arial" w:cs="Arial"/>
        <w:b/>
        <w:sz w:val="48"/>
      </w:rPr>
      <w:t>CS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FA97AA" w14:textId="6131236C" w:rsidR="00945A77" w:rsidRPr="00945A77" w:rsidRDefault="00945A77" w:rsidP="00945A77">
    <w:pPr>
      <w:pStyle w:val="FooterCoverPage"/>
      <w:rPr>
        <w:rFonts w:ascii="Arial" w:hAnsi="Arial" w:cs="Arial"/>
        <w:b/>
        <w:sz w:val="48"/>
      </w:rPr>
    </w:pPr>
    <w:r w:rsidRPr="00945A77">
      <w:rPr>
        <w:rFonts w:ascii="Arial" w:hAnsi="Arial" w:cs="Arial"/>
        <w:b/>
        <w:sz w:val="48"/>
      </w:rPr>
      <w:t>CS</w:t>
    </w:r>
    <w:r w:rsidRPr="00945A77">
      <w:rPr>
        <w:rFonts w:ascii="Arial" w:hAnsi="Arial" w:cs="Arial"/>
        <w:b/>
        <w:sz w:val="48"/>
      </w:rPr>
      <w:tab/>
    </w:r>
    <w:r w:rsidRPr="00945A77">
      <w:rPr>
        <w:rFonts w:ascii="Arial" w:hAnsi="Arial" w:cs="Arial"/>
        <w:b/>
        <w:sz w:val="48"/>
      </w:rPr>
      <w:tab/>
    </w:r>
    <w:r w:rsidRPr="00945A77">
      <w:tab/>
    </w:r>
    <w:r w:rsidRPr="00945A77">
      <w:rPr>
        <w:rFonts w:ascii="Arial" w:hAnsi="Arial" w:cs="Arial"/>
        <w:b/>
        <w:sz w:val="48"/>
      </w:rPr>
      <w:t>CS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83B1DD" w14:textId="77777777" w:rsidR="00945A77" w:rsidRPr="00945A77" w:rsidRDefault="00945A77" w:rsidP="00945A77">
    <w:pPr>
      <w:pStyle w:val="FooterCover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1F728" w14:textId="77777777" w:rsidR="00183684" w:rsidRDefault="0018368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52547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0A80C1" w14:textId="4752E56E" w:rsidR="006D6F8B" w:rsidRDefault="006D6F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5A77">
          <w:rPr>
            <w:noProof/>
          </w:rPr>
          <w:t>1</w:t>
        </w:r>
        <w:r>
          <w:fldChar w:fldCharType="end"/>
        </w:r>
      </w:p>
    </w:sdtContent>
  </w:sdt>
  <w:p w14:paraId="56928DED" w14:textId="77777777" w:rsidR="00183684" w:rsidRDefault="0018368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0C71B" w14:textId="77777777" w:rsidR="00183684" w:rsidRDefault="001836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4659D" w14:textId="77777777" w:rsidR="006E02F4" w:rsidRDefault="006E02F4" w:rsidP="00183684">
      <w:pPr>
        <w:spacing w:after="0" w:line="240" w:lineRule="auto"/>
      </w:pPr>
      <w:r>
        <w:separator/>
      </w:r>
    </w:p>
  </w:footnote>
  <w:footnote w:type="continuationSeparator" w:id="0">
    <w:p w14:paraId="28EF011D" w14:textId="77777777" w:rsidR="006E02F4" w:rsidRDefault="006E02F4" w:rsidP="00183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486FE" w14:textId="77777777" w:rsidR="00945A77" w:rsidRPr="00945A77" w:rsidRDefault="00945A77" w:rsidP="00945A77">
    <w:pPr>
      <w:pStyle w:val="HeaderCoverPag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42710" w14:textId="77777777" w:rsidR="00945A77" w:rsidRPr="00945A77" w:rsidRDefault="00945A77" w:rsidP="00945A77">
    <w:pPr>
      <w:pStyle w:val="HeaderCoverPag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3DEBA2" w14:textId="77777777" w:rsidR="00945A77" w:rsidRPr="00945A77" w:rsidRDefault="00945A77" w:rsidP="00945A77">
    <w:pPr>
      <w:pStyle w:val="HeaderCoverPag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5014B" w14:textId="77777777" w:rsidR="00183684" w:rsidRDefault="0018368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F3502" w14:textId="77777777" w:rsidR="00183684" w:rsidRDefault="0018368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D9503" w14:textId="77777777" w:rsidR="00183684" w:rsidRDefault="001836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markup="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DocStatus" w:val="Green"/>
    <w:docVar w:name="LW_ACCOMPAGNANT.CP" w:val="  "/>
    <w:docVar w:name="LW_ANNEX_NBR_FIRST" w:val="1"/>
    <w:docVar w:name="LW_ANNEX_NBR_LAST" w:val="1"/>
    <w:docVar w:name="LW_ANNEX_UNIQUE" w:val="1"/>
    <w:docVar w:name="LW_CORRIGENDUM" w:val="&lt;UNUSED&gt;"/>
    <w:docVar w:name="LW_COVERPAGE_EXISTS" w:val="True"/>
    <w:docVar w:name="LW_COVERPAGE_GUID" w:val="7CB829F8-5A8F-42BE-B17A-B7B337FB7B04"/>
    <w:docVar w:name="LW_COVERPAGE_TYPE" w:val="1"/>
    <w:docVar w:name="LW_CROSSREFERENCE" w:val="&lt;UNUSED&gt;"/>
    <w:docVar w:name="LW_DocType" w:val="NORMAL"/>
    <w:docVar w:name="LW_EMISSION" w:val="8.12.2025"/>
    <w:docVar w:name="LW_EMISSION_ISODATE" w:val="2025-12-08"/>
    <w:docVar w:name="LW_EMISSION_LOCATION" w:val="BRX"/>
    <w:docVar w:name="LW_EMISSION_PREFIX" w:val="V Bruselu dne "/>
    <w:docVar w:name="LW_EMISSION_SUFFIX" w:val=" "/>
    <w:docVar w:name="LW_ID_DOCTYPE_NONLW" w:val="CP-038"/>
    <w:docVar w:name="LW_LANGUE" w:val="CS"/>
    <w:docVar w:name="LW_LEVEL_OF_SENSITIVITY" w:val="Standard treatment"/>
    <w:docVar w:name="LW_NOM.INST" w:val="EVROPSKÁ KOMISE"/>
    <w:docVar w:name="LW_NOM.INST_JOINTDOC" w:val="&lt;EMPTY&gt;"/>
    <w:docVar w:name="LW_OBJETACTEPRINCIPAL.CP" w:val="&lt;FMT:Bold&gt;kterým &lt;/FMT&gt;se m\u283?ní provád\u283?cí technické normy stanovené v provád\u283?cím na\u345?ízení (EU) 2024/3117, pokud jde o podávání zpráv institucí pro ú\u269?ely dohledu v souvislosti s opera\u269?ním rizikem_x000b_"/>
    <w:docVar w:name="LW_PART_NBR" w:val="1"/>
    <w:docVar w:name="LW_PART_NBR_TOTAL" w:val="1"/>
    <w:docVar w:name="LW_REF.INST.NEW" w:val="C"/>
    <w:docVar w:name="LW_REF.INST.NEW_ADOPTED" w:val="final"/>
    <w:docVar w:name="LW_REF.INST.NEW_TEXT" w:val="(2025) 8378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.CP" w:val="P\u344?ÍLOHA_x000b_"/>
    <w:docVar w:name="LW_TYPEACTEPRINCIPAL.CP" w:val="PROVÁD\u282?CÍHO NA\u344?ÍZENÍ KOMISE (EU) \u8230?/...,"/>
    <w:docVar w:name="LwApiVersions" w:val="LW4CoDe 1.24.5.0; LW 9.2, Build 20251112"/>
  </w:docVars>
  <w:rsids>
    <w:rsidRoot w:val="00183684"/>
    <w:rsid w:val="0000714A"/>
    <w:rsid w:val="00015B9D"/>
    <w:rsid w:val="00026705"/>
    <w:rsid w:val="0004095C"/>
    <w:rsid w:val="000442C3"/>
    <w:rsid w:val="000468CF"/>
    <w:rsid w:val="000501D0"/>
    <w:rsid w:val="00056211"/>
    <w:rsid w:val="00057928"/>
    <w:rsid w:val="00062A28"/>
    <w:rsid w:val="00070336"/>
    <w:rsid w:val="00070580"/>
    <w:rsid w:val="000934EF"/>
    <w:rsid w:val="000A42C6"/>
    <w:rsid w:val="000B271F"/>
    <w:rsid w:val="000B7C71"/>
    <w:rsid w:val="000C3B1C"/>
    <w:rsid w:val="000D1F54"/>
    <w:rsid w:val="000D32E6"/>
    <w:rsid w:val="000E378E"/>
    <w:rsid w:val="000F489E"/>
    <w:rsid w:val="00100BA6"/>
    <w:rsid w:val="00102ADD"/>
    <w:rsid w:val="00110E94"/>
    <w:rsid w:val="0011401E"/>
    <w:rsid w:val="001174B9"/>
    <w:rsid w:val="001244B4"/>
    <w:rsid w:val="00131C88"/>
    <w:rsid w:val="0013626C"/>
    <w:rsid w:val="00136683"/>
    <w:rsid w:val="00152F33"/>
    <w:rsid w:val="0016166A"/>
    <w:rsid w:val="00163262"/>
    <w:rsid w:val="001668F4"/>
    <w:rsid w:val="00173A08"/>
    <w:rsid w:val="00183684"/>
    <w:rsid w:val="0019388B"/>
    <w:rsid w:val="001A38DC"/>
    <w:rsid w:val="001A6180"/>
    <w:rsid w:val="001B7D64"/>
    <w:rsid w:val="001C01BD"/>
    <w:rsid w:val="001C2205"/>
    <w:rsid w:val="001C6D5A"/>
    <w:rsid w:val="001D265C"/>
    <w:rsid w:val="001D42C8"/>
    <w:rsid w:val="001D5297"/>
    <w:rsid w:val="001D6647"/>
    <w:rsid w:val="001E0FE2"/>
    <w:rsid w:val="001F1D4D"/>
    <w:rsid w:val="001F2BC0"/>
    <w:rsid w:val="00206BA7"/>
    <w:rsid w:val="002101EA"/>
    <w:rsid w:val="00212768"/>
    <w:rsid w:val="00214E86"/>
    <w:rsid w:val="002208C3"/>
    <w:rsid w:val="002314D6"/>
    <w:rsid w:val="0024237A"/>
    <w:rsid w:val="00242E49"/>
    <w:rsid w:val="00243040"/>
    <w:rsid w:val="0024328F"/>
    <w:rsid w:val="00243E9F"/>
    <w:rsid w:val="00244213"/>
    <w:rsid w:val="002473C2"/>
    <w:rsid w:val="002519E5"/>
    <w:rsid w:val="002553FB"/>
    <w:rsid w:val="002616BC"/>
    <w:rsid w:val="002710CF"/>
    <w:rsid w:val="002855A3"/>
    <w:rsid w:val="002858CD"/>
    <w:rsid w:val="00290BC1"/>
    <w:rsid w:val="002A5CEB"/>
    <w:rsid w:val="002C5ABE"/>
    <w:rsid w:val="002C7637"/>
    <w:rsid w:val="002D12B1"/>
    <w:rsid w:val="002D6129"/>
    <w:rsid w:val="002D67F6"/>
    <w:rsid w:val="002D7693"/>
    <w:rsid w:val="002E1ED0"/>
    <w:rsid w:val="002E320B"/>
    <w:rsid w:val="002F0518"/>
    <w:rsid w:val="002F3BE0"/>
    <w:rsid w:val="002F4E91"/>
    <w:rsid w:val="00300236"/>
    <w:rsid w:val="00301BDA"/>
    <w:rsid w:val="003060A1"/>
    <w:rsid w:val="00312EC1"/>
    <w:rsid w:val="00321E76"/>
    <w:rsid w:val="003240FB"/>
    <w:rsid w:val="00330D75"/>
    <w:rsid w:val="0033148A"/>
    <w:rsid w:val="003320D4"/>
    <w:rsid w:val="00340105"/>
    <w:rsid w:val="0034389F"/>
    <w:rsid w:val="003502E7"/>
    <w:rsid w:val="003561E0"/>
    <w:rsid w:val="00366CB7"/>
    <w:rsid w:val="00380BD2"/>
    <w:rsid w:val="00382F83"/>
    <w:rsid w:val="00385C37"/>
    <w:rsid w:val="003A2BFF"/>
    <w:rsid w:val="003B6566"/>
    <w:rsid w:val="003C1244"/>
    <w:rsid w:val="003C2ABF"/>
    <w:rsid w:val="003C52B1"/>
    <w:rsid w:val="003D1EC2"/>
    <w:rsid w:val="003D3543"/>
    <w:rsid w:val="003E12B3"/>
    <w:rsid w:val="003E290B"/>
    <w:rsid w:val="003E5759"/>
    <w:rsid w:val="003E61E1"/>
    <w:rsid w:val="004005FF"/>
    <w:rsid w:val="004032E0"/>
    <w:rsid w:val="00410795"/>
    <w:rsid w:val="00410F41"/>
    <w:rsid w:val="00421DBB"/>
    <w:rsid w:val="00422422"/>
    <w:rsid w:val="0042309D"/>
    <w:rsid w:val="004351C1"/>
    <w:rsid w:val="00441D0A"/>
    <w:rsid w:val="004457B9"/>
    <w:rsid w:val="00455021"/>
    <w:rsid w:val="004553FF"/>
    <w:rsid w:val="00456C1A"/>
    <w:rsid w:val="00460D6B"/>
    <w:rsid w:val="0048084E"/>
    <w:rsid w:val="00481FB2"/>
    <w:rsid w:val="004940CB"/>
    <w:rsid w:val="004B2013"/>
    <w:rsid w:val="004B3F95"/>
    <w:rsid w:val="004B4B17"/>
    <w:rsid w:val="004C1BFB"/>
    <w:rsid w:val="004C30F0"/>
    <w:rsid w:val="004C70E4"/>
    <w:rsid w:val="004C78B6"/>
    <w:rsid w:val="004D11A5"/>
    <w:rsid w:val="004D1A1F"/>
    <w:rsid w:val="004D32EA"/>
    <w:rsid w:val="004E05B4"/>
    <w:rsid w:val="004F2690"/>
    <w:rsid w:val="004F3685"/>
    <w:rsid w:val="00501B83"/>
    <w:rsid w:val="005157C3"/>
    <w:rsid w:val="005202EF"/>
    <w:rsid w:val="00523B17"/>
    <w:rsid w:val="00572270"/>
    <w:rsid w:val="005735EF"/>
    <w:rsid w:val="00594634"/>
    <w:rsid w:val="005A1937"/>
    <w:rsid w:val="005A3E41"/>
    <w:rsid w:val="005B68FF"/>
    <w:rsid w:val="005E7EF9"/>
    <w:rsid w:val="005F0E62"/>
    <w:rsid w:val="005F74E6"/>
    <w:rsid w:val="0061075D"/>
    <w:rsid w:val="006136E6"/>
    <w:rsid w:val="00615848"/>
    <w:rsid w:val="0062594D"/>
    <w:rsid w:val="00627B6C"/>
    <w:rsid w:val="00627F82"/>
    <w:rsid w:val="00645EA4"/>
    <w:rsid w:val="00661E12"/>
    <w:rsid w:val="00666009"/>
    <w:rsid w:val="00672CA1"/>
    <w:rsid w:val="00690B62"/>
    <w:rsid w:val="006B057C"/>
    <w:rsid w:val="006B1446"/>
    <w:rsid w:val="006D6F8B"/>
    <w:rsid w:val="006E02F4"/>
    <w:rsid w:val="006E036B"/>
    <w:rsid w:val="006E1AED"/>
    <w:rsid w:val="006E3D74"/>
    <w:rsid w:val="006E7916"/>
    <w:rsid w:val="006F3E70"/>
    <w:rsid w:val="007005D8"/>
    <w:rsid w:val="00700E57"/>
    <w:rsid w:val="00706278"/>
    <w:rsid w:val="00707960"/>
    <w:rsid w:val="00710C86"/>
    <w:rsid w:val="00711FDA"/>
    <w:rsid w:val="00715AC8"/>
    <w:rsid w:val="00720F2C"/>
    <w:rsid w:val="00722DBB"/>
    <w:rsid w:val="00725060"/>
    <w:rsid w:val="00735613"/>
    <w:rsid w:val="00736B6B"/>
    <w:rsid w:val="0074313A"/>
    <w:rsid w:val="00747E54"/>
    <w:rsid w:val="00767F39"/>
    <w:rsid w:val="0079333F"/>
    <w:rsid w:val="007952E1"/>
    <w:rsid w:val="00795BB6"/>
    <w:rsid w:val="007A2CBA"/>
    <w:rsid w:val="007A3461"/>
    <w:rsid w:val="007B5445"/>
    <w:rsid w:val="007C069D"/>
    <w:rsid w:val="007C1F6F"/>
    <w:rsid w:val="007C3F3B"/>
    <w:rsid w:val="007C6D45"/>
    <w:rsid w:val="007D4920"/>
    <w:rsid w:val="007D62B8"/>
    <w:rsid w:val="007E7392"/>
    <w:rsid w:val="007F62C9"/>
    <w:rsid w:val="00806975"/>
    <w:rsid w:val="00824A19"/>
    <w:rsid w:val="008268B7"/>
    <w:rsid w:val="0084011D"/>
    <w:rsid w:val="00841C80"/>
    <w:rsid w:val="008476CA"/>
    <w:rsid w:val="00847F34"/>
    <w:rsid w:val="008550DB"/>
    <w:rsid w:val="008619DA"/>
    <w:rsid w:val="00877355"/>
    <w:rsid w:val="00881979"/>
    <w:rsid w:val="00885ABE"/>
    <w:rsid w:val="0089165B"/>
    <w:rsid w:val="0089189A"/>
    <w:rsid w:val="00895255"/>
    <w:rsid w:val="008A5967"/>
    <w:rsid w:val="008A6564"/>
    <w:rsid w:val="008A7095"/>
    <w:rsid w:val="008B3361"/>
    <w:rsid w:val="008F4900"/>
    <w:rsid w:val="008F7412"/>
    <w:rsid w:val="00902EE8"/>
    <w:rsid w:val="00906EEE"/>
    <w:rsid w:val="00930106"/>
    <w:rsid w:val="00945A77"/>
    <w:rsid w:val="00946F6A"/>
    <w:rsid w:val="0095072F"/>
    <w:rsid w:val="00950B6E"/>
    <w:rsid w:val="00957D69"/>
    <w:rsid w:val="009775C3"/>
    <w:rsid w:val="0098101F"/>
    <w:rsid w:val="009A16C6"/>
    <w:rsid w:val="009A7435"/>
    <w:rsid w:val="009B3284"/>
    <w:rsid w:val="009C1723"/>
    <w:rsid w:val="009D47A5"/>
    <w:rsid w:val="009E14C1"/>
    <w:rsid w:val="009E3684"/>
    <w:rsid w:val="009E3DAA"/>
    <w:rsid w:val="009F39D1"/>
    <w:rsid w:val="009F7125"/>
    <w:rsid w:val="00A012F8"/>
    <w:rsid w:val="00A212A2"/>
    <w:rsid w:val="00A303A1"/>
    <w:rsid w:val="00A307DF"/>
    <w:rsid w:val="00A315BB"/>
    <w:rsid w:val="00A35B39"/>
    <w:rsid w:val="00A36E45"/>
    <w:rsid w:val="00A4440D"/>
    <w:rsid w:val="00A54B35"/>
    <w:rsid w:val="00A54CBD"/>
    <w:rsid w:val="00A648EC"/>
    <w:rsid w:val="00A649B3"/>
    <w:rsid w:val="00A7013A"/>
    <w:rsid w:val="00A706A5"/>
    <w:rsid w:val="00A72075"/>
    <w:rsid w:val="00A75BF7"/>
    <w:rsid w:val="00A9267F"/>
    <w:rsid w:val="00AA1D01"/>
    <w:rsid w:val="00AA7D9C"/>
    <w:rsid w:val="00AB1B4E"/>
    <w:rsid w:val="00AB54CF"/>
    <w:rsid w:val="00AD1495"/>
    <w:rsid w:val="00AD77BA"/>
    <w:rsid w:val="00AE590C"/>
    <w:rsid w:val="00AE75DE"/>
    <w:rsid w:val="00AE7AED"/>
    <w:rsid w:val="00AF723D"/>
    <w:rsid w:val="00B075A3"/>
    <w:rsid w:val="00B159B3"/>
    <w:rsid w:val="00B1610B"/>
    <w:rsid w:val="00B26CF2"/>
    <w:rsid w:val="00B35DC2"/>
    <w:rsid w:val="00B46511"/>
    <w:rsid w:val="00B52B1B"/>
    <w:rsid w:val="00B66E63"/>
    <w:rsid w:val="00B70DAD"/>
    <w:rsid w:val="00B74754"/>
    <w:rsid w:val="00B75CF8"/>
    <w:rsid w:val="00B77413"/>
    <w:rsid w:val="00B82862"/>
    <w:rsid w:val="00B90F3E"/>
    <w:rsid w:val="00B918E8"/>
    <w:rsid w:val="00B96BE3"/>
    <w:rsid w:val="00BB6FB5"/>
    <w:rsid w:val="00BC0F23"/>
    <w:rsid w:val="00BC4E7B"/>
    <w:rsid w:val="00BC5329"/>
    <w:rsid w:val="00BD106A"/>
    <w:rsid w:val="00BD5150"/>
    <w:rsid w:val="00BD55E8"/>
    <w:rsid w:val="00BE3B70"/>
    <w:rsid w:val="00BF35DB"/>
    <w:rsid w:val="00C04B6F"/>
    <w:rsid w:val="00C06C1F"/>
    <w:rsid w:val="00C06C79"/>
    <w:rsid w:val="00C10B1F"/>
    <w:rsid w:val="00C10C32"/>
    <w:rsid w:val="00C226AF"/>
    <w:rsid w:val="00C22A66"/>
    <w:rsid w:val="00C274EA"/>
    <w:rsid w:val="00C277DE"/>
    <w:rsid w:val="00C339D4"/>
    <w:rsid w:val="00C55834"/>
    <w:rsid w:val="00C565D6"/>
    <w:rsid w:val="00C64990"/>
    <w:rsid w:val="00C66A28"/>
    <w:rsid w:val="00C71126"/>
    <w:rsid w:val="00C82A20"/>
    <w:rsid w:val="00C92448"/>
    <w:rsid w:val="00C9556A"/>
    <w:rsid w:val="00CA4F57"/>
    <w:rsid w:val="00CB4F43"/>
    <w:rsid w:val="00CB749B"/>
    <w:rsid w:val="00CC5AA9"/>
    <w:rsid w:val="00CC600F"/>
    <w:rsid w:val="00CD750E"/>
    <w:rsid w:val="00CE5CDC"/>
    <w:rsid w:val="00CF03A4"/>
    <w:rsid w:val="00CF1B41"/>
    <w:rsid w:val="00CF1E1F"/>
    <w:rsid w:val="00CF43AB"/>
    <w:rsid w:val="00CF555A"/>
    <w:rsid w:val="00D0017F"/>
    <w:rsid w:val="00D02336"/>
    <w:rsid w:val="00D050BB"/>
    <w:rsid w:val="00D16B79"/>
    <w:rsid w:val="00D16FB9"/>
    <w:rsid w:val="00D17133"/>
    <w:rsid w:val="00D3169B"/>
    <w:rsid w:val="00D366C2"/>
    <w:rsid w:val="00D42697"/>
    <w:rsid w:val="00D426DD"/>
    <w:rsid w:val="00D44D05"/>
    <w:rsid w:val="00D576D2"/>
    <w:rsid w:val="00D67E25"/>
    <w:rsid w:val="00D82C67"/>
    <w:rsid w:val="00D836C2"/>
    <w:rsid w:val="00D86D08"/>
    <w:rsid w:val="00D86F86"/>
    <w:rsid w:val="00D91A77"/>
    <w:rsid w:val="00D94ADA"/>
    <w:rsid w:val="00D95667"/>
    <w:rsid w:val="00DA263C"/>
    <w:rsid w:val="00DA4ADE"/>
    <w:rsid w:val="00DB4083"/>
    <w:rsid w:val="00DB4FB2"/>
    <w:rsid w:val="00DB68C1"/>
    <w:rsid w:val="00DD11F5"/>
    <w:rsid w:val="00DD12D9"/>
    <w:rsid w:val="00DD42F0"/>
    <w:rsid w:val="00DE1562"/>
    <w:rsid w:val="00DE21FA"/>
    <w:rsid w:val="00DF44AB"/>
    <w:rsid w:val="00DF66DE"/>
    <w:rsid w:val="00DF691A"/>
    <w:rsid w:val="00DF742F"/>
    <w:rsid w:val="00E056F2"/>
    <w:rsid w:val="00E07B1C"/>
    <w:rsid w:val="00E15642"/>
    <w:rsid w:val="00E1692F"/>
    <w:rsid w:val="00E22D36"/>
    <w:rsid w:val="00E240EE"/>
    <w:rsid w:val="00E25820"/>
    <w:rsid w:val="00E3330A"/>
    <w:rsid w:val="00E33D62"/>
    <w:rsid w:val="00E42562"/>
    <w:rsid w:val="00E51955"/>
    <w:rsid w:val="00E641F7"/>
    <w:rsid w:val="00E65F51"/>
    <w:rsid w:val="00E71E13"/>
    <w:rsid w:val="00E7439F"/>
    <w:rsid w:val="00E91FD1"/>
    <w:rsid w:val="00E9610B"/>
    <w:rsid w:val="00EB6792"/>
    <w:rsid w:val="00EC0D33"/>
    <w:rsid w:val="00EC2369"/>
    <w:rsid w:val="00EC2380"/>
    <w:rsid w:val="00EC2D64"/>
    <w:rsid w:val="00ED3857"/>
    <w:rsid w:val="00EE0257"/>
    <w:rsid w:val="00EE0800"/>
    <w:rsid w:val="00EE1D25"/>
    <w:rsid w:val="00EE4603"/>
    <w:rsid w:val="00EE4D43"/>
    <w:rsid w:val="00EF7A96"/>
    <w:rsid w:val="00F047B5"/>
    <w:rsid w:val="00F1184F"/>
    <w:rsid w:val="00F22A4A"/>
    <w:rsid w:val="00F22CF5"/>
    <w:rsid w:val="00F2577E"/>
    <w:rsid w:val="00F33E56"/>
    <w:rsid w:val="00F357B3"/>
    <w:rsid w:val="00F4086F"/>
    <w:rsid w:val="00F408A5"/>
    <w:rsid w:val="00F5480A"/>
    <w:rsid w:val="00F60462"/>
    <w:rsid w:val="00F650E1"/>
    <w:rsid w:val="00F663EF"/>
    <w:rsid w:val="00F72B5B"/>
    <w:rsid w:val="00F77DB8"/>
    <w:rsid w:val="00F85DCF"/>
    <w:rsid w:val="00F94D57"/>
    <w:rsid w:val="00F971F7"/>
    <w:rsid w:val="00F97D6E"/>
    <w:rsid w:val="00FA1F19"/>
    <w:rsid w:val="00FB101E"/>
    <w:rsid w:val="00FB5CAD"/>
    <w:rsid w:val="00FC22C3"/>
    <w:rsid w:val="00FD3670"/>
    <w:rsid w:val="00FE06EB"/>
    <w:rsid w:val="00FF186E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9087622"/>
  <w15:chartTrackingRefBased/>
  <w15:docId w15:val="{A9348F4F-3F91-4972-9012-0DC31B167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36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36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3684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36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3684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36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36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36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36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368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36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368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3684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3684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368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368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368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368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36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36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368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36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368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368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368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368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368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3684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3684"/>
    <w:rPr>
      <w:b/>
      <w:bCs/>
      <w:smallCaps/>
      <w:color w:val="365F91" w:themeColor="accent1" w:themeShade="BF"/>
      <w:spacing w:val="5"/>
    </w:rPr>
  </w:style>
  <w:style w:type="character" w:customStyle="1" w:styleId="Marker">
    <w:name w:val="Marker"/>
    <w:basedOn w:val="DefaultParagraphFont"/>
    <w:rsid w:val="00183684"/>
    <w:rPr>
      <w:color w:val="0000FF"/>
      <w:shd w:val="clear" w:color="auto" w:fill="auto"/>
    </w:rPr>
  </w:style>
  <w:style w:type="paragraph" w:styleId="Header">
    <w:name w:val="header"/>
    <w:basedOn w:val="Normal"/>
    <w:link w:val="Head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684"/>
  </w:style>
  <w:style w:type="paragraph" w:styleId="Footer">
    <w:name w:val="footer"/>
    <w:basedOn w:val="Normal"/>
    <w:link w:val="Foot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684"/>
  </w:style>
  <w:style w:type="paragraph" w:customStyle="1" w:styleId="Pagedecouverture">
    <w:name w:val="Page de couverture"/>
    <w:basedOn w:val="Normal"/>
    <w:next w:val="Normal"/>
    <w:rsid w:val="00183684"/>
    <w:pPr>
      <w:spacing w:after="0" w:line="240" w:lineRule="auto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FooterCoverPage">
    <w:name w:val="Footer Cover Page"/>
    <w:basedOn w:val="Normal"/>
    <w:link w:val="FooterCoverPageChar"/>
    <w:rsid w:val="00183684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hAnsi="Times New Roman" w:cs="Times New Roman"/>
      <w:sz w:val="24"/>
    </w:rPr>
  </w:style>
  <w:style w:type="character" w:customStyle="1" w:styleId="FooterCoverPageChar">
    <w:name w:val="Footer Cover Page Char"/>
    <w:basedOn w:val="DefaultParagraphFont"/>
    <w:link w:val="FooterCoverPage"/>
    <w:rsid w:val="0018368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link w:val="Foot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FooterSensitivityChar">
    <w:name w:val="Footer Sensitivity Char"/>
    <w:basedOn w:val="DefaultParagraphFont"/>
    <w:link w:val="Foot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CoverPage">
    <w:name w:val="Header Cover Page"/>
    <w:basedOn w:val="Normal"/>
    <w:link w:val="HeaderCoverPageChar"/>
    <w:rsid w:val="00183684"/>
    <w:pPr>
      <w:tabs>
        <w:tab w:val="center" w:pos="4535"/>
        <w:tab w:val="right" w:pos="9071"/>
      </w:tabs>
      <w:spacing w:after="120" w:line="240" w:lineRule="auto"/>
      <w:jc w:val="both"/>
    </w:pPr>
    <w:rPr>
      <w:rFonts w:ascii="Times New Roman" w:hAnsi="Times New Roman" w:cs="Times New Roman"/>
      <w:sz w:val="24"/>
    </w:rPr>
  </w:style>
  <w:style w:type="character" w:customStyle="1" w:styleId="HeaderCoverPageChar">
    <w:name w:val="Header Cover Page Char"/>
    <w:basedOn w:val="DefaultParagraphFont"/>
    <w:link w:val="HeaderCoverPage"/>
    <w:rsid w:val="0018368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link w:val="Head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HeaderSensitivityChar">
    <w:name w:val="Header Sensitivity Char"/>
    <w:basedOn w:val="DefaultParagraphFont"/>
    <w:link w:val="Head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SensitivityRight">
    <w:name w:val="Header Sensitivity Right"/>
    <w:basedOn w:val="Normal"/>
    <w:link w:val="HeaderSensitivityRightChar"/>
    <w:rsid w:val="00183684"/>
    <w:pPr>
      <w:spacing w:after="120" w:line="240" w:lineRule="auto"/>
      <w:jc w:val="right"/>
    </w:pPr>
    <w:rPr>
      <w:rFonts w:ascii="Times New Roman" w:hAnsi="Times New Roman" w:cs="Times New Roman"/>
      <w:sz w:val="28"/>
    </w:rPr>
  </w:style>
  <w:style w:type="character" w:customStyle="1" w:styleId="HeaderSensitivityRightChar">
    <w:name w:val="Header Sensitivity Right Char"/>
    <w:basedOn w:val="DefaultParagraphFont"/>
    <w:link w:val="HeaderSensitivityRight"/>
    <w:rsid w:val="00183684"/>
    <w:rPr>
      <w:rFonts w:ascii="Times New Roman" w:hAnsi="Times New Roman" w:cs="Times New Roman"/>
      <w:sz w:val="28"/>
    </w:rPr>
  </w:style>
  <w:style w:type="paragraph" w:customStyle="1" w:styleId="Point0number">
    <w:name w:val="Point 0 (number)"/>
    <w:basedOn w:val="Normal"/>
    <w:rsid w:val="00183684"/>
    <w:pPr>
      <w:numPr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number">
    <w:name w:val="Point 1 (number)"/>
    <w:basedOn w:val="Normal"/>
    <w:rsid w:val="00183684"/>
    <w:pPr>
      <w:numPr>
        <w:ilvl w:val="2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number">
    <w:name w:val="Point 2 (number)"/>
    <w:basedOn w:val="Normal"/>
    <w:rsid w:val="00183684"/>
    <w:pPr>
      <w:numPr>
        <w:ilvl w:val="4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number">
    <w:name w:val="Point 3 (number)"/>
    <w:basedOn w:val="Normal"/>
    <w:rsid w:val="00183684"/>
    <w:pPr>
      <w:numPr>
        <w:ilvl w:val="6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0letter">
    <w:name w:val="Point 0 (letter)"/>
    <w:basedOn w:val="Normal"/>
    <w:rsid w:val="00183684"/>
    <w:pPr>
      <w:numPr>
        <w:ilvl w:val="1"/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letter">
    <w:name w:val="Point 1 (letter)"/>
    <w:basedOn w:val="Normal"/>
    <w:rsid w:val="00183684"/>
    <w:pPr>
      <w:numPr>
        <w:ilvl w:val="3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letter">
    <w:name w:val="Point 2 (letter)"/>
    <w:basedOn w:val="Normal"/>
    <w:rsid w:val="00183684"/>
    <w:pPr>
      <w:numPr>
        <w:ilvl w:val="5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letter">
    <w:name w:val="Point 3 (letter)"/>
    <w:basedOn w:val="Normal"/>
    <w:rsid w:val="00183684"/>
    <w:pPr>
      <w:numPr>
        <w:ilvl w:val="7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4letter">
    <w:name w:val="Point 4 (letter)"/>
    <w:basedOn w:val="Normal"/>
    <w:rsid w:val="00183684"/>
    <w:pPr>
      <w:numPr>
        <w:ilvl w:val="8"/>
        <w:numId w:val="1"/>
      </w:numPr>
      <w:tabs>
        <w:tab w:val="clear" w:pos="3118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Languesfaisantfoi">
    <w:name w:val="Langues faisant foi"/>
    <w:basedOn w:val="Normal"/>
    <w:next w:val="Normal"/>
    <w:rsid w:val="00242E49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LanguesfaisantfoiPagedecouverture">
    <w:name w:val="Langues faisant foi (Page de couverture)"/>
    <w:basedOn w:val="Normal"/>
    <w:next w:val="Normal"/>
    <w:rsid w:val="00242E49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IntrtEEE">
    <w:name w:val="Intérêt EEE"/>
    <w:basedOn w:val="Languesfaisantfoi"/>
    <w:next w:val="Normal"/>
    <w:rsid w:val="00242E49"/>
    <w:pPr>
      <w:spacing w:after="0"/>
    </w:pPr>
  </w:style>
  <w:style w:type="paragraph" w:customStyle="1" w:styleId="IntrtEEEPagedecouverture">
    <w:name w:val="Intérêt EEE (Page de couverture)"/>
    <w:basedOn w:val="IntrtEEE"/>
    <w:next w:val="Normal"/>
    <w:rsid w:val="00242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customXml" Target="../customXml/item2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10be360f5c62a8d3a4e267eb14d21e0e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172bd27ebbff65573fbd17f85c504c71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222761-DBA5-490E-9578-3C3EC082C6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6A918F-5E27-41EF-A55C-3FAE588BCB47}"/>
</file>

<file path=customXml/itemProps3.xml><?xml version="1.0" encoding="utf-8"?>
<ds:datastoreItem xmlns:ds="http://schemas.openxmlformats.org/officeDocument/2006/customXml" ds:itemID="{A03DD600-3A6F-4B5C-82A6-642CC6EA91E2}"/>
</file>

<file path=customXml/itemProps4.xml><?xml version="1.0" encoding="utf-8"?>
<ds:datastoreItem xmlns:ds="http://schemas.openxmlformats.org/officeDocument/2006/customXml" ds:itemID="{E4219721-EA61-443E-A33B-D9F28D28416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969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EC CoDe</cp:lastModifiedBy>
  <cp:revision>12</cp:revision>
  <dcterms:created xsi:type="dcterms:W3CDTF">2025-10-20T16:56:00Z</dcterms:created>
  <dcterms:modified xsi:type="dcterms:W3CDTF">2025-12-02T09:13:00Z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First annex">
    <vt:lpwstr>1</vt:lpwstr>
  </property>
  <property fmtid="{D5CDD505-2E9C-101B-9397-08002B2CF9AE}" pid="4" name="Last annex">
    <vt:lpwstr>1</vt:lpwstr>
  </property>
  <property fmtid="{D5CDD505-2E9C-101B-9397-08002B2CF9AE}" pid="5" name="Unique annex">
    <vt:lpwstr>1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DocStatus">
    <vt:lpwstr>Green</vt:lpwstr>
  </property>
  <property fmtid="{D5CDD505-2E9C-101B-9397-08002B2CF9AE}" pid="9" name="CPTemplateID">
    <vt:lpwstr>CP-038</vt:lpwstr>
  </property>
  <property fmtid="{D5CDD505-2E9C-101B-9397-08002B2CF9AE}" pid="10" name="Last edited using">
    <vt:lpwstr>LW 9.2, Build 20250828</vt:lpwstr>
  </property>
  <property fmtid="{D5CDD505-2E9C-101B-9397-08002B2CF9AE}" pid="11" name="Created using">
    <vt:lpwstr>LW 9.1, Build 20240808</vt:lpwstr>
  </property>
  <property fmtid="{D5CDD505-2E9C-101B-9397-08002B2CF9AE}" pid="12" name="MSIP_Label_6bd9ddd1-4d20-43f6-abfa-fc3c07406f94_Enabled">
    <vt:lpwstr>true</vt:lpwstr>
  </property>
  <property fmtid="{D5CDD505-2E9C-101B-9397-08002B2CF9AE}" pid="13" name="MSIP_Label_6bd9ddd1-4d20-43f6-abfa-fc3c07406f94_SetDate">
    <vt:lpwstr>2025-09-24T14:04:50Z</vt:lpwstr>
  </property>
  <property fmtid="{D5CDD505-2E9C-101B-9397-08002B2CF9AE}" pid="14" name="MSIP_Label_6bd9ddd1-4d20-43f6-abfa-fc3c07406f94_Method">
    <vt:lpwstr>Standard</vt:lpwstr>
  </property>
  <property fmtid="{D5CDD505-2E9C-101B-9397-08002B2CF9AE}" pid="15" name="MSIP_Label_6bd9ddd1-4d20-43f6-abfa-fc3c07406f94_Name">
    <vt:lpwstr>Commission Use</vt:lpwstr>
  </property>
  <property fmtid="{D5CDD505-2E9C-101B-9397-08002B2CF9AE}" pid="16" name="MSIP_Label_6bd9ddd1-4d20-43f6-abfa-fc3c07406f94_SiteId">
    <vt:lpwstr>b24c8b06-522c-46fe-9080-70926f8dddb1</vt:lpwstr>
  </property>
  <property fmtid="{D5CDD505-2E9C-101B-9397-08002B2CF9AE}" pid="17" name="MSIP_Label_6bd9ddd1-4d20-43f6-abfa-fc3c07406f94_ActionId">
    <vt:lpwstr>ba33c452-9b52-4e20-b92b-48312487e491</vt:lpwstr>
  </property>
  <property fmtid="{D5CDD505-2E9C-101B-9397-08002B2CF9AE}" pid="18" name="MSIP_Label_6bd9ddd1-4d20-43f6-abfa-fc3c07406f94_ContentBits">
    <vt:lpwstr>0</vt:lpwstr>
  </property>
  <property fmtid="{D5CDD505-2E9C-101B-9397-08002B2CF9AE}" pid="19" name="MSIP_Label_6bd9ddd1-4d20-43f6-abfa-fc3c07406f94_Tag">
    <vt:lpwstr>10, 3, 0, 1</vt:lpwstr>
  </property>
  <property fmtid="{D5CDD505-2E9C-101B-9397-08002B2CF9AE}" pid="20" name="ContentTypeId">
    <vt:lpwstr>0x010100A640DC13EB184F4EBE5AA21BE9F247DB</vt:lpwstr>
  </property>
</Properties>
</file>