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E010A" w14:textId="77777777" w:rsidR="00771EE5" w:rsidRDefault="00771EE5" w:rsidP="00771EE5">
      <w:pPr>
        <w:jc w:val="center"/>
        <w:rPr>
          <w:rFonts w:ascii="Times New Roman" w:hAnsi="Times New Roman"/>
          <w:sz w:val="24"/>
          <w:szCs w:val="22"/>
        </w:rPr>
      </w:pPr>
      <w:r>
        <w:rPr>
          <w:rFonts w:ascii="Times New Roman" w:hAnsi="Times New Roman"/>
          <w:sz w:val="24"/>
        </w:rPr>
        <w:t>EN</w:t>
      </w:r>
    </w:p>
    <w:p w14:paraId="22FD1957" w14:textId="77777777" w:rsidR="00441DF2" w:rsidRPr="00037E7B" w:rsidRDefault="00441DF2" w:rsidP="00771EE5">
      <w:pPr>
        <w:rPr>
          <w:rFonts w:ascii="Times New Roman" w:hAnsi="Times New Roman"/>
          <w:sz w:val="24"/>
        </w:rPr>
      </w:pPr>
    </w:p>
    <w:p w14:paraId="62C1E171" w14:textId="77777777" w:rsidR="00441DF2" w:rsidRPr="00037E7B" w:rsidRDefault="00441DF2" w:rsidP="00441DF2">
      <w:pPr>
        <w:jc w:val="center"/>
        <w:rPr>
          <w:rFonts w:ascii="Times New Roman" w:hAnsi="Times New Roman"/>
          <w:sz w:val="24"/>
        </w:rPr>
      </w:pPr>
      <w:r w:rsidRPr="00037E7B">
        <w:rPr>
          <w:rFonts w:ascii="Times New Roman" w:hAnsi="Times New Roman"/>
          <w:sz w:val="24"/>
        </w:rPr>
        <w:t>ANNEX II</w:t>
      </w:r>
    </w:p>
    <w:p w14:paraId="42F286CA" w14:textId="77777777" w:rsidR="00441DF2" w:rsidRPr="00037E7B" w:rsidRDefault="00441DF2" w:rsidP="00441DF2">
      <w:pPr>
        <w:jc w:val="center"/>
        <w:rPr>
          <w:rFonts w:ascii="Times New Roman" w:hAnsi="Times New Roman"/>
          <w:sz w:val="24"/>
        </w:rPr>
      </w:pPr>
      <w:r w:rsidRPr="00037E7B">
        <w:rPr>
          <w:rFonts w:ascii="Times New Roman" w:hAnsi="Times New Roman"/>
          <w:sz w:val="24"/>
        </w:rPr>
        <w:t>‘ANNEX II</w:t>
      </w:r>
    </w:p>
    <w:p w14:paraId="6D29CBF2" w14:textId="77777777" w:rsidR="00441DF2" w:rsidRPr="00037E7B" w:rsidRDefault="00441DF2" w:rsidP="00441DF2">
      <w:pPr>
        <w:jc w:val="center"/>
        <w:rPr>
          <w:rFonts w:ascii="Times New Roman" w:hAnsi="Times New Roman"/>
          <w:b/>
          <w:sz w:val="24"/>
          <w:lang w:eastAsia="de-DE"/>
        </w:rPr>
      </w:pPr>
      <w:r w:rsidRPr="00037E7B">
        <w:rPr>
          <w:rFonts w:ascii="Times New Roman" w:hAnsi="Times New Roman"/>
          <w:b/>
          <w:sz w:val="24"/>
          <w:lang w:eastAsia="de-DE"/>
        </w:rPr>
        <w:t>INSTRUCTIONS FOR REPORTING ON OWN FUNDS AND OWN FUNDS REQUIREMENTS</w:t>
      </w:r>
    </w:p>
    <w:p w14:paraId="7781F793" w14:textId="77777777" w:rsidR="00441DF2" w:rsidRPr="00037E7B" w:rsidRDefault="00441DF2" w:rsidP="00441DF2">
      <w:pPr>
        <w:jc w:val="center"/>
        <w:rPr>
          <w:rFonts w:ascii="Times New Roman" w:hAnsi="Times New Roman"/>
          <w:b/>
          <w:sz w:val="24"/>
          <w:lang w:eastAsia="de-DE"/>
        </w:rPr>
      </w:pPr>
    </w:p>
    <w:p w14:paraId="5003BB90" w14:textId="77777777" w:rsidR="00441DF2" w:rsidRPr="00037E7B" w:rsidRDefault="00441DF2" w:rsidP="00441DF2">
      <w:pPr>
        <w:rPr>
          <w:rFonts w:ascii="Times New Roman" w:hAnsi="Times New Roman"/>
          <w:sz w:val="24"/>
        </w:rPr>
      </w:pPr>
    </w:p>
    <w:p w14:paraId="3A3F5236" w14:textId="77777777" w:rsidR="00441DF2" w:rsidRPr="00F7533E" w:rsidRDefault="00441DF2" w:rsidP="00441DF2">
      <w:pPr>
        <w:pStyle w:val="Heading2"/>
        <w:rPr>
          <w:rFonts w:ascii="Times New Roman" w:hAnsi="Times New Roman"/>
          <w:b/>
          <w:bCs/>
          <w:color w:val="000000" w:themeColor="text1"/>
          <w:sz w:val="24"/>
          <w:szCs w:val="24"/>
          <w:u w:val="single"/>
        </w:rPr>
      </w:pPr>
      <w:bookmarkStart w:id="0" w:name="_Toc360188322"/>
      <w:bookmarkStart w:id="1" w:name="_Toc473560870"/>
      <w:bookmarkStart w:id="2" w:name="_Toc151714358"/>
      <w:r w:rsidRPr="00F7533E">
        <w:rPr>
          <w:rFonts w:ascii="Times New Roman" w:hAnsi="Times New Roman"/>
          <w:b/>
          <w:bCs/>
          <w:color w:val="000000" w:themeColor="text1"/>
          <w:sz w:val="24"/>
          <w:szCs w:val="24"/>
          <w:u w:val="single"/>
        </w:rPr>
        <w:t>PART II: TEMPLATE RELATED INSTRUCTIONS</w:t>
      </w:r>
      <w:bookmarkEnd w:id="0"/>
      <w:bookmarkEnd w:id="1"/>
      <w:bookmarkEnd w:id="2"/>
    </w:p>
    <w:p w14:paraId="2A41C5B9" w14:textId="77777777" w:rsidR="00441DF2" w:rsidRPr="00037E7B" w:rsidRDefault="00441DF2" w:rsidP="00441DF2">
      <w:pPr>
        <w:rPr>
          <w:lang w:eastAsia="x-none"/>
        </w:rPr>
      </w:pPr>
    </w:p>
    <w:p w14:paraId="783AFAE2" w14:textId="29BB9ADF" w:rsidR="00EE75F2" w:rsidRDefault="00441DF2">
      <w:pPr>
        <w:rPr>
          <w:lang w:eastAsia="x-none"/>
        </w:rPr>
      </w:pPr>
      <w:r w:rsidRPr="00037E7B">
        <w:rPr>
          <w:lang w:eastAsia="x-none"/>
        </w:rPr>
        <w:t>(…)</w:t>
      </w:r>
    </w:p>
    <w:p w14:paraId="0FC12B51" w14:textId="77777777" w:rsidR="006063BD" w:rsidRPr="002A677E" w:rsidRDefault="006063BD" w:rsidP="006063BD">
      <w:pPr>
        <w:pStyle w:val="Instructionsberschrift2"/>
        <w:numPr>
          <w:ilvl w:val="0"/>
          <w:numId w:val="0"/>
        </w:numPr>
        <w:ind w:left="357" w:hanging="357"/>
        <w:rPr>
          <w:rFonts w:ascii="Times New Roman" w:hAnsi="Times New Roman" w:cs="Times New Roman"/>
          <w:sz w:val="24"/>
          <w:lang w:val="en-GB"/>
        </w:rPr>
      </w:pPr>
      <w:bookmarkStart w:id="3" w:name="_Toc151714427"/>
      <w:r w:rsidRPr="002A677E">
        <w:rPr>
          <w:rFonts w:ascii="Times New Roman" w:hAnsi="Times New Roman" w:cs="Times New Roman"/>
          <w:sz w:val="24"/>
          <w:u w:val="none"/>
          <w:lang w:val="en-GB"/>
        </w:rPr>
        <w:t>3.5.</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C 10.01 and C 10.02 – Equity exposures under the internal ratings based approach (CR EQU IRB 1 and CR EQU IRB 2)</w:t>
      </w:r>
      <w:bookmarkEnd w:id="3"/>
    </w:p>
    <w:p w14:paraId="00A76F16" w14:textId="77777777" w:rsidR="006063BD" w:rsidRPr="002A677E" w:rsidRDefault="006063BD" w:rsidP="006063BD">
      <w:pPr>
        <w:pStyle w:val="Instructionsberschrift2"/>
        <w:numPr>
          <w:ilvl w:val="0"/>
          <w:numId w:val="0"/>
        </w:numPr>
        <w:rPr>
          <w:rFonts w:ascii="Times New Roman" w:hAnsi="Times New Roman" w:cs="Times New Roman"/>
          <w:sz w:val="24"/>
          <w:lang w:val="en-GB"/>
        </w:rPr>
      </w:pPr>
      <w:bookmarkStart w:id="4" w:name="_Toc151714428"/>
      <w:r w:rsidRPr="004E10E6">
        <w:rPr>
          <w:rFonts w:ascii="Times New Roman" w:hAnsi="Times New Roman" w:cs="Times New Roman"/>
          <w:sz w:val="24"/>
          <w:lang w:val="en-GB"/>
        </w:rPr>
        <w:t>3.5.1.</w:t>
      </w:r>
      <w:r w:rsidRPr="004E10E6">
        <w:rPr>
          <w:rFonts w:ascii="Times New Roman" w:hAnsi="Times New Roman" w:cs="Times New Roman"/>
          <w:sz w:val="24"/>
          <w:lang w:val="en-GB"/>
        </w:rPr>
        <w:tab/>
      </w:r>
      <w:r w:rsidRPr="00A712E1">
        <w:rPr>
          <w:rFonts w:ascii="Times New Roman" w:hAnsi="Times New Roman" w:cs="Times New Roman"/>
          <w:sz w:val="24"/>
          <w:lang w:val="en-GB"/>
        </w:rPr>
        <w:t>General remarks</w:t>
      </w:r>
      <w:bookmarkEnd w:id="4"/>
    </w:p>
    <w:p w14:paraId="325D5C5C" w14:textId="5351FFE5" w:rsidR="006063BD" w:rsidRPr="002A677E" w:rsidRDefault="006063BD" w:rsidP="006063BD">
      <w:pPr>
        <w:pStyle w:val="InstructionsText2"/>
        <w:numPr>
          <w:ilvl w:val="0"/>
          <w:numId w:val="0"/>
        </w:numPr>
        <w:ind w:left="993"/>
      </w:pPr>
      <w:r>
        <w:t>92. The CR EQU IRB template consists of two templates: CR EQU IRB 1 provides a general overview of IRB exposures of the equity exposure class and the different methods to calculate total risk exposure amounts. CR EQU IRB 2 provides a breakdown of total exposures assigned to obligor grades in the context of the PD/LGD approach. “CR EQU IRB” refers to both “CR EQU IRB 1” and “CR EQU IRB 2” templates, as applicable, in the following instructions.</w:t>
      </w:r>
    </w:p>
    <w:p w14:paraId="42AD0632" w14:textId="7F41541B" w:rsidR="006063BD" w:rsidRPr="002A677E" w:rsidRDefault="006063BD" w:rsidP="006063BD">
      <w:pPr>
        <w:pStyle w:val="InstructionsText2"/>
        <w:numPr>
          <w:ilvl w:val="0"/>
          <w:numId w:val="0"/>
        </w:numPr>
        <w:ind w:left="993"/>
      </w:pPr>
      <w:r>
        <w:fldChar w:fldCharType="begin"/>
      </w:r>
      <w:r>
        <w:instrText>seq paragraphs</w:instrText>
      </w:r>
      <w:r>
        <w:fldChar w:fldCharType="separate"/>
      </w:r>
      <w:r>
        <w:rPr>
          <w:noProof/>
        </w:rPr>
        <w:t>93</w:t>
      </w:r>
      <w:r>
        <w:fldChar w:fldCharType="end"/>
      </w:r>
      <w:r w:rsidRPr="002A677E">
        <w:t>.</w:t>
      </w:r>
      <w:r w:rsidRPr="002A677E">
        <w:tab/>
        <w:t>The CR EQU IRB template provides information on the calculation of risk weighted exposure amounts for credit risk (Article 92(</w:t>
      </w:r>
      <w:r>
        <w:t>4</w:t>
      </w:r>
      <w:r w:rsidRPr="002A677E">
        <w:t>)</w:t>
      </w:r>
      <w:r>
        <w:t>, p</w:t>
      </w:r>
      <w:r w:rsidRPr="002A677E">
        <w:t>oint (a)</w:t>
      </w:r>
      <w:r>
        <w:t>,</w:t>
      </w:r>
      <w:r w:rsidRPr="002A677E">
        <w:t xml:space="preserve"> </w:t>
      </w:r>
      <w:r w:rsidRPr="001235ED">
        <w:rPr>
          <w:lang w:val="en-US"/>
        </w:rPr>
        <w:t>of Regulation (EU) No 575/2013</w:t>
      </w:r>
      <w:r w:rsidRPr="002A677E">
        <w:t>)</w:t>
      </w:r>
      <w:r w:rsidR="00D3100E">
        <w:t xml:space="preserve">, </w:t>
      </w:r>
      <w:r w:rsidR="00402ED1">
        <w:t xml:space="preserve">for exposures subject to </w:t>
      </w:r>
      <w:r w:rsidR="00402ED1" w:rsidRPr="002A677E">
        <w:t xml:space="preserve">Article </w:t>
      </w:r>
      <w:r w:rsidR="00402ED1">
        <w:t>495(1), point (b),</w:t>
      </w:r>
      <w:r w:rsidR="00402ED1" w:rsidRPr="002A677E">
        <w:t xml:space="preserve"> </w:t>
      </w:r>
      <w:r w:rsidR="00402ED1" w:rsidRPr="001235ED">
        <w:rPr>
          <w:lang w:val="en-US"/>
        </w:rPr>
        <w:t>of Regulation (EU) No 575/2013</w:t>
      </w:r>
      <w:r w:rsidR="00402ED1">
        <w:rPr>
          <w:lang w:val="en-US"/>
        </w:rPr>
        <w:t>, treated</w:t>
      </w:r>
      <w:r w:rsidRPr="002A677E">
        <w:t xml:space="preserve"> in accordance with Part Three, Title II, Chapter 3 </w:t>
      </w:r>
      <w:r w:rsidRPr="001235ED">
        <w:rPr>
          <w:lang w:val="en-US"/>
        </w:rPr>
        <w:t>of Regulation (EU) No 575/2013</w:t>
      </w:r>
      <w:r w:rsidRPr="002A677E">
        <w:t xml:space="preserve"> for equity exposures as referred to in of Article 147(2)</w:t>
      </w:r>
      <w:r>
        <w:t>, p</w:t>
      </w:r>
      <w:r w:rsidRPr="002A677E">
        <w:t>oint (e)</w:t>
      </w:r>
      <w:r>
        <w:t>,</w:t>
      </w:r>
      <w:r w:rsidRPr="002A677E">
        <w:t xml:space="preserve"> </w:t>
      </w:r>
      <w:r w:rsidRPr="001235ED">
        <w:rPr>
          <w:lang w:val="en-US"/>
        </w:rPr>
        <w:t>of that Regulation</w:t>
      </w:r>
      <w:r w:rsidRPr="002A677E">
        <w:t>.</w:t>
      </w:r>
      <w:r w:rsidR="0092685D">
        <w:t xml:space="preserve"> The equity exposures subject to Article 495(1), point</w:t>
      </w:r>
      <w:r w:rsidR="00546AF1">
        <w:t xml:space="preserve"> (a), Article 495(2) of </w:t>
      </w:r>
      <w:r w:rsidR="00546AF1" w:rsidRPr="001235ED">
        <w:rPr>
          <w:lang w:val="en-US"/>
        </w:rPr>
        <w:t>of Regulation (EU) No 575/2013</w:t>
      </w:r>
      <w:r w:rsidR="00546AF1">
        <w:rPr>
          <w:lang w:val="en-US"/>
        </w:rPr>
        <w:t xml:space="preserve"> shall be reported in the CR SA template (C 07.00). Equity exposures subject to Article 495a(3) </w:t>
      </w:r>
      <w:r w:rsidR="00546AF1" w:rsidRPr="001235ED">
        <w:rPr>
          <w:lang w:val="en-US"/>
        </w:rPr>
        <w:t>of Regulation (EU) No 575/2013</w:t>
      </w:r>
      <w:r w:rsidR="00546AF1">
        <w:rPr>
          <w:lang w:val="en-US"/>
        </w:rPr>
        <w:t xml:space="preserve"> shall also be reported in the CR SA template (C 07.00).</w:t>
      </w:r>
    </w:p>
    <w:p w14:paraId="02D38A2A" w14:textId="0678C7A0" w:rsidR="006063BD" w:rsidRPr="002A677E" w:rsidRDefault="006063BD" w:rsidP="006063BD">
      <w:pPr>
        <w:pStyle w:val="InstructionsText2"/>
        <w:numPr>
          <w:ilvl w:val="0"/>
          <w:numId w:val="0"/>
        </w:numPr>
        <w:ind w:left="993"/>
      </w:pPr>
      <w:r>
        <w:fldChar w:fldCharType="begin"/>
      </w:r>
      <w:r>
        <w:instrText>seq paragraphs</w:instrText>
      </w:r>
      <w:r>
        <w:fldChar w:fldCharType="separate"/>
      </w:r>
      <w:r>
        <w:rPr>
          <w:noProof/>
        </w:rPr>
        <w:t>94</w:t>
      </w:r>
      <w:r>
        <w:fldChar w:fldCharType="end"/>
      </w:r>
      <w:r w:rsidRPr="002A677E">
        <w:t>.</w:t>
      </w:r>
      <w:r w:rsidRPr="002A677E">
        <w:tab/>
        <w:t xml:space="preserve">In accordance with Article 147(6) </w:t>
      </w:r>
      <w:r w:rsidRPr="001235ED">
        <w:rPr>
          <w:lang w:val="en-US"/>
        </w:rPr>
        <w:t>of Regulation (EU) No 575/2013</w:t>
      </w:r>
      <w:r w:rsidRPr="002A677E">
        <w:t xml:space="preserve">, the </w:t>
      </w:r>
      <w:r w:rsidR="00A42F77">
        <w:t xml:space="preserve">exposures referred to in Article 133(1) </w:t>
      </w:r>
      <w:r w:rsidR="00A42F77" w:rsidRPr="001235ED">
        <w:rPr>
          <w:lang w:val="en-US"/>
        </w:rPr>
        <w:t>of Regulation (EU) No 575/2013</w:t>
      </w:r>
      <w:r w:rsidRPr="002A677E">
        <w:t xml:space="preserve">  shall be assigned to the</w:t>
      </w:r>
      <w:r w:rsidR="00D3100E">
        <w:t xml:space="preserve"> exposure class</w:t>
      </w:r>
      <w:r w:rsidRPr="002A677E">
        <w:t xml:space="preserve"> </w:t>
      </w:r>
      <w:r w:rsidR="00D3100E">
        <w:t>‘</w:t>
      </w:r>
      <w:r w:rsidRPr="002A677E">
        <w:t>equity exposure</w:t>
      </w:r>
      <w:r w:rsidR="00D3100E">
        <w:t>s’</w:t>
      </w:r>
      <w:r w:rsidR="00A42F77">
        <w:t>, unless they are assigned to the exposure class ‘exposures in the form of units or shares in a CIU”.</w:t>
      </w:r>
    </w:p>
    <w:p w14:paraId="520150D0" w14:textId="52F4D880" w:rsidR="006063BD" w:rsidRPr="002A677E" w:rsidRDefault="006063BD" w:rsidP="006063BD">
      <w:pPr>
        <w:pStyle w:val="InstructionsText2"/>
        <w:numPr>
          <w:ilvl w:val="0"/>
          <w:numId w:val="0"/>
        </w:numPr>
        <w:ind w:left="993"/>
      </w:pPr>
      <w:r>
        <w:fldChar w:fldCharType="begin"/>
      </w:r>
      <w:r>
        <w:instrText>seq paragraphs</w:instrText>
      </w:r>
      <w:r>
        <w:fldChar w:fldCharType="separate"/>
      </w:r>
      <w:r>
        <w:rPr>
          <w:noProof/>
        </w:rPr>
        <w:t>95</w:t>
      </w:r>
      <w:r>
        <w:fldChar w:fldCharType="end"/>
      </w:r>
      <w:r w:rsidRPr="002A677E">
        <w:t>.</w:t>
      </w:r>
      <w:r w:rsidRPr="002A677E">
        <w:tab/>
      </w:r>
      <w:r w:rsidR="0092685D">
        <w:t>[</w:t>
      </w:r>
      <w:r w:rsidR="00EA7CD3">
        <w:t>Deleted</w:t>
      </w:r>
      <w:r w:rsidR="0092685D">
        <w:t>]</w:t>
      </w:r>
    </w:p>
    <w:p w14:paraId="178611EC" w14:textId="34CA8091" w:rsidR="006063BD" w:rsidRPr="002A677E" w:rsidRDefault="006063BD" w:rsidP="006063BD">
      <w:pPr>
        <w:pStyle w:val="InstructionsText2"/>
        <w:numPr>
          <w:ilvl w:val="0"/>
          <w:numId w:val="0"/>
        </w:numPr>
        <w:ind w:left="993"/>
      </w:pPr>
      <w:r>
        <w:fldChar w:fldCharType="begin"/>
      </w:r>
      <w:r>
        <w:instrText>seq paragraphs</w:instrText>
      </w:r>
      <w:r>
        <w:fldChar w:fldCharType="separate"/>
      </w:r>
      <w:r>
        <w:rPr>
          <w:noProof/>
        </w:rPr>
        <w:t>96</w:t>
      </w:r>
      <w:r>
        <w:fldChar w:fldCharType="end"/>
      </w:r>
      <w:r w:rsidRPr="002A677E">
        <w:t>.</w:t>
      </w:r>
      <w:r w:rsidRPr="002A677E">
        <w:tab/>
        <w:t xml:space="preserve">In accordance with </w:t>
      </w:r>
      <w:r w:rsidR="00402ED1" w:rsidRPr="002A677E">
        <w:t xml:space="preserve">Article </w:t>
      </w:r>
      <w:r w:rsidR="00402ED1">
        <w:t xml:space="preserve">495(1), point (b) </w:t>
      </w:r>
      <w:r w:rsidRPr="001235ED">
        <w:rPr>
          <w:lang w:val="en-US"/>
        </w:rPr>
        <w:t>of Regulation (EU) No 575/2013</w:t>
      </w:r>
      <w:r w:rsidRPr="002A677E">
        <w:t xml:space="preserve">, institutions shall provide the CR EQU IRB template when applying one of the three approaches: </w:t>
      </w:r>
    </w:p>
    <w:p w14:paraId="0D6A3825" w14:textId="77777777" w:rsidR="006063BD" w:rsidRPr="002A677E" w:rsidRDefault="006063BD" w:rsidP="006063BD">
      <w:pPr>
        <w:pStyle w:val="InstructionsText"/>
      </w:pPr>
      <w:r w:rsidRPr="002A677E">
        <w:t>- the Simple Risk Weight approach;</w:t>
      </w:r>
    </w:p>
    <w:p w14:paraId="3EF899C4" w14:textId="77777777" w:rsidR="006063BD" w:rsidRPr="002A677E" w:rsidRDefault="006063BD" w:rsidP="006063BD">
      <w:pPr>
        <w:pStyle w:val="InstructionsText"/>
      </w:pPr>
      <w:r w:rsidRPr="002A677E">
        <w:lastRenderedPageBreak/>
        <w:t>- the PD/LGD approach;</w:t>
      </w:r>
    </w:p>
    <w:p w14:paraId="622FC220" w14:textId="77777777" w:rsidR="006063BD" w:rsidRDefault="006063BD" w:rsidP="006063BD">
      <w:pPr>
        <w:pStyle w:val="InstructionsText"/>
      </w:pPr>
      <w:r w:rsidRPr="002A677E">
        <w:t>- the Internal Models approach.</w:t>
      </w:r>
    </w:p>
    <w:p w14:paraId="5D37423B" w14:textId="57B3065A" w:rsidR="006063BD" w:rsidRPr="002A677E" w:rsidRDefault="006063BD" w:rsidP="006063BD">
      <w:pPr>
        <w:pStyle w:val="InstructionsText2"/>
        <w:numPr>
          <w:ilvl w:val="0"/>
          <w:numId w:val="0"/>
        </w:numPr>
        <w:ind w:left="1353"/>
        <w:rPr>
          <w:noProof/>
        </w:rPr>
      </w:pPr>
      <w:r w:rsidRPr="002A677E">
        <w:rPr>
          <w:noProof/>
        </w:rPr>
        <w:t xml:space="preserve">In accordance with Article </w:t>
      </w:r>
      <w:r w:rsidR="00EA7CD3">
        <w:rPr>
          <w:noProof/>
        </w:rPr>
        <w:t>495(1), point (b),</w:t>
      </w:r>
      <w:r w:rsidR="00EA7CD3" w:rsidRPr="002A677E">
        <w:rPr>
          <w:noProof/>
        </w:rPr>
        <w:t xml:space="preserve"> </w:t>
      </w:r>
      <w:r w:rsidRPr="00A65C1A">
        <w:rPr>
          <w:noProof/>
        </w:rPr>
        <w:t>of Regulation (EU) No 575/2013</w:t>
      </w:r>
      <w:r w:rsidRPr="002A677E">
        <w:rPr>
          <w:noProof/>
        </w:rPr>
        <w:t>, institutions may employ different approaches (Simple Risk Weight approach, PD/LGD approach or Internal Models approach) to different portfolios when they use these different approaches internally.</w:t>
      </w:r>
    </w:p>
    <w:p w14:paraId="2BF4ADE6" w14:textId="52D016FB" w:rsidR="006063BD" w:rsidRPr="002A677E" w:rsidRDefault="006063BD" w:rsidP="006063BD">
      <w:pPr>
        <w:pStyle w:val="InstructionsText2"/>
        <w:numPr>
          <w:ilvl w:val="0"/>
          <w:numId w:val="0"/>
        </w:numPr>
        <w:ind w:left="1353"/>
        <w:rPr>
          <w:noProof/>
        </w:rPr>
      </w:pPr>
      <w:r w:rsidRPr="002A677E">
        <w:rPr>
          <w:noProof/>
        </w:rPr>
        <w:t>Moreover, institutions applying the IRB approach shall also report in the CR EQU IRB template risk-weighted exposure amounts for those equity exposures which attract a fixed risk-weight treatment (without however being explicitly treated in accordance with the Simple Risk Weight approach or the (temporary or permanent) partial use of the Standardised approach for credit risk), e.g. equity exposures attracting a risk-weight of 250</w:t>
      </w:r>
      <w:r>
        <w:rPr>
          <w:noProof/>
        </w:rPr>
        <w:t> </w:t>
      </w:r>
      <w:r w:rsidRPr="002A677E">
        <w:rPr>
          <w:noProof/>
        </w:rPr>
        <w:t xml:space="preserve">% in accordance with Article 48(4) </w:t>
      </w:r>
      <w:r w:rsidRPr="00A65C1A">
        <w:rPr>
          <w:noProof/>
        </w:rPr>
        <w:t>of Regulation (EU) No 575/2013</w:t>
      </w:r>
      <w:r w:rsidRPr="002A677E">
        <w:rPr>
          <w:noProof/>
        </w:rPr>
        <w:t>, respectively a risk-weight of 370</w:t>
      </w:r>
      <w:r>
        <w:rPr>
          <w:noProof/>
        </w:rPr>
        <w:t> </w:t>
      </w:r>
      <w:r w:rsidRPr="002A677E">
        <w:rPr>
          <w:noProof/>
        </w:rPr>
        <w:t>% in accordance with Article 471(2) of the Regulation.</w:t>
      </w:r>
    </w:p>
    <w:p w14:paraId="4BBD6043" w14:textId="467889B4" w:rsidR="006063BD" w:rsidRDefault="00A65C1A" w:rsidP="0092685D">
      <w:pPr>
        <w:pStyle w:val="InstructionsText2"/>
        <w:numPr>
          <w:ilvl w:val="0"/>
          <w:numId w:val="0"/>
        </w:numPr>
        <w:ind w:left="993"/>
      </w:pPr>
      <w:r>
        <w:t>97</w:t>
      </w:r>
      <w:r w:rsidR="006063BD" w:rsidRPr="002A677E">
        <w:t>.</w:t>
      </w:r>
      <w:r w:rsidR="006063BD" w:rsidRPr="002A677E">
        <w:tab/>
      </w:r>
      <w:r w:rsidR="0092685D">
        <w:t>[Deleted]</w:t>
      </w:r>
    </w:p>
    <w:p w14:paraId="6DA8654B" w14:textId="4CECC17C" w:rsidR="00546AF1" w:rsidRPr="002A677E" w:rsidRDefault="00546AF1" w:rsidP="0092685D">
      <w:pPr>
        <w:pStyle w:val="InstructionsText2"/>
        <w:numPr>
          <w:ilvl w:val="0"/>
          <w:numId w:val="0"/>
        </w:numPr>
        <w:ind w:left="993"/>
      </w:pPr>
      <w:r>
        <w:t xml:space="preserve">97a. The following instructions refer to </w:t>
      </w:r>
      <w:r w:rsidRPr="00A65C1A">
        <w:rPr>
          <w:noProof/>
        </w:rPr>
        <w:t>Regulation (EU) No 575/2013</w:t>
      </w:r>
      <w:r>
        <w:rPr>
          <w:noProof/>
        </w:rPr>
        <w:t xml:space="preserve"> in the version applicable on 8 July 2024.</w:t>
      </w:r>
    </w:p>
    <w:p w14:paraId="3B22CAB3" w14:textId="77777777" w:rsidR="006063BD" w:rsidRPr="002A677E" w:rsidRDefault="006063BD" w:rsidP="006063BD">
      <w:pPr>
        <w:pStyle w:val="InstructionsText"/>
      </w:pPr>
    </w:p>
    <w:p w14:paraId="40C6FF22" w14:textId="77777777" w:rsidR="006063BD" w:rsidRPr="002A677E" w:rsidRDefault="006063BD" w:rsidP="006063BD">
      <w:pPr>
        <w:pStyle w:val="Instructionsberschrift2"/>
        <w:numPr>
          <w:ilvl w:val="0"/>
          <w:numId w:val="0"/>
        </w:numPr>
        <w:ind w:left="357" w:hanging="357"/>
        <w:rPr>
          <w:rFonts w:ascii="Times New Roman" w:hAnsi="Times New Roman" w:cs="Times New Roman"/>
          <w:sz w:val="24"/>
          <w:lang w:val="en-GB"/>
        </w:rPr>
      </w:pPr>
      <w:bookmarkStart w:id="5" w:name="_Toc295829921"/>
      <w:bookmarkStart w:id="6" w:name="_Toc310415033"/>
      <w:bookmarkStart w:id="7" w:name="_Toc360188371"/>
      <w:bookmarkStart w:id="8" w:name="_Toc473560922"/>
      <w:bookmarkStart w:id="9" w:name="_Toc151714429"/>
      <w:r w:rsidRPr="002A677E">
        <w:rPr>
          <w:rFonts w:ascii="Times New Roman" w:hAnsi="Times New Roman" w:cs="Times New Roman"/>
          <w:sz w:val="24"/>
          <w:u w:val="none"/>
          <w:lang w:val="en-GB"/>
        </w:rPr>
        <w:t>3.5.2.</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Instructions concerning specific positions</w:t>
      </w:r>
      <w:bookmarkEnd w:id="5"/>
      <w:bookmarkEnd w:id="6"/>
      <w:r w:rsidRPr="002A677E">
        <w:rPr>
          <w:rFonts w:ascii="Times New Roman" w:hAnsi="Times New Roman" w:cs="Times New Roman"/>
          <w:sz w:val="24"/>
          <w:lang w:val="en-GB"/>
        </w:rPr>
        <w:t xml:space="preserve"> (applicable to both CR EQU IRB 1 and CR EQU IRB 2)</w:t>
      </w:r>
      <w:bookmarkEnd w:id="7"/>
      <w:bookmarkEnd w:id="8"/>
      <w:bookmarkEnd w:id="9"/>
    </w:p>
    <w:tbl>
      <w:tblPr>
        <w:tblW w:w="0" w:type="auto"/>
        <w:tblLook w:val="01E0" w:firstRow="1" w:lastRow="1" w:firstColumn="1" w:lastColumn="1" w:noHBand="0" w:noVBand="0"/>
      </w:tblPr>
      <w:tblGrid>
        <w:gridCol w:w="852"/>
        <w:gridCol w:w="8004"/>
      </w:tblGrid>
      <w:tr w:rsidR="006063BD" w:rsidRPr="002A677E" w14:paraId="1FF84224" w14:textId="77777777" w:rsidTr="00E07FE9">
        <w:tc>
          <w:tcPr>
            <w:tcW w:w="8856" w:type="dxa"/>
            <w:gridSpan w:val="2"/>
            <w:tcBorders>
              <w:top w:val="single" w:sz="4" w:space="0" w:color="auto"/>
              <w:left w:val="single" w:sz="4" w:space="0" w:color="auto"/>
              <w:bottom w:val="single" w:sz="4" w:space="0" w:color="auto"/>
              <w:right w:val="single" w:sz="4" w:space="0" w:color="auto"/>
            </w:tcBorders>
            <w:shd w:val="clear" w:color="auto" w:fill="BFBFBF"/>
          </w:tcPr>
          <w:p w14:paraId="2D36877B" w14:textId="77777777" w:rsidR="006063BD" w:rsidRPr="001235ED" w:rsidRDefault="006063BD" w:rsidP="00E07FE9">
            <w:pPr>
              <w:spacing w:beforeLines="60" w:before="144" w:afterLines="60" w:after="144"/>
              <w:rPr>
                <w:rStyle w:val="InstructionsTabelleText"/>
                <w:rFonts w:ascii="Times New Roman" w:hAnsi="Times New Roman"/>
                <w:b/>
                <w:sz w:val="24"/>
              </w:rPr>
            </w:pPr>
            <w:r w:rsidRPr="002A677E">
              <w:rPr>
                <w:rStyle w:val="InstructionsTabelleText"/>
                <w:rFonts w:ascii="Times New Roman" w:hAnsi="Times New Roman"/>
                <w:b/>
                <w:sz w:val="24"/>
              </w:rPr>
              <w:t>Columns</w:t>
            </w:r>
          </w:p>
        </w:tc>
      </w:tr>
      <w:tr w:rsidR="006063BD" w:rsidRPr="002A677E" w14:paraId="65A83B7D" w14:textId="77777777" w:rsidTr="00E07F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14:paraId="120E2B5C" w14:textId="77777777" w:rsidR="006063BD" w:rsidRPr="002A677E" w:rsidRDefault="006063BD" w:rsidP="00E07FE9">
            <w:pPr>
              <w:spacing w:beforeLines="60" w:before="144" w:afterLines="60" w:after="144"/>
              <w:rPr>
                <w:rStyle w:val="InstructionsTabelleText"/>
                <w:rFonts w:ascii="Times New Roman" w:hAnsi="Times New Roman"/>
                <w:sz w:val="24"/>
              </w:rPr>
            </w:pPr>
            <w:r w:rsidRPr="002A677E">
              <w:rPr>
                <w:rStyle w:val="InstructionsTabelleText"/>
                <w:rFonts w:ascii="Times New Roman" w:hAnsi="Times New Roman"/>
                <w:sz w:val="24"/>
              </w:rPr>
              <w:t>0005</w:t>
            </w:r>
          </w:p>
        </w:tc>
        <w:tc>
          <w:tcPr>
            <w:tcW w:w="8004" w:type="dxa"/>
          </w:tcPr>
          <w:p w14:paraId="44A21873" w14:textId="77777777" w:rsidR="006063BD" w:rsidRPr="002A677E" w:rsidRDefault="006063BD" w:rsidP="00E07FE9">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OBLIGOR GRADE (ROW IDENTIFIER)</w:t>
            </w:r>
          </w:p>
          <w:p w14:paraId="1990DE2E" w14:textId="77777777" w:rsidR="006063BD" w:rsidRPr="002A677E" w:rsidRDefault="006063BD" w:rsidP="00E07FE9">
            <w:pPr>
              <w:spacing w:beforeLines="60" w:before="144" w:afterLines="60" w:after="144"/>
              <w:rPr>
                <w:rStyle w:val="InstructionsTabelleberschrift"/>
                <w:rFonts w:ascii="Times New Roman" w:hAnsi="Times New Roman"/>
                <w:b w:val="0"/>
                <w:sz w:val="24"/>
              </w:rPr>
            </w:pPr>
            <w:r w:rsidRPr="002A677E">
              <w:rPr>
                <w:rStyle w:val="InstructionsTabelleberschrift"/>
                <w:rFonts w:ascii="Times New Roman" w:hAnsi="Times New Roman"/>
                <w:sz w:val="24"/>
              </w:rPr>
              <w:t xml:space="preserve">The obligor grade shall be a row identifier and shall be unique for each row in the template. </w:t>
            </w:r>
            <w:r w:rsidRPr="002A677E">
              <w:rPr>
                <w:rFonts w:ascii="Times New Roman" w:hAnsi="Times New Roman"/>
                <w:sz w:val="24"/>
              </w:rPr>
              <w:t>It shall follow the numerical order 1, 2, 3, etc.</w:t>
            </w:r>
          </w:p>
        </w:tc>
      </w:tr>
      <w:tr w:rsidR="006063BD" w:rsidRPr="002A677E" w14:paraId="4A3DF45C" w14:textId="77777777" w:rsidTr="00E07F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14:paraId="01FF0DC5" w14:textId="77777777" w:rsidR="006063BD" w:rsidRPr="002A677E" w:rsidRDefault="006063BD" w:rsidP="00E07FE9">
            <w:pPr>
              <w:spacing w:beforeLines="60" w:before="144" w:afterLines="60" w:after="144"/>
              <w:rPr>
                <w:rStyle w:val="InstructionsTabelleText"/>
                <w:rFonts w:ascii="Times New Roman" w:hAnsi="Times New Roman"/>
                <w:sz w:val="24"/>
              </w:rPr>
            </w:pPr>
            <w:r w:rsidRPr="002A677E">
              <w:rPr>
                <w:rStyle w:val="InstructionsTabelleText"/>
                <w:rFonts w:ascii="Times New Roman" w:hAnsi="Times New Roman"/>
                <w:sz w:val="24"/>
              </w:rPr>
              <w:t>0010</w:t>
            </w:r>
          </w:p>
        </w:tc>
        <w:tc>
          <w:tcPr>
            <w:tcW w:w="8004" w:type="dxa"/>
          </w:tcPr>
          <w:p w14:paraId="30BFEC80" w14:textId="77777777" w:rsidR="006063BD" w:rsidRPr="002A677E" w:rsidRDefault="006063BD" w:rsidP="00E07FE9">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 xml:space="preserve">INTERNAL RATING SCALE </w:t>
            </w:r>
          </w:p>
          <w:p w14:paraId="4DE0AB3D" w14:textId="77777777" w:rsidR="006063BD" w:rsidRPr="002A677E" w:rsidRDefault="006063BD" w:rsidP="00E07FE9">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PD ASSIGNED TO THE OBLIGOR GRADE (%)</w:t>
            </w:r>
          </w:p>
          <w:p w14:paraId="3F16319B" w14:textId="77777777" w:rsidR="006063BD" w:rsidRPr="002A677E" w:rsidRDefault="006063BD" w:rsidP="00E07FE9">
            <w:pPr>
              <w:spacing w:beforeLines="60" w:before="144" w:afterLines="60" w:after="144"/>
              <w:rPr>
                <w:rStyle w:val="InstructionsTabelleText"/>
                <w:rFonts w:ascii="Times New Roman" w:hAnsi="Times New Roman"/>
                <w:sz w:val="24"/>
              </w:rPr>
            </w:pPr>
            <w:r w:rsidRPr="002A677E">
              <w:rPr>
                <w:rStyle w:val="InstructionsTabelleText"/>
                <w:rFonts w:ascii="Times New Roman" w:hAnsi="Times New Roman"/>
                <w:sz w:val="24"/>
              </w:rPr>
              <w:t>Institutions applying the PD/LGD approach shall report in column 0010 the probability of default (PD) calculated in accordance with Article 165(1) of Regulation (EU) No 575/2013.</w:t>
            </w:r>
          </w:p>
          <w:p w14:paraId="5179D71B" w14:textId="77777777" w:rsidR="006063BD" w:rsidRPr="002A677E" w:rsidRDefault="006063BD" w:rsidP="00E07FE9">
            <w:pPr>
              <w:spacing w:beforeLines="60" w:before="144" w:afterLines="60" w:after="144"/>
              <w:rPr>
                <w:rStyle w:val="InstructionsTabelleText"/>
                <w:rFonts w:ascii="Times New Roman" w:hAnsi="Times New Roman"/>
                <w:sz w:val="24"/>
              </w:rPr>
            </w:pPr>
            <w:r w:rsidRPr="002A677E">
              <w:rPr>
                <w:rStyle w:val="InstructionsTabelleText"/>
                <w:rFonts w:ascii="Times New Roman" w:hAnsi="Times New Roman"/>
                <w:sz w:val="24"/>
              </w:rPr>
              <w:t>The PD assigned to the obligor grade or pool to be reported shall be in line with the minimum requirements laid down in Part Three, Title II, Chapter 3, Section 6 of Regulation (EU) No 575/2013. For each individual grade or pool, the PD assigned to that specific obligor grade or pool shall be reported. All reported risk parameters shall be derived from the risk parameters used in the internal rating scale approved by the respective competent authority.</w:t>
            </w:r>
          </w:p>
          <w:p w14:paraId="4A3E11CE" w14:textId="77777777" w:rsidR="006063BD" w:rsidRPr="002A677E" w:rsidRDefault="006063BD" w:rsidP="00E07FE9">
            <w:pPr>
              <w:spacing w:beforeLines="60" w:before="144" w:afterLines="60" w:after="144"/>
              <w:rPr>
                <w:rStyle w:val="InstructionsTabelleText"/>
                <w:rFonts w:ascii="Times New Roman" w:hAnsi="Times New Roman"/>
                <w:sz w:val="24"/>
              </w:rPr>
            </w:pPr>
            <w:r w:rsidRPr="002A677E">
              <w:rPr>
                <w:rStyle w:val="InstructionsTabelleText"/>
                <w:rFonts w:ascii="Times New Roman" w:hAnsi="Times New Roman"/>
                <w:sz w:val="24"/>
              </w:rPr>
              <w:t xml:space="preserve">For figures corresponding to an aggregation of obligor grades or pools (e.g. “total exposures”), the exposure weighted average of the PDs assigned to the obligor grades or pools included in the aggregation shall be provided. All exposures, including defaulted exposures, are to be considered for the purpose of the </w:t>
            </w:r>
            <w:r w:rsidRPr="002A677E">
              <w:rPr>
                <w:rStyle w:val="InstructionsTabelleText"/>
                <w:rFonts w:ascii="Times New Roman" w:hAnsi="Times New Roman"/>
                <w:sz w:val="24"/>
              </w:rPr>
              <w:lastRenderedPageBreak/>
              <w:t xml:space="preserve">calculation of the exposure weighted average PD. For the calculation of the exposure-weighted average PD, the exposure value taking into account unfunded credit protection (column 0060) shall be used for weighting purposes. </w:t>
            </w:r>
          </w:p>
        </w:tc>
      </w:tr>
      <w:tr w:rsidR="006063BD" w:rsidRPr="002A677E" w14:paraId="213F2491" w14:textId="77777777" w:rsidTr="00E07F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14:paraId="45D4562C" w14:textId="77777777" w:rsidR="006063BD" w:rsidRPr="002A677E" w:rsidRDefault="006063BD" w:rsidP="00E07FE9">
            <w:pPr>
              <w:spacing w:beforeLines="60" w:before="144" w:afterLines="60" w:after="144"/>
              <w:rPr>
                <w:rStyle w:val="InstructionsTabelleText"/>
                <w:rFonts w:ascii="Times New Roman" w:hAnsi="Times New Roman"/>
                <w:sz w:val="24"/>
              </w:rPr>
            </w:pPr>
            <w:r w:rsidRPr="002A677E">
              <w:rPr>
                <w:rStyle w:val="InstructionsTabelleText"/>
                <w:rFonts w:ascii="Times New Roman" w:hAnsi="Times New Roman"/>
                <w:sz w:val="24"/>
              </w:rPr>
              <w:lastRenderedPageBreak/>
              <w:t>0020</w:t>
            </w:r>
          </w:p>
        </w:tc>
        <w:tc>
          <w:tcPr>
            <w:tcW w:w="8004" w:type="dxa"/>
          </w:tcPr>
          <w:p w14:paraId="7DFAAD46" w14:textId="77777777" w:rsidR="006063BD" w:rsidRPr="002A677E" w:rsidRDefault="006063BD" w:rsidP="00E07FE9">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ORIGINAL EXPOSURE PRE-CONVERSION FACTORS</w:t>
            </w:r>
          </w:p>
          <w:p w14:paraId="14D647B9" w14:textId="77777777" w:rsidR="006063BD" w:rsidRPr="002A677E" w:rsidRDefault="006063BD" w:rsidP="00E07FE9">
            <w:pPr>
              <w:autoSpaceDE w:val="0"/>
              <w:autoSpaceDN w:val="0"/>
              <w:adjustRightInd w:val="0"/>
              <w:spacing w:before="0" w:after="0"/>
              <w:rPr>
                <w:rStyle w:val="InstructionsTabelleText"/>
                <w:rFonts w:ascii="Times New Roman" w:hAnsi="Times New Roman"/>
                <w:sz w:val="24"/>
              </w:rPr>
            </w:pPr>
            <w:r w:rsidRPr="002A677E">
              <w:rPr>
                <w:rStyle w:val="InstructionsTabelleText"/>
                <w:rFonts w:ascii="Times New Roman" w:hAnsi="Times New Roman"/>
                <w:sz w:val="24"/>
              </w:rPr>
              <w:t xml:space="preserve">Institutions report in column 0020 the original exposure value (pre-conversion factors). In accordance with Article 167 of Regulation (EU) No 575/2013, the exposure value for equity exposures shall be the accounting value remaining after specific credit risk adjustments. The </w:t>
            </w:r>
            <w:r w:rsidRPr="002A677E">
              <w:rPr>
                <w:rFonts w:ascii="Times New Roman" w:hAnsi="Times New Roman"/>
                <w:sz w:val="24"/>
              </w:rPr>
              <w:t>exposure value of off-balance sheet equity exposures shall be its nominal value after specific credit risk adjustments.</w:t>
            </w:r>
          </w:p>
          <w:p w14:paraId="7B8A5042" w14:textId="77777777" w:rsidR="006063BD" w:rsidRPr="002A677E" w:rsidRDefault="006063BD" w:rsidP="00E07FE9">
            <w:pPr>
              <w:spacing w:beforeLines="60" w:before="144" w:afterLines="60" w:after="144"/>
              <w:rPr>
                <w:rStyle w:val="InstructionsTabelleText"/>
                <w:rFonts w:ascii="Times New Roman" w:hAnsi="Times New Roman"/>
                <w:sz w:val="24"/>
              </w:rPr>
            </w:pPr>
            <w:r w:rsidRPr="002A677E">
              <w:rPr>
                <w:rStyle w:val="InstructionsTabelleText"/>
                <w:rFonts w:ascii="Times New Roman" w:hAnsi="Times New Roman"/>
                <w:sz w:val="24"/>
              </w:rPr>
              <w:t xml:space="preserve">Institutions shall also include in column 0020 the off balance sheet items referred to in Annex I </w:t>
            </w:r>
            <w:r w:rsidRPr="001235ED">
              <w:rPr>
                <w:rFonts w:ascii="Times New Roman" w:hAnsi="Times New Roman"/>
                <w:sz w:val="24"/>
                <w:lang w:val="en-US"/>
              </w:rPr>
              <w:t>of Regulation (EU) No 575/2013</w:t>
            </w:r>
            <w:r>
              <w:rPr>
                <w:rFonts w:ascii="Times New Roman" w:hAnsi="Times New Roman"/>
                <w:sz w:val="24"/>
                <w:lang w:val="en-US"/>
              </w:rPr>
              <w:t xml:space="preserve"> </w:t>
            </w:r>
            <w:r w:rsidRPr="002A677E">
              <w:rPr>
                <w:rStyle w:val="InstructionsTabelleText"/>
                <w:rFonts w:ascii="Times New Roman" w:hAnsi="Times New Roman"/>
                <w:sz w:val="24"/>
              </w:rPr>
              <w:t>assigned to the equity exposure class (e.g. “the unpaid portion of partly-paid shares”).</w:t>
            </w:r>
          </w:p>
          <w:p w14:paraId="0435DBD5" w14:textId="77777777" w:rsidR="006063BD" w:rsidRPr="002A677E" w:rsidRDefault="006063BD" w:rsidP="00E07FE9">
            <w:pPr>
              <w:spacing w:beforeLines="60" w:before="144" w:afterLines="60" w:after="144"/>
              <w:rPr>
                <w:rStyle w:val="InstructionsTabelleText"/>
                <w:rFonts w:ascii="Times New Roman" w:hAnsi="Times New Roman"/>
                <w:sz w:val="24"/>
              </w:rPr>
            </w:pPr>
            <w:r w:rsidRPr="002A677E">
              <w:rPr>
                <w:rStyle w:val="InstructionsTabelleText"/>
                <w:rFonts w:ascii="Times New Roman" w:hAnsi="Times New Roman"/>
                <w:sz w:val="24"/>
              </w:rPr>
              <w:t xml:space="preserve">Institutions applying the </w:t>
            </w:r>
            <w:r w:rsidRPr="002A677E">
              <w:rPr>
                <w:rStyle w:val="InstructionsTabelleText"/>
                <w:rFonts w:ascii="Times New Roman" w:hAnsi="Times New Roman"/>
                <w:sz w:val="24"/>
                <w:lang w:eastAsia="de-DE"/>
              </w:rPr>
              <w:t xml:space="preserve">Simple Risk Weight approach or the PD/LGD approach (as referred to in Article 165(1) </w:t>
            </w:r>
            <w:r w:rsidRPr="001235ED">
              <w:rPr>
                <w:rFonts w:ascii="Times New Roman" w:hAnsi="Times New Roman"/>
                <w:sz w:val="24"/>
                <w:lang w:val="en-US"/>
              </w:rPr>
              <w:t>of Regulation (EU) No 575/2013</w:t>
            </w:r>
            <w:r w:rsidRPr="002A677E">
              <w:rPr>
                <w:rStyle w:val="InstructionsTabelleText"/>
                <w:rFonts w:ascii="Times New Roman" w:hAnsi="Times New Roman"/>
                <w:sz w:val="24"/>
                <w:lang w:eastAsia="de-DE"/>
              </w:rPr>
              <w:t xml:space="preserve">) shall also take into account the offsetting referred to in Article 155(2), second subparagraph </w:t>
            </w:r>
            <w:r w:rsidRPr="001235ED">
              <w:rPr>
                <w:rFonts w:ascii="Times New Roman" w:hAnsi="Times New Roman"/>
                <w:sz w:val="24"/>
                <w:lang w:val="en-US"/>
              </w:rPr>
              <w:t>of Regulation (EU) No 575/2013</w:t>
            </w:r>
            <w:r w:rsidRPr="002A677E">
              <w:rPr>
                <w:rStyle w:val="InstructionsTabelleText"/>
                <w:rFonts w:ascii="Times New Roman" w:hAnsi="Times New Roman"/>
                <w:sz w:val="24"/>
                <w:lang w:eastAsia="de-DE"/>
              </w:rPr>
              <w:t xml:space="preserve">. </w:t>
            </w:r>
          </w:p>
        </w:tc>
      </w:tr>
      <w:tr w:rsidR="006063BD" w:rsidRPr="002A677E" w14:paraId="382DC2E8" w14:textId="77777777" w:rsidTr="00E07F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14:paraId="0E6A8C45" w14:textId="77777777" w:rsidR="006063BD" w:rsidRPr="002A677E" w:rsidRDefault="006063BD" w:rsidP="00E07FE9">
            <w:pPr>
              <w:spacing w:beforeLines="60" w:before="144" w:afterLines="60" w:after="144"/>
              <w:rPr>
                <w:rStyle w:val="InstructionsTabelleText"/>
                <w:rFonts w:ascii="Times New Roman" w:hAnsi="Times New Roman"/>
                <w:sz w:val="24"/>
              </w:rPr>
            </w:pPr>
            <w:r w:rsidRPr="002A677E">
              <w:rPr>
                <w:rStyle w:val="InstructionsTabelleText"/>
                <w:rFonts w:ascii="Times New Roman" w:hAnsi="Times New Roman"/>
                <w:sz w:val="24"/>
              </w:rPr>
              <w:t>0030-0040</w:t>
            </w:r>
          </w:p>
        </w:tc>
        <w:tc>
          <w:tcPr>
            <w:tcW w:w="8004" w:type="dxa"/>
          </w:tcPr>
          <w:p w14:paraId="2893F262" w14:textId="77777777" w:rsidR="006063BD" w:rsidRPr="002A677E" w:rsidRDefault="006063BD" w:rsidP="00E07FE9">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CREDIT RISK MITIGATION (CRM) TECHNIQUES WITH SUBSTITUTION EFFECTS ON THE EXPOSURE</w:t>
            </w:r>
          </w:p>
          <w:p w14:paraId="4EC65FBC" w14:textId="77777777" w:rsidR="006063BD" w:rsidRPr="002A677E" w:rsidRDefault="006063BD" w:rsidP="00E07FE9">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UNFUNDED CREDIT PROTECTION</w:t>
            </w:r>
          </w:p>
          <w:p w14:paraId="2B5389BD" w14:textId="77777777" w:rsidR="006063BD" w:rsidRPr="002A677E" w:rsidRDefault="006063BD" w:rsidP="00E07FE9">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GUARANTEES</w:t>
            </w:r>
          </w:p>
          <w:p w14:paraId="3ED7D45A" w14:textId="77777777" w:rsidR="006063BD" w:rsidRPr="002A677E" w:rsidRDefault="006063BD" w:rsidP="00E07FE9">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CREDIT DERIVATIVES</w:t>
            </w:r>
          </w:p>
          <w:p w14:paraId="78FA5F7A" w14:textId="77777777" w:rsidR="006063BD" w:rsidRPr="002A677E" w:rsidRDefault="006063BD" w:rsidP="00E07FE9">
            <w:pPr>
              <w:spacing w:beforeLines="60" w:before="144" w:afterLines="60" w:after="144"/>
              <w:rPr>
                <w:rStyle w:val="InstructionsTabelleText"/>
                <w:rFonts w:ascii="Times New Roman" w:hAnsi="Times New Roman"/>
                <w:sz w:val="24"/>
                <w:lang w:eastAsia="de-DE"/>
              </w:rPr>
            </w:pPr>
            <w:r w:rsidRPr="002A677E">
              <w:rPr>
                <w:rStyle w:val="InstructionsTabelleText"/>
                <w:rFonts w:ascii="Times New Roman" w:hAnsi="Times New Roman"/>
                <w:sz w:val="24"/>
              </w:rPr>
              <w:t>Irrespective of the approach adopted for the calculation of risk weighted exposure amounts for equity exposures, institutions may recognise unfunded credit protection obtained on equity exposures (</w:t>
            </w:r>
            <w:r w:rsidRPr="002A677E">
              <w:rPr>
                <w:rStyle w:val="InstructionsTabelleText"/>
                <w:rFonts w:ascii="Times New Roman" w:hAnsi="Times New Roman"/>
                <w:sz w:val="24"/>
                <w:lang w:eastAsia="de-DE"/>
              </w:rPr>
              <w:t>Article 155</w:t>
            </w:r>
            <w:r>
              <w:rPr>
                <w:rStyle w:val="InstructionsTabelleText"/>
                <w:rFonts w:ascii="Times New Roman" w:hAnsi="Times New Roman"/>
                <w:sz w:val="24"/>
                <w:lang w:eastAsia="de-DE"/>
              </w:rPr>
              <w:t>, p</w:t>
            </w:r>
            <w:r w:rsidRPr="002A677E">
              <w:rPr>
                <w:rStyle w:val="InstructionsTabelleText"/>
                <w:rFonts w:ascii="Times New Roman" w:hAnsi="Times New Roman"/>
                <w:sz w:val="24"/>
              </w:rPr>
              <w:t xml:space="preserve">aragraphs 2, 3 and 4 </w:t>
            </w:r>
            <w:r w:rsidRPr="001235ED">
              <w:rPr>
                <w:rFonts w:ascii="Times New Roman" w:hAnsi="Times New Roman"/>
                <w:sz w:val="24"/>
                <w:lang w:val="en-US"/>
              </w:rPr>
              <w:t>of Regulation (EU) No 575/2013</w:t>
            </w:r>
            <w:r w:rsidRPr="002A677E">
              <w:rPr>
                <w:rStyle w:val="InstructionsTabelleText"/>
                <w:rFonts w:ascii="Times New Roman" w:hAnsi="Times New Roman"/>
                <w:sz w:val="24"/>
                <w:lang w:eastAsia="de-DE"/>
              </w:rPr>
              <w:t xml:space="preserve">). Institutions applying the Simple Risk Weight approach or the PD/LGD approach shall report in columns 0030 and 0040 the amount of unfunded credit protection under the form of guarantees (column 0030) or credit derivatives (column 0040) recognised in accordance with the methods set out in Part Three, Title II, Chapter 4 </w:t>
            </w:r>
            <w:r w:rsidRPr="001235ED">
              <w:rPr>
                <w:rFonts w:ascii="Times New Roman" w:hAnsi="Times New Roman"/>
                <w:sz w:val="24"/>
                <w:lang w:val="en-US"/>
              </w:rPr>
              <w:t>of Regulation (EU) No 575/2013</w:t>
            </w:r>
            <w:r w:rsidRPr="002A677E">
              <w:rPr>
                <w:rStyle w:val="InstructionsTabelleText"/>
                <w:rFonts w:ascii="Times New Roman" w:hAnsi="Times New Roman"/>
                <w:sz w:val="24"/>
                <w:lang w:eastAsia="de-DE"/>
              </w:rPr>
              <w:t>.</w:t>
            </w:r>
          </w:p>
        </w:tc>
      </w:tr>
      <w:tr w:rsidR="006063BD" w:rsidRPr="002A677E" w14:paraId="17F47692" w14:textId="77777777" w:rsidTr="00E07F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14:paraId="4E9B1439" w14:textId="77777777" w:rsidR="006063BD" w:rsidRPr="002A677E" w:rsidRDefault="006063BD" w:rsidP="00E07FE9">
            <w:pPr>
              <w:spacing w:beforeLines="60" w:before="144" w:afterLines="60" w:after="144"/>
              <w:rPr>
                <w:rStyle w:val="InstructionsTabelleText"/>
                <w:rFonts w:ascii="Times New Roman" w:hAnsi="Times New Roman"/>
                <w:sz w:val="24"/>
              </w:rPr>
            </w:pPr>
            <w:r w:rsidRPr="002A677E">
              <w:rPr>
                <w:rStyle w:val="InstructionsTabelleText"/>
                <w:rFonts w:ascii="Times New Roman" w:hAnsi="Times New Roman"/>
                <w:sz w:val="24"/>
              </w:rPr>
              <w:t>0050</w:t>
            </w:r>
          </w:p>
        </w:tc>
        <w:tc>
          <w:tcPr>
            <w:tcW w:w="8004" w:type="dxa"/>
          </w:tcPr>
          <w:p w14:paraId="2E63B5A9" w14:textId="77777777" w:rsidR="006063BD" w:rsidRPr="002A677E" w:rsidRDefault="006063BD" w:rsidP="00E07FE9">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CREDIT RISK MITIGATION (CRM) TECHNIQUES WITH SUBSTITUTION EFFECTS ON THE EXPOSURE</w:t>
            </w:r>
          </w:p>
          <w:p w14:paraId="423CDDE6" w14:textId="77777777" w:rsidR="006063BD" w:rsidRPr="002A677E" w:rsidRDefault="006063BD" w:rsidP="00E07FE9">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SUBSTITUTION OF THE EXPOSURE DUE TO CRM</w:t>
            </w:r>
          </w:p>
          <w:p w14:paraId="3419A1AA" w14:textId="77777777" w:rsidR="006063BD" w:rsidRPr="002A677E" w:rsidRDefault="006063BD" w:rsidP="00E07FE9">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 TOTAL OUTFLOWS</w:t>
            </w:r>
          </w:p>
          <w:p w14:paraId="565BB9D1" w14:textId="77777777" w:rsidR="006063BD" w:rsidRPr="002A677E" w:rsidRDefault="006063BD" w:rsidP="00E07FE9">
            <w:pPr>
              <w:spacing w:beforeLines="60" w:before="144" w:afterLines="60" w:after="144"/>
              <w:rPr>
                <w:rStyle w:val="InstructionsTabelleText"/>
                <w:rFonts w:ascii="Times New Roman" w:hAnsi="Times New Roman"/>
                <w:sz w:val="24"/>
              </w:rPr>
            </w:pPr>
            <w:r w:rsidRPr="002A677E">
              <w:rPr>
                <w:rStyle w:val="InstructionsTabelleText"/>
                <w:rFonts w:ascii="Times New Roman" w:hAnsi="Times New Roman"/>
                <w:sz w:val="24"/>
              </w:rPr>
              <w:t>Institutions shall report in column 0050 the part of the original exposure pre-conversion factors covered by unfunded credit protection</w:t>
            </w:r>
            <w:r w:rsidRPr="002A677E">
              <w:rPr>
                <w:rStyle w:val="InstructionsTabelleText"/>
                <w:rFonts w:ascii="Times New Roman" w:hAnsi="Times New Roman"/>
                <w:sz w:val="24"/>
                <w:lang w:eastAsia="de-DE"/>
              </w:rPr>
              <w:t xml:space="preserve"> recognised in accordance with the methods set out in Part Three, Title II, Chapter 4 </w:t>
            </w:r>
            <w:r w:rsidRPr="001235ED">
              <w:rPr>
                <w:rFonts w:ascii="Times New Roman" w:hAnsi="Times New Roman"/>
                <w:sz w:val="24"/>
                <w:lang w:val="en-US"/>
              </w:rPr>
              <w:t>of Regulation (EU) No 575/2013</w:t>
            </w:r>
            <w:r w:rsidRPr="002A677E">
              <w:rPr>
                <w:rStyle w:val="InstructionsTabelleText"/>
                <w:rFonts w:ascii="Times New Roman" w:hAnsi="Times New Roman"/>
                <w:sz w:val="24"/>
                <w:lang w:eastAsia="de-DE"/>
              </w:rPr>
              <w:t>.</w:t>
            </w:r>
          </w:p>
        </w:tc>
      </w:tr>
      <w:tr w:rsidR="006063BD" w:rsidRPr="002A677E" w14:paraId="5722682D" w14:textId="77777777" w:rsidTr="00E07F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14:paraId="18758B3E" w14:textId="77777777" w:rsidR="006063BD" w:rsidRPr="002A677E" w:rsidRDefault="006063BD" w:rsidP="00E07FE9">
            <w:pPr>
              <w:spacing w:beforeLines="60" w:before="144" w:afterLines="60" w:after="144"/>
              <w:rPr>
                <w:rStyle w:val="InstructionsTabelleText"/>
                <w:rFonts w:ascii="Times New Roman" w:hAnsi="Times New Roman"/>
                <w:sz w:val="24"/>
              </w:rPr>
            </w:pPr>
            <w:r w:rsidRPr="002A677E">
              <w:rPr>
                <w:rStyle w:val="InstructionsTabelleText"/>
                <w:rFonts w:ascii="Times New Roman" w:hAnsi="Times New Roman"/>
                <w:sz w:val="24"/>
              </w:rPr>
              <w:t>0060</w:t>
            </w:r>
          </w:p>
        </w:tc>
        <w:tc>
          <w:tcPr>
            <w:tcW w:w="8004" w:type="dxa"/>
          </w:tcPr>
          <w:p w14:paraId="706B98F2" w14:textId="77777777" w:rsidR="006063BD" w:rsidRPr="002A677E" w:rsidRDefault="006063BD" w:rsidP="00E07FE9">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EXPOSURE VALUE</w:t>
            </w:r>
          </w:p>
          <w:p w14:paraId="6AD76A6E" w14:textId="77777777" w:rsidR="006063BD" w:rsidRPr="002A677E" w:rsidRDefault="006063BD" w:rsidP="00E07FE9">
            <w:pPr>
              <w:spacing w:beforeLines="60" w:before="144" w:afterLines="60" w:after="144"/>
              <w:rPr>
                <w:rStyle w:val="InstructionsTabelleText"/>
                <w:rFonts w:ascii="Times New Roman" w:hAnsi="Times New Roman"/>
                <w:sz w:val="24"/>
              </w:rPr>
            </w:pPr>
            <w:r w:rsidRPr="002A677E">
              <w:rPr>
                <w:rStyle w:val="InstructionsTabelleText"/>
                <w:rFonts w:ascii="Times New Roman" w:hAnsi="Times New Roman"/>
                <w:sz w:val="24"/>
              </w:rPr>
              <w:t xml:space="preserve">Institutions </w:t>
            </w:r>
            <w:r w:rsidRPr="002A677E">
              <w:rPr>
                <w:rStyle w:val="InstructionsTabelleText"/>
                <w:rFonts w:ascii="Times New Roman" w:hAnsi="Times New Roman"/>
                <w:sz w:val="24"/>
                <w:lang w:eastAsia="de-DE"/>
              </w:rPr>
              <w:t>applying the Simple Risk Weight approach or the PD/LGD approach</w:t>
            </w:r>
            <w:r w:rsidRPr="002A677E">
              <w:rPr>
                <w:rStyle w:val="InstructionsTabelleText"/>
                <w:rFonts w:ascii="Times New Roman" w:hAnsi="Times New Roman"/>
                <w:sz w:val="24"/>
              </w:rPr>
              <w:t xml:space="preserve"> shall report in column 0060 the exposure value, taking into account substitution </w:t>
            </w:r>
            <w:r w:rsidRPr="002A677E">
              <w:rPr>
                <w:rStyle w:val="InstructionsTabelleText"/>
                <w:rFonts w:ascii="Times New Roman" w:hAnsi="Times New Roman"/>
                <w:sz w:val="24"/>
              </w:rPr>
              <w:lastRenderedPageBreak/>
              <w:t>effects stemming from unfunded credit protection (Article 155</w:t>
            </w:r>
            <w:r>
              <w:rPr>
                <w:rStyle w:val="InstructionsTabelleText"/>
                <w:rFonts w:ascii="Times New Roman" w:hAnsi="Times New Roman"/>
                <w:sz w:val="24"/>
              </w:rPr>
              <w:t>, p</w:t>
            </w:r>
            <w:r w:rsidRPr="002A677E">
              <w:rPr>
                <w:rStyle w:val="InstructionsTabelleText"/>
                <w:rFonts w:ascii="Times New Roman" w:hAnsi="Times New Roman"/>
                <w:sz w:val="24"/>
              </w:rPr>
              <w:t xml:space="preserve">aragraphs 2 and 3 and Article 167 </w:t>
            </w:r>
            <w:r w:rsidRPr="001235ED">
              <w:rPr>
                <w:rFonts w:ascii="Times New Roman" w:hAnsi="Times New Roman"/>
                <w:sz w:val="24"/>
                <w:lang w:val="en-US"/>
              </w:rPr>
              <w:t>of Regulation (EU) No 575/2013</w:t>
            </w:r>
            <w:r w:rsidRPr="002A677E">
              <w:rPr>
                <w:rStyle w:val="InstructionsTabelleText"/>
                <w:rFonts w:ascii="Times New Roman" w:hAnsi="Times New Roman"/>
                <w:sz w:val="24"/>
              </w:rPr>
              <w:t>).</w:t>
            </w:r>
          </w:p>
          <w:p w14:paraId="651AFB2A" w14:textId="77777777" w:rsidR="006063BD" w:rsidRPr="002A677E" w:rsidRDefault="006063BD" w:rsidP="00E07FE9">
            <w:pPr>
              <w:spacing w:beforeLines="60" w:before="144" w:afterLines="60" w:after="144"/>
              <w:rPr>
                <w:rStyle w:val="InstructionsTabelleText"/>
                <w:rFonts w:ascii="Times New Roman" w:hAnsi="Times New Roman"/>
                <w:sz w:val="24"/>
              </w:rPr>
            </w:pPr>
            <w:r w:rsidRPr="002A677E">
              <w:rPr>
                <w:rStyle w:val="InstructionsTabelleText"/>
                <w:rFonts w:ascii="Times New Roman" w:hAnsi="Times New Roman"/>
                <w:sz w:val="24"/>
              </w:rPr>
              <w:t xml:space="preserve">In the case of equity off-balance sheet exposures, the exposure value shall be the nominal value after specific credit risk adjustments (Article 167 </w:t>
            </w:r>
            <w:r w:rsidRPr="001235ED">
              <w:rPr>
                <w:rFonts w:ascii="Times New Roman" w:hAnsi="Times New Roman"/>
                <w:sz w:val="24"/>
                <w:lang w:val="en-US"/>
              </w:rPr>
              <w:t>of Regulation (EU) No 575/2013</w:t>
            </w:r>
            <w:r w:rsidRPr="002A677E">
              <w:rPr>
                <w:rStyle w:val="InstructionsTabelleText"/>
                <w:rFonts w:ascii="Times New Roman" w:hAnsi="Times New Roman"/>
                <w:sz w:val="24"/>
              </w:rPr>
              <w:t>).</w:t>
            </w:r>
          </w:p>
        </w:tc>
      </w:tr>
      <w:tr w:rsidR="006063BD" w:rsidRPr="002A677E" w14:paraId="6B327CFF" w14:textId="77777777" w:rsidTr="00E07F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14:paraId="5E037218" w14:textId="77777777" w:rsidR="006063BD" w:rsidRPr="002A677E" w:rsidRDefault="006063BD" w:rsidP="00E07FE9">
            <w:pPr>
              <w:spacing w:beforeLines="60" w:before="144" w:afterLines="60" w:after="144"/>
              <w:rPr>
                <w:rStyle w:val="InstructionsTabelleText"/>
                <w:rFonts w:ascii="Times New Roman" w:hAnsi="Times New Roman"/>
                <w:sz w:val="24"/>
              </w:rPr>
            </w:pPr>
            <w:r w:rsidRPr="002A677E">
              <w:rPr>
                <w:rStyle w:val="InstructionsTabelleText"/>
                <w:rFonts w:ascii="Times New Roman" w:hAnsi="Times New Roman"/>
                <w:sz w:val="24"/>
                <w:lang w:eastAsia="en-GB" w:bidi="ne-NP"/>
              </w:rPr>
              <w:lastRenderedPageBreak/>
              <w:t>0061</w:t>
            </w:r>
          </w:p>
        </w:tc>
        <w:tc>
          <w:tcPr>
            <w:tcW w:w="8004" w:type="dxa"/>
          </w:tcPr>
          <w:p w14:paraId="453CE433" w14:textId="77777777" w:rsidR="006063BD" w:rsidRPr="002A677E" w:rsidRDefault="006063BD" w:rsidP="00E07FE9">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lang w:eastAsia="en-GB" w:bidi="ne-NP"/>
              </w:rPr>
              <w:t>OF WHICH: OFF BALANCE SHEET ITEMS</w:t>
            </w:r>
          </w:p>
          <w:p w14:paraId="4C0B5E6E" w14:textId="77777777" w:rsidR="006063BD" w:rsidRPr="002A677E" w:rsidRDefault="006063BD" w:rsidP="00E07FE9">
            <w:pPr>
              <w:spacing w:beforeLines="60" w:before="144" w:afterLines="60" w:after="144"/>
              <w:rPr>
                <w:rStyle w:val="InstructionsTabelleberschrift"/>
                <w:rFonts w:ascii="Times New Roman" w:hAnsi="Times New Roman"/>
                <w:b w:val="0"/>
                <w:sz w:val="24"/>
              </w:rPr>
            </w:pPr>
            <w:r w:rsidRPr="002A677E">
              <w:rPr>
                <w:rStyle w:val="InstructionsTabelleberschrift"/>
                <w:rFonts w:ascii="Times New Roman" w:hAnsi="Times New Roman"/>
                <w:sz w:val="24"/>
                <w:lang w:eastAsia="en-GB" w:bidi="ne-NP"/>
              </w:rPr>
              <w:t xml:space="preserve">See CR-SA instructions </w:t>
            </w:r>
          </w:p>
        </w:tc>
      </w:tr>
      <w:tr w:rsidR="006063BD" w:rsidRPr="002A677E" w14:paraId="1466607A" w14:textId="77777777" w:rsidTr="00E07F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14:paraId="0AF23714" w14:textId="77777777" w:rsidR="006063BD" w:rsidRPr="002A677E" w:rsidRDefault="006063BD" w:rsidP="00E07FE9">
            <w:pPr>
              <w:spacing w:beforeLines="60" w:before="144" w:afterLines="60" w:after="144"/>
              <w:rPr>
                <w:rStyle w:val="InstructionsTabelleText"/>
                <w:rFonts w:ascii="Times New Roman" w:hAnsi="Times New Roman"/>
                <w:sz w:val="24"/>
              </w:rPr>
            </w:pPr>
            <w:r w:rsidRPr="002A677E">
              <w:rPr>
                <w:rStyle w:val="InstructionsTabelleText"/>
                <w:rFonts w:ascii="Times New Roman" w:hAnsi="Times New Roman"/>
                <w:sz w:val="24"/>
              </w:rPr>
              <w:t>0070</w:t>
            </w:r>
          </w:p>
        </w:tc>
        <w:tc>
          <w:tcPr>
            <w:tcW w:w="8004" w:type="dxa"/>
          </w:tcPr>
          <w:p w14:paraId="0937B83C" w14:textId="77777777" w:rsidR="006063BD" w:rsidRPr="002A677E" w:rsidRDefault="006063BD" w:rsidP="00E07FE9">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EXPOSURE WEIGHTED AVERAGE LGD (%)</w:t>
            </w:r>
          </w:p>
          <w:p w14:paraId="39A39197" w14:textId="77777777" w:rsidR="006063BD" w:rsidRPr="002A677E" w:rsidRDefault="006063BD" w:rsidP="00E07FE9">
            <w:pPr>
              <w:spacing w:beforeLines="60" w:before="144" w:afterLines="60" w:after="144"/>
              <w:rPr>
                <w:rStyle w:val="InstructionsTabelleText"/>
                <w:rFonts w:ascii="Times New Roman" w:hAnsi="Times New Roman"/>
                <w:sz w:val="24"/>
              </w:rPr>
            </w:pPr>
            <w:r w:rsidRPr="002A677E">
              <w:rPr>
                <w:rStyle w:val="InstructionsTabelleText"/>
                <w:rFonts w:ascii="Times New Roman" w:hAnsi="Times New Roman"/>
                <w:sz w:val="24"/>
              </w:rPr>
              <w:t>Institutions applying the PD/LGD approach shall report the exposure weighted average of the LGDs assigned to the obligor grades or pools included in the aggregation</w:t>
            </w:r>
          </w:p>
          <w:p w14:paraId="531525BF" w14:textId="77777777" w:rsidR="006063BD" w:rsidRPr="002A677E" w:rsidRDefault="006063BD" w:rsidP="00E07FE9">
            <w:pPr>
              <w:spacing w:beforeLines="60" w:before="144" w:afterLines="60" w:after="144"/>
              <w:rPr>
                <w:rStyle w:val="InstructionsTabelleText"/>
                <w:rFonts w:ascii="Times New Roman" w:hAnsi="Times New Roman"/>
                <w:sz w:val="24"/>
              </w:rPr>
            </w:pPr>
            <w:r w:rsidRPr="002A677E">
              <w:rPr>
                <w:rStyle w:val="InstructionsTabelleText"/>
                <w:rFonts w:ascii="Times New Roman" w:hAnsi="Times New Roman"/>
                <w:sz w:val="24"/>
              </w:rPr>
              <w:t xml:space="preserve">The exposure value taking into account unfunded credit protection (column 0060) shall be used for the calculation of the exposure-weighted average LGD. </w:t>
            </w:r>
          </w:p>
          <w:p w14:paraId="6D55ECB2" w14:textId="77777777" w:rsidR="006063BD" w:rsidRPr="002A677E" w:rsidRDefault="006063BD" w:rsidP="00E07FE9">
            <w:pPr>
              <w:spacing w:beforeLines="60" w:before="144" w:afterLines="60" w:after="144"/>
              <w:rPr>
                <w:rStyle w:val="InstructionsTabelleText"/>
                <w:rFonts w:ascii="Times New Roman" w:hAnsi="Times New Roman"/>
                <w:sz w:val="24"/>
              </w:rPr>
            </w:pPr>
            <w:r w:rsidRPr="002A677E">
              <w:rPr>
                <w:rStyle w:val="InstructionsTabelleText"/>
                <w:rFonts w:ascii="Times New Roman" w:hAnsi="Times New Roman"/>
                <w:sz w:val="24"/>
              </w:rPr>
              <w:t xml:space="preserve">Institutions shall take into account Article 165(2) </w:t>
            </w:r>
            <w:r w:rsidRPr="001235ED">
              <w:rPr>
                <w:rFonts w:ascii="Times New Roman" w:hAnsi="Times New Roman"/>
                <w:sz w:val="24"/>
                <w:lang w:val="en-US"/>
              </w:rPr>
              <w:t>of Regulation (EU) No 575/2013</w:t>
            </w:r>
            <w:r w:rsidRPr="002A677E">
              <w:rPr>
                <w:rStyle w:val="InstructionsTabelleText"/>
                <w:rFonts w:ascii="Times New Roman" w:hAnsi="Times New Roman"/>
                <w:sz w:val="24"/>
              </w:rPr>
              <w:t>.</w:t>
            </w:r>
          </w:p>
        </w:tc>
      </w:tr>
      <w:tr w:rsidR="006063BD" w:rsidRPr="002A677E" w14:paraId="31AFD79C" w14:textId="77777777" w:rsidTr="00E07F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14:paraId="368FECE1" w14:textId="77777777" w:rsidR="006063BD" w:rsidRPr="002A677E" w:rsidRDefault="006063BD" w:rsidP="00E07FE9">
            <w:pPr>
              <w:spacing w:beforeLines="60" w:before="144" w:afterLines="60" w:after="144"/>
              <w:rPr>
                <w:rStyle w:val="InstructionsTabelleText"/>
                <w:rFonts w:ascii="Times New Roman" w:hAnsi="Times New Roman"/>
                <w:sz w:val="24"/>
              </w:rPr>
            </w:pPr>
            <w:r w:rsidRPr="002A677E">
              <w:rPr>
                <w:rStyle w:val="InstructionsTabelleText"/>
                <w:rFonts w:ascii="Times New Roman" w:hAnsi="Times New Roman"/>
                <w:sz w:val="24"/>
              </w:rPr>
              <w:t>0080</w:t>
            </w:r>
          </w:p>
        </w:tc>
        <w:tc>
          <w:tcPr>
            <w:tcW w:w="8004" w:type="dxa"/>
          </w:tcPr>
          <w:p w14:paraId="4A7F554B" w14:textId="77777777" w:rsidR="006063BD" w:rsidRPr="002A677E" w:rsidRDefault="006063BD" w:rsidP="00E07FE9">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RISK WEIGHTED EXPOSURE AMOUNT</w:t>
            </w:r>
          </w:p>
          <w:p w14:paraId="11F80B1F" w14:textId="77777777" w:rsidR="006063BD" w:rsidRPr="002A677E" w:rsidRDefault="006063BD" w:rsidP="00E07FE9">
            <w:pPr>
              <w:spacing w:beforeLines="60" w:before="144" w:afterLines="60" w:after="144"/>
              <w:rPr>
                <w:rStyle w:val="InstructionsTabelleText"/>
                <w:rFonts w:ascii="Times New Roman" w:hAnsi="Times New Roman"/>
                <w:sz w:val="24"/>
              </w:rPr>
            </w:pPr>
            <w:r w:rsidRPr="002A677E">
              <w:rPr>
                <w:rStyle w:val="InstructionsTabelleText"/>
                <w:rFonts w:ascii="Times New Roman" w:hAnsi="Times New Roman"/>
                <w:sz w:val="24"/>
              </w:rPr>
              <w:t xml:space="preserve">Institutions shall report risk-weighted exposure amounts for equity exposures calculated in accordance with Article 155 </w:t>
            </w:r>
            <w:r w:rsidRPr="001235ED">
              <w:rPr>
                <w:rFonts w:ascii="Times New Roman" w:hAnsi="Times New Roman"/>
                <w:sz w:val="24"/>
                <w:lang w:val="en-US"/>
              </w:rPr>
              <w:t>of Regulation (EU) No 575/2013</w:t>
            </w:r>
            <w:r w:rsidRPr="002A677E">
              <w:rPr>
                <w:rStyle w:val="InstructionsTabelleText"/>
                <w:rFonts w:ascii="Times New Roman" w:hAnsi="Times New Roman"/>
                <w:sz w:val="24"/>
                <w:lang w:eastAsia="de-DE"/>
              </w:rPr>
              <w:t>.</w:t>
            </w:r>
          </w:p>
          <w:p w14:paraId="73CF54D0" w14:textId="77777777" w:rsidR="006063BD" w:rsidRPr="002A677E" w:rsidRDefault="006063BD" w:rsidP="00E07FE9">
            <w:pPr>
              <w:spacing w:beforeLines="60" w:before="144" w:afterLines="60" w:after="144"/>
              <w:rPr>
                <w:rStyle w:val="InstructionsTabelleText"/>
                <w:rFonts w:ascii="Times New Roman" w:hAnsi="Times New Roman"/>
                <w:sz w:val="24"/>
                <w:lang w:eastAsia="de-DE"/>
              </w:rPr>
            </w:pPr>
            <w:r w:rsidRPr="002A677E">
              <w:rPr>
                <w:rStyle w:val="InstructionsTabelleText"/>
                <w:rFonts w:ascii="Times New Roman" w:hAnsi="Times New Roman"/>
                <w:sz w:val="24"/>
                <w:lang w:eastAsia="de-DE"/>
              </w:rPr>
              <w:t xml:space="preserve">Where institutions applying the PD/LGD approach do not have sufficient information to use the definition of default set out in Article 178 </w:t>
            </w:r>
            <w:r w:rsidRPr="001235ED">
              <w:rPr>
                <w:rFonts w:ascii="Times New Roman" w:hAnsi="Times New Roman"/>
                <w:sz w:val="24"/>
                <w:lang w:val="en-US"/>
              </w:rPr>
              <w:t>of Regulation (EU) No 575/2013</w:t>
            </w:r>
            <w:r w:rsidRPr="002A677E">
              <w:rPr>
                <w:rStyle w:val="InstructionsTabelleText"/>
                <w:rFonts w:ascii="Times New Roman" w:hAnsi="Times New Roman"/>
                <w:sz w:val="24"/>
                <w:lang w:eastAsia="de-DE"/>
              </w:rPr>
              <w:t xml:space="preserve">, a scaling factor of 1,5 shall be assigned to the risk weights when calculating risk weighted exposure amounts (Article 155(3) </w:t>
            </w:r>
            <w:r w:rsidRPr="001235ED">
              <w:rPr>
                <w:rFonts w:ascii="Times New Roman" w:hAnsi="Times New Roman"/>
                <w:sz w:val="24"/>
                <w:lang w:val="en-US"/>
              </w:rPr>
              <w:t>of Regulation (EU) No 575/2013</w:t>
            </w:r>
            <w:r w:rsidRPr="002A677E">
              <w:rPr>
                <w:rStyle w:val="InstructionsTabelleText"/>
                <w:rFonts w:ascii="Times New Roman" w:hAnsi="Times New Roman"/>
                <w:sz w:val="24"/>
                <w:lang w:eastAsia="de-DE"/>
              </w:rPr>
              <w:t xml:space="preserve">). </w:t>
            </w:r>
          </w:p>
          <w:p w14:paraId="73F5A45F" w14:textId="77777777" w:rsidR="006063BD" w:rsidRPr="002A677E" w:rsidRDefault="006063BD" w:rsidP="00E07FE9">
            <w:pPr>
              <w:spacing w:beforeLines="60" w:before="144" w:afterLines="60" w:after="144"/>
              <w:rPr>
                <w:rStyle w:val="InstructionsTabelleText"/>
                <w:rFonts w:ascii="Times New Roman" w:hAnsi="Times New Roman"/>
                <w:sz w:val="24"/>
              </w:rPr>
            </w:pPr>
            <w:r w:rsidRPr="002A677E">
              <w:rPr>
                <w:rStyle w:val="InstructionsTabelleText"/>
                <w:rFonts w:ascii="Times New Roman" w:hAnsi="Times New Roman"/>
                <w:sz w:val="24"/>
                <w:lang w:eastAsia="de-DE"/>
              </w:rPr>
              <w:t xml:space="preserve">With regard to the input parameter M (Maturity) to the risk-weight function, </w:t>
            </w:r>
            <w:r w:rsidRPr="002A677E">
              <w:rPr>
                <w:rStyle w:val="InstructionsTabelleText"/>
                <w:rFonts w:ascii="Times New Roman" w:hAnsi="Times New Roman"/>
                <w:sz w:val="24"/>
              </w:rPr>
              <w:t xml:space="preserve">the maturity assigned to equity exposures equals 5 years (Article 165(3) </w:t>
            </w:r>
            <w:r w:rsidRPr="001235ED">
              <w:rPr>
                <w:rFonts w:ascii="Times New Roman" w:hAnsi="Times New Roman"/>
                <w:sz w:val="24"/>
                <w:lang w:val="en-US"/>
              </w:rPr>
              <w:t>of Regulation (EU) No 575/2013</w:t>
            </w:r>
            <w:r w:rsidRPr="002A677E">
              <w:rPr>
                <w:rStyle w:val="InstructionsTabelleText"/>
                <w:rFonts w:ascii="Times New Roman" w:hAnsi="Times New Roman"/>
                <w:sz w:val="24"/>
              </w:rPr>
              <w:t>).</w:t>
            </w:r>
          </w:p>
        </w:tc>
      </w:tr>
      <w:tr w:rsidR="006063BD" w:rsidRPr="002A677E" w14:paraId="6D510B40" w14:textId="77777777" w:rsidTr="00E07F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14:paraId="41EF4254" w14:textId="77777777" w:rsidR="006063BD" w:rsidRPr="002A677E" w:rsidRDefault="006063BD" w:rsidP="00E07FE9">
            <w:pPr>
              <w:spacing w:beforeLines="60" w:before="144" w:afterLines="60" w:after="144"/>
              <w:rPr>
                <w:rStyle w:val="InstructionsTabelleText"/>
                <w:rFonts w:ascii="Times New Roman" w:hAnsi="Times New Roman"/>
                <w:sz w:val="24"/>
              </w:rPr>
            </w:pPr>
            <w:r w:rsidRPr="002A677E">
              <w:rPr>
                <w:rStyle w:val="InstructionsTabelleText"/>
                <w:rFonts w:ascii="Times New Roman" w:hAnsi="Times New Roman"/>
                <w:sz w:val="24"/>
              </w:rPr>
              <w:t>0090</w:t>
            </w:r>
          </w:p>
        </w:tc>
        <w:tc>
          <w:tcPr>
            <w:tcW w:w="8004" w:type="dxa"/>
          </w:tcPr>
          <w:p w14:paraId="12D0755F" w14:textId="77777777" w:rsidR="006063BD" w:rsidRPr="002A677E" w:rsidRDefault="006063BD" w:rsidP="00E07FE9">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MEMORANDUM ITEM: EXPECTED LOSS AMOUNT</w:t>
            </w:r>
          </w:p>
          <w:p w14:paraId="623383B8" w14:textId="77777777" w:rsidR="006063BD" w:rsidRPr="002A677E" w:rsidRDefault="006063BD" w:rsidP="00E07FE9">
            <w:pPr>
              <w:spacing w:beforeLines="60" w:before="144" w:afterLines="60" w:after="144"/>
              <w:rPr>
                <w:rStyle w:val="InstructionsTabelleText"/>
                <w:rFonts w:ascii="Times New Roman" w:hAnsi="Times New Roman"/>
                <w:sz w:val="24"/>
              </w:rPr>
            </w:pPr>
            <w:r w:rsidRPr="002A677E">
              <w:rPr>
                <w:rStyle w:val="InstructionsTabelleText"/>
                <w:rFonts w:ascii="Times New Roman" w:hAnsi="Times New Roman"/>
                <w:sz w:val="24"/>
              </w:rPr>
              <w:t xml:space="preserve">Institutions shall report in column 0090 the expected loss amount for equity exposures </w:t>
            </w:r>
            <w:r w:rsidRPr="002A677E">
              <w:rPr>
                <w:rStyle w:val="InstructionsTabelleText"/>
                <w:rFonts w:ascii="Times New Roman" w:hAnsi="Times New Roman"/>
                <w:sz w:val="24"/>
                <w:lang w:eastAsia="de-DE"/>
              </w:rPr>
              <w:t xml:space="preserve">calculated in accordance with </w:t>
            </w:r>
            <w:r w:rsidRPr="002A677E">
              <w:rPr>
                <w:rStyle w:val="InstructionsTabelleText"/>
                <w:rFonts w:ascii="Times New Roman" w:hAnsi="Times New Roman"/>
                <w:sz w:val="24"/>
              </w:rPr>
              <w:t>Article 158</w:t>
            </w:r>
            <w:r>
              <w:rPr>
                <w:rStyle w:val="InstructionsTabelleText"/>
                <w:rFonts w:ascii="Times New Roman" w:hAnsi="Times New Roman"/>
                <w:sz w:val="24"/>
              </w:rPr>
              <w:t>, p</w:t>
            </w:r>
            <w:r w:rsidRPr="002A677E">
              <w:rPr>
                <w:rStyle w:val="InstructionsTabelleText"/>
                <w:rFonts w:ascii="Times New Roman" w:hAnsi="Times New Roman"/>
                <w:sz w:val="24"/>
                <w:lang w:eastAsia="de-DE"/>
              </w:rPr>
              <w:t xml:space="preserve">aragraphs 4, 7, 8 and 9 </w:t>
            </w:r>
            <w:r w:rsidRPr="001235ED">
              <w:rPr>
                <w:rFonts w:ascii="Times New Roman" w:hAnsi="Times New Roman"/>
                <w:sz w:val="24"/>
                <w:lang w:val="en-US"/>
              </w:rPr>
              <w:t>of Regulation (EU) No 575/2013</w:t>
            </w:r>
            <w:r w:rsidRPr="002A677E">
              <w:rPr>
                <w:rStyle w:val="InstructionsTabelleText"/>
                <w:rFonts w:ascii="Times New Roman" w:hAnsi="Times New Roman"/>
                <w:sz w:val="24"/>
              </w:rPr>
              <w:t xml:space="preserve">. </w:t>
            </w:r>
          </w:p>
        </w:tc>
      </w:tr>
    </w:tbl>
    <w:p w14:paraId="5929752F" w14:textId="77777777" w:rsidR="006063BD" w:rsidRPr="002A677E" w:rsidRDefault="006063BD" w:rsidP="006063BD">
      <w:pPr>
        <w:pStyle w:val="InstructionsText"/>
      </w:pPr>
    </w:p>
    <w:p w14:paraId="26816B4F" w14:textId="4774BD94" w:rsidR="006063BD" w:rsidRPr="002A677E" w:rsidRDefault="006063BD" w:rsidP="006063BD">
      <w:pPr>
        <w:pStyle w:val="InstructionsText2"/>
        <w:numPr>
          <w:ilvl w:val="0"/>
          <w:numId w:val="0"/>
        </w:numPr>
        <w:ind w:left="993"/>
      </w:pPr>
      <w:r>
        <w:fldChar w:fldCharType="begin"/>
      </w:r>
      <w:r>
        <w:instrText>seq paragraphs</w:instrText>
      </w:r>
      <w:r>
        <w:fldChar w:fldCharType="separate"/>
      </w:r>
      <w:r w:rsidRPr="002A677E">
        <w:rPr>
          <w:noProof/>
        </w:rPr>
        <w:t>98</w:t>
      </w:r>
      <w:r>
        <w:fldChar w:fldCharType="end"/>
      </w:r>
      <w:r w:rsidRPr="002A677E">
        <w:t>.</w:t>
      </w:r>
      <w:r w:rsidRPr="002A677E">
        <w:tab/>
      </w:r>
      <w:r>
        <w:t>[Deleted]</w:t>
      </w:r>
    </w:p>
    <w:tbl>
      <w:tblPr>
        <w:tblW w:w="9524" w:type="dxa"/>
        <w:tblLook w:val="01E0" w:firstRow="1" w:lastRow="1" w:firstColumn="1" w:lastColumn="1" w:noHBand="0" w:noVBand="0"/>
      </w:tblPr>
      <w:tblGrid>
        <w:gridCol w:w="1608"/>
        <w:gridCol w:w="7916"/>
      </w:tblGrid>
      <w:tr w:rsidR="006063BD" w:rsidRPr="002A677E" w14:paraId="390F1BBB" w14:textId="77777777" w:rsidTr="00E07FE9">
        <w:tc>
          <w:tcPr>
            <w:tcW w:w="9524" w:type="dxa"/>
            <w:gridSpan w:val="2"/>
            <w:tcBorders>
              <w:top w:val="single" w:sz="4" w:space="0" w:color="auto"/>
              <w:left w:val="single" w:sz="4" w:space="0" w:color="auto"/>
              <w:bottom w:val="single" w:sz="4" w:space="0" w:color="auto"/>
              <w:right w:val="single" w:sz="4" w:space="0" w:color="auto"/>
            </w:tcBorders>
            <w:shd w:val="clear" w:color="auto" w:fill="A6A6A6"/>
          </w:tcPr>
          <w:p w14:paraId="4DFE8A5E" w14:textId="77777777" w:rsidR="006063BD" w:rsidRPr="001235ED" w:rsidRDefault="006063BD" w:rsidP="00E07FE9">
            <w:pPr>
              <w:spacing w:beforeLines="60" w:before="144" w:afterLines="60" w:after="144"/>
              <w:rPr>
                <w:rStyle w:val="InstructionsTabelleText"/>
                <w:rFonts w:ascii="Times New Roman" w:hAnsi="Times New Roman"/>
                <w:b/>
                <w:sz w:val="24"/>
              </w:rPr>
            </w:pPr>
            <w:r w:rsidRPr="002A677E">
              <w:rPr>
                <w:rStyle w:val="InstructionsTabelleText"/>
                <w:rFonts w:ascii="Times New Roman" w:hAnsi="Times New Roman"/>
                <w:b/>
                <w:sz w:val="24"/>
              </w:rPr>
              <w:t>Rows</w:t>
            </w:r>
          </w:p>
        </w:tc>
      </w:tr>
      <w:tr w:rsidR="006063BD" w:rsidRPr="002A677E" w14:paraId="7C696210" w14:textId="77777777" w:rsidTr="00E07FE9">
        <w:tc>
          <w:tcPr>
            <w:tcW w:w="1608" w:type="dxa"/>
            <w:tcBorders>
              <w:top w:val="single" w:sz="4" w:space="0" w:color="auto"/>
              <w:left w:val="single" w:sz="4" w:space="0" w:color="auto"/>
              <w:bottom w:val="single" w:sz="4" w:space="0" w:color="auto"/>
              <w:right w:val="single" w:sz="4" w:space="0" w:color="auto"/>
            </w:tcBorders>
          </w:tcPr>
          <w:p w14:paraId="13A797C6" w14:textId="77777777" w:rsidR="006063BD" w:rsidRPr="002A677E" w:rsidRDefault="006063BD" w:rsidP="00E07FE9">
            <w:pPr>
              <w:spacing w:beforeLines="60" w:before="144" w:afterLines="60" w:after="144"/>
              <w:rPr>
                <w:rStyle w:val="InstructionsTabelleText"/>
                <w:rFonts w:ascii="Times New Roman" w:hAnsi="Times New Roman"/>
                <w:sz w:val="24"/>
              </w:rPr>
            </w:pPr>
            <w:r w:rsidRPr="002A677E">
              <w:rPr>
                <w:rStyle w:val="InstructionsTabelleText"/>
                <w:rFonts w:ascii="Times New Roman" w:hAnsi="Times New Roman"/>
                <w:sz w:val="24"/>
              </w:rPr>
              <w:lastRenderedPageBreak/>
              <w:t>CR EQU IRB 1 - row 0020,</w:t>
            </w:r>
          </w:p>
          <w:p w14:paraId="1F763B4F" w14:textId="77777777" w:rsidR="006063BD" w:rsidRPr="002A677E" w:rsidRDefault="006063BD" w:rsidP="00E07FE9">
            <w:pPr>
              <w:spacing w:beforeLines="60" w:before="144" w:afterLines="60" w:after="144"/>
              <w:rPr>
                <w:rStyle w:val="InstructionsTabelleText"/>
                <w:rFonts w:ascii="Times New Roman" w:hAnsi="Times New Roman"/>
                <w:sz w:val="24"/>
              </w:rPr>
            </w:pPr>
          </w:p>
        </w:tc>
        <w:tc>
          <w:tcPr>
            <w:tcW w:w="7916" w:type="dxa"/>
            <w:tcBorders>
              <w:top w:val="single" w:sz="4" w:space="0" w:color="auto"/>
              <w:left w:val="single" w:sz="4" w:space="0" w:color="auto"/>
              <w:bottom w:val="single" w:sz="4" w:space="0" w:color="auto"/>
              <w:right w:val="single" w:sz="4" w:space="0" w:color="auto"/>
            </w:tcBorders>
          </w:tcPr>
          <w:p w14:paraId="15CDF7E7" w14:textId="77777777" w:rsidR="006063BD" w:rsidRPr="002A677E" w:rsidRDefault="006063BD" w:rsidP="00E07FE9">
            <w:pPr>
              <w:keepNext/>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 xml:space="preserve">PD/LGD APRROACH: TOTAL </w:t>
            </w:r>
          </w:p>
          <w:p w14:paraId="19AC2738" w14:textId="77777777" w:rsidR="006063BD" w:rsidRPr="002A677E" w:rsidRDefault="006063BD" w:rsidP="00E07FE9">
            <w:pPr>
              <w:keepNext/>
              <w:spacing w:beforeLines="60" w:before="144" w:afterLines="60" w:after="144"/>
              <w:rPr>
                <w:rStyle w:val="InstructionsTabelleText"/>
                <w:rFonts w:ascii="Times New Roman" w:hAnsi="Times New Roman"/>
                <w:sz w:val="24"/>
              </w:rPr>
            </w:pPr>
            <w:r w:rsidRPr="002A677E">
              <w:rPr>
                <w:rStyle w:val="InstructionsTabelleText"/>
                <w:rFonts w:ascii="Times New Roman" w:hAnsi="Times New Roman"/>
                <w:sz w:val="24"/>
              </w:rPr>
              <w:t xml:space="preserve">Institutions applying the </w:t>
            </w:r>
            <w:r w:rsidRPr="002A677E">
              <w:rPr>
                <w:rStyle w:val="InstructionsTabelleText"/>
                <w:rFonts w:ascii="Times New Roman" w:hAnsi="Times New Roman"/>
                <w:sz w:val="24"/>
                <w:lang w:eastAsia="de-DE"/>
              </w:rPr>
              <w:t xml:space="preserve">PD/LGD approach (Article 155(3) </w:t>
            </w:r>
            <w:r w:rsidRPr="001235ED">
              <w:rPr>
                <w:rFonts w:ascii="Times New Roman" w:hAnsi="Times New Roman"/>
                <w:sz w:val="24"/>
                <w:lang w:val="en-US"/>
              </w:rPr>
              <w:t>of Regulation (EU) No 575/2013</w:t>
            </w:r>
            <w:r w:rsidRPr="002A677E">
              <w:rPr>
                <w:rStyle w:val="InstructionsTabelleText"/>
                <w:rFonts w:ascii="Times New Roman" w:hAnsi="Times New Roman"/>
                <w:sz w:val="24"/>
                <w:lang w:eastAsia="de-DE"/>
              </w:rPr>
              <w:t xml:space="preserve">) shall </w:t>
            </w:r>
            <w:r w:rsidRPr="002A677E">
              <w:rPr>
                <w:rStyle w:val="InstructionsTabelleText"/>
                <w:rFonts w:ascii="Times New Roman" w:hAnsi="Times New Roman"/>
                <w:sz w:val="24"/>
              </w:rPr>
              <w:t>report the required information in row 0020 of the CR EQU IRB 1 template.</w:t>
            </w:r>
          </w:p>
        </w:tc>
      </w:tr>
      <w:tr w:rsidR="006063BD" w:rsidRPr="002A677E" w14:paraId="74C2BF7F" w14:textId="77777777" w:rsidTr="00E07FE9">
        <w:tc>
          <w:tcPr>
            <w:tcW w:w="1608" w:type="dxa"/>
            <w:tcBorders>
              <w:top w:val="single" w:sz="4" w:space="0" w:color="auto"/>
              <w:left w:val="single" w:sz="4" w:space="0" w:color="auto"/>
              <w:bottom w:val="single" w:sz="4" w:space="0" w:color="auto"/>
              <w:right w:val="single" w:sz="4" w:space="0" w:color="auto"/>
            </w:tcBorders>
          </w:tcPr>
          <w:p w14:paraId="71E3EE08" w14:textId="77777777" w:rsidR="006063BD" w:rsidRPr="002A677E" w:rsidRDefault="006063BD" w:rsidP="00E07FE9">
            <w:pPr>
              <w:spacing w:beforeLines="60" w:before="144" w:afterLines="60" w:after="144"/>
              <w:rPr>
                <w:rStyle w:val="InstructionsTabelleText"/>
                <w:rFonts w:ascii="Times New Roman" w:hAnsi="Times New Roman"/>
                <w:sz w:val="24"/>
              </w:rPr>
            </w:pPr>
            <w:r w:rsidRPr="002A677E">
              <w:rPr>
                <w:rStyle w:val="InstructionsTabelleText"/>
                <w:rFonts w:ascii="Times New Roman" w:hAnsi="Times New Roman"/>
                <w:sz w:val="24"/>
              </w:rPr>
              <w:t>CR EQU IRB 1 - rows 0050- 0090</w:t>
            </w:r>
          </w:p>
        </w:tc>
        <w:tc>
          <w:tcPr>
            <w:tcW w:w="7916" w:type="dxa"/>
            <w:tcBorders>
              <w:top w:val="single" w:sz="4" w:space="0" w:color="auto"/>
              <w:left w:val="single" w:sz="4" w:space="0" w:color="auto"/>
              <w:bottom w:val="single" w:sz="4" w:space="0" w:color="auto"/>
              <w:right w:val="single" w:sz="4" w:space="0" w:color="auto"/>
            </w:tcBorders>
          </w:tcPr>
          <w:p w14:paraId="502F8A3D" w14:textId="77777777" w:rsidR="006063BD" w:rsidRPr="002A677E" w:rsidRDefault="006063BD" w:rsidP="00E07FE9">
            <w:pPr>
              <w:rPr>
                <w:rStyle w:val="InstructionsTabelleText"/>
                <w:rFonts w:ascii="Times New Roman" w:hAnsi="Times New Roman"/>
                <w:b/>
                <w:sz w:val="24"/>
                <w:u w:val="single"/>
              </w:rPr>
            </w:pPr>
            <w:r w:rsidRPr="002A677E">
              <w:rPr>
                <w:rStyle w:val="InstructionsTabelleText"/>
                <w:rFonts w:ascii="Times New Roman" w:hAnsi="Times New Roman"/>
                <w:b/>
                <w:sz w:val="24"/>
                <w:u w:val="single"/>
              </w:rPr>
              <w:t>SIMPLE RISK WEIGHT APPROACH: TOTAL</w:t>
            </w:r>
          </w:p>
          <w:p w14:paraId="4AD71E33" w14:textId="77777777" w:rsidR="006063BD" w:rsidRPr="002A677E" w:rsidRDefault="006063BD" w:rsidP="00E07FE9">
            <w:pPr>
              <w:rPr>
                <w:rStyle w:val="InstructionsTabelleText"/>
                <w:rFonts w:ascii="Times New Roman" w:hAnsi="Times New Roman"/>
                <w:b/>
                <w:sz w:val="24"/>
                <w:u w:val="single"/>
              </w:rPr>
            </w:pPr>
            <w:r w:rsidRPr="002A677E">
              <w:rPr>
                <w:rStyle w:val="InstructionsTabelleText"/>
                <w:rFonts w:ascii="Times New Roman" w:hAnsi="Times New Roman"/>
                <w:b/>
                <w:sz w:val="24"/>
                <w:u w:val="single"/>
              </w:rPr>
              <w:t>BREAKDOWN OF TOTAL EXPOSURES UNDER THE SIMPLE RISK WEIGHT APPROACH BY RISK WEIGHTS:</w:t>
            </w:r>
          </w:p>
          <w:p w14:paraId="39AE74C7" w14:textId="77777777" w:rsidR="006063BD" w:rsidRPr="002A677E" w:rsidRDefault="006063BD" w:rsidP="00E07FE9">
            <w:pPr>
              <w:keepNext/>
              <w:spacing w:beforeLines="60" w:before="144" w:afterLines="60" w:after="144"/>
              <w:rPr>
                <w:rStyle w:val="InstructionsTabelleText"/>
                <w:rFonts w:ascii="Times New Roman" w:hAnsi="Times New Roman"/>
                <w:sz w:val="24"/>
              </w:rPr>
            </w:pPr>
            <w:r w:rsidRPr="002A677E">
              <w:rPr>
                <w:rStyle w:val="InstructionsTabelleText"/>
                <w:rFonts w:ascii="Times New Roman" w:hAnsi="Times New Roman"/>
                <w:sz w:val="24"/>
              </w:rPr>
              <w:t xml:space="preserve">Institutions applying the Simple Risk Weight approach (Article 155(2) </w:t>
            </w:r>
            <w:r w:rsidRPr="001235ED">
              <w:rPr>
                <w:rFonts w:ascii="Times New Roman" w:hAnsi="Times New Roman"/>
                <w:sz w:val="24"/>
                <w:lang w:val="en-US"/>
              </w:rPr>
              <w:t>of Regulation (EU) No 575/2013</w:t>
            </w:r>
            <w:r w:rsidRPr="002A677E">
              <w:rPr>
                <w:rStyle w:val="InstructionsTabelleText"/>
                <w:rFonts w:ascii="Times New Roman" w:hAnsi="Times New Roman"/>
                <w:sz w:val="24"/>
              </w:rPr>
              <w:t>) shall report the required information in accordance with the characteristics of the underlying exposures in rows 0050 to 0090.</w:t>
            </w:r>
          </w:p>
        </w:tc>
      </w:tr>
      <w:tr w:rsidR="006063BD" w:rsidRPr="002A677E" w14:paraId="5AE60468" w14:textId="77777777" w:rsidTr="00E07FE9">
        <w:tc>
          <w:tcPr>
            <w:tcW w:w="1608" w:type="dxa"/>
            <w:tcBorders>
              <w:top w:val="single" w:sz="4" w:space="0" w:color="auto"/>
              <w:left w:val="single" w:sz="4" w:space="0" w:color="auto"/>
              <w:bottom w:val="single" w:sz="4" w:space="0" w:color="auto"/>
              <w:right w:val="single" w:sz="4" w:space="0" w:color="auto"/>
            </w:tcBorders>
          </w:tcPr>
          <w:p w14:paraId="6E3956BB" w14:textId="77777777" w:rsidR="006063BD" w:rsidRPr="002A677E" w:rsidRDefault="006063BD" w:rsidP="00E07FE9">
            <w:pPr>
              <w:spacing w:beforeLines="60" w:before="144" w:afterLines="60" w:after="144"/>
              <w:rPr>
                <w:rStyle w:val="InstructionsTabelleText"/>
                <w:rFonts w:ascii="Times New Roman" w:hAnsi="Times New Roman"/>
                <w:sz w:val="24"/>
              </w:rPr>
            </w:pPr>
            <w:r w:rsidRPr="002A677E">
              <w:rPr>
                <w:rStyle w:val="InstructionsTabelleText"/>
                <w:rFonts w:ascii="Times New Roman" w:hAnsi="Times New Roman"/>
                <w:sz w:val="24"/>
              </w:rPr>
              <w:t>CR EQU IRB 1 - row 0100</w:t>
            </w:r>
          </w:p>
        </w:tc>
        <w:tc>
          <w:tcPr>
            <w:tcW w:w="7916" w:type="dxa"/>
            <w:tcBorders>
              <w:top w:val="single" w:sz="4" w:space="0" w:color="auto"/>
              <w:left w:val="single" w:sz="4" w:space="0" w:color="auto"/>
              <w:bottom w:val="single" w:sz="4" w:space="0" w:color="auto"/>
              <w:right w:val="single" w:sz="4" w:space="0" w:color="auto"/>
            </w:tcBorders>
          </w:tcPr>
          <w:p w14:paraId="28C13DD8" w14:textId="77777777" w:rsidR="006063BD" w:rsidRPr="002A677E" w:rsidRDefault="006063BD" w:rsidP="00E07FE9">
            <w:pPr>
              <w:rPr>
                <w:rStyle w:val="InstructionsTabelleberschrift"/>
                <w:rFonts w:ascii="Times New Roman" w:hAnsi="Times New Roman"/>
                <w:sz w:val="24"/>
              </w:rPr>
            </w:pPr>
            <w:r w:rsidRPr="002A677E">
              <w:rPr>
                <w:rStyle w:val="InstructionsTabelleberschrift"/>
                <w:rFonts w:ascii="Times New Roman" w:hAnsi="Times New Roman"/>
                <w:sz w:val="24"/>
              </w:rPr>
              <w:t>INTERNAL MODELS APPROACH</w:t>
            </w:r>
          </w:p>
          <w:p w14:paraId="186E4F54" w14:textId="77777777" w:rsidR="006063BD" w:rsidRPr="002A677E" w:rsidRDefault="006063BD" w:rsidP="00E07FE9">
            <w:pPr>
              <w:pStyle w:val="InstructionsText"/>
              <w:rPr>
                <w:rStyle w:val="FormatvorlageInstructionsTabelleText"/>
                <w:bCs w:val="0"/>
                <w:lang w:eastAsia="en-US"/>
              </w:rPr>
            </w:pPr>
            <w:r w:rsidRPr="002A677E">
              <w:rPr>
                <w:rStyle w:val="FormatvorlageInstructionsTabelleText"/>
              </w:rPr>
              <w:t xml:space="preserve">Institutions applying the Internal Models approach (Article 155(4) </w:t>
            </w:r>
            <w:r w:rsidRPr="001235ED">
              <w:rPr>
                <w:lang w:val="en-US"/>
              </w:rPr>
              <w:t>of Regulation (EU) No 575/2013</w:t>
            </w:r>
            <w:r w:rsidRPr="002A677E">
              <w:rPr>
                <w:rStyle w:val="FormatvorlageInstructionsTabelleText"/>
              </w:rPr>
              <w:t>) shall report the required information in row 0100.</w:t>
            </w:r>
          </w:p>
        </w:tc>
      </w:tr>
      <w:tr w:rsidR="006063BD" w:rsidRPr="002A677E" w14:paraId="5AD92C15" w14:textId="77777777" w:rsidTr="00E07FE9">
        <w:tc>
          <w:tcPr>
            <w:tcW w:w="1608" w:type="dxa"/>
            <w:tcBorders>
              <w:top w:val="single" w:sz="4" w:space="0" w:color="auto"/>
              <w:left w:val="single" w:sz="4" w:space="0" w:color="auto"/>
              <w:bottom w:val="single" w:sz="4" w:space="0" w:color="auto"/>
              <w:right w:val="single" w:sz="4" w:space="0" w:color="auto"/>
            </w:tcBorders>
          </w:tcPr>
          <w:p w14:paraId="45440124" w14:textId="77777777" w:rsidR="006063BD" w:rsidRPr="002A677E" w:rsidRDefault="006063BD" w:rsidP="00E07FE9">
            <w:pPr>
              <w:spacing w:beforeLines="60" w:before="144" w:afterLines="60" w:after="144"/>
              <w:rPr>
                <w:rStyle w:val="InstructionsTabelleText"/>
                <w:rFonts w:ascii="Times New Roman" w:hAnsi="Times New Roman"/>
                <w:bCs/>
                <w:sz w:val="24"/>
                <w:lang w:eastAsia="de-DE"/>
              </w:rPr>
            </w:pPr>
            <w:r w:rsidRPr="002A677E">
              <w:rPr>
                <w:rStyle w:val="InstructionsTabelleText"/>
                <w:rFonts w:ascii="Times New Roman" w:hAnsi="Times New Roman"/>
                <w:sz w:val="24"/>
              </w:rPr>
              <w:t>CR EQU IRB 1 - row 0110</w:t>
            </w:r>
          </w:p>
        </w:tc>
        <w:tc>
          <w:tcPr>
            <w:tcW w:w="7916" w:type="dxa"/>
            <w:tcBorders>
              <w:top w:val="single" w:sz="4" w:space="0" w:color="auto"/>
              <w:left w:val="single" w:sz="4" w:space="0" w:color="auto"/>
              <w:bottom w:val="single" w:sz="4" w:space="0" w:color="auto"/>
              <w:right w:val="single" w:sz="4" w:space="0" w:color="auto"/>
            </w:tcBorders>
          </w:tcPr>
          <w:p w14:paraId="5CECA97A" w14:textId="77777777" w:rsidR="006063BD" w:rsidRPr="002A677E" w:rsidRDefault="006063BD" w:rsidP="00E07FE9">
            <w:pPr>
              <w:rPr>
                <w:rStyle w:val="InstructionsTabelleberschrift"/>
                <w:rFonts w:ascii="Times New Roman" w:hAnsi="Times New Roman"/>
                <w:sz w:val="24"/>
              </w:rPr>
            </w:pPr>
            <w:r w:rsidRPr="002A677E">
              <w:rPr>
                <w:rStyle w:val="InstructionsTabelleberschrift"/>
                <w:rFonts w:ascii="Times New Roman" w:hAnsi="Times New Roman"/>
                <w:sz w:val="24"/>
              </w:rPr>
              <w:t>EQUITY EXPOSURES SUBJECT TO RISK WEIGHTS</w:t>
            </w:r>
          </w:p>
          <w:p w14:paraId="7E2EA0A2" w14:textId="77777777" w:rsidR="006063BD" w:rsidRPr="002A677E" w:rsidRDefault="006063BD" w:rsidP="00E07FE9">
            <w:pPr>
              <w:rPr>
                <w:rFonts w:ascii="Times New Roman" w:hAnsi="Times New Roman"/>
                <w:sz w:val="24"/>
              </w:rPr>
            </w:pPr>
            <w:r w:rsidRPr="002A677E">
              <w:rPr>
                <w:rFonts w:ascii="Times New Roman" w:hAnsi="Times New Roman"/>
                <w:sz w:val="24"/>
              </w:rPr>
              <w:t>Institutions applying the IRB Approach shall report risk weighted exposure amounts for those equity exposures which attract a fixed risk weight treatment (without however being explicitly treated in accordance with the Simple Risk Weight approach or the (temporary or permanent) partial use of the credit risk Standardised approach)</w:t>
            </w:r>
            <w:r>
              <w:rPr>
                <w:rFonts w:ascii="Times New Roman" w:hAnsi="Times New Roman"/>
                <w:sz w:val="24"/>
              </w:rPr>
              <w:t>, including the following exposures:</w:t>
            </w:r>
          </w:p>
          <w:p w14:paraId="5DD55598" w14:textId="77777777" w:rsidR="006063BD" w:rsidRPr="002A677E" w:rsidRDefault="006063BD" w:rsidP="00E07FE9">
            <w:pPr>
              <w:rPr>
                <w:rStyle w:val="FormatvorlageInstructionsTabelleText"/>
                <w:rFonts w:ascii="Times New Roman" w:hAnsi="Times New Roman"/>
                <w:sz w:val="24"/>
              </w:rPr>
            </w:pPr>
            <w:r w:rsidRPr="00624117">
              <w:rPr>
                <w:rFonts w:ascii="Times New Roman" w:hAnsi="Times New Roman"/>
                <w:sz w:val="24"/>
              </w:rPr>
              <w:t>-</w:t>
            </w:r>
            <w:r w:rsidRPr="002A677E">
              <w:rPr>
                <w:rStyle w:val="FormatvorlageInstructionsTabelleText"/>
                <w:rFonts w:ascii="Times New Roman" w:hAnsi="Times New Roman"/>
                <w:sz w:val="24"/>
              </w:rPr>
              <w:t xml:space="preserve"> the risk weighted exposure amount of equity positions in financial sector entities treated in accordance with Article 48(4) </w:t>
            </w:r>
            <w:r w:rsidRPr="001235ED">
              <w:rPr>
                <w:rFonts w:ascii="Times New Roman" w:hAnsi="Times New Roman"/>
                <w:sz w:val="24"/>
                <w:lang w:val="en-US"/>
              </w:rPr>
              <w:t>of Regulation (EU) No 575/2013</w:t>
            </w:r>
            <w:r w:rsidRPr="002A677E">
              <w:rPr>
                <w:rStyle w:val="FormatvorlageInstructionsTabelleText"/>
                <w:rFonts w:ascii="Times New Roman" w:hAnsi="Times New Roman"/>
                <w:sz w:val="24"/>
              </w:rPr>
              <w:t>, as well as</w:t>
            </w:r>
          </w:p>
          <w:p w14:paraId="5C41940A" w14:textId="77777777" w:rsidR="006063BD" w:rsidRPr="002A677E" w:rsidRDefault="006063BD" w:rsidP="00E07FE9">
            <w:pPr>
              <w:rPr>
                <w:rStyle w:val="FormatvorlageInstructionsTabelleText"/>
                <w:rFonts w:ascii="Times New Roman" w:hAnsi="Times New Roman"/>
                <w:sz w:val="24"/>
              </w:rPr>
            </w:pPr>
            <w:r w:rsidRPr="002A677E">
              <w:rPr>
                <w:rStyle w:val="FormatvorlageInstructionsTabelleText"/>
                <w:rFonts w:ascii="Times New Roman" w:hAnsi="Times New Roman"/>
                <w:sz w:val="24"/>
              </w:rPr>
              <w:t>- equity positions risk-weighted with 370</w:t>
            </w:r>
            <w:r>
              <w:t> </w:t>
            </w:r>
            <w:r w:rsidRPr="002A677E">
              <w:rPr>
                <w:rStyle w:val="FormatvorlageInstructionsTabelleText"/>
                <w:rFonts w:ascii="Times New Roman" w:hAnsi="Times New Roman"/>
                <w:sz w:val="24"/>
              </w:rPr>
              <w:t xml:space="preserve">% in accordance with Article 471(2) </w:t>
            </w:r>
            <w:r w:rsidRPr="001235ED">
              <w:rPr>
                <w:rFonts w:ascii="Times New Roman" w:hAnsi="Times New Roman"/>
                <w:sz w:val="24"/>
                <w:lang w:val="en-US"/>
              </w:rPr>
              <w:t>of Regulation (EU) No 575/2013</w:t>
            </w:r>
            <w:r>
              <w:rPr>
                <w:rFonts w:ascii="Times New Roman" w:hAnsi="Times New Roman"/>
                <w:sz w:val="24"/>
                <w:lang w:val="en-US"/>
              </w:rPr>
              <w:t xml:space="preserve"> </w:t>
            </w:r>
            <w:r w:rsidRPr="00D95228">
              <w:rPr>
                <w:rStyle w:val="FormatvorlageInstructionsTabelleText"/>
                <w:rFonts w:ascii="Times New Roman" w:hAnsi="Times New Roman"/>
                <w:sz w:val="24"/>
              </w:rPr>
              <w:t>shall be reported in row 0110.</w:t>
            </w:r>
          </w:p>
        </w:tc>
      </w:tr>
      <w:tr w:rsidR="006063BD" w:rsidRPr="002A677E" w14:paraId="183FE009" w14:textId="77777777" w:rsidTr="00E07FE9">
        <w:tc>
          <w:tcPr>
            <w:tcW w:w="1608" w:type="dxa"/>
            <w:tcBorders>
              <w:top w:val="single" w:sz="4" w:space="0" w:color="auto"/>
              <w:left w:val="single" w:sz="4" w:space="0" w:color="auto"/>
              <w:bottom w:val="single" w:sz="4" w:space="0" w:color="auto"/>
              <w:right w:val="single" w:sz="4" w:space="0" w:color="auto"/>
            </w:tcBorders>
          </w:tcPr>
          <w:p w14:paraId="512410C8" w14:textId="77777777" w:rsidR="006063BD" w:rsidRPr="002A677E" w:rsidRDefault="006063BD" w:rsidP="00E07FE9">
            <w:pPr>
              <w:rPr>
                <w:rStyle w:val="InstructionsTabelleText"/>
                <w:rFonts w:ascii="Times New Roman" w:hAnsi="Times New Roman"/>
                <w:sz w:val="24"/>
              </w:rPr>
            </w:pPr>
            <w:r w:rsidRPr="002A677E">
              <w:rPr>
                <w:rStyle w:val="InstructionsTabelleText"/>
                <w:rFonts w:ascii="Times New Roman" w:hAnsi="Times New Roman"/>
                <w:sz w:val="24"/>
              </w:rPr>
              <w:t>CR EQU IRB 2</w:t>
            </w:r>
          </w:p>
          <w:p w14:paraId="6FA49741" w14:textId="77777777" w:rsidR="006063BD" w:rsidRPr="002A677E" w:rsidRDefault="006063BD" w:rsidP="00E07FE9">
            <w:pPr>
              <w:spacing w:beforeLines="60" w:before="144" w:afterLines="60" w:after="144"/>
              <w:rPr>
                <w:rStyle w:val="InstructionsTabelleText"/>
                <w:rFonts w:ascii="Times New Roman" w:hAnsi="Times New Roman"/>
                <w:sz w:val="24"/>
              </w:rPr>
            </w:pPr>
          </w:p>
        </w:tc>
        <w:tc>
          <w:tcPr>
            <w:tcW w:w="7916" w:type="dxa"/>
            <w:tcBorders>
              <w:top w:val="single" w:sz="4" w:space="0" w:color="auto"/>
              <w:left w:val="single" w:sz="4" w:space="0" w:color="auto"/>
              <w:bottom w:val="single" w:sz="4" w:space="0" w:color="auto"/>
              <w:right w:val="single" w:sz="4" w:space="0" w:color="auto"/>
            </w:tcBorders>
          </w:tcPr>
          <w:p w14:paraId="184B8736" w14:textId="77777777" w:rsidR="006063BD" w:rsidRPr="002A677E" w:rsidRDefault="006063BD" w:rsidP="00E07FE9">
            <w:pPr>
              <w:keepNext/>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BREAKDOWN OF TOTAL EXPOSURES UNDER THE PD/LGD APRROACH BY OBLIGOR GRADES:</w:t>
            </w:r>
          </w:p>
          <w:p w14:paraId="248ED9FE" w14:textId="77777777" w:rsidR="006063BD" w:rsidRPr="002A677E" w:rsidRDefault="006063BD" w:rsidP="00E07FE9">
            <w:pPr>
              <w:keepNext/>
              <w:spacing w:beforeLines="60" w:before="144" w:afterLines="60" w:after="144"/>
              <w:rPr>
                <w:rStyle w:val="InstructionsTabelleText"/>
                <w:rFonts w:ascii="Times New Roman" w:hAnsi="Times New Roman"/>
                <w:sz w:val="24"/>
              </w:rPr>
            </w:pPr>
            <w:r w:rsidRPr="002A677E">
              <w:rPr>
                <w:rStyle w:val="InstructionsTabelleText"/>
                <w:rFonts w:ascii="Times New Roman" w:hAnsi="Times New Roman"/>
                <w:sz w:val="24"/>
              </w:rPr>
              <w:t xml:space="preserve">Institutions applying the </w:t>
            </w:r>
            <w:r w:rsidRPr="002A677E">
              <w:rPr>
                <w:rStyle w:val="InstructionsTabelleText"/>
                <w:rFonts w:ascii="Times New Roman" w:hAnsi="Times New Roman"/>
                <w:sz w:val="24"/>
                <w:lang w:eastAsia="de-DE"/>
              </w:rPr>
              <w:t xml:space="preserve">PD/LGD approach (Article 155(3) </w:t>
            </w:r>
            <w:r w:rsidRPr="001235ED">
              <w:rPr>
                <w:rFonts w:ascii="Times New Roman" w:hAnsi="Times New Roman"/>
                <w:sz w:val="24"/>
                <w:lang w:val="en-US"/>
              </w:rPr>
              <w:t>of Regulation (EU) No 575/2013</w:t>
            </w:r>
            <w:r w:rsidRPr="002A677E">
              <w:rPr>
                <w:rStyle w:val="InstructionsTabelleText"/>
                <w:rFonts w:ascii="Times New Roman" w:hAnsi="Times New Roman"/>
                <w:sz w:val="24"/>
                <w:lang w:eastAsia="de-DE"/>
              </w:rPr>
              <w:t xml:space="preserve">) shall </w:t>
            </w:r>
            <w:r w:rsidRPr="002A677E">
              <w:rPr>
                <w:rStyle w:val="InstructionsTabelleText"/>
                <w:rFonts w:ascii="Times New Roman" w:hAnsi="Times New Roman"/>
                <w:sz w:val="24"/>
              </w:rPr>
              <w:t>report the required information in the CR EQU IRB 2 template.</w:t>
            </w:r>
          </w:p>
          <w:p w14:paraId="174DA1AB" w14:textId="77777777" w:rsidR="006063BD" w:rsidRPr="002A677E" w:rsidRDefault="006063BD" w:rsidP="00E07FE9">
            <w:pPr>
              <w:rPr>
                <w:rStyle w:val="InstructionsTabelleberschrift"/>
                <w:rFonts w:ascii="Times New Roman" w:hAnsi="Times New Roman"/>
                <w:b w:val="0"/>
                <w:bCs w:val="0"/>
                <w:sz w:val="24"/>
              </w:rPr>
            </w:pPr>
            <w:r w:rsidRPr="002A677E">
              <w:rPr>
                <w:rStyle w:val="InstructionsTabelleText"/>
                <w:rFonts w:ascii="Times New Roman" w:hAnsi="Times New Roman"/>
                <w:sz w:val="24"/>
              </w:rPr>
              <w:t xml:space="preserve">Institutions using the </w:t>
            </w:r>
            <w:r w:rsidRPr="002A677E">
              <w:rPr>
                <w:rStyle w:val="InstructionsTabelleText"/>
                <w:rFonts w:ascii="Times New Roman" w:hAnsi="Times New Roman"/>
                <w:sz w:val="24"/>
                <w:lang w:eastAsia="de-DE"/>
              </w:rPr>
              <w:t xml:space="preserve">PD/LGD approach that </w:t>
            </w:r>
            <w:r w:rsidRPr="002A677E">
              <w:rPr>
                <w:rStyle w:val="InstructionsTabelleText"/>
                <w:rFonts w:ascii="Times New Roman" w:hAnsi="Times New Roman"/>
                <w:sz w:val="24"/>
              </w:rPr>
              <w:t>apply a unique rating scale or that are able to report in accordance with an internal master scale shall report in CR EQU IRB 2 the rating grades or pools associated to this unique rating scale/master scale. In any other case, the different rating scales shall be merged and ordered in accordance with the following criteria: Obligor grades or pools of the different rating scales shall be pooled together and ordered from the lower PD assigned to each obligor grade or pool to the higher.</w:t>
            </w:r>
          </w:p>
        </w:tc>
      </w:tr>
    </w:tbl>
    <w:p w14:paraId="6582749C" w14:textId="77777777" w:rsidR="006063BD" w:rsidRPr="002A677E" w:rsidRDefault="006063BD" w:rsidP="006063BD">
      <w:pPr>
        <w:spacing w:before="0" w:after="0"/>
        <w:jc w:val="left"/>
        <w:rPr>
          <w:rStyle w:val="InstructionsTabelleText"/>
          <w:rFonts w:ascii="Times New Roman" w:hAnsi="Times New Roman"/>
          <w:sz w:val="24"/>
        </w:rPr>
      </w:pPr>
    </w:p>
    <w:p w14:paraId="63729A6E" w14:textId="77777777" w:rsidR="006063BD" w:rsidRDefault="006063BD"/>
    <w:sectPr w:rsidR="006063BD">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596C8" w14:textId="77777777" w:rsidR="006063BD" w:rsidRDefault="006063BD" w:rsidP="006063BD">
      <w:pPr>
        <w:spacing w:before="0" w:after="0"/>
      </w:pPr>
      <w:r>
        <w:separator/>
      </w:r>
    </w:p>
  </w:endnote>
  <w:endnote w:type="continuationSeparator" w:id="0">
    <w:p w14:paraId="3028241C" w14:textId="77777777" w:rsidR="006063BD" w:rsidRDefault="006063BD" w:rsidP="006063B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DFE04" w14:textId="77777777" w:rsidR="006063BD" w:rsidRDefault="006063BD" w:rsidP="006063BD">
      <w:pPr>
        <w:spacing w:before="0" w:after="0"/>
      </w:pPr>
      <w:r>
        <w:separator/>
      </w:r>
    </w:p>
  </w:footnote>
  <w:footnote w:type="continuationSeparator" w:id="0">
    <w:p w14:paraId="293D1C5B" w14:textId="77777777" w:rsidR="006063BD" w:rsidRDefault="006063BD" w:rsidP="006063B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E9E92" w14:textId="69BAC378" w:rsidR="006063BD" w:rsidRDefault="006063BD">
    <w:pPr>
      <w:pStyle w:val="Header"/>
    </w:pPr>
    <w:r>
      <w:rPr>
        <w:noProof/>
        <w14:ligatures w14:val="standardContextual"/>
      </w:rPr>
      <mc:AlternateContent>
        <mc:Choice Requires="wps">
          <w:drawing>
            <wp:anchor distT="0" distB="0" distL="0" distR="0" simplePos="0" relativeHeight="251659264" behindDoc="0" locked="0" layoutInCell="1" allowOverlap="1" wp14:anchorId="3CE9D0B3" wp14:editId="4549156A">
              <wp:simplePos x="635" y="635"/>
              <wp:positionH relativeFrom="page">
                <wp:align>left</wp:align>
              </wp:positionH>
              <wp:positionV relativeFrom="page">
                <wp:align>top</wp:align>
              </wp:positionV>
              <wp:extent cx="443865" cy="443865"/>
              <wp:effectExtent l="0" t="0" r="3175" b="4445"/>
              <wp:wrapNone/>
              <wp:docPr id="1895922503"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38F3FC" w14:textId="14F4CCDD" w:rsidR="006063BD" w:rsidRPr="006063BD" w:rsidRDefault="006063BD" w:rsidP="006063BD">
                          <w:pPr>
                            <w:spacing w:after="0"/>
                            <w:rPr>
                              <w:rFonts w:ascii="Calibri" w:eastAsia="Calibri" w:hAnsi="Calibri" w:cs="Calibri"/>
                              <w:noProof/>
                              <w:color w:val="000000"/>
                              <w:sz w:val="24"/>
                            </w:rPr>
                          </w:pPr>
                          <w:r w:rsidRPr="006063BD">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E9D0B3" id="_x0000_t202" coordsize="21600,21600" o:spt="202" path="m,l,21600r21600,l21600,xe">
              <v:stroke joinstyle="miter"/>
              <v:path gradientshapeok="t" o:connecttype="rect"/>
            </v:shapetype>
            <v:shape id="Text Box 2" o:spid="_x0000_s1026" type="#_x0000_t202" alt="EBA Regular Use"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2538F3FC" w14:textId="14F4CCDD" w:rsidR="006063BD" w:rsidRPr="006063BD" w:rsidRDefault="006063BD" w:rsidP="006063BD">
                    <w:pPr>
                      <w:spacing w:after="0"/>
                      <w:rPr>
                        <w:rFonts w:ascii="Calibri" w:eastAsia="Calibri" w:hAnsi="Calibri" w:cs="Calibri"/>
                        <w:noProof/>
                        <w:color w:val="000000"/>
                        <w:sz w:val="24"/>
                      </w:rPr>
                    </w:pPr>
                    <w:r w:rsidRPr="006063BD">
                      <w:rPr>
                        <w:rFonts w:ascii="Calibri" w:eastAsia="Calibri" w:hAnsi="Calibri" w:cs="Calibri"/>
                        <w:noProof/>
                        <w:color w:val="000000"/>
                        <w:sz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09D82" w14:textId="3E3B122B" w:rsidR="006063BD" w:rsidRDefault="006063BD">
    <w:pPr>
      <w:pStyle w:val="Header"/>
    </w:pPr>
    <w:r>
      <w:rPr>
        <w:noProof/>
        <w14:ligatures w14:val="standardContextual"/>
      </w:rPr>
      <mc:AlternateContent>
        <mc:Choice Requires="wps">
          <w:drawing>
            <wp:anchor distT="0" distB="0" distL="0" distR="0" simplePos="0" relativeHeight="251660288" behindDoc="0" locked="0" layoutInCell="1" allowOverlap="1" wp14:anchorId="7B34D3BC" wp14:editId="36C0A0C3">
              <wp:simplePos x="914400" y="447675"/>
              <wp:positionH relativeFrom="page">
                <wp:align>left</wp:align>
              </wp:positionH>
              <wp:positionV relativeFrom="page">
                <wp:align>top</wp:align>
              </wp:positionV>
              <wp:extent cx="443865" cy="443865"/>
              <wp:effectExtent l="0" t="0" r="3175" b="4445"/>
              <wp:wrapNone/>
              <wp:docPr id="976072552" name="Text Box 3"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63421D" w14:textId="47EC1E70" w:rsidR="006063BD" w:rsidRPr="006063BD" w:rsidRDefault="006063BD" w:rsidP="006063BD">
                          <w:pPr>
                            <w:spacing w:after="0"/>
                            <w:rPr>
                              <w:rFonts w:ascii="Calibri" w:eastAsia="Calibri" w:hAnsi="Calibri" w:cs="Calibri"/>
                              <w:noProof/>
                              <w:color w:val="000000"/>
                              <w:sz w:val="24"/>
                            </w:rPr>
                          </w:pPr>
                          <w:r w:rsidRPr="006063BD">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B34D3BC" id="_x0000_t202" coordsize="21600,21600" o:spt="202" path="m,l,21600r21600,l21600,xe">
              <v:stroke joinstyle="miter"/>
              <v:path gradientshapeok="t" o:connecttype="rect"/>
            </v:shapetype>
            <v:shape id="Text Box 3" o:spid="_x0000_s1027" type="#_x0000_t202" alt="EBA Regular Use"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3163421D" w14:textId="47EC1E70" w:rsidR="006063BD" w:rsidRPr="006063BD" w:rsidRDefault="006063BD" w:rsidP="006063BD">
                    <w:pPr>
                      <w:spacing w:after="0"/>
                      <w:rPr>
                        <w:rFonts w:ascii="Calibri" w:eastAsia="Calibri" w:hAnsi="Calibri" w:cs="Calibri"/>
                        <w:noProof/>
                        <w:color w:val="000000"/>
                        <w:sz w:val="24"/>
                      </w:rPr>
                    </w:pPr>
                    <w:r w:rsidRPr="006063BD">
                      <w:rPr>
                        <w:rFonts w:ascii="Calibri" w:eastAsia="Calibri" w:hAnsi="Calibri" w:cs="Calibri"/>
                        <w:noProof/>
                        <w:color w:val="000000"/>
                        <w:sz w:val="24"/>
                      </w:rPr>
                      <w:t>EBA Regular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3F236" w14:textId="5F2FF335" w:rsidR="006063BD" w:rsidRDefault="006063BD">
    <w:pPr>
      <w:pStyle w:val="Header"/>
    </w:pPr>
    <w:r>
      <w:rPr>
        <w:noProof/>
        <w14:ligatures w14:val="standardContextual"/>
      </w:rPr>
      <mc:AlternateContent>
        <mc:Choice Requires="wps">
          <w:drawing>
            <wp:anchor distT="0" distB="0" distL="0" distR="0" simplePos="0" relativeHeight="251658240" behindDoc="0" locked="0" layoutInCell="1" allowOverlap="1" wp14:anchorId="4D921697" wp14:editId="361207F9">
              <wp:simplePos x="635" y="635"/>
              <wp:positionH relativeFrom="page">
                <wp:align>left</wp:align>
              </wp:positionH>
              <wp:positionV relativeFrom="page">
                <wp:align>top</wp:align>
              </wp:positionV>
              <wp:extent cx="443865" cy="443865"/>
              <wp:effectExtent l="0" t="0" r="3175" b="4445"/>
              <wp:wrapNone/>
              <wp:docPr id="179514246"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D5224F" w14:textId="5692164D" w:rsidR="006063BD" w:rsidRPr="006063BD" w:rsidRDefault="006063BD" w:rsidP="006063BD">
                          <w:pPr>
                            <w:spacing w:after="0"/>
                            <w:rPr>
                              <w:rFonts w:ascii="Calibri" w:eastAsia="Calibri" w:hAnsi="Calibri" w:cs="Calibri"/>
                              <w:noProof/>
                              <w:color w:val="000000"/>
                              <w:sz w:val="24"/>
                            </w:rPr>
                          </w:pPr>
                          <w:r w:rsidRPr="006063BD">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921697" id="_x0000_t202" coordsize="21600,21600" o:spt="202" path="m,l,21600r21600,l21600,xe">
              <v:stroke joinstyle="miter"/>
              <v:path gradientshapeok="t" o:connecttype="rect"/>
            </v:shapetype>
            <v:shape id="Text Box 1" o:spid="_x0000_s1028" type="#_x0000_t202" alt="EBA Regular Use"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47D5224F" w14:textId="5692164D" w:rsidR="006063BD" w:rsidRPr="006063BD" w:rsidRDefault="006063BD" w:rsidP="006063BD">
                    <w:pPr>
                      <w:spacing w:after="0"/>
                      <w:rPr>
                        <w:rFonts w:ascii="Calibri" w:eastAsia="Calibri" w:hAnsi="Calibri" w:cs="Calibri"/>
                        <w:noProof/>
                        <w:color w:val="000000"/>
                        <w:sz w:val="24"/>
                      </w:rPr>
                    </w:pPr>
                    <w:r w:rsidRPr="006063BD">
                      <w:rPr>
                        <w:rFonts w:ascii="Calibri" w:eastAsia="Calibri" w:hAnsi="Calibri" w:cs="Calibri"/>
                        <w:noProof/>
                        <w:color w:val="000000"/>
                        <w:sz w:val="24"/>
                      </w:rPr>
                      <w:t>EBA Regular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num w:numId="1" w16cid:durableId="1485394352">
    <w:abstractNumId w:val="1"/>
  </w:num>
  <w:num w:numId="2" w16cid:durableId="1923681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063BD"/>
    <w:rsid w:val="00402ED1"/>
    <w:rsid w:val="00441DF2"/>
    <w:rsid w:val="004E4837"/>
    <w:rsid w:val="00546AF1"/>
    <w:rsid w:val="006063BD"/>
    <w:rsid w:val="00612ECC"/>
    <w:rsid w:val="00622D27"/>
    <w:rsid w:val="00631623"/>
    <w:rsid w:val="00771EE5"/>
    <w:rsid w:val="00905C84"/>
    <w:rsid w:val="0092685D"/>
    <w:rsid w:val="00942E49"/>
    <w:rsid w:val="009779CF"/>
    <w:rsid w:val="00A3732C"/>
    <w:rsid w:val="00A42F77"/>
    <w:rsid w:val="00A6002C"/>
    <w:rsid w:val="00A65C1A"/>
    <w:rsid w:val="00AB2952"/>
    <w:rsid w:val="00B71F25"/>
    <w:rsid w:val="00C13E1F"/>
    <w:rsid w:val="00D3100E"/>
    <w:rsid w:val="00E73D35"/>
    <w:rsid w:val="00EA7CD3"/>
    <w:rsid w:val="00EE75F2"/>
    <w:rsid w:val="00EF07A1"/>
    <w:rsid w:val="00F75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3B5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BD"/>
    <w:pPr>
      <w:spacing w:before="120" w:after="120" w:line="240" w:lineRule="auto"/>
      <w:jc w:val="both"/>
    </w:pPr>
    <w:rPr>
      <w:rFonts w:ascii="Verdana" w:eastAsia="Times New Roman" w:hAnsi="Verdana" w:cs="Times New Roman"/>
      <w:kern w:val="0"/>
      <w:sz w:val="20"/>
      <w:szCs w:val="24"/>
      <w14:ligatures w14:val="none"/>
    </w:rPr>
  </w:style>
  <w:style w:type="paragraph" w:styleId="Heading1">
    <w:name w:val="heading 1"/>
    <w:basedOn w:val="Normal"/>
    <w:next w:val="Normal"/>
    <w:link w:val="Heading1Char"/>
    <w:uiPriority w:val="9"/>
    <w:qFormat/>
    <w:rsid w:val="00606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3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3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3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3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3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3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3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3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3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3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3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3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3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3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3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3BD"/>
    <w:rPr>
      <w:rFonts w:eastAsiaTheme="majorEastAsia" w:cstheme="majorBidi"/>
      <w:color w:val="272727" w:themeColor="text1" w:themeTint="D8"/>
    </w:rPr>
  </w:style>
  <w:style w:type="paragraph" w:styleId="Title">
    <w:name w:val="Title"/>
    <w:basedOn w:val="Normal"/>
    <w:next w:val="Normal"/>
    <w:link w:val="TitleChar"/>
    <w:uiPriority w:val="10"/>
    <w:qFormat/>
    <w:rsid w:val="006063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3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3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3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3BD"/>
    <w:pPr>
      <w:spacing w:before="160"/>
      <w:jc w:val="center"/>
    </w:pPr>
    <w:rPr>
      <w:i/>
      <w:iCs/>
      <w:color w:val="404040" w:themeColor="text1" w:themeTint="BF"/>
    </w:rPr>
  </w:style>
  <w:style w:type="character" w:customStyle="1" w:styleId="QuoteChar">
    <w:name w:val="Quote Char"/>
    <w:basedOn w:val="DefaultParagraphFont"/>
    <w:link w:val="Quote"/>
    <w:uiPriority w:val="29"/>
    <w:rsid w:val="006063BD"/>
    <w:rPr>
      <w:i/>
      <w:iCs/>
      <w:color w:val="404040" w:themeColor="text1" w:themeTint="BF"/>
    </w:rPr>
  </w:style>
  <w:style w:type="paragraph" w:styleId="ListParagraph">
    <w:name w:val="List Paragraph"/>
    <w:basedOn w:val="Normal"/>
    <w:uiPriority w:val="34"/>
    <w:qFormat/>
    <w:rsid w:val="006063BD"/>
    <w:pPr>
      <w:ind w:left="720"/>
      <w:contextualSpacing/>
    </w:pPr>
  </w:style>
  <w:style w:type="character" w:styleId="IntenseEmphasis">
    <w:name w:val="Intense Emphasis"/>
    <w:basedOn w:val="DefaultParagraphFont"/>
    <w:uiPriority w:val="21"/>
    <w:qFormat/>
    <w:rsid w:val="006063BD"/>
    <w:rPr>
      <w:i/>
      <w:iCs/>
      <w:color w:val="0F4761" w:themeColor="accent1" w:themeShade="BF"/>
    </w:rPr>
  </w:style>
  <w:style w:type="paragraph" w:styleId="IntenseQuote">
    <w:name w:val="Intense Quote"/>
    <w:basedOn w:val="Normal"/>
    <w:next w:val="Normal"/>
    <w:link w:val="IntenseQuoteChar"/>
    <w:uiPriority w:val="30"/>
    <w:qFormat/>
    <w:rsid w:val="00606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3BD"/>
    <w:rPr>
      <w:i/>
      <w:iCs/>
      <w:color w:val="0F4761" w:themeColor="accent1" w:themeShade="BF"/>
    </w:rPr>
  </w:style>
  <w:style w:type="character" w:styleId="IntenseReference">
    <w:name w:val="Intense Reference"/>
    <w:basedOn w:val="DefaultParagraphFont"/>
    <w:uiPriority w:val="32"/>
    <w:qFormat/>
    <w:rsid w:val="006063BD"/>
    <w:rPr>
      <w:b/>
      <w:bCs/>
      <w:smallCaps/>
      <w:color w:val="0F4761" w:themeColor="accent1" w:themeShade="BF"/>
      <w:spacing w:val="5"/>
    </w:rPr>
  </w:style>
  <w:style w:type="paragraph" w:customStyle="1" w:styleId="Instructionsberschrift2">
    <w:name w:val="Instructions Überschrift 2"/>
    <w:basedOn w:val="Heading2"/>
    <w:rsid w:val="006063BD"/>
    <w:pPr>
      <w:keepLines w:val="0"/>
      <w:numPr>
        <w:numId w:val="1"/>
      </w:numPr>
      <w:spacing w:before="240" w:after="240"/>
    </w:pPr>
    <w:rPr>
      <w:rFonts w:ascii="Verdana" w:eastAsia="Arial" w:hAnsi="Verdana" w:cs="Arial"/>
      <w:color w:val="auto"/>
      <w:sz w:val="20"/>
      <w:szCs w:val="24"/>
      <w:u w:val="single"/>
      <w:lang w:val="en-US" w:eastAsia="x-none"/>
    </w:rPr>
  </w:style>
  <w:style w:type="paragraph" w:customStyle="1" w:styleId="InstructionsText">
    <w:name w:val="Instructions Text"/>
    <w:basedOn w:val="Normal"/>
    <w:link w:val="InstructionsTextChar"/>
    <w:autoRedefine/>
    <w:rsid w:val="006063BD"/>
    <w:pPr>
      <w:spacing w:before="0"/>
      <w:ind w:left="360"/>
    </w:pPr>
    <w:rPr>
      <w:rFonts w:ascii="Times New Roman" w:hAnsi="Times New Roman"/>
      <w:sz w:val="24"/>
      <w:lang w:eastAsia="de-DE"/>
    </w:rPr>
  </w:style>
  <w:style w:type="character" w:customStyle="1" w:styleId="InstructionsTabelleberschrift">
    <w:name w:val="Instructions Tabelle Überschrift"/>
    <w:qFormat/>
    <w:rsid w:val="006063BD"/>
    <w:rPr>
      <w:rFonts w:ascii="Verdana" w:hAnsi="Verdana" w:cs="Times New Roman"/>
      <w:b/>
      <w:bCs/>
      <w:sz w:val="20"/>
      <w:u w:val="single"/>
    </w:rPr>
  </w:style>
  <w:style w:type="character" w:customStyle="1" w:styleId="InstructionsTabelleText">
    <w:name w:val="Instructions Tabelle Text"/>
    <w:rsid w:val="006063BD"/>
    <w:rPr>
      <w:rFonts w:ascii="Verdana" w:hAnsi="Verdana" w:cs="Times New Roman"/>
      <w:sz w:val="20"/>
    </w:rPr>
  </w:style>
  <w:style w:type="character" w:customStyle="1" w:styleId="FormatvorlageInstructionsTabelleText">
    <w:name w:val="Formatvorlage Instructions Tabelle Text"/>
    <w:uiPriority w:val="99"/>
    <w:qFormat/>
    <w:rsid w:val="006063BD"/>
    <w:rPr>
      <w:rFonts w:ascii="Verdana" w:hAnsi="Verdana" w:cs="Times New Roman"/>
      <w:bCs/>
      <w:sz w:val="20"/>
      <w:u w:val="none"/>
    </w:rPr>
  </w:style>
  <w:style w:type="character" w:customStyle="1" w:styleId="InstructionsTextChar">
    <w:name w:val="Instructions Text Char"/>
    <w:link w:val="InstructionsText"/>
    <w:locked/>
    <w:rsid w:val="006063BD"/>
    <w:rPr>
      <w:rFonts w:ascii="Times New Roman" w:eastAsia="Times New Roman" w:hAnsi="Times New Roman" w:cs="Times New Roman"/>
      <w:kern w:val="0"/>
      <w:sz w:val="24"/>
      <w:szCs w:val="24"/>
      <w:lang w:eastAsia="de-DE"/>
      <w14:ligatures w14:val="none"/>
    </w:rPr>
  </w:style>
  <w:style w:type="paragraph" w:customStyle="1" w:styleId="InstructionsText2">
    <w:name w:val="Instructions Text 2"/>
    <w:basedOn w:val="InstructionsText"/>
    <w:qFormat/>
    <w:rsid w:val="006063BD"/>
    <w:pPr>
      <w:numPr>
        <w:numId w:val="2"/>
      </w:numPr>
      <w:tabs>
        <w:tab w:val="num" w:pos="360"/>
      </w:tabs>
      <w:spacing w:after="240"/>
      <w:ind w:left="360" w:firstLine="0"/>
    </w:pPr>
  </w:style>
  <w:style w:type="paragraph" w:styleId="Header">
    <w:name w:val="header"/>
    <w:basedOn w:val="Normal"/>
    <w:link w:val="HeaderChar"/>
    <w:uiPriority w:val="99"/>
    <w:unhideWhenUsed/>
    <w:rsid w:val="006063BD"/>
    <w:pPr>
      <w:tabs>
        <w:tab w:val="center" w:pos="4513"/>
        <w:tab w:val="right" w:pos="9026"/>
      </w:tabs>
      <w:spacing w:before="0" w:after="0"/>
    </w:pPr>
  </w:style>
  <w:style w:type="character" w:customStyle="1" w:styleId="HeaderChar">
    <w:name w:val="Header Char"/>
    <w:basedOn w:val="DefaultParagraphFont"/>
    <w:link w:val="Header"/>
    <w:uiPriority w:val="99"/>
    <w:rsid w:val="006063BD"/>
    <w:rPr>
      <w:rFonts w:ascii="Verdana" w:eastAsia="Times New Roman" w:hAnsi="Verdana" w:cs="Times New Roman"/>
      <w:kern w:val="0"/>
      <w:sz w:val="20"/>
      <w:szCs w:val="24"/>
      <w14:ligatures w14:val="none"/>
    </w:rPr>
  </w:style>
  <w:style w:type="paragraph" w:styleId="Revision">
    <w:name w:val="Revision"/>
    <w:hidden/>
    <w:uiPriority w:val="99"/>
    <w:semiHidden/>
    <w:rsid w:val="00C13E1F"/>
    <w:pPr>
      <w:spacing w:after="0" w:line="240" w:lineRule="auto"/>
    </w:pPr>
    <w:rPr>
      <w:rFonts w:ascii="Verdana" w:eastAsia="Times New Roman" w:hAnsi="Verdana" w:cs="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76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092A754480E944A1CB10007F634BC1" ma:contentTypeVersion="15" ma:contentTypeDescription="Create a new document." ma:contentTypeScope="" ma:versionID="04fd2bbf83f61cbb7f77305d7d33018e">
  <xsd:schema xmlns:xsd="http://www.w3.org/2001/XMLSchema" xmlns:xs="http://www.w3.org/2001/XMLSchema" xmlns:p="http://schemas.microsoft.com/office/2006/metadata/properties" xmlns:ns2="82dbab2e-3b56-44de-becc-0ec356b33dff" xmlns:ns3="da0bec91-bd15-486a-844a-39cd7890c3eb" targetNamespace="http://schemas.microsoft.com/office/2006/metadata/properties" ma:root="true" ma:fieldsID="9d3dd55a588f94d6839c48f92d239bc8" ns2:_="" ns3:_="">
    <xsd:import namespace="82dbab2e-3b56-44de-becc-0ec356b33dff"/>
    <xsd:import namespace="da0bec91-bd15-486a-844a-39cd7890c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bab2e-3b56-44de-becc-0ec356b33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9ef8c6-609c-46fa-9e5c-e4dc5d0a7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0bec91-bd15-486a-844a-39cd7890c3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1d846e-bdaa-4578-b787-1940367c6c23}" ma:internalName="TaxCatchAll" ma:showField="CatchAllData" ma:web="da0bec91-bd15-486a-844a-39cd7890c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dbab2e-3b56-44de-becc-0ec356b33dff">
      <Terms xmlns="http://schemas.microsoft.com/office/infopath/2007/PartnerControls"/>
    </lcf76f155ced4ddcb4097134ff3c332f>
    <TaxCatchAll xmlns="da0bec91-bd15-486a-844a-39cd7890c3eb" xsi:nil="true"/>
  </documentManagement>
</p:properties>
</file>

<file path=customXml/itemProps1.xml><?xml version="1.0" encoding="utf-8"?>
<ds:datastoreItem xmlns:ds="http://schemas.openxmlformats.org/officeDocument/2006/customXml" ds:itemID="{E658C181-D3A8-4DAB-AD59-E6C451866B3A}">
  <ds:schemaRefs>
    <ds:schemaRef ds:uri="http://schemas.microsoft.com/sharepoint/v3/contenttype/forms"/>
  </ds:schemaRefs>
</ds:datastoreItem>
</file>

<file path=customXml/itemProps2.xml><?xml version="1.0" encoding="utf-8"?>
<ds:datastoreItem xmlns:ds="http://schemas.openxmlformats.org/officeDocument/2006/customXml" ds:itemID="{8F766358-0E4C-4CE4-914C-A6C6C7447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bab2e-3b56-44de-becc-0ec356b33dff"/>
    <ds:schemaRef ds:uri="da0bec91-bd15-486a-844a-39cd7890c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6A4FE-11F0-45FF-812E-8BB2AD68D288}">
  <ds:schemaRefs>
    <ds:schemaRef ds:uri="http://schemas.microsoft.com/office/2006/metadata/properties"/>
    <ds:schemaRef ds:uri="http://schemas.microsoft.com/office/infopath/2007/PartnerControls"/>
    <ds:schemaRef ds:uri="82dbab2e-3b56-44de-becc-0ec356b33dff"/>
    <ds:schemaRef ds:uri="da0bec91-bd15-486a-844a-39cd7890c3eb"/>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1646</Words>
  <Characters>9385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2024-06-19T16:05:00Z</dcterms:created>
  <dcterms:modified xsi:type="dcterms:W3CDTF">2024-06-21T12:20:00Z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0x010100AA092A754480E944A1CB10007F634BC1</vt:lpwstr>
  </property>
</Properties>
</file>