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3B806" w14:textId="66831D99" w:rsidR="009E7D0C" w:rsidRPr="004B0EC7" w:rsidRDefault="009E7D0C" w:rsidP="00A33695">
      <w:pPr>
        <w:jc w:val="center"/>
        <w:rPr>
          <w:rFonts w:ascii="Times New Roman" w:hAnsi="Times New Roman"/>
          <w:sz w:val="24"/>
        </w:rPr>
      </w:pPr>
      <w:bookmarkStart w:id="0" w:name="_Toc262568021"/>
      <w:bookmarkStart w:id="1" w:name="_Toc295829847"/>
      <w:r w:rsidRPr="004B0EC7">
        <w:rPr>
          <w:rFonts w:ascii="Times New Roman" w:hAnsi="Times New Roman"/>
          <w:sz w:val="24"/>
        </w:rPr>
        <w:t>EN</w:t>
      </w:r>
    </w:p>
    <w:p w14:paraId="2704A83C" w14:textId="77777777" w:rsidR="009E7D0C" w:rsidRPr="004B0EC7" w:rsidRDefault="009E7D0C" w:rsidP="00A33695">
      <w:pPr>
        <w:jc w:val="center"/>
        <w:rPr>
          <w:rFonts w:ascii="Times New Roman" w:hAnsi="Times New Roman"/>
          <w:sz w:val="24"/>
        </w:rPr>
      </w:pPr>
    </w:p>
    <w:p w14:paraId="24333E7A" w14:textId="5D6FD9D5" w:rsidR="008D696E" w:rsidRPr="004B0EC7" w:rsidRDefault="008D696E" w:rsidP="00A33695">
      <w:pPr>
        <w:jc w:val="center"/>
        <w:rPr>
          <w:rFonts w:ascii="Times New Roman" w:hAnsi="Times New Roman"/>
          <w:sz w:val="24"/>
        </w:rPr>
      </w:pPr>
      <w:r w:rsidRPr="004B0EC7">
        <w:rPr>
          <w:rFonts w:ascii="Times New Roman" w:hAnsi="Times New Roman"/>
          <w:sz w:val="24"/>
        </w:rPr>
        <w:t>ANNEX II</w:t>
      </w:r>
    </w:p>
    <w:p w14:paraId="37362007" w14:textId="6FB5EC15" w:rsidR="002648B0" w:rsidRPr="004B0EC7" w:rsidRDefault="008D696E" w:rsidP="00A33695">
      <w:pPr>
        <w:jc w:val="center"/>
        <w:rPr>
          <w:rFonts w:ascii="Times New Roman" w:hAnsi="Times New Roman"/>
          <w:sz w:val="24"/>
        </w:rPr>
      </w:pPr>
      <w:r w:rsidRPr="004B0EC7">
        <w:rPr>
          <w:rFonts w:ascii="Times New Roman" w:hAnsi="Times New Roman"/>
          <w:sz w:val="24"/>
        </w:rPr>
        <w:t>‘</w:t>
      </w:r>
      <w:r w:rsidR="002648B0" w:rsidRPr="004B0EC7">
        <w:rPr>
          <w:rFonts w:ascii="Times New Roman" w:hAnsi="Times New Roman"/>
          <w:sz w:val="24"/>
        </w:rPr>
        <w:t>ANNEX II</w:t>
      </w:r>
    </w:p>
    <w:p w14:paraId="327777EC" w14:textId="77777777" w:rsidR="002648B0" w:rsidRPr="004B0EC7" w:rsidRDefault="00D11E4C" w:rsidP="00C87CEE">
      <w:pPr>
        <w:jc w:val="center"/>
        <w:rPr>
          <w:rFonts w:ascii="Times New Roman" w:hAnsi="Times New Roman"/>
          <w:b/>
          <w:sz w:val="24"/>
          <w:lang w:eastAsia="de-DE"/>
        </w:rPr>
      </w:pPr>
      <w:r w:rsidRPr="004B0EC7">
        <w:rPr>
          <w:rFonts w:ascii="Times New Roman" w:hAnsi="Times New Roman"/>
          <w:b/>
          <w:sz w:val="24"/>
          <w:lang w:eastAsia="de-DE"/>
        </w:rPr>
        <w:t xml:space="preserve">INSTRUCTIONS FOR </w:t>
      </w:r>
      <w:r w:rsidR="002648B0" w:rsidRPr="004B0EC7">
        <w:rPr>
          <w:rFonts w:ascii="Times New Roman" w:hAnsi="Times New Roman"/>
          <w:b/>
          <w:sz w:val="24"/>
          <w:lang w:eastAsia="de-DE"/>
        </w:rPr>
        <w:t xml:space="preserve">REPORTING ON </w:t>
      </w:r>
      <w:r w:rsidR="00480A69" w:rsidRPr="004B0EC7">
        <w:rPr>
          <w:rFonts w:ascii="Times New Roman" w:hAnsi="Times New Roman"/>
          <w:b/>
          <w:sz w:val="24"/>
          <w:lang w:eastAsia="de-DE"/>
        </w:rPr>
        <w:t xml:space="preserve">OWN FUNDS AND </w:t>
      </w:r>
      <w:r w:rsidR="002648B0" w:rsidRPr="004B0EC7">
        <w:rPr>
          <w:rFonts w:ascii="Times New Roman" w:hAnsi="Times New Roman"/>
          <w:b/>
          <w:sz w:val="24"/>
          <w:lang w:eastAsia="de-DE"/>
        </w:rPr>
        <w:t>OWN FUNDS REQUIREMENTS</w:t>
      </w:r>
    </w:p>
    <w:p w14:paraId="2C40683C" w14:textId="77777777" w:rsidR="00436204" w:rsidRPr="004B0EC7" w:rsidRDefault="00436204" w:rsidP="00C87CEE">
      <w:pPr>
        <w:jc w:val="center"/>
        <w:rPr>
          <w:rFonts w:ascii="Times New Roman" w:hAnsi="Times New Roman"/>
          <w:b/>
          <w:sz w:val="24"/>
          <w:lang w:eastAsia="de-DE"/>
        </w:rPr>
      </w:pPr>
    </w:p>
    <w:p w14:paraId="587AAF25" w14:textId="155D24EC" w:rsidR="00971D22" w:rsidRPr="004B0EC7" w:rsidRDefault="00971D22" w:rsidP="00971D22">
      <w:pPr>
        <w:rPr>
          <w:rFonts w:ascii="Times New Roman" w:hAnsi="Times New Roman"/>
          <w:sz w:val="24"/>
        </w:rPr>
      </w:pPr>
      <w:r w:rsidRPr="004B0EC7">
        <w:rPr>
          <w:rFonts w:ascii="Times New Roman" w:hAnsi="Times New Roman"/>
          <w:sz w:val="24"/>
        </w:rPr>
        <w:t>(…)</w:t>
      </w:r>
    </w:p>
    <w:p w14:paraId="74494658" w14:textId="77777777" w:rsidR="002648B0" w:rsidRPr="004B0EC7" w:rsidRDefault="002648B0" w:rsidP="00D64B66">
      <w:pPr>
        <w:pStyle w:val="Heading2"/>
        <w:rPr>
          <w:rFonts w:ascii="Times New Roman" w:hAnsi="Times New Roman"/>
          <w:lang w:val="en-GB"/>
        </w:rPr>
      </w:pPr>
      <w:bookmarkStart w:id="2" w:name="_Toc264033192"/>
      <w:bookmarkStart w:id="3" w:name="_Toc360188322"/>
      <w:bookmarkStart w:id="4" w:name="_Toc473560870"/>
      <w:bookmarkStart w:id="5" w:name="_Toc151714358"/>
      <w:bookmarkEnd w:id="2"/>
      <w:r w:rsidRPr="004B0EC7">
        <w:rPr>
          <w:rFonts w:ascii="Times New Roman" w:hAnsi="Times New Roman"/>
          <w:lang w:val="en-GB"/>
        </w:rPr>
        <w:t>PART II: TEMPLATE RELATED INSTRUCTIONS</w:t>
      </w:r>
      <w:bookmarkEnd w:id="3"/>
      <w:bookmarkEnd w:id="4"/>
      <w:bookmarkEnd w:id="5"/>
    </w:p>
    <w:p w14:paraId="42779579" w14:textId="77777777" w:rsidR="00971D22" w:rsidRPr="004B0EC7" w:rsidRDefault="00971D22" w:rsidP="00971D22">
      <w:pPr>
        <w:rPr>
          <w:rFonts w:ascii="Times New Roman" w:hAnsi="Times New Roman"/>
          <w:sz w:val="24"/>
        </w:rPr>
      </w:pPr>
      <w:bookmarkStart w:id="6" w:name="_Toc360188323"/>
      <w:bookmarkStart w:id="7" w:name="_Toc473560871"/>
      <w:bookmarkStart w:id="8" w:name="_Toc151714359"/>
      <w:r w:rsidRPr="004B0EC7">
        <w:rPr>
          <w:rFonts w:ascii="Times New Roman" w:hAnsi="Times New Roman"/>
          <w:sz w:val="24"/>
        </w:rPr>
        <w:t>(…)</w:t>
      </w:r>
    </w:p>
    <w:p w14:paraId="73EBDC1C" w14:textId="77777777" w:rsidR="000B0B09" w:rsidRPr="004B0EC7" w:rsidRDefault="00125707" w:rsidP="0023700C">
      <w:pPr>
        <w:pStyle w:val="Instructionsberschrift2"/>
        <w:numPr>
          <w:ilvl w:val="0"/>
          <w:numId w:val="0"/>
        </w:numPr>
        <w:ind w:left="357" w:hanging="357"/>
        <w:rPr>
          <w:rFonts w:ascii="Times New Roman" w:hAnsi="Times New Roman" w:cs="Times New Roman"/>
          <w:sz w:val="24"/>
          <w:lang w:val="en-GB"/>
        </w:rPr>
      </w:pPr>
      <w:bookmarkStart w:id="9" w:name="_Toc295829995"/>
      <w:bookmarkStart w:id="10" w:name="_Toc262566425"/>
      <w:bookmarkStart w:id="11" w:name="_Toc308426671"/>
      <w:bookmarkStart w:id="12" w:name="_Toc310415056"/>
      <w:bookmarkStart w:id="13" w:name="_Toc360188391"/>
      <w:bookmarkStart w:id="14" w:name="_Toc473561031"/>
      <w:bookmarkStart w:id="15" w:name="_Toc151714485"/>
      <w:bookmarkEnd w:id="6"/>
      <w:bookmarkEnd w:id="7"/>
      <w:bookmarkEnd w:id="8"/>
      <w:bookmarkEnd w:id="0"/>
      <w:bookmarkEnd w:id="1"/>
      <w:r w:rsidRPr="004B0EC7">
        <w:rPr>
          <w:rFonts w:ascii="Times New Roman" w:hAnsi="Times New Roman" w:cs="Times New Roman"/>
          <w:sz w:val="24"/>
          <w:u w:val="none"/>
          <w:lang w:val="en-GB"/>
        </w:rPr>
        <w:t>5.</w:t>
      </w:r>
      <w:r w:rsidRPr="004B0EC7">
        <w:rPr>
          <w:rFonts w:ascii="Times New Roman" w:hAnsi="Times New Roman" w:cs="Times New Roman"/>
          <w:sz w:val="24"/>
          <w:u w:val="none"/>
          <w:lang w:val="en-GB"/>
        </w:rPr>
        <w:tab/>
      </w:r>
      <w:r w:rsidR="000B0B09" w:rsidRPr="004B0EC7">
        <w:rPr>
          <w:rFonts w:ascii="Times New Roman" w:hAnsi="Times New Roman" w:cs="Times New Roman"/>
          <w:sz w:val="24"/>
          <w:lang w:val="en-GB"/>
        </w:rPr>
        <w:t>Market Risk Templates</w:t>
      </w:r>
      <w:bookmarkEnd w:id="9"/>
      <w:bookmarkEnd w:id="10"/>
      <w:bookmarkEnd w:id="11"/>
      <w:bookmarkEnd w:id="12"/>
      <w:bookmarkEnd w:id="13"/>
      <w:bookmarkEnd w:id="14"/>
      <w:bookmarkEnd w:id="15"/>
    </w:p>
    <w:bookmarkStart w:id="16" w:name="_Toc308426672"/>
    <w:p w14:paraId="3A680559" w14:textId="06E26721" w:rsidR="000B0B09" w:rsidRPr="004B0EC7" w:rsidRDefault="00771068" w:rsidP="00660845">
      <w:pPr>
        <w:pStyle w:val="InstructionsText2"/>
        <w:numPr>
          <w:ilvl w:val="0"/>
          <w:numId w:val="0"/>
        </w:numPr>
        <w:ind w:left="993"/>
      </w:pPr>
      <w:r w:rsidRPr="004B0EC7">
        <w:fldChar w:fldCharType="begin"/>
      </w:r>
      <w:r w:rsidRPr="004B0EC7">
        <w:instrText xml:space="preserve"> seq paragraphs </w:instrText>
      </w:r>
      <w:r w:rsidRPr="004B0EC7">
        <w:fldChar w:fldCharType="separate"/>
      </w:r>
      <w:r w:rsidRPr="004B0EC7">
        <w:rPr>
          <w:noProof/>
        </w:rPr>
        <w:t>158</w:t>
      </w:r>
      <w:r w:rsidRPr="004B0EC7">
        <w:fldChar w:fldCharType="end"/>
      </w:r>
      <w:r w:rsidR="00125707" w:rsidRPr="004B0EC7">
        <w:t>.</w:t>
      </w:r>
      <w:r w:rsidR="00125707" w:rsidRPr="004B0EC7">
        <w:tab/>
      </w:r>
      <w:r w:rsidR="005C14B0" w:rsidRPr="004B0EC7">
        <w:t xml:space="preserve"> </w:t>
      </w:r>
      <w:r w:rsidR="000B0B09" w:rsidRPr="004B0EC7">
        <w:t xml:space="preserve">These instructions refer to the templates </w:t>
      </w:r>
      <w:r w:rsidR="00BD2FE7" w:rsidRPr="004B0EC7">
        <w:t xml:space="preserve">for the </w:t>
      </w:r>
      <w:r w:rsidR="000B0B09" w:rsidRPr="004B0EC7">
        <w:t xml:space="preserve">reporting of the calculation of own funds requirements </w:t>
      </w:r>
      <w:r w:rsidR="00BB22D4" w:rsidRPr="004B0EC7">
        <w:t>in accordance with</w:t>
      </w:r>
      <w:r w:rsidR="000B0B09" w:rsidRPr="004B0EC7">
        <w:t xml:space="preserve"> the </w:t>
      </w:r>
      <w:r w:rsidR="00CA21CA" w:rsidRPr="004B0EC7">
        <w:t>Standardised Approach</w:t>
      </w:r>
      <w:r w:rsidR="000B0B09" w:rsidRPr="004B0EC7">
        <w:t xml:space="preserve"> for foreign exchange risk (MKR </w:t>
      </w:r>
      <w:r w:rsidR="00617624" w:rsidRPr="004B0EC7">
        <w:t>S</w:t>
      </w:r>
      <w:r w:rsidR="000B0B09" w:rsidRPr="004B0EC7">
        <w:t xml:space="preserve">SA FX), commodities risk (MKR </w:t>
      </w:r>
      <w:r w:rsidR="00617624" w:rsidRPr="004B0EC7">
        <w:t>S</w:t>
      </w:r>
      <w:r w:rsidR="000B0B09" w:rsidRPr="004B0EC7">
        <w:t>SA COM)</w:t>
      </w:r>
      <w:r w:rsidR="00F41508" w:rsidRPr="004B0EC7">
        <w:t>,</w:t>
      </w:r>
      <w:r w:rsidR="000B0B09" w:rsidRPr="004B0EC7">
        <w:t xml:space="preserve"> interest rate risk (MKR </w:t>
      </w:r>
      <w:r w:rsidR="00617624" w:rsidRPr="004B0EC7">
        <w:t>S</w:t>
      </w:r>
      <w:r w:rsidR="000B0B09" w:rsidRPr="004B0EC7">
        <w:t xml:space="preserve">SA TDI, MKR </w:t>
      </w:r>
      <w:r w:rsidR="00617624" w:rsidRPr="004B0EC7">
        <w:t>S</w:t>
      </w:r>
      <w:r w:rsidR="000B0B09" w:rsidRPr="004B0EC7">
        <w:t xml:space="preserve">SA SEC, MKR </w:t>
      </w:r>
      <w:r w:rsidR="00617624" w:rsidRPr="004B0EC7">
        <w:t>S</w:t>
      </w:r>
      <w:r w:rsidR="000B0B09" w:rsidRPr="004B0EC7">
        <w:t xml:space="preserve">SA CTP) and equity risk (MKR </w:t>
      </w:r>
      <w:r w:rsidR="00617624" w:rsidRPr="004B0EC7">
        <w:t>S</w:t>
      </w:r>
      <w:r w:rsidR="000B0B09" w:rsidRPr="004B0EC7">
        <w:t xml:space="preserve">SA EQU). Additionally, instructions for the template </w:t>
      </w:r>
      <w:r w:rsidR="00BD2FE7" w:rsidRPr="004B0EC7">
        <w:t xml:space="preserve">for the </w:t>
      </w:r>
      <w:r w:rsidR="000B0B09" w:rsidRPr="004B0EC7">
        <w:t xml:space="preserve">reporting of the calculation of own funds requirements </w:t>
      </w:r>
      <w:r w:rsidR="00BB22D4" w:rsidRPr="004B0EC7">
        <w:t>in accordance with</w:t>
      </w:r>
      <w:r w:rsidR="000B0B09" w:rsidRPr="004B0EC7">
        <w:t xml:space="preserve"> the internal models approach (MKR IM) are included in this part. </w:t>
      </w:r>
    </w:p>
    <w:p w14:paraId="43A205D1" w14:textId="37E67CF7" w:rsidR="000B0B09" w:rsidRPr="004B0EC7" w:rsidRDefault="008F3052" w:rsidP="00660845">
      <w:pPr>
        <w:pStyle w:val="InstructionsText2"/>
        <w:numPr>
          <w:ilvl w:val="0"/>
          <w:numId w:val="0"/>
        </w:numPr>
        <w:ind w:left="993"/>
      </w:pPr>
      <w:r w:rsidRPr="004B0EC7">
        <w:fldChar w:fldCharType="begin"/>
      </w:r>
      <w:r w:rsidRPr="004B0EC7">
        <w:instrText>seq paragraphs</w:instrText>
      </w:r>
      <w:r w:rsidRPr="004B0EC7">
        <w:fldChar w:fldCharType="separate"/>
      </w:r>
      <w:r w:rsidR="00771068" w:rsidRPr="004B0EC7">
        <w:rPr>
          <w:noProof/>
        </w:rPr>
        <w:t>159</w:t>
      </w:r>
      <w:r w:rsidRPr="004B0EC7">
        <w:fldChar w:fldCharType="end"/>
      </w:r>
      <w:r w:rsidR="00125707" w:rsidRPr="004B0EC7">
        <w:t>.</w:t>
      </w:r>
      <w:r w:rsidR="00125707" w:rsidRPr="004B0EC7">
        <w:tab/>
      </w:r>
      <w:r w:rsidR="005C14B0" w:rsidRPr="004B0EC7">
        <w:t xml:space="preserve"> </w:t>
      </w:r>
      <w:r w:rsidR="000B0B09" w:rsidRPr="004B0EC7">
        <w:t xml:space="preserve">The position risk on a traded debt instrument or equity (or debt or equity derivative) shall be divided into two components in order to calculate the capital required against it. The first shall be its specific-risk component — </w:t>
      </w:r>
      <w:r w:rsidR="00F41508" w:rsidRPr="004B0EC7">
        <w:t>that</w:t>
      </w:r>
      <w:r w:rsidR="000B0B09" w:rsidRPr="004B0EC7">
        <w:t xml:space="preserve"> is the risk of a price change in the instrument concerned due to factors related to its issuer or, in the case of a derivative, the issuer of the underlying instrument. The second component shall cover its general risk — th</w:t>
      </w:r>
      <w:r w:rsidR="00F41508" w:rsidRPr="004B0EC7">
        <w:t>at</w:t>
      </w:r>
      <w:r w:rsidR="000B0B09" w:rsidRPr="004B0EC7">
        <w:t xml:space="preserve"> is the risk of a price change in the instrument due (in the case of a traded debt instrument or debt derivative) to a change in the level of interest rates or (in the case of an equity or equity derivative) to a broad equity- market movement unrelated to any specific attributes of individual securities. </w:t>
      </w:r>
      <w:bookmarkEnd w:id="16"/>
      <w:r w:rsidR="000B0B09" w:rsidRPr="004B0EC7">
        <w:t xml:space="preserve">The general treatment of specific instruments and netting procedures can be found in Articles 326 to 333 </w:t>
      </w:r>
      <w:r w:rsidR="007062FD" w:rsidRPr="004B0EC7">
        <w:rPr>
          <w:lang w:val="en-US"/>
        </w:rPr>
        <w:t>of Regulation (EU) No 575/2013</w:t>
      </w:r>
      <w:r w:rsidR="000B0B09" w:rsidRPr="004B0EC7">
        <w:t xml:space="preserve">. </w:t>
      </w:r>
    </w:p>
    <w:p w14:paraId="39C5FEA4" w14:textId="0C709FA3" w:rsidR="000B0B09" w:rsidRPr="004B0EC7" w:rsidRDefault="00125707" w:rsidP="0023700C">
      <w:pPr>
        <w:pStyle w:val="Instructionsberschrift2"/>
        <w:numPr>
          <w:ilvl w:val="0"/>
          <w:numId w:val="0"/>
        </w:numPr>
        <w:ind w:left="357" w:hanging="357"/>
        <w:rPr>
          <w:rFonts w:ascii="Times New Roman" w:hAnsi="Times New Roman" w:cs="Times New Roman"/>
          <w:sz w:val="24"/>
          <w:lang w:val="en-GB"/>
        </w:rPr>
      </w:pPr>
      <w:bookmarkStart w:id="17" w:name="_Toc239157393"/>
      <w:bookmarkStart w:id="18" w:name="_Toc262566426"/>
      <w:bookmarkStart w:id="19" w:name="_Toc295829996"/>
      <w:bookmarkStart w:id="20" w:name="_Toc308426673"/>
      <w:bookmarkStart w:id="21" w:name="_Toc310415057"/>
      <w:bookmarkStart w:id="22" w:name="_Toc360188392"/>
      <w:bookmarkStart w:id="23" w:name="_Toc473561032"/>
      <w:bookmarkStart w:id="24" w:name="_Toc151714486"/>
      <w:r w:rsidRPr="004B0EC7">
        <w:rPr>
          <w:rFonts w:ascii="Times New Roman" w:hAnsi="Times New Roman" w:cs="Times New Roman"/>
          <w:sz w:val="24"/>
          <w:u w:val="none"/>
          <w:lang w:val="en-GB"/>
        </w:rPr>
        <w:t>5.1.</w:t>
      </w:r>
      <w:r w:rsidRPr="004B0EC7">
        <w:rPr>
          <w:rFonts w:ascii="Times New Roman" w:hAnsi="Times New Roman" w:cs="Times New Roman"/>
          <w:sz w:val="24"/>
          <w:u w:val="none"/>
          <w:lang w:val="en-GB"/>
        </w:rPr>
        <w:tab/>
      </w:r>
      <w:r w:rsidR="008B73EE" w:rsidRPr="004B0EC7">
        <w:rPr>
          <w:rFonts w:ascii="Times New Roman" w:hAnsi="Times New Roman" w:cs="Times New Roman"/>
          <w:sz w:val="24"/>
          <w:lang w:val="en-GB"/>
        </w:rPr>
        <w:t>C 18.0</w:t>
      </w:r>
      <w:r w:rsidR="003D711A" w:rsidRPr="004B0EC7">
        <w:rPr>
          <w:rFonts w:ascii="Times New Roman" w:hAnsi="Times New Roman" w:cs="Times New Roman"/>
          <w:sz w:val="24"/>
          <w:lang w:val="en-GB"/>
        </w:rPr>
        <w:t>1</w:t>
      </w:r>
      <w:r w:rsidR="008B73EE" w:rsidRPr="004B0EC7">
        <w:rPr>
          <w:rFonts w:ascii="Times New Roman" w:hAnsi="Times New Roman" w:cs="Times New Roman"/>
          <w:sz w:val="24"/>
          <w:lang w:val="en-GB"/>
        </w:rPr>
        <w:t xml:space="preserve"> </w:t>
      </w:r>
      <w:r w:rsidR="000B0B09" w:rsidRPr="004B0EC7">
        <w:rPr>
          <w:rFonts w:ascii="Times New Roman" w:hAnsi="Times New Roman" w:cs="Times New Roman"/>
          <w:sz w:val="24"/>
          <w:lang w:val="en-GB"/>
        </w:rPr>
        <w:t xml:space="preserve">– Market Risk: </w:t>
      </w:r>
      <w:r w:rsidR="00FD7683" w:rsidRPr="004B0EC7">
        <w:rPr>
          <w:rFonts w:ascii="Times New Roman" w:hAnsi="Times New Roman" w:cs="Times New Roman"/>
          <w:sz w:val="24"/>
          <w:lang w:val="en-GB"/>
        </w:rPr>
        <w:t xml:space="preserve">Simplified </w:t>
      </w:r>
      <w:r w:rsidR="000B0B09" w:rsidRPr="004B0EC7">
        <w:rPr>
          <w:rFonts w:ascii="Times New Roman" w:hAnsi="Times New Roman" w:cs="Times New Roman"/>
          <w:sz w:val="24"/>
          <w:lang w:val="en-GB"/>
        </w:rPr>
        <w:t>Standardised Approach for Position Risks in Traded Debt Instruments</w:t>
      </w:r>
      <w:bookmarkEnd w:id="17"/>
      <w:bookmarkEnd w:id="18"/>
      <w:bookmarkEnd w:id="19"/>
      <w:bookmarkEnd w:id="20"/>
      <w:bookmarkEnd w:id="21"/>
      <w:bookmarkEnd w:id="22"/>
      <w:r w:rsidR="008B73EE" w:rsidRPr="004B0EC7">
        <w:rPr>
          <w:rFonts w:ascii="Times New Roman" w:hAnsi="Times New Roman" w:cs="Times New Roman"/>
          <w:sz w:val="24"/>
          <w:lang w:val="en-GB"/>
        </w:rPr>
        <w:t xml:space="preserve"> (MKR </w:t>
      </w:r>
      <w:r w:rsidR="00FD7683" w:rsidRPr="004B0EC7">
        <w:rPr>
          <w:rFonts w:ascii="Times New Roman" w:hAnsi="Times New Roman" w:cs="Times New Roman"/>
          <w:sz w:val="24"/>
          <w:lang w:val="en-GB"/>
        </w:rPr>
        <w:t>S</w:t>
      </w:r>
      <w:r w:rsidR="008B73EE" w:rsidRPr="004B0EC7">
        <w:rPr>
          <w:rFonts w:ascii="Times New Roman" w:hAnsi="Times New Roman" w:cs="Times New Roman"/>
          <w:sz w:val="24"/>
          <w:lang w:val="en-GB"/>
        </w:rPr>
        <w:t>SA TDI)</w:t>
      </w:r>
      <w:bookmarkEnd w:id="23"/>
      <w:bookmarkEnd w:id="24"/>
    </w:p>
    <w:p w14:paraId="7BC699A3" w14:textId="77777777" w:rsidR="000B0B09" w:rsidRPr="004B0EC7" w:rsidRDefault="00125707" w:rsidP="0023700C">
      <w:pPr>
        <w:pStyle w:val="Instructionsberschrift2"/>
        <w:numPr>
          <w:ilvl w:val="0"/>
          <w:numId w:val="0"/>
        </w:numPr>
        <w:ind w:left="357" w:hanging="357"/>
        <w:rPr>
          <w:rFonts w:ascii="Times New Roman" w:hAnsi="Times New Roman" w:cs="Times New Roman"/>
          <w:sz w:val="24"/>
          <w:lang w:val="en-GB"/>
        </w:rPr>
      </w:pPr>
      <w:bookmarkStart w:id="25" w:name="_Toc262566427"/>
      <w:bookmarkStart w:id="26" w:name="_Toc295829997"/>
      <w:bookmarkStart w:id="27" w:name="_Toc308426674"/>
      <w:bookmarkStart w:id="28" w:name="_Toc310415058"/>
      <w:bookmarkStart w:id="29" w:name="_Toc360188393"/>
      <w:bookmarkStart w:id="30" w:name="_Toc473561033"/>
      <w:bookmarkStart w:id="31" w:name="_Toc151714487"/>
      <w:r w:rsidRPr="004B0EC7">
        <w:rPr>
          <w:rFonts w:ascii="Times New Roman" w:hAnsi="Times New Roman" w:cs="Times New Roman"/>
          <w:sz w:val="24"/>
          <w:u w:val="none"/>
          <w:lang w:val="en-GB"/>
        </w:rPr>
        <w:t>5.1.1.</w:t>
      </w:r>
      <w:r w:rsidRPr="004B0EC7">
        <w:rPr>
          <w:rFonts w:ascii="Times New Roman" w:hAnsi="Times New Roman" w:cs="Times New Roman"/>
          <w:sz w:val="24"/>
          <w:u w:val="none"/>
          <w:lang w:val="en-GB"/>
        </w:rPr>
        <w:tab/>
      </w:r>
      <w:r w:rsidR="000B0B09" w:rsidRPr="004B0EC7">
        <w:rPr>
          <w:rFonts w:ascii="Times New Roman" w:hAnsi="Times New Roman" w:cs="Times New Roman"/>
          <w:sz w:val="24"/>
          <w:lang w:val="en-GB"/>
        </w:rPr>
        <w:t>General Remarks</w:t>
      </w:r>
      <w:bookmarkEnd w:id="25"/>
      <w:bookmarkEnd w:id="26"/>
      <w:bookmarkEnd w:id="27"/>
      <w:bookmarkEnd w:id="28"/>
      <w:bookmarkEnd w:id="29"/>
      <w:bookmarkEnd w:id="30"/>
      <w:bookmarkEnd w:id="31"/>
    </w:p>
    <w:p w14:paraId="0D010E09" w14:textId="091C822F" w:rsidR="000B0B09" w:rsidRPr="004B0EC7" w:rsidRDefault="008F3052" w:rsidP="00660845">
      <w:pPr>
        <w:pStyle w:val="InstructionsText2"/>
        <w:numPr>
          <w:ilvl w:val="0"/>
          <w:numId w:val="0"/>
        </w:numPr>
        <w:ind w:left="993"/>
      </w:pPr>
      <w:r w:rsidRPr="004B0EC7">
        <w:fldChar w:fldCharType="begin"/>
      </w:r>
      <w:r w:rsidRPr="004B0EC7">
        <w:instrText>seq paragraphs</w:instrText>
      </w:r>
      <w:r w:rsidRPr="004B0EC7">
        <w:fldChar w:fldCharType="separate"/>
      </w:r>
      <w:r w:rsidR="00771068" w:rsidRPr="004B0EC7">
        <w:rPr>
          <w:noProof/>
        </w:rPr>
        <w:t>160</w:t>
      </w:r>
      <w:r w:rsidRPr="004B0EC7">
        <w:fldChar w:fldCharType="end"/>
      </w:r>
      <w:r w:rsidR="00125707" w:rsidRPr="004B0EC7">
        <w:t>.</w:t>
      </w:r>
      <w:r w:rsidR="00125707" w:rsidRPr="004B0EC7">
        <w:tab/>
      </w:r>
      <w:r w:rsidR="005C14B0" w:rsidRPr="004B0EC7">
        <w:t xml:space="preserve"> </w:t>
      </w:r>
      <w:r w:rsidR="000B0B09" w:rsidRPr="004B0EC7">
        <w:t xml:space="preserve">This template captures the positions and the related own funds requirements for position risks on traded debt instruments under the </w:t>
      </w:r>
      <w:r w:rsidR="00CA21CA" w:rsidRPr="004B0EC7">
        <w:t>Standardised Approach</w:t>
      </w:r>
      <w:r w:rsidR="000B0B09" w:rsidRPr="004B0EC7">
        <w:t xml:space="preserve"> (Article </w:t>
      </w:r>
      <w:r w:rsidR="00EE2CD5" w:rsidRPr="004B0EC7">
        <w:t>325 (2)</w:t>
      </w:r>
      <w:r w:rsidR="00B83DDE" w:rsidRPr="004B0EC7">
        <w:t>, p</w:t>
      </w:r>
      <w:r w:rsidR="00D24331" w:rsidRPr="004B0EC7">
        <w:t>oint (a)</w:t>
      </w:r>
      <w:r w:rsidR="00CF5957" w:rsidRPr="004B0EC7">
        <w:t>,</w:t>
      </w:r>
      <w:r w:rsidR="00D24331" w:rsidRPr="004B0EC7">
        <w:t xml:space="preserve"> </w:t>
      </w:r>
      <w:r w:rsidR="007062FD" w:rsidRPr="004B0EC7">
        <w:rPr>
          <w:lang w:val="en-US"/>
        </w:rPr>
        <w:t>of Regulation (EU) No 575/2013</w:t>
      </w:r>
      <w:r w:rsidR="000B0B09" w:rsidRPr="004B0EC7">
        <w:t xml:space="preserve">). The different risks and methods available under </w:t>
      </w:r>
      <w:r w:rsidR="007062FD" w:rsidRPr="004B0EC7">
        <w:rPr>
          <w:lang w:val="en-US"/>
        </w:rPr>
        <w:t>of Regulation (EU) No 575/2013</w:t>
      </w:r>
      <w:r w:rsidR="000B0B09" w:rsidRPr="004B0EC7">
        <w:t xml:space="preserve"> are considered by rows. The specific risk associated with exposures included in MKR </w:t>
      </w:r>
      <w:r w:rsidR="00617624" w:rsidRPr="004B0EC7">
        <w:t>S</w:t>
      </w:r>
      <w:r w:rsidR="000B0B09" w:rsidRPr="004B0EC7">
        <w:t xml:space="preserve">SA SEC and MKR </w:t>
      </w:r>
      <w:r w:rsidR="00617624" w:rsidRPr="004B0EC7">
        <w:t>S</w:t>
      </w:r>
      <w:r w:rsidR="000B0B09" w:rsidRPr="004B0EC7">
        <w:t xml:space="preserve">SA CTP has </w:t>
      </w:r>
      <w:r w:rsidR="00F41508" w:rsidRPr="004B0EC7">
        <w:t xml:space="preserve">only </w:t>
      </w:r>
      <w:r w:rsidR="000B0B09" w:rsidRPr="004B0EC7">
        <w:t xml:space="preserve">to be reported in the Total template of the MKR </w:t>
      </w:r>
      <w:r w:rsidR="00617624" w:rsidRPr="004B0EC7">
        <w:t>S</w:t>
      </w:r>
      <w:r w:rsidR="000B0B09" w:rsidRPr="004B0EC7">
        <w:t xml:space="preserve">SA TDI. The own funds requirements reported in those templates </w:t>
      </w:r>
      <w:r w:rsidR="00C93697" w:rsidRPr="004B0EC7">
        <w:t>shall</w:t>
      </w:r>
      <w:r w:rsidR="000B0B09" w:rsidRPr="004B0EC7">
        <w:t xml:space="preserve"> be transferred to cell {</w:t>
      </w:r>
      <w:r w:rsidR="00EE2CD5" w:rsidRPr="004B0EC7">
        <w:t>0</w:t>
      </w:r>
      <w:r w:rsidR="000B0B09" w:rsidRPr="004B0EC7">
        <w:t>325;</w:t>
      </w:r>
      <w:r w:rsidR="00EE2CD5" w:rsidRPr="004B0EC7">
        <w:t>0</w:t>
      </w:r>
      <w:r w:rsidR="000B0B09" w:rsidRPr="004B0EC7">
        <w:t>060} (securitisations) and {</w:t>
      </w:r>
      <w:r w:rsidR="00EE2CD5" w:rsidRPr="004B0EC7">
        <w:t>0</w:t>
      </w:r>
      <w:r w:rsidR="000B0B09" w:rsidRPr="004B0EC7">
        <w:t>330;</w:t>
      </w:r>
      <w:r w:rsidR="00EE2CD5" w:rsidRPr="004B0EC7">
        <w:t>0</w:t>
      </w:r>
      <w:r w:rsidR="000B0B09" w:rsidRPr="004B0EC7">
        <w:t>060} (CTP) respectively.</w:t>
      </w:r>
    </w:p>
    <w:p w14:paraId="7C8420A5" w14:textId="7A817DE2" w:rsidR="000B0B09" w:rsidRPr="004B0EC7" w:rsidRDefault="008F3052" w:rsidP="00660845">
      <w:pPr>
        <w:pStyle w:val="InstructionsText2"/>
        <w:numPr>
          <w:ilvl w:val="0"/>
          <w:numId w:val="0"/>
        </w:numPr>
        <w:ind w:left="993"/>
      </w:pPr>
      <w:r w:rsidRPr="004B0EC7">
        <w:lastRenderedPageBreak/>
        <w:fldChar w:fldCharType="begin"/>
      </w:r>
      <w:r w:rsidRPr="004B0EC7">
        <w:instrText>seq paragraphs</w:instrText>
      </w:r>
      <w:r w:rsidRPr="004B0EC7">
        <w:fldChar w:fldCharType="separate"/>
      </w:r>
      <w:r w:rsidR="00771068" w:rsidRPr="004B0EC7">
        <w:rPr>
          <w:noProof/>
        </w:rPr>
        <w:t>161</w:t>
      </w:r>
      <w:r w:rsidRPr="004B0EC7">
        <w:fldChar w:fldCharType="end"/>
      </w:r>
      <w:r w:rsidR="00125707" w:rsidRPr="004B0EC7">
        <w:t>.</w:t>
      </w:r>
      <w:r w:rsidR="00125707" w:rsidRPr="004B0EC7">
        <w:tab/>
      </w:r>
      <w:r w:rsidR="005C14B0" w:rsidRPr="004B0EC7">
        <w:t xml:space="preserve"> </w:t>
      </w:r>
      <w:r w:rsidR="000B0B09" w:rsidRPr="004B0EC7">
        <w:t xml:space="preserve">The template has to be filled out separately for the “Total”, plus a pre-defined list of following currencies: </w:t>
      </w:r>
      <w:bookmarkStart w:id="32" w:name="OLE_LINK1"/>
      <w:r w:rsidR="00DE0157" w:rsidRPr="004B0EC7">
        <w:t>EUR, ALL, BGN, CZK, DKK, EGP, GBP, HUF, ISK, JPY, MKD, NOK</w:t>
      </w:r>
      <w:r w:rsidR="00B83DDE" w:rsidRPr="004B0EC7">
        <w:t xml:space="preserve">, </w:t>
      </w:r>
      <w:r w:rsidR="00D177A5" w:rsidRPr="004B0EC7">
        <w:t>P</w:t>
      </w:r>
      <w:r w:rsidR="00DE0157" w:rsidRPr="004B0EC7">
        <w:t xml:space="preserve">LN, RON, RUB, RSD, SEK, CHF, TRY, UAH, USD </w:t>
      </w:r>
      <w:bookmarkEnd w:id="32"/>
      <w:r w:rsidR="00DE0157" w:rsidRPr="004B0EC7">
        <w:t xml:space="preserve">and </w:t>
      </w:r>
      <w:r w:rsidR="000B0B09" w:rsidRPr="004B0EC7">
        <w:t xml:space="preserve">one residual </w:t>
      </w:r>
      <w:r w:rsidR="00480A69" w:rsidRPr="004B0EC7">
        <w:t>template</w:t>
      </w:r>
      <w:r w:rsidR="000B0B09" w:rsidRPr="004B0EC7">
        <w:t xml:space="preserve"> for all other currencies. </w:t>
      </w:r>
    </w:p>
    <w:p w14:paraId="73E54EAD" w14:textId="76F64ACC" w:rsidR="000B0B09" w:rsidRPr="004B0EC7" w:rsidRDefault="00125707" w:rsidP="0023700C">
      <w:pPr>
        <w:pStyle w:val="Instructionsberschrift2"/>
        <w:numPr>
          <w:ilvl w:val="0"/>
          <w:numId w:val="0"/>
        </w:numPr>
        <w:ind w:left="357" w:hanging="357"/>
        <w:rPr>
          <w:rFonts w:ascii="Times New Roman" w:hAnsi="Times New Roman" w:cs="Times New Roman"/>
          <w:sz w:val="24"/>
          <w:lang w:val="en-GB"/>
        </w:rPr>
      </w:pPr>
      <w:bookmarkStart w:id="33" w:name="_Toc262566428"/>
      <w:bookmarkStart w:id="34" w:name="_Toc295829998"/>
      <w:bookmarkStart w:id="35" w:name="_Toc308426675"/>
      <w:bookmarkStart w:id="36" w:name="_Toc310415059"/>
      <w:bookmarkStart w:id="37" w:name="_Toc360188394"/>
      <w:bookmarkStart w:id="38" w:name="_Toc473561034"/>
      <w:bookmarkStart w:id="39" w:name="_Toc151714488"/>
      <w:r w:rsidRPr="004B0EC7">
        <w:rPr>
          <w:rFonts w:ascii="Times New Roman" w:hAnsi="Times New Roman" w:cs="Times New Roman"/>
          <w:sz w:val="24"/>
          <w:u w:val="none"/>
          <w:lang w:val="en-GB"/>
        </w:rPr>
        <w:t>5.1.2.</w:t>
      </w:r>
      <w:r w:rsidRPr="004B0EC7">
        <w:rPr>
          <w:rFonts w:ascii="Times New Roman" w:hAnsi="Times New Roman" w:cs="Times New Roman"/>
          <w:sz w:val="24"/>
          <w:u w:val="none"/>
          <w:lang w:val="en-GB"/>
        </w:rPr>
        <w:tab/>
      </w:r>
      <w:r w:rsidR="000B0B09" w:rsidRPr="004B0EC7">
        <w:rPr>
          <w:rFonts w:ascii="Times New Roman" w:hAnsi="Times New Roman" w:cs="Times New Roman"/>
          <w:sz w:val="24"/>
          <w:lang w:val="en-GB"/>
        </w:rPr>
        <w:t>Instructions concerning specific positions</w:t>
      </w:r>
      <w:bookmarkEnd w:id="33"/>
      <w:bookmarkEnd w:id="34"/>
      <w:bookmarkEnd w:id="35"/>
      <w:bookmarkEnd w:id="36"/>
      <w:bookmarkEnd w:id="37"/>
      <w:bookmarkEnd w:id="38"/>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4B0EC7" w14:paraId="3B011B78" w14:textId="77777777" w:rsidTr="00672D2A">
        <w:trPr>
          <w:trHeight w:val="569"/>
        </w:trPr>
        <w:tc>
          <w:tcPr>
            <w:tcW w:w="8862" w:type="dxa"/>
            <w:gridSpan w:val="2"/>
            <w:shd w:val="clear" w:color="auto" w:fill="CCCCCC"/>
          </w:tcPr>
          <w:p w14:paraId="3F08430D" w14:textId="77777777" w:rsidR="000B0B09" w:rsidRPr="004B0EC7" w:rsidRDefault="000B0B09" w:rsidP="000B0B09">
            <w:pPr>
              <w:autoSpaceDE w:val="0"/>
              <w:autoSpaceDN w:val="0"/>
              <w:adjustRightInd w:val="0"/>
              <w:spacing w:after="0"/>
              <w:rPr>
                <w:rFonts w:ascii="Times New Roman" w:hAnsi="Times New Roman"/>
                <w:b/>
                <w:sz w:val="24"/>
                <w:lang w:eastAsia="nl-BE"/>
              </w:rPr>
            </w:pPr>
            <w:r w:rsidRPr="004B0EC7">
              <w:rPr>
                <w:rFonts w:ascii="Times New Roman" w:hAnsi="Times New Roman"/>
                <w:b/>
                <w:sz w:val="24"/>
                <w:lang w:eastAsia="nl-BE"/>
              </w:rPr>
              <w:t>Columns</w:t>
            </w:r>
          </w:p>
        </w:tc>
      </w:tr>
      <w:tr w:rsidR="000B0B09" w:rsidRPr="004B0EC7" w14:paraId="2FB66B69" w14:textId="77777777" w:rsidTr="00672D2A">
        <w:tc>
          <w:tcPr>
            <w:tcW w:w="988" w:type="dxa"/>
          </w:tcPr>
          <w:p w14:paraId="3487AAF4" w14:textId="77777777" w:rsidR="000B0B09" w:rsidRPr="004B0EC7" w:rsidRDefault="00EE2CD5" w:rsidP="000F70EC">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010-</w:t>
            </w:r>
            <w:r w:rsidR="00EC2E9B" w:rsidRPr="004B0EC7">
              <w:rPr>
                <w:rFonts w:ascii="Times New Roman" w:hAnsi="Times New Roman"/>
                <w:sz w:val="24"/>
                <w:lang w:eastAsia="nl-BE"/>
              </w:rPr>
              <w:t>0</w:t>
            </w:r>
            <w:r w:rsidR="000B0B09" w:rsidRPr="004B0EC7">
              <w:rPr>
                <w:rFonts w:ascii="Times New Roman" w:hAnsi="Times New Roman"/>
                <w:sz w:val="24"/>
                <w:lang w:eastAsia="nl-BE"/>
              </w:rPr>
              <w:t>020</w:t>
            </w:r>
          </w:p>
        </w:tc>
        <w:tc>
          <w:tcPr>
            <w:tcW w:w="7874" w:type="dxa"/>
          </w:tcPr>
          <w:p w14:paraId="53B61CBE"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ALL POSITIONS (LONG AND SHORT)</w:t>
            </w:r>
          </w:p>
          <w:p w14:paraId="0C799784" w14:textId="63DC6E88" w:rsidR="000B0B09" w:rsidRPr="004B0EC7" w:rsidRDefault="000B0B09" w:rsidP="00D24331">
            <w:pPr>
              <w:rPr>
                <w:rFonts w:ascii="Times New Roman" w:hAnsi="Times New Roman"/>
                <w:sz w:val="24"/>
                <w:lang w:eastAsia="nl-BE"/>
              </w:rPr>
            </w:pPr>
            <w:r w:rsidRPr="004B0EC7">
              <w:rPr>
                <w:rFonts w:ascii="Times New Roman" w:hAnsi="Times New Roman"/>
                <w:sz w:val="24"/>
                <w:lang w:eastAsia="de-DE"/>
              </w:rPr>
              <w:t xml:space="preserve">Article 102 and </w:t>
            </w:r>
            <w:r w:rsidR="008241B9" w:rsidRPr="004B0EC7">
              <w:rPr>
                <w:rFonts w:ascii="Times New Roman" w:hAnsi="Times New Roman"/>
                <w:sz w:val="24"/>
                <w:lang w:eastAsia="de-DE"/>
              </w:rPr>
              <w:t xml:space="preserve">Article </w:t>
            </w:r>
            <w:r w:rsidRPr="004B0EC7">
              <w:rPr>
                <w:rFonts w:ascii="Times New Roman" w:hAnsi="Times New Roman"/>
                <w:sz w:val="24"/>
                <w:lang w:eastAsia="de-DE"/>
              </w:rPr>
              <w:t xml:space="preserve">105(1) </w:t>
            </w:r>
            <w:r w:rsidR="007062FD" w:rsidRPr="004B0EC7">
              <w:rPr>
                <w:rFonts w:ascii="Times New Roman" w:hAnsi="Times New Roman"/>
                <w:sz w:val="24"/>
                <w:lang w:val="en-US"/>
              </w:rPr>
              <w:t>of Regulation (EU) No 575/2013</w:t>
            </w:r>
            <w:r w:rsidRPr="004B0EC7">
              <w:rPr>
                <w:rFonts w:ascii="Times New Roman" w:hAnsi="Times New Roman"/>
                <w:sz w:val="24"/>
                <w:lang w:eastAsia="de-DE"/>
              </w:rPr>
              <w:t xml:space="preserve">. These are gross positions not netted by instruments but excluding underwriting positions subscribed or sub-underwritten by third parties </w:t>
            </w:r>
            <w:r w:rsidR="00BD2FE7" w:rsidRPr="004B0EC7">
              <w:rPr>
                <w:rFonts w:ascii="Times New Roman" w:hAnsi="Times New Roman"/>
                <w:sz w:val="24"/>
                <w:lang w:eastAsia="de-DE"/>
              </w:rPr>
              <w:t xml:space="preserve">in accordance with </w:t>
            </w:r>
            <w:r w:rsidR="00705025" w:rsidRPr="004B0EC7">
              <w:rPr>
                <w:rFonts w:ascii="Times New Roman" w:hAnsi="Times New Roman"/>
                <w:sz w:val="24"/>
                <w:lang w:eastAsia="de-DE"/>
              </w:rPr>
              <w:t xml:space="preserve">the second sentence of </w:t>
            </w:r>
            <w:r w:rsidR="005F3BBE" w:rsidRPr="004B0EC7">
              <w:rPr>
                <w:rFonts w:ascii="Times New Roman" w:hAnsi="Times New Roman"/>
                <w:sz w:val="24"/>
                <w:lang w:eastAsia="de-DE"/>
              </w:rPr>
              <w:t xml:space="preserve">the of </w:t>
            </w:r>
            <w:r w:rsidRPr="004B0EC7">
              <w:rPr>
                <w:rFonts w:ascii="Times New Roman" w:hAnsi="Times New Roman"/>
                <w:sz w:val="24"/>
                <w:lang w:eastAsia="de-DE"/>
              </w:rPr>
              <w:t>Article 345</w:t>
            </w:r>
            <w:r w:rsidR="005F3BBE" w:rsidRPr="004B0EC7">
              <w:rPr>
                <w:rFonts w:ascii="Times New Roman" w:hAnsi="Times New Roman"/>
                <w:sz w:val="24"/>
                <w:lang w:eastAsia="de-DE"/>
              </w:rPr>
              <w:t>(1)</w:t>
            </w:r>
            <w:r w:rsidR="00D24331" w:rsidRPr="004B0EC7">
              <w:rPr>
                <w:rFonts w:ascii="Times New Roman" w:hAnsi="Times New Roman"/>
                <w:sz w:val="24"/>
                <w:lang w:eastAsia="de-DE"/>
              </w:rPr>
              <w:t>,</w:t>
            </w:r>
            <w:r w:rsidRPr="004B0EC7">
              <w:rPr>
                <w:rFonts w:ascii="Times New Roman" w:hAnsi="Times New Roman"/>
                <w:sz w:val="24"/>
                <w:lang w:eastAsia="de-DE"/>
              </w:rPr>
              <w:t xml:space="preserve"> </w:t>
            </w:r>
            <w:r w:rsidR="00D24331" w:rsidRPr="004B0EC7">
              <w:rPr>
                <w:rFonts w:ascii="Times New Roman" w:hAnsi="Times New Roman"/>
                <w:sz w:val="24"/>
                <w:lang w:eastAsia="de-DE"/>
              </w:rPr>
              <w:t xml:space="preserve">first subparagraph </w:t>
            </w:r>
            <w:r w:rsidR="007062FD" w:rsidRPr="004B0EC7">
              <w:rPr>
                <w:rFonts w:ascii="Times New Roman" w:hAnsi="Times New Roman"/>
                <w:sz w:val="24"/>
                <w:lang w:val="en-US"/>
              </w:rPr>
              <w:t>of Regulation (EU) No 575/2013</w:t>
            </w:r>
            <w:r w:rsidRPr="004B0EC7">
              <w:rPr>
                <w:rFonts w:ascii="Times New Roman" w:hAnsi="Times New Roman"/>
                <w:sz w:val="24"/>
                <w:lang w:eastAsia="de-DE"/>
              </w:rPr>
              <w:t xml:space="preserve">. Regarding the distinction between </w:t>
            </w:r>
            <w:r w:rsidR="004B0EC7">
              <w:rPr>
                <w:rFonts w:ascii="Times New Roman" w:hAnsi="Times New Roman"/>
                <w:sz w:val="24"/>
                <w:lang w:eastAsia="de-DE"/>
              </w:rPr>
              <w:t>l</w:t>
            </w:r>
            <w:r w:rsidRPr="004B0EC7">
              <w:rPr>
                <w:rFonts w:ascii="Times New Roman" w:hAnsi="Times New Roman"/>
                <w:sz w:val="24"/>
                <w:lang w:eastAsia="de-DE"/>
              </w:rPr>
              <w:t xml:space="preserve">ong and </w:t>
            </w:r>
            <w:r w:rsidR="004B0EC7">
              <w:rPr>
                <w:rFonts w:ascii="Times New Roman" w:hAnsi="Times New Roman"/>
                <w:sz w:val="24"/>
                <w:lang w:eastAsia="de-DE"/>
              </w:rPr>
              <w:t>s</w:t>
            </w:r>
            <w:r w:rsidRPr="004B0EC7">
              <w:rPr>
                <w:rFonts w:ascii="Times New Roman" w:hAnsi="Times New Roman"/>
                <w:sz w:val="24"/>
                <w:lang w:eastAsia="de-DE"/>
              </w:rPr>
              <w:t xml:space="preserve">hort positions, also applicable to these gross positions, see Article 328(2) </w:t>
            </w:r>
            <w:r w:rsidR="007062FD" w:rsidRPr="004B0EC7">
              <w:rPr>
                <w:rFonts w:ascii="Times New Roman" w:hAnsi="Times New Roman"/>
                <w:sz w:val="24"/>
                <w:lang w:val="en-US"/>
              </w:rPr>
              <w:t>of Regulation (EU) No 575/2013</w:t>
            </w:r>
            <w:r w:rsidRPr="004B0EC7">
              <w:rPr>
                <w:rFonts w:ascii="Times New Roman" w:hAnsi="Times New Roman"/>
                <w:sz w:val="24"/>
                <w:lang w:eastAsia="de-DE"/>
              </w:rPr>
              <w:t>.</w:t>
            </w:r>
          </w:p>
        </w:tc>
      </w:tr>
      <w:tr w:rsidR="000B0B09" w:rsidRPr="004B0EC7" w14:paraId="05A2AFD3" w14:textId="77777777" w:rsidTr="00672D2A">
        <w:tc>
          <w:tcPr>
            <w:tcW w:w="988" w:type="dxa"/>
          </w:tcPr>
          <w:p w14:paraId="0443676D" w14:textId="77777777" w:rsidR="000B0B09" w:rsidRPr="004B0EC7" w:rsidRDefault="00EE2CD5" w:rsidP="000F70EC">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030</w:t>
            </w:r>
            <w:r w:rsidR="000F70EC" w:rsidRPr="004B0EC7">
              <w:rPr>
                <w:rFonts w:ascii="Times New Roman" w:hAnsi="Times New Roman"/>
                <w:sz w:val="24"/>
                <w:lang w:eastAsia="nl-BE"/>
              </w:rPr>
              <w:t>-</w:t>
            </w:r>
            <w:r w:rsidRPr="004B0EC7">
              <w:rPr>
                <w:rFonts w:ascii="Times New Roman" w:hAnsi="Times New Roman"/>
                <w:sz w:val="24"/>
                <w:lang w:eastAsia="nl-BE"/>
              </w:rPr>
              <w:t>0</w:t>
            </w:r>
            <w:r w:rsidR="000B0B09" w:rsidRPr="004B0EC7">
              <w:rPr>
                <w:rFonts w:ascii="Times New Roman" w:hAnsi="Times New Roman"/>
                <w:sz w:val="24"/>
                <w:lang w:eastAsia="nl-BE"/>
              </w:rPr>
              <w:t>040</w:t>
            </w:r>
          </w:p>
        </w:tc>
        <w:tc>
          <w:tcPr>
            <w:tcW w:w="7874" w:type="dxa"/>
          </w:tcPr>
          <w:p w14:paraId="28E370A1"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NET POSITIONS (LONG AND SHORT)</w:t>
            </w:r>
          </w:p>
          <w:p w14:paraId="38649486" w14:textId="21B59DB4" w:rsidR="000B0B09" w:rsidRPr="004B0EC7" w:rsidRDefault="000B0B09" w:rsidP="005B04C9">
            <w:pPr>
              <w:rPr>
                <w:rFonts w:ascii="Times New Roman" w:hAnsi="Times New Roman"/>
                <w:sz w:val="24"/>
                <w:lang w:eastAsia="nl-BE"/>
              </w:rPr>
            </w:pPr>
            <w:r w:rsidRPr="004B0EC7">
              <w:rPr>
                <w:rFonts w:ascii="Times New Roman" w:hAnsi="Times New Roman"/>
                <w:sz w:val="24"/>
                <w:lang w:eastAsia="de-DE"/>
              </w:rPr>
              <w:t xml:space="preserve">Articles 327 to 329 and </w:t>
            </w:r>
            <w:r w:rsidR="00F41508" w:rsidRPr="004B0EC7">
              <w:rPr>
                <w:rFonts w:ascii="Times New Roman" w:hAnsi="Times New Roman"/>
                <w:sz w:val="24"/>
                <w:lang w:eastAsia="de-DE"/>
              </w:rPr>
              <w:t xml:space="preserve">Article </w:t>
            </w:r>
            <w:r w:rsidRPr="004B0EC7">
              <w:rPr>
                <w:rFonts w:ascii="Times New Roman" w:hAnsi="Times New Roman"/>
                <w:sz w:val="24"/>
                <w:lang w:eastAsia="de-DE"/>
              </w:rPr>
              <w:t xml:space="preserve">334 </w:t>
            </w:r>
            <w:r w:rsidR="007062FD" w:rsidRPr="004B0EC7">
              <w:rPr>
                <w:rFonts w:ascii="Times New Roman" w:hAnsi="Times New Roman"/>
                <w:sz w:val="24"/>
                <w:lang w:val="en-US"/>
              </w:rPr>
              <w:t>of Regulation (EU) No 575/2013</w:t>
            </w:r>
            <w:r w:rsidRPr="004B0EC7">
              <w:rPr>
                <w:rFonts w:ascii="Times New Roman" w:hAnsi="Times New Roman"/>
                <w:sz w:val="24"/>
                <w:lang w:eastAsia="de-DE"/>
              </w:rPr>
              <w:t>. Regarding the distinction between Long and Short positions</w:t>
            </w:r>
            <w:r w:rsidR="00F41508" w:rsidRPr="004B0EC7">
              <w:rPr>
                <w:rFonts w:ascii="Times New Roman" w:hAnsi="Times New Roman"/>
                <w:sz w:val="24"/>
                <w:lang w:eastAsia="de-DE"/>
              </w:rPr>
              <w:t>,</w:t>
            </w:r>
            <w:r w:rsidRPr="004B0EC7">
              <w:rPr>
                <w:rFonts w:ascii="Times New Roman" w:hAnsi="Times New Roman"/>
                <w:sz w:val="24"/>
                <w:lang w:eastAsia="de-DE"/>
              </w:rPr>
              <w:t xml:space="preserve"> see Article 328(2) </w:t>
            </w:r>
            <w:r w:rsidR="007062FD" w:rsidRPr="004B0EC7">
              <w:rPr>
                <w:rFonts w:ascii="Times New Roman" w:hAnsi="Times New Roman"/>
                <w:sz w:val="24"/>
                <w:lang w:val="en-US"/>
              </w:rPr>
              <w:t>of Regulation (EU) No 575/2013</w:t>
            </w:r>
            <w:r w:rsidRPr="004B0EC7">
              <w:rPr>
                <w:rFonts w:ascii="Times New Roman" w:hAnsi="Times New Roman"/>
                <w:sz w:val="24"/>
                <w:lang w:eastAsia="de-DE"/>
              </w:rPr>
              <w:t>.</w:t>
            </w:r>
          </w:p>
        </w:tc>
      </w:tr>
      <w:tr w:rsidR="000B0B09" w:rsidRPr="004B0EC7" w14:paraId="4C7D46FF" w14:textId="77777777" w:rsidTr="00672D2A">
        <w:tc>
          <w:tcPr>
            <w:tcW w:w="988" w:type="dxa"/>
          </w:tcPr>
          <w:p w14:paraId="4D3FEEA5" w14:textId="77777777" w:rsidR="000B0B09" w:rsidRPr="004B0EC7" w:rsidRDefault="00EE2CD5"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050</w:t>
            </w:r>
          </w:p>
        </w:tc>
        <w:tc>
          <w:tcPr>
            <w:tcW w:w="7874" w:type="dxa"/>
          </w:tcPr>
          <w:p w14:paraId="28B3043D"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POSITIONS SUBJECT TO CAPITAL CHARGE</w:t>
            </w:r>
          </w:p>
          <w:p w14:paraId="76B658E5" w14:textId="104F8165" w:rsidR="000B0B09" w:rsidRPr="004B0EC7" w:rsidRDefault="000B0B09" w:rsidP="007079CE">
            <w:pPr>
              <w:rPr>
                <w:rFonts w:ascii="Times New Roman" w:hAnsi="Times New Roman"/>
                <w:b/>
                <w:bCs/>
                <w:sz w:val="24"/>
                <w:u w:val="single"/>
                <w:lang w:eastAsia="nl-BE"/>
              </w:rPr>
            </w:pPr>
            <w:r w:rsidRPr="004B0EC7">
              <w:rPr>
                <w:rFonts w:ascii="Times New Roman" w:hAnsi="Times New Roman"/>
                <w:sz w:val="24"/>
                <w:lang w:eastAsia="de-DE"/>
              </w:rPr>
              <w:t xml:space="preserve">Those net positions that, </w:t>
            </w:r>
            <w:r w:rsidR="00BB22D4" w:rsidRPr="004B0EC7">
              <w:rPr>
                <w:rFonts w:ascii="Times New Roman" w:hAnsi="Times New Roman"/>
                <w:sz w:val="24"/>
                <w:lang w:eastAsia="de-DE"/>
              </w:rPr>
              <w:t>in accordance with</w:t>
            </w:r>
            <w:r w:rsidRPr="004B0EC7">
              <w:rPr>
                <w:rFonts w:ascii="Times New Roman" w:hAnsi="Times New Roman"/>
                <w:sz w:val="24"/>
                <w:lang w:eastAsia="de-DE"/>
              </w:rPr>
              <w:t xml:space="preserve"> the different approaches considered in </w:t>
            </w:r>
            <w:r w:rsidR="00097A17" w:rsidRPr="004B0EC7">
              <w:rPr>
                <w:rFonts w:ascii="Times New Roman" w:hAnsi="Times New Roman"/>
                <w:sz w:val="24"/>
                <w:lang w:eastAsia="de-DE"/>
              </w:rPr>
              <w:t>Part Three</w:t>
            </w:r>
            <w:r w:rsidR="007079CE" w:rsidRPr="004B0EC7">
              <w:rPr>
                <w:rFonts w:ascii="Times New Roman" w:hAnsi="Times New Roman"/>
                <w:sz w:val="24"/>
                <w:lang w:eastAsia="de-DE"/>
              </w:rPr>
              <w:t>,</w:t>
            </w:r>
            <w:r w:rsidRPr="004B0EC7">
              <w:rPr>
                <w:rFonts w:ascii="Times New Roman" w:hAnsi="Times New Roman"/>
                <w:sz w:val="24"/>
                <w:lang w:eastAsia="de-DE"/>
              </w:rPr>
              <w:t xml:space="preserve"> </w:t>
            </w:r>
            <w:r w:rsidR="007079CE" w:rsidRPr="004B0EC7">
              <w:rPr>
                <w:rFonts w:ascii="Times New Roman" w:hAnsi="Times New Roman"/>
                <w:sz w:val="24"/>
                <w:lang w:eastAsia="de-DE"/>
              </w:rPr>
              <w:t xml:space="preserve">Title IV, Chapter 2 </w:t>
            </w:r>
            <w:r w:rsidR="007062FD" w:rsidRPr="004B0EC7">
              <w:rPr>
                <w:rFonts w:ascii="Times New Roman" w:hAnsi="Times New Roman"/>
                <w:sz w:val="24"/>
                <w:lang w:val="en-US"/>
              </w:rPr>
              <w:t>of Regulation (EU) No 575/2013</w:t>
            </w:r>
            <w:r w:rsidRPr="004B0EC7">
              <w:rPr>
                <w:rFonts w:ascii="Times New Roman" w:hAnsi="Times New Roman"/>
                <w:sz w:val="24"/>
                <w:lang w:eastAsia="de-DE"/>
              </w:rPr>
              <w:t>, receive a capital charge.</w:t>
            </w:r>
          </w:p>
        </w:tc>
      </w:tr>
      <w:tr w:rsidR="000B0B09" w:rsidRPr="004B0EC7" w14:paraId="017C014C" w14:textId="77777777" w:rsidTr="00672D2A">
        <w:tc>
          <w:tcPr>
            <w:tcW w:w="988" w:type="dxa"/>
          </w:tcPr>
          <w:p w14:paraId="7D197D93" w14:textId="77777777" w:rsidR="000B0B09" w:rsidRPr="004B0EC7" w:rsidRDefault="00EE2CD5"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060</w:t>
            </w:r>
          </w:p>
        </w:tc>
        <w:tc>
          <w:tcPr>
            <w:tcW w:w="7874" w:type="dxa"/>
          </w:tcPr>
          <w:p w14:paraId="55F3618B" w14:textId="3706C532" w:rsidR="000B0B09" w:rsidRPr="004B0EC7"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OWN FUNDS REQUIREMENTS</w:t>
            </w:r>
            <w:r w:rsidR="004239CE" w:rsidRPr="004B0EC7">
              <w:rPr>
                <w:rFonts w:ascii="Times New Roman" w:hAnsi="Times New Roman"/>
                <w:b/>
                <w:bCs/>
                <w:sz w:val="24"/>
                <w:u w:val="single"/>
                <w:lang w:eastAsia="nl-BE"/>
              </w:rPr>
              <w:t xml:space="preserve"> BEFORE APPLICATION OF SCALING FACTORS</w:t>
            </w:r>
          </w:p>
          <w:p w14:paraId="74F1F61F" w14:textId="1A8933CC" w:rsidR="000B0B09" w:rsidRPr="004B0EC7" w:rsidRDefault="000B0B09" w:rsidP="005B04C9">
            <w:pPr>
              <w:rPr>
                <w:rFonts w:ascii="Times New Roman" w:hAnsi="Times New Roman"/>
                <w:b/>
                <w:bCs/>
                <w:sz w:val="24"/>
                <w:u w:val="single"/>
                <w:lang w:eastAsia="nl-BE"/>
              </w:rPr>
            </w:pPr>
            <w:r w:rsidRPr="004B0EC7">
              <w:rPr>
                <w:rFonts w:ascii="Times New Roman" w:hAnsi="Times New Roman"/>
                <w:sz w:val="24"/>
                <w:lang w:eastAsia="de-DE"/>
              </w:rPr>
              <w:t xml:space="preserve">The </w:t>
            </w:r>
            <w:r w:rsidR="00BB6834" w:rsidRPr="004B0EC7">
              <w:rPr>
                <w:rFonts w:ascii="Times New Roman" w:hAnsi="Times New Roman"/>
                <w:sz w:val="24"/>
                <w:lang w:eastAsia="de-DE"/>
              </w:rPr>
              <w:t>own funds requirement</w:t>
            </w:r>
            <w:r w:rsidRPr="004B0EC7">
              <w:rPr>
                <w:rFonts w:ascii="Times New Roman" w:hAnsi="Times New Roman"/>
                <w:sz w:val="24"/>
                <w:lang w:eastAsia="de-DE"/>
              </w:rPr>
              <w:t xml:space="preserve"> for any relevant position </w:t>
            </w:r>
            <w:r w:rsidR="00BB22D4" w:rsidRPr="004B0EC7">
              <w:rPr>
                <w:rFonts w:ascii="Times New Roman" w:hAnsi="Times New Roman"/>
                <w:sz w:val="24"/>
                <w:lang w:eastAsia="de-DE"/>
              </w:rPr>
              <w:t>in accordance with</w:t>
            </w:r>
            <w:r w:rsidRPr="004B0EC7">
              <w:rPr>
                <w:rFonts w:ascii="Times New Roman" w:hAnsi="Times New Roman"/>
                <w:sz w:val="24"/>
                <w:lang w:eastAsia="de-DE"/>
              </w:rPr>
              <w:t xml:space="preserve"> </w:t>
            </w:r>
            <w:r w:rsidR="00F372AF" w:rsidRPr="004B0EC7">
              <w:rPr>
                <w:rFonts w:ascii="Times New Roman" w:hAnsi="Times New Roman"/>
                <w:sz w:val="24"/>
                <w:lang w:eastAsia="de-DE"/>
              </w:rPr>
              <w:t>Part Three, Title IV, Chapter 2</w:t>
            </w:r>
            <w:r w:rsidR="00BB6834" w:rsidRPr="004B0EC7">
              <w:rPr>
                <w:rFonts w:ascii="Times New Roman" w:hAnsi="Times New Roman"/>
                <w:sz w:val="24"/>
                <w:lang w:eastAsia="de-DE"/>
              </w:rPr>
              <w:t>,</w:t>
            </w:r>
            <w:r w:rsidR="00402284" w:rsidRPr="004B0EC7">
              <w:rPr>
                <w:rFonts w:ascii="Times New Roman" w:hAnsi="Times New Roman"/>
                <w:sz w:val="24"/>
                <w:lang w:eastAsia="de-DE"/>
              </w:rPr>
              <w:t xml:space="preserve"> </w:t>
            </w:r>
            <w:r w:rsidR="007062FD" w:rsidRPr="004B0EC7">
              <w:rPr>
                <w:rFonts w:ascii="Times New Roman" w:hAnsi="Times New Roman"/>
                <w:sz w:val="24"/>
                <w:lang w:val="en-US"/>
              </w:rPr>
              <w:t>of Regulation (EU) No 575/2013</w:t>
            </w:r>
            <w:r w:rsidR="004239CE" w:rsidRPr="004B0EC7">
              <w:rPr>
                <w:rFonts w:ascii="Times New Roman" w:hAnsi="Times New Roman"/>
                <w:sz w:val="24"/>
                <w:lang w:val="en-US"/>
              </w:rPr>
              <w:t>, before the application of the scaling factors stipulated in Article 325</w:t>
            </w:r>
            <w:r w:rsidR="00435524" w:rsidRPr="004B0EC7">
              <w:rPr>
                <w:rFonts w:ascii="Times New Roman" w:hAnsi="Times New Roman"/>
                <w:sz w:val="24"/>
                <w:lang w:val="en-US"/>
              </w:rPr>
              <w:t>(2), point</w:t>
            </w:r>
            <w:r w:rsidR="00B00D0F" w:rsidRPr="004B0EC7">
              <w:rPr>
                <w:rFonts w:ascii="Times New Roman" w:hAnsi="Times New Roman"/>
                <w:sz w:val="24"/>
                <w:lang w:val="en-US"/>
              </w:rPr>
              <w:t>s</w:t>
            </w:r>
            <w:r w:rsidR="00435524" w:rsidRPr="004B0EC7">
              <w:rPr>
                <w:rFonts w:ascii="Times New Roman" w:hAnsi="Times New Roman"/>
                <w:sz w:val="24"/>
                <w:lang w:val="en-US"/>
              </w:rPr>
              <w:t xml:space="preserve"> (a)</w:t>
            </w:r>
            <w:r w:rsidR="00B00D0F" w:rsidRPr="004B0EC7">
              <w:rPr>
                <w:rFonts w:ascii="Times New Roman" w:hAnsi="Times New Roman"/>
                <w:sz w:val="24"/>
                <w:lang w:val="en-US"/>
              </w:rPr>
              <w:t>(i) and (d)</w:t>
            </w:r>
            <w:r w:rsidR="00435524" w:rsidRPr="004B0EC7">
              <w:rPr>
                <w:rFonts w:ascii="Times New Roman" w:hAnsi="Times New Roman"/>
                <w:sz w:val="24"/>
                <w:lang w:val="en-US"/>
              </w:rPr>
              <w:t>, of that Regulation</w:t>
            </w:r>
            <w:r w:rsidRPr="004B0EC7">
              <w:rPr>
                <w:rFonts w:ascii="Times New Roman" w:hAnsi="Times New Roman"/>
                <w:sz w:val="24"/>
                <w:lang w:eastAsia="de-DE"/>
              </w:rPr>
              <w:t>.</w:t>
            </w:r>
          </w:p>
        </w:tc>
      </w:tr>
      <w:tr w:rsidR="000B0B09" w:rsidRPr="004B0EC7" w14:paraId="56717AD1" w14:textId="77777777" w:rsidTr="00672D2A">
        <w:tc>
          <w:tcPr>
            <w:tcW w:w="988" w:type="dxa"/>
          </w:tcPr>
          <w:p w14:paraId="0D4A61CE" w14:textId="760D6E46" w:rsidR="000B0B09" w:rsidRPr="004B0EC7" w:rsidRDefault="00EE2CD5"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070</w:t>
            </w:r>
          </w:p>
        </w:tc>
        <w:tc>
          <w:tcPr>
            <w:tcW w:w="7874" w:type="dxa"/>
          </w:tcPr>
          <w:p w14:paraId="7996E138" w14:textId="77777777" w:rsidR="000B0B09" w:rsidRPr="004B0EC7"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TOTAL RISK EXPOSURE AMOUNT</w:t>
            </w:r>
          </w:p>
          <w:p w14:paraId="2B71E9D1" w14:textId="77777777" w:rsidR="000C566F" w:rsidRPr="004B0EC7" w:rsidRDefault="000B0B09" w:rsidP="00D24331">
            <w:pPr>
              <w:rPr>
                <w:rFonts w:ascii="Times New Roman" w:hAnsi="Times New Roman"/>
                <w:sz w:val="24"/>
                <w:lang w:val="en-US"/>
              </w:rPr>
            </w:pPr>
            <w:r w:rsidRPr="004B0EC7">
              <w:rPr>
                <w:rFonts w:ascii="Times New Roman" w:hAnsi="Times New Roman"/>
                <w:sz w:val="24"/>
                <w:lang w:eastAsia="de-DE"/>
              </w:rPr>
              <w:t>Article 92(4)</w:t>
            </w:r>
            <w:r w:rsidR="00D24331" w:rsidRPr="004B0EC7">
              <w:rPr>
                <w:rFonts w:ascii="Times New Roman" w:hAnsi="Times New Roman"/>
                <w:sz w:val="24"/>
                <w:lang w:eastAsia="de-DE"/>
              </w:rPr>
              <w:t>,</w:t>
            </w:r>
            <w:r w:rsidR="00BE1277" w:rsidRPr="004B0EC7">
              <w:rPr>
                <w:rFonts w:ascii="Times New Roman" w:hAnsi="Times New Roman"/>
                <w:sz w:val="24"/>
                <w:lang w:eastAsia="de-DE"/>
              </w:rPr>
              <w:t xml:space="preserve"> </w:t>
            </w:r>
            <w:r w:rsidR="00D24331" w:rsidRPr="004B0EC7">
              <w:rPr>
                <w:rFonts w:ascii="Times New Roman" w:hAnsi="Times New Roman"/>
                <w:sz w:val="24"/>
                <w:lang w:eastAsia="de-DE"/>
              </w:rPr>
              <w:t>p</w:t>
            </w:r>
            <w:r w:rsidR="00D24331" w:rsidRPr="004B0EC7">
              <w:rPr>
                <w:rFonts w:ascii="Times New Roman" w:hAnsi="Times New Roman"/>
                <w:sz w:val="24"/>
              </w:rPr>
              <w:t>oint (b)</w:t>
            </w:r>
            <w:r w:rsidR="000C566F" w:rsidRPr="004B0EC7">
              <w:rPr>
                <w:rFonts w:ascii="Times New Roman" w:hAnsi="Times New Roman"/>
                <w:sz w:val="24"/>
              </w:rPr>
              <w:t>(i</w:t>
            </w:r>
            <w:r w:rsidR="00D24331" w:rsidRPr="004B0EC7">
              <w:rPr>
                <w:rFonts w:ascii="Times New Roman" w:hAnsi="Times New Roman"/>
                <w:sz w:val="24"/>
              </w:rPr>
              <w:t>)</w:t>
            </w:r>
            <w:r w:rsidR="00BE1277" w:rsidRPr="004B0EC7">
              <w:rPr>
                <w:rFonts w:ascii="Times New Roman" w:hAnsi="Times New Roman"/>
                <w:sz w:val="24"/>
              </w:rPr>
              <w:t>,</w:t>
            </w:r>
            <w:r w:rsidR="00D24331" w:rsidRPr="004B0EC7">
              <w:rPr>
                <w:rFonts w:ascii="Times New Roman" w:hAnsi="Times New Roman"/>
                <w:sz w:val="24"/>
              </w:rPr>
              <w:t xml:space="preserve"> </w:t>
            </w:r>
            <w:r w:rsidR="007062FD" w:rsidRPr="004B0EC7">
              <w:rPr>
                <w:rFonts w:ascii="Times New Roman" w:hAnsi="Times New Roman"/>
                <w:sz w:val="24"/>
                <w:lang w:val="en-US"/>
              </w:rPr>
              <w:t>of Regulation (EU) No 575/2013</w:t>
            </w:r>
          </w:p>
          <w:p w14:paraId="2C4B0E54" w14:textId="046410BB" w:rsidR="000B0B09" w:rsidRPr="004B0EC7" w:rsidRDefault="000B0B09" w:rsidP="00D24331">
            <w:pPr>
              <w:rPr>
                <w:rFonts w:ascii="Times New Roman" w:hAnsi="Times New Roman"/>
                <w:b/>
                <w:bCs/>
                <w:sz w:val="24"/>
                <w:u w:val="single"/>
                <w:lang w:eastAsia="nl-BE"/>
              </w:rPr>
            </w:pPr>
            <w:r w:rsidRPr="004B0EC7">
              <w:rPr>
                <w:rFonts w:ascii="Times New Roman" w:hAnsi="Times New Roman"/>
                <w:sz w:val="24"/>
                <w:lang w:eastAsia="de-DE"/>
              </w:rPr>
              <w:t>Result of the multiplication of the own funds requirement</w:t>
            </w:r>
            <w:r w:rsidR="000C566F" w:rsidRPr="004B0EC7">
              <w:rPr>
                <w:rFonts w:ascii="Times New Roman" w:hAnsi="Times New Roman"/>
                <w:sz w:val="24"/>
                <w:lang w:eastAsia="de-DE"/>
              </w:rPr>
              <w:t xml:space="preserve"> </w:t>
            </w:r>
            <w:r w:rsidRPr="004B0EC7">
              <w:rPr>
                <w:rFonts w:ascii="Times New Roman" w:hAnsi="Times New Roman"/>
                <w:sz w:val="24"/>
                <w:lang w:eastAsia="de-DE"/>
              </w:rPr>
              <w:t>by 12</w:t>
            </w:r>
            <w:r w:rsidR="00F41508" w:rsidRPr="004B0EC7">
              <w:rPr>
                <w:rFonts w:ascii="Times New Roman" w:hAnsi="Times New Roman"/>
                <w:sz w:val="24"/>
                <w:lang w:eastAsia="de-DE"/>
              </w:rPr>
              <w:t>,</w:t>
            </w:r>
            <w:r w:rsidRPr="004B0EC7">
              <w:rPr>
                <w:rFonts w:ascii="Times New Roman" w:hAnsi="Times New Roman"/>
                <w:sz w:val="24"/>
                <w:lang w:eastAsia="de-DE"/>
              </w:rPr>
              <w:t>5</w:t>
            </w:r>
            <w:r w:rsidR="000C566F" w:rsidRPr="004B0EC7">
              <w:rPr>
                <w:rFonts w:ascii="Times New Roman" w:hAnsi="Times New Roman"/>
                <w:sz w:val="24"/>
                <w:lang w:eastAsia="de-DE"/>
              </w:rPr>
              <w:t xml:space="preserve"> in accordance with Article 92</w:t>
            </w:r>
            <w:r w:rsidR="009F4D25" w:rsidRPr="004B0EC7">
              <w:rPr>
                <w:rFonts w:ascii="Times New Roman" w:hAnsi="Times New Roman"/>
                <w:sz w:val="24"/>
                <w:lang w:eastAsia="de-DE"/>
              </w:rPr>
              <w:t>(</w:t>
            </w:r>
            <w:r w:rsidR="007F28A6" w:rsidRPr="004B0EC7">
              <w:rPr>
                <w:rFonts w:ascii="Times New Roman" w:hAnsi="Times New Roman"/>
                <w:sz w:val="24"/>
                <w:lang w:eastAsia="de-DE"/>
              </w:rPr>
              <w:t>6</w:t>
            </w:r>
            <w:r w:rsidR="000C566F" w:rsidRPr="004B0EC7">
              <w:rPr>
                <w:rFonts w:ascii="Times New Roman" w:hAnsi="Times New Roman"/>
                <w:sz w:val="24"/>
                <w:lang w:eastAsia="de-DE"/>
              </w:rPr>
              <w:t>), point (b)</w:t>
            </w:r>
            <w:r w:rsidR="00435524" w:rsidRPr="004B0EC7">
              <w:rPr>
                <w:rFonts w:ascii="Times New Roman" w:hAnsi="Times New Roman"/>
                <w:sz w:val="24"/>
                <w:lang w:eastAsia="de-DE"/>
              </w:rPr>
              <w:t xml:space="preserve">, </w:t>
            </w:r>
            <w:r w:rsidR="009F4D25" w:rsidRPr="004B0EC7">
              <w:rPr>
                <w:rFonts w:ascii="Times New Roman" w:hAnsi="Times New Roman"/>
                <w:sz w:val="24"/>
                <w:lang w:eastAsia="de-DE"/>
              </w:rPr>
              <w:t>of Regulation (EU) No 575/2013,</w:t>
            </w:r>
            <w:r w:rsidR="00435524" w:rsidRPr="004B0EC7">
              <w:rPr>
                <w:rFonts w:ascii="Times New Roman" w:hAnsi="Times New Roman"/>
                <w:sz w:val="24"/>
                <w:lang w:eastAsia="de-DE"/>
              </w:rPr>
              <w:t xml:space="preserve"> and </w:t>
            </w:r>
            <w:r w:rsidR="00760D23" w:rsidRPr="004B0EC7">
              <w:rPr>
                <w:rFonts w:ascii="Times New Roman" w:hAnsi="Times New Roman"/>
                <w:sz w:val="24"/>
                <w:lang w:eastAsia="de-DE"/>
              </w:rPr>
              <w:t xml:space="preserve">by </w:t>
            </w:r>
            <w:r w:rsidR="00435524" w:rsidRPr="004B0EC7">
              <w:rPr>
                <w:rFonts w:ascii="Times New Roman" w:hAnsi="Times New Roman"/>
                <w:sz w:val="24"/>
                <w:lang w:eastAsia="de-DE"/>
              </w:rPr>
              <w:t>the applicable scaling factor in accordance with Article 325</w:t>
            </w:r>
            <w:r w:rsidR="00AC279D" w:rsidRPr="004B0EC7">
              <w:rPr>
                <w:rFonts w:ascii="Times New Roman" w:hAnsi="Times New Roman"/>
                <w:sz w:val="24"/>
                <w:lang w:eastAsia="de-DE"/>
              </w:rPr>
              <w:t>(2)</w:t>
            </w:r>
            <w:r w:rsidR="0025582E" w:rsidRPr="004B0EC7">
              <w:rPr>
                <w:rFonts w:ascii="Times New Roman" w:hAnsi="Times New Roman"/>
                <w:sz w:val="24"/>
                <w:lang w:eastAsia="de-DE"/>
              </w:rPr>
              <w:t>, point</w:t>
            </w:r>
            <w:r w:rsidR="0047449F" w:rsidRPr="004B0EC7">
              <w:rPr>
                <w:rFonts w:ascii="Times New Roman" w:hAnsi="Times New Roman"/>
                <w:sz w:val="24"/>
                <w:lang w:eastAsia="de-DE"/>
              </w:rPr>
              <w:t>s</w:t>
            </w:r>
            <w:r w:rsidR="0025582E" w:rsidRPr="004B0EC7">
              <w:rPr>
                <w:rFonts w:ascii="Times New Roman" w:hAnsi="Times New Roman"/>
                <w:sz w:val="24"/>
                <w:lang w:eastAsia="de-DE"/>
              </w:rPr>
              <w:t xml:space="preserve"> (a)(i)</w:t>
            </w:r>
            <w:r w:rsidR="0047449F" w:rsidRPr="004B0EC7">
              <w:rPr>
                <w:rFonts w:ascii="Times New Roman" w:hAnsi="Times New Roman"/>
                <w:sz w:val="24"/>
                <w:lang w:eastAsia="de-DE"/>
              </w:rPr>
              <w:t xml:space="preserve"> and (d</w:t>
            </w:r>
            <w:r w:rsidR="0025582E" w:rsidRPr="004B0EC7">
              <w:rPr>
                <w:rFonts w:ascii="Times New Roman" w:hAnsi="Times New Roman"/>
                <w:sz w:val="24"/>
                <w:lang w:eastAsia="de-DE"/>
              </w:rPr>
              <w:t>),</w:t>
            </w:r>
            <w:r w:rsidR="00AC279D" w:rsidRPr="004B0EC7">
              <w:rPr>
                <w:rFonts w:ascii="Times New Roman" w:hAnsi="Times New Roman"/>
                <w:sz w:val="24"/>
                <w:lang w:eastAsia="de-DE"/>
              </w:rPr>
              <w:t xml:space="preserve"> of that Regulation</w:t>
            </w:r>
            <w:r w:rsidRPr="004B0EC7">
              <w:rPr>
                <w:rFonts w:ascii="Times New Roman" w:hAnsi="Times New Roman"/>
                <w:sz w:val="24"/>
                <w:lang w:eastAsia="de-DE"/>
              </w:rPr>
              <w:t xml:space="preserve">. </w:t>
            </w:r>
          </w:p>
        </w:tc>
      </w:tr>
    </w:tbl>
    <w:p w14:paraId="5A8176A5" w14:textId="77777777" w:rsidR="000B0B09" w:rsidRPr="004B0EC7" w:rsidRDefault="000B0B09" w:rsidP="000B0B09">
      <w:pPr>
        <w:autoSpaceDE w:val="0"/>
        <w:autoSpaceDN w:val="0"/>
        <w:adjustRightInd w:val="0"/>
        <w:spacing w:before="0" w:after="0"/>
        <w:rPr>
          <w:rFonts w:ascii="Times New Roman" w:hAnsi="Times New Roman"/>
          <w:sz w:val="24"/>
          <w:lang w:eastAsia="nl-BE"/>
        </w:rPr>
      </w:pPr>
    </w:p>
    <w:p w14:paraId="33B18629" w14:textId="77777777" w:rsidR="000B0B09" w:rsidRPr="004B0EC7" w:rsidRDefault="000B0B09" w:rsidP="000B0B09">
      <w:pPr>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4B0EC7" w14:paraId="64300D2A" w14:textId="77777777" w:rsidTr="00672D2A">
        <w:trPr>
          <w:trHeight w:val="533"/>
        </w:trPr>
        <w:tc>
          <w:tcPr>
            <w:tcW w:w="8862" w:type="dxa"/>
            <w:gridSpan w:val="2"/>
            <w:shd w:val="clear" w:color="auto" w:fill="CCCCCC"/>
          </w:tcPr>
          <w:p w14:paraId="3C74B427" w14:textId="77777777" w:rsidR="000B0B09" w:rsidRPr="004B0EC7" w:rsidRDefault="000B0B09" w:rsidP="000B0B09">
            <w:pPr>
              <w:autoSpaceDE w:val="0"/>
              <w:autoSpaceDN w:val="0"/>
              <w:adjustRightInd w:val="0"/>
              <w:spacing w:after="0"/>
              <w:rPr>
                <w:rFonts w:ascii="Times New Roman" w:hAnsi="Times New Roman"/>
                <w:b/>
                <w:sz w:val="24"/>
                <w:lang w:eastAsia="nl-BE"/>
              </w:rPr>
            </w:pPr>
            <w:r w:rsidRPr="004B0EC7">
              <w:rPr>
                <w:rFonts w:ascii="Times New Roman" w:hAnsi="Times New Roman"/>
                <w:b/>
                <w:sz w:val="24"/>
                <w:lang w:eastAsia="nl-BE"/>
              </w:rPr>
              <w:t>Rows</w:t>
            </w:r>
          </w:p>
        </w:tc>
      </w:tr>
      <w:tr w:rsidR="000B0B09" w:rsidRPr="004B0EC7" w14:paraId="278DCECA" w14:textId="77777777" w:rsidTr="00672D2A">
        <w:trPr>
          <w:trHeight w:val="1168"/>
        </w:trPr>
        <w:tc>
          <w:tcPr>
            <w:tcW w:w="987" w:type="dxa"/>
          </w:tcPr>
          <w:p w14:paraId="2275EBA9" w14:textId="77777777" w:rsidR="000B0B09" w:rsidRPr="004B0EC7" w:rsidRDefault="00EE2CD5" w:rsidP="00EE2CD5">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010</w:t>
            </w:r>
            <w:r w:rsidR="000F70EC" w:rsidRPr="004B0EC7">
              <w:rPr>
                <w:rFonts w:ascii="Times New Roman" w:hAnsi="Times New Roman"/>
                <w:sz w:val="24"/>
                <w:lang w:eastAsia="nl-BE"/>
              </w:rPr>
              <w:t>-</w:t>
            </w:r>
            <w:r w:rsidRPr="004B0EC7">
              <w:rPr>
                <w:rFonts w:ascii="Times New Roman" w:hAnsi="Times New Roman"/>
                <w:sz w:val="24"/>
                <w:lang w:eastAsia="nl-BE"/>
              </w:rPr>
              <w:t>0</w:t>
            </w:r>
            <w:r w:rsidR="000B0B09" w:rsidRPr="004B0EC7">
              <w:rPr>
                <w:rFonts w:ascii="Times New Roman" w:hAnsi="Times New Roman"/>
                <w:sz w:val="24"/>
                <w:lang w:eastAsia="nl-BE"/>
              </w:rPr>
              <w:t>350</w:t>
            </w:r>
          </w:p>
        </w:tc>
        <w:tc>
          <w:tcPr>
            <w:tcW w:w="7875" w:type="dxa"/>
          </w:tcPr>
          <w:p w14:paraId="20DE7F59"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TRADED DEBT INSTRUMENTS IN TRADING BOOK</w:t>
            </w:r>
          </w:p>
          <w:p w14:paraId="12C841B7" w14:textId="0DE276AE" w:rsidR="000B0B09" w:rsidRPr="004B0EC7" w:rsidRDefault="000B0B09" w:rsidP="00D24331">
            <w:pPr>
              <w:rPr>
                <w:rFonts w:ascii="Times New Roman" w:hAnsi="Times New Roman"/>
                <w:sz w:val="24"/>
                <w:lang w:eastAsia="nl-BE"/>
              </w:rPr>
            </w:pPr>
            <w:r w:rsidRPr="004B0EC7">
              <w:rPr>
                <w:rFonts w:ascii="Times New Roman" w:hAnsi="Times New Roman"/>
                <w:sz w:val="24"/>
                <w:lang w:eastAsia="de-DE"/>
              </w:rPr>
              <w:t xml:space="preserve">Positions in traded debt instruments in Trading Book and their correspondent own funds requirements for position risk </w:t>
            </w:r>
            <w:r w:rsidR="00BB22D4" w:rsidRPr="004B0EC7">
              <w:rPr>
                <w:rFonts w:ascii="Times New Roman" w:hAnsi="Times New Roman"/>
                <w:sz w:val="24"/>
                <w:lang w:eastAsia="de-DE"/>
              </w:rPr>
              <w:t>in accordance with</w:t>
            </w:r>
            <w:r w:rsidRPr="004B0EC7">
              <w:rPr>
                <w:rFonts w:ascii="Times New Roman" w:hAnsi="Times New Roman"/>
                <w:sz w:val="24"/>
                <w:lang w:eastAsia="de-DE"/>
              </w:rPr>
              <w:t xml:space="preserve"> Article 92(</w:t>
            </w:r>
            <w:r w:rsidR="003903BE" w:rsidRPr="004B0EC7">
              <w:rPr>
                <w:rFonts w:ascii="Times New Roman" w:hAnsi="Times New Roman"/>
                <w:sz w:val="24"/>
                <w:lang w:eastAsia="de-DE"/>
              </w:rPr>
              <w:t>4</w:t>
            </w:r>
            <w:r w:rsidRPr="004B0EC7">
              <w:rPr>
                <w:rFonts w:ascii="Times New Roman" w:hAnsi="Times New Roman"/>
                <w:sz w:val="24"/>
                <w:lang w:eastAsia="de-DE"/>
              </w:rPr>
              <w:t>)</w:t>
            </w:r>
            <w:r w:rsidR="00B83DDE" w:rsidRPr="004B0EC7">
              <w:rPr>
                <w:rFonts w:ascii="Times New Roman" w:hAnsi="Times New Roman"/>
                <w:sz w:val="24"/>
                <w:lang w:eastAsia="de-DE"/>
              </w:rPr>
              <w:t>, p</w:t>
            </w:r>
            <w:r w:rsidR="00D24331" w:rsidRPr="004B0EC7">
              <w:rPr>
                <w:rFonts w:ascii="Times New Roman" w:hAnsi="Times New Roman"/>
                <w:sz w:val="24"/>
                <w:lang w:eastAsia="de-DE"/>
              </w:rPr>
              <w:t xml:space="preserve">oint (b)(i) </w:t>
            </w:r>
            <w:r w:rsidR="007062FD" w:rsidRPr="004B0EC7">
              <w:rPr>
                <w:rFonts w:ascii="Times New Roman" w:hAnsi="Times New Roman"/>
                <w:sz w:val="24"/>
                <w:lang w:val="en-US"/>
              </w:rPr>
              <w:t>of Regulation (EU) No 575/2013</w:t>
            </w:r>
            <w:r w:rsidRPr="004B0EC7">
              <w:rPr>
                <w:rFonts w:ascii="Times New Roman" w:hAnsi="Times New Roman"/>
                <w:sz w:val="24"/>
                <w:lang w:eastAsia="de-DE"/>
              </w:rPr>
              <w:t xml:space="preserve"> and </w:t>
            </w:r>
            <w:r w:rsidR="00F41508" w:rsidRPr="004B0EC7">
              <w:rPr>
                <w:rFonts w:ascii="Times New Roman" w:hAnsi="Times New Roman"/>
                <w:sz w:val="24"/>
                <w:lang w:eastAsia="de-DE"/>
              </w:rPr>
              <w:t xml:space="preserve">of of </w:t>
            </w:r>
            <w:r w:rsidR="00097A17" w:rsidRPr="004B0EC7">
              <w:rPr>
                <w:rFonts w:ascii="Times New Roman" w:hAnsi="Times New Roman"/>
                <w:sz w:val="24"/>
                <w:lang w:eastAsia="de-DE"/>
              </w:rPr>
              <w:t>Part Three</w:t>
            </w:r>
            <w:r w:rsidR="00D24331" w:rsidRPr="004B0EC7">
              <w:rPr>
                <w:rFonts w:ascii="Times New Roman" w:hAnsi="Times New Roman"/>
                <w:sz w:val="24"/>
                <w:lang w:eastAsia="de-DE"/>
              </w:rPr>
              <w:t>,</w:t>
            </w:r>
            <w:r w:rsidRPr="004B0EC7">
              <w:rPr>
                <w:rFonts w:ascii="Times New Roman" w:hAnsi="Times New Roman"/>
                <w:sz w:val="24"/>
                <w:lang w:eastAsia="de-DE"/>
              </w:rPr>
              <w:t xml:space="preserve"> </w:t>
            </w:r>
            <w:r w:rsidR="00D24331" w:rsidRPr="004B0EC7">
              <w:rPr>
                <w:rFonts w:ascii="Times New Roman" w:hAnsi="Times New Roman"/>
                <w:sz w:val="24"/>
                <w:lang w:eastAsia="de-DE"/>
              </w:rPr>
              <w:t xml:space="preserve">Chapter 2, Title IV </w:t>
            </w:r>
            <w:r w:rsidR="007062FD" w:rsidRPr="004B0EC7">
              <w:rPr>
                <w:rFonts w:ascii="Times New Roman" w:hAnsi="Times New Roman"/>
                <w:sz w:val="24"/>
                <w:lang w:val="en-US"/>
              </w:rPr>
              <w:lastRenderedPageBreak/>
              <w:t>of Regulation (EU) No 575/2013</w:t>
            </w:r>
            <w:r w:rsidRPr="004B0EC7">
              <w:rPr>
                <w:rFonts w:ascii="Times New Roman" w:hAnsi="Times New Roman"/>
                <w:sz w:val="24"/>
                <w:lang w:eastAsia="de-DE"/>
              </w:rPr>
              <w:t xml:space="preserve"> </w:t>
            </w:r>
            <w:r w:rsidR="00F41508" w:rsidRPr="004B0EC7">
              <w:rPr>
                <w:rFonts w:ascii="Times New Roman" w:hAnsi="Times New Roman"/>
                <w:sz w:val="24"/>
                <w:lang w:eastAsia="de-DE"/>
              </w:rPr>
              <w:t>shall be</w:t>
            </w:r>
            <w:r w:rsidRPr="004B0EC7">
              <w:rPr>
                <w:rFonts w:ascii="Times New Roman" w:hAnsi="Times New Roman"/>
                <w:sz w:val="24"/>
                <w:lang w:eastAsia="de-DE"/>
              </w:rPr>
              <w:t xml:space="preserve"> reported depending on risk category, maturity and approach used.</w:t>
            </w:r>
          </w:p>
        </w:tc>
      </w:tr>
      <w:tr w:rsidR="000B0B09" w:rsidRPr="004B0EC7" w14:paraId="2272E4A5" w14:textId="77777777" w:rsidTr="00672D2A">
        <w:tc>
          <w:tcPr>
            <w:tcW w:w="987" w:type="dxa"/>
          </w:tcPr>
          <w:p w14:paraId="0642F5E6" w14:textId="77777777" w:rsidR="000B0B09" w:rsidRPr="004B0EC7" w:rsidRDefault="00EE2CD5" w:rsidP="000F70EC">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lastRenderedPageBreak/>
              <w:t>0</w:t>
            </w:r>
            <w:r w:rsidR="000B0B09" w:rsidRPr="004B0EC7">
              <w:rPr>
                <w:rFonts w:ascii="Times New Roman" w:hAnsi="Times New Roman"/>
                <w:sz w:val="24"/>
                <w:lang w:eastAsia="nl-BE"/>
              </w:rPr>
              <w:t>011</w:t>
            </w:r>
          </w:p>
        </w:tc>
        <w:tc>
          <w:tcPr>
            <w:tcW w:w="7875" w:type="dxa"/>
          </w:tcPr>
          <w:p w14:paraId="51E03C37" w14:textId="77777777" w:rsidR="000B0B09" w:rsidRPr="004B0EC7" w:rsidRDefault="000B0B09"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b/>
                <w:bCs/>
                <w:sz w:val="24"/>
                <w:u w:val="single"/>
                <w:lang w:eastAsia="nl-BE"/>
              </w:rPr>
              <w:t xml:space="preserve">GENERAL RISK. </w:t>
            </w:r>
          </w:p>
        </w:tc>
      </w:tr>
      <w:tr w:rsidR="000B0B09" w:rsidRPr="004B0EC7" w14:paraId="55F30C33" w14:textId="77777777" w:rsidTr="00672D2A">
        <w:tc>
          <w:tcPr>
            <w:tcW w:w="987" w:type="dxa"/>
          </w:tcPr>
          <w:p w14:paraId="2CBA5F8A" w14:textId="77777777" w:rsidR="000B0B09" w:rsidRPr="004B0EC7" w:rsidRDefault="00EE2CD5"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012</w:t>
            </w:r>
          </w:p>
        </w:tc>
        <w:tc>
          <w:tcPr>
            <w:tcW w:w="7875" w:type="dxa"/>
          </w:tcPr>
          <w:p w14:paraId="04F0038F" w14:textId="77777777" w:rsidR="000B0B09" w:rsidRPr="004B0EC7" w:rsidRDefault="000B0B09" w:rsidP="000B0B09">
            <w:pPr>
              <w:autoSpaceDE w:val="0"/>
              <w:autoSpaceDN w:val="0"/>
              <w:adjustRightInd w:val="0"/>
              <w:spacing w:before="0" w:after="0"/>
              <w:rPr>
                <w:rFonts w:ascii="Times New Roman" w:hAnsi="Times New Roman"/>
                <w:sz w:val="24"/>
                <w:lang w:eastAsia="de-DE"/>
              </w:rPr>
            </w:pPr>
            <w:r w:rsidRPr="004B0EC7">
              <w:rPr>
                <w:rFonts w:ascii="Times New Roman" w:hAnsi="Times New Roman"/>
                <w:b/>
                <w:bCs/>
                <w:sz w:val="24"/>
                <w:u w:val="single"/>
                <w:lang w:eastAsia="nl-BE"/>
              </w:rPr>
              <w:t>Derivatives</w:t>
            </w:r>
          </w:p>
          <w:p w14:paraId="06C530F0" w14:textId="7A78F919" w:rsidR="000B0B09" w:rsidRPr="004B0EC7" w:rsidRDefault="000B0B09" w:rsidP="00BD2FE7">
            <w:pPr>
              <w:rPr>
                <w:rFonts w:ascii="Times New Roman" w:hAnsi="Times New Roman"/>
                <w:b/>
                <w:bCs/>
                <w:sz w:val="24"/>
                <w:u w:val="single"/>
                <w:lang w:eastAsia="nl-BE"/>
              </w:rPr>
            </w:pPr>
            <w:r w:rsidRPr="004B0EC7">
              <w:rPr>
                <w:rFonts w:ascii="Times New Roman" w:hAnsi="Times New Roman"/>
                <w:sz w:val="24"/>
                <w:lang w:eastAsia="de-DE"/>
              </w:rPr>
              <w:t>Derivatives included in the calculation of interest rate risk of trading book positions</w:t>
            </w:r>
            <w:r w:rsidR="00F41508" w:rsidRPr="004B0EC7">
              <w:rPr>
                <w:rFonts w:ascii="Times New Roman" w:hAnsi="Times New Roman"/>
                <w:sz w:val="24"/>
                <w:lang w:eastAsia="de-DE"/>
              </w:rPr>
              <w:t>,</w:t>
            </w:r>
            <w:r w:rsidRPr="004B0EC7">
              <w:rPr>
                <w:rFonts w:ascii="Times New Roman" w:hAnsi="Times New Roman"/>
                <w:sz w:val="24"/>
                <w:lang w:eastAsia="de-DE"/>
              </w:rPr>
              <w:t xml:space="preserve"> taking into account Articles 328 to 331</w:t>
            </w:r>
            <w:r w:rsidR="00F41508" w:rsidRPr="004B0EC7">
              <w:rPr>
                <w:rFonts w:ascii="Times New Roman" w:hAnsi="Times New Roman"/>
                <w:sz w:val="24"/>
                <w:lang w:eastAsia="de-DE"/>
              </w:rPr>
              <w:t xml:space="preserve"> </w:t>
            </w:r>
            <w:r w:rsidR="007062FD" w:rsidRPr="004B0EC7">
              <w:rPr>
                <w:rFonts w:ascii="Times New Roman" w:hAnsi="Times New Roman"/>
                <w:sz w:val="24"/>
                <w:lang w:val="en-US"/>
              </w:rPr>
              <w:t>of Regulation (EU) No 575/2013</w:t>
            </w:r>
            <w:r w:rsidRPr="004B0EC7">
              <w:rPr>
                <w:rFonts w:ascii="Times New Roman" w:hAnsi="Times New Roman"/>
                <w:sz w:val="24"/>
                <w:lang w:eastAsia="de-DE"/>
              </w:rPr>
              <w:t xml:space="preserve">, </w:t>
            </w:r>
            <w:r w:rsidR="00F41508" w:rsidRPr="004B0EC7">
              <w:rPr>
                <w:rFonts w:ascii="Times New Roman" w:hAnsi="Times New Roman"/>
                <w:sz w:val="24"/>
                <w:lang w:eastAsia="de-DE"/>
              </w:rPr>
              <w:t>where</w:t>
            </w:r>
            <w:r w:rsidRPr="004B0EC7">
              <w:rPr>
                <w:rFonts w:ascii="Times New Roman" w:hAnsi="Times New Roman"/>
                <w:sz w:val="24"/>
                <w:lang w:eastAsia="de-DE"/>
              </w:rPr>
              <w:t xml:space="preserve"> applicable.</w:t>
            </w:r>
          </w:p>
        </w:tc>
      </w:tr>
      <w:tr w:rsidR="000B0B09" w:rsidRPr="004B0EC7" w14:paraId="36851B46" w14:textId="77777777" w:rsidTr="00672D2A">
        <w:tc>
          <w:tcPr>
            <w:tcW w:w="987" w:type="dxa"/>
          </w:tcPr>
          <w:p w14:paraId="6827F663" w14:textId="77777777" w:rsidR="000B0B09" w:rsidRPr="004B0EC7" w:rsidRDefault="00EE2CD5"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013</w:t>
            </w:r>
          </w:p>
        </w:tc>
        <w:tc>
          <w:tcPr>
            <w:tcW w:w="7875" w:type="dxa"/>
          </w:tcPr>
          <w:p w14:paraId="60242973"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Other assets and liabilities</w:t>
            </w:r>
          </w:p>
          <w:p w14:paraId="665719C9" w14:textId="77777777" w:rsidR="000B0B09" w:rsidRPr="004B0EC7" w:rsidRDefault="000B0B09" w:rsidP="00BD2FE7">
            <w:pPr>
              <w:rPr>
                <w:rFonts w:ascii="Times New Roman" w:hAnsi="Times New Roman"/>
                <w:b/>
                <w:bCs/>
                <w:sz w:val="24"/>
                <w:u w:val="single"/>
                <w:lang w:eastAsia="nl-BE"/>
              </w:rPr>
            </w:pPr>
            <w:r w:rsidRPr="004B0EC7">
              <w:rPr>
                <w:rFonts w:ascii="Times New Roman" w:hAnsi="Times New Roman"/>
                <w:sz w:val="24"/>
                <w:lang w:eastAsia="de-DE"/>
              </w:rPr>
              <w:t xml:space="preserve">Instruments other than derivatives included in the calculation of interest rate risk of trading book positions. </w:t>
            </w:r>
          </w:p>
        </w:tc>
      </w:tr>
      <w:tr w:rsidR="000B0B09" w:rsidRPr="004B0EC7" w14:paraId="177EBA5C" w14:textId="77777777" w:rsidTr="00672D2A">
        <w:tc>
          <w:tcPr>
            <w:tcW w:w="987" w:type="dxa"/>
          </w:tcPr>
          <w:p w14:paraId="2B740B72" w14:textId="77777777" w:rsidR="000B0B09" w:rsidRPr="004B0EC7" w:rsidRDefault="00EE2CD5"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020-</w:t>
            </w:r>
            <w:r w:rsidRPr="004B0EC7">
              <w:rPr>
                <w:rFonts w:ascii="Times New Roman" w:hAnsi="Times New Roman"/>
                <w:sz w:val="24"/>
                <w:lang w:eastAsia="nl-BE"/>
              </w:rPr>
              <w:t>0</w:t>
            </w:r>
            <w:r w:rsidR="000B0B09" w:rsidRPr="004B0EC7">
              <w:rPr>
                <w:rFonts w:ascii="Times New Roman" w:hAnsi="Times New Roman"/>
                <w:sz w:val="24"/>
                <w:lang w:eastAsia="nl-BE"/>
              </w:rPr>
              <w:t>200</w:t>
            </w:r>
          </w:p>
        </w:tc>
        <w:tc>
          <w:tcPr>
            <w:tcW w:w="7875" w:type="dxa"/>
          </w:tcPr>
          <w:p w14:paraId="1DE7E50A"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MATURITY BASED APPROACH</w:t>
            </w:r>
          </w:p>
          <w:p w14:paraId="644A7531" w14:textId="609558C7" w:rsidR="000B0B09" w:rsidRPr="004B0EC7" w:rsidRDefault="000B0B09" w:rsidP="00D24331">
            <w:pPr>
              <w:rPr>
                <w:rFonts w:ascii="Times New Roman" w:hAnsi="Times New Roman"/>
                <w:b/>
                <w:bCs/>
                <w:sz w:val="24"/>
                <w:u w:val="single"/>
                <w:lang w:eastAsia="nl-BE"/>
              </w:rPr>
            </w:pPr>
            <w:r w:rsidRPr="004B0EC7">
              <w:rPr>
                <w:rFonts w:ascii="Times New Roman" w:hAnsi="Times New Roman"/>
                <w:sz w:val="24"/>
                <w:lang w:eastAsia="de-DE"/>
              </w:rPr>
              <w:t>Positions in traded debt instruments subject to the maturity-based approach</w:t>
            </w:r>
            <w:r w:rsidR="00402284" w:rsidRPr="004B0EC7">
              <w:rPr>
                <w:rFonts w:ascii="Times New Roman" w:hAnsi="Times New Roman"/>
                <w:sz w:val="24"/>
                <w:lang w:eastAsia="de-DE"/>
              </w:rPr>
              <w:t xml:space="preserve"> </w:t>
            </w:r>
            <w:r w:rsidR="00F41508" w:rsidRPr="004B0EC7">
              <w:rPr>
                <w:rFonts w:ascii="Times New Roman" w:hAnsi="Times New Roman"/>
                <w:sz w:val="24"/>
                <w:lang w:eastAsia="de-DE"/>
              </w:rPr>
              <w:t>referred to in</w:t>
            </w:r>
            <w:r w:rsidRPr="004B0EC7">
              <w:rPr>
                <w:rFonts w:ascii="Times New Roman" w:hAnsi="Times New Roman"/>
                <w:sz w:val="24"/>
                <w:lang w:eastAsia="de-DE"/>
              </w:rPr>
              <w:t xml:space="preserve"> Article 339</w:t>
            </w:r>
            <w:r w:rsidR="00B83DDE" w:rsidRPr="004B0EC7">
              <w:rPr>
                <w:rFonts w:ascii="Times New Roman" w:hAnsi="Times New Roman"/>
                <w:sz w:val="24"/>
                <w:lang w:eastAsia="de-DE"/>
              </w:rPr>
              <w:t>, p</w:t>
            </w:r>
            <w:r w:rsidR="00D24331" w:rsidRPr="004B0EC7">
              <w:rPr>
                <w:rFonts w:ascii="Times New Roman" w:hAnsi="Times New Roman"/>
                <w:sz w:val="24"/>
                <w:lang w:eastAsia="de-DE"/>
              </w:rPr>
              <w:t xml:space="preserve">aragraphs 1 to 8 </w:t>
            </w:r>
            <w:r w:rsidR="007062FD" w:rsidRPr="004B0EC7">
              <w:rPr>
                <w:rFonts w:ascii="Times New Roman" w:hAnsi="Times New Roman"/>
                <w:sz w:val="24"/>
                <w:lang w:val="en-US"/>
              </w:rPr>
              <w:t>of Regulation (EU) No 575/2013</w:t>
            </w:r>
            <w:r w:rsidRPr="004B0EC7">
              <w:rPr>
                <w:rFonts w:ascii="Times New Roman" w:hAnsi="Times New Roman"/>
                <w:sz w:val="24"/>
                <w:lang w:eastAsia="de-DE"/>
              </w:rPr>
              <w:t xml:space="preserve"> and the correspond</w:t>
            </w:r>
            <w:r w:rsidR="00F41508" w:rsidRPr="004B0EC7">
              <w:rPr>
                <w:rFonts w:ascii="Times New Roman" w:hAnsi="Times New Roman"/>
                <w:sz w:val="24"/>
                <w:lang w:eastAsia="de-DE"/>
              </w:rPr>
              <w:t>ing</w:t>
            </w:r>
            <w:r w:rsidRPr="004B0EC7">
              <w:rPr>
                <w:rFonts w:ascii="Times New Roman" w:hAnsi="Times New Roman"/>
                <w:sz w:val="24"/>
                <w:lang w:eastAsia="de-DE"/>
              </w:rPr>
              <w:t xml:space="preserve"> own funds requirements </w:t>
            </w:r>
            <w:r w:rsidR="00F41508" w:rsidRPr="004B0EC7">
              <w:rPr>
                <w:rFonts w:ascii="Times New Roman" w:hAnsi="Times New Roman"/>
                <w:sz w:val="24"/>
                <w:lang w:eastAsia="de-DE"/>
              </w:rPr>
              <w:t xml:space="preserve">calculated in accordance with </w:t>
            </w:r>
            <w:r w:rsidRPr="004B0EC7">
              <w:rPr>
                <w:rFonts w:ascii="Times New Roman" w:hAnsi="Times New Roman"/>
                <w:sz w:val="24"/>
                <w:lang w:eastAsia="de-DE"/>
              </w:rPr>
              <w:t xml:space="preserve">Article 339(9) </w:t>
            </w:r>
            <w:r w:rsidR="007062FD" w:rsidRPr="004B0EC7">
              <w:rPr>
                <w:rFonts w:ascii="Times New Roman" w:hAnsi="Times New Roman"/>
                <w:sz w:val="24"/>
                <w:lang w:val="en-US"/>
              </w:rPr>
              <w:t>of Regulation (EU) No 575/2013</w:t>
            </w:r>
            <w:r w:rsidRPr="004B0EC7">
              <w:rPr>
                <w:rFonts w:ascii="Times New Roman" w:hAnsi="Times New Roman"/>
                <w:sz w:val="24"/>
                <w:lang w:eastAsia="de-DE"/>
              </w:rPr>
              <w:t>. The position shall be split by zones 1, 2 and 3 and th</w:t>
            </w:r>
            <w:r w:rsidR="00F41508" w:rsidRPr="004B0EC7">
              <w:rPr>
                <w:rFonts w:ascii="Times New Roman" w:hAnsi="Times New Roman"/>
                <w:sz w:val="24"/>
                <w:lang w:eastAsia="de-DE"/>
              </w:rPr>
              <w:t>o</w:t>
            </w:r>
            <w:r w:rsidRPr="004B0EC7">
              <w:rPr>
                <w:rFonts w:ascii="Times New Roman" w:hAnsi="Times New Roman"/>
                <w:sz w:val="24"/>
                <w:lang w:eastAsia="de-DE"/>
              </w:rPr>
              <w:t>se</w:t>
            </w:r>
            <w:r w:rsidR="00F41508" w:rsidRPr="004B0EC7">
              <w:rPr>
                <w:rFonts w:ascii="Times New Roman" w:hAnsi="Times New Roman"/>
                <w:sz w:val="24"/>
                <w:lang w:eastAsia="de-DE"/>
              </w:rPr>
              <w:t xml:space="preserve"> zones</w:t>
            </w:r>
            <w:r w:rsidR="0023276A" w:rsidRPr="004B0EC7">
              <w:rPr>
                <w:rFonts w:ascii="Times New Roman" w:hAnsi="Times New Roman"/>
                <w:sz w:val="24"/>
                <w:lang w:eastAsia="de-DE"/>
              </w:rPr>
              <w:t xml:space="preserve"> shall be split</w:t>
            </w:r>
            <w:r w:rsidRPr="004B0EC7">
              <w:rPr>
                <w:rFonts w:ascii="Times New Roman" w:hAnsi="Times New Roman"/>
                <w:sz w:val="24"/>
                <w:lang w:eastAsia="de-DE"/>
              </w:rPr>
              <w:t xml:space="preserve"> by the maturity of the instruments.</w:t>
            </w:r>
          </w:p>
        </w:tc>
      </w:tr>
      <w:tr w:rsidR="000B0B09" w:rsidRPr="004B0EC7" w14:paraId="79DAC997" w14:textId="77777777" w:rsidTr="00672D2A">
        <w:tc>
          <w:tcPr>
            <w:tcW w:w="987" w:type="dxa"/>
          </w:tcPr>
          <w:p w14:paraId="73C021ED" w14:textId="77777777" w:rsidR="000B0B09" w:rsidRPr="004B0EC7" w:rsidRDefault="00EE2CD5" w:rsidP="000F70EC">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210</w:t>
            </w:r>
            <w:r w:rsidR="000F70EC" w:rsidRPr="004B0EC7">
              <w:rPr>
                <w:rFonts w:ascii="Times New Roman" w:hAnsi="Times New Roman"/>
                <w:sz w:val="24"/>
                <w:lang w:eastAsia="nl-BE"/>
              </w:rPr>
              <w:t>-</w:t>
            </w:r>
            <w:r w:rsidRPr="004B0EC7">
              <w:rPr>
                <w:rFonts w:ascii="Times New Roman" w:hAnsi="Times New Roman"/>
                <w:sz w:val="24"/>
                <w:lang w:eastAsia="nl-BE"/>
              </w:rPr>
              <w:t>0</w:t>
            </w:r>
            <w:r w:rsidR="000B0B09" w:rsidRPr="004B0EC7">
              <w:rPr>
                <w:rFonts w:ascii="Times New Roman" w:hAnsi="Times New Roman"/>
                <w:sz w:val="24"/>
                <w:lang w:eastAsia="nl-BE"/>
              </w:rPr>
              <w:t>240</w:t>
            </w:r>
          </w:p>
        </w:tc>
        <w:tc>
          <w:tcPr>
            <w:tcW w:w="7875" w:type="dxa"/>
          </w:tcPr>
          <w:p w14:paraId="2CE27E61" w14:textId="77777777" w:rsidR="000B0B09" w:rsidRPr="004B0EC7" w:rsidRDefault="000B0B09" w:rsidP="000B0B09">
            <w:pPr>
              <w:autoSpaceDE w:val="0"/>
              <w:autoSpaceDN w:val="0"/>
              <w:adjustRightInd w:val="0"/>
              <w:spacing w:before="0" w:after="0"/>
              <w:rPr>
                <w:rFonts w:ascii="Times New Roman" w:hAnsi="Times New Roman"/>
                <w:sz w:val="24"/>
                <w:lang w:eastAsia="de-DE"/>
              </w:rPr>
            </w:pPr>
            <w:r w:rsidRPr="004B0EC7">
              <w:rPr>
                <w:rFonts w:ascii="Times New Roman" w:hAnsi="Times New Roman"/>
                <w:b/>
                <w:bCs/>
                <w:sz w:val="24"/>
                <w:u w:val="single"/>
                <w:lang w:eastAsia="nl-BE"/>
              </w:rPr>
              <w:t>GENERAL RISK. DURATION BASED APPROACH</w:t>
            </w:r>
          </w:p>
          <w:p w14:paraId="08171DB1" w14:textId="1FFC6791" w:rsidR="000B0B09" w:rsidRPr="004B0EC7" w:rsidRDefault="000B0B09" w:rsidP="00D24331">
            <w:pPr>
              <w:rPr>
                <w:rFonts w:ascii="Times New Roman" w:hAnsi="Times New Roman"/>
                <w:b/>
                <w:bCs/>
                <w:sz w:val="24"/>
                <w:u w:val="single"/>
                <w:lang w:eastAsia="nl-BE"/>
              </w:rPr>
            </w:pPr>
            <w:r w:rsidRPr="004B0EC7">
              <w:rPr>
                <w:rFonts w:ascii="Times New Roman" w:hAnsi="Times New Roman"/>
                <w:sz w:val="24"/>
                <w:lang w:eastAsia="de-DE"/>
              </w:rPr>
              <w:t xml:space="preserve">Positions in traded debt instruments subject to the duration-based approach </w:t>
            </w:r>
            <w:r w:rsidR="00F41508" w:rsidRPr="004B0EC7">
              <w:rPr>
                <w:rFonts w:ascii="Times New Roman" w:hAnsi="Times New Roman"/>
                <w:sz w:val="24"/>
                <w:lang w:eastAsia="de-DE"/>
              </w:rPr>
              <w:t>referred to in</w:t>
            </w:r>
            <w:r w:rsidR="00402284" w:rsidRPr="004B0EC7">
              <w:rPr>
                <w:rFonts w:ascii="Times New Roman" w:hAnsi="Times New Roman"/>
                <w:sz w:val="24"/>
                <w:lang w:eastAsia="de-DE"/>
              </w:rPr>
              <w:t xml:space="preserve"> </w:t>
            </w:r>
            <w:r w:rsidRPr="004B0EC7">
              <w:rPr>
                <w:rFonts w:ascii="Times New Roman" w:hAnsi="Times New Roman"/>
                <w:sz w:val="24"/>
                <w:lang w:eastAsia="de-DE"/>
              </w:rPr>
              <w:t>Article 340</w:t>
            </w:r>
            <w:r w:rsidR="00B83DDE" w:rsidRPr="004B0EC7">
              <w:rPr>
                <w:rFonts w:ascii="Times New Roman" w:hAnsi="Times New Roman"/>
                <w:sz w:val="24"/>
                <w:lang w:eastAsia="de-DE"/>
              </w:rPr>
              <w:t>, p</w:t>
            </w:r>
            <w:r w:rsidR="00D24331" w:rsidRPr="004B0EC7">
              <w:rPr>
                <w:rFonts w:ascii="Times New Roman" w:hAnsi="Times New Roman"/>
                <w:sz w:val="24"/>
                <w:lang w:eastAsia="de-DE"/>
              </w:rPr>
              <w:t xml:space="preserve">aragraphs 1 to 6 </w:t>
            </w:r>
            <w:r w:rsidR="007062FD" w:rsidRPr="004B0EC7">
              <w:rPr>
                <w:rFonts w:ascii="Times New Roman" w:hAnsi="Times New Roman"/>
                <w:sz w:val="24"/>
                <w:lang w:val="en-US"/>
              </w:rPr>
              <w:t>of Regulation (EU) No 575/2013</w:t>
            </w:r>
            <w:r w:rsidRPr="004B0EC7">
              <w:rPr>
                <w:rFonts w:ascii="Times New Roman" w:hAnsi="Times New Roman"/>
                <w:sz w:val="24"/>
                <w:lang w:eastAsia="de-DE"/>
              </w:rPr>
              <w:t xml:space="preserve"> and the correspond</w:t>
            </w:r>
            <w:r w:rsidR="00F41508" w:rsidRPr="004B0EC7">
              <w:rPr>
                <w:rFonts w:ascii="Times New Roman" w:hAnsi="Times New Roman"/>
                <w:sz w:val="24"/>
                <w:lang w:eastAsia="de-DE"/>
              </w:rPr>
              <w:t>ing</w:t>
            </w:r>
            <w:r w:rsidRPr="004B0EC7">
              <w:rPr>
                <w:rFonts w:ascii="Times New Roman" w:hAnsi="Times New Roman"/>
                <w:sz w:val="24"/>
                <w:lang w:eastAsia="de-DE"/>
              </w:rPr>
              <w:t xml:space="preserve"> own funds requirements </w:t>
            </w:r>
            <w:r w:rsidR="00F41508" w:rsidRPr="004B0EC7">
              <w:rPr>
                <w:rFonts w:ascii="Times New Roman" w:hAnsi="Times New Roman"/>
                <w:sz w:val="24"/>
                <w:lang w:eastAsia="de-DE"/>
              </w:rPr>
              <w:t xml:space="preserve">calculated in accordance with </w:t>
            </w:r>
            <w:r w:rsidRPr="004B0EC7">
              <w:rPr>
                <w:rFonts w:ascii="Times New Roman" w:hAnsi="Times New Roman"/>
                <w:sz w:val="24"/>
                <w:lang w:eastAsia="de-DE"/>
              </w:rPr>
              <w:t xml:space="preserve">Article 340(7) </w:t>
            </w:r>
            <w:r w:rsidR="007062FD" w:rsidRPr="004B0EC7">
              <w:rPr>
                <w:rFonts w:ascii="Times New Roman" w:hAnsi="Times New Roman"/>
                <w:sz w:val="24"/>
                <w:lang w:val="en-US"/>
              </w:rPr>
              <w:t>of Regulation (EU) No 575/2013</w:t>
            </w:r>
            <w:r w:rsidRPr="004B0EC7">
              <w:rPr>
                <w:rFonts w:ascii="Times New Roman" w:hAnsi="Times New Roman"/>
                <w:sz w:val="24"/>
                <w:lang w:eastAsia="de-DE"/>
              </w:rPr>
              <w:t>. The position shall be split by zones 1, 2 and 3.</w:t>
            </w:r>
          </w:p>
        </w:tc>
      </w:tr>
      <w:tr w:rsidR="000B0B09" w:rsidRPr="004B0EC7" w14:paraId="7DD483EC" w14:textId="77777777" w:rsidTr="00672D2A">
        <w:tc>
          <w:tcPr>
            <w:tcW w:w="987" w:type="dxa"/>
          </w:tcPr>
          <w:p w14:paraId="5974B232" w14:textId="77777777" w:rsidR="000B0B09" w:rsidRPr="004B0EC7" w:rsidRDefault="00EE2CD5" w:rsidP="000F70EC">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250</w:t>
            </w:r>
          </w:p>
        </w:tc>
        <w:tc>
          <w:tcPr>
            <w:tcW w:w="7875" w:type="dxa"/>
          </w:tcPr>
          <w:p w14:paraId="6CE50A3E"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SPECIFIC RISK</w:t>
            </w:r>
          </w:p>
          <w:p w14:paraId="29C6E3D0" w14:textId="77777777" w:rsidR="000B0B09" w:rsidRPr="004B0EC7" w:rsidRDefault="000B0B09" w:rsidP="00BD2FE7">
            <w:pPr>
              <w:rPr>
                <w:rFonts w:ascii="Times New Roman" w:hAnsi="Times New Roman"/>
                <w:sz w:val="24"/>
                <w:lang w:eastAsia="de-DE"/>
              </w:rPr>
            </w:pPr>
            <w:r w:rsidRPr="004B0EC7">
              <w:rPr>
                <w:rFonts w:ascii="Times New Roman" w:hAnsi="Times New Roman"/>
                <w:sz w:val="24"/>
                <w:lang w:eastAsia="de-DE"/>
              </w:rPr>
              <w:t xml:space="preserve">Sum of amounts reported in rows </w:t>
            </w:r>
            <w:r w:rsidR="00EE2CD5" w:rsidRPr="004B0EC7">
              <w:rPr>
                <w:rFonts w:ascii="Times New Roman" w:hAnsi="Times New Roman"/>
                <w:sz w:val="24"/>
                <w:lang w:eastAsia="de-DE"/>
              </w:rPr>
              <w:t>0</w:t>
            </w:r>
            <w:r w:rsidRPr="004B0EC7">
              <w:rPr>
                <w:rFonts w:ascii="Times New Roman" w:hAnsi="Times New Roman"/>
                <w:sz w:val="24"/>
                <w:lang w:eastAsia="de-DE"/>
              </w:rPr>
              <w:t xml:space="preserve">251, </w:t>
            </w:r>
            <w:r w:rsidR="00EE2CD5" w:rsidRPr="004B0EC7">
              <w:rPr>
                <w:rFonts w:ascii="Times New Roman" w:hAnsi="Times New Roman"/>
                <w:sz w:val="24"/>
                <w:lang w:eastAsia="de-DE"/>
              </w:rPr>
              <w:t>0</w:t>
            </w:r>
            <w:r w:rsidRPr="004B0EC7">
              <w:rPr>
                <w:rFonts w:ascii="Times New Roman" w:hAnsi="Times New Roman"/>
                <w:sz w:val="24"/>
                <w:lang w:eastAsia="de-DE"/>
              </w:rPr>
              <w:t xml:space="preserve">325 and </w:t>
            </w:r>
            <w:r w:rsidR="00EE2CD5" w:rsidRPr="004B0EC7">
              <w:rPr>
                <w:rFonts w:ascii="Times New Roman" w:hAnsi="Times New Roman"/>
                <w:sz w:val="24"/>
                <w:lang w:eastAsia="de-DE"/>
              </w:rPr>
              <w:t>0</w:t>
            </w:r>
            <w:r w:rsidRPr="004B0EC7">
              <w:rPr>
                <w:rFonts w:ascii="Times New Roman" w:hAnsi="Times New Roman"/>
                <w:sz w:val="24"/>
                <w:lang w:eastAsia="de-DE"/>
              </w:rPr>
              <w:t xml:space="preserve">330. </w:t>
            </w:r>
          </w:p>
          <w:p w14:paraId="4E1E5CA2" w14:textId="0BF89FF6" w:rsidR="000B0B09" w:rsidRPr="004B0EC7" w:rsidRDefault="000B0B09" w:rsidP="00D24331">
            <w:pPr>
              <w:rPr>
                <w:rFonts w:ascii="Times New Roman" w:hAnsi="Times New Roman"/>
                <w:b/>
                <w:bCs/>
                <w:sz w:val="24"/>
                <w:u w:val="single"/>
                <w:lang w:eastAsia="nl-BE"/>
              </w:rPr>
            </w:pPr>
            <w:r w:rsidRPr="004B0EC7">
              <w:rPr>
                <w:rFonts w:ascii="Times New Roman" w:hAnsi="Times New Roman"/>
                <w:sz w:val="24"/>
                <w:lang w:eastAsia="de-DE"/>
              </w:rPr>
              <w:t xml:space="preserve">Positions in traded debt instruments subject to the specific risk capital </w:t>
            </w:r>
            <w:r w:rsidR="0023276A" w:rsidRPr="004B0EC7">
              <w:rPr>
                <w:rFonts w:ascii="Times New Roman" w:hAnsi="Times New Roman"/>
                <w:sz w:val="24"/>
                <w:lang w:eastAsia="de-DE"/>
              </w:rPr>
              <w:t xml:space="preserve">requirements </w:t>
            </w:r>
            <w:r w:rsidRPr="004B0EC7">
              <w:rPr>
                <w:rFonts w:ascii="Times New Roman" w:hAnsi="Times New Roman"/>
                <w:sz w:val="24"/>
                <w:lang w:eastAsia="de-DE"/>
              </w:rPr>
              <w:t>and their correspond</w:t>
            </w:r>
            <w:r w:rsidR="00F41508" w:rsidRPr="004B0EC7">
              <w:rPr>
                <w:rFonts w:ascii="Times New Roman" w:hAnsi="Times New Roman"/>
                <w:sz w:val="24"/>
                <w:lang w:eastAsia="de-DE"/>
              </w:rPr>
              <w:t>ing</w:t>
            </w:r>
            <w:r w:rsidRPr="004B0EC7">
              <w:rPr>
                <w:rFonts w:ascii="Times New Roman" w:hAnsi="Times New Roman"/>
                <w:sz w:val="24"/>
                <w:lang w:eastAsia="de-DE"/>
              </w:rPr>
              <w:t xml:space="preserve"> capital </w:t>
            </w:r>
            <w:r w:rsidR="0023276A" w:rsidRPr="004B0EC7">
              <w:rPr>
                <w:rFonts w:ascii="Times New Roman" w:hAnsi="Times New Roman"/>
                <w:sz w:val="24"/>
                <w:lang w:eastAsia="de-DE"/>
              </w:rPr>
              <w:t xml:space="preserve">requirements </w:t>
            </w:r>
            <w:r w:rsidR="00BB22D4" w:rsidRPr="004B0EC7">
              <w:rPr>
                <w:rFonts w:ascii="Times New Roman" w:hAnsi="Times New Roman"/>
                <w:sz w:val="24"/>
                <w:lang w:eastAsia="de-DE"/>
              </w:rPr>
              <w:t>in accordance with</w:t>
            </w:r>
            <w:r w:rsidRPr="004B0EC7">
              <w:rPr>
                <w:rFonts w:ascii="Times New Roman" w:hAnsi="Times New Roman"/>
                <w:sz w:val="24"/>
                <w:lang w:eastAsia="de-DE"/>
              </w:rPr>
              <w:t xml:space="preserve"> Article 92(</w:t>
            </w:r>
            <w:r w:rsidR="0049305B" w:rsidRPr="004B0EC7">
              <w:rPr>
                <w:rFonts w:ascii="Times New Roman" w:hAnsi="Times New Roman"/>
                <w:sz w:val="24"/>
                <w:lang w:eastAsia="de-DE"/>
              </w:rPr>
              <w:t>4</w:t>
            </w:r>
            <w:r w:rsidRPr="004B0EC7">
              <w:rPr>
                <w:rFonts w:ascii="Times New Roman" w:hAnsi="Times New Roman"/>
                <w:sz w:val="24"/>
                <w:lang w:eastAsia="de-DE"/>
              </w:rPr>
              <w:t>)</w:t>
            </w:r>
            <w:r w:rsidR="00B83DDE" w:rsidRPr="004B0EC7">
              <w:rPr>
                <w:rFonts w:ascii="Times New Roman" w:hAnsi="Times New Roman"/>
                <w:sz w:val="24"/>
                <w:lang w:eastAsia="de-DE"/>
              </w:rPr>
              <w:t>, p</w:t>
            </w:r>
            <w:r w:rsidR="00D24331" w:rsidRPr="004B0EC7">
              <w:rPr>
                <w:rFonts w:ascii="Times New Roman" w:hAnsi="Times New Roman"/>
                <w:sz w:val="24"/>
              </w:rPr>
              <w:t>oint (b)</w:t>
            </w:r>
            <w:r w:rsidR="00CB38DD" w:rsidRPr="004B0EC7">
              <w:rPr>
                <w:rFonts w:ascii="Times New Roman" w:hAnsi="Times New Roman"/>
                <w:sz w:val="24"/>
              </w:rPr>
              <w:t>,</w:t>
            </w:r>
            <w:r w:rsidR="00D24331" w:rsidRPr="004B0EC7">
              <w:rPr>
                <w:rFonts w:ascii="Times New Roman" w:hAnsi="Times New Roman"/>
                <w:sz w:val="24"/>
              </w:rPr>
              <w:t xml:space="preserve"> </w:t>
            </w:r>
            <w:r w:rsidRPr="004B0EC7">
              <w:rPr>
                <w:rFonts w:ascii="Times New Roman" w:hAnsi="Times New Roman"/>
                <w:sz w:val="24"/>
                <w:lang w:eastAsia="de-DE"/>
              </w:rPr>
              <w:t xml:space="preserve">and </w:t>
            </w:r>
            <w:r w:rsidR="00D21B29" w:rsidRPr="004B0EC7">
              <w:rPr>
                <w:rFonts w:ascii="Times New Roman" w:hAnsi="Times New Roman"/>
                <w:sz w:val="24"/>
                <w:lang w:eastAsia="de-DE"/>
              </w:rPr>
              <w:t xml:space="preserve">Article </w:t>
            </w:r>
            <w:r w:rsidRPr="004B0EC7">
              <w:rPr>
                <w:rFonts w:ascii="Times New Roman" w:hAnsi="Times New Roman"/>
                <w:sz w:val="24"/>
                <w:lang w:eastAsia="de-DE"/>
              </w:rPr>
              <w:t xml:space="preserve">335, </w:t>
            </w:r>
            <w:r w:rsidR="00F41508" w:rsidRPr="004B0EC7">
              <w:rPr>
                <w:rFonts w:ascii="Times New Roman" w:hAnsi="Times New Roman"/>
                <w:sz w:val="24"/>
                <w:lang w:eastAsia="de-DE"/>
              </w:rPr>
              <w:t xml:space="preserve">Article </w:t>
            </w:r>
            <w:r w:rsidRPr="004B0EC7">
              <w:rPr>
                <w:rFonts w:ascii="Times New Roman" w:hAnsi="Times New Roman"/>
                <w:sz w:val="24"/>
                <w:lang w:eastAsia="de-DE"/>
              </w:rPr>
              <w:t>336</w:t>
            </w:r>
            <w:r w:rsidR="00CB38DD" w:rsidRPr="004B0EC7">
              <w:rPr>
                <w:rFonts w:ascii="Times New Roman" w:hAnsi="Times New Roman"/>
                <w:sz w:val="24"/>
                <w:lang w:eastAsia="de-DE"/>
              </w:rPr>
              <w:t>(</w:t>
            </w:r>
            <w:r w:rsidR="00D24331" w:rsidRPr="004B0EC7">
              <w:rPr>
                <w:rFonts w:ascii="Times New Roman" w:hAnsi="Times New Roman"/>
                <w:sz w:val="24"/>
                <w:lang w:eastAsia="de-DE"/>
              </w:rPr>
              <w:t>1</w:t>
            </w:r>
            <w:r w:rsidR="00CB38DD" w:rsidRPr="004B0EC7">
              <w:rPr>
                <w:rFonts w:ascii="Times New Roman" w:hAnsi="Times New Roman"/>
                <w:sz w:val="24"/>
                <w:lang w:eastAsia="de-DE"/>
              </w:rPr>
              <w:t>)</w:t>
            </w:r>
            <w:r w:rsidR="00D24331" w:rsidRPr="004B0EC7">
              <w:rPr>
                <w:rFonts w:ascii="Times New Roman" w:hAnsi="Times New Roman"/>
                <w:sz w:val="24"/>
                <w:lang w:eastAsia="de-DE"/>
              </w:rPr>
              <w:t xml:space="preserve">, </w:t>
            </w:r>
            <w:r w:rsidR="00CB38DD" w:rsidRPr="004B0EC7">
              <w:rPr>
                <w:rFonts w:ascii="Times New Roman" w:hAnsi="Times New Roman"/>
                <w:sz w:val="24"/>
                <w:lang w:eastAsia="de-DE"/>
              </w:rPr>
              <w:t>(</w:t>
            </w:r>
            <w:r w:rsidR="00D24331" w:rsidRPr="004B0EC7">
              <w:rPr>
                <w:rFonts w:ascii="Times New Roman" w:hAnsi="Times New Roman"/>
                <w:sz w:val="24"/>
                <w:lang w:eastAsia="de-DE"/>
              </w:rPr>
              <w:t>2</w:t>
            </w:r>
            <w:r w:rsidR="00CB38DD" w:rsidRPr="004B0EC7">
              <w:rPr>
                <w:rFonts w:ascii="Times New Roman" w:hAnsi="Times New Roman"/>
                <w:sz w:val="24"/>
                <w:lang w:eastAsia="de-DE"/>
              </w:rPr>
              <w:t>)</w:t>
            </w:r>
            <w:r w:rsidR="00D24331" w:rsidRPr="004B0EC7">
              <w:rPr>
                <w:rFonts w:ascii="Times New Roman" w:hAnsi="Times New Roman"/>
                <w:sz w:val="24"/>
                <w:lang w:eastAsia="de-DE"/>
              </w:rPr>
              <w:t xml:space="preserve"> and </w:t>
            </w:r>
            <w:r w:rsidR="00CB38DD" w:rsidRPr="004B0EC7">
              <w:rPr>
                <w:rFonts w:ascii="Times New Roman" w:hAnsi="Times New Roman"/>
                <w:sz w:val="24"/>
                <w:lang w:eastAsia="de-DE"/>
              </w:rPr>
              <w:t>(</w:t>
            </w:r>
            <w:r w:rsidR="00D24331" w:rsidRPr="004B0EC7">
              <w:rPr>
                <w:rFonts w:ascii="Times New Roman" w:hAnsi="Times New Roman"/>
                <w:sz w:val="24"/>
                <w:lang w:eastAsia="de-DE"/>
              </w:rPr>
              <w:t>3</w:t>
            </w:r>
            <w:r w:rsidR="00CB38DD" w:rsidRPr="004B0EC7">
              <w:rPr>
                <w:rFonts w:ascii="Times New Roman" w:hAnsi="Times New Roman"/>
                <w:sz w:val="24"/>
                <w:lang w:eastAsia="de-DE"/>
              </w:rPr>
              <w:t>),</w:t>
            </w:r>
            <w:r w:rsidR="00D24331" w:rsidRPr="004B0EC7">
              <w:rPr>
                <w:rFonts w:ascii="Times New Roman" w:hAnsi="Times New Roman"/>
                <w:sz w:val="24"/>
                <w:lang w:eastAsia="de-DE"/>
              </w:rPr>
              <w:t xml:space="preserve"> </w:t>
            </w:r>
            <w:r w:rsidR="00F41508" w:rsidRPr="004B0EC7">
              <w:rPr>
                <w:rFonts w:ascii="Times New Roman" w:hAnsi="Times New Roman"/>
                <w:sz w:val="24"/>
                <w:lang w:eastAsia="de-DE"/>
              </w:rPr>
              <w:t>and Articles</w:t>
            </w:r>
            <w:r w:rsidRPr="004B0EC7">
              <w:rPr>
                <w:rFonts w:ascii="Times New Roman" w:hAnsi="Times New Roman"/>
                <w:sz w:val="24"/>
                <w:lang w:eastAsia="de-DE"/>
              </w:rPr>
              <w:t xml:space="preserve"> 337 and 338 </w:t>
            </w:r>
            <w:r w:rsidR="007062FD" w:rsidRPr="004B0EC7">
              <w:rPr>
                <w:rFonts w:ascii="Times New Roman" w:hAnsi="Times New Roman"/>
                <w:sz w:val="24"/>
                <w:lang w:val="en-US"/>
              </w:rPr>
              <w:t>of Regulation (EU) No 575/2013</w:t>
            </w:r>
            <w:r w:rsidRPr="004B0EC7">
              <w:rPr>
                <w:rFonts w:ascii="Times New Roman" w:hAnsi="Times New Roman"/>
                <w:sz w:val="24"/>
                <w:lang w:eastAsia="de-DE"/>
              </w:rPr>
              <w:t xml:space="preserve">. Be also aware of </w:t>
            </w:r>
            <w:r w:rsidR="00705025" w:rsidRPr="004B0EC7">
              <w:rPr>
                <w:rFonts w:ascii="Times New Roman" w:hAnsi="Times New Roman"/>
                <w:sz w:val="24"/>
                <w:lang w:eastAsia="de-DE"/>
              </w:rPr>
              <w:t xml:space="preserve">the </w:t>
            </w:r>
            <w:r w:rsidRPr="004B0EC7">
              <w:rPr>
                <w:rFonts w:ascii="Times New Roman" w:hAnsi="Times New Roman"/>
                <w:sz w:val="24"/>
                <w:lang w:eastAsia="de-DE"/>
              </w:rPr>
              <w:t xml:space="preserve">last sentence in Article 327(1) </w:t>
            </w:r>
            <w:r w:rsidR="007062FD" w:rsidRPr="004B0EC7">
              <w:rPr>
                <w:rFonts w:ascii="Times New Roman" w:hAnsi="Times New Roman"/>
                <w:sz w:val="24"/>
                <w:lang w:val="en-US"/>
              </w:rPr>
              <w:t>of Regulation (EU) No 575/2013</w:t>
            </w:r>
            <w:r w:rsidRPr="004B0EC7">
              <w:rPr>
                <w:rFonts w:ascii="Times New Roman" w:hAnsi="Times New Roman"/>
                <w:sz w:val="24"/>
                <w:lang w:eastAsia="de-DE"/>
              </w:rPr>
              <w:t>.</w:t>
            </w:r>
          </w:p>
        </w:tc>
      </w:tr>
      <w:tr w:rsidR="000B0B09" w:rsidRPr="004B0EC7" w14:paraId="6F8691E7" w14:textId="77777777" w:rsidTr="00672D2A">
        <w:tc>
          <w:tcPr>
            <w:tcW w:w="987" w:type="dxa"/>
          </w:tcPr>
          <w:p w14:paraId="5CD5E31A" w14:textId="77777777" w:rsidR="000B0B09" w:rsidRPr="004B0EC7" w:rsidRDefault="00EE2CD5" w:rsidP="000F70EC">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251-</w:t>
            </w:r>
            <w:r w:rsidRPr="004B0EC7">
              <w:rPr>
                <w:rFonts w:ascii="Times New Roman" w:hAnsi="Times New Roman"/>
                <w:sz w:val="24"/>
                <w:lang w:eastAsia="nl-BE"/>
              </w:rPr>
              <w:t>0</w:t>
            </w:r>
            <w:r w:rsidR="000B0B09" w:rsidRPr="004B0EC7">
              <w:rPr>
                <w:rFonts w:ascii="Times New Roman" w:hAnsi="Times New Roman"/>
                <w:sz w:val="24"/>
                <w:lang w:eastAsia="nl-BE"/>
              </w:rPr>
              <w:t>321</w:t>
            </w:r>
          </w:p>
        </w:tc>
        <w:tc>
          <w:tcPr>
            <w:tcW w:w="7875" w:type="dxa"/>
          </w:tcPr>
          <w:p w14:paraId="14764BB8"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de-DE"/>
              </w:rPr>
            </w:pPr>
            <w:r w:rsidRPr="004B0EC7">
              <w:rPr>
                <w:rFonts w:ascii="Times New Roman" w:hAnsi="Times New Roman"/>
                <w:b/>
                <w:bCs/>
                <w:sz w:val="24"/>
                <w:u w:val="single"/>
                <w:lang w:eastAsia="de-DE"/>
              </w:rPr>
              <w:t>Own funds requirement for non-securitisation debt instruments</w:t>
            </w:r>
          </w:p>
          <w:p w14:paraId="19437B35" w14:textId="77777777" w:rsidR="000B0B09" w:rsidRPr="004B0EC7" w:rsidRDefault="000B0B09" w:rsidP="007B2F85">
            <w:pPr>
              <w:rPr>
                <w:rFonts w:ascii="Times New Roman" w:hAnsi="Times New Roman"/>
                <w:sz w:val="24"/>
                <w:lang w:eastAsia="de-DE"/>
              </w:rPr>
            </w:pPr>
            <w:r w:rsidRPr="004B0EC7">
              <w:rPr>
                <w:rFonts w:ascii="Times New Roman" w:hAnsi="Times New Roman"/>
                <w:sz w:val="24"/>
                <w:lang w:eastAsia="de-DE"/>
              </w:rPr>
              <w:t>Sum of the amounts reported in rows 260 to 321.</w:t>
            </w:r>
          </w:p>
          <w:p w14:paraId="4CDA5DEB" w14:textId="3E49784D" w:rsidR="000B0B09" w:rsidRPr="004B0EC7" w:rsidRDefault="000B0B09" w:rsidP="00BD2FE7">
            <w:pPr>
              <w:rPr>
                <w:rFonts w:ascii="Times New Roman" w:hAnsi="Times New Roman"/>
                <w:sz w:val="24"/>
                <w:lang w:eastAsia="de-DE"/>
              </w:rPr>
            </w:pPr>
            <w:r w:rsidRPr="004B0EC7">
              <w:rPr>
                <w:rFonts w:ascii="Times New Roman" w:hAnsi="Times New Roman"/>
                <w:sz w:val="24"/>
                <w:lang w:eastAsia="de-DE"/>
              </w:rPr>
              <w:t xml:space="preserve">The own funds requirement of the n-th to default credit derivatives which are not rated externally </w:t>
            </w:r>
            <w:r w:rsidR="00F41508" w:rsidRPr="004B0EC7">
              <w:rPr>
                <w:rFonts w:ascii="Times New Roman" w:hAnsi="Times New Roman"/>
                <w:sz w:val="24"/>
                <w:lang w:eastAsia="de-DE"/>
              </w:rPr>
              <w:t>shall</w:t>
            </w:r>
            <w:r w:rsidRPr="004B0EC7">
              <w:rPr>
                <w:rFonts w:ascii="Times New Roman" w:hAnsi="Times New Roman"/>
                <w:sz w:val="24"/>
                <w:lang w:eastAsia="de-DE"/>
              </w:rPr>
              <w:t xml:space="preserve"> be c</w:t>
            </w:r>
            <w:r w:rsidR="00F41508" w:rsidRPr="004B0EC7">
              <w:rPr>
                <w:rFonts w:ascii="Times New Roman" w:hAnsi="Times New Roman"/>
                <w:sz w:val="24"/>
                <w:lang w:eastAsia="de-DE"/>
              </w:rPr>
              <w:t>alculated</w:t>
            </w:r>
            <w:r w:rsidRPr="004B0EC7">
              <w:rPr>
                <w:rFonts w:ascii="Times New Roman" w:hAnsi="Times New Roman"/>
                <w:sz w:val="24"/>
                <w:lang w:eastAsia="de-DE"/>
              </w:rPr>
              <w:t xml:space="preserve"> by summing up the risk weights of the reference entities (</w:t>
            </w:r>
            <w:r w:rsidR="0019088A" w:rsidRPr="004B0EC7">
              <w:rPr>
                <w:rFonts w:ascii="Times New Roman" w:hAnsi="Times New Roman"/>
                <w:sz w:val="24"/>
                <w:lang w:eastAsia="de-DE"/>
              </w:rPr>
              <w:t>Article 332(1)</w:t>
            </w:r>
            <w:r w:rsidR="00B83DDE" w:rsidRPr="004B0EC7">
              <w:rPr>
                <w:rFonts w:ascii="Times New Roman" w:hAnsi="Times New Roman"/>
                <w:sz w:val="24"/>
                <w:lang w:eastAsia="de-DE"/>
              </w:rPr>
              <w:t>, p</w:t>
            </w:r>
            <w:r w:rsidR="00D24331" w:rsidRPr="004B0EC7">
              <w:rPr>
                <w:rFonts w:ascii="Times New Roman" w:hAnsi="Times New Roman"/>
                <w:sz w:val="24"/>
                <w:lang w:eastAsia="de-DE"/>
              </w:rPr>
              <w:t>oint (e)</w:t>
            </w:r>
            <w:r w:rsidR="00BE1277" w:rsidRPr="004B0EC7">
              <w:rPr>
                <w:rFonts w:ascii="Times New Roman" w:hAnsi="Times New Roman"/>
                <w:sz w:val="24"/>
                <w:lang w:eastAsia="de-DE"/>
              </w:rPr>
              <w:t>,</w:t>
            </w:r>
            <w:r w:rsidR="00D24331" w:rsidRPr="004B0EC7">
              <w:rPr>
                <w:rFonts w:ascii="Times New Roman" w:hAnsi="Times New Roman"/>
                <w:sz w:val="24"/>
                <w:lang w:eastAsia="de-DE"/>
              </w:rPr>
              <w:t xml:space="preserve"> </w:t>
            </w:r>
            <w:r w:rsidR="007062FD" w:rsidRPr="004B0EC7">
              <w:rPr>
                <w:rFonts w:ascii="Times New Roman" w:hAnsi="Times New Roman"/>
                <w:sz w:val="24"/>
                <w:lang w:val="en-US"/>
              </w:rPr>
              <w:t>of Regulation (EU) No 575/2013</w:t>
            </w:r>
            <w:r w:rsidR="0019088A" w:rsidRPr="004B0EC7">
              <w:rPr>
                <w:rFonts w:ascii="Times New Roman" w:hAnsi="Times New Roman"/>
                <w:sz w:val="24"/>
                <w:lang w:eastAsia="de-DE"/>
              </w:rPr>
              <w:t xml:space="preserve"> and the </w:t>
            </w:r>
            <w:r w:rsidR="007B2F85" w:rsidRPr="004B0EC7">
              <w:rPr>
                <w:rFonts w:ascii="Times New Roman" w:hAnsi="Times New Roman"/>
                <w:sz w:val="24"/>
                <w:lang w:eastAsia="de-DE"/>
              </w:rPr>
              <w:t>second subparagraph of</w:t>
            </w:r>
            <w:r w:rsidR="00705025" w:rsidRPr="004B0EC7">
              <w:rPr>
                <w:rFonts w:ascii="Times New Roman" w:hAnsi="Times New Roman"/>
                <w:sz w:val="24"/>
                <w:lang w:eastAsia="de-DE"/>
              </w:rPr>
              <w:t xml:space="preserve"> </w:t>
            </w:r>
            <w:r w:rsidRPr="004B0EC7">
              <w:rPr>
                <w:rFonts w:ascii="Times New Roman" w:hAnsi="Times New Roman"/>
                <w:sz w:val="24"/>
                <w:lang w:eastAsia="de-DE"/>
              </w:rPr>
              <w:t xml:space="preserve">Article 332(1) </w:t>
            </w:r>
            <w:r w:rsidR="007062FD" w:rsidRPr="004B0EC7">
              <w:rPr>
                <w:rFonts w:ascii="Times New Roman" w:hAnsi="Times New Roman"/>
                <w:sz w:val="24"/>
                <w:lang w:val="en-US"/>
              </w:rPr>
              <w:t>of Regulation (EU) No 575/2013</w:t>
            </w:r>
            <w:r w:rsidRPr="004B0EC7">
              <w:rPr>
                <w:rFonts w:ascii="Times New Roman" w:hAnsi="Times New Roman"/>
                <w:sz w:val="24"/>
                <w:lang w:eastAsia="de-DE"/>
              </w:rPr>
              <w:t xml:space="preserve"> – “look-through”). N-th-to-default credit derivatives which are rated externally (</w:t>
            </w:r>
            <w:r w:rsidR="000F11B2" w:rsidRPr="004B0EC7">
              <w:rPr>
                <w:rFonts w:ascii="Times New Roman" w:hAnsi="Times New Roman"/>
                <w:sz w:val="24"/>
                <w:lang w:eastAsia="de-DE"/>
              </w:rPr>
              <w:t xml:space="preserve">the </w:t>
            </w:r>
            <w:r w:rsidR="00F41508" w:rsidRPr="004B0EC7">
              <w:rPr>
                <w:rFonts w:ascii="Times New Roman" w:hAnsi="Times New Roman"/>
                <w:sz w:val="24"/>
                <w:lang w:eastAsia="de-DE"/>
              </w:rPr>
              <w:t>third sub</w:t>
            </w:r>
            <w:r w:rsidR="00705025" w:rsidRPr="004B0EC7">
              <w:rPr>
                <w:rFonts w:ascii="Times New Roman" w:hAnsi="Times New Roman"/>
                <w:sz w:val="24"/>
                <w:lang w:eastAsia="de-DE"/>
              </w:rPr>
              <w:t xml:space="preserve">paragraph of Article 332(1) </w:t>
            </w:r>
            <w:r w:rsidR="007062FD" w:rsidRPr="004B0EC7">
              <w:rPr>
                <w:rFonts w:ascii="Times New Roman" w:hAnsi="Times New Roman"/>
                <w:sz w:val="24"/>
                <w:lang w:val="en-US"/>
              </w:rPr>
              <w:t>of Regulation (EU) No 575/2013</w:t>
            </w:r>
            <w:r w:rsidRPr="004B0EC7">
              <w:rPr>
                <w:rFonts w:ascii="Times New Roman" w:hAnsi="Times New Roman"/>
                <w:sz w:val="24"/>
                <w:lang w:eastAsia="de-DE"/>
              </w:rPr>
              <w:t xml:space="preserve">) </w:t>
            </w:r>
            <w:r w:rsidR="00C93697" w:rsidRPr="004B0EC7">
              <w:rPr>
                <w:rFonts w:ascii="Times New Roman" w:hAnsi="Times New Roman"/>
                <w:sz w:val="24"/>
                <w:lang w:eastAsia="de-DE"/>
              </w:rPr>
              <w:t>shall</w:t>
            </w:r>
            <w:r w:rsidRPr="004B0EC7">
              <w:rPr>
                <w:rFonts w:ascii="Times New Roman" w:hAnsi="Times New Roman"/>
                <w:sz w:val="24"/>
                <w:lang w:eastAsia="de-DE"/>
              </w:rPr>
              <w:t xml:space="preserve"> be reported separately in line 321. </w:t>
            </w:r>
          </w:p>
          <w:p w14:paraId="7051ED04" w14:textId="663FE04C" w:rsidR="000B0B09" w:rsidRPr="004B0EC7" w:rsidRDefault="000B0B09" w:rsidP="00BD2FE7">
            <w:pPr>
              <w:rPr>
                <w:rFonts w:ascii="Times New Roman" w:hAnsi="Times New Roman"/>
                <w:sz w:val="24"/>
                <w:lang w:eastAsia="de-DE"/>
              </w:rPr>
            </w:pPr>
            <w:r w:rsidRPr="004B0EC7">
              <w:rPr>
                <w:rFonts w:ascii="Times New Roman" w:hAnsi="Times New Roman"/>
                <w:sz w:val="24"/>
                <w:lang w:eastAsia="de-DE"/>
              </w:rPr>
              <w:t>Reporting of positions subject to Article 336</w:t>
            </w:r>
            <w:r w:rsidR="001E0C80" w:rsidRPr="004B0EC7">
              <w:rPr>
                <w:rFonts w:ascii="Times New Roman" w:hAnsi="Times New Roman"/>
                <w:sz w:val="24"/>
                <w:lang w:eastAsia="de-DE"/>
              </w:rPr>
              <w:t>(</w:t>
            </w:r>
            <w:r w:rsidRPr="004B0EC7">
              <w:rPr>
                <w:rFonts w:ascii="Times New Roman" w:hAnsi="Times New Roman"/>
                <w:sz w:val="24"/>
                <w:lang w:eastAsia="de-DE"/>
              </w:rPr>
              <w:t xml:space="preserve">3) </w:t>
            </w:r>
            <w:r w:rsidR="007062FD" w:rsidRPr="004B0EC7">
              <w:rPr>
                <w:rFonts w:ascii="Times New Roman" w:hAnsi="Times New Roman"/>
                <w:sz w:val="24"/>
                <w:lang w:val="en-US"/>
              </w:rPr>
              <w:t>of Regulation (EU) No 575/2013</w:t>
            </w:r>
            <w:r w:rsidRPr="004B0EC7">
              <w:rPr>
                <w:rFonts w:ascii="Times New Roman" w:hAnsi="Times New Roman"/>
                <w:sz w:val="24"/>
                <w:lang w:eastAsia="de-DE"/>
              </w:rPr>
              <w:t>:</w:t>
            </w:r>
            <w:r w:rsidR="001A741B" w:rsidRPr="004B0EC7">
              <w:rPr>
                <w:rFonts w:ascii="Times New Roman" w:hAnsi="Times New Roman"/>
                <w:sz w:val="24"/>
                <w:lang w:eastAsia="de-DE"/>
              </w:rPr>
              <w:t xml:space="preserve"> </w:t>
            </w:r>
            <w:r w:rsidRPr="004B0EC7">
              <w:rPr>
                <w:rFonts w:ascii="Times New Roman" w:hAnsi="Times New Roman"/>
                <w:sz w:val="24"/>
                <w:lang w:eastAsia="de-DE"/>
              </w:rPr>
              <w:t>There is a special treatment for bonds which qualify for a 10</w:t>
            </w:r>
            <w:r w:rsidR="00B856D5" w:rsidRPr="004B0EC7">
              <w:t> </w:t>
            </w:r>
            <w:r w:rsidRPr="004B0EC7">
              <w:rPr>
                <w:rFonts w:ascii="Times New Roman" w:hAnsi="Times New Roman"/>
                <w:sz w:val="24"/>
                <w:lang w:eastAsia="de-DE"/>
              </w:rPr>
              <w:t xml:space="preserve">% risk weight in the banking book </w:t>
            </w:r>
            <w:r w:rsidR="00BB22D4" w:rsidRPr="004B0EC7">
              <w:rPr>
                <w:rFonts w:ascii="Times New Roman" w:hAnsi="Times New Roman"/>
                <w:sz w:val="24"/>
                <w:lang w:eastAsia="de-DE"/>
              </w:rPr>
              <w:t>in accordance with</w:t>
            </w:r>
            <w:r w:rsidRPr="004B0EC7">
              <w:rPr>
                <w:rFonts w:ascii="Times New Roman" w:hAnsi="Times New Roman"/>
                <w:sz w:val="24"/>
                <w:lang w:eastAsia="de-DE"/>
              </w:rPr>
              <w:t xml:space="preserve"> Article 129(3) </w:t>
            </w:r>
            <w:r w:rsidR="007062FD" w:rsidRPr="004B0EC7">
              <w:rPr>
                <w:rFonts w:ascii="Times New Roman" w:hAnsi="Times New Roman"/>
                <w:sz w:val="24"/>
                <w:lang w:val="en-US"/>
              </w:rPr>
              <w:t xml:space="preserve">of Regulation (EU) </w:t>
            </w:r>
            <w:r w:rsidR="007062FD" w:rsidRPr="004B0EC7">
              <w:rPr>
                <w:rFonts w:ascii="Times New Roman" w:hAnsi="Times New Roman"/>
                <w:sz w:val="24"/>
                <w:lang w:val="en-US"/>
              </w:rPr>
              <w:lastRenderedPageBreak/>
              <w:t>No 575/2013</w:t>
            </w:r>
            <w:r w:rsidRPr="004B0EC7">
              <w:rPr>
                <w:rFonts w:ascii="Times New Roman" w:hAnsi="Times New Roman"/>
                <w:sz w:val="24"/>
                <w:lang w:eastAsia="de-DE"/>
              </w:rPr>
              <w:t xml:space="preserve"> (covered bonds). The specific own funds requirements </w:t>
            </w:r>
            <w:r w:rsidR="00F41508" w:rsidRPr="004B0EC7">
              <w:rPr>
                <w:rFonts w:ascii="Times New Roman" w:hAnsi="Times New Roman"/>
                <w:sz w:val="24"/>
                <w:lang w:eastAsia="de-DE"/>
              </w:rPr>
              <w:t>shall be</w:t>
            </w:r>
            <w:r w:rsidRPr="004B0EC7">
              <w:rPr>
                <w:rFonts w:ascii="Times New Roman" w:hAnsi="Times New Roman"/>
                <w:sz w:val="24"/>
                <w:lang w:eastAsia="de-DE"/>
              </w:rPr>
              <w:t xml:space="preserve"> half of the percentage of the second category </w:t>
            </w:r>
            <w:r w:rsidR="00F41508" w:rsidRPr="004B0EC7">
              <w:rPr>
                <w:rFonts w:ascii="Times New Roman" w:hAnsi="Times New Roman"/>
                <w:sz w:val="24"/>
                <w:lang w:eastAsia="de-DE"/>
              </w:rPr>
              <w:t>referred to in</w:t>
            </w:r>
            <w:r w:rsidRPr="004B0EC7">
              <w:rPr>
                <w:rFonts w:ascii="Times New Roman" w:hAnsi="Times New Roman"/>
                <w:sz w:val="24"/>
                <w:lang w:eastAsia="de-DE"/>
              </w:rPr>
              <w:t xml:space="preserve"> </w:t>
            </w:r>
            <w:r w:rsidR="00E92C04" w:rsidRPr="004B0EC7">
              <w:rPr>
                <w:rFonts w:ascii="Times New Roman" w:hAnsi="Times New Roman"/>
                <w:sz w:val="24"/>
                <w:lang w:eastAsia="de-DE"/>
              </w:rPr>
              <w:t>Article 336</w:t>
            </w:r>
            <w:r w:rsidR="00D24331" w:rsidRPr="004B0EC7">
              <w:rPr>
                <w:rFonts w:ascii="Times New Roman" w:hAnsi="Times New Roman"/>
                <w:sz w:val="24"/>
                <w:lang w:eastAsia="de-DE"/>
              </w:rPr>
              <w:t>,</w:t>
            </w:r>
            <w:r w:rsidR="00E92C04" w:rsidRPr="004B0EC7">
              <w:rPr>
                <w:rFonts w:ascii="Times New Roman" w:hAnsi="Times New Roman"/>
                <w:sz w:val="24"/>
                <w:lang w:eastAsia="de-DE"/>
              </w:rPr>
              <w:t xml:space="preserve"> </w:t>
            </w:r>
            <w:r w:rsidR="00D24331" w:rsidRPr="004B0EC7">
              <w:rPr>
                <w:rFonts w:ascii="Times New Roman" w:hAnsi="Times New Roman"/>
                <w:sz w:val="24"/>
                <w:lang w:eastAsia="de-DE"/>
              </w:rPr>
              <w:t>Table 1</w:t>
            </w:r>
            <w:r w:rsidR="007062FD" w:rsidRPr="004B0EC7">
              <w:rPr>
                <w:rFonts w:ascii="Times New Roman" w:hAnsi="Times New Roman"/>
                <w:sz w:val="24"/>
                <w:lang w:val="en-US"/>
              </w:rPr>
              <w:t xml:space="preserve"> of Regulation (EU) No 575/2013</w:t>
            </w:r>
            <w:r w:rsidR="00E92C04" w:rsidRPr="004B0EC7">
              <w:rPr>
                <w:rFonts w:ascii="Times New Roman" w:hAnsi="Times New Roman"/>
                <w:sz w:val="24"/>
                <w:lang w:eastAsia="de-DE"/>
              </w:rPr>
              <w:t xml:space="preserve">. Those positions have to be assigned to rows </w:t>
            </w:r>
            <w:r w:rsidR="00EE2CD5" w:rsidRPr="004B0EC7">
              <w:rPr>
                <w:rFonts w:ascii="Times New Roman" w:hAnsi="Times New Roman"/>
                <w:sz w:val="24"/>
                <w:lang w:eastAsia="de-DE"/>
              </w:rPr>
              <w:t>0</w:t>
            </w:r>
            <w:r w:rsidR="00E92C04" w:rsidRPr="004B0EC7">
              <w:rPr>
                <w:rFonts w:ascii="Times New Roman" w:hAnsi="Times New Roman"/>
                <w:sz w:val="24"/>
                <w:lang w:eastAsia="de-DE"/>
              </w:rPr>
              <w:t>280-</w:t>
            </w:r>
            <w:r w:rsidR="00EE2CD5" w:rsidRPr="004B0EC7">
              <w:rPr>
                <w:rFonts w:ascii="Times New Roman" w:hAnsi="Times New Roman"/>
                <w:sz w:val="24"/>
                <w:lang w:eastAsia="de-DE"/>
              </w:rPr>
              <w:t>0</w:t>
            </w:r>
            <w:r w:rsidR="00E92C04" w:rsidRPr="004B0EC7">
              <w:rPr>
                <w:rFonts w:ascii="Times New Roman" w:hAnsi="Times New Roman"/>
                <w:sz w:val="24"/>
                <w:lang w:eastAsia="de-DE"/>
              </w:rPr>
              <w:t xml:space="preserve">300 </w:t>
            </w:r>
            <w:r w:rsidR="00BB22D4" w:rsidRPr="004B0EC7">
              <w:rPr>
                <w:rFonts w:ascii="Times New Roman" w:hAnsi="Times New Roman"/>
                <w:sz w:val="24"/>
                <w:lang w:eastAsia="de-DE"/>
              </w:rPr>
              <w:t>in accordance with</w:t>
            </w:r>
            <w:r w:rsidR="00E92C04" w:rsidRPr="004B0EC7">
              <w:rPr>
                <w:rFonts w:ascii="Times New Roman" w:hAnsi="Times New Roman"/>
                <w:sz w:val="24"/>
                <w:lang w:eastAsia="de-DE"/>
              </w:rPr>
              <w:t xml:space="preserve"> the residual term to final maturity.</w:t>
            </w:r>
          </w:p>
          <w:p w14:paraId="11FE9AD5" w14:textId="13EA9F09" w:rsidR="000B0B09" w:rsidRPr="004B0EC7" w:rsidRDefault="00F41508" w:rsidP="0002267E">
            <w:pPr>
              <w:rPr>
                <w:rFonts w:ascii="Times New Roman" w:hAnsi="Times New Roman"/>
                <w:b/>
                <w:bCs/>
                <w:sz w:val="24"/>
                <w:u w:val="single"/>
                <w:lang w:eastAsia="nl-BE"/>
              </w:rPr>
            </w:pPr>
            <w:r w:rsidRPr="004B0EC7">
              <w:rPr>
                <w:rFonts w:ascii="Times New Roman" w:hAnsi="Times New Roman"/>
                <w:sz w:val="24"/>
                <w:lang w:eastAsia="de-DE"/>
              </w:rPr>
              <w:t>Where</w:t>
            </w:r>
            <w:r w:rsidR="000B0B09" w:rsidRPr="004B0EC7">
              <w:rPr>
                <w:rFonts w:ascii="Times New Roman" w:hAnsi="Times New Roman"/>
                <w:sz w:val="24"/>
                <w:lang w:eastAsia="de-DE"/>
              </w:rPr>
              <w:t xml:space="preserve"> the general risk of interest rate positions is hedged by a credit derivative, Articles 346 and 347 </w:t>
            </w:r>
            <w:r w:rsidR="007062FD" w:rsidRPr="004B0EC7">
              <w:rPr>
                <w:rFonts w:ascii="Times New Roman" w:hAnsi="Times New Roman"/>
                <w:sz w:val="24"/>
                <w:lang w:val="en-US"/>
              </w:rPr>
              <w:t>of Regulation (EU) No 575/2013</w:t>
            </w:r>
            <w:r w:rsidR="001A741B" w:rsidRPr="004B0EC7">
              <w:rPr>
                <w:rFonts w:ascii="Times New Roman" w:hAnsi="Times New Roman"/>
                <w:sz w:val="24"/>
                <w:lang w:eastAsia="de-DE"/>
              </w:rPr>
              <w:t xml:space="preserve"> </w:t>
            </w:r>
            <w:r w:rsidR="000B0B09" w:rsidRPr="004B0EC7">
              <w:rPr>
                <w:rFonts w:ascii="Times New Roman" w:hAnsi="Times New Roman"/>
                <w:sz w:val="24"/>
                <w:lang w:eastAsia="de-DE"/>
              </w:rPr>
              <w:t xml:space="preserve">shall be applied. </w:t>
            </w:r>
          </w:p>
        </w:tc>
      </w:tr>
      <w:tr w:rsidR="000B0B09" w:rsidRPr="004B0EC7" w14:paraId="3F2475A8" w14:textId="77777777" w:rsidTr="00672D2A">
        <w:tc>
          <w:tcPr>
            <w:tcW w:w="987" w:type="dxa"/>
          </w:tcPr>
          <w:p w14:paraId="1898316C" w14:textId="77777777" w:rsidR="000B0B09" w:rsidRPr="004B0EC7" w:rsidDel="00F27BD6" w:rsidRDefault="00EE2CD5"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lastRenderedPageBreak/>
              <w:t>0</w:t>
            </w:r>
            <w:r w:rsidR="000B0B09" w:rsidRPr="004B0EC7">
              <w:rPr>
                <w:rFonts w:ascii="Times New Roman" w:hAnsi="Times New Roman"/>
                <w:sz w:val="24"/>
                <w:lang w:eastAsia="nl-BE"/>
              </w:rPr>
              <w:t>325</w:t>
            </w:r>
          </w:p>
        </w:tc>
        <w:tc>
          <w:tcPr>
            <w:tcW w:w="7875" w:type="dxa"/>
          </w:tcPr>
          <w:p w14:paraId="21ACC24B"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Own funds requirement for securitisation instruments</w:t>
            </w:r>
          </w:p>
          <w:p w14:paraId="7BA68AB7" w14:textId="7771B388" w:rsidR="00722A10" w:rsidRPr="004B0EC7" w:rsidDel="00F27BD6" w:rsidRDefault="000B0B09" w:rsidP="0002267E">
            <w:pPr>
              <w:rPr>
                <w:rFonts w:ascii="Times New Roman" w:hAnsi="Times New Roman"/>
                <w:b/>
                <w:bCs/>
                <w:sz w:val="24"/>
                <w:u w:val="single"/>
                <w:lang w:eastAsia="nl-BE"/>
              </w:rPr>
            </w:pPr>
            <w:r w:rsidRPr="004B0EC7">
              <w:rPr>
                <w:rFonts w:ascii="Times New Roman" w:hAnsi="Times New Roman"/>
                <w:sz w:val="24"/>
                <w:lang w:eastAsia="de-DE"/>
              </w:rPr>
              <w:t xml:space="preserve">Total own funds requirements reported in column </w:t>
            </w:r>
            <w:r w:rsidR="00EE2CD5" w:rsidRPr="004B0EC7">
              <w:rPr>
                <w:rFonts w:ascii="Times New Roman" w:hAnsi="Times New Roman"/>
                <w:sz w:val="24"/>
                <w:lang w:eastAsia="de-DE"/>
              </w:rPr>
              <w:t>0</w:t>
            </w:r>
            <w:r w:rsidRPr="004B0EC7">
              <w:rPr>
                <w:rFonts w:ascii="Times New Roman" w:hAnsi="Times New Roman"/>
                <w:sz w:val="24"/>
                <w:lang w:eastAsia="de-DE"/>
              </w:rPr>
              <w:t>60</w:t>
            </w:r>
            <w:r w:rsidR="00EE2CD5" w:rsidRPr="004B0EC7">
              <w:rPr>
                <w:rFonts w:ascii="Times New Roman" w:hAnsi="Times New Roman"/>
                <w:sz w:val="24"/>
                <w:lang w:eastAsia="de-DE"/>
              </w:rPr>
              <w:t>1</w:t>
            </w:r>
            <w:r w:rsidRPr="004B0EC7">
              <w:rPr>
                <w:rFonts w:ascii="Times New Roman" w:hAnsi="Times New Roman"/>
                <w:sz w:val="24"/>
                <w:lang w:eastAsia="de-DE"/>
              </w:rPr>
              <w:t xml:space="preserve"> of template MKR </w:t>
            </w:r>
            <w:r w:rsidR="00617624" w:rsidRPr="004B0EC7">
              <w:rPr>
                <w:rFonts w:ascii="Times New Roman" w:hAnsi="Times New Roman"/>
                <w:sz w:val="24"/>
                <w:lang w:eastAsia="de-DE"/>
              </w:rPr>
              <w:t>S</w:t>
            </w:r>
            <w:r w:rsidRPr="004B0EC7">
              <w:rPr>
                <w:rFonts w:ascii="Times New Roman" w:hAnsi="Times New Roman"/>
                <w:sz w:val="24"/>
                <w:lang w:eastAsia="de-DE"/>
              </w:rPr>
              <w:t xml:space="preserve">SA SEC. </w:t>
            </w:r>
            <w:r w:rsidR="00F41508" w:rsidRPr="004B0EC7">
              <w:rPr>
                <w:rFonts w:ascii="Times New Roman" w:hAnsi="Times New Roman"/>
                <w:sz w:val="24"/>
                <w:lang w:eastAsia="de-DE"/>
              </w:rPr>
              <w:t xml:space="preserve">Those total own funds requirements </w:t>
            </w:r>
            <w:r w:rsidR="00C93697" w:rsidRPr="004B0EC7">
              <w:rPr>
                <w:rFonts w:ascii="Times New Roman" w:hAnsi="Times New Roman"/>
                <w:sz w:val="24"/>
                <w:lang w:eastAsia="de-DE"/>
              </w:rPr>
              <w:t>shall</w:t>
            </w:r>
            <w:r w:rsidRPr="004B0EC7">
              <w:rPr>
                <w:rFonts w:ascii="Times New Roman" w:hAnsi="Times New Roman"/>
                <w:sz w:val="24"/>
                <w:lang w:eastAsia="de-DE"/>
              </w:rPr>
              <w:t xml:space="preserve"> only be reported on Total level of the MKR </w:t>
            </w:r>
            <w:r w:rsidR="00617624" w:rsidRPr="004B0EC7">
              <w:rPr>
                <w:rFonts w:ascii="Times New Roman" w:hAnsi="Times New Roman"/>
                <w:sz w:val="24"/>
                <w:lang w:eastAsia="de-DE"/>
              </w:rPr>
              <w:t>S</w:t>
            </w:r>
            <w:r w:rsidRPr="004B0EC7">
              <w:rPr>
                <w:rFonts w:ascii="Times New Roman" w:hAnsi="Times New Roman"/>
                <w:sz w:val="24"/>
                <w:lang w:eastAsia="de-DE"/>
              </w:rPr>
              <w:t>SA TDI.</w:t>
            </w:r>
          </w:p>
        </w:tc>
      </w:tr>
      <w:tr w:rsidR="000B0B09" w:rsidRPr="004B0EC7" w14:paraId="55688787" w14:textId="77777777" w:rsidTr="00672D2A">
        <w:tc>
          <w:tcPr>
            <w:tcW w:w="987" w:type="dxa"/>
          </w:tcPr>
          <w:p w14:paraId="74C28C83" w14:textId="77777777" w:rsidR="000B0B09" w:rsidRPr="004B0EC7" w:rsidDel="00F27BD6" w:rsidRDefault="00EE2CD5"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330</w:t>
            </w:r>
          </w:p>
        </w:tc>
        <w:tc>
          <w:tcPr>
            <w:tcW w:w="7875" w:type="dxa"/>
          </w:tcPr>
          <w:p w14:paraId="66957FAA"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Own funds requirement for the correlation trading portfolio</w:t>
            </w:r>
          </w:p>
          <w:p w14:paraId="104F8330" w14:textId="55BA6B97" w:rsidR="00722A10" w:rsidRPr="004B0EC7" w:rsidDel="00F27BD6" w:rsidRDefault="000B0B09" w:rsidP="0002267E">
            <w:pPr>
              <w:rPr>
                <w:rFonts w:ascii="Times New Roman" w:hAnsi="Times New Roman"/>
                <w:b/>
                <w:bCs/>
                <w:sz w:val="24"/>
                <w:u w:val="single"/>
                <w:lang w:eastAsia="nl-BE"/>
              </w:rPr>
            </w:pPr>
            <w:r w:rsidRPr="004B0EC7">
              <w:rPr>
                <w:rFonts w:ascii="Times New Roman" w:hAnsi="Times New Roman"/>
                <w:sz w:val="24"/>
                <w:lang w:eastAsia="de-DE"/>
              </w:rPr>
              <w:t xml:space="preserve">Total own funds requirements reported in column </w:t>
            </w:r>
            <w:r w:rsidR="00EE2CD5" w:rsidRPr="004B0EC7">
              <w:rPr>
                <w:rFonts w:ascii="Times New Roman" w:hAnsi="Times New Roman"/>
                <w:sz w:val="24"/>
                <w:lang w:eastAsia="de-DE"/>
              </w:rPr>
              <w:t>0</w:t>
            </w:r>
            <w:r w:rsidRPr="004B0EC7">
              <w:rPr>
                <w:rFonts w:ascii="Times New Roman" w:hAnsi="Times New Roman"/>
                <w:sz w:val="24"/>
                <w:lang w:eastAsia="de-DE"/>
              </w:rPr>
              <w:t xml:space="preserve">450 of template MKR </w:t>
            </w:r>
            <w:r w:rsidR="00617624" w:rsidRPr="004B0EC7">
              <w:rPr>
                <w:rFonts w:ascii="Times New Roman" w:hAnsi="Times New Roman"/>
                <w:sz w:val="24"/>
                <w:lang w:eastAsia="de-DE"/>
              </w:rPr>
              <w:t>S</w:t>
            </w:r>
            <w:r w:rsidRPr="004B0EC7">
              <w:rPr>
                <w:rFonts w:ascii="Times New Roman" w:hAnsi="Times New Roman"/>
                <w:sz w:val="24"/>
                <w:lang w:eastAsia="de-DE"/>
              </w:rPr>
              <w:t xml:space="preserve">SA CTP. </w:t>
            </w:r>
            <w:r w:rsidR="00F41508" w:rsidRPr="004B0EC7">
              <w:rPr>
                <w:rFonts w:ascii="Times New Roman" w:hAnsi="Times New Roman"/>
                <w:sz w:val="24"/>
                <w:lang w:eastAsia="de-DE"/>
              </w:rPr>
              <w:t xml:space="preserve">Those total own funds requirements </w:t>
            </w:r>
            <w:r w:rsidR="00C93697" w:rsidRPr="004B0EC7">
              <w:rPr>
                <w:rFonts w:ascii="Times New Roman" w:hAnsi="Times New Roman"/>
                <w:sz w:val="24"/>
                <w:lang w:eastAsia="de-DE"/>
              </w:rPr>
              <w:t>shall</w:t>
            </w:r>
            <w:r w:rsidRPr="004B0EC7">
              <w:rPr>
                <w:rFonts w:ascii="Times New Roman" w:hAnsi="Times New Roman"/>
                <w:sz w:val="24"/>
                <w:lang w:eastAsia="de-DE"/>
              </w:rPr>
              <w:t xml:space="preserve"> only be reported on Total level of the MKR </w:t>
            </w:r>
            <w:r w:rsidR="00617624" w:rsidRPr="004B0EC7">
              <w:rPr>
                <w:rFonts w:ascii="Times New Roman" w:hAnsi="Times New Roman"/>
                <w:sz w:val="24"/>
                <w:lang w:eastAsia="de-DE"/>
              </w:rPr>
              <w:t>S</w:t>
            </w:r>
            <w:r w:rsidRPr="004B0EC7">
              <w:rPr>
                <w:rFonts w:ascii="Times New Roman" w:hAnsi="Times New Roman"/>
                <w:sz w:val="24"/>
                <w:lang w:eastAsia="de-DE"/>
              </w:rPr>
              <w:t>SA TDI.</w:t>
            </w:r>
          </w:p>
        </w:tc>
      </w:tr>
      <w:tr w:rsidR="000B0B09" w:rsidRPr="004B0EC7" w14:paraId="230D0723" w14:textId="77777777" w:rsidTr="00672D2A">
        <w:tc>
          <w:tcPr>
            <w:tcW w:w="987" w:type="dxa"/>
          </w:tcPr>
          <w:p w14:paraId="26241DA3" w14:textId="77777777" w:rsidR="000B0B09" w:rsidRPr="004B0EC7" w:rsidRDefault="00EE2CD5" w:rsidP="000F70EC">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350-</w:t>
            </w:r>
            <w:r w:rsidRPr="004B0EC7">
              <w:rPr>
                <w:rFonts w:ascii="Times New Roman" w:hAnsi="Times New Roman"/>
                <w:sz w:val="24"/>
                <w:lang w:eastAsia="nl-BE"/>
              </w:rPr>
              <w:t>0</w:t>
            </w:r>
            <w:r w:rsidR="000B0B09" w:rsidRPr="004B0EC7">
              <w:rPr>
                <w:rFonts w:ascii="Times New Roman" w:hAnsi="Times New Roman"/>
                <w:sz w:val="24"/>
                <w:lang w:eastAsia="nl-BE"/>
              </w:rPr>
              <w:t>390</w:t>
            </w:r>
          </w:p>
        </w:tc>
        <w:tc>
          <w:tcPr>
            <w:tcW w:w="7875" w:type="dxa"/>
          </w:tcPr>
          <w:p w14:paraId="5291B6A7" w14:textId="77777777" w:rsidR="000B0B09" w:rsidRPr="004B0EC7" w:rsidRDefault="000B0B09" w:rsidP="000B0B09">
            <w:pPr>
              <w:autoSpaceDE w:val="0"/>
              <w:autoSpaceDN w:val="0"/>
              <w:adjustRightInd w:val="0"/>
              <w:spacing w:before="0" w:after="0"/>
              <w:rPr>
                <w:rStyle w:val="InstructionsTabelleberschrift"/>
                <w:rFonts w:ascii="Times New Roman" w:hAnsi="Times New Roman"/>
                <w:sz w:val="24"/>
              </w:rPr>
            </w:pPr>
            <w:r w:rsidRPr="004B0EC7">
              <w:rPr>
                <w:rStyle w:val="InstructionsTabelleberschrift"/>
                <w:rFonts w:ascii="Times New Roman" w:hAnsi="Times New Roman"/>
                <w:sz w:val="24"/>
              </w:rPr>
              <w:t xml:space="preserve">ADDITIONAL REQUIREMENTS FOR OPTIONS (NON-DELTA RISKS) </w:t>
            </w:r>
          </w:p>
          <w:p w14:paraId="3B19069A" w14:textId="2AE3D272" w:rsidR="000B0B09" w:rsidRPr="004B0EC7" w:rsidRDefault="000B0B09" w:rsidP="00BD2FE7">
            <w:pPr>
              <w:rPr>
                <w:rFonts w:ascii="Times New Roman" w:hAnsi="Times New Roman"/>
                <w:sz w:val="24"/>
                <w:lang w:eastAsia="de-DE"/>
              </w:rPr>
            </w:pPr>
            <w:r w:rsidRPr="004B0EC7">
              <w:rPr>
                <w:rFonts w:ascii="Times New Roman" w:hAnsi="Times New Roman"/>
                <w:sz w:val="24"/>
                <w:lang w:eastAsia="de-DE"/>
              </w:rPr>
              <w:t xml:space="preserve">Article 329(3) </w:t>
            </w:r>
            <w:r w:rsidR="007062FD" w:rsidRPr="004B0EC7">
              <w:rPr>
                <w:rFonts w:ascii="Times New Roman" w:hAnsi="Times New Roman"/>
                <w:sz w:val="24"/>
                <w:lang w:val="en-US"/>
              </w:rPr>
              <w:t>of Regulation (EU) No 575/2013</w:t>
            </w:r>
            <w:r w:rsidRPr="004B0EC7">
              <w:rPr>
                <w:rFonts w:ascii="Times New Roman" w:hAnsi="Times New Roman"/>
                <w:sz w:val="24"/>
                <w:lang w:eastAsia="de-DE"/>
              </w:rPr>
              <w:t>.</w:t>
            </w:r>
          </w:p>
          <w:p w14:paraId="4A1F04EE" w14:textId="77777777" w:rsidR="000B0B09" w:rsidRPr="004B0EC7" w:rsidRDefault="000B0B09" w:rsidP="0002267E">
            <w:pPr>
              <w:rPr>
                <w:rFonts w:ascii="Times New Roman" w:hAnsi="Times New Roman"/>
                <w:bCs/>
                <w:sz w:val="24"/>
                <w:lang w:eastAsia="nl-BE"/>
              </w:rPr>
            </w:pPr>
            <w:r w:rsidRPr="004B0EC7">
              <w:rPr>
                <w:rFonts w:ascii="Times New Roman" w:hAnsi="Times New Roman"/>
                <w:sz w:val="24"/>
                <w:lang w:eastAsia="de-DE"/>
              </w:rPr>
              <w:t xml:space="preserve">The additional requirements for options related to non-delta risks shall be reported </w:t>
            </w:r>
            <w:r w:rsidR="001A741B" w:rsidRPr="004B0EC7">
              <w:rPr>
                <w:rFonts w:ascii="Times New Roman" w:hAnsi="Times New Roman"/>
                <w:sz w:val="24"/>
                <w:lang w:eastAsia="de-DE"/>
              </w:rPr>
              <w:t>broken down by the</w:t>
            </w:r>
            <w:r w:rsidRPr="004B0EC7">
              <w:rPr>
                <w:rFonts w:ascii="Times New Roman" w:hAnsi="Times New Roman"/>
                <w:sz w:val="24"/>
                <w:lang w:eastAsia="de-DE"/>
              </w:rPr>
              <w:t xml:space="preserve"> method used for </w:t>
            </w:r>
            <w:r w:rsidR="00DE73B4" w:rsidRPr="004B0EC7">
              <w:rPr>
                <w:rFonts w:ascii="Times New Roman" w:hAnsi="Times New Roman"/>
                <w:sz w:val="24"/>
                <w:lang w:eastAsia="de-DE"/>
              </w:rPr>
              <w:t>their</w:t>
            </w:r>
            <w:r w:rsidRPr="004B0EC7">
              <w:rPr>
                <w:rFonts w:ascii="Times New Roman" w:hAnsi="Times New Roman"/>
                <w:sz w:val="24"/>
                <w:lang w:eastAsia="de-DE"/>
              </w:rPr>
              <w:t xml:space="preserve"> calculation.</w:t>
            </w:r>
          </w:p>
        </w:tc>
      </w:tr>
    </w:tbl>
    <w:p w14:paraId="45D79A0A" w14:textId="77777777" w:rsidR="000B0B09" w:rsidRPr="004B0EC7" w:rsidRDefault="000B0B09" w:rsidP="000B0B09">
      <w:pPr>
        <w:autoSpaceDE w:val="0"/>
        <w:autoSpaceDN w:val="0"/>
        <w:adjustRightInd w:val="0"/>
        <w:spacing w:before="0" w:after="0"/>
        <w:rPr>
          <w:rFonts w:ascii="Times New Roman" w:hAnsi="Times New Roman"/>
          <w:bCs/>
          <w:sz w:val="24"/>
          <w:lang w:eastAsia="nl-BE"/>
        </w:rPr>
      </w:pPr>
    </w:p>
    <w:p w14:paraId="7B3D40AE" w14:textId="5C1D6A2C" w:rsidR="000B0B09" w:rsidRPr="004B0EC7" w:rsidRDefault="00125707" w:rsidP="0023700C">
      <w:pPr>
        <w:pStyle w:val="Instructionsberschrift2"/>
        <w:numPr>
          <w:ilvl w:val="0"/>
          <w:numId w:val="0"/>
        </w:numPr>
        <w:ind w:left="357" w:hanging="357"/>
        <w:rPr>
          <w:rFonts w:ascii="Times New Roman" w:hAnsi="Times New Roman" w:cs="Times New Roman"/>
          <w:sz w:val="24"/>
          <w:lang w:val="en-GB"/>
        </w:rPr>
      </w:pPr>
      <w:bookmarkStart w:id="40" w:name="_Toc294172370"/>
      <w:bookmarkStart w:id="41" w:name="_Toc295829999"/>
      <w:bookmarkStart w:id="42" w:name="_Toc308426676"/>
      <w:bookmarkStart w:id="43" w:name="_Toc310415060"/>
      <w:bookmarkStart w:id="44" w:name="_Toc360188395"/>
      <w:bookmarkStart w:id="45" w:name="_Toc473561035"/>
      <w:bookmarkStart w:id="46" w:name="_Toc151714489"/>
      <w:r w:rsidRPr="004B0EC7">
        <w:rPr>
          <w:rFonts w:ascii="Times New Roman" w:hAnsi="Times New Roman" w:cs="Times New Roman"/>
          <w:sz w:val="24"/>
          <w:u w:val="none"/>
          <w:lang w:val="en-GB"/>
        </w:rPr>
        <w:t>5.2.</w:t>
      </w:r>
      <w:r w:rsidRPr="004B0EC7">
        <w:rPr>
          <w:rFonts w:ascii="Times New Roman" w:hAnsi="Times New Roman" w:cs="Times New Roman"/>
          <w:sz w:val="24"/>
          <w:u w:val="none"/>
          <w:lang w:val="en-GB"/>
        </w:rPr>
        <w:tab/>
      </w:r>
      <w:r w:rsidR="008B73EE" w:rsidRPr="004B0EC7">
        <w:rPr>
          <w:rFonts w:ascii="Times New Roman" w:hAnsi="Times New Roman" w:cs="Times New Roman"/>
          <w:sz w:val="24"/>
          <w:lang w:val="en-GB"/>
        </w:rPr>
        <w:t>C 19.0</w:t>
      </w:r>
      <w:r w:rsidR="003D711A" w:rsidRPr="004B0EC7">
        <w:rPr>
          <w:rFonts w:ascii="Times New Roman" w:hAnsi="Times New Roman" w:cs="Times New Roman"/>
          <w:sz w:val="24"/>
          <w:lang w:val="en-GB"/>
        </w:rPr>
        <w:t>1</w:t>
      </w:r>
      <w:r w:rsidR="008B73EE" w:rsidRPr="004B0EC7">
        <w:rPr>
          <w:rFonts w:ascii="Times New Roman" w:hAnsi="Times New Roman" w:cs="Times New Roman"/>
          <w:sz w:val="24"/>
          <w:lang w:val="en-GB"/>
        </w:rPr>
        <w:t xml:space="preserve"> </w:t>
      </w:r>
      <w:r w:rsidR="00FD7683" w:rsidRPr="004B0EC7">
        <w:rPr>
          <w:rFonts w:ascii="Times New Roman" w:hAnsi="Times New Roman" w:cs="Times New Roman"/>
          <w:sz w:val="24"/>
          <w:lang w:val="en-GB"/>
        </w:rPr>
        <w:t>–</w:t>
      </w:r>
      <w:r w:rsidR="008B73EE" w:rsidRPr="004B0EC7">
        <w:rPr>
          <w:rFonts w:ascii="Times New Roman" w:hAnsi="Times New Roman" w:cs="Times New Roman"/>
          <w:sz w:val="24"/>
          <w:lang w:val="en-GB"/>
        </w:rPr>
        <w:t xml:space="preserve"> </w:t>
      </w:r>
      <w:r w:rsidR="000B0B09" w:rsidRPr="004B0EC7">
        <w:rPr>
          <w:rFonts w:ascii="Times New Roman" w:hAnsi="Times New Roman" w:cs="Times New Roman"/>
          <w:sz w:val="24"/>
          <w:lang w:val="en-GB"/>
        </w:rPr>
        <w:t>M</w:t>
      </w:r>
      <w:r w:rsidR="00FD7683" w:rsidRPr="004B0EC7">
        <w:rPr>
          <w:rFonts w:ascii="Times New Roman" w:hAnsi="Times New Roman" w:cs="Times New Roman"/>
          <w:sz w:val="24"/>
          <w:lang w:val="en-GB"/>
        </w:rPr>
        <w:t xml:space="preserve">arket </w:t>
      </w:r>
      <w:r w:rsidR="000B0B09" w:rsidRPr="004B0EC7">
        <w:rPr>
          <w:rFonts w:ascii="Times New Roman" w:hAnsi="Times New Roman" w:cs="Times New Roman"/>
          <w:sz w:val="24"/>
          <w:lang w:val="en-GB"/>
        </w:rPr>
        <w:t>R</w:t>
      </w:r>
      <w:r w:rsidR="00FD7683" w:rsidRPr="004B0EC7">
        <w:rPr>
          <w:rFonts w:ascii="Times New Roman" w:hAnsi="Times New Roman" w:cs="Times New Roman"/>
          <w:sz w:val="24"/>
          <w:lang w:val="en-GB"/>
        </w:rPr>
        <w:t>isk</w:t>
      </w:r>
      <w:r w:rsidR="000B0B09" w:rsidRPr="004B0EC7">
        <w:rPr>
          <w:rFonts w:ascii="Times New Roman" w:hAnsi="Times New Roman" w:cs="Times New Roman"/>
          <w:sz w:val="24"/>
          <w:lang w:val="en-GB"/>
        </w:rPr>
        <w:t xml:space="preserve">: </w:t>
      </w:r>
      <w:r w:rsidR="00FD7683" w:rsidRPr="004B0EC7">
        <w:rPr>
          <w:rFonts w:ascii="Times New Roman" w:hAnsi="Times New Roman" w:cs="Times New Roman"/>
          <w:sz w:val="24"/>
          <w:lang w:val="en-GB"/>
        </w:rPr>
        <w:t>Simplified Standardised Approach for specific risk in securitisations (</w:t>
      </w:r>
      <w:r w:rsidR="000B0B09" w:rsidRPr="004B0EC7">
        <w:rPr>
          <w:rFonts w:ascii="Times New Roman" w:hAnsi="Times New Roman" w:cs="Times New Roman"/>
          <w:sz w:val="24"/>
          <w:lang w:val="en-GB"/>
        </w:rPr>
        <w:t xml:space="preserve">MKR </w:t>
      </w:r>
      <w:r w:rsidR="00FD7683" w:rsidRPr="004B0EC7">
        <w:rPr>
          <w:rFonts w:ascii="Times New Roman" w:hAnsi="Times New Roman" w:cs="Times New Roman"/>
          <w:sz w:val="24"/>
          <w:lang w:val="en-GB"/>
        </w:rPr>
        <w:t>S</w:t>
      </w:r>
      <w:r w:rsidR="000B0B09" w:rsidRPr="004B0EC7">
        <w:rPr>
          <w:rFonts w:ascii="Times New Roman" w:hAnsi="Times New Roman" w:cs="Times New Roman"/>
          <w:sz w:val="24"/>
          <w:lang w:val="en-GB"/>
        </w:rPr>
        <w:t>SA SEC)</w:t>
      </w:r>
      <w:bookmarkEnd w:id="40"/>
      <w:bookmarkEnd w:id="41"/>
      <w:bookmarkEnd w:id="42"/>
      <w:bookmarkEnd w:id="43"/>
      <w:bookmarkEnd w:id="44"/>
      <w:bookmarkEnd w:id="45"/>
      <w:bookmarkEnd w:id="46"/>
    </w:p>
    <w:p w14:paraId="77E74540" w14:textId="77777777" w:rsidR="000B0B09" w:rsidRPr="004B0EC7" w:rsidRDefault="00125707" w:rsidP="0023700C">
      <w:pPr>
        <w:pStyle w:val="Instructionsberschrift2"/>
        <w:numPr>
          <w:ilvl w:val="0"/>
          <w:numId w:val="0"/>
        </w:numPr>
        <w:ind w:left="357" w:hanging="357"/>
        <w:rPr>
          <w:rFonts w:ascii="Times New Roman" w:hAnsi="Times New Roman" w:cs="Times New Roman"/>
          <w:sz w:val="24"/>
          <w:lang w:val="en-GB"/>
        </w:rPr>
      </w:pPr>
      <w:bookmarkStart w:id="47" w:name="_Toc294172371"/>
      <w:bookmarkStart w:id="48" w:name="_Toc295830000"/>
      <w:bookmarkStart w:id="49" w:name="_Toc308426677"/>
      <w:bookmarkStart w:id="50" w:name="_Toc310415061"/>
      <w:bookmarkStart w:id="51" w:name="_Toc360188396"/>
      <w:bookmarkStart w:id="52" w:name="_Toc473561036"/>
      <w:bookmarkStart w:id="53" w:name="_Toc151714490"/>
      <w:r w:rsidRPr="004B0EC7">
        <w:rPr>
          <w:rFonts w:ascii="Times New Roman" w:hAnsi="Times New Roman" w:cs="Times New Roman"/>
          <w:sz w:val="24"/>
          <w:u w:val="none"/>
          <w:lang w:val="en-GB"/>
        </w:rPr>
        <w:t>5.2.1.</w:t>
      </w:r>
      <w:r w:rsidRPr="004B0EC7">
        <w:rPr>
          <w:rFonts w:ascii="Times New Roman" w:hAnsi="Times New Roman" w:cs="Times New Roman"/>
          <w:sz w:val="24"/>
          <w:u w:val="none"/>
          <w:lang w:val="en-GB"/>
        </w:rPr>
        <w:tab/>
      </w:r>
      <w:r w:rsidR="000B0B09" w:rsidRPr="004B0EC7">
        <w:rPr>
          <w:rFonts w:ascii="Times New Roman" w:hAnsi="Times New Roman" w:cs="Times New Roman"/>
          <w:sz w:val="24"/>
          <w:lang w:val="en-GB"/>
        </w:rPr>
        <w:t>General Remarks</w:t>
      </w:r>
      <w:bookmarkEnd w:id="47"/>
      <w:bookmarkEnd w:id="48"/>
      <w:bookmarkEnd w:id="49"/>
      <w:bookmarkEnd w:id="50"/>
      <w:bookmarkEnd w:id="51"/>
      <w:bookmarkEnd w:id="52"/>
      <w:bookmarkEnd w:id="53"/>
    </w:p>
    <w:bookmarkStart w:id="54" w:name="_Toc294172372"/>
    <w:bookmarkStart w:id="55" w:name="_Toc295830001"/>
    <w:bookmarkStart w:id="56" w:name="_Toc308426678"/>
    <w:bookmarkStart w:id="57" w:name="_Toc310415062"/>
    <w:bookmarkStart w:id="58" w:name="_Toc360188397"/>
    <w:bookmarkStart w:id="59" w:name="_Toc473561037"/>
    <w:p w14:paraId="7E5893C5" w14:textId="3668646B" w:rsidR="00FC6275" w:rsidRPr="004B0EC7" w:rsidRDefault="00771068" w:rsidP="00660845">
      <w:pPr>
        <w:pStyle w:val="InstructionsText2"/>
        <w:numPr>
          <w:ilvl w:val="0"/>
          <w:numId w:val="0"/>
        </w:numPr>
        <w:ind w:left="993"/>
      </w:pPr>
      <w:r w:rsidRPr="004B0EC7">
        <w:fldChar w:fldCharType="begin"/>
      </w:r>
      <w:r w:rsidRPr="004B0EC7">
        <w:instrText xml:space="preserve"> seq paragraphs </w:instrText>
      </w:r>
      <w:r w:rsidRPr="004B0EC7">
        <w:fldChar w:fldCharType="separate"/>
      </w:r>
      <w:r w:rsidRPr="004B0EC7">
        <w:rPr>
          <w:noProof/>
        </w:rPr>
        <w:t>162</w:t>
      </w:r>
      <w:r w:rsidRPr="004B0EC7">
        <w:fldChar w:fldCharType="end"/>
      </w:r>
      <w:r w:rsidR="00FC6275" w:rsidRPr="004B0EC7">
        <w:t>.</w:t>
      </w:r>
      <w:r w:rsidR="00FC6275" w:rsidRPr="004B0EC7">
        <w:tab/>
      </w:r>
      <w:r w:rsidR="005C14B0" w:rsidRPr="004B0EC7">
        <w:t xml:space="preserve"> </w:t>
      </w:r>
      <w:r w:rsidR="00FC6275" w:rsidRPr="004B0EC7">
        <w:t xml:space="preserve">This template requests information on positions (all/net and long/short) and the related own funds requirements for the specific risk component of position risk in securitisations/ re-securitisations held in the trading book (not eligible for correlation trading portfolio) under the </w:t>
      </w:r>
      <w:r w:rsidR="00CA21CA" w:rsidRPr="004B0EC7">
        <w:t>Standardised Approach</w:t>
      </w:r>
      <w:r w:rsidR="00FC6275" w:rsidRPr="004B0EC7">
        <w:t xml:space="preserve">. </w:t>
      </w:r>
    </w:p>
    <w:p w14:paraId="2729DF95" w14:textId="73D4DCFE" w:rsidR="00FC6275" w:rsidRPr="004B0EC7" w:rsidRDefault="008F3052" w:rsidP="00660845">
      <w:pPr>
        <w:pStyle w:val="InstructionsText2"/>
        <w:numPr>
          <w:ilvl w:val="0"/>
          <w:numId w:val="0"/>
        </w:numPr>
        <w:ind w:left="993"/>
      </w:pPr>
      <w:r w:rsidRPr="004B0EC7">
        <w:fldChar w:fldCharType="begin"/>
      </w:r>
      <w:r w:rsidRPr="004B0EC7">
        <w:instrText>seq paragraphs</w:instrText>
      </w:r>
      <w:r w:rsidRPr="004B0EC7">
        <w:fldChar w:fldCharType="separate"/>
      </w:r>
      <w:r w:rsidR="00771068" w:rsidRPr="004B0EC7">
        <w:rPr>
          <w:noProof/>
        </w:rPr>
        <w:t>163</w:t>
      </w:r>
      <w:r w:rsidRPr="004B0EC7">
        <w:fldChar w:fldCharType="end"/>
      </w:r>
      <w:r w:rsidR="00FC6275" w:rsidRPr="004B0EC7">
        <w:t>.</w:t>
      </w:r>
      <w:r w:rsidR="00FC6275" w:rsidRPr="004B0EC7">
        <w:tab/>
      </w:r>
      <w:r w:rsidR="005C14B0" w:rsidRPr="004B0EC7">
        <w:t xml:space="preserve"> </w:t>
      </w:r>
      <w:r w:rsidR="00FC6275" w:rsidRPr="004B0EC7">
        <w:t xml:space="preserve">The MKR </w:t>
      </w:r>
      <w:r w:rsidR="00617624" w:rsidRPr="004B0EC7">
        <w:t>S</w:t>
      </w:r>
      <w:r w:rsidR="00FC6275" w:rsidRPr="004B0EC7">
        <w:t xml:space="preserve">SA SEC template </w:t>
      </w:r>
      <w:r w:rsidR="00770D40" w:rsidRPr="004B0EC7">
        <w:t xml:space="preserve">presents </w:t>
      </w:r>
      <w:r w:rsidR="00FC6275" w:rsidRPr="004B0EC7">
        <w:t xml:space="preserve">the own funds requirement only for the specific risk of securitisation positions </w:t>
      </w:r>
      <w:r w:rsidR="00BB22D4" w:rsidRPr="004B0EC7">
        <w:t>in accordance with</w:t>
      </w:r>
      <w:r w:rsidR="00FC6275" w:rsidRPr="004B0EC7">
        <w:t xml:space="preserve"> Article 335 </w:t>
      </w:r>
      <w:r w:rsidR="007062FD" w:rsidRPr="004B0EC7">
        <w:rPr>
          <w:lang w:val="en-US"/>
        </w:rPr>
        <w:t>of Regulation (EU) No 575/2013</w:t>
      </w:r>
      <w:r w:rsidR="00532026" w:rsidRPr="004B0EC7">
        <w:t xml:space="preserve"> </w:t>
      </w:r>
      <w:r w:rsidR="00FC6275" w:rsidRPr="004B0EC7">
        <w:t xml:space="preserve">in connection with 337 </w:t>
      </w:r>
      <w:r w:rsidR="007062FD" w:rsidRPr="004B0EC7">
        <w:rPr>
          <w:lang w:val="en-US"/>
        </w:rPr>
        <w:t>of that Regulation</w:t>
      </w:r>
      <w:r w:rsidR="00FC6275" w:rsidRPr="004B0EC7">
        <w:t xml:space="preserve">. </w:t>
      </w:r>
      <w:r w:rsidR="00532026" w:rsidRPr="004B0EC7">
        <w:t>Where</w:t>
      </w:r>
      <w:r w:rsidR="00FC6275" w:rsidRPr="004B0EC7">
        <w:t xml:space="preserve"> securitisation positions of the trading book are hedged by credit derivatives, Articles 346 and 347 </w:t>
      </w:r>
      <w:r w:rsidR="007062FD" w:rsidRPr="004B0EC7">
        <w:rPr>
          <w:lang w:val="en-US"/>
        </w:rPr>
        <w:t>of Regulation (EU) No 575/2013</w:t>
      </w:r>
      <w:r w:rsidR="00FC6275" w:rsidRPr="004B0EC7">
        <w:t xml:space="preserve"> apply. There is only one template for all positions of the trading book, irrespective of the </w:t>
      </w:r>
      <w:r w:rsidR="00664361" w:rsidRPr="004B0EC7">
        <w:t>a</w:t>
      </w:r>
      <w:r w:rsidR="00FC6275" w:rsidRPr="004B0EC7">
        <w:t xml:space="preserve">pproach </w:t>
      </w:r>
      <w:r w:rsidR="00664361" w:rsidRPr="004B0EC7">
        <w:t xml:space="preserve">institutions apply </w:t>
      </w:r>
      <w:r w:rsidR="00FC6275" w:rsidRPr="004B0EC7">
        <w:t xml:space="preserve">to determine the risk weight for each of the positions </w:t>
      </w:r>
      <w:r w:rsidR="00BB22D4" w:rsidRPr="004B0EC7">
        <w:t>in accordance with</w:t>
      </w:r>
      <w:r w:rsidR="00FC6275" w:rsidRPr="004B0EC7">
        <w:t xml:space="preserve"> Part Three</w:t>
      </w:r>
      <w:r w:rsidR="00F372AF" w:rsidRPr="004B0EC7">
        <w:t>,</w:t>
      </w:r>
      <w:r w:rsidR="00FC6275" w:rsidRPr="004B0EC7">
        <w:t xml:space="preserve"> </w:t>
      </w:r>
      <w:r w:rsidR="00F372AF" w:rsidRPr="004B0EC7">
        <w:t xml:space="preserve">Title II, Chapter 5 </w:t>
      </w:r>
      <w:r w:rsidR="007062FD" w:rsidRPr="004B0EC7">
        <w:rPr>
          <w:lang w:val="en-US"/>
        </w:rPr>
        <w:t>of Regulation (EU) No 575/2013</w:t>
      </w:r>
      <w:r w:rsidR="00FC6275" w:rsidRPr="004B0EC7">
        <w:t>. The own funds requirements of the general risk of th</w:t>
      </w:r>
      <w:r w:rsidR="00532026" w:rsidRPr="004B0EC7">
        <w:t>o</w:t>
      </w:r>
      <w:r w:rsidR="00FC6275" w:rsidRPr="004B0EC7">
        <w:t xml:space="preserve">se positions </w:t>
      </w:r>
      <w:r w:rsidR="00532026" w:rsidRPr="004B0EC7">
        <w:t>shall be</w:t>
      </w:r>
      <w:r w:rsidR="00FC6275" w:rsidRPr="004B0EC7">
        <w:t xml:space="preserve"> </w:t>
      </w:r>
      <w:r w:rsidR="00770D40" w:rsidRPr="004B0EC7">
        <w:t xml:space="preserve">reported </w:t>
      </w:r>
      <w:r w:rsidR="00FC6275" w:rsidRPr="004B0EC7">
        <w:t xml:space="preserve">in the MKR </w:t>
      </w:r>
      <w:r w:rsidR="00617624" w:rsidRPr="004B0EC7">
        <w:t>S</w:t>
      </w:r>
      <w:r w:rsidR="00FC6275" w:rsidRPr="004B0EC7">
        <w:t>SA TDI or the MKR IM template.</w:t>
      </w:r>
    </w:p>
    <w:p w14:paraId="0C732A14" w14:textId="7B6E3BDD" w:rsidR="00FC6275" w:rsidRPr="004B0EC7" w:rsidRDefault="008F3052" w:rsidP="00660845">
      <w:pPr>
        <w:pStyle w:val="InstructionsText2"/>
        <w:numPr>
          <w:ilvl w:val="0"/>
          <w:numId w:val="0"/>
        </w:numPr>
        <w:ind w:left="993"/>
      </w:pPr>
      <w:r w:rsidRPr="004B0EC7">
        <w:fldChar w:fldCharType="begin"/>
      </w:r>
      <w:r w:rsidRPr="004B0EC7">
        <w:instrText>seq paragraphs</w:instrText>
      </w:r>
      <w:r w:rsidRPr="004B0EC7">
        <w:fldChar w:fldCharType="separate"/>
      </w:r>
      <w:r w:rsidR="00771068" w:rsidRPr="004B0EC7">
        <w:rPr>
          <w:noProof/>
        </w:rPr>
        <w:t>164</w:t>
      </w:r>
      <w:r w:rsidRPr="004B0EC7">
        <w:fldChar w:fldCharType="end"/>
      </w:r>
      <w:r w:rsidR="00FC6275" w:rsidRPr="004B0EC7">
        <w:t>.</w:t>
      </w:r>
      <w:r w:rsidR="005C14B0" w:rsidRPr="004B0EC7">
        <w:t xml:space="preserve"> </w:t>
      </w:r>
      <w:r w:rsidR="00FC6275" w:rsidRPr="004B0EC7">
        <w:t>Positions which receive a risk weight of 1</w:t>
      </w:r>
      <w:r w:rsidR="006A66C9" w:rsidRPr="004B0EC7">
        <w:t xml:space="preserve"> </w:t>
      </w:r>
      <w:r w:rsidR="00FC6275" w:rsidRPr="004B0EC7">
        <w:t>250</w:t>
      </w:r>
      <w:r w:rsidR="00B856D5" w:rsidRPr="004B0EC7">
        <w:t> </w:t>
      </w:r>
      <w:r w:rsidR="00FC6275" w:rsidRPr="004B0EC7">
        <w:t>% can alternatively be deducted from CET1 (see Article 244(1)</w:t>
      </w:r>
      <w:r w:rsidR="00B83DDE" w:rsidRPr="004B0EC7">
        <w:t>, p</w:t>
      </w:r>
      <w:r w:rsidR="00D24331" w:rsidRPr="004B0EC7">
        <w:t xml:space="preserve">oint (b), </w:t>
      </w:r>
      <w:r w:rsidR="00705025" w:rsidRPr="004B0EC7">
        <w:t xml:space="preserve">Article </w:t>
      </w:r>
      <w:r w:rsidR="00FC6275" w:rsidRPr="004B0EC7">
        <w:t>245(1)</w:t>
      </w:r>
      <w:r w:rsidR="00B83DDE" w:rsidRPr="004B0EC7">
        <w:t>, p</w:t>
      </w:r>
      <w:r w:rsidR="00D24331" w:rsidRPr="004B0EC7">
        <w:t xml:space="preserve">oint (b), </w:t>
      </w:r>
      <w:r w:rsidR="00FC6275" w:rsidRPr="004B0EC7">
        <w:t xml:space="preserve">and </w:t>
      </w:r>
      <w:r w:rsidR="00705025" w:rsidRPr="004B0EC7">
        <w:t xml:space="preserve">Article </w:t>
      </w:r>
      <w:r w:rsidR="00FC6275" w:rsidRPr="004B0EC7">
        <w:t xml:space="preserve">253 </w:t>
      </w:r>
      <w:r w:rsidR="007062FD" w:rsidRPr="004B0EC7">
        <w:rPr>
          <w:lang w:val="en-US"/>
        </w:rPr>
        <w:t>of Regulation (EU) No 575/2013</w:t>
      </w:r>
      <w:r w:rsidR="00FC6275" w:rsidRPr="004B0EC7">
        <w:t xml:space="preserve">). </w:t>
      </w:r>
      <w:r w:rsidR="00532026" w:rsidRPr="004B0EC7">
        <w:t>Where</w:t>
      </w:r>
      <w:r w:rsidR="00FC6275" w:rsidRPr="004B0EC7">
        <w:t xml:space="preserve"> this is the case, those positions have to be reported in row </w:t>
      </w:r>
      <w:r w:rsidR="00EE2CD5" w:rsidRPr="004B0EC7">
        <w:t>0</w:t>
      </w:r>
      <w:r w:rsidR="00FC6275" w:rsidRPr="004B0EC7">
        <w:t>460 of CA1.</w:t>
      </w:r>
    </w:p>
    <w:p w14:paraId="3921F7AA" w14:textId="56C18CF3" w:rsidR="000B0B09" w:rsidRPr="004B0EC7" w:rsidRDefault="00125707" w:rsidP="0023700C">
      <w:pPr>
        <w:pStyle w:val="Instructionsberschrift2"/>
        <w:numPr>
          <w:ilvl w:val="0"/>
          <w:numId w:val="0"/>
        </w:numPr>
        <w:ind w:left="357" w:hanging="357"/>
        <w:rPr>
          <w:rFonts w:ascii="Times New Roman" w:hAnsi="Times New Roman" w:cs="Times New Roman"/>
          <w:sz w:val="24"/>
          <w:lang w:val="en-GB"/>
        </w:rPr>
      </w:pPr>
      <w:bookmarkStart w:id="60" w:name="_Toc151714491"/>
      <w:r w:rsidRPr="004B0EC7">
        <w:rPr>
          <w:rFonts w:ascii="Times New Roman" w:hAnsi="Times New Roman" w:cs="Times New Roman"/>
          <w:sz w:val="24"/>
          <w:u w:val="none"/>
          <w:lang w:val="en-GB"/>
        </w:rPr>
        <w:lastRenderedPageBreak/>
        <w:t>5.2.2.</w:t>
      </w:r>
      <w:r w:rsidRPr="004B0EC7">
        <w:rPr>
          <w:rFonts w:ascii="Times New Roman" w:hAnsi="Times New Roman" w:cs="Times New Roman"/>
          <w:sz w:val="24"/>
          <w:u w:val="none"/>
          <w:lang w:val="en-GB"/>
        </w:rPr>
        <w:tab/>
      </w:r>
      <w:r w:rsidR="000B0B09" w:rsidRPr="004B0EC7">
        <w:rPr>
          <w:rFonts w:ascii="Times New Roman" w:hAnsi="Times New Roman" w:cs="Times New Roman"/>
          <w:sz w:val="24"/>
          <w:lang w:val="en-GB"/>
        </w:rPr>
        <w:t>Instructions concerning specific positions</w:t>
      </w:r>
      <w:bookmarkEnd w:id="54"/>
      <w:bookmarkEnd w:id="55"/>
      <w:bookmarkEnd w:id="56"/>
      <w:bookmarkEnd w:id="57"/>
      <w:bookmarkEnd w:id="58"/>
      <w:bookmarkEnd w:id="59"/>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605"/>
      </w:tblGrid>
      <w:tr w:rsidR="00C55547" w:rsidRPr="004B0EC7" w14:paraId="5FAA1DCA" w14:textId="77777777" w:rsidTr="00E10B85">
        <w:trPr>
          <w:trHeight w:val="631"/>
        </w:trPr>
        <w:tc>
          <w:tcPr>
            <w:tcW w:w="9018" w:type="dxa"/>
            <w:gridSpan w:val="2"/>
            <w:shd w:val="clear" w:color="auto" w:fill="CCCCCC"/>
          </w:tcPr>
          <w:p w14:paraId="672709A6" w14:textId="77777777" w:rsidR="00C55547" w:rsidRPr="004B0EC7" w:rsidRDefault="00C55547" w:rsidP="00E10B85">
            <w:pPr>
              <w:autoSpaceDE w:val="0"/>
              <w:autoSpaceDN w:val="0"/>
              <w:adjustRightInd w:val="0"/>
              <w:spacing w:after="0"/>
              <w:rPr>
                <w:rFonts w:ascii="Times New Roman" w:hAnsi="Times New Roman"/>
                <w:b/>
                <w:sz w:val="24"/>
                <w:lang w:eastAsia="nl-BE"/>
              </w:rPr>
            </w:pPr>
            <w:r w:rsidRPr="004B0EC7">
              <w:rPr>
                <w:rFonts w:ascii="Times New Roman" w:hAnsi="Times New Roman"/>
                <w:b/>
                <w:sz w:val="24"/>
                <w:lang w:eastAsia="nl-BE"/>
              </w:rPr>
              <w:t>Columns</w:t>
            </w:r>
          </w:p>
        </w:tc>
      </w:tr>
      <w:tr w:rsidR="00C55547" w:rsidRPr="004B0EC7" w14:paraId="25DD94D3" w14:textId="77777777" w:rsidTr="000911FE">
        <w:tc>
          <w:tcPr>
            <w:tcW w:w="1413" w:type="dxa"/>
          </w:tcPr>
          <w:p w14:paraId="1C45AB39" w14:textId="77777777" w:rsidR="00C55547" w:rsidRPr="004B0EC7" w:rsidRDefault="00EE2CD5" w:rsidP="00E10B85">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C55547" w:rsidRPr="004B0EC7">
              <w:rPr>
                <w:rFonts w:ascii="Times New Roman" w:hAnsi="Times New Roman"/>
                <w:sz w:val="24"/>
                <w:lang w:eastAsia="nl-BE"/>
              </w:rPr>
              <w:t>010-</w:t>
            </w:r>
            <w:r w:rsidRPr="004B0EC7">
              <w:rPr>
                <w:rFonts w:ascii="Times New Roman" w:hAnsi="Times New Roman"/>
                <w:sz w:val="24"/>
                <w:lang w:eastAsia="nl-BE"/>
              </w:rPr>
              <w:t>0</w:t>
            </w:r>
            <w:r w:rsidR="00C55547" w:rsidRPr="004B0EC7">
              <w:rPr>
                <w:rFonts w:ascii="Times New Roman" w:hAnsi="Times New Roman"/>
                <w:sz w:val="24"/>
                <w:lang w:eastAsia="nl-BE"/>
              </w:rPr>
              <w:t>020</w:t>
            </w:r>
          </w:p>
        </w:tc>
        <w:tc>
          <w:tcPr>
            <w:tcW w:w="7605" w:type="dxa"/>
          </w:tcPr>
          <w:p w14:paraId="37C65F35" w14:textId="77777777" w:rsidR="00C55547" w:rsidRPr="004B0EC7" w:rsidRDefault="00C55547" w:rsidP="00E10B85">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ALL POSITIONS (LONG AND SHORT)</w:t>
            </w:r>
          </w:p>
          <w:p w14:paraId="503F4241" w14:textId="5A1E85D7" w:rsidR="00C55547" w:rsidRPr="004B0EC7" w:rsidRDefault="00C55547" w:rsidP="007062FD">
            <w:pPr>
              <w:rPr>
                <w:rFonts w:ascii="Times New Roman" w:hAnsi="Times New Roman"/>
                <w:sz w:val="24"/>
                <w:lang w:eastAsia="nl-BE"/>
              </w:rPr>
            </w:pPr>
            <w:r w:rsidRPr="004B0EC7">
              <w:rPr>
                <w:rFonts w:ascii="Times New Roman" w:hAnsi="Times New Roman"/>
                <w:sz w:val="24"/>
                <w:lang w:eastAsia="de-DE"/>
              </w:rPr>
              <w:t>Article</w:t>
            </w:r>
            <w:r w:rsidRPr="004B0EC7">
              <w:rPr>
                <w:rStyle w:val="InstructionsTabelleText"/>
                <w:rFonts w:ascii="Times New Roman" w:hAnsi="Times New Roman"/>
                <w:sz w:val="24"/>
              </w:rPr>
              <w:t xml:space="preserve"> 102 and </w:t>
            </w:r>
            <w:r w:rsidR="008241B9" w:rsidRPr="004B0EC7">
              <w:rPr>
                <w:rStyle w:val="InstructionsTabelleText"/>
                <w:rFonts w:ascii="Times New Roman" w:hAnsi="Times New Roman"/>
                <w:sz w:val="24"/>
              </w:rPr>
              <w:t xml:space="preserve">Article </w:t>
            </w:r>
            <w:r w:rsidRPr="004B0EC7">
              <w:rPr>
                <w:rStyle w:val="InstructionsTabelleText"/>
                <w:rFonts w:ascii="Times New Roman" w:hAnsi="Times New Roman"/>
                <w:sz w:val="24"/>
              </w:rPr>
              <w:t xml:space="preserve">105(1) </w:t>
            </w:r>
            <w:r w:rsidR="007062FD" w:rsidRPr="004B0EC7">
              <w:rPr>
                <w:rFonts w:ascii="Times New Roman" w:hAnsi="Times New Roman"/>
                <w:sz w:val="24"/>
                <w:lang w:val="en-US"/>
              </w:rPr>
              <w:t>of Regulation (EU) No 575/2013</w:t>
            </w:r>
            <w:r w:rsidRPr="004B0EC7">
              <w:rPr>
                <w:rStyle w:val="InstructionsTabelleText"/>
                <w:rFonts w:ascii="Times New Roman" w:hAnsi="Times New Roman"/>
                <w:sz w:val="24"/>
              </w:rPr>
              <w:t xml:space="preserve"> in con</w:t>
            </w:r>
            <w:r w:rsidR="00E64BFE" w:rsidRPr="004B0EC7">
              <w:rPr>
                <w:rStyle w:val="InstructionsTabelleText"/>
                <w:rFonts w:ascii="Times New Roman" w:hAnsi="Times New Roman"/>
                <w:sz w:val="24"/>
              </w:rPr>
              <w:t xml:space="preserve">junction </w:t>
            </w:r>
            <w:r w:rsidRPr="004B0EC7">
              <w:rPr>
                <w:rStyle w:val="InstructionsTabelleText"/>
                <w:rFonts w:ascii="Times New Roman" w:hAnsi="Times New Roman"/>
                <w:sz w:val="24"/>
              </w:rPr>
              <w:t xml:space="preserve">with Article 337 </w:t>
            </w:r>
            <w:r w:rsidR="007062FD" w:rsidRPr="004B0EC7">
              <w:rPr>
                <w:rFonts w:ascii="Times New Roman" w:hAnsi="Times New Roman"/>
                <w:sz w:val="24"/>
                <w:lang w:val="en-US"/>
              </w:rPr>
              <w:t xml:space="preserve">of that Regulation </w:t>
            </w:r>
            <w:r w:rsidRPr="004B0EC7">
              <w:rPr>
                <w:rStyle w:val="InstructionsTabelleText"/>
                <w:rFonts w:ascii="Times New Roman" w:hAnsi="Times New Roman"/>
                <w:sz w:val="24"/>
              </w:rPr>
              <w:t>(securitisation positions). Regarding the distinction between Long and Short positions, also applicable to th</w:t>
            </w:r>
            <w:r w:rsidR="00532026" w:rsidRPr="004B0EC7">
              <w:rPr>
                <w:rStyle w:val="InstructionsTabelleText"/>
                <w:rFonts w:ascii="Times New Roman" w:hAnsi="Times New Roman"/>
                <w:sz w:val="24"/>
              </w:rPr>
              <w:t>o</w:t>
            </w:r>
            <w:r w:rsidRPr="004B0EC7">
              <w:rPr>
                <w:rStyle w:val="InstructionsTabelleText"/>
                <w:rFonts w:ascii="Times New Roman" w:hAnsi="Times New Roman"/>
                <w:sz w:val="24"/>
              </w:rPr>
              <w:t xml:space="preserve">se gross positions, see Article 328(2) </w:t>
            </w:r>
            <w:r w:rsidR="007062FD" w:rsidRPr="004B0EC7">
              <w:rPr>
                <w:rFonts w:ascii="Times New Roman" w:hAnsi="Times New Roman"/>
                <w:sz w:val="24"/>
                <w:lang w:val="en-US"/>
              </w:rPr>
              <w:t>of Regulation (EU) No 575/2013</w:t>
            </w:r>
            <w:r w:rsidRPr="004B0EC7">
              <w:rPr>
                <w:rStyle w:val="InstructionsTabelleText"/>
                <w:rFonts w:ascii="Times New Roman" w:hAnsi="Times New Roman"/>
                <w:sz w:val="24"/>
              </w:rPr>
              <w:t xml:space="preserve">. </w:t>
            </w:r>
          </w:p>
        </w:tc>
      </w:tr>
      <w:tr w:rsidR="00C55547" w:rsidRPr="004B0EC7" w14:paraId="22839602" w14:textId="77777777" w:rsidTr="000911FE">
        <w:tc>
          <w:tcPr>
            <w:tcW w:w="1413" w:type="dxa"/>
          </w:tcPr>
          <w:p w14:paraId="40A33AFE" w14:textId="77777777" w:rsidR="00C55547" w:rsidRPr="004B0EC7" w:rsidRDefault="00EE2CD5" w:rsidP="00E10B85">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C55547" w:rsidRPr="004B0EC7">
              <w:rPr>
                <w:rFonts w:ascii="Times New Roman" w:hAnsi="Times New Roman"/>
                <w:sz w:val="24"/>
                <w:lang w:eastAsia="nl-BE"/>
              </w:rPr>
              <w:t>030-</w:t>
            </w:r>
            <w:r w:rsidRPr="004B0EC7">
              <w:rPr>
                <w:rFonts w:ascii="Times New Roman" w:hAnsi="Times New Roman"/>
                <w:sz w:val="24"/>
                <w:lang w:eastAsia="nl-BE"/>
              </w:rPr>
              <w:t>0</w:t>
            </w:r>
            <w:r w:rsidR="00C55547" w:rsidRPr="004B0EC7">
              <w:rPr>
                <w:rFonts w:ascii="Times New Roman" w:hAnsi="Times New Roman"/>
                <w:sz w:val="24"/>
                <w:lang w:eastAsia="nl-BE"/>
              </w:rPr>
              <w:t>040</w:t>
            </w:r>
          </w:p>
        </w:tc>
        <w:tc>
          <w:tcPr>
            <w:tcW w:w="7605" w:type="dxa"/>
          </w:tcPr>
          <w:p w14:paraId="511B0208" w14:textId="77777777" w:rsidR="00C55547" w:rsidRPr="004B0EC7" w:rsidRDefault="00C55547" w:rsidP="00E10B85">
            <w:pPr>
              <w:rPr>
                <w:rStyle w:val="InstructionsTabelleberschrift"/>
                <w:rFonts w:ascii="Times New Roman" w:hAnsi="Times New Roman"/>
                <w:sz w:val="24"/>
              </w:rPr>
            </w:pPr>
            <w:r w:rsidRPr="004B0EC7">
              <w:rPr>
                <w:rStyle w:val="InstructionsTabelleberschrift"/>
                <w:rFonts w:ascii="Times New Roman" w:hAnsi="Times New Roman"/>
                <w:sz w:val="24"/>
              </w:rPr>
              <w:t>(-) POSITIONS DEDUCTED FROM OWN FUNDS</w:t>
            </w:r>
            <w:r w:rsidRPr="004B0EC7">
              <w:rPr>
                <w:rFonts w:ascii="Times New Roman" w:hAnsi="Times New Roman"/>
                <w:b/>
                <w:bCs/>
                <w:sz w:val="24"/>
                <w:u w:val="single"/>
                <w:lang w:eastAsia="nl-BE"/>
              </w:rPr>
              <w:t xml:space="preserve"> (LONG AND SHORT)</w:t>
            </w:r>
          </w:p>
          <w:p w14:paraId="1429CBFE" w14:textId="010B8175" w:rsidR="00C55547" w:rsidRPr="004B0EC7" w:rsidRDefault="00705025" w:rsidP="00D24331">
            <w:pPr>
              <w:rPr>
                <w:rStyle w:val="InstructionsTabelleText"/>
                <w:rFonts w:ascii="Times New Roman" w:hAnsi="Times New Roman"/>
                <w:sz w:val="24"/>
              </w:rPr>
            </w:pPr>
            <w:r w:rsidRPr="004B0EC7">
              <w:rPr>
                <w:rStyle w:val="InstructionsTabelleText"/>
                <w:rFonts w:ascii="Times New Roman" w:hAnsi="Times New Roman"/>
                <w:sz w:val="24"/>
              </w:rPr>
              <w:t xml:space="preserve"> Article 244(1)</w:t>
            </w:r>
            <w:r w:rsidR="00B83DDE" w:rsidRPr="004B0EC7">
              <w:rPr>
                <w:rStyle w:val="InstructionsTabelleText"/>
                <w:rFonts w:ascii="Times New Roman" w:hAnsi="Times New Roman"/>
                <w:sz w:val="24"/>
              </w:rPr>
              <w:t>, p</w:t>
            </w:r>
            <w:r w:rsidRPr="004B0EC7">
              <w:rPr>
                <w:rStyle w:val="InstructionsTabelleText"/>
                <w:rFonts w:ascii="Times New Roman" w:hAnsi="Times New Roman"/>
                <w:sz w:val="24"/>
              </w:rPr>
              <w:t>oint (b)</w:t>
            </w:r>
            <w:r w:rsidR="00D24331" w:rsidRPr="004B0EC7">
              <w:rPr>
                <w:rStyle w:val="InstructionsTabelleText"/>
                <w:rFonts w:ascii="Times New Roman" w:hAnsi="Times New Roman"/>
                <w:sz w:val="24"/>
              </w:rPr>
              <w:t>,</w:t>
            </w:r>
            <w:r w:rsidRPr="004B0EC7">
              <w:rPr>
                <w:rStyle w:val="InstructionsTabelleText"/>
                <w:rFonts w:ascii="Times New Roman" w:hAnsi="Times New Roman"/>
                <w:sz w:val="24"/>
              </w:rPr>
              <w:t>Article 245(1)</w:t>
            </w:r>
            <w:r w:rsidR="00B83DDE" w:rsidRPr="004B0EC7">
              <w:rPr>
                <w:rStyle w:val="InstructionsTabelleText"/>
                <w:rFonts w:ascii="Times New Roman" w:hAnsi="Times New Roman"/>
                <w:sz w:val="24"/>
              </w:rPr>
              <w:t>, p</w:t>
            </w:r>
            <w:r w:rsidR="00D24331" w:rsidRPr="004B0EC7">
              <w:rPr>
                <w:rStyle w:val="InstructionsTabelleText"/>
                <w:rFonts w:ascii="Times New Roman" w:hAnsi="Times New Roman"/>
                <w:sz w:val="24"/>
              </w:rPr>
              <w:t xml:space="preserve">oint (b) </w:t>
            </w:r>
            <w:r w:rsidRPr="004B0EC7">
              <w:rPr>
                <w:rStyle w:val="InstructionsTabelleText"/>
                <w:rFonts w:ascii="Times New Roman" w:hAnsi="Times New Roman"/>
                <w:sz w:val="24"/>
              </w:rPr>
              <w:t xml:space="preserve">and Article 253 </w:t>
            </w:r>
            <w:r w:rsidR="007062FD" w:rsidRPr="004B0EC7">
              <w:rPr>
                <w:rFonts w:ascii="Times New Roman" w:hAnsi="Times New Roman"/>
                <w:sz w:val="24"/>
                <w:lang w:val="en-US"/>
              </w:rPr>
              <w:t>of Regulation (EU) No 575/2013</w:t>
            </w:r>
          </w:p>
        </w:tc>
      </w:tr>
      <w:tr w:rsidR="00C55547" w:rsidRPr="004B0EC7" w14:paraId="16C58348" w14:textId="77777777" w:rsidTr="000911FE">
        <w:tc>
          <w:tcPr>
            <w:tcW w:w="1413" w:type="dxa"/>
          </w:tcPr>
          <w:p w14:paraId="2D1E9030" w14:textId="77777777" w:rsidR="00C55547" w:rsidRPr="004B0EC7" w:rsidRDefault="00EE2CD5" w:rsidP="00E10B85">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C55547" w:rsidRPr="004B0EC7">
              <w:rPr>
                <w:rFonts w:ascii="Times New Roman" w:hAnsi="Times New Roman"/>
                <w:sz w:val="24"/>
                <w:lang w:eastAsia="nl-BE"/>
              </w:rPr>
              <w:t>050-</w:t>
            </w:r>
            <w:r w:rsidRPr="004B0EC7">
              <w:rPr>
                <w:rFonts w:ascii="Times New Roman" w:hAnsi="Times New Roman"/>
                <w:sz w:val="24"/>
                <w:lang w:eastAsia="nl-BE"/>
              </w:rPr>
              <w:t>0</w:t>
            </w:r>
            <w:r w:rsidR="00C55547" w:rsidRPr="004B0EC7">
              <w:rPr>
                <w:rFonts w:ascii="Times New Roman" w:hAnsi="Times New Roman"/>
                <w:sz w:val="24"/>
                <w:lang w:eastAsia="nl-BE"/>
              </w:rPr>
              <w:t>060</w:t>
            </w:r>
          </w:p>
        </w:tc>
        <w:tc>
          <w:tcPr>
            <w:tcW w:w="7605" w:type="dxa"/>
          </w:tcPr>
          <w:p w14:paraId="088E4387" w14:textId="77777777" w:rsidR="00C55547" w:rsidRPr="004B0EC7" w:rsidRDefault="00C55547" w:rsidP="00E10B85">
            <w:pPr>
              <w:rPr>
                <w:rStyle w:val="InstructionsTabelleberschrift"/>
                <w:rFonts w:ascii="Times New Roman" w:hAnsi="Times New Roman"/>
                <w:sz w:val="24"/>
              </w:rPr>
            </w:pPr>
            <w:r w:rsidRPr="004B0EC7">
              <w:rPr>
                <w:rStyle w:val="InstructionsTabelleberschrift"/>
                <w:rFonts w:ascii="Times New Roman" w:hAnsi="Times New Roman"/>
                <w:sz w:val="24"/>
              </w:rPr>
              <w:t>NET POSITIONS</w:t>
            </w:r>
            <w:r w:rsidRPr="004B0EC7">
              <w:rPr>
                <w:rFonts w:ascii="Times New Roman" w:hAnsi="Times New Roman"/>
                <w:b/>
                <w:bCs/>
                <w:sz w:val="24"/>
                <w:u w:val="single"/>
                <w:lang w:eastAsia="nl-BE"/>
              </w:rPr>
              <w:t xml:space="preserve"> (LONG AND SHORT)</w:t>
            </w:r>
          </w:p>
          <w:p w14:paraId="54C14D76" w14:textId="7E4CA859" w:rsidR="00C55547" w:rsidRPr="004B0EC7" w:rsidRDefault="00C55547" w:rsidP="003073B2">
            <w:pPr>
              <w:rPr>
                <w:rStyle w:val="InstructionsTabelleText"/>
                <w:rFonts w:ascii="Times New Roman" w:hAnsi="Times New Roman"/>
                <w:sz w:val="24"/>
              </w:rPr>
            </w:pPr>
            <w:r w:rsidRPr="004B0EC7">
              <w:rPr>
                <w:rFonts w:ascii="Times New Roman" w:hAnsi="Times New Roman"/>
                <w:sz w:val="24"/>
                <w:lang w:eastAsia="de-DE"/>
              </w:rPr>
              <w:t>Articles</w:t>
            </w:r>
            <w:r w:rsidRPr="004B0EC7">
              <w:rPr>
                <w:rStyle w:val="InstructionsTabelleText"/>
                <w:rFonts w:ascii="Times New Roman" w:hAnsi="Times New Roman"/>
                <w:sz w:val="24"/>
              </w:rPr>
              <w:t xml:space="preserve"> 327</w:t>
            </w:r>
            <w:r w:rsidR="00532026" w:rsidRPr="004B0EC7">
              <w:rPr>
                <w:rStyle w:val="InstructionsTabelleText"/>
                <w:rFonts w:ascii="Times New Roman" w:hAnsi="Times New Roman"/>
                <w:sz w:val="24"/>
              </w:rPr>
              <w:t>, 328,</w:t>
            </w:r>
            <w:r w:rsidRPr="004B0EC7">
              <w:rPr>
                <w:rStyle w:val="InstructionsTabelleText"/>
                <w:rFonts w:ascii="Times New Roman" w:hAnsi="Times New Roman"/>
                <w:sz w:val="24"/>
              </w:rPr>
              <w:t xml:space="preserve"> 329 and 334 </w:t>
            </w:r>
            <w:r w:rsidR="007062FD" w:rsidRPr="004B0EC7">
              <w:rPr>
                <w:rFonts w:ascii="Times New Roman" w:hAnsi="Times New Roman"/>
                <w:sz w:val="24"/>
                <w:lang w:val="en-US"/>
              </w:rPr>
              <w:t>of Regulation (EU) No 575/2013</w:t>
            </w:r>
            <w:r w:rsidRPr="004B0EC7">
              <w:rPr>
                <w:rStyle w:val="InstructionsTabelleText"/>
                <w:rFonts w:ascii="Times New Roman" w:hAnsi="Times New Roman"/>
                <w:sz w:val="24"/>
              </w:rPr>
              <w:t xml:space="preserve">. Regarding the distinction between </w:t>
            </w:r>
            <w:r w:rsidR="00532026" w:rsidRPr="004B0EC7">
              <w:rPr>
                <w:rStyle w:val="InstructionsTabelleText"/>
                <w:rFonts w:ascii="Times New Roman" w:hAnsi="Times New Roman"/>
                <w:sz w:val="24"/>
              </w:rPr>
              <w:t>l</w:t>
            </w:r>
            <w:r w:rsidRPr="004B0EC7">
              <w:rPr>
                <w:rStyle w:val="InstructionsTabelleText"/>
                <w:rFonts w:ascii="Times New Roman" w:hAnsi="Times New Roman"/>
                <w:sz w:val="24"/>
              </w:rPr>
              <w:t xml:space="preserve">ong and </w:t>
            </w:r>
            <w:r w:rsidR="00532026" w:rsidRPr="004B0EC7">
              <w:rPr>
                <w:rStyle w:val="InstructionsTabelleText"/>
                <w:rFonts w:ascii="Times New Roman" w:hAnsi="Times New Roman"/>
                <w:sz w:val="24"/>
              </w:rPr>
              <w:t>s</w:t>
            </w:r>
            <w:r w:rsidRPr="004B0EC7">
              <w:rPr>
                <w:rStyle w:val="InstructionsTabelleText"/>
                <w:rFonts w:ascii="Times New Roman" w:hAnsi="Times New Roman"/>
                <w:sz w:val="24"/>
              </w:rPr>
              <w:t>hort positions</w:t>
            </w:r>
            <w:r w:rsidR="00532026" w:rsidRPr="004B0EC7">
              <w:rPr>
                <w:rStyle w:val="InstructionsTabelleText"/>
                <w:rFonts w:ascii="Times New Roman" w:hAnsi="Times New Roman"/>
                <w:sz w:val="24"/>
              </w:rPr>
              <w:t>,</w:t>
            </w:r>
            <w:r w:rsidRPr="004B0EC7">
              <w:rPr>
                <w:rStyle w:val="InstructionsTabelleText"/>
                <w:rFonts w:ascii="Times New Roman" w:hAnsi="Times New Roman"/>
                <w:sz w:val="24"/>
              </w:rPr>
              <w:t xml:space="preserve"> see Article 328(2) </w:t>
            </w:r>
            <w:r w:rsidR="007062FD" w:rsidRPr="004B0EC7">
              <w:rPr>
                <w:rFonts w:ascii="Times New Roman" w:hAnsi="Times New Roman"/>
                <w:sz w:val="24"/>
                <w:lang w:val="en-US"/>
              </w:rPr>
              <w:t>of Regulation (EU) No 575/2013</w:t>
            </w:r>
            <w:r w:rsidRPr="004B0EC7">
              <w:rPr>
                <w:rStyle w:val="InstructionsTabelleText"/>
                <w:rFonts w:ascii="Times New Roman" w:hAnsi="Times New Roman"/>
                <w:sz w:val="24"/>
              </w:rPr>
              <w:t>.</w:t>
            </w:r>
          </w:p>
        </w:tc>
      </w:tr>
      <w:tr w:rsidR="00C55547" w:rsidRPr="004B0EC7" w14:paraId="0BDF729C" w14:textId="77777777" w:rsidTr="000911FE">
        <w:tc>
          <w:tcPr>
            <w:tcW w:w="1413" w:type="dxa"/>
          </w:tcPr>
          <w:p w14:paraId="324A2BB6" w14:textId="77777777" w:rsidR="00C55547" w:rsidRPr="004B0EC7" w:rsidRDefault="00EE2CD5" w:rsidP="00543964">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C55547" w:rsidRPr="004B0EC7">
              <w:rPr>
                <w:rFonts w:ascii="Times New Roman" w:hAnsi="Times New Roman"/>
                <w:sz w:val="24"/>
                <w:lang w:eastAsia="nl-BE"/>
              </w:rPr>
              <w:t>061-</w:t>
            </w:r>
            <w:r w:rsidRPr="004B0EC7">
              <w:rPr>
                <w:rFonts w:ascii="Times New Roman" w:hAnsi="Times New Roman"/>
                <w:sz w:val="24"/>
                <w:lang w:eastAsia="nl-BE"/>
              </w:rPr>
              <w:t>0</w:t>
            </w:r>
            <w:r w:rsidR="00543964" w:rsidRPr="004B0EC7">
              <w:rPr>
                <w:rFonts w:ascii="Times New Roman" w:hAnsi="Times New Roman"/>
                <w:sz w:val="24"/>
                <w:lang w:eastAsia="nl-BE"/>
              </w:rPr>
              <w:t>104</w:t>
            </w:r>
          </w:p>
        </w:tc>
        <w:tc>
          <w:tcPr>
            <w:tcW w:w="7605" w:type="dxa"/>
          </w:tcPr>
          <w:p w14:paraId="627BB4B0" w14:textId="77777777" w:rsidR="00C55547" w:rsidRPr="004B0EC7" w:rsidRDefault="00C55547" w:rsidP="00E10B85">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 xml:space="preserve">BREAKDOWN OF THE NET POSITIONS </w:t>
            </w:r>
            <w:r w:rsidR="00C3548F" w:rsidRPr="004B0EC7">
              <w:rPr>
                <w:rFonts w:ascii="Times New Roman" w:hAnsi="Times New Roman"/>
                <w:b/>
                <w:bCs/>
                <w:sz w:val="24"/>
                <w:u w:val="single"/>
                <w:lang w:eastAsia="nl-BE"/>
              </w:rPr>
              <w:t>BY</w:t>
            </w:r>
            <w:r w:rsidRPr="004B0EC7">
              <w:rPr>
                <w:rFonts w:ascii="Times New Roman" w:hAnsi="Times New Roman"/>
                <w:b/>
                <w:bCs/>
                <w:sz w:val="24"/>
                <w:u w:val="single"/>
                <w:lang w:eastAsia="nl-BE"/>
              </w:rPr>
              <w:t xml:space="preserve"> RISK WEIGHTS</w:t>
            </w:r>
          </w:p>
          <w:p w14:paraId="3ECFC065" w14:textId="41D71775" w:rsidR="00C3548F" w:rsidRPr="004B0EC7" w:rsidRDefault="00C55547" w:rsidP="003073B2">
            <w:pPr>
              <w:rPr>
                <w:rStyle w:val="InstructionsTabelleText"/>
                <w:rFonts w:ascii="Times New Roman" w:hAnsi="Times New Roman"/>
                <w:sz w:val="24"/>
              </w:rPr>
            </w:pPr>
            <w:r w:rsidRPr="004B0EC7">
              <w:rPr>
                <w:rStyle w:val="InstructionsTabelleText"/>
                <w:rFonts w:ascii="Times New Roman" w:hAnsi="Times New Roman"/>
                <w:sz w:val="24"/>
              </w:rPr>
              <w:t>Article</w:t>
            </w:r>
            <w:r w:rsidR="00133396" w:rsidRPr="004B0EC7">
              <w:rPr>
                <w:rStyle w:val="InstructionsTabelleText"/>
                <w:rFonts w:ascii="Times New Roman" w:hAnsi="Times New Roman"/>
                <w:sz w:val="24"/>
              </w:rPr>
              <w:t>s</w:t>
            </w:r>
            <w:r w:rsidRPr="004B0EC7">
              <w:rPr>
                <w:rStyle w:val="InstructionsTabelleText"/>
                <w:rFonts w:ascii="Times New Roman" w:hAnsi="Times New Roman"/>
                <w:sz w:val="24"/>
              </w:rPr>
              <w:t xml:space="preserve"> 259</w:t>
            </w:r>
            <w:r w:rsidR="00133396" w:rsidRPr="004B0EC7">
              <w:rPr>
                <w:rStyle w:val="InstructionsTabelleText"/>
                <w:rFonts w:ascii="Times New Roman" w:hAnsi="Times New Roman"/>
                <w:sz w:val="24"/>
              </w:rPr>
              <w:t xml:space="preserve"> to</w:t>
            </w:r>
            <w:r w:rsidRPr="004B0EC7">
              <w:rPr>
                <w:rStyle w:val="InstructionsTabelleText"/>
                <w:rFonts w:ascii="Times New Roman" w:hAnsi="Times New Roman"/>
                <w:sz w:val="24"/>
              </w:rPr>
              <w:t xml:space="preserve"> 262, </w:t>
            </w:r>
            <w:r w:rsidR="00133396" w:rsidRPr="004B0EC7">
              <w:rPr>
                <w:rStyle w:val="InstructionsTabelleText"/>
                <w:rFonts w:ascii="Times New Roman" w:hAnsi="Times New Roman"/>
                <w:sz w:val="24"/>
              </w:rPr>
              <w:t xml:space="preserve">Article </w:t>
            </w:r>
            <w:r w:rsidRPr="004B0EC7">
              <w:rPr>
                <w:rStyle w:val="InstructionsTabelleText"/>
                <w:rFonts w:ascii="Times New Roman" w:hAnsi="Times New Roman"/>
                <w:sz w:val="24"/>
              </w:rPr>
              <w:t xml:space="preserve">263, </w:t>
            </w:r>
            <w:r w:rsidR="00D24331" w:rsidRPr="004B0EC7">
              <w:rPr>
                <w:rStyle w:val="InstructionsTabelleText"/>
                <w:rFonts w:ascii="Times New Roman" w:hAnsi="Times New Roman"/>
                <w:sz w:val="24"/>
              </w:rPr>
              <w:t xml:space="preserve">Tables 1 and 2, </w:t>
            </w:r>
            <w:r w:rsidR="00133396" w:rsidRPr="004B0EC7">
              <w:rPr>
                <w:rStyle w:val="InstructionsTabelleText"/>
                <w:rFonts w:ascii="Times New Roman" w:hAnsi="Times New Roman"/>
                <w:sz w:val="24"/>
              </w:rPr>
              <w:t xml:space="preserve">Article </w:t>
            </w:r>
            <w:r w:rsidRPr="004B0EC7">
              <w:rPr>
                <w:rStyle w:val="InstructionsTabelleText"/>
                <w:rFonts w:ascii="Times New Roman" w:hAnsi="Times New Roman"/>
                <w:sz w:val="24"/>
              </w:rPr>
              <w:t>264</w:t>
            </w:r>
            <w:r w:rsidR="00D24331" w:rsidRPr="004B0EC7">
              <w:rPr>
                <w:rStyle w:val="InstructionsTabelleText"/>
                <w:rFonts w:ascii="Times New Roman" w:hAnsi="Times New Roman"/>
                <w:sz w:val="24"/>
              </w:rPr>
              <w:t>,</w:t>
            </w:r>
            <w:r w:rsidRPr="004B0EC7">
              <w:rPr>
                <w:rStyle w:val="InstructionsTabelleText"/>
                <w:rFonts w:ascii="Times New Roman" w:hAnsi="Times New Roman"/>
                <w:sz w:val="24"/>
              </w:rPr>
              <w:t xml:space="preserve"> </w:t>
            </w:r>
            <w:r w:rsidR="00D24331" w:rsidRPr="004B0EC7">
              <w:rPr>
                <w:rStyle w:val="InstructionsTabelleText"/>
                <w:rFonts w:ascii="Times New Roman" w:hAnsi="Times New Roman"/>
                <w:sz w:val="24"/>
              </w:rPr>
              <w:t xml:space="preserve">Tables 3 and 4 </w:t>
            </w:r>
            <w:r w:rsidRPr="004B0EC7">
              <w:rPr>
                <w:rStyle w:val="InstructionsTabelleText"/>
                <w:rFonts w:ascii="Times New Roman" w:hAnsi="Times New Roman"/>
                <w:sz w:val="24"/>
              </w:rPr>
              <w:t xml:space="preserve">and </w:t>
            </w:r>
            <w:r w:rsidR="00133396" w:rsidRPr="004B0EC7">
              <w:rPr>
                <w:rStyle w:val="InstructionsTabelleText"/>
                <w:rFonts w:ascii="Times New Roman" w:hAnsi="Times New Roman"/>
                <w:sz w:val="24"/>
              </w:rPr>
              <w:t xml:space="preserve">Article </w:t>
            </w:r>
            <w:r w:rsidRPr="004B0EC7">
              <w:rPr>
                <w:rStyle w:val="InstructionsTabelleText"/>
                <w:rFonts w:ascii="Times New Roman" w:hAnsi="Times New Roman"/>
                <w:sz w:val="24"/>
              </w:rPr>
              <w:t xml:space="preserve">266 </w:t>
            </w:r>
            <w:r w:rsidR="007062FD" w:rsidRPr="004B0EC7">
              <w:rPr>
                <w:rFonts w:ascii="Times New Roman" w:hAnsi="Times New Roman"/>
                <w:sz w:val="24"/>
                <w:lang w:val="en-US"/>
              </w:rPr>
              <w:t>of Regulation (EU) No 575/2013</w:t>
            </w:r>
            <w:r w:rsidRPr="004B0EC7">
              <w:rPr>
                <w:rStyle w:val="InstructionsTabelleText"/>
                <w:rFonts w:ascii="Times New Roman" w:hAnsi="Times New Roman"/>
                <w:sz w:val="24"/>
              </w:rPr>
              <w:t xml:space="preserve">. </w:t>
            </w:r>
          </w:p>
          <w:p w14:paraId="4314B137" w14:textId="77777777" w:rsidR="00C55547" w:rsidRPr="004B0EC7" w:rsidRDefault="00C55547" w:rsidP="003073B2">
            <w:pPr>
              <w:rPr>
                <w:rStyle w:val="InstructionsTabelleText"/>
                <w:rFonts w:ascii="Times New Roman" w:hAnsi="Times New Roman"/>
                <w:sz w:val="24"/>
              </w:rPr>
            </w:pPr>
            <w:r w:rsidRPr="004B0EC7">
              <w:rPr>
                <w:rStyle w:val="InstructionsTabelleText"/>
                <w:rFonts w:ascii="Times New Roman" w:hAnsi="Times New Roman"/>
                <w:sz w:val="24"/>
              </w:rPr>
              <w:t xml:space="preserve">The breakdown </w:t>
            </w:r>
            <w:r w:rsidR="00037FCC" w:rsidRPr="004B0EC7">
              <w:rPr>
                <w:rStyle w:val="InstructionsTabelleText"/>
                <w:rFonts w:ascii="Times New Roman" w:hAnsi="Times New Roman"/>
                <w:sz w:val="24"/>
              </w:rPr>
              <w:t>shall</w:t>
            </w:r>
            <w:r w:rsidRPr="004B0EC7">
              <w:rPr>
                <w:rStyle w:val="InstructionsTabelleText"/>
                <w:rFonts w:ascii="Times New Roman" w:hAnsi="Times New Roman"/>
                <w:sz w:val="24"/>
              </w:rPr>
              <w:t xml:space="preserve"> be done separately for long and short positions.</w:t>
            </w:r>
          </w:p>
        </w:tc>
      </w:tr>
      <w:tr w:rsidR="00C55547" w:rsidRPr="004B0EC7" w14:paraId="2A20E80A" w14:textId="77777777" w:rsidTr="000911FE">
        <w:tc>
          <w:tcPr>
            <w:tcW w:w="1413" w:type="dxa"/>
          </w:tcPr>
          <w:p w14:paraId="163C862B" w14:textId="77777777" w:rsidR="00C55547" w:rsidRPr="004B0EC7" w:rsidRDefault="00EE2CD5" w:rsidP="00921700">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C55547" w:rsidRPr="004B0EC7">
              <w:rPr>
                <w:rFonts w:ascii="Times New Roman" w:hAnsi="Times New Roman"/>
                <w:sz w:val="24"/>
                <w:lang w:eastAsia="nl-BE"/>
              </w:rPr>
              <w:t>40</w:t>
            </w:r>
            <w:r w:rsidR="00921700" w:rsidRPr="004B0EC7">
              <w:rPr>
                <w:rFonts w:ascii="Times New Roman" w:hAnsi="Times New Roman"/>
                <w:sz w:val="24"/>
                <w:lang w:eastAsia="nl-BE"/>
              </w:rPr>
              <w:t>2</w:t>
            </w:r>
            <w:r w:rsidR="00C55547" w:rsidRPr="004B0EC7">
              <w:rPr>
                <w:rFonts w:ascii="Times New Roman" w:hAnsi="Times New Roman"/>
                <w:sz w:val="24"/>
                <w:lang w:eastAsia="nl-BE"/>
              </w:rPr>
              <w:t>-</w:t>
            </w:r>
            <w:r w:rsidRPr="004B0EC7">
              <w:rPr>
                <w:rFonts w:ascii="Times New Roman" w:hAnsi="Times New Roman"/>
                <w:sz w:val="24"/>
                <w:lang w:eastAsia="nl-BE"/>
              </w:rPr>
              <w:t>0</w:t>
            </w:r>
            <w:r w:rsidR="00C55547" w:rsidRPr="004B0EC7">
              <w:rPr>
                <w:rFonts w:ascii="Times New Roman" w:hAnsi="Times New Roman"/>
                <w:sz w:val="24"/>
                <w:lang w:eastAsia="nl-BE"/>
              </w:rPr>
              <w:t>40</w:t>
            </w:r>
            <w:r w:rsidR="00921700" w:rsidRPr="004B0EC7">
              <w:rPr>
                <w:rFonts w:ascii="Times New Roman" w:hAnsi="Times New Roman"/>
                <w:sz w:val="24"/>
                <w:lang w:eastAsia="nl-BE"/>
              </w:rPr>
              <w:t>6</w:t>
            </w:r>
          </w:p>
        </w:tc>
        <w:tc>
          <w:tcPr>
            <w:tcW w:w="7605" w:type="dxa"/>
          </w:tcPr>
          <w:p w14:paraId="2AF3DBA4" w14:textId="77777777" w:rsidR="00C55547" w:rsidRPr="004B0EC7" w:rsidRDefault="00C55547" w:rsidP="00E10B85">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 xml:space="preserve">BREAKDOWN OF THE NET POSITIONS </w:t>
            </w:r>
            <w:r w:rsidR="00133396" w:rsidRPr="004B0EC7">
              <w:rPr>
                <w:rFonts w:ascii="Times New Roman" w:hAnsi="Times New Roman"/>
                <w:b/>
                <w:bCs/>
                <w:sz w:val="24"/>
                <w:u w:val="single"/>
                <w:lang w:eastAsia="nl-BE"/>
              </w:rPr>
              <w:t>BY</w:t>
            </w:r>
            <w:r w:rsidRPr="004B0EC7">
              <w:rPr>
                <w:rFonts w:ascii="Times New Roman" w:hAnsi="Times New Roman"/>
                <w:b/>
                <w:bCs/>
                <w:sz w:val="24"/>
                <w:u w:val="single"/>
                <w:lang w:eastAsia="nl-BE"/>
              </w:rPr>
              <w:t xml:space="preserve"> APPROACHES</w:t>
            </w:r>
          </w:p>
          <w:p w14:paraId="683DE902" w14:textId="55DF04AD" w:rsidR="00C55547" w:rsidRPr="004B0EC7" w:rsidRDefault="00C55547" w:rsidP="003073B2">
            <w:pPr>
              <w:rPr>
                <w:rFonts w:ascii="Times New Roman" w:hAnsi="Times New Roman"/>
                <w:b/>
                <w:bCs/>
                <w:sz w:val="24"/>
                <w:u w:val="single"/>
                <w:lang w:eastAsia="nl-BE"/>
              </w:rPr>
            </w:pPr>
            <w:r w:rsidRPr="004B0EC7">
              <w:rPr>
                <w:rFonts w:ascii="Times New Roman" w:hAnsi="Times New Roman"/>
                <w:sz w:val="24"/>
                <w:lang w:eastAsia="de-DE"/>
              </w:rPr>
              <w:t>Article</w:t>
            </w:r>
            <w:r w:rsidRPr="004B0EC7">
              <w:rPr>
                <w:rStyle w:val="InstructionsTabelleText"/>
                <w:rFonts w:ascii="Times New Roman" w:hAnsi="Times New Roman"/>
                <w:sz w:val="24"/>
              </w:rPr>
              <w:t xml:space="preserve"> 254 </w:t>
            </w:r>
            <w:r w:rsidR="007062FD" w:rsidRPr="004B0EC7">
              <w:rPr>
                <w:rFonts w:ascii="Times New Roman" w:hAnsi="Times New Roman"/>
                <w:sz w:val="24"/>
                <w:lang w:val="en-US"/>
              </w:rPr>
              <w:t>of Regulation (EU) No 575/2013</w:t>
            </w:r>
            <w:r w:rsidRPr="004B0EC7">
              <w:rPr>
                <w:rStyle w:val="InstructionsTabelleText"/>
                <w:rFonts w:ascii="Times New Roman" w:hAnsi="Times New Roman"/>
                <w:sz w:val="24"/>
              </w:rPr>
              <w:t xml:space="preserve"> </w:t>
            </w:r>
          </w:p>
        </w:tc>
      </w:tr>
      <w:tr w:rsidR="00C55547" w:rsidRPr="004B0EC7" w14:paraId="6061874B" w14:textId="77777777" w:rsidTr="000911FE">
        <w:tc>
          <w:tcPr>
            <w:tcW w:w="1413" w:type="dxa"/>
          </w:tcPr>
          <w:p w14:paraId="4B729A34" w14:textId="77777777" w:rsidR="00C55547" w:rsidRPr="004B0EC7" w:rsidRDefault="00EE2CD5" w:rsidP="00921700">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C55547" w:rsidRPr="004B0EC7">
              <w:rPr>
                <w:rFonts w:ascii="Times New Roman" w:hAnsi="Times New Roman"/>
                <w:sz w:val="24"/>
                <w:lang w:eastAsia="nl-BE"/>
              </w:rPr>
              <w:t>40</w:t>
            </w:r>
            <w:r w:rsidR="00921700" w:rsidRPr="004B0EC7">
              <w:rPr>
                <w:rFonts w:ascii="Times New Roman" w:hAnsi="Times New Roman"/>
                <w:sz w:val="24"/>
                <w:lang w:eastAsia="nl-BE"/>
              </w:rPr>
              <w:t>2</w:t>
            </w:r>
          </w:p>
        </w:tc>
        <w:tc>
          <w:tcPr>
            <w:tcW w:w="7605" w:type="dxa"/>
          </w:tcPr>
          <w:p w14:paraId="06929D2D" w14:textId="77777777" w:rsidR="00C55547" w:rsidRPr="004B0EC7" w:rsidRDefault="00C55547" w:rsidP="00E10B85">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SEC-IRBA</w:t>
            </w:r>
          </w:p>
          <w:p w14:paraId="41A48A7C" w14:textId="67C34C11" w:rsidR="00C55547" w:rsidRPr="004B0EC7" w:rsidRDefault="00C55547" w:rsidP="003073B2">
            <w:pPr>
              <w:rPr>
                <w:rFonts w:ascii="Times New Roman" w:hAnsi="Times New Roman"/>
                <w:b/>
                <w:bCs/>
                <w:sz w:val="24"/>
                <w:u w:val="single"/>
                <w:lang w:eastAsia="nl-BE"/>
              </w:rPr>
            </w:pPr>
            <w:r w:rsidRPr="004B0EC7">
              <w:rPr>
                <w:rStyle w:val="InstructionsTabelleText"/>
                <w:rFonts w:ascii="Times New Roman" w:hAnsi="Times New Roman"/>
                <w:sz w:val="24"/>
              </w:rPr>
              <w:t xml:space="preserve">Article 259 and 260 </w:t>
            </w:r>
            <w:r w:rsidR="007062FD" w:rsidRPr="004B0EC7">
              <w:rPr>
                <w:rFonts w:ascii="Times New Roman" w:hAnsi="Times New Roman"/>
                <w:sz w:val="24"/>
                <w:lang w:val="en-US"/>
              </w:rPr>
              <w:t>of Regulation (EU) No 575/2013</w:t>
            </w:r>
          </w:p>
        </w:tc>
      </w:tr>
      <w:tr w:rsidR="00C55547" w:rsidRPr="004B0EC7" w14:paraId="16BB3DCB" w14:textId="77777777" w:rsidTr="000911FE">
        <w:tc>
          <w:tcPr>
            <w:tcW w:w="1413" w:type="dxa"/>
          </w:tcPr>
          <w:p w14:paraId="189036B1" w14:textId="77777777" w:rsidR="00C55547" w:rsidRPr="004B0EC7" w:rsidRDefault="00EE2CD5" w:rsidP="00921700">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C55547" w:rsidRPr="004B0EC7">
              <w:rPr>
                <w:rFonts w:ascii="Times New Roman" w:hAnsi="Times New Roman"/>
                <w:sz w:val="24"/>
                <w:lang w:eastAsia="nl-BE"/>
              </w:rPr>
              <w:t>40</w:t>
            </w:r>
            <w:r w:rsidR="00921700" w:rsidRPr="004B0EC7">
              <w:rPr>
                <w:rFonts w:ascii="Times New Roman" w:hAnsi="Times New Roman"/>
                <w:sz w:val="24"/>
                <w:lang w:eastAsia="nl-BE"/>
              </w:rPr>
              <w:t>3</w:t>
            </w:r>
          </w:p>
        </w:tc>
        <w:tc>
          <w:tcPr>
            <w:tcW w:w="7605" w:type="dxa"/>
          </w:tcPr>
          <w:p w14:paraId="6F8EF419" w14:textId="77777777" w:rsidR="00C55547" w:rsidRPr="004B0EC7" w:rsidRDefault="00C55547" w:rsidP="00E10B85">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SEC-SA</w:t>
            </w:r>
          </w:p>
          <w:p w14:paraId="5A374E14" w14:textId="4A4A259B" w:rsidR="00C55547" w:rsidRPr="004B0EC7" w:rsidRDefault="00C55547" w:rsidP="003073B2">
            <w:pPr>
              <w:autoSpaceDE w:val="0"/>
              <w:autoSpaceDN w:val="0"/>
              <w:adjustRightInd w:val="0"/>
              <w:jc w:val="left"/>
              <w:rPr>
                <w:rFonts w:ascii="Times New Roman" w:hAnsi="Times New Roman"/>
                <w:b/>
                <w:bCs/>
                <w:sz w:val="24"/>
                <w:u w:val="single"/>
                <w:lang w:eastAsia="nl-BE"/>
              </w:rPr>
            </w:pPr>
            <w:r w:rsidRPr="004B0EC7">
              <w:rPr>
                <w:rStyle w:val="InstructionsTabelleText"/>
                <w:rFonts w:ascii="Times New Roman" w:hAnsi="Times New Roman"/>
                <w:sz w:val="24"/>
              </w:rPr>
              <w:t xml:space="preserve">Article 261 and 262 </w:t>
            </w:r>
            <w:r w:rsidR="007062FD" w:rsidRPr="004B0EC7">
              <w:rPr>
                <w:rFonts w:ascii="Times New Roman" w:hAnsi="Times New Roman"/>
                <w:sz w:val="24"/>
                <w:lang w:val="en-US"/>
              </w:rPr>
              <w:t>of Regulation (EU) No 575/2013</w:t>
            </w:r>
          </w:p>
        </w:tc>
      </w:tr>
      <w:tr w:rsidR="00C55547" w:rsidRPr="004B0EC7" w14:paraId="0B1E8511" w14:textId="77777777" w:rsidTr="000911FE">
        <w:tc>
          <w:tcPr>
            <w:tcW w:w="1413" w:type="dxa"/>
          </w:tcPr>
          <w:p w14:paraId="283E5722" w14:textId="77777777" w:rsidR="00C55547" w:rsidRPr="004B0EC7" w:rsidRDefault="00EE2CD5" w:rsidP="00921700">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C55547" w:rsidRPr="004B0EC7">
              <w:rPr>
                <w:rFonts w:ascii="Times New Roman" w:hAnsi="Times New Roman"/>
                <w:sz w:val="24"/>
                <w:lang w:eastAsia="nl-BE"/>
              </w:rPr>
              <w:t>40</w:t>
            </w:r>
            <w:r w:rsidR="00921700" w:rsidRPr="004B0EC7">
              <w:rPr>
                <w:rFonts w:ascii="Times New Roman" w:hAnsi="Times New Roman"/>
                <w:sz w:val="24"/>
                <w:lang w:eastAsia="nl-BE"/>
              </w:rPr>
              <w:t>4</w:t>
            </w:r>
          </w:p>
        </w:tc>
        <w:tc>
          <w:tcPr>
            <w:tcW w:w="7605" w:type="dxa"/>
          </w:tcPr>
          <w:p w14:paraId="7AA18AA4" w14:textId="77777777" w:rsidR="00C55547" w:rsidRPr="004B0EC7" w:rsidRDefault="00C55547" w:rsidP="00E10B85">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SEC-ERBA</w:t>
            </w:r>
          </w:p>
          <w:p w14:paraId="2250A6DF" w14:textId="199187B3" w:rsidR="00C55547" w:rsidRPr="004B0EC7" w:rsidRDefault="00C55547" w:rsidP="003073B2">
            <w:pPr>
              <w:rPr>
                <w:rFonts w:ascii="Times New Roman" w:hAnsi="Times New Roman"/>
                <w:b/>
                <w:bCs/>
                <w:sz w:val="24"/>
                <w:u w:val="single"/>
                <w:lang w:eastAsia="nl-BE"/>
              </w:rPr>
            </w:pPr>
            <w:r w:rsidRPr="004B0EC7">
              <w:rPr>
                <w:rStyle w:val="InstructionsTabelleText"/>
                <w:rFonts w:ascii="Times New Roman" w:hAnsi="Times New Roman"/>
                <w:sz w:val="24"/>
              </w:rPr>
              <w:t xml:space="preserve">Article 263 and 264 </w:t>
            </w:r>
            <w:r w:rsidR="007062FD" w:rsidRPr="004B0EC7">
              <w:rPr>
                <w:rFonts w:ascii="Times New Roman" w:hAnsi="Times New Roman"/>
                <w:sz w:val="24"/>
                <w:lang w:val="en-US"/>
              </w:rPr>
              <w:t>of Regulation (EU) No 575/2013</w:t>
            </w:r>
          </w:p>
        </w:tc>
      </w:tr>
      <w:tr w:rsidR="00C55547" w:rsidRPr="004B0EC7" w14:paraId="76051CC7" w14:textId="77777777" w:rsidTr="000911FE">
        <w:tc>
          <w:tcPr>
            <w:tcW w:w="1413" w:type="dxa"/>
          </w:tcPr>
          <w:p w14:paraId="2CE39EAA" w14:textId="77777777" w:rsidR="00C55547" w:rsidRPr="004B0EC7" w:rsidRDefault="00EE2CD5" w:rsidP="00921700">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C55547" w:rsidRPr="004B0EC7">
              <w:rPr>
                <w:rFonts w:ascii="Times New Roman" w:hAnsi="Times New Roman"/>
                <w:sz w:val="24"/>
                <w:lang w:eastAsia="nl-BE"/>
              </w:rPr>
              <w:t>40</w:t>
            </w:r>
            <w:r w:rsidR="00921700" w:rsidRPr="004B0EC7">
              <w:rPr>
                <w:rFonts w:ascii="Times New Roman" w:hAnsi="Times New Roman"/>
                <w:sz w:val="24"/>
                <w:lang w:eastAsia="nl-BE"/>
              </w:rPr>
              <w:t>5</w:t>
            </w:r>
          </w:p>
        </w:tc>
        <w:tc>
          <w:tcPr>
            <w:tcW w:w="7605" w:type="dxa"/>
          </w:tcPr>
          <w:p w14:paraId="334AB028" w14:textId="77777777" w:rsidR="00C55547" w:rsidRPr="004B0EC7" w:rsidRDefault="00C55547" w:rsidP="00E10B85">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INTERNAL ASSESSMENT APPROACH</w:t>
            </w:r>
          </w:p>
          <w:p w14:paraId="5354C48C" w14:textId="67E47F49" w:rsidR="00C55547" w:rsidRPr="004B0EC7" w:rsidRDefault="00C55547" w:rsidP="007062FD">
            <w:pPr>
              <w:rPr>
                <w:rFonts w:ascii="Times New Roman" w:hAnsi="Times New Roman"/>
                <w:bCs/>
                <w:sz w:val="24"/>
                <w:u w:val="single"/>
                <w:lang w:eastAsia="nl-BE"/>
              </w:rPr>
            </w:pPr>
            <w:r w:rsidRPr="004B0EC7">
              <w:rPr>
                <w:rStyle w:val="InstructionsTabelleText"/>
                <w:rFonts w:ascii="Times New Roman" w:hAnsi="Times New Roman"/>
                <w:sz w:val="24"/>
              </w:rPr>
              <w:t>Articles 254</w:t>
            </w:r>
            <w:r w:rsidR="00A97C62" w:rsidRPr="004B0EC7">
              <w:rPr>
                <w:rStyle w:val="InstructionsTabelleText"/>
                <w:rFonts w:ascii="Times New Roman" w:hAnsi="Times New Roman"/>
                <w:sz w:val="24"/>
              </w:rPr>
              <w:t xml:space="preserve">, </w:t>
            </w:r>
            <w:r w:rsidRPr="004B0EC7">
              <w:rPr>
                <w:rStyle w:val="InstructionsTabelleText"/>
                <w:rFonts w:ascii="Times New Roman" w:hAnsi="Times New Roman"/>
                <w:sz w:val="24"/>
              </w:rPr>
              <w:t>265</w:t>
            </w:r>
            <w:r w:rsidR="00532026" w:rsidRPr="004B0EC7">
              <w:rPr>
                <w:rStyle w:val="InstructionsTabelleText"/>
                <w:rFonts w:ascii="Times New Roman" w:hAnsi="Times New Roman"/>
                <w:sz w:val="24"/>
              </w:rPr>
              <w:t xml:space="preserve"> </w:t>
            </w:r>
            <w:r w:rsidRPr="004B0EC7">
              <w:rPr>
                <w:rStyle w:val="InstructionsTabelleText"/>
                <w:rFonts w:ascii="Times New Roman" w:hAnsi="Times New Roman"/>
                <w:sz w:val="24"/>
              </w:rPr>
              <w:t xml:space="preserve">and 266(5) </w:t>
            </w:r>
            <w:r w:rsidR="007062FD" w:rsidRPr="004B0EC7">
              <w:rPr>
                <w:rFonts w:ascii="Times New Roman" w:hAnsi="Times New Roman"/>
                <w:sz w:val="24"/>
                <w:lang w:val="en-US"/>
              </w:rPr>
              <w:t xml:space="preserve">of </w:t>
            </w:r>
            <w:r w:rsidR="00A97C62" w:rsidRPr="004B0EC7">
              <w:rPr>
                <w:rFonts w:ascii="Times New Roman" w:hAnsi="Times New Roman"/>
                <w:sz w:val="24"/>
                <w:lang w:val="en-US"/>
              </w:rPr>
              <w:t>Regulation (EU) No 575/2013</w:t>
            </w:r>
            <w:r w:rsidRPr="004B0EC7">
              <w:rPr>
                <w:rStyle w:val="InstructionsTabelleText"/>
                <w:rFonts w:ascii="Times New Roman" w:hAnsi="Times New Roman"/>
                <w:sz w:val="24"/>
              </w:rPr>
              <w:t>.</w:t>
            </w:r>
          </w:p>
        </w:tc>
      </w:tr>
      <w:tr w:rsidR="0033476C" w:rsidRPr="004B0EC7" w14:paraId="00803C23" w14:textId="77777777" w:rsidTr="000911FE">
        <w:tc>
          <w:tcPr>
            <w:tcW w:w="1413" w:type="dxa"/>
          </w:tcPr>
          <w:p w14:paraId="6969B7D6" w14:textId="7D0DF91C" w:rsidR="0033476C" w:rsidRPr="004B0EC7" w:rsidRDefault="0033476C" w:rsidP="00921700">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0900</w:t>
            </w:r>
          </w:p>
        </w:tc>
        <w:tc>
          <w:tcPr>
            <w:tcW w:w="7605" w:type="dxa"/>
          </w:tcPr>
          <w:p w14:paraId="1E2E9907" w14:textId="3152DD84" w:rsidR="0033476C" w:rsidRPr="004B0EC7" w:rsidRDefault="0033476C" w:rsidP="0033476C">
            <w:pPr>
              <w:spacing w:before="0" w:after="0"/>
              <w:jc w:val="left"/>
              <w:rPr>
                <w:rFonts w:ascii="Times New Roman" w:hAnsi="Times New Roman"/>
                <w:b/>
                <w:sz w:val="24"/>
                <w:u w:val="single"/>
              </w:rPr>
            </w:pPr>
            <w:r w:rsidRPr="004B0EC7">
              <w:rPr>
                <w:rFonts w:ascii="Times New Roman" w:hAnsi="Times New Roman"/>
                <w:b/>
                <w:sz w:val="24"/>
                <w:u w:val="single"/>
              </w:rPr>
              <w:t>SPECIFIC TREATMENT FOR SENIOR TRANCHES OF QUALIFYING NPE SECURITISATIONS</w:t>
            </w:r>
          </w:p>
          <w:p w14:paraId="17BE744C" w14:textId="0A44FB4D" w:rsidR="0033476C" w:rsidRPr="004B0EC7" w:rsidRDefault="0033476C" w:rsidP="001235ED">
            <w:pPr>
              <w:rPr>
                <w:rFonts w:ascii="Times New Roman" w:hAnsi="Times New Roman"/>
                <w:b/>
                <w:bCs/>
                <w:sz w:val="24"/>
                <w:u w:val="single"/>
                <w:lang w:eastAsia="nl-BE"/>
              </w:rPr>
            </w:pPr>
            <w:r w:rsidRPr="004B0EC7">
              <w:rPr>
                <w:rFonts w:ascii="Times New Roman" w:hAnsi="Times New Roman"/>
                <w:sz w:val="24"/>
              </w:rPr>
              <w:t xml:space="preserve">Article 269a(3) </w:t>
            </w:r>
            <w:r w:rsidRPr="004B0EC7">
              <w:rPr>
                <w:rFonts w:ascii="Times New Roman" w:hAnsi="Times New Roman"/>
                <w:sz w:val="24"/>
                <w:lang w:val="en-US"/>
              </w:rPr>
              <w:t>of Regulation (EU) No 575/2013</w:t>
            </w:r>
          </w:p>
        </w:tc>
      </w:tr>
      <w:tr w:rsidR="00C55547" w:rsidRPr="004B0EC7" w14:paraId="05BEB883" w14:textId="77777777" w:rsidTr="000911FE">
        <w:tc>
          <w:tcPr>
            <w:tcW w:w="1413" w:type="dxa"/>
          </w:tcPr>
          <w:p w14:paraId="3D2DEA0A" w14:textId="77777777" w:rsidR="00C55547" w:rsidRPr="004B0EC7" w:rsidRDefault="00EE2CD5" w:rsidP="00921700">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C55547" w:rsidRPr="004B0EC7">
              <w:rPr>
                <w:rFonts w:ascii="Times New Roman" w:hAnsi="Times New Roman"/>
                <w:sz w:val="24"/>
                <w:lang w:eastAsia="nl-BE"/>
              </w:rPr>
              <w:t>40</w:t>
            </w:r>
            <w:r w:rsidR="00921700" w:rsidRPr="004B0EC7">
              <w:rPr>
                <w:rFonts w:ascii="Times New Roman" w:hAnsi="Times New Roman"/>
                <w:sz w:val="24"/>
                <w:lang w:eastAsia="nl-BE"/>
              </w:rPr>
              <w:t>6</w:t>
            </w:r>
          </w:p>
        </w:tc>
        <w:tc>
          <w:tcPr>
            <w:tcW w:w="7605" w:type="dxa"/>
          </w:tcPr>
          <w:p w14:paraId="25786344" w14:textId="4EFB7A5E" w:rsidR="00C55547" w:rsidRPr="004B0EC7" w:rsidRDefault="00C55547" w:rsidP="00E10B85">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OTHER (RW</w:t>
            </w:r>
            <w:r w:rsidR="00B856D5" w:rsidRPr="004B0EC7">
              <w:rPr>
                <w:rFonts w:ascii="Times New Roman" w:hAnsi="Times New Roman"/>
                <w:b/>
                <w:bCs/>
                <w:sz w:val="24"/>
                <w:u w:val="single"/>
                <w:lang w:eastAsia="nl-BE"/>
              </w:rPr>
              <w:t xml:space="preserve"> </w:t>
            </w:r>
            <w:r w:rsidRPr="004B0EC7">
              <w:rPr>
                <w:rFonts w:ascii="Times New Roman" w:hAnsi="Times New Roman"/>
                <w:b/>
                <w:bCs/>
                <w:sz w:val="24"/>
                <w:u w:val="single"/>
                <w:lang w:eastAsia="nl-BE"/>
              </w:rPr>
              <w:t>=</w:t>
            </w:r>
            <w:r w:rsidR="00B856D5" w:rsidRPr="004B0EC7">
              <w:rPr>
                <w:rFonts w:ascii="Times New Roman" w:hAnsi="Times New Roman"/>
                <w:b/>
                <w:bCs/>
                <w:sz w:val="24"/>
                <w:u w:val="single"/>
                <w:lang w:eastAsia="nl-BE"/>
              </w:rPr>
              <w:t xml:space="preserve"> </w:t>
            </w:r>
            <w:r w:rsidRPr="004B0EC7">
              <w:rPr>
                <w:rFonts w:ascii="Times New Roman" w:hAnsi="Times New Roman"/>
                <w:b/>
                <w:bCs/>
                <w:sz w:val="24"/>
                <w:u w:val="single"/>
                <w:lang w:eastAsia="nl-BE"/>
              </w:rPr>
              <w:t>1</w:t>
            </w:r>
            <w:r w:rsidR="006A66C9" w:rsidRPr="004B0EC7">
              <w:rPr>
                <w:rFonts w:ascii="Times New Roman" w:hAnsi="Times New Roman"/>
                <w:b/>
                <w:bCs/>
                <w:sz w:val="24"/>
                <w:u w:val="single"/>
                <w:lang w:eastAsia="nl-BE"/>
              </w:rPr>
              <w:t xml:space="preserve"> </w:t>
            </w:r>
            <w:r w:rsidRPr="004B0EC7">
              <w:rPr>
                <w:rFonts w:ascii="Times New Roman" w:hAnsi="Times New Roman"/>
                <w:b/>
                <w:bCs/>
                <w:sz w:val="24"/>
                <w:u w:val="single"/>
                <w:lang w:eastAsia="nl-BE"/>
              </w:rPr>
              <w:t>250</w:t>
            </w:r>
            <w:r w:rsidR="00B856D5" w:rsidRPr="004B0EC7">
              <w:t> </w:t>
            </w:r>
            <w:r w:rsidRPr="004B0EC7">
              <w:rPr>
                <w:rFonts w:ascii="Times New Roman" w:hAnsi="Times New Roman"/>
                <w:b/>
                <w:bCs/>
                <w:sz w:val="24"/>
                <w:u w:val="single"/>
                <w:lang w:eastAsia="nl-BE"/>
              </w:rPr>
              <w:t>%)</w:t>
            </w:r>
          </w:p>
          <w:p w14:paraId="1684F52F" w14:textId="43F3FE5E" w:rsidR="00C55547" w:rsidRPr="004B0EC7" w:rsidRDefault="00C55547" w:rsidP="003073B2">
            <w:pPr>
              <w:rPr>
                <w:rFonts w:ascii="Times New Roman" w:hAnsi="Times New Roman"/>
                <w:b/>
                <w:bCs/>
                <w:sz w:val="24"/>
                <w:u w:val="single"/>
                <w:lang w:eastAsia="nl-BE"/>
              </w:rPr>
            </w:pPr>
            <w:r w:rsidRPr="004B0EC7">
              <w:rPr>
                <w:rStyle w:val="InstructionsTabelleText"/>
                <w:rFonts w:ascii="Times New Roman" w:hAnsi="Times New Roman"/>
                <w:sz w:val="24"/>
              </w:rPr>
              <w:t xml:space="preserve">Article 254(7) </w:t>
            </w:r>
            <w:r w:rsidR="007062FD" w:rsidRPr="004B0EC7">
              <w:rPr>
                <w:rFonts w:ascii="Times New Roman" w:hAnsi="Times New Roman"/>
                <w:sz w:val="24"/>
                <w:lang w:val="en-US"/>
              </w:rPr>
              <w:t>of Regulation (EU) No 575/2013</w:t>
            </w:r>
          </w:p>
        </w:tc>
      </w:tr>
      <w:tr w:rsidR="00C55547" w:rsidRPr="004B0EC7" w14:paraId="11316298" w14:textId="77777777" w:rsidTr="000911FE">
        <w:tc>
          <w:tcPr>
            <w:tcW w:w="1413" w:type="dxa"/>
          </w:tcPr>
          <w:p w14:paraId="00B9220E" w14:textId="77777777" w:rsidR="00C55547" w:rsidRPr="004B0EC7" w:rsidRDefault="00EE2CD5" w:rsidP="00E10B85">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C55547" w:rsidRPr="004B0EC7">
              <w:rPr>
                <w:rFonts w:ascii="Times New Roman" w:hAnsi="Times New Roman"/>
                <w:sz w:val="24"/>
                <w:lang w:eastAsia="nl-BE"/>
              </w:rPr>
              <w:t>530-</w:t>
            </w:r>
            <w:r w:rsidRPr="004B0EC7">
              <w:rPr>
                <w:rFonts w:ascii="Times New Roman" w:hAnsi="Times New Roman"/>
                <w:sz w:val="24"/>
                <w:lang w:eastAsia="nl-BE"/>
              </w:rPr>
              <w:t>0</w:t>
            </w:r>
            <w:r w:rsidR="00C55547" w:rsidRPr="004B0EC7">
              <w:rPr>
                <w:rFonts w:ascii="Times New Roman" w:hAnsi="Times New Roman"/>
                <w:sz w:val="24"/>
                <w:lang w:eastAsia="nl-BE"/>
              </w:rPr>
              <w:t>540</w:t>
            </w:r>
          </w:p>
        </w:tc>
        <w:tc>
          <w:tcPr>
            <w:tcW w:w="7605" w:type="dxa"/>
          </w:tcPr>
          <w:p w14:paraId="595C29DB" w14:textId="77777777" w:rsidR="00C55547" w:rsidRPr="004B0EC7" w:rsidRDefault="00C55547" w:rsidP="00E10B85">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OVERALL EFFECT (ADJUSTMENT) DUE TO INFRINGEMENT OF CHAPTER 2 OF REGULATION (EU) 2017/2402</w:t>
            </w:r>
          </w:p>
          <w:p w14:paraId="3FBEAE4C" w14:textId="027236BE" w:rsidR="00C55547" w:rsidRPr="004B0EC7" w:rsidRDefault="00C55547" w:rsidP="003073B2">
            <w:pPr>
              <w:rPr>
                <w:rFonts w:ascii="Times New Roman" w:hAnsi="Times New Roman"/>
                <w:b/>
                <w:bCs/>
                <w:sz w:val="24"/>
                <w:u w:val="single"/>
                <w:lang w:eastAsia="nl-BE"/>
              </w:rPr>
            </w:pPr>
            <w:r w:rsidRPr="004B0EC7">
              <w:rPr>
                <w:rStyle w:val="InstructionsTabelleText"/>
                <w:rFonts w:ascii="Times New Roman" w:hAnsi="Times New Roman"/>
                <w:sz w:val="24"/>
              </w:rPr>
              <w:lastRenderedPageBreak/>
              <w:t xml:space="preserve">Article 270a </w:t>
            </w:r>
            <w:r w:rsidR="007062FD" w:rsidRPr="004B0EC7">
              <w:rPr>
                <w:rFonts w:ascii="Times New Roman" w:hAnsi="Times New Roman"/>
                <w:sz w:val="24"/>
                <w:lang w:val="en-US"/>
              </w:rPr>
              <w:t>of Regulation (EU) No 575/2013</w:t>
            </w:r>
          </w:p>
        </w:tc>
      </w:tr>
      <w:tr w:rsidR="00C55547" w:rsidRPr="004B0EC7" w14:paraId="2BA98A90" w14:textId="77777777" w:rsidTr="000911FE">
        <w:tc>
          <w:tcPr>
            <w:tcW w:w="1413" w:type="dxa"/>
          </w:tcPr>
          <w:p w14:paraId="2EA0118D" w14:textId="77777777" w:rsidR="00C55547" w:rsidRPr="004B0EC7" w:rsidRDefault="00EE2CD5" w:rsidP="00E10B85">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lastRenderedPageBreak/>
              <w:t>0</w:t>
            </w:r>
            <w:r w:rsidR="00C55547" w:rsidRPr="004B0EC7">
              <w:rPr>
                <w:rFonts w:ascii="Times New Roman" w:hAnsi="Times New Roman"/>
                <w:sz w:val="24"/>
                <w:lang w:eastAsia="nl-BE"/>
              </w:rPr>
              <w:t>570</w:t>
            </w:r>
          </w:p>
        </w:tc>
        <w:tc>
          <w:tcPr>
            <w:tcW w:w="7605" w:type="dxa"/>
          </w:tcPr>
          <w:p w14:paraId="4DCE07C4" w14:textId="77777777" w:rsidR="00C55547" w:rsidRPr="004B0EC7" w:rsidRDefault="00C55547" w:rsidP="00E10B85">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 xml:space="preserve">BEFORE CAP </w:t>
            </w:r>
          </w:p>
          <w:p w14:paraId="740CD739" w14:textId="19182A93" w:rsidR="00C55547" w:rsidRPr="004B0EC7" w:rsidRDefault="00C55547" w:rsidP="007062FD">
            <w:pPr>
              <w:rPr>
                <w:rFonts w:ascii="Times New Roman" w:hAnsi="Times New Roman"/>
                <w:bCs/>
                <w:sz w:val="24"/>
                <w:lang w:eastAsia="nl-BE"/>
              </w:rPr>
            </w:pPr>
            <w:r w:rsidRPr="004B0EC7">
              <w:rPr>
                <w:rFonts w:ascii="Times New Roman" w:hAnsi="Times New Roman"/>
                <w:bCs/>
                <w:sz w:val="24"/>
                <w:lang w:eastAsia="nl-BE"/>
              </w:rPr>
              <w:t xml:space="preserve">Article 337 </w:t>
            </w:r>
            <w:r w:rsidR="007062FD" w:rsidRPr="004B0EC7">
              <w:rPr>
                <w:rFonts w:ascii="Times New Roman" w:hAnsi="Times New Roman"/>
                <w:sz w:val="24"/>
                <w:lang w:val="en-US"/>
              </w:rPr>
              <w:t>of Regulation (EU) No 575/2013</w:t>
            </w:r>
            <w:r w:rsidR="00532026" w:rsidRPr="004B0EC7">
              <w:rPr>
                <w:rFonts w:ascii="Times New Roman" w:hAnsi="Times New Roman"/>
                <w:bCs/>
                <w:sz w:val="24"/>
                <w:lang w:eastAsia="nl-BE"/>
              </w:rPr>
              <w:t>,</w:t>
            </w:r>
            <w:r w:rsidRPr="004B0EC7">
              <w:rPr>
                <w:rFonts w:ascii="Times New Roman" w:hAnsi="Times New Roman"/>
                <w:bCs/>
                <w:sz w:val="24"/>
                <w:lang w:eastAsia="nl-BE"/>
              </w:rPr>
              <w:t xml:space="preserve"> without taking into account the discretion of Article</w:t>
            </w:r>
            <w:r w:rsidR="00532026" w:rsidRPr="004B0EC7">
              <w:rPr>
                <w:rFonts w:ascii="Times New Roman" w:hAnsi="Times New Roman"/>
                <w:bCs/>
                <w:sz w:val="24"/>
                <w:lang w:eastAsia="nl-BE"/>
              </w:rPr>
              <w:t> </w:t>
            </w:r>
            <w:r w:rsidRPr="004B0EC7">
              <w:rPr>
                <w:rFonts w:ascii="Times New Roman" w:hAnsi="Times New Roman"/>
                <w:bCs/>
                <w:sz w:val="24"/>
                <w:lang w:eastAsia="nl-BE"/>
              </w:rPr>
              <w:t xml:space="preserve">335 </w:t>
            </w:r>
            <w:r w:rsidR="007062FD" w:rsidRPr="004B0EC7">
              <w:rPr>
                <w:rFonts w:ascii="Times New Roman" w:hAnsi="Times New Roman"/>
                <w:sz w:val="24"/>
                <w:lang w:val="en-US"/>
              </w:rPr>
              <w:t xml:space="preserve">of that Regulation </w:t>
            </w:r>
            <w:r w:rsidR="00532026" w:rsidRPr="004B0EC7">
              <w:rPr>
                <w:rFonts w:ascii="Times New Roman" w:hAnsi="Times New Roman"/>
                <w:bCs/>
                <w:sz w:val="24"/>
                <w:lang w:eastAsia="nl-BE"/>
              </w:rPr>
              <w:t>which</w:t>
            </w:r>
            <w:r w:rsidRPr="004B0EC7">
              <w:rPr>
                <w:rFonts w:ascii="Times New Roman" w:hAnsi="Times New Roman"/>
                <w:bCs/>
                <w:sz w:val="24"/>
                <w:lang w:eastAsia="nl-BE"/>
              </w:rPr>
              <w:t xml:space="preserve"> allows an institution to cap the product of the weight and the net position at the maximum possible default-risk related loss</w:t>
            </w:r>
            <w:r w:rsidR="00532026" w:rsidRPr="004B0EC7">
              <w:rPr>
                <w:rFonts w:ascii="Times New Roman" w:hAnsi="Times New Roman"/>
                <w:bCs/>
                <w:sz w:val="24"/>
                <w:lang w:eastAsia="nl-BE"/>
              </w:rPr>
              <w:t>.</w:t>
            </w:r>
          </w:p>
        </w:tc>
      </w:tr>
      <w:tr w:rsidR="00C55547" w:rsidRPr="004B0EC7" w14:paraId="247B0FB8" w14:textId="77777777" w:rsidTr="000911FE">
        <w:tc>
          <w:tcPr>
            <w:tcW w:w="1413" w:type="dxa"/>
          </w:tcPr>
          <w:p w14:paraId="22357CAC" w14:textId="77777777" w:rsidR="00C55547" w:rsidRPr="004B0EC7" w:rsidRDefault="00EE2CD5" w:rsidP="00EE079A">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EE079A" w:rsidRPr="004B0EC7">
              <w:rPr>
                <w:rFonts w:ascii="Times New Roman" w:hAnsi="Times New Roman"/>
                <w:sz w:val="24"/>
                <w:lang w:eastAsia="nl-BE"/>
              </w:rPr>
              <w:t>601</w:t>
            </w:r>
          </w:p>
        </w:tc>
        <w:tc>
          <w:tcPr>
            <w:tcW w:w="7605" w:type="dxa"/>
          </w:tcPr>
          <w:p w14:paraId="78FC9B76" w14:textId="4118CCB3" w:rsidR="00C55547" w:rsidRPr="004B0EC7" w:rsidRDefault="00C55547" w:rsidP="00E10B85">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AFTER CAP</w:t>
            </w:r>
            <w:r w:rsidR="00EE079A" w:rsidRPr="004B0EC7">
              <w:rPr>
                <w:rFonts w:ascii="Times New Roman" w:hAnsi="Times New Roman"/>
                <w:b/>
                <w:bCs/>
                <w:sz w:val="24"/>
                <w:u w:val="single"/>
                <w:lang w:eastAsia="nl-BE"/>
              </w:rPr>
              <w:t xml:space="preserve"> / TOTAL OWN FUND REQUIREMENTS</w:t>
            </w:r>
            <w:r w:rsidRPr="004B0EC7">
              <w:rPr>
                <w:rFonts w:ascii="Times New Roman" w:hAnsi="Times New Roman"/>
                <w:b/>
                <w:bCs/>
                <w:sz w:val="24"/>
                <w:u w:val="single"/>
                <w:lang w:eastAsia="nl-BE"/>
              </w:rPr>
              <w:t xml:space="preserve"> </w:t>
            </w:r>
            <w:r w:rsidR="00050FA1" w:rsidRPr="004B0EC7">
              <w:rPr>
                <w:rFonts w:ascii="Times New Roman" w:hAnsi="Times New Roman"/>
                <w:b/>
                <w:bCs/>
                <w:sz w:val="24"/>
                <w:u w:val="single"/>
                <w:lang w:eastAsia="nl-BE"/>
              </w:rPr>
              <w:t>BEFORE APPLICATION OF S</w:t>
            </w:r>
            <w:r w:rsidR="00AE43DC" w:rsidRPr="004B0EC7">
              <w:rPr>
                <w:rFonts w:ascii="Times New Roman" w:hAnsi="Times New Roman"/>
                <w:b/>
                <w:bCs/>
                <w:sz w:val="24"/>
                <w:u w:val="single"/>
                <w:lang w:eastAsia="nl-BE"/>
              </w:rPr>
              <w:t>C</w:t>
            </w:r>
            <w:r w:rsidR="00050FA1" w:rsidRPr="004B0EC7">
              <w:rPr>
                <w:rFonts w:ascii="Times New Roman" w:hAnsi="Times New Roman"/>
                <w:b/>
                <w:bCs/>
                <w:sz w:val="24"/>
                <w:u w:val="single"/>
                <w:lang w:eastAsia="nl-BE"/>
              </w:rPr>
              <w:t>ALING FACTOR</w:t>
            </w:r>
          </w:p>
          <w:p w14:paraId="0DE4FAED" w14:textId="022355BB" w:rsidR="00C55547" w:rsidRPr="004B0EC7" w:rsidRDefault="00C55547" w:rsidP="007062FD">
            <w:pPr>
              <w:rPr>
                <w:rFonts w:ascii="Times New Roman" w:hAnsi="Times New Roman"/>
                <w:bCs/>
                <w:sz w:val="24"/>
                <w:lang w:eastAsia="nl-BE"/>
              </w:rPr>
            </w:pPr>
            <w:r w:rsidRPr="004B0EC7">
              <w:rPr>
                <w:rFonts w:ascii="Times New Roman" w:hAnsi="Times New Roman"/>
                <w:bCs/>
                <w:sz w:val="24"/>
                <w:lang w:eastAsia="nl-BE"/>
              </w:rPr>
              <w:t xml:space="preserve">Article 337 </w:t>
            </w:r>
            <w:r w:rsidR="007062FD" w:rsidRPr="004B0EC7">
              <w:rPr>
                <w:rFonts w:ascii="Times New Roman" w:hAnsi="Times New Roman"/>
                <w:sz w:val="24"/>
                <w:lang w:val="en-US"/>
              </w:rPr>
              <w:t>of Regulation (EU) No 575/2013</w:t>
            </w:r>
            <w:r w:rsidR="00532026" w:rsidRPr="004B0EC7">
              <w:rPr>
                <w:rFonts w:ascii="Times New Roman" w:hAnsi="Times New Roman"/>
                <w:bCs/>
                <w:sz w:val="24"/>
                <w:lang w:eastAsia="nl-BE"/>
              </w:rPr>
              <w:t>,</w:t>
            </w:r>
            <w:r w:rsidRPr="004B0EC7">
              <w:rPr>
                <w:rFonts w:ascii="Times New Roman" w:hAnsi="Times New Roman"/>
                <w:bCs/>
                <w:sz w:val="24"/>
                <w:lang w:eastAsia="nl-BE"/>
              </w:rPr>
              <w:t xml:space="preserve"> taking </w:t>
            </w:r>
            <w:r w:rsidRPr="004B0EC7">
              <w:rPr>
                <w:rStyle w:val="InstructionsTabelleText"/>
                <w:rFonts w:ascii="Times New Roman" w:hAnsi="Times New Roman"/>
                <w:sz w:val="24"/>
              </w:rPr>
              <w:t>into</w:t>
            </w:r>
            <w:r w:rsidRPr="004B0EC7">
              <w:rPr>
                <w:rFonts w:ascii="Times New Roman" w:hAnsi="Times New Roman"/>
                <w:bCs/>
                <w:sz w:val="24"/>
                <w:lang w:eastAsia="nl-BE"/>
              </w:rPr>
              <w:t xml:space="preserve"> account the discretion of Article 335 </w:t>
            </w:r>
            <w:r w:rsidR="007062FD" w:rsidRPr="004B0EC7">
              <w:rPr>
                <w:rFonts w:ascii="Times New Roman" w:hAnsi="Times New Roman"/>
                <w:sz w:val="24"/>
                <w:lang w:val="en-US"/>
              </w:rPr>
              <w:t>of that Regulation</w:t>
            </w:r>
            <w:r w:rsidRPr="004B0EC7">
              <w:rPr>
                <w:rFonts w:ascii="Times New Roman" w:hAnsi="Times New Roman"/>
                <w:bCs/>
                <w:sz w:val="24"/>
                <w:lang w:eastAsia="nl-BE"/>
              </w:rPr>
              <w:t>.</w:t>
            </w:r>
          </w:p>
        </w:tc>
      </w:tr>
    </w:tbl>
    <w:p w14:paraId="2016D379" w14:textId="77777777" w:rsidR="00C55547" w:rsidRPr="004B0EC7" w:rsidRDefault="00C55547" w:rsidP="00C55547">
      <w:pPr>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537"/>
      </w:tblGrid>
      <w:tr w:rsidR="00C55547" w:rsidRPr="004B0EC7" w14:paraId="02A9F41A" w14:textId="77777777" w:rsidTr="00E10B85">
        <w:trPr>
          <w:trHeight w:val="537"/>
        </w:trPr>
        <w:tc>
          <w:tcPr>
            <w:tcW w:w="8950" w:type="dxa"/>
            <w:gridSpan w:val="2"/>
            <w:shd w:val="clear" w:color="auto" w:fill="BFBFBF"/>
          </w:tcPr>
          <w:p w14:paraId="26BB8354" w14:textId="77777777" w:rsidR="00C55547" w:rsidRPr="004B0EC7" w:rsidRDefault="00C55547" w:rsidP="00E10B85">
            <w:pPr>
              <w:autoSpaceDE w:val="0"/>
              <w:autoSpaceDN w:val="0"/>
              <w:adjustRightInd w:val="0"/>
              <w:spacing w:after="0"/>
              <w:rPr>
                <w:rFonts w:ascii="Times New Roman" w:hAnsi="Times New Roman"/>
                <w:b/>
                <w:sz w:val="24"/>
                <w:lang w:eastAsia="nl-BE"/>
              </w:rPr>
            </w:pPr>
            <w:r w:rsidRPr="004B0EC7">
              <w:rPr>
                <w:rFonts w:ascii="Times New Roman" w:hAnsi="Times New Roman"/>
                <w:b/>
                <w:sz w:val="24"/>
                <w:lang w:eastAsia="nl-BE"/>
              </w:rPr>
              <w:t>Rows</w:t>
            </w:r>
          </w:p>
        </w:tc>
      </w:tr>
      <w:tr w:rsidR="00C55547" w:rsidRPr="004B0EC7" w14:paraId="32F42F75" w14:textId="77777777" w:rsidTr="000911FE">
        <w:tc>
          <w:tcPr>
            <w:tcW w:w="1413" w:type="dxa"/>
          </w:tcPr>
          <w:p w14:paraId="4D0640F7" w14:textId="77777777" w:rsidR="00C55547" w:rsidRPr="004B0EC7" w:rsidRDefault="002F79EA" w:rsidP="00E10B85">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C55547" w:rsidRPr="004B0EC7">
              <w:rPr>
                <w:rFonts w:ascii="Times New Roman" w:hAnsi="Times New Roman"/>
                <w:sz w:val="24"/>
                <w:lang w:eastAsia="nl-BE"/>
              </w:rPr>
              <w:t>010</w:t>
            </w:r>
          </w:p>
        </w:tc>
        <w:tc>
          <w:tcPr>
            <w:tcW w:w="7537" w:type="dxa"/>
          </w:tcPr>
          <w:p w14:paraId="03F7346E" w14:textId="77777777" w:rsidR="00C55547" w:rsidRPr="004B0EC7" w:rsidRDefault="00C55547" w:rsidP="00E10B85">
            <w:pPr>
              <w:rPr>
                <w:rFonts w:ascii="Times New Roman" w:hAnsi="Times New Roman"/>
                <w:sz w:val="24"/>
                <w:lang w:eastAsia="nl-BE"/>
              </w:rPr>
            </w:pPr>
            <w:r w:rsidRPr="004B0EC7">
              <w:rPr>
                <w:rStyle w:val="InstructionsTabelleberschrift"/>
                <w:rFonts w:ascii="Times New Roman" w:hAnsi="Times New Roman"/>
                <w:sz w:val="24"/>
              </w:rPr>
              <w:t>TOTAL EXPOSURES</w:t>
            </w:r>
          </w:p>
          <w:p w14:paraId="3DA30B45" w14:textId="77777777" w:rsidR="00C55547" w:rsidRPr="004B0EC7" w:rsidRDefault="00C55547" w:rsidP="00C3548F">
            <w:pPr>
              <w:autoSpaceDE w:val="0"/>
              <w:autoSpaceDN w:val="0"/>
              <w:adjustRightInd w:val="0"/>
              <w:spacing w:before="0" w:after="0"/>
              <w:rPr>
                <w:rFonts w:ascii="Times New Roman" w:hAnsi="Times New Roman"/>
                <w:sz w:val="24"/>
                <w:lang w:eastAsia="nl-BE"/>
              </w:rPr>
            </w:pPr>
            <w:r w:rsidRPr="004B0EC7">
              <w:rPr>
                <w:rStyle w:val="InstructionsTabelleText"/>
                <w:rFonts w:ascii="Times New Roman" w:hAnsi="Times New Roman"/>
                <w:sz w:val="24"/>
              </w:rPr>
              <w:t>Total amount of outstanding securitisations and re-securitisations (held in the trading book) reported by the institution playing the role/s of originator or investor or sponsor.</w:t>
            </w:r>
          </w:p>
        </w:tc>
      </w:tr>
      <w:tr w:rsidR="00C55547" w:rsidRPr="004B0EC7" w14:paraId="21E51D59" w14:textId="77777777" w:rsidTr="000911FE">
        <w:tc>
          <w:tcPr>
            <w:tcW w:w="1413" w:type="dxa"/>
          </w:tcPr>
          <w:p w14:paraId="5CCD69BA" w14:textId="77777777" w:rsidR="00C55547" w:rsidRPr="004B0EC7" w:rsidRDefault="002F79EA" w:rsidP="002F79EA">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C55547" w:rsidRPr="004B0EC7">
              <w:rPr>
                <w:rFonts w:ascii="Times New Roman" w:hAnsi="Times New Roman"/>
                <w:sz w:val="24"/>
                <w:lang w:eastAsia="nl-BE"/>
              </w:rPr>
              <w:t>040,</w:t>
            </w:r>
            <w:r w:rsidRPr="004B0EC7">
              <w:rPr>
                <w:rFonts w:ascii="Times New Roman" w:hAnsi="Times New Roman"/>
                <w:sz w:val="24"/>
                <w:lang w:eastAsia="nl-BE"/>
              </w:rPr>
              <w:t xml:space="preserve"> 0</w:t>
            </w:r>
            <w:r w:rsidR="00C55547" w:rsidRPr="004B0EC7">
              <w:rPr>
                <w:rFonts w:ascii="Times New Roman" w:hAnsi="Times New Roman"/>
                <w:sz w:val="24"/>
                <w:lang w:eastAsia="nl-BE"/>
              </w:rPr>
              <w:t>070 and</w:t>
            </w:r>
            <w:r w:rsidRPr="004B0EC7">
              <w:rPr>
                <w:rFonts w:ascii="Times New Roman" w:hAnsi="Times New Roman"/>
                <w:sz w:val="24"/>
                <w:lang w:eastAsia="nl-BE"/>
              </w:rPr>
              <w:t xml:space="preserve"> 0</w:t>
            </w:r>
            <w:r w:rsidR="00C55547" w:rsidRPr="004B0EC7">
              <w:rPr>
                <w:rFonts w:ascii="Times New Roman" w:hAnsi="Times New Roman"/>
                <w:sz w:val="24"/>
                <w:lang w:eastAsia="nl-BE"/>
              </w:rPr>
              <w:t>100</w:t>
            </w:r>
          </w:p>
        </w:tc>
        <w:tc>
          <w:tcPr>
            <w:tcW w:w="7537" w:type="dxa"/>
          </w:tcPr>
          <w:p w14:paraId="4F5DF6AF" w14:textId="77777777" w:rsidR="00C55547" w:rsidRPr="004B0EC7" w:rsidRDefault="00C55547" w:rsidP="00E10B85">
            <w:pPr>
              <w:rPr>
                <w:rStyle w:val="InstructionsTabelleberschrift"/>
                <w:rFonts w:ascii="Times New Roman" w:hAnsi="Times New Roman"/>
                <w:sz w:val="24"/>
              </w:rPr>
            </w:pPr>
            <w:r w:rsidRPr="004B0EC7">
              <w:rPr>
                <w:rStyle w:val="InstructionsTabelleberschrift"/>
                <w:rFonts w:ascii="Times New Roman" w:hAnsi="Times New Roman"/>
                <w:sz w:val="24"/>
              </w:rPr>
              <w:t>SECURITISATION</w:t>
            </w:r>
            <w:r w:rsidR="003073B2" w:rsidRPr="004B0EC7">
              <w:rPr>
                <w:rStyle w:val="InstructionsTabelleberschrift"/>
                <w:rFonts w:ascii="Times New Roman" w:hAnsi="Times New Roman"/>
                <w:sz w:val="24"/>
              </w:rPr>
              <w:t xml:space="preserve"> </w:t>
            </w:r>
            <w:r w:rsidR="00532026" w:rsidRPr="004B0EC7">
              <w:rPr>
                <w:rStyle w:val="InstructionsTabelleberschrift"/>
                <w:rFonts w:ascii="Times New Roman" w:hAnsi="Times New Roman"/>
                <w:sz w:val="24"/>
              </w:rPr>
              <w:t>POSITIONS</w:t>
            </w:r>
          </w:p>
          <w:p w14:paraId="62CD89EA" w14:textId="30BF22B1" w:rsidR="00C55547" w:rsidRPr="004B0EC7" w:rsidRDefault="00532026" w:rsidP="00E10B85">
            <w:pPr>
              <w:autoSpaceDE w:val="0"/>
              <w:autoSpaceDN w:val="0"/>
              <w:adjustRightInd w:val="0"/>
              <w:spacing w:before="0" w:after="0"/>
              <w:rPr>
                <w:rFonts w:ascii="Times New Roman" w:hAnsi="Times New Roman"/>
                <w:bCs/>
                <w:sz w:val="24"/>
                <w:lang w:eastAsia="nl-BE"/>
              </w:rPr>
            </w:pPr>
            <w:r w:rsidRPr="004B0EC7">
              <w:rPr>
                <w:rFonts w:ascii="Times New Roman" w:hAnsi="Times New Roman"/>
                <w:bCs/>
                <w:sz w:val="24"/>
                <w:lang w:eastAsia="nl-BE"/>
              </w:rPr>
              <w:t xml:space="preserve"> </w:t>
            </w:r>
            <w:r w:rsidR="00C55547" w:rsidRPr="004B0EC7">
              <w:rPr>
                <w:rFonts w:ascii="Times New Roman" w:hAnsi="Times New Roman"/>
                <w:bCs/>
                <w:sz w:val="24"/>
                <w:lang w:eastAsia="nl-BE"/>
              </w:rPr>
              <w:t>Article 4</w:t>
            </w:r>
            <w:r w:rsidRPr="004B0EC7">
              <w:rPr>
                <w:rFonts w:ascii="Times New Roman" w:hAnsi="Times New Roman"/>
                <w:bCs/>
                <w:sz w:val="24"/>
                <w:lang w:eastAsia="nl-BE"/>
              </w:rPr>
              <w:t>(1)</w:t>
            </w:r>
            <w:r w:rsidR="00B83DDE" w:rsidRPr="004B0EC7">
              <w:rPr>
                <w:rFonts w:ascii="Times New Roman" w:hAnsi="Times New Roman"/>
                <w:bCs/>
                <w:sz w:val="24"/>
                <w:lang w:eastAsia="nl-BE"/>
              </w:rPr>
              <w:t>, p</w:t>
            </w:r>
            <w:r w:rsidR="00D24331" w:rsidRPr="004B0EC7">
              <w:rPr>
                <w:rFonts w:ascii="Times New Roman" w:hAnsi="Times New Roman"/>
                <w:bCs/>
                <w:sz w:val="24"/>
                <w:lang w:eastAsia="nl-BE"/>
              </w:rPr>
              <w:t>oint (62)</w:t>
            </w:r>
            <w:r w:rsidR="00FF1617" w:rsidRPr="004B0EC7">
              <w:rPr>
                <w:rFonts w:ascii="Times New Roman" w:hAnsi="Times New Roman"/>
                <w:bCs/>
                <w:sz w:val="24"/>
                <w:lang w:eastAsia="nl-BE"/>
              </w:rPr>
              <w:t>,</w:t>
            </w:r>
            <w:r w:rsidR="00D24331" w:rsidRPr="004B0EC7">
              <w:rPr>
                <w:rFonts w:ascii="Times New Roman" w:hAnsi="Times New Roman"/>
                <w:bCs/>
                <w:sz w:val="24"/>
                <w:lang w:eastAsia="nl-BE"/>
              </w:rPr>
              <w:t xml:space="preserve"> </w:t>
            </w:r>
            <w:r w:rsidR="007062FD" w:rsidRPr="004B0EC7">
              <w:rPr>
                <w:rFonts w:ascii="Times New Roman" w:hAnsi="Times New Roman"/>
                <w:sz w:val="24"/>
                <w:lang w:val="en-US"/>
              </w:rPr>
              <w:t>of Regulation (EU) No 575/2013</w:t>
            </w:r>
            <w:r w:rsidR="00C55547" w:rsidRPr="004B0EC7">
              <w:rPr>
                <w:rFonts w:ascii="Times New Roman" w:hAnsi="Times New Roman"/>
                <w:bCs/>
                <w:sz w:val="24"/>
                <w:lang w:eastAsia="nl-BE"/>
              </w:rPr>
              <w:t>.</w:t>
            </w:r>
          </w:p>
          <w:p w14:paraId="0230B6E5" w14:textId="77777777" w:rsidR="00C55547" w:rsidRPr="004B0EC7" w:rsidRDefault="00C55547" w:rsidP="00E10B85">
            <w:pPr>
              <w:autoSpaceDE w:val="0"/>
              <w:autoSpaceDN w:val="0"/>
              <w:adjustRightInd w:val="0"/>
              <w:spacing w:before="0" w:after="0"/>
              <w:rPr>
                <w:rFonts w:ascii="Times New Roman" w:hAnsi="Times New Roman"/>
                <w:bCs/>
                <w:sz w:val="24"/>
                <w:lang w:eastAsia="nl-BE"/>
              </w:rPr>
            </w:pPr>
          </w:p>
        </w:tc>
      </w:tr>
      <w:tr w:rsidR="00C55547" w:rsidRPr="004B0EC7" w14:paraId="4D9AAB18" w14:textId="77777777" w:rsidTr="000911FE">
        <w:tc>
          <w:tcPr>
            <w:tcW w:w="1413" w:type="dxa"/>
          </w:tcPr>
          <w:p w14:paraId="6DA3B4FA" w14:textId="77777777" w:rsidR="00C55547" w:rsidRPr="004B0EC7" w:rsidRDefault="002F79EA" w:rsidP="002F79EA">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C55547" w:rsidRPr="004B0EC7">
              <w:rPr>
                <w:rFonts w:ascii="Times New Roman" w:hAnsi="Times New Roman"/>
                <w:sz w:val="24"/>
                <w:lang w:eastAsia="nl-BE"/>
              </w:rPr>
              <w:t>020,</w:t>
            </w:r>
            <w:r w:rsidRPr="004B0EC7">
              <w:rPr>
                <w:rFonts w:ascii="Times New Roman" w:hAnsi="Times New Roman"/>
                <w:sz w:val="24"/>
                <w:lang w:eastAsia="nl-BE"/>
              </w:rPr>
              <w:t xml:space="preserve"> 0</w:t>
            </w:r>
            <w:r w:rsidR="00C55547" w:rsidRPr="004B0EC7">
              <w:rPr>
                <w:rFonts w:ascii="Times New Roman" w:hAnsi="Times New Roman"/>
                <w:sz w:val="24"/>
                <w:lang w:eastAsia="nl-BE"/>
              </w:rPr>
              <w:t>050,</w:t>
            </w:r>
            <w:r w:rsidRPr="004B0EC7">
              <w:rPr>
                <w:rFonts w:ascii="Times New Roman" w:hAnsi="Times New Roman"/>
                <w:sz w:val="24"/>
                <w:lang w:eastAsia="nl-BE"/>
              </w:rPr>
              <w:t xml:space="preserve"> 0</w:t>
            </w:r>
            <w:r w:rsidR="00C55547" w:rsidRPr="004B0EC7">
              <w:rPr>
                <w:rFonts w:ascii="Times New Roman" w:hAnsi="Times New Roman"/>
                <w:sz w:val="24"/>
                <w:lang w:eastAsia="nl-BE"/>
              </w:rPr>
              <w:t>080 and</w:t>
            </w:r>
            <w:r w:rsidRPr="004B0EC7">
              <w:rPr>
                <w:rFonts w:ascii="Times New Roman" w:hAnsi="Times New Roman"/>
                <w:sz w:val="24"/>
                <w:lang w:eastAsia="nl-BE"/>
              </w:rPr>
              <w:t xml:space="preserve"> 0</w:t>
            </w:r>
            <w:r w:rsidR="00C55547" w:rsidRPr="004B0EC7">
              <w:rPr>
                <w:rFonts w:ascii="Times New Roman" w:hAnsi="Times New Roman"/>
                <w:sz w:val="24"/>
                <w:lang w:eastAsia="nl-BE"/>
              </w:rPr>
              <w:t>110</w:t>
            </w:r>
          </w:p>
        </w:tc>
        <w:tc>
          <w:tcPr>
            <w:tcW w:w="7537" w:type="dxa"/>
          </w:tcPr>
          <w:p w14:paraId="3C62BCE7" w14:textId="77777777" w:rsidR="00C55547" w:rsidRPr="004B0EC7" w:rsidRDefault="00C55547" w:rsidP="00E10B85">
            <w:pPr>
              <w:rPr>
                <w:rStyle w:val="InstructionsTabelleberschrift"/>
                <w:rFonts w:ascii="Times New Roman" w:hAnsi="Times New Roman"/>
                <w:sz w:val="24"/>
              </w:rPr>
            </w:pPr>
            <w:r w:rsidRPr="004B0EC7">
              <w:rPr>
                <w:rStyle w:val="InstructionsTabelleberschrift"/>
                <w:rFonts w:ascii="Times New Roman" w:hAnsi="Times New Roman"/>
                <w:sz w:val="24"/>
              </w:rPr>
              <w:t>RE-SECURITISATIONS</w:t>
            </w:r>
            <w:r w:rsidR="00532026" w:rsidRPr="004B0EC7">
              <w:rPr>
                <w:rStyle w:val="InstructionsTabelleberschrift"/>
                <w:rFonts w:ascii="Times New Roman" w:hAnsi="Times New Roman"/>
                <w:sz w:val="24"/>
              </w:rPr>
              <w:t xml:space="preserve"> POSITIONS</w:t>
            </w:r>
          </w:p>
          <w:p w14:paraId="32F5BAEB" w14:textId="2FA2B3C6" w:rsidR="00C55547" w:rsidRPr="004B0EC7" w:rsidRDefault="00D24331" w:rsidP="00E10B85">
            <w:pPr>
              <w:autoSpaceDE w:val="0"/>
              <w:autoSpaceDN w:val="0"/>
              <w:adjustRightInd w:val="0"/>
              <w:spacing w:before="0" w:after="0"/>
              <w:rPr>
                <w:rFonts w:ascii="Times New Roman" w:hAnsi="Times New Roman"/>
                <w:bCs/>
                <w:sz w:val="24"/>
                <w:lang w:eastAsia="nl-BE"/>
              </w:rPr>
            </w:pPr>
            <w:r w:rsidRPr="004B0EC7">
              <w:rPr>
                <w:rFonts w:ascii="Times New Roman" w:hAnsi="Times New Roman"/>
                <w:bCs/>
                <w:sz w:val="24"/>
                <w:lang w:eastAsia="nl-BE"/>
              </w:rPr>
              <w:t>Article 4(1)</w:t>
            </w:r>
            <w:r w:rsidR="00B83DDE" w:rsidRPr="004B0EC7">
              <w:rPr>
                <w:rFonts w:ascii="Times New Roman" w:hAnsi="Times New Roman"/>
                <w:bCs/>
                <w:sz w:val="24"/>
                <w:lang w:eastAsia="nl-BE"/>
              </w:rPr>
              <w:t>, p</w:t>
            </w:r>
            <w:r w:rsidRPr="004B0EC7">
              <w:rPr>
                <w:rFonts w:ascii="Times New Roman" w:hAnsi="Times New Roman"/>
                <w:bCs/>
                <w:sz w:val="24"/>
                <w:lang w:eastAsia="nl-BE"/>
              </w:rPr>
              <w:t>oint (64)</w:t>
            </w:r>
            <w:r w:rsidR="00FF1617" w:rsidRPr="004B0EC7">
              <w:rPr>
                <w:rFonts w:ascii="Times New Roman" w:hAnsi="Times New Roman"/>
                <w:bCs/>
                <w:sz w:val="24"/>
                <w:lang w:eastAsia="nl-BE"/>
              </w:rPr>
              <w:t>,</w:t>
            </w:r>
            <w:r w:rsidRPr="004B0EC7">
              <w:rPr>
                <w:rFonts w:ascii="Times New Roman" w:hAnsi="Times New Roman"/>
                <w:bCs/>
                <w:sz w:val="24"/>
                <w:lang w:eastAsia="nl-BE"/>
              </w:rPr>
              <w:t xml:space="preserve"> </w:t>
            </w:r>
            <w:r w:rsidR="007062FD" w:rsidRPr="004B0EC7">
              <w:rPr>
                <w:rFonts w:ascii="Times New Roman" w:hAnsi="Times New Roman"/>
                <w:sz w:val="24"/>
                <w:lang w:val="en-US"/>
              </w:rPr>
              <w:t>of Regulation (EU) No 575/2013</w:t>
            </w:r>
          </w:p>
          <w:p w14:paraId="18108A69" w14:textId="77777777" w:rsidR="00C55547" w:rsidRPr="004B0EC7" w:rsidRDefault="00C55547" w:rsidP="00E10B85">
            <w:pPr>
              <w:autoSpaceDE w:val="0"/>
              <w:autoSpaceDN w:val="0"/>
              <w:adjustRightInd w:val="0"/>
              <w:spacing w:before="0" w:after="0"/>
              <w:rPr>
                <w:rFonts w:ascii="Times New Roman" w:hAnsi="Times New Roman"/>
                <w:bCs/>
                <w:sz w:val="24"/>
                <w:lang w:eastAsia="nl-BE"/>
              </w:rPr>
            </w:pPr>
          </w:p>
        </w:tc>
      </w:tr>
      <w:tr w:rsidR="00C55547" w:rsidRPr="004B0EC7" w14:paraId="651A33F7" w14:textId="77777777" w:rsidTr="000911FE">
        <w:tc>
          <w:tcPr>
            <w:tcW w:w="1413" w:type="dxa"/>
          </w:tcPr>
          <w:p w14:paraId="41A2A677" w14:textId="77777777" w:rsidR="00C55547" w:rsidRPr="004B0EC7" w:rsidRDefault="002F79EA" w:rsidP="00E10B85">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C55547" w:rsidRPr="004B0EC7">
              <w:rPr>
                <w:rFonts w:ascii="Times New Roman" w:hAnsi="Times New Roman"/>
                <w:sz w:val="24"/>
                <w:lang w:eastAsia="nl-BE"/>
              </w:rPr>
              <w:t xml:space="preserve">041, </w:t>
            </w:r>
            <w:r w:rsidRPr="004B0EC7">
              <w:rPr>
                <w:rFonts w:ascii="Times New Roman" w:hAnsi="Times New Roman"/>
                <w:sz w:val="24"/>
                <w:lang w:eastAsia="nl-BE"/>
              </w:rPr>
              <w:t>0</w:t>
            </w:r>
            <w:r w:rsidR="00C55547" w:rsidRPr="004B0EC7">
              <w:rPr>
                <w:rFonts w:ascii="Times New Roman" w:hAnsi="Times New Roman"/>
                <w:sz w:val="24"/>
                <w:lang w:eastAsia="nl-BE"/>
              </w:rPr>
              <w:t xml:space="preserve">071 and </w:t>
            </w:r>
            <w:r w:rsidRPr="004B0EC7">
              <w:rPr>
                <w:rFonts w:ascii="Times New Roman" w:hAnsi="Times New Roman"/>
                <w:sz w:val="24"/>
                <w:lang w:eastAsia="nl-BE"/>
              </w:rPr>
              <w:t>0</w:t>
            </w:r>
            <w:r w:rsidR="00C55547" w:rsidRPr="004B0EC7">
              <w:rPr>
                <w:rFonts w:ascii="Times New Roman" w:hAnsi="Times New Roman"/>
                <w:sz w:val="24"/>
                <w:lang w:eastAsia="nl-BE"/>
              </w:rPr>
              <w:t>101</w:t>
            </w:r>
          </w:p>
        </w:tc>
        <w:tc>
          <w:tcPr>
            <w:tcW w:w="7537" w:type="dxa"/>
          </w:tcPr>
          <w:p w14:paraId="17D8E88B" w14:textId="77777777" w:rsidR="00C55547" w:rsidRPr="004B0EC7" w:rsidRDefault="00C55547" w:rsidP="00E10B85">
            <w:pPr>
              <w:rPr>
                <w:rStyle w:val="InstructionsTabelleberschrift"/>
                <w:rFonts w:ascii="Times New Roman" w:hAnsi="Times New Roman"/>
                <w:sz w:val="24"/>
              </w:rPr>
            </w:pPr>
            <w:r w:rsidRPr="004B0EC7">
              <w:rPr>
                <w:rStyle w:val="InstructionsTabelleberschrift"/>
                <w:rFonts w:ascii="Times New Roman" w:hAnsi="Times New Roman"/>
                <w:sz w:val="24"/>
              </w:rPr>
              <w:t>OF WHICH: QUALIFYING FOR DIFFERENTIATED CAPITAL TREATMENT</w:t>
            </w:r>
          </w:p>
          <w:p w14:paraId="775DD0A5" w14:textId="73ABBACB" w:rsidR="00C55547" w:rsidRPr="004B0EC7" w:rsidRDefault="00C55547" w:rsidP="007062FD">
            <w:pPr>
              <w:rPr>
                <w:rStyle w:val="InstructionsTabelleberschrift"/>
                <w:rFonts w:ascii="Times New Roman" w:hAnsi="Times New Roman"/>
                <w:sz w:val="24"/>
              </w:rPr>
            </w:pPr>
            <w:r w:rsidRPr="004B0EC7">
              <w:rPr>
                <w:rFonts w:ascii="Times New Roman" w:hAnsi="Times New Roman"/>
                <w:bCs/>
                <w:sz w:val="24"/>
                <w:lang w:eastAsia="nl-BE"/>
              </w:rPr>
              <w:t>Total amount of securit</w:t>
            </w:r>
            <w:r w:rsidR="001E0C80" w:rsidRPr="004B0EC7">
              <w:rPr>
                <w:rFonts w:ascii="Times New Roman" w:hAnsi="Times New Roman"/>
                <w:bCs/>
                <w:sz w:val="24"/>
                <w:lang w:eastAsia="nl-BE"/>
              </w:rPr>
              <w:t>i</w:t>
            </w:r>
            <w:r w:rsidRPr="004B0EC7">
              <w:rPr>
                <w:rFonts w:ascii="Times New Roman" w:hAnsi="Times New Roman"/>
                <w:bCs/>
                <w:sz w:val="24"/>
                <w:lang w:eastAsia="nl-BE"/>
              </w:rPr>
              <w:t xml:space="preserve">sation positions which fulfil the criteria of Article 243 </w:t>
            </w:r>
            <w:r w:rsidR="007062FD" w:rsidRPr="004B0EC7">
              <w:rPr>
                <w:rFonts w:ascii="Times New Roman" w:hAnsi="Times New Roman"/>
                <w:sz w:val="24"/>
                <w:lang w:val="en-US"/>
              </w:rPr>
              <w:t>of Regulation (EU) No 575/2013</w:t>
            </w:r>
            <w:r w:rsidRPr="004B0EC7">
              <w:rPr>
                <w:rFonts w:ascii="Times New Roman" w:hAnsi="Times New Roman"/>
                <w:bCs/>
                <w:sz w:val="24"/>
                <w:lang w:eastAsia="nl-BE"/>
              </w:rPr>
              <w:t xml:space="preserve"> </w:t>
            </w:r>
            <w:r w:rsidR="00664361" w:rsidRPr="004B0EC7">
              <w:rPr>
                <w:rFonts w:ascii="Times New Roman" w:hAnsi="Times New Roman"/>
                <w:bCs/>
                <w:sz w:val="24"/>
                <w:lang w:eastAsia="nl-BE"/>
              </w:rPr>
              <w:t xml:space="preserve">or Article 270 </w:t>
            </w:r>
            <w:r w:rsidR="007062FD" w:rsidRPr="004B0EC7">
              <w:rPr>
                <w:rFonts w:ascii="Times New Roman" w:hAnsi="Times New Roman"/>
                <w:sz w:val="24"/>
                <w:lang w:val="en-US"/>
              </w:rPr>
              <w:t>of that Regulation</w:t>
            </w:r>
            <w:r w:rsidR="00664361" w:rsidRPr="004B0EC7">
              <w:rPr>
                <w:rFonts w:ascii="Times New Roman" w:hAnsi="Times New Roman"/>
                <w:bCs/>
                <w:sz w:val="24"/>
                <w:lang w:eastAsia="nl-BE"/>
              </w:rPr>
              <w:t xml:space="preserve"> </w:t>
            </w:r>
            <w:r w:rsidRPr="004B0EC7">
              <w:rPr>
                <w:rFonts w:ascii="Times New Roman" w:hAnsi="Times New Roman"/>
                <w:bCs/>
                <w:sz w:val="24"/>
                <w:lang w:eastAsia="nl-BE"/>
              </w:rPr>
              <w:t>and therefore qualify for differentiated capital treatment.</w:t>
            </w:r>
          </w:p>
        </w:tc>
      </w:tr>
      <w:tr w:rsidR="00C55547" w:rsidRPr="004B0EC7" w14:paraId="5FAF4052" w14:textId="77777777" w:rsidTr="000911FE">
        <w:tc>
          <w:tcPr>
            <w:tcW w:w="1413" w:type="dxa"/>
          </w:tcPr>
          <w:p w14:paraId="39486578" w14:textId="77777777" w:rsidR="00C55547" w:rsidRPr="004B0EC7" w:rsidRDefault="002F79EA" w:rsidP="00E10B85">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C55547" w:rsidRPr="004B0EC7">
              <w:rPr>
                <w:rFonts w:ascii="Times New Roman" w:hAnsi="Times New Roman"/>
                <w:sz w:val="24"/>
                <w:lang w:eastAsia="nl-BE"/>
              </w:rPr>
              <w:t>030-</w:t>
            </w:r>
            <w:r w:rsidRPr="004B0EC7">
              <w:rPr>
                <w:rFonts w:ascii="Times New Roman" w:hAnsi="Times New Roman"/>
                <w:sz w:val="24"/>
                <w:lang w:eastAsia="nl-BE"/>
              </w:rPr>
              <w:t>0</w:t>
            </w:r>
            <w:r w:rsidR="00C55547" w:rsidRPr="004B0EC7">
              <w:rPr>
                <w:rFonts w:ascii="Times New Roman" w:hAnsi="Times New Roman"/>
                <w:sz w:val="24"/>
                <w:lang w:eastAsia="nl-BE"/>
              </w:rPr>
              <w:t>050</w:t>
            </w:r>
          </w:p>
        </w:tc>
        <w:tc>
          <w:tcPr>
            <w:tcW w:w="7537" w:type="dxa"/>
          </w:tcPr>
          <w:p w14:paraId="29698529" w14:textId="77777777" w:rsidR="00C55547" w:rsidRPr="004B0EC7" w:rsidRDefault="00C55547" w:rsidP="00E10B85">
            <w:pPr>
              <w:rPr>
                <w:rStyle w:val="InstructionsTabelleberschrift"/>
                <w:rFonts w:ascii="Times New Roman" w:hAnsi="Times New Roman"/>
                <w:sz w:val="24"/>
              </w:rPr>
            </w:pPr>
            <w:r w:rsidRPr="004B0EC7">
              <w:rPr>
                <w:rStyle w:val="InstructionsTabelleberschrift"/>
                <w:rFonts w:ascii="Times New Roman" w:hAnsi="Times New Roman"/>
                <w:sz w:val="24"/>
              </w:rPr>
              <w:t>ORIGINATOR</w:t>
            </w:r>
          </w:p>
          <w:p w14:paraId="50264432" w14:textId="0FD773BF" w:rsidR="00C55547" w:rsidRPr="004B0EC7" w:rsidRDefault="00D24331" w:rsidP="00E10B85">
            <w:pPr>
              <w:autoSpaceDE w:val="0"/>
              <w:autoSpaceDN w:val="0"/>
              <w:adjustRightInd w:val="0"/>
              <w:spacing w:before="0" w:after="0"/>
              <w:rPr>
                <w:rFonts w:ascii="Times New Roman" w:hAnsi="Times New Roman"/>
                <w:bCs/>
                <w:sz w:val="24"/>
                <w:lang w:eastAsia="nl-BE"/>
              </w:rPr>
            </w:pPr>
            <w:r w:rsidRPr="004B0EC7">
              <w:rPr>
                <w:rFonts w:ascii="Times New Roman" w:hAnsi="Times New Roman"/>
                <w:bCs/>
                <w:sz w:val="24"/>
                <w:lang w:eastAsia="nl-BE"/>
              </w:rPr>
              <w:t>Article 4(1)</w:t>
            </w:r>
            <w:r w:rsidR="00B83DDE" w:rsidRPr="004B0EC7">
              <w:rPr>
                <w:rFonts w:ascii="Times New Roman" w:hAnsi="Times New Roman"/>
                <w:bCs/>
                <w:sz w:val="24"/>
                <w:lang w:eastAsia="nl-BE"/>
              </w:rPr>
              <w:t>, p</w:t>
            </w:r>
            <w:r w:rsidRPr="004B0EC7">
              <w:rPr>
                <w:rFonts w:ascii="Times New Roman" w:hAnsi="Times New Roman"/>
                <w:bCs/>
                <w:sz w:val="24"/>
                <w:lang w:eastAsia="nl-BE"/>
              </w:rPr>
              <w:t>oint (13)</w:t>
            </w:r>
            <w:r w:rsidR="00FF1617" w:rsidRPr="004B0EC7">
              <w:rPr>
                <w:rFonts w:ascii="Times New Roman" w:hAnsi="Times New Roman"/>
                <w:bCs/>
                <w:sz w:val="24"/>
                <w:lang w:eastAsia="nl-BE"/>
              </w:rPr>
              <w:t>,</w:t>
            </w:r>
            <w:r w:rsidRPr="004B0EC7">
              <w:rPr>
                <w:rFonts w:ascii="Times New Roman" w:hAnsi="Times New Roman"/>
                <w:bCs/>
                <w:sz w:val="24"/>
                <w:lang w:eastAsia="nl-BE"/>
              </w:rPr>
              <w:t xml:space="preserve"> </w:t>
            </w:r>
            <w:r w:rsidR="007062FD" w:rsidRPr="004B0EC7">
              <w:rPr>
                <w:rFonts w:ascii="Times New Roman" w:hAnsi="Times New Roman"/>
                <w:sz w:val="24"/>
                <w:lang w:val="en-US"/>
              </w:rPr>
              <w:t>of Regulation (EU) No 575/2013</w:t>
            </w:r>
          </w:p>
          <w:p w14:paraId="671304E2" w14:textId="77777777" w:rsidR="00C55547" w:rsidRPr="004B0EC7" w:rsidRDefault="00C55547" w:rsidP="00E10B85">
            <w:pPr>
              <w:autoSpaceDE w:val="0"/>
              <w:autoSpaceDN w:val="0"/>
              <w:adjustRightInd w:val="0"/>
              <w:spacing w:before="0" w:after="0"/>
              <w:rPr>
                <w:rFonts w:ascii="Times New Roman" w:hAnsi="Times New Roman"/>
                <w:bCs/>
                <w:sz w:val="24"/>
                <w:lang w:eastAsia="nl-BE"/>
              </w:rPr>
            </w:pPr>
          </w:p>
        </w:tc>
      </w:tr>
      <w:tr w:rsidR="00C55547" w:rsidRPr="004B0EC7" w14:paraId="1241B5AC" w14:textId="77777777" w:rsidTr="000911FE">
        <w:tc>
          <w:tcPr>
            <w:tcW w:w="1413" w:type="dxa"/>
          </w:tcPr>
          <w:p w14:paraId="61436B0B" w14:textId="77777777" w:rsidR="00C55547" w:rsidRPr="004B0EC7" w:rsidRDefault="002F79EA" w:rsidP="00E10B85">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C55547" w:rsidRPr="004B0EC7">
              <w:rPr>
                <w:rFonts w:ascii="Times New Roman" w:hAnsi="Times New Roman"/>
                <w:sz w:val="24"/>
                <w:lang w:eastAsia="nl-BE"/>
              </w:rPr>
              <w:t>060-</w:t>
            </w:r>
            <w:r w:rsidRPr="004B0EC7">
              <w:rPr>
                <w:rFonts w:ascii="Times New Roman" w:hAnsi="Times New Roman"/>
                <w:sz w:val="24"/>
                <w:lang w:eastAsia="nl-BE"/>
              </w:rPr>
              <w:t>0</w:t>
            </w:r>
            <w:r w:rsidR="00C55547" w:rsidRPr="004B0EC7">
              <w:rPr>
                <w:rFonts w:ascii="Times New Roman" w:hAnsi="Times New Roman"/>
                <w:sz w:val="24"/>
                <w:lang w:eastAsia="nl-BE"/>
              </w:rPr>
              <w:t>080</w:t>
            </w:r>
          </w:p>
        </w:tc>
        <w:tc>
          <w:tcPr>
            <w:tcW w:w="7537" w:type="dxa"/>
          </w:tcPr>
          <w:p w14:paraId="726E7C5B" w14:textId="77777777" w:rsidR="00C55547" w:rsidRPr="004B0EC7" w:rsidRDefault="00C55547" w:rsidP="00E10B85">
            <w:pPr>
              <w:rPr>
                <w:rStyle w:val="InstructionsTabelleberschrift"/>
                <w:rFonts w:ascii="Times New Roman" w:hAnsi="Times New Roman"/>
                <w:sz w:val="24"/>
              </w:rPr>
            </w:pPr>
            <w:r w:rsidRPr="004B0EC7">
              <w:rPr>
                <w:rStyle w:val="InstructionsTabelleberschrift"/>
                <w:rFonts w:ascii="Times New Roman" w:hAnsi="Times New Roman"/>
                <w:sz w:val="24"/>
              </w:rPr>
              <w:t>INVESTOR</w:t>
            </w:r>
          </w:p>
          <w:p w14:paraId="13A59676" w14:textId="77777777" w:rsidR="00C55547" w:rsidRPr="004B0EC7" w:rsidRDefault="00C55547" w:rsidP="00E10B85">
            <w:pPr>
              <w:autoSpaceDE w:val="0"/>
              <w:autoSpaceDN w:val="0"/>
              <w:adjustRightInd w:val="0"/>
              <w:spacing w:before="0" w:after="0"/>
              <w:rPr>
                <w:rFonts w:ascii="Times New Roman" w:hAnsi="Times New Roman"/>
                <w:bCs/>
                <w:sz w:val="24"/>
                <w:lang w:eastAsia="nl-BE"/>
              </w:rPr>
            </w:pPr>
            <w:r w:rsidRPr="004B0EC7">
              <w:rPr>
                <w:rFonts w:ascii="Times New Roman" w:hAnsi="Times New Roman"/>
                <w:bCs/>
                <w:sz w:val="24"/>
                <w:lang w:eastAsia="nl-BE"/>
              </w:rPr>
              <w:t>Credit institution that holds a securitisation positions in a securitisation transaction for which it is neither originator, sponsor nor original lender</w:t>
            </w:r>
            <w:r w:rsidR="00532026" w:rsidRPr="004B0EC7">
              <w:rPr>
                <w:rFonts w:ascii="Times New Roman" w:hAnsi="Times New Roman"/>
                <w:bCs/>
                <w:sz w:val="24"/>
                <w:lang w:eastAsia="nl-BE"/>
              </w:rPr>
              <w:t>.</w:t>
            </w:r>
          </w:p>
          <w:p w14:paraId="5289F9D1" w14:textId="77777777" w:rsidR="00C55547" w:rsidRPr="004B0EC7" w:rsidRDefault="00C55547" w:rsidP="00E10B85">
            <w:pPr>
              <w:autoSpaceDE w:val="0"/>
              <w:autoSpaceDN w:val="0"/>
              <w:adjustRightInd w:val="0"/>
              <w:spacing w:before="0" w:after="0"/>
              <w:rPr>
                <w:rFonts w:ascii="Times New Roman" w:hAnsi="Times New Roman"/>
                <w:bCs/>
                <w:sz w:val="24"/>
                <w:lang w:eastAsia="nl-BE"/>
              </w:rPr>
            </w:pPr>
          </w:p>
        </w:tc>
      </w:tr>
      <w:tr w:rsidR="00C55547" w:rsidRPr="004B0EC7" w14:paraId="66D8A55A" w14:textId="77777777" w:rsidTr="000911FE">
        <w:tc>
          <w:tcPr>
            <w:tcW w:w="1413" w:type="dxa"/>
          </w:tcPr>
          <w:p w14:paraId="7DE34CCA" w14:textId="77777777" w:rsidR="00C55547" w:rsidRPr="004B0EC7" w:rsidRDefault="002F79EA" w:rsidP="00E10B85">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C55547" w:rsidRPr="004B0EC7">
              <w:rPr>
                <w:rFonts w:ascii="Times New Roman" w:hAnsi="Times New Roman"/>
                <w:sz w:val="24"/>
                <w:lang w:eastAsia="nl-BE"/>
              </w:rPr>
              <w:t>090-</w:t>
            </w:r>
            <w:r w:rsidRPr="004B0EC7">
              <w:rPr>
                <w:rFonts w:ascii="Times New Roman" w:hAnsi="Times New Roman"/>
                <w:sz w:val="24"/>
                <w:lang w:eastAsia="nl-BE"/>
              </w:rPr>
              <w:t>0</w:t>
            </w:r>
            <w:r w:rsidR="00C55547" w:rsidRPr="004B0EC7">
              <w:rPr>
                <w:rFonts w:ascii="Times New Roman" w:hAnsi="Times New Roman"/>
                <w:sz w:val="24"/>
                <w:lang w:eastAsia="nl-BE"/>
              </w:rPr>
              <w:t>110</w:t>
            </w:r>
          </w:p>
        </w:tc>
        <w:tc>
          <w:tcPr>
            <w:tcW w:w="7537" w:type="dxa"/>
          </w:tcPr>
          <w:p w14:paraId="1405E243" w14:textId="77777777" w:rsidR="00C55547" w:rsidRPr="004B0EC7" w:rsidRDefault="00C55547" w:rsidP="00E10B85">
            <w:pPr>
              <w:rPr>
                <w:rStyle w:val="InstructionsTabelleberschrift"/>
                <w:rFonts w:ascii="Times New Roman" w:hAnsi="Times New Roman"/>
                <w:sz w:val="24"/>
              </w:rPr>
            </w:pPr>
            <w:r w:rsidRPr="004B0EC7">
              <w:rPr>
                <w:rStyle w:val="InstructionsTabelleberschrift"/>
                <w:rFonts w:ascii="Times New Roman" w:hAnsi="Times New Roman"/>
                <w:sz w:val="24"/>
              </w:rPr>
              <w:t>SPONSOR</w:t>
            </w:r>
          </w:p>
          <w:p w14:paraId="40C5E800" w14:textId="57801E6F" w:rsidR="000242CC" w:rsidRPr="004B0EC7" w:rsidRDefault="00D24331" w:rsidP="00E10B85">
            <w:pPr>
              <w:autoSpaceDE w:val="0"/>
              <w:autoSpaceDN w:val="0"/>
              <w:adjustRightInd w:val="0"/>
              <w:spacing w:before="0" w:after="0"/>
              <w:rPr>
                <w:rStyle w:val="InstructionsTabelleText"/>
                <w:rFonts w:ascii="Times New Roman" w:hAnsi="Times New Roman"/>
                <w:sz w:val="24"/>
              </w:rPr>
            </w:pPr>
            <w:r w:rsidRPr="004B0EC7">
              <w:rPr>
                <w:rFonts w:ascii="Times New Roman" w:hAnsi="Times New Roman"/>
                <w:bCs/>
                <w:sz w:val="24"/>
                <w:lang w:eastAsia="nl-BE"/>
              </w:rPr>
              <w:t>Article 4(1)</w:t>
            </w:r>
            <w:r w:rsidR="00B83DDE" w:rsidRPr="004B0EC7">
              <w:rPr>
                <w:rFonts w:ascii="Times New Roman" w:hAnsi="Times New Roman"/>
                <w:bCs/>
                <w:sz w:val="24"/>
                <w:lang w:eastAsia="nl-BE"/>
              </w:rPr>
              <w:t>, p</w:t>
            </w:r>
            <w:r w:rsidRPr="004B0EC7">
              <w:rPr>
                <w:rFonts w:ascii="Times New Roman" w:hAnsi="Times New Roman"/>
                <w:bCs/>
                <w:sz w:val="24"/>
                <w:lang w:eastAsia="nl-BE"/>
              </w:rPr>
              <w:t>oint (14)</w:t>
            </w:r>
            <w:r w:rsidR="00FF1617" w:rsidRPr="004B0EC7">
              <w:rPr>
                <w:rFonts w:ascii="Times New Roman" w:hAnsi="Times New Roman"/>
                <w:bCs/>
                <w:sz w:val="24"/>
                <w:lang w:eastAsia="nl-BE"/>
              </w:rPr>
              <w:t>,</w:t>
            </w:r>
            <w:r w:rsidRPr="004B0EC7">
              <w:rPr>
                <w:rFonts w:ascii="Times New Roman" w:hAnsi="Times New Roman"/>
                <w:bCs/>
                <w:sz w:val="24"/>
                <w:lang w:eastAsia="nl-BE"/>
              </w:rPr>
              <w:t xml:space="preserve"> </w:t>
            </w:r>
            <w:r w:rsidR="007062FD" w:rsidRPr="004B0EC7">
              <w:rPr>
                <w:rFonts w:ascii="Times New Roman" w:hAnsi="Times New Roman"/>
                <w:sz w:val="24"/>
                <w:lang w:val="en-US"/>
              </w:rPr>
              <w:t>of Regulation (EU) No 575/2013</w:t>
            </w:r>
            <w:r w:rsidR="00C55547" w:rsidRPr="004B0EC7">
              <w:rPr>
                <w:rStyle w:val="InstructionsTabelleText"/>
                <w:rFonts w:ascii="Times New Roman" w:hAnsi="Times New Roman"/>
                <w:sz w:val="24"/>
              </w:rPr>
              <w:t xml:space="preserve">. </w:t>
            </w:r>
          </w:p>
          <w:p w14:paraId="036222AB" w14:textId="77777777" w:rsidR="00C55547" w:rsidRPr="004B0EC7" w:rsidRDefault="00532026" w:rsidP="00E64BFE">
            <w:pPr>
              <w:autoSpaceDE w:val="0"/>
              <w:autoSpaceDN w:val="0"/>
              <w:adjustRightInd w:val="0"/>
              <w:spacing w:before="0" w:after="0"/>
              <w:rPr>
                <w:rStyle w:val="InstructionsTabelleText"/>
                <w:rFonts w:ascii="Times New Roman" w:hAnsi="Times New Roman"/>
                <w:sz w:val="24"/>
              </w:rPr>
            </w:pPr>
            <w:r w:rsidRPr="004B0EC7">
              <w:rPr>
                <w:rStyle w:val="InstructionsTabelleText"/>
                <w:rFonts w:ascii="Times New Roman" w:hAnsi="Times New Roman"/>
                <w:sz w:val="24"/>
              </w:rPr>
              <w:t>A</w:t>
            </w:r>
            <w:r w:rsidR="00C55547" w:rsidRPr="004B0EC7">
              <w:rPr>
                <w:rStyle w:val="InstructionsTabelleText"/>
                <w:rFonts w:ascii="Times New Roman" w:hAnsi="Times New Roman"/>
                <w:sz w:val="24"/>
              </w:rPr>
              <w:t xml:space="preserve"> sponsor </w:t>
            </w:r>
            <w:r w:rsidRPr="004B0EC7">
              <w:rPr>
                <w:rStyle w:val="InstructionsTabelleText"/>
                <w:rFonts w:ascii="Times New Roman" w:hAnsi="Times New Roman"/>
                <w:sz w:val="24"/>
              </w:rPr>
              <w:t xml:space="preserve">that </w:t>
            </w:r>
            <w:r w:rsidR="00C55547" w:rsidRPr="004B0EC7">
              <w:rPr>
                <w:rStyle w:val="InstructionsTabelleText"/>
                <w:rFonts w:ascii="Times New Roman" w:hAnsi="Times New Roman"/>
                <w:sz w:val="24"/>
              </w:rPr>
              <w:t>also securitis</w:t>
            </w:r>
            <w:r w:rsidRPr="004B0EC7">
              <w:rPr>
                <w:rStyle w:val="InstructionsTabelleText"/>
                <w:rFonts w:ascii="Times New Roman" w:hAnsi="Times New Roman"/>
                <w:sz w:val="24"/>
              </w:rPr>
              <w:t>es</w:t>
            </w:r>
            <w:r w:rsidR="00C55547" w:rsidRPr="004B0EC7">
              <w:rPr>
                <w:rStyle w:val="InstructionsTabelleText"/>
                <w:rFonts w:ascii="Times New Roman" w:hAnsi="Times New Roman"/>
                <w:sz w:val="24"/>
              </w:rPr>
              <w:t xml:space="preserve"> it</w:t>
            </w:r>
            <w:r w:rsidRPr="004B0EC7">
              <w:rPr>
                <w:rStyle w:val="InstructionsTabelleText"/>
                <w:rFonts w:ascii="Times New Roman" w:hAnsi="Times New Roman"/>
                <w:sz w:val="24"/>
              </w:rPr>
              <w:t>s</w:t>
            </w:r>
            <w:r w:rsidR="00C55547" w:rsidRPr="004B0EC7">
              <w:rPr>
                <w:rStyle w:val="InstructionsTabelleText"/>
                <w:rFonts w:ascii="Times New Roman" w:hAnsi="Times New Roman"/>
                <w:sz w:val="24"/>
              </w:rPr>
              <w:t xml:space="preserve"> own assets shall fill in the originator's rows with the information regarding its own securitised assets</w:t>
            </w:r>
            <w:r w:rsidRPr="004B0EC7">
              <w:rPr>
                <w:rStyle w:val="InstructionsTabelleText"/>
                <w:rFonts w:ascii="Times New Roman" w:hAnsi="Times New Roman"/>
                <w:sz w:val="24"/>
              </w:rPr>
              <w:t>.</w:t>
            </w:r>
          </w:p>
        </w:tc>
      </w:tr>
    </w:tbl>
    <w:p w14:paraId="204C667B" w14:textId="77777777" w:rsidR="000B0B09" w:rsidRPr="004B0EC7" w:rsidRDefault="000B0B09" w:rsidP="000B0B09">
      <w:pPr>
        <w:autoSpaceDE w:val="0"/>
        <w:autoSpaceDN w:val="0"/>
        <w:adjustRightInd w:val="0"/>
        <w:spacing w:before="0" w:after="0"/>
        <w:rPr>
          <w:rFonts w:ascii="Times New Roman" w:hAnsi="Times New Roman"/>
          <w:sz w:val="24"/>
          <w:lang w:eastAsia="nl-BE"/>
        </w:rPr>
      </w:pPr>
    </w:p>
    <w:p w14:paraId="2E044F08" w14:textId="77777777" w:rsidR="000B0B09" w:rsidRPr="004B0EC7" w:rsidRDefault="000B0B09" w:rsidP="000B0B09">
      <w:pPr>
        <w:autoSpaceDE w:val="0"/>
        <w:autoSpaceDN w:val="0"/>
        <w:adjustRightInd w:val="0"/>
        <w:spacing w:before="0" w:after="0"/>
        <w:rPr>
          <w:rFonts w:ascii="Times New Roman" w:hAnsi="Times New Roman"/>
          <w:sz w:val="24"/>
          <w:lang w:eastAsia="nl-BE"/>
        </w:rPr>
      </w:pPr>
    </w:p>
    <w:p w14:paraId="7658B148" w14:textId="6369E885" w:rsidR="000B0B09" w:rsidRPr="004B0EC7" w:rsidRDefault="00125707" w:rsidP="0023700C">
      <w:pPr>
        <w:pStyle w:val="Instructionsberschrift2"/>
        <w:numPr>
          <w:ilvl w:val="0"/>
          <w:numId w:val="0"/>
        </w:numPr>
        <w:ind w:left="357" w:hanging="357"/>
        <w:rPr>
          <w:rFonts w:ascii="Times New Roman" w:hAnsi="Times New Roman" w:cs="Times New Roman"/>
          <w:sz w:val="24"/>
          <w:lang w:val="en-GB"/>
        </w:rPr>
      </w:pPr>
      <w:bookmarkStart w:id="61" w:name="_Toc294172373"/>
      <w:bookmarkStart w:id="62" w:name="_Toc295830002"/>
      <w:bookmarkStart w:id="63" w:name="_Toc308426679"/>
      <w:bookmarkStart w:id="64" w:name="_Toc310415063"/>
      <w:bookmarkStart w:id="65" w:name="_Toc360188398"/>
      <w:bookmarkStart w:id="66" w:name="_Toc473561038"/>
      <w:bookmarkStart w:id="67" w:name="_Toc151714492"/>
      <w:r w:rsidRPr="004B0EC7">
        <w:rPr>
          <w:rFonts w:ascii="Times New Roman" w:hAnsi="Times New Roman" w:cs="Times New Roman"/>
          <w:sz w:val="24"/>
          <w:u w:val="none"/>
          <w:lang w:val="en-GB"/>
        </w:rPr>
        <w:lastRenderedPageBreak/>
        <w:t>5.3.</w:t>
      </w:r>
      <w:r w:rsidRPr="004B0EC7">
        <w:rPr>
          <w:rFonts w:ascii="Times New Roman" w:hAnsi="Times New Roman" w:cs="Times New Roman"/>
          <w:sz w:val="24"/>
          <w:u w:val="none"/>
          <w:lang w:val="en-GB"/>
        </w:rPr>
        <w:tab/>
      </w:r>
      <w:r w:rsidR="008B73EE" w:rsidRPr="004B0EC7">
        <w:rPr>
          <w:rFonts w:ascii="Times New Roman" w:hAnsi="Times New Roman" w:cs="Times New Roman"/>
          <w:sz w:val="24"/>
          <w:lang w:val="en-GB"/>
        </w:rPr>
        <w:t>C 20.0</w:t>
      </w:r>
      <w:r w:rsidR="003D711A" w:rsidRPr="004B0EC7">
        <w:rPr>
          <w:rFonts w:ascii="Times New Roman" w:hAnsi="Times New Roman" w:cs="Times New Roman"/>
          <w:sz w:val="24"/>
          <w:lang w:val="en-GB"/>
        </w:rPr>
        <w:t>1</w:t>
      </w:r>
      <w:r w:rsidR="008B73EE" w:rsidRPr="004B0EC7">
        <w:rPr>
          <w:rFonts w:ascii="Times New Roman" w:hAnsi="Times New Roman" w:cs="Times New Roman"/>
          <w:sz w:val="24"/>
          <w:lang w:val="en-GB"/>
        </w:rPr>
        <w:t xml:space="preserve"> </w:t>
      </w:r>
      <w:r w:rsidR="00FD7683" w:rsidRPr="004B0EC7">
        <w:rPr>
          <w:rFonts w:ascii="Times New Roman" w:hAnsi="Times New Roman" w:cs="Times New Roman"/>
          <w:sz w:val="24"/>
          <w:lang w:val="en-GB"/>
        </w:rPr>
        <w:t>–</w:t>
      </w:r>
      <w:r w:rsidR="008B73EE" w:rsidRPr="004B0EC7">
        <w:rPr>
          <w:rFonts w:ascii="Times New Roman" w:hAnsi="Times New Roman" w:cs="Times New Roman"/>
          <w:sz w:val="24"/>
          <w:lang w:val="en-GB"/>
        </w:rPr>
        <w:t xml:space="preserve"> </w:t>
      </w:r>
      <w:r w:rsidR="00FD7683" w:rsidRPr="004B0EC7">
        <w:rPr>
          <w:rFonts w:ascii="Times New Roman" w:hAnsi="Times New Roman" w:cs="Times New Roman"/>
          <w:sz w:val="24"/>
          <w:lang w:val="en-GB"/>
        </w:rPr>
        <w:t>Market risk</w:t>
      </w:r>
      <w:r w:rsidR="000B0B09" w:rsidRPr="004B0EC7">
        <w:rPr>
          <w:rFonts w:ascii="Times New Roman" w:hAnsi="Times New Roman" w:cs="Times New Roman"/>
          <w:sz w:val="24"/>
          <w:lang w:val="en-GB"/>
        </w:rPr>
        <w:t xml:space="preserve">: </w:t>
      </w:r>
      <w:r w:rsidR="00FD7683" w:rsidRPr="004B0EC7">
        <w:rPr>
          <w:rFonts w:ascii="Times New Roman" w:hAnsi="Times New Roman" w:cs="Times New Roman"/>
          <w:sz w:val="24"/>
          <w:lang w:val="en-GB"/>
        </w:rPr>
        <w:t>Simplified Standardised Approach for Specific risk for positions assigned to the correlation trading portfolio</w:t>
      </w:r>
      <w:r w:rsidR="000B0B09" w:rsidRPr="004B0EC7">
        <w:rPr>
          <w:rFonts w:ascii="Times New Roman" w:hAnsi="Times New Roman" w:cs="Times New Roman"/>
          <w:sz w:val="24"/>
          <w:lang w:val="en-GB"/>
        </w:rPr>
        <w:t xml:space="preserve"> (MKR </w:t>
      </w:r>
      <w:r w:rsidR="00FD7683" w:rsidRPr="004B0EC7">
        <w:rPr>
          <w:rFonts w:ascii="Times New Roman" w:hAnsi="Times New Roman" w:cs="Times New Roman"/>
          <w:sz w:val="24"/>
          <w:lang w:val="en-GB"/>
        </w:rPr>
        <w:t>S</w:t>
      </w:r>
      <w:r w:rsidR="000B0B09" w:rsidRPr="004B0EC7">
        <w:rPr>
          <w:rFonts w:ascii="Times New Roman" w:hAnsi="Times New Roman" w:cs="Times New Roman"/>
          <w:sz w:val="24"/>
          <w:lang w:val="en-GB"/>
        </w:rPr>
        <w:t>SA CTP</w:t>
      </w:r>
      <w:bookmarkEnd w:id="61"/>
      <w:bookmarkEnd w:id="62"/>
      <w:bookmarkEnd w:id="63"/>
      <w:bookmarkEnd w:id="64"/>
      <w:r w:rsidR="000B0B09" w:rsidRPr="004B0EC7">
        <w:rPr>
          <w:rFonts w:ascii="Times New Roman" w:hAnsi="Times New Roman" w:cs="Times New Roman"/>
          <w:sz w:val="24"/>
          <w:lang w:val="en-GB"/>
        </w:rPr>
        <w:t>)</w:t>
      </w:r>
      <w:bookmarkEnd w:id="65"/>
      <w:bookmarkEnd w:id="66"/>
      <w:bookmarkEnd w:id="67"/>
    </w:p>
    <w:p w14:paraId="43960D05" w14:textId="77777777" w:rsidR="000B0B09" w:rsidRPr="004B0EC7" w:rsidRDefault="00125707" w:rsidP="0023700C">
      <w:pPr>
        <w:pStyle w:val="Instructionsberschrift2"/>
        <w:numPr>
          <w:ilvl w:val="0"/>
          <w:numId w:val="0"/>
        </w:numPr>
        <w:ind w:left="357" w:hanging="357"/>
        <w:rPr>
          <w:rFonts w:ascii="Times New Roman" w:hAnsi="Times New Roman" w:cs="Times New Roman"/>
          <w:sz w:val="24"/>
          <w:lang w:val="en-GB"/>
        </w:rPr>
      </w:pPr>
      <w:bookmarkStart w:id="68" w:name="_Toc294172374"/>
      <w:bookmarkStart w:id="69" w:name="_Toc295830003"/>
      <w:bookmarkStart w:id="70" w:name="_Toc308426680"/>
      <w:bookmarkStart w:id="71" w:name="_Toc310415064"/>
      <w:bookmarkStart w:id="72" w:name="_Toc360188399"/>
      <w:bookmarkStart w:id="73" w:name="_Toc473561039"/>
      <w:bookmarkStart w:id="74" w:name="_Toc151714493"/>
      <w:r w:rsidRPr="004B0EC7">
        <w:rPr>
          <w:rFonts w:ascii="Times New Roman" w:hAnsi="Times New Roman" w:cs="Times New Roman"/>
          <w:sz w:val="24"/>
          <w:u w:val="none"/>
          <w:lang w:val="en-GB"/>
        </w:rPr>
        <w:t>5.3.1.</w:t>
      </w:r>
      <w:r w:rsidRPr="004B0EC7">
        <w:rPr>
          <w:rFonts w:ascii="Times New Roman" w:hAnsi="Times New Roman" w:cs="Times New Roman"/>
          <w:sz w:val="24"/>
          <w:u w:val="none"/>
          <w:lang w:val="en-GB"/>
        </w:rPr>
        <w:tab/>
      </w:r>
      <w:r w:rsidR="000B0B09" w:rsidRPr="004B0EC7">
        <w:rPr>
          <w:rFonts w:ascii="Times New Roman" w:hAnsi="Times New Roman" w:cs="Times New Roman"/>
          <w:sz w:val="24"/>
          <w:lang w:val="en-GB"/>
        </w:rPr>
        <w:t>General Remarks</w:t>
      </w:r>
      <w:bookmarkEnd w:id="68"/>
      <w:bookmarkEnd w:id="69"/>
      <w:bookmarkEnd w:id="70"/>
      <w:bookmarkEnd w:id="71"/>
      <w:bookmarkEnd w:id="72"/>
      <w:bookmarkEnd w:id="73"/>
      <w:bookmarkEnd w:id="74"/>
    </w:p>
    <w:bookmarkStart w:id="75" w:name="_Toc294172375"/>
    <w:bookmarkStart w:id="76" w:name="_Toc295830004"/>
    <w:bookmarkStart w:id="77" w:name="_Toc308426681"/>
    <w:bookmarkStart w:id="78" w:name="_Toc310415065"/>
    <w:bookmarkStart w:id="79" w:name="_Toc360188400"/>
    <w:bookmarkStart w:id="80" w:name="_Toc473561040"/>
    <w:p w14:paraId="6E7E4803" w14:textId="15C9DD0A" w:rsidR="00C55547" w:rsidRPr="004B0EC7" w:rsidRDefault="00771068" w:rsidP="00660845">
      <w:pPr>
        <w:pStyle w:val="InstructionsText2"/>
        <w:numPr>
          <w:ilvl w:val="0"/>
          <w:numId w:val="0"/>
        </w:numPr>
        <w:ind w:left="993"/>
      </w:pPr>
      <w:r w:rsidRPr="004B0EC7">
        <w:fldChar w:fldCharType="begin"/>
      </w:r>
      <w:r w:rsidRPr="004B0EC7">
        <w:instrText xml:space="preserve"> seq paragraphs </w:instrText>
      </w:r>
      <w:r w:rsidRPr="004B0EC7">
        <w:fldChar w:fldCharType="separate"/>
      </w:r>
      <w:r w:rsidRPr="004B0EC7">
        <w:rPr>
          <w:noProof/>
        </w:rPr>
        <w:t>165</w:t>
      </w:r>
      <w:r w:rsidRPr="004B0EC7">
        <w:fldChar w:fldCharType="end"/>
      </w:r>
      <w:r w:rsidR="00C55547" w:rsidRPr="004B0EC7">
        <w:t>.</w:t>
      </w:r>
      <w:r w:rsidR="005C14B0" w:rsidRPr="004B0EC7">
        <w:t xml:space="preserve"> </w:t>
      </w:r>
      <w:r w:rsidR="00C55547" w:rsidRPr="004B0EC7">
        <w:t xml:space="preserve">This template requests information on positions of the </w:t>
      </w:r>
      <w:r w:rsidR="00EF6FD5" w:rsidRPr="004B0EC7">
        <w:t>Correlation Trading Portfolio (</w:t>
      </w:r>
      <w:r w:rsidR="00C55547" w:rsidRPr="004B0EC7">
        <w:t>CTP</w:t>
      </w:r>
      <w:r w:rsidR="00EF6FD5" w:rsidRPr="004B0EC7">
        <w:t>)</w:t>
      </w:r>
      <w:r w:rsidR="00C55547" w:rsidRPr="004B0EC7">
        <w:t xml:space="preserve"> (comprising securitisations, nth-to-default credit derivatives and other CTP positions included </w:t>
      </w:r>
      <w:r w:rsidR="00BB22D4" w:rsidRPr="004B0EC7">
        <w:t>in accordance with</w:t>
      </w:r>
      <w:r w:rsidR="00C55547" w:rsidRPr="004B0EC7">
        <w:t xml:space="preserve"> Article 338(3) </w:t>
      </w:r>
      <w:r w:rsidR="007062FD" w:rsidRPr="004B0EC7">
        <w:rPr>
          <w:lang w:val="en-US"/>
        </w:rPr>
        <w:t xml:space="preserve">of Regulation (EU) No 575/2013 </w:t>
      </w:r>
      <w:r w:rsidR="00C55547" w:rsidRPr="004B0EC7">
        <w:t xml:space="preserve">) and the corresponding own funds requirements under the </w:t>
      </w:r>
      <w:r w:rsidR="00CA21CA" w:rsidRPr="004B0EC7">
        <w:t>Standardised Approach</w:t>
      </w:r>
      <w:r w:rsidR="00C55547" w:rsidRPr="004B0EC7">
        <w:t>.</w:t>
      </w:r>
    </w:p>
    <w:p w14:paraId="7D9D9B10" w14:textId="72D4CBCA" w:rsidR="00C55547" w:rsidRPr="004B0EC7" w:rsidRDefault="008F3052" w:rsidP="00660845">
      <w:pPr>
        <w:pStyle w:val="InstructionsText2"/>
        <w:numPr>
          <w:ilvl w:val="0"/>
          <w:numId w:val="0"/>
        </w:numPr>
        <w:ind w:left="993"/>
      </w:pPr>
      <w:r w:rsidRPr="004B0EC7">
        <w:fldChar w:fldCharType="begin"/>
      </w:r>
      <w:r w:rsidRPr="004B0EC7">
        <w:instrText>seq paragraphs</w:instrText>
      </w:r>
      <w:r w:rsidRPr="004B0EC7">
        <w:fldChar w:fldCharType="separate"/>
      </w:r>
      <w:r w:rsidR="00771068" w:rsidRPr="004B0EC7">
        <w:rPr>
          <w:noProof/>
        </w:rPr>
        <w:t>166</w:t>
      </w:r>
      <w:r w:rsidRPr="004B0EC7">
        <w:fldChar w:fldCharType="end"/>
      </w:r>
      <w:r w:rsidR="00C55547" w:rsidRPr="004B0EC7">
        <w:t>.</w:t>
      </w:r>
      <w:r w:rsidR="00C55547" w:rsidRPr="004B0EC7">
        <w:tab/>
      </w:r>
      <w:r w:rsidR="005C14B0" w:rsidRPr="004B0EC7">
        <w:t xml:space="preserve"> </w:t>
      </w:r>
      <w:r w:rsidR="00C55547" w:rsidRPr="004B0EC7">
        <w:t xml:space="preserve">The MKR </w:t>
      </w:r>
      <w:r w:rsidR="00617624" w:rsidRPr="004B0EC7">
        <w:t>S</w:t>
      </w:r>
      <w:r w:rsidR="00C55547" w:rsidRPr="004B0EC7">
        <w:t xml:space="preserve">SA CTP template </w:t>
      </w:r>
      <w:r w:rsidR="00DE7B41" w:rsidRPr="004B0EC7">
        <w:t xml:space="preserve">presents </w:t>
      </w:r>
      <w:r w:rsidR="00C55547" w:rsidRPr="004B0EC7">
        <w:t>the own funds requirement only for the specific risk of positions assigned to the C</w:t>
      </w:r>
      <w:r w:rsidR="00EF6FD5" w:rsidRPr="004B0EC7">
        <w:t>TP</w:t>
      </w:r>
      <w:r w:rsidR="00C55547" w:rsidRPr="004B0EC7">
        <w:t xml:space="preserve"> </w:t>
      </w:r>
      <w:r w:rsidR="00BB22D4" w:rsidRPr="004B0EC7">
        <w:t>in accordance with</w:t>
      </w:r>
      <w:r w:rsidR="00C55547" w:rsidRPr="004B0EC7">
        <w:t xml:space="preserve"> Article 335 </w:t>
      </w:r>
      <w:r w:rsidR="007062FD" w:rsidRPr="004B0EC7">
        <w:rPr>
          <w:lang w:val="en-US"/>
        </w:rPr>
        <w:t>of Regulation (EU) No 575/2013</w:t>
      </w:r>
      <w:r w:rsidR="00C55547" w:rsidRPr="004B0EC7">
        <w:t xml:space="preserve"> in con</w:t>
      </w:r>
      <w:r w:rsidR="00B20317" w:rsidRPr="004B0EC7">
        <w:t>junction</w:t>
      </w:r>
      <w:r w:rsidR="00C55547" w:rsidRPr="004B0EC7">
        <w:t xml:space="preserve"> with Article 338</w:t>
      </w:r>
      <w:r w:rsidR="00B83DDE" w:rsidRPr="004B0EC7">
        <w:t>, p</w:t>
      </w:r>
      <w:r w:rsidR="00D24331" w:rsidRPr="004B0EC7">
        <w:t xml:space="preserve">aragraphs 2 and 3 </w:t>
      </w:r>
      <w:r w:rsidR="007062FD" w:rsidRPr="004B0EC7">
        <w:rPr>
          <w:lang w:val="en-US"/>
        </w:rPr>
        <w:t>of that Regulation</w:t>
      </w:r>
      <w:r w:rsidR="00C55547" w:rsidRPr="004B0EC7">
        <w:t xml:space="preserve">. If CTP-positions of the trading book are hedged by credit derivatives, Articles 346 and 347 </w:t>
      </w:r>
      <w:r w:rsidR="007062FD" w:rsidRPr="004B0EC7">
        <w:rPr>
          <w:lang w:val="en-US"/>
        </w:rPr>
        <w:t>of Regulation (EU) No 575/2013</w:t>
      </w:r>
      <w:r w:rsidR="00C55547" w:rsidRPr="004B0EC7">
        <w:t xml:space="preserve"> apply. There is only one template for all CTP-positions of the trading book, irrespective of the approach institutions apply to determine the risk weight for each of the positions </w:t>
      </w:r>
      <w:r w:rsidR="00BB22D4" w:rsidRPr="004B0EC7">
        <w:t>in accordance with</w:t>
      </w:r>
      <w:r w:rsidR="00C55547" w:rsidRPr="004B0EC7">
        <w:t xml:space="preserve"> Part Three</w:t>
      </w:r>
      <w:r w:rsidR="00D24331" w:rsidRPr="004B0EC7">
        <w:t>,</w:t>
      </w:r>
      <w:r w:rsidR="00C55547" w:rsidRPr="004B0EC7">
        <w:t xml:space="preserve"> </w:t>
      </w:r>
      <w:r w:rsidR="00D24331" w:rsidRPr="004B0EC7">
        <w:t xml:space="preserve">Title II, Chapter 5 </w:t>
      </w:r>
      <w:r w:rsidR="007062FD" w:rsidRPr="004B0EC7">
        <w:rPr>
          <w:lang w:val="en-US"/>
        </w:rPr>
        <w:t>of Regulation (EU) No 575/2013</w:t>
      </w:r>
      <w:r w:rsidR="00C55547" w:rsidRPr="004B0EC7">
        <w:t xml:space="preserve">. The own funds requirements </w:t>
      </w:r>
      <w:r w:rsidR="00B20317" w:rsidRPr="004B0EC7">
        <w:t xml:space="preserve">for </w:t>
      </w:r>
      <w:r w:rsidR="00C55547" w:rsidRPr="004B0EC7">
        <w:t xml:space="preserve">the general risk of these positions </w:t>
      </w:r>
      <w:r w:rsidR="00E64BFE" w:rsidRPr="004B0EC7">
        <w:t>are reported</w:t>
      </w:r>
      <w:r w:rsidR="00C55547" w:rsidRPr="004B0EC7">
        <w:t xml:space="preserve"> in the MKR </w:t>
      </w:r>
      <w:r w:rsidR="00617624" w:rsidRPr="004B0EC7">
        <w:t>S</w:t>
      </w:r>
      <w:r w:rsidR="00C55547" w:rsidRPr="004B0EC7">
        <w:t>SA TDI or the MKR IM template.</w:t>
      </w:r>
    </w:p>
    <w:p w14:paraId="2252BE4F" w14:textId="6A0EE270" w:rsidR="00C55547" w:rsidRPr="004B0EC7" w:rsidRDefault="008F3052" w:rsidP="00660845">
      <w:pPr>
        <w:pStyle w:val="InstructionsText2"/>
        <w:numPr>
          <w:ilvl w:val="0"/>
          <w:numId w:val="0"/>
        </w:numPr>
        <w:ind w:left="993"/>
      </w:pPr>
      <w:r w:rsidRPr="004B0EC7">
        <w:fldChar w:fldCharType="begin"/>
      </w:r>
      <w:r w:rsidRPr="004B0EC7">
        <w:instrText>seq paragraphs</w:instrText>
      </w:r>
      <w:r w:rsidRPr="004B0EC7">
        <w:fldChar w:fldCharType="separate"/>
      </w:r>
      <w:r w:rsidR="00771068" w:rsidRPr="004B0EC7">
        <w:rPr>
          <w:noProof/>
        </w:rPr>
        <w:t>167</w:t>
      </w:r>
      <w:r w:rsidRPr="004B0EC7">
        <w:fldChar w:fldCharType="end"/>
      </w:r>
      <w:r w:rsidR="00C55547" w:rsidRPr="004B0EC7">
        <w:t>.</w:t>
      </w:r>
      <w:r w:rsidR="00C55547" w:rsidRPr="004B0EC7">
        <w:tab/>
      </w:r>
      <w:r w:rsidR="005C14B0" w:rsidRPr="004B0EC7">
        <w:t xml:space="preserve"> </w:t>
      </w:r>
      <w:r w:rsidR="00C55547" w:rsidRPr="004B0EC7">
        <w:t>Th</w:t>
      </w:r>
      <w:r w:rsidR="00E64BFE" w:rsidRPr="004B0EC7">
        <w:t xml:space="preserve">e </w:t>
      </w:r>
      <w:r w:rsidR="00C55547" w:rsidRPr="004B0EC7">
        <w:t xml:space="preserve">template separates securitisation positions, n-th to default credit derivatives and other CTP-positions. </w:t>
      </w:r>
      <w:r w:rsidR="00E64BFE" w:rsidRPr="004B0EC7">
        <w:t>S</w:t>
      </w:r>
      <w:r w:rsidR="00C55547" w:rsidRPr="004B0EC7">
        <w:t xml:space="preserve">ecuritisation positions shall always be reported in rows </w:t>
      </w:r>
      <w:r w:rsidR="002F79EA" w:rsidRPr="004B0EC7">
        <w:t>0</w:t>
      </w:r>
      <w:r w:rsidR="00C55547" w:rsidRPr="004B0EC7">
        <w:t xml:space="preserve">030, </w:t>
      </w:r>
      <w:r w:rsidR="002F79EA" w:rsidRPr="004B0EC7">
        <w:t>0</w:t>
      </w:r>
      <w:r w:rsidR="00C55547" w:rsidRPr="004B0EC7">
        <w:t xml:space="preserve">060 or </w:t>
      </w:r>
      <w:r w:rsidR="002F79EA" w:rsidRPr="004B0EC7">
        <w:t>0</w:t>
      </w:r>
      <w:r w:rsidR="00C55547" w:rsidRPr="004B0EC7">
        <w:t xml:space="preserve">090 (depending on the role of the institution in the securitisation). N-th to default credit derivatives shall always be reported in row </w:t>
      </w:r>
      <w:r w:rsidR="002F79EA" w:rsidRPr="004B0EC7">
        <w:t>0</w:t>
      </w:r>
      <w:r w:rsidR="00C55547" w:rsidRPr="004B0EC7">
        <w:t xml:space="preserve">110. The "other CTP-positions" </w:t>
      </w:r>
      <w:r w:rsidR="00E64BFE" w:rsidRPr="004B0EC7">
        <w:t xml:space="preserve">are positions that </w:t>
      </w:r>
      <w:r w:rsidR="00C55547" w:rsidRPr="004B0EC7">
        <w:t xml:space="preserve">are neither securitisation positions nor n-th to default credit derivatives (see Article 338(3) </w:t>
      </w:r>
      <w:r w:rsidR="007062FD" w:rsidRPr="004B0EC7">
        <w:rPr>
          <w:lang w:val="en-US"/>
        </w:rPr>
        <w:t>of Regulation (EU) No 575/2013</w:t>
      </w:r>
      <w:r w:rsidR="00C55547" w:rsidRPr="004B0EC7">
        <w:t>), but they are explicitly "linked" to one of th</w:t>
      </w:r>
      <w:r w:rsidR="00EF6FD5" w:rsidRPr="004B0EC7">
        <w:t>o</w:t>
      </w:r>
      <w:r w:rsidR="00C55547" w:rsidRPr="004B0EC7">
        <w:t>se two positions</w:t>
      </w:r>
      <w:r w:rsidR="00E64BFE" w:rsidRPr="004B0EC7">
        <w:t xml:space="preserve"> (because of the hedging intent)</w:t>
      </w:r>
      <w:r w:rsidR="00C55547" w:rsidRPr="004B0EC7">
        <w:t xml:space="preserve">. </w:t>
      </w:r>
    </w:p>
    <w:p w14:paraId="5B5B9C2A" w14:textId="21A69FAD" w:rsidR="00C55547" w:rsidRPr="004B0EC7" w:rsidRDefault="008F3052" w:rsidP="00660845">
      <w:pPr>
        <w:pStyle w:val="InstructionsText2"/>
        <w:numPr>
          <w:ilvl w:val="0"/>
          <w:numId w:val="0"/>
        </w:numPr>
        <w:ind w:left="993"/>
      </w:pPr>
      <w:r w:rsidRPr="004B0EC7">
        <w:fldChar w:fldCharType="begin"/>
      </w:r>
      <w:r w:rsidRPr="004B0EC7">
        <w:instrText>seq paragraphs</w:instrText>
      </w:r>
      <w:r w:rsidRPr="004B0EC7">
        <w:fldChar w:fldCharType="separate"/>
      </w:r>
      <w:r w:rsidR="00771068" w:rsidRPr="004B0EC7">
        <w:rPr>
          <w:noProof/>
        </w:rPr>
        <w:t>168</w:t>
      </w:r>
      <w:r w:rsidRPr="004B0EC7">
        <w:fldChar w:fldCharType="end"/>
      </w:r>
      <w:r w:rsidR="00C55547" w:rsidRPr="004B0EC7">
        <w:t>.</w:t>
      </w:r>
      <w:r w:rsidR="00C55547" w:rsidRPr="004B0EC7">
        <w:tab/>
      </w:r>
      <w:r w:rsidR="005C14B0" w:rsidRPr="004B0EC7">
        <w:t xml:space="preserve"> </w:t>
      </w:r>
      <w:r w:rsidR="00C55547" w:rsidRPr="004B0EC7">
        <w:t>Positions which receive a risk weight of 1</w:t>
      </w:r>
      <w:r w:rsidR="006A66C9" w:rsidRPr="004B0EC7">
        <w:t xml:space="preserve"> </w:t>
      </w:r>
      <w:r w:rsidR="00C55547" w:rsidRPr="004B0EC7">
        <w:t>250</w:t>
      </w:r>
      <w:r w:rsidR="00B856D5" w:rsidRPr="004B0EC7">
        <w:t> </w:t>
      </w:r>
      <w:r w:rsidR="00C55547" w:rsidRPr="004B0EC7">
        <w:t>% can alternatively be deducted from CET1 (see</w:t>
      </w:r>
      <w:r w:rsidR="00402284" w:rsidRPr="004B0EC7">
        <w:t xml:space="preserve"> </w:t>
      </w:r>
      <w:r w:rsidR="00705025" w:rsidRPr="004B0EC7">
        <w:t>Article 244(1)</w:t>
      </w:r>
      <w:r w:rsidR="00B83DDE" w:rsidRPr="004B0EC7">
        <w:t>, p</w:t>
      </w:r>
      <w:r w:rsidR="00705025" w:rsidRPr="004B0EC7">
        <w:t>oint (b)</w:t>
      </w:r>
      <w:r w:rsidR="00D24331" w:rsidRPr="004B0EC7">
        <w:t>,</w:t>
      </w:r>
      <w:r w:rsidR="00705025" w:rsidRPr="004B0EC7">
        <w:t>Article 245(1)</w:t>
      </w:r>
      <w:r w:rsidR="00B83DDE" w:rsidRPr="004B0EC7">
        <w:t>, p</w:t>
      </w:r>
      <w:r w:rsidR="00D24331" w:rsidRPr="004B0EC7">
        <w:t xml:space="preserve">oint (b) </w:t>
      </w:r>
      <w:r w:rsidR="00705025" w:rsidRPr="004B0EC7">
        <w:t xml:space="preserve">and Article 253 </w:t>
      </w:r>
      <w:r w:rsidR="007062FD" w:rsidRPr="004B0EC7">
        <w:rPr>
          <w:lang w:val="en-US"/>
        </w:rPr>
        <w:t>of Regulation (EU) No 575/2013</w:t>
      </w:r>
      <w:r w:rsidR="00C55547" w:rsidRPr="004B0EC7">
        <w:t xml:space="preserve">). </w:t>
      </w:r>
      <w:r w:rsidR="00EF6FD5" w:rsidRPr="004B0EC7">
        <w:t>Where</w:t>
      </w:r>
      <w:r w:rsidR="00C55547" w:rsidRPr="004B0EC7">
        <w:t xml:space="preserve"> this is the case, those positions have to be reported in row </w:t>
      </w:r>
      <w:r w:rsidR="002F79EA" w:rsidRPr="004B0EC7">
        <w:t>0</w:t>
      </w:r>
      <w:r w:rsidR="00C55547" w:rsidRPr="004B0EC7">
        <w:t>460 of CA1.</w:t>
      </w:r>
    </w:p>
    <w:p w14:paraId="6482CB53" w14:textId="3E0BDD09" w:rsidR="000B0B09" w:rsidRPr="004B0EC7" w:rsidRDefault="00125707" w:rsidP="0023700C">
      <w:pPr>
        <w:pStyle w:val="Instructionsberschrift2"/>
        <w:numPr>
          <w:ilvl w:val="0"/>
          <w:numId w:val="0"/>
        </w:numPr>
        <w:ind w:left="357" w:hanging="357"/>
        <w:rPr>
          <w:rFonts w:ascii="Times New Roman" w:hAnsi="Times New Roman" w:cs="Times New Roman"/>
          <w:sz w:val="24"/>
          <w:lang w:val="en-GB"/>
        </w:rPr>
      </w:pPr>
      <w:bookmarkStart w:id="81" w:name="_Toc151714494"/>
      <w:r w:rsidRPr="004B0EC7">
        <w:rPr>
          <w:rFonts w:ascii="Times New Roman" w:hAnsi="Times New Roman" w:cs="Times New Roman"/>
          <w:sz w:val="24"/>
          <w:u w:val="none"/>
          <w:lang w:val="en-GB"/>
        </w:rPr>
        <w:t>5.3.2.</w:t>
      </w:r>
      <w:r w:rsidRPr="004B0EC7">
        <w:rPr>
          <w:rFonts w:ascii="Times New Roman" w:hAnsi="Times New Roman" w:cs="Times New Roman"/>
          <w:sz w:val="24"/>
          <w:u w:val="none"/>
          <w:lang w:val="en-GB"/>
        </w:rPr>
        <w:tab/>
      </w:r>
      <w:r w:rsidR="000B0B09" w:rsidRPr="004B0EC7">
        <w:rPr>
          <w:rFonts w:ascii="Times New Roman" w:hAnsi="Times New Roman" w:cs="Times New Roman"/>
          <w:sz w:val="24"/>
          <w:lang w:val="en-GB"/>
        </w:rPr>
        <w:t>Instructions concerning specific positions</w:t>
      </w:r>
      <w:bookmarkEnd w:id="75"/>
      <w:bookmarkEnd w:id="76"/>
      <w:bookmarkEnd w:id="77"/>
      <w:bookmarkEnd w:id="78"/>
      <w:bookmarkEnd w:id="79"/>
      <w:bookmarkEnd w:id="80"/>
      <w:bookmarkEnd w:id="81"/>
    </w:p>
    <w:p w14:paraId="08BF27B7" w14:textId="77777777" w:rsidR="000B0B09" w:rsidRPr="004B0EC7" w:rsidRDefault="000B0B09" w:rsidP="00E70AB0">
      <w:pPr>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7874"/>
      </w:tblGrid>
      <w:tr w:rsidR="00C55547" w:rsidRPr="004B0EC7" w14:paraId="05BDB97B" w14:textId="77777777" w:rsidTr="00E10B85">
        <w:trPr>
          <w:trHeight w:val="602"/>
        </w:trPr>
        <w:tc>
          <w:tcPr>
            <w:tcW w:w="8890" w:type="dxa"/>
            <w:gridSpan w:val="2"/>
            <w:shd w:val="clear" w:color="auto" w:fill="CCCCCC"/>
          </w:tcPr>
          <w:p w14:paraId="286354EC" w14:textId="77777777" w:rsidR="00C55547" w:rsidRPr="004B0EC7" w:rsidRDefault="00C55547" w:rsidP="00E10B85">
            <w:pPr>
              <w:autoSpaceDE w:val="0"/>
              <w:autoSpaceDN w:val="0"/>
              <w:adjustRightInd w:val="0"/>
              <w:spacing w:after="0"/>
              <w:rPr>
                <w:rFonts w:ascii="Times New Roman" w:hAnsi="Times New Roman"/>
                <w:b/>
                <w:sz w:val="24"/>
                <w:lang w:eastAsia="nl-BE"/>
              </w:rPr>
            </w:pPr>
            <w:r w:rsidRPr="004B0EC7">
              <w:rPr>
                <w:rFonts w:ascii="Times New Roman" w:hAnsi="Times New Roman"/>
                <w:b/>
                <w:sz w:val="24"/>
                <w:lang w:eastAsia="nl-BE"/>
              </w:rPr>
              <w:t>Columns</w:t>
            </w:r>
          </w:p>
        </w:tc>
      </w:tr>
      <w:tr w:rsidR="00C55547" w:rsidRPr="004B0EC7" w14:paraId="697D3EB6" w14:textId="77777777" w:rsidTr="00E10B85">
        <w:tc>
          <w:tcPr>
            <w:tcW w:w="1016" w:type="dxa"/>
          </w:tcPr>
          <w:p w14:paraId="5A814BB2" w14:textId="77777777" w:rsidR="00C55547" w:rsidRPr="004B0EC7" w:rsidRDefault="002F79EA" w:rsidP="00E10B85">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C55547" w:rsidRPr="004B0EC7">
              <w:rPr>
                <w:rFonts w:ascii="Times New Roman" w:hAnsi="Times New Roman"/>
                <w:sz w:val="24"/>
                <w:lang w:eastAsia="nl-BE"/>
              </w:rPr>
              <w:t>010-</w:t>
            </w:r>
            <w:r w:rsidRPr="004B0EC7">
              <w:rPr>
                <w:rFonts w:ascii="Times New Roman" w:hAnsi="Times New Roman"/>
                <w:sz w:val="24"/>
                <w:lang w:eastAsia="nl-BE"/>
              </w:rPr>
              <w:t>0</w:t>
            </w:r>
            <w:r w:rsidR="00C55547" w:rsidRPr="004B0EC7">
              <w:rPr>
                <w:rFonts w:ascii="Times New Roman" w:hAnsi="Times New Roman"/>
                <w:sz w:val="24"/>
                <w:lang w:eastAsia="nl-BE"/>
              </w:rPr>
              <w:t>020</w:t>
            </w:r>
          </w:p>
        </w:tc>
        <w:tc>
          <w:tcPr>
            <w:tcW w:w="7874" w:type="dxa"/>
          </w:tcPr>
          <w:p w14:paraId="2D41C55B" w14:textId="77777777" w:rsidR="00C55547" w:rsidRPr="004B0EC7" w:rsidRDefault="00C55547" w:rsidP="00E10B85">
            <w:pPr>
              <w:rPr>
                <w:rStyle w:val="InstructionsTabelleberschrift"/>
                <w:rFonts w:ascii="Times New Roman" w:hAnsi="Times New Roman"/>
                <w:sz w:val="24"/>
              </w:rPr>
            </w:pPr>
            <w:r w:rsidRPr="004B0EC7">
              <w:rPr>
                <w:rStyle w:val="InstructionsTabelleberschrift"/>
                <w:rFonts w:ascii="Times New Roman" w:hAnsi="Times New Roman"/>
                <w:sz w:val="24"/>
              </w:rPr>
              <w:t>ALL POSITIONS (LONG AND SHORT)</w:t>
            </w:r>
          </w:p>
          <w:p w14:paraId="4F3CF7CB" w14:textId="017BAB06" w:rsidR="005C14B0" w:rsidRPr="004B0EC7" w:rsidRDefault="00C55547" w:rsidP="00E10B85">
            <w:pPr>
              <w:rPr>
                <w:rFonts w:ascii="Times New Roman" w:hAnsi="Times New Roman"/>
                <w:sz w:val="24"/>
              </w:rPr>
            </w:pPr>
            <w:r w:rsidRPr="004B0EC7">
              <w:rPr>
                <w:rFonts w:ascii="Times New Roman" w:hAnsi="Times New Roman"/>
                <w:sz w:val="24"/>
              </w:rPr>
              <w:t xml:space="preserve">Article 102 and </w:t>
            </w:r>
            <w:r w:rsidR="008241B9" w:rsidRPr="004B0EC7">
              <w:rPr>
                <w:rFonts w:ascii="Times New Roman" w:hAnsi="Times New Roman"/>
                <w:sz w:val="24"/>
              </w:rPr>
              <w:t xml:space="preserve">Article </w:t>
            </w:r>
            <w:r w:rsidRPr="004B0EC7">
              <w:rPr>
                <w:rFonts w:ascii="Times New Roman" w:hAnsi="Times New Roman"/>
                <w:sz w:val="24"/>
              </w:rPr>
              <w:t xml:space="preserve">105(1) </w:t>
            </w:r>
            <w:r w:rsidR="007062FD" w:rsidRPr="004B0EC7">
              <w:rPr>
                <w:rFonts w:ascii="Times New Roman" w:hAnsi="Times New Roman"/>
                <w:sz w:val="24"/>
                <w:lang w:val="en-US"/>
              </w:rPr>
              <w:t>of Regulation (EU) No 575/2013</w:t>
            </w:r>
            <w:r w:rsidRPr="004B0EC7">
              <w:rPr>
                <w:rFonts w:ascii="Times New Roman" w:hAnsi="Times New Roman"/>
                <w:sz w:val="24"/>
              </w:rPr>
              <w:t xml:space="preserve"> in con</w:t>
            </w:r>
            <w:r w:rsidR="00E64BFE" w:rsidRPr="004B0EC7">
              <w:rPr>
                <w:rFonts w:ascii="Times New Roman" w:hAnsi="Times New Roman"/>
                <w:sz w:val="24"/>
              </w:rPr>
              <w:t xml:space="preserve">junction </w:t>
            </w:r>
            <w:r w:rsidR="00EF6FD5" w:rsidRPr="004B0EC7">
              <w:rPr>
                <w:rFonts w:ascii="Times New Roman" w:hAnsi="Times New Roman"/>
                <w:sz w:val="24"/>
              </w:rPr>
              <w:t xml:space="preserve">paragraphs </w:t>
            </w:r>
            <w:r w:rsidR="002F79EA" w:rsidRPr="004B0EC7">
              <w:rPr>
                <w:rFonts w:ascii="Times New Roman" w:hAnsi="Times New Roman"/>
                <w:sz w:val="24"/>
              </w:rPr>
              <w:t>(</w:t>
            </w:r>
            <w:r w:rsidR="00EF6FD5" w:rsidRPr="004B0EC7">
              <w:rPr>
                <w:rFonts w:ascii="Times New Roman" w:hAnsi="Times New Roman"/>
                <w:sz w:val="24"/>
              </w:rPr>
              <w:t>2</w:t>
            </w:r>
            <w:r w:rsidR="002F79EA" w:rsidRPr="004B0EC7">
              <w:rPr>
                <w:rFonts w:ascii="Times New Roman" w:hAnsi="Times New Roman"/>
                <w:sz w:val="24"/>
              </w:rPr>
              <w:t>)</w:t>
            </w:r>
            <w:r w:rsidR="00EF6FD5" w:rsidRPr="004B0EC7">
              <w:rPr>
                <w:rFonts w:ascii="Times New Roman" w:hAnsi="Times New Roman"/>
                <w:sz w:val="24"/>
              </w:rPr>
              <w:t xml:space="preserve"> and </w:t>
            </w:r>
            <w:r w:rsidR="002F79EA" w:rsidRPr="004B0EC7">
              <w:rPr>
                <w:rFonts w:ascii="Times New Roman" w:hAnsi="Times New Roman"/>
                <w:sz w:val="24"/>
              </w:rPr>
              <w:t>(</w:t>
            </w:r>
            <w:r w:rsidR="00EF6FD5" w:rsidRPr="004B0EC7">
              <w:rPr>
                <w:rFonts w:ascii="Times New Roman" w:hAnsi="Times New Roman"/>
                <w:sz w:val="24"/>
              </w:rPr>
              <w:t>3</w:t>
            </w:r>
            <w:r w:rsidR="002F79EA" w:rsidRPr="004B0EC7">
              <w:rPr>
                <w:rFonts w:ascii="Times New Roman" w:hAnsi="Times New Roman"/>
                <w:sz w:val="24"/>
              </w:rPr>
              <w:t>)</w:t>
            </w:r>
            <w:r w:rsidR="00EF6FD5" w:rsidRPr="004B0EC7">
              <w:rPr>
                <w:rFonts w:ascii="Times New Roman" w:hAnsi="Times New Roman"/>
                <w:sz w:val="24"/>
              </w:rPr>
              <w:t xml:space="preserve"> of </w:t>
            </w:r>
            <w:r w:rsidRPr="004B0EC7">
              <w:rPr>
                <w:rFonts w:ascii="Times New Roman" w:hAnsi="Times New Roman"/>
                <w:sz w:val="24"/>
              </w:rPr>
              <w:t xml:space="preserve">Article 338 </w:t>
            </w:r>
            <w:r w:rsidR="007062FD" w:rsidRPr="004B0EC7">
              <w:rPr>
                <w:rFonts w:ascii="Times New Roman" w:hAnsi="Times New Roman"/>
                <w:sz w:val="24"/>
                <w:lang w:val="en-US"/>
              </w:rPr>
              <w:t xml:space="preserve">of that Regulation </w:t>
            </w:r>
            <w:r w:rsidR="00E64BFE" w:rsidRPr="004B0EC7">
              <w:rPr>
                <w:rFonts w:ascii="Times New Roman" w:hAnsi="Times New Roman"/>
                <w:sz w:val="24"/>
              </w:rPr>
              <w:t>(positions assigned to the Correlation Trading Portfolio)</w:t>
            </w:r>
          </w:p>
          <w:p w14:paraId="70FB0860" w14:textId="005CBA75" w:rsidR="00C55547" w:rsidRPr="004B0EC7" w:rsidRDefault="00C55547" w:rsidP="0002267E">
            <w:pPr>
              <w:rPr>
                <w:rFonts w:ascii="Times New Roman" w:hAnsi="Times New Roman"/>
                <w:sz w:val="24"/>
                <w:lang w:eastAsia="nl-BE"/>
              </w:rPr>
            </w:pPr>
            <w:r w:rsidRPr="004B0EC7">
              <w:rPr>
                <w:rFonts w:ascii="Times New Roman" w:hAnsi="Times New Roman"/>
                <w:sz w:val="24"/>
              </w:rPr>
              <w:t xml:space="preserve">Regarding the distinction between </w:t>
            </w:r>
            <w:r w:rsidR="00EF6FD5" w:rsidRPr="004B0EC7">
              <w:rPr>
                <w:rFonts w:ascii="Times New Roman" w:hAnsi="Times New Roman"/>
                <w:sz w:val="24"/>
              </w:rPr>
              <w:t>l</w:t>
            </w:r>
            <w:r w:rsidRPr="004B0EC7">
              <w:rPr>
                <w:rFonts w:ascii="Times New Roman" w:hAnsi="Times New Roman"/>
                <w:sz w:val="24"/>
              </w:rPr>
              <w:t xml:space="preserve">ong and </w:t>
            </w:r>
            <w:r w:rsidR="00EF6FD5" w:rsidRPr="004B0EC7">
              <w:rPr>
                <w:rFonts w:ascii="Times New Roman" w:hAnsi="Times New Roman"/>
                <w:sz w:val="24"/>
              </w:rPr>
              <w:t>s</w:t>
            </w:r>
            <w:r w:rsidRPr="004B0EC7">
              <w:rPr>
                <w:rFonts w:ascii="Times New Roman" w:hAnsi="Times New Roman"/>
                <w:sz w:val="24"/>
              </w:rPr>
              <w:t>hort positions, also applicable to th</w:t>
            </w:r>
            <w:r w:rsidR="00EF6FD5" w:rsidRPr="004B0EC7">
              <w:rPr>
                <w:rFonts w:ascii="Times New Roman" w:hAnsi="Times New Roman"/>
                <w:sz w:val="24"/>
              </w:rPr>
              <w:t>o</w:t>
            </w:r>
            <w:r w:rsidRPr="004B0EC7">
              <w:rPr>
                <w:rFonts w:ascii="Times New Roman" w:hAnsi="Times New Roman"/>
                <w:sz w:val="24"/>
              </w:rPr>
              <w:t xml:space="preserve">se gross positions, see Article 328(2) </w:t>
            </w:r>
            <w:r w:rsidR="007062FD" w:rsidRPr="004B0EC7">
              <w:rPr>
                <w:rFonts w:ascii="Times New Roman" w:hAnsi="Times New Roman"/>
                <w:sz w:val="24"/>
                <w:lang w:val="en-US"/>
              </w:rPr>
              <w:t>of Regulation (EU) No 575/2013</w:t>
            </w:r>
            <w:r w:rsidRPr="004B0EC7">
              <w:rPr>
                <w:rFonts w:ascii="Times New Roman" w:hAnsi="Times New Roman"/>
                <w:sz w:val="24"/>
              </w:rPr>
              <w:t>.</w:t>
            </w:r>
          </w:p>
        </w:tc>
      </w:tr>
      <w:tr w:rsidR="00C55547" w:rsidRPr="004B0EC7" w14:paraId="3641769F" w14:textId="77777777" w:rsidTr="00E10B85">
        <w:tc>
          <w:tcPr>
            <w:tcW w:w="1016" w:type="dxa"/>
          </w:tcPr>
          <w:p w14:paraId="04DBC56E" w14:textId="77777777" w:rsidR="00C55547" w:rsidRPr="004B0EC7" w:rsidRDefault="002F79EA" w:rsidP="00E10B85">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C55547" w:rsidRPr="004B0EC7">
              <w:rPr>
                <w:rFonts w:ascii="Times New Roman" w:hAnsi="Times New Roman"/>
                <w:sz w:val="24"/>
                <w:lang w:eastAsia="nl-BE"/>
              </w:rPr>
              <w:t>030-</w:t>
            </w:r>
            <w:r w:rsidRPr="004B0EC7">
              <w:rPr>
                <w:rFonts w:ascii="Times New Roman" w:hAnsi="Times New Roman"/>
                <w:sz w:val="24"/>
                <w:lang w:eastAsia="nl-BE"/>
              </w:rPr>
              <w:t>0</w:t>
            </w:r>
            <w:r w:rsidR="00C55547" w:rsidRPr="004B0EC7">
              <w:rPr>
                <w:rFonts w:ascii="Times New Roman" w:hAnsi="Times New Roman"/>
                <w:sz w:val="24"/>
                <w:lang w:eastAsia="nl-BE"/>
              </w:rPr>
              <w:t>040</w:t>
            </w:r>
          </w:p>
        </w:tc>
        <w:tc>
          <w:tcPr>
            <w:tcW w:w="7874" w:type="dxa"/>
          </w:tcPr>
          <w:p w14:paraId="7E31C35B" w14:textId="77777777" w:rsidR="00C55547" w:rsidRPr="004B0EC7" w:rsidRDefault="00C55547" w:rsidP="00E10B85">
            <w:pPr>
              <w:rPr>
                <w:rStyle w:val="InstructionsTabelleberschrift"/>
                <w:rFonts w:ascii="Times New Roman" w:hAnsi="Times New Roman"/>
                <w:sz w:val="24"/>
              </w:rPr>
            </w:pPr>
            <w:r w:rsidRPr="004B0EC7">
              <w:rPr>
                <w:rStyle w:val="InstructionsTabelleberschrift"/>
                <w:rFonts w:ascii="Times New Roman" w:hAnsi="Times New Roman"/>
                <w:sz w:val="24"/>
              </w:rPr>
              <w:t>(-) POSITIONS DEDUCTED FROM OWN FUNDS (LONG AND SHORT)</w:t>
            </w:r>
          </w:p>
          <w:p w14:paraId="56207551" w14:textId="0069D39B" w:rsidR="00C55547" w:rsidRPr="004B0EC7" w:rsidRDefault="00C55547" w:rsidP="00E64BFE">
            <w:pPr>
              <w:rPr>
                <w:rFonts w:ascii="Times New Roman" w:hAnsi="Times New Roman"/>
                <w:sz w:val="24"/>
              </w:rPr>
            </w:pPr>
            <w:r w:rsidRPr="004B0EC7">
              <w:rPr>
                <w:rFonts w:ascii="Times New Roman" w:hAnsi="Times New Roman"/>
                <w:sz w:val="24"/>
              </w:rPr>
              <w:t xml:space="preserve">Article 253 </w:t>
            </w:r>
            <w:r w:rsidR="007062FD" w:rsidRPr="004B0EC7">
              <w:rPr>
                <w:rFonts w:ascii="Times New Roman" w:hAnsi="Times New Roman"/>
                <w:sz w:val="24"/>
                <w:lang w:val="en-US"/>
              </w:rPr>
              <w:t>of Regulation (EU) No 575/2013</w:t>
            </w:r>
            <w:r w:rsidRPr="004B0EC7">
              <w:rPr>
                <w:rFonts w:ascii="Times New Roman" w:hAnsi="Times New Roman"/>
                <w:sz w:val="24"/>
              </w:rPr>
              <w:t xml:space="preserve"> </w:t>
            </w:r>
          </w:p>
        </w:tc>
      </w:tr>
      <w:tr w:rsidR="00C55547" w:rsidRPr="004B0EC7" w14:paraId="6E312180" w14:textId="77777777" w:rsidTr="00E10B85">
        <w:tc>
          <w:tcPr>
            <w:tcW w:w="1016" w:type="dxa"/>
          </w:tcPr>
          <w:p w14:paraId="08709592" w14:textId="77777777" w:rsidR="00C55547" w:rsidRPr="004B0EC7" w:rsidRDefault="002F79EA" w:rsidP="00E10B85">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lastRenderedPageBreak/>
              <w:t>0</w:t>
            </w:r>
            <w:r w:rsidR="00C55547" w:rsidRPr="004B0EC7">
              <w:rPr>
                <w:rFonts w:ascii="Times New Roman" w:hAnsi="Times New Roman"/>
                <w:sz w:val="24"/>
                <w:lang w:eastAsia="nl-BE"/>
              </w:rPr>
              <w:t>050-</w:t>
            </w:r>
            <w:r w:rsidRPr="004B0EC7">
              <w:rPr>
                <w:rFonts w:ascii="Times New Roman" w:hAnsi="Times New Roman"/>
                <w:sz w:val="24"/>
                <w:lang w:eastAsia="nl-BE"/>
              </w:rPr>
              <w:t>0</w:t>
            </w:r>
            <w:r w:rsidR="00C55547" w:rsidRPr="004B0EC7">
              <w:rPr>
                <w:rFonts w:ascii="Times New Roman" w:hAnsi="Times New Roman"/>
                <w:sz w:val="24"/>
                <w:lang w:eastAsia="nl-BE"/>
              </w:rPr>
              <w:t>060</w:t>
            </w:r>
          </w:p>
        </w:tc>
        <w:tc>
          <w:tcPr>
            <w:tcW w:w="7874" w:type="dxa"/>
          </w:tcPr>
          <w:p w14:paraId="6226B36A" w14:textId="77777777" w:rsidR="00C55547" w:rsidRPr="004B0EC7" w:rsidRDefault="00C55547" w:rsidP="00E10B85">
            <w:pPr>
              <w:rPr>
                <w:rStyle w:val="InstructionsTabelleberschrift"/>
                <w:rFonts w:ascii="Times New Roman" w:hAnsi="Times New Roman"/>
                <w:sz w:val="24"/>
              </w:rPr>
            </w:pPr>
            <w:r w:rsidRPr="004B0EC7">
              <w:rPr>
                <w:rStyle w:val="InstructionsTabelleberschrift"/>
                <w:rFonts w:ascii="Times New Roman" w:hAnsi="Times New Roman"/>
                <w:sz w:val="24"/>
              </w:rPr>
              <w:t>NET POSITIONS (LONG AND SHORT)</w:t>
            </w:r>
          </w:p>
          <w:p w14:paraId="01BDDE40" w14:textId="76E789A7" w:rsidR="005C14B0" w:rsidRPr="004B0EC7" w:rsidRDefault="00C55547" w:rsidP="00E10B85">
            <w:pPr>
              <w:rPr>
                <w:rFonts w:ascii="Times New Roman" w:hAnsi="Times New Roman"/>
                <w:sz w:val="24"/>
              </w:rPr>
            </w:pPr>
            <w:r w:rsidRPr="004B0EC7">
              <w:rPr>
                <w:rFonts w:ascii="Times New Roman" w:hAnsi="Times New Roman"/>
                <w:sz w:val="24"/>
              </w:rPr>
              <w:t>Articles 327</w:t>
            </w:r>
            <w:r w:rsidR="00EF6FD5" w:rsidRPr="004B0EC7">
              <w:rPr>
                <w:rFonts w:ascii="Times New Roman" w:hAnsi="Times New Roman"/>
                <w:sz w:val="24"/>
              </w:rPr>
              <w:t>,</w:t>
            </w:r>
            <w:r w:rsidRPr="004B0EC7">
              <w:rPr>
                <w:rFonts w:ascii="Times New Roman" w:hAnsi="Times New Roman"/>
                <w:sz w:val="24"/>
              </w:rPr>
              <w:t xml:space="preserve"> </w:t>
            </w:r>
            <w:r w:rsidR="00EF6FD5" w:rsidRPr="004B0EC7">
              <w:rPr>
                <w:rFonts w:ascii="Times New Roman" w:hAnsi="Times New Roman"/>
                <w:sz w:val="24"/>
              </w:rPr>
              <w:t>328,</w:t>
            </w:r>
            <w:r w:rsidRPr="004B0EC7">
              <w:rPr>
                <w:rFonts w:ascii="Times New Roman" w:hAnsi="Times New Roman"/>
                <w:sz w:val="24"/>
              </w:rPr>
              <w:t xml:space="preserve"> 329 and 334 </w:t>
            </w:r>
            <w:r w:rsidR="007062FD" w:rsidRPr="004B0EC7">
              <w:rPr>
                <w:rFonts w:ascii="Times New Roman" w:hAnsi="Times New Roman"/>
                <w:sz w:val="24"/>
                <w:lang w:val="en-US"/>
              </w:rPr>
              <w:t>of Regulation (EU) No 575/2013</w:t>
            </w:r>
            <w:r w:rsidRPr="004B0EC7">
              <w:rPr>
                <w:rFonts w:ascii="Times New Roman" w:hAnsi="Times New Roman"/>
                <w:sz w:val="24"/>
              </w:rPr>
              <w:t xml:space="preserve"> </w:t>
            </w:r>
          </w:p>
          <w:p w14:paraId="6C03F093" w14:textId="2B98C3C7" w:rsidR="00C55547" w:rsidRPr="004B0EC7" w:rsidRDefault="00C55547" w:rsidP="00E64BFE">
            <w:pPr>
              <w:rPr>
                <w:rFonts w:ascii="Times New Roman" w:hAnsi="Times New Roman"/>
                <w:sz w:val="24"/>
              </w:rPr>
            </w:pPr>
            <w:r w:rsidRPr="004B0EC7">
              <w:rPr>
                <w:rFonts w:ascii="Times New Roman" w:hAnsi="Times New Roman"/>
                <w:sz w:val="24"/>
              </w:rPr>
              <w:t xml:space="preserve">Regarding the distinction between </w:t>
            </w:r>
            <w:r w:rsidR="00EF6FD5" w:rsidRPr="004B0EC7">
              <w:rPr>
                <w:rFonts w:ascii="Times New Roman" w:hAnsi="Times New Roman"/>
                <w:sz w:val="24"/>
              </w:rPr>
              <w:t>l</w:t>
            </w:r>
            <w:r w:rsidRPr="004B0EC7">
              <w:rPr>
                <w:rFonts w:ascii="Times New Roman" w:hAnsi="Times New Roman"/>
                <w:sz w:val="24"/>
              </w:rPr>
              <w:t xml:space="preserve">ong and </w:t>
            </w:r>
            <w:r w:rsidR="00EF6FD5" w:rsidRPr="004B0EC7">
              <w:rPr>
                <w:rFonts w:ascii="Times New Roman" w:hAnsi="Times New Roman"/>
                <w:sz w:val="24"/>
              </w:rPr>
              <w:t>s</w:t>
            </w:r>
            <w:r w:rsidRPr="004B0EC7">
              <w:rPr>
                <w:rFonts w:ascii="Times New Roman" w:hAnsi="Times New Roman"/>
                <w:sz w:val="24"/>
              </w:rPr>
              <w:t>hort positions</w:t>
            </w:r>
            <w:r w:rsidR="00EF6FD5" w:rsidRPr="004B0EC7">
              <w:rPr>
                <w:rFonts w:ascii="Times New Roman" w:hAnsi="Times New Roman"/>
                <w:sz w:val="24"/>
              </w:rPr>
              <w:t>,</w:t>
            </w:r>
            <w:r w:rsidRPr="004B0EC7">
              <w:rPr>
                <w:rFonts w:ascii="Times New Roman" w:hAnsi="Times New Roman"/>
                <w:sz w:val="24"/>
              </w:rPr>
              <w:t xml:space="preserve"> see Article 328(2) </w:t>
            </w:r>
            <w:r w:rsidR="007062FD" w:rsidRPr="004B0EC7">
              <w:rPr>
                <w:rFonts w:ascii="Times New Roman" w:hAnsi="Times New Roman"/>
                <w:sz w:val="24"/>
                <w:lang w:val="en-US"/>
              </w:rPr>
              <w:t>of Regulation (EU) No 575/2013</w:t>
            </w:r>
            <w:r w:rsidRPr="004B0EC7">
              <w:rPr>
                <w:rFonts w:ascii="Times New Roman" w:hAnsi="Times New Roman"/>
                <w:sz w:val="24"/>
              </w:rPr>
              <w:t>.</w:t>
            </w:r>
          </w:p>
        </w:tc>
      </w:tr>
      <w:tr w:rsidR="00C55547" w:rsidRPr="004B0EC7" w14:paraId="6F83AB99" w14:textId="77777777" w:rsidTr="00E10B85">
        <w:tc>
          <w:tcPr>
            <w:tcW w:w="1016" w:type="dxa"/>
          </w:tcPr>
          <w:p w14:paraId="6DDF2435" w14:textId="77777777" w:rsidR="00C55547" w:rsidRPr="004B0EC7" w:rsidRDefault="002F79EA" w:rsidP="00543964">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C55547" w:rsidRPr="004B0EC7">
              <w:rPr>
                <w:rFonts w:ascii="Times New Roman" w:hAnsi="Times New Roman"/>
                <w:sz w:val="24"/>
                <w:lang w:eastAsia="nl-BE"/>
              </w:rPr>
              <w:t>071-</w:t>
            </w:r>
            <w:r w:rsidRPr="004B0EC7">
              <w:rPr>
                <w:rFonts w:ascii="Times New Roman" w:hAnsi="Times New Roman"/>
                <w:sz w:val="24"/>
                <w:lang w:eastAsia="nl-BE"/>
              </w:rPr>
              <w:t>0</w:t>
            </w:r>
            <w:r w:rsidR="00543964" w:rsidRPr="004B0EC7">
              <w:rPr>
                <w:rFonts w:ascii="Times New Roman" w:hAnsi="Times New Roman"/>
                <w:sz w:val="24"/>
                <w:lang w:eastAsia="nl-BE"/>
              </w:rPr>
              <w:t>097</w:t>
            </w:r>
          </w:p>
        </w:tc>
        <w:tc>
          <w:tcPr>
            <w:tcW w:w="7874" w:type="dxa"/>
          </w:tcPr>
          <w:p w14:paraId="247CF712" w14:textId="77777777" w:rsidR="00C55547" w:rsidRPr="004B0EC7" w:rsidRDefault="00C55547" w:rsidP="00E10B85">
            <w:pPr>
              <w:rPr>
                <w:rStyle w:val="InstructionsTabelleberschrift"/>
                <w:rFonts w:ascii="Times New Roman" w:hAnsi="Times New Roman"/>
                <w:sz w:val="24"/>
              </w:rPr>
            </w:pPr>
            <w:r w:rsidRPr="004B0EC7">
              <w:rPr>
                <w:rStyle w:val="InstructionsTabelleberschrift"/>
                <w:rFonts w:ascii="Times New Roman" w:hAnsi="Times New Roman"/>
                <w:sz w:val="24"/>
              </w:rPr>
              <w:t xml:space="preserve">BREAKDOWN OF THE NET POSITIONS </w:t>
            </w:r>
            <w:r w:rsidR="0090036A" w:rsidRPr="004B0EC7">
              <w:rPr>
                <w:rStyle w:val="InstructionsTabelleberschrift"/>
                <w:rFonts w:ascii="Times New Roman" w:hAnsi="Times New Roman"/>
                <w:sz w:val="24"/>
              </w:rPr>
              <w:t>BY</w:t>
            </w:r>
            <w:r w:rsidRPr="004B0EC7">
              <w:rPr>
                <w:rStyle w:val="InstructionsTabelleberschrift"/>
                <w:rFonts w:ascii="Times New Roman" w:hAnsi="Times New Roman"/>
                <w:sz w:val="24"/>
              </w:rPr>
              <w:t xml:space="preserve"> RISK WEIGHTS</w:t>
            </w:r>
          </w:p>
          <w:p w14:paraId="691F4414" w14:textId="030DE019" w:rsidR="00C55547" w:rsidRPr="004B0EC7" w:rsidRDefault="00133396" w:rsidP="001F2389">
            <w:pPr>
              <w:rPr>
                <w:rFonts w:ascii="Times New Roman" w:hAnsi="Times New Roman"/>
                <w:sz w:val="24"/>
              </w:rPr>
            </w:pPr>
            <w:r w:rsidRPr="004B0EC7">
              <w:rPr>
                <w:rStyle w:val="InstructionsTabelleText"/>
                <w:rFonts w:ascii="Times New Roman" w:hAnsi="Times New Roman"/>
                <w:sz w:val="24"/>
              </w:rPr>
              <w:t xml:space="preserve">Articles 259 to 262, of Article 263, </w:t>
            </w:r>
            <w:r w:rsidR="001F2389" w:rsidRPr="004B0EC7">
              <w:rPr>
                <w:rStyle w:val="InstructionsTabelleText"/>
                <w:rFonts w:ascii="Times New Roman" w:hAnsi="Times New Roman"/>
                <w:sz w:val="24"/>
              </w:rPr>
              <w:t xml:space="preserve">Tables 1 and 2, </w:t>
            </w:r>
            <w:r w:rsidRPr="004B0EC7">
              <w:rPr>
                <w:rStyle w:val="InstructionsTabelleText"/>
                <w:rFonts w:ascii="Times New Roman" w:hAnsi="Times New Roman"/>
                <w:sz w:val="24"/>
              </w:rPr>
              <w:t>Article 264</w:t>
            </w:r>
            <w:r w:rsidR="001F2389" w:rsidRPr="004B0EC7">
              <w:rPr>
                <w:rStyle w:val="InstructionsTabelleText"/>
                <w:rFonts w:ascii="Times New Roman" w:hAnsi="Times New Roman"/>
                <w:sz w:val="24"/>
              </w:rPr>
              <w:t>,</w:t>
            </w:r>
            <w:r w:rsidRPr="004B0EC7">
              <w:rPr>
                <w:rStyle w:val="InstructionsTabelleText"/>
                <w:rFonts w:ascii="Times New Roman" w:hAnsi="Times New Roman"/>
                <w:sz w:val="24"/>
              </w:rPr>
              <w:t xml:space="preserve"> </w:t>
            </w:r>
            <w:r w:rsidR="001F2389" w:rsidRPr="004B0EC7">
              <w:rPr>
                <w:rStyle w:val="InstructionsTabelleText"/>
                <w:rFonts w:ascii="Times New Roman" w:hAnsi="Times New Roman"/>
                <w:sz w:val="24"/>
              </w:rPr>
              <w:t xml:space="preserve">Tables 3 and 4 </w:t>
            </w:r>
            <w:r w:rsidRPr="004B0EC7">
              <w:rPr>
                <w:rStyle w:val="InstructionsTabelleText"/>
                <w:rFonts w:ascii="Times New Roman" w:hAnsi="Times New Roman"/>
                <w:sz w:val="24"/>
              </w:rPr>
              <w:t xml:space="preserve">and Article 266 </w:t>
            </w:r>
            <w:r w:rsidR="007062FD" w:rsidRPr="004B0EC7">
              <w:rPr>
                <w:rFonts w:ascii="Times New Roman" w:hAnsi="Times New Roman"/>
                <w:sz w:val="24"/>
                <w:lang w:val="en-US"/>
              </w:rPr>
              <w:t>of Regulation (EU) No 575/2013</w:t>
            </w:r>
          </w:p>
        </w:tc>
      </w:tr>
      <w:tr w:rsidR="00C55547" w:rsidRPr="004B0EC7" w14:paraId="495D2FD0" w14:textId="77777777" w:rsidTr="00E10B85">
        <w:tc>
          <w:tcPr>
            <w:tcW w:w="1016" w:type="dxa"/>
          </w:tcPr>
          <w:p w14:paraId="295B01D9" w14:textId="77777777" w:rsidR="00C55547" w:rsidRPr="004B0EC7" w:rsidRDefault="002F79EA" w:rsidP="00921700">
            <w:pPr>
              <w:rPr>
                <w:rFonts w:ascii="Times New Roman" w:hAnsi="Times New Roman"/>
                <w:sz w:val="24"/>
              </w:rPr>
            </w:pPr>
            <w:r w:rsidRPr="004B0EC7">
              <w:rPr>
                <w:rFonts w:ascii="Times New Roman" w:hAnsi="Times New Roman"/>
                <w:sz w:val="24"/>
                <w:lang w:eastAsia="nl-BE"/>
              </w:rPr>
              <w:t>0</w:t>
            </w:r>
            <w:r w:rsidR="00C55547" w:rsidRPr="004B0EC7">
              <w:rPr>
                <w:rFonts w:ascii="Times New Roman" w:hAnsi="Times New Roman"/>
                <w:sz w:val="24"/>
                <w:lang w:eastAsia="nl-BE"/>
              </w:rPr>
              <w:t>40</w:t>
            </w:r>
            <w:r w:rsidR="00921700" w:rsidRPr="004B0EC7">
              <w:rPr>
                <w:rFonts w:ascii="Times New Roman" w:hAnsi="Times New Roman"/>
                <w:sz w:val="24"/>
                <w:lang w:eastAsia="nl-BE"/>
              </w:rPr>
              <w:t>2</w:t>
            </w:r>
            <w:r w:rsidR="00C55547" w:rsidRPr="004B0EC7">
              <w:rPr>
                <w:rFonts w:ascii="Times New Roman" w:hAnsi="Times New Roman"/>
                <w:sz w:val="24"/>
                <w:lang w:eastAsia="nl-BE"/>
              </w:rPr>
              <w:t>-</w:t>
            </w:r>
            <w:r w:rsidRPr="004B0EC7">
              <w:rPr>
                <w:rFonts w:ascii="Times New Roman" w:hAnsi="Times New Roman"/>
                <w:sz w:val="24"/>
                <w:lang w:eastAsia="nl-BE"/>
              </w:rPr>
              <w:t>0</w:t>
            </w:r>
            <w:r w:rsidR="00C55547" w:rsidRPr="004B0EC7">
              <w:rPr>
                <w:rFonts w:ascii="Times New Roman" w:hAnsi="Times New Roman"/>
                <w:sz w:val="24"/>
                <w:lang w:eastAsia="nl-BE"/>
              </w:rPr>
              <w:t>40</w:t>
            </w:r>
            <w:r w:rsidR="00921700" w:rsidRPr="004B0EC7">
              <w:rPr>
                <w:rFonts w:ascii="Times New Roman" w:hAnsi="Times New Roman"/>
                <w:sz w:val="24"/>
                <w:lang w:eastAsia="nl-BE"/>
              </w:rPr>
              <w:t>6</w:t>
            </w:r>
          </w:p>
        </w:tc>
        <w:tc>
          <w:tcPr>
            <w:tcW w:w="7874" w:type="dxa"/>
          </w:tcPr>
          <w:p w14:paraId="23629FA6" w14:textId="77777777" w:rsidR="00C55547" w:rsidRPr="004B0EC7" w:rsidRDefault="00543964" w:rsidP="00E10B85">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BREAKDOWN OF THE NET POSITION</w:t>
            </w:r>
            <w:r w:rsidR="006B3BAE" w:rsidRPr="004B0EC7">
              <w:rPr>
                <w:rFonts w:ascii="Times New Roman" w:hAnsi="Times New Roman"/>
                <w:b/>
                <w:bCs/>
                <w:sz w:val="24"/>
                <w:u w:val="single"/>
                <w:lang w:eastAsia="nl-BE"/>
              </w:rPr>
              <w:t>S</w:t>
            </w:r>
            <w:r w:rsidR="00C55547" w:rsidRPr="004B0EC7">
              <w:rPr>
                <w:rFonts w:ascii="Times New Roman" w:hAnsi="Times New Roman"/>
                <w:b/>
                <w:bCs/>
                <w:sz w:val="24"/>
                <w:u w:val="single"/>
                <w:lang w:eastAsia="nl-BE"/>
              </w:rPr>
              <w:t xml:space="preserve"> </w:t>
            </w:r>
            <w:r w:rsidR="00133396" w:rsidRPr="004B0EC7">
              <w:rPr>
                <w:rFonts w:ascii="Times New Roman" w:hAnsi="Times New Roman"/>
                <w:b/>
                <w:bCs/>
                <w:sz w:val="24"/>
                <w:u w:val="single"/>
                <w:lang w:eastAsia="nl-BE"/>
              </w:rPr>
              <w:t>BY</w:t>
            </w:r>
            <w:r w:rsidR="00C55547" w:rsidRPr="004B0EC7">
              <w:rPr>
                <w:rFonts w:ascii="Times New Roman" w:hAnsi="Times New Roman"/>
                <w:b/>
                <w:bCs/>
                <w:sz w:val="24"/>
                <w:u w:val="single"/>
                <w:lang w:eastAsia="nl-BE"/>
              </w:rPr>
              <w:t xml:space="preserve"> APPROACHES</w:t>
            </w:r>
          </w:p>
          <w:p w14:paraId="19937787" w14:textId="465ADE79" w:rsidR="00C55547" w:rsidRPr="004B0EC7" w:rsidRDefault="00C55547" w:rsidP="0002267E">
            <w:pPr>
              <w:autoSpaceDE w:val="0"/>
              <w:autoSpaceDN w:val="0"/>
              <w:adjustRightInd w:val="0"/>
              <w:spacing w:before="0" w:after="0"/>
              <w:rPr>
                <w:rStyle w:val="InstructionsTabelleberschrift"/>
                <w:rFonts w:ascii="Times New Roman" w:hAnsi="Times New Roman"/>
                <w:sz w:val="24"/>
              </w:rPr>
            </w:pPr>
            <w:r w:rsidRPr="004B0EC7">
              <w:rPr>
                <w:rStyle w:val="InstructionsTabelleText"/>
                <w:rFonts w:ascii="Times New Roman" w:hAnsi="Times New Roman"/>
                <w:sz w:val="24"/>
              </w:rPr>
              <w:t xml:space="preserve">Article 254 </w:t>
            </w:r>
            <w:r w:rsidR="007062FD" w:rsidRPr="004B0EC7">
              <w:rPr>
                <w:rFonts w:ascii="Times New Roman" w:hAnsi="Times New Roman"/>
                <w:sz w:val="24"/>
                <w:lang w:val="en-US"/>
              </w:rPr>
              <w:t>of Regulation (EU) No 575/2013</w:t>
            </w:r>
            <w:r w:rsidRPr="004B0EC7">
              <w:rPr>
                <w:rStyle w:val="InstructionsTabelleText"/>
                <w:rFonts w:ascii="Times New Roman" w:hAnsi="Times New Roman"/>
                <w:sz w:val="24"/>
              </w:rPr>
              <w:t xml:space="preserve"> </w:t>
            </w:r>
          </w:p>
        </w:tc>
      </w:tr>
      <w:tr w:rsidR="00C55547" w:rsidRPr="004B0EC7" w14:paraId="18FE6247" w14:textId="77777777" w:rsidTr="00E10B85">
        <w:tc>
          <w:tcPr>
            <w:tcW w:w="1016" w:type="dxa"/>
          </w:tcPr>
          <w:p w14:paraId="17001A21" w14:textId="77777777" w:rsidR="00C55547" w:rsidRPr="004B0EC7" w:rsidRDefault="002F79EA" w:rsidP="00921700">
            <w:pPr>
              <w:rPr>
                <w:rFonts w:ascii="Times New Roman" w:hAnsi="Times New Roman"/>
                <w:sz w:val="24"/>
              </w:rPr>
            </w:pPr>
            <w:r w:rsidRPr="004B0EC7">
              <w:rPr>
                <w:rFonts w:ascii="Times New Roman" w:hAnsi="Times New Roman"/>
                <w:sz w:val="24"/>
                <w:lang w:eastAsia="nl-BE"/>
              </w:rPr>
              <w:t>0</w:t>
            </w:r>
            <w:r w:rsidR="00C55547" w:rsidRPr="004B0EC7">
              <w:rPr>
                <w:rFonts w:ascii="Times New Roman" w:hAnsi="Times New Roman"/>
                <w:sz w:val="24"/>
                <w:lang w:eastAsia="nl-BE"/>
              </w:rPr>
              <w:t>40</w:t>
            </w:r>
            <w:r w:rsidR="00921700" w:rsidRPr="004B0EC7">
              <w:rPr>
                <w:rFonts w:ascii="Times New Roman" w:hAnsi="Times New Roman"/>
                <w:sz w:val="24"/>
                <w:lang w:eastAsia="nl-BE"/>
              </w:rPr>
              <w:t>2</w:t>
            </w:r>
          </w:p>
        </w:tc>
        <w:tc>
          <w:tcPr>
            <w:tcW w:w="7874" w:type="dxa"/>
          </w:tcPr>
          <w:p w14:paraId="79F7161D" w14:textId="77777777" w:rsidR="00C55547" w:rsidRPr="004B0EC7" w:rsidRDefault="00C55547" w:rsidP="00E10B85">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SEC-IRBA</w:t>
            </w:r>
          </w:p>
          <w:p w14:paraId="1718443C" w14:textId="27159510" w:rsidR="00C55547" w:rsidRPr="004B0EC7" w:rsidRDefault="00C55547" w:rsidP="0002267E">
            <w:pPr>
              <w:autoSpaceDE w:val="0"/>
              <w:autoSpaceDN w:val="0"/>
              <w:adjustRightInd w:val="0"/>
              <w:jc w:val="left"/>
              <w:rPr>
                <w:rStyle w:val="InstructionsTabelleberschrift"/>
                <w:rFonts w:ascii="Times New Roman" w:hAnsi="Times New Roman"/>
                <w:sz w:val="24"/>
              </w:rPr>
            </w:pPr>
            <w:r w:rsidRPr="004B0EC7">
              <w:rPr>
                <w:rStyle w:val="InstructionsTabelleText"/>
                <w:rFonts w:ascii="Times New Roman" w:hAnsi="Times New Roman"/>
                <w:sz w:val="24"/>
              </w:rPr>
              <w:t>Article</w:t>
            </w:r>
            <w:r w:rsidR="005C14B0" w:rsidRPr="004B0EC7">
              <w:rPr>
                <w:rStyle w:val="InstructionsTabelleText"/>
                <w:rFonts w:ascii="Times New Roman" w:hAnsi="Times New Roman"/>
                <w:sz w:val="24"/>
              </w:rPr>
              <w:t>s</w:t>
            </w:r>
            <w:r w:rsidRPr="004B0EC7">
              <w:rPr>
                <w:rStyle w:val="InstructionsTabelleText"/>
                <w:rFonts w:ascii="Times New Roman" w:hAnsi="Times New Roman"/>
                <w:sz w:val="24"/>
              </w:rPr>
              <w:t xml:space="preserve"> 259 and 260 </w:t>
            </w:r>
            <w:r w:rsidR="007062FD" w:rsidRPr="004B0EC7">
              <w:rPr>
                <w:rFonts w:ascii="Times New Roman" w:hAnsi="Times New Roman"/>
                <w:sz w:val="24"/>
                <w:lang w:val="en-US"/>
              </w:rPr>
              <w:t>of Regulation (EU) No 575/2013</w:t>
            </w:r>
          </w:p>
        </w:tc>
      </w:tr>
      <w:tr w:rsidR="00C55547" w:rsidRPr="004B0EC7" w14:paraId="35656008" w14:textId="77777777" w:rsidTr="00E10B85">
        <w:tc>
          <w:tcPr>
            <w:tcW w:w="1016" w:type="dxa"/>
          </w:tcPr>
          <w:p w14:paraId="720D0546" w14:textId="77777777" w:rsidR="00C55547" w:rsidRPr="004B0EC7" w:rsidRDefault="002F79EA" w:rsidP="00921700">
            <w:pPr>
              <w:rPr>
                <w:rFonts w:ascii="Times New Roman" w:hAnsi="Times New Roman"/>
                <w:sz w:val="24"/>
              </w:rPr>
            </w:pPr>
            <w:r w:rsidRPr="004B0EC7">
              <w:rPr>
                <w:rFonts w:ascii="Times New Roman" w:hAnsi="Times New Roman"/>
                <w:sz w:val="24"/>
                <w:lang w:eastAsia="nl-BE"/>
              </w:rPr>
              <w:t>0</w:t>
            </w:r>
            <w:r w:rsidR="00C55547" w:rsidRPr="004B0EC7">
              <w:rPr>
                <w:rFonts w:ascii="Times New Roman" w:hAnsi="Times New Roman"/>
                <w:sz w:val="24"/>
                <w:lang w:eastAsia="nl-BE"/>
              </w:rPr>
              <w:t>40</w:t>
            </w:r>
            <w:r w:rsidR="00921700" w:rsidRPr="004B0EC7">
              <w:rPr>
                <w:rFonts w:ascii="Times New Roman" w:hAnsi="Times New Roman"/>
                <w:sz w:val="24"/>
                <w:lang w:eastAsia="nl-BE"/>
              </w:rPr>
              <w:t>3</w:t>
            </w:r>
          </w:p>
        </w:tc>
        <w:tc>
          <w:tcPr>
            <w:tcW w:w="7874" w:type="dxa"/>
          </w:tcPr>
          <w:p w14:paraId="78903335" w14:textId="77777777" w:rsidR="00C55547" w:rsidRPr="004B0EC7" w:rsidRDefault="00C55547" w:rsidP="00E10B85">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SEC-SA</w:t>
            </w:r>
          </w:p>
          <w:p w14:paraId="4F095DEE" w14:textId="02044DC6" w:rsidR="00C55547" w:rsidRPr="004B0EC7" w:rsidRDefault="00C55547" w:rsidP="0002267E">
            <w:pPr>
              <w:autoSpaceDE w:val="0"/>
              <w:autoSpaceDN w:val="0"/>
              <w:adjustRightInd w:val="0"/>
              <w:jc w:val="left"/>
              <w:rPr>
                <w:rStyle w:val="InstructionsTabelleberschrift"/>
                <w:rFonts w:ascii="Times New Roman" w:hAnsi="Times New Roman"/>
                <w:sz w:val="24"/>
              </w:rPr>
            </w:pPr>
            <w:r w:rsidRPr="004B0EC7">
              <w:rPr>
                <w:rStyle w:val="InstructionsTabelleText"/>
                <w:rFonts w:ascii="Times New Roman" w:hAnsi="Times New Roman"/>
                <w:sz w:val="24"/>
              </w:rPr>
              <w:t>Article</w:t>
            </w:r>
            <w:r w:rsidR="005C14B0" w:rsidRPr="004B0EC7">
              <w:rPr>
                <w:rStyle w:val="InstructionsTabelleText"/>
                <w:rFonts w:ascii="Times New Roman" w:hAnsi="Times New Roman"/>
                <w:sz w:val="24"/>
              </w:rPr>
              <w:t>s</w:t>
            </w:r>
            <w:r w:rsidRPr="004B0EC7">
              <w:rPr>
                <w:rStyle w:val="InstructionsTabelleText"/>
                <w:rFonts w:ascii="Times New Roman" w:hAnsi="Times New Roman"/>
                <w:sz w:val="24"/>
              </w:rPr>
              <w:t xml:space="preserve"> 261 and 262 </w:t>
            </w:r>
            <w:r w:rsidR="007062FD" w:rsidRPr="004B0EC7">
              <w:rPr>
                <w:rFonts w:ascii="Times New Roman" w:hAnsi="Times New Roman"/>
                <w:sz w:val="24"/>
                <w:lang w:val="en-US"/>
              </w:rPr>
              <w:t>of Regulation (EU) No 575/2013</w:t>
            </w:r>
          </w:p>
        </w:tc>
      </w:tr>
      <w:tr w:rsidR="00C55547" w:rsidRPr="004B0EC7" w14:paraId="7B54B7CF" w14:textId="77777777" w:rsidTr="00E10B85">
        <w:tc>
          <w:tcPr>
            <w:tcW w:w="1016" w:type="dxa"/>
          </w:tcPr>
          <w:p w14:paraId="0D21F451" w14:textId="77777777" w:rsidR="00C55547" w:rsidRPr="004B0EC7" w:rsidRDefault="002F79EA" w:rsidP="00921700">
            <w:pPr>
              <w:rPr>
                <w:rFonts w:ascii="Times New Roman" w:hAnsi="Times New Roman"/>
                <w:sz w:val="24"/>
              </w:rPr>
            </w:pPr>
            <w:r w:rsidRPr="004B0EC7">
              <w:rPr>
                <w:rFonts w:ascii="Times New Roman" w:hAnsi="Times New Roman"/>
                <w:sz w:val="24"/>
                <w:lang w:eastAsia="nl-BE"/>
              </w:rPr>
              <w:t>0</w:t>
            </w:r>
            <w:r w:rsidR="00C55547" w:rsidRPr="004B0EC7">
              <w:rPr>
                <w:rFonts w:ascii="Times New Roman" w:hAnsi="Times New Roman"/>
                <w:sz w:val="24"/>
                <w:lang w:eastAsia="nl-BE"/>
              </w:rPr>
              <w:t>40</w:t>
            </w:r>
            <w:r w:rsidR="00921700" w:rsidRPr="004B0EC7">
              <w:rPr>
                <w:rFonts w:ascii="Times New Roman" w:hAnsi="Times New Roman"/>
                <w:sz w:val="24"/>
                <w:lang w:eastAsia="nl-BE"/>
              </w:rPr>
              <w:t>4</w:t>
            </w:r>
          </w:p>
        </w:tc>
        <w:tc>
          <w:tcPr>
            <w:tcW w:w="7874" w:type="dxa"/>
          </w:tcPr>
          <w:p w14:paraId="6AA67FFF" w14:textId="77777777" w:rsidR="00C55547" w:rsidRPr="004B0EC7" w:rsidRDefault="00C55547" w:rsidP="00E10B85">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SEC-ERBA</w:t>
            </w:r>
          </w:p>
          <w:p w14:paraId="108938CD" w14:textId="7A2858ED" w:rsidR="00C55547" w:rsidRPr="004B0EC7" w:rsidRDefault="00C55547" w:rsidP="0002267E">
            <w:pPr>
              <w:autoSpaceDE w:val="0"/>
              <w:autoSpaceDN w:val="0"/>
              <w:adjustRightInd w:val="0"/>
              <w:jc w:val="left"/>
              <w:rPr>
                <w:rStyle w:val="InstructionsTabelleberschrift"/>
                <w:rFonts w:ascii="Times New Roman" w:hAnsi="Times New Roman"/>
                <w:sz w:val="24"/>
              </w:rPr>
            </w:pPr>
            <w:r w:rsidRPr="004B0EC7">
              <w:rPr>
                <w:rStyle w:val="InstructionsTabelleText"/>
                <w:rFonts w:ascii="Times New Roman" w:hAnsi="Times New Roman"/>
                <w:sz w:val="24"/>
              </w:rPr>
              <w:t>Article</w:t>
            </w:r>
            <w:r w:rsidR="005C14B0" w:rsidRPr="004B0EC7">
              <w:rPr>
                <w:rStyle w:val="InstructionsTabelleText"/>
                <w:rFonts w:ascii="Times New Roman" w:hAnsi="Times New Roman"/>
                <w:sz w:val="24"/>
              </w:rPr>
              <w:t>s</w:t>
            </w:r>
            <w:r w:rsidRPr="004B0EC7">
              <w:rPr>
                <w:rStyle w:val="InstructionsTabelleText"/>
                <w:rFonts w:ascii="Times New Roman" w:hAnsi="Times New Roman"/>
                <w:sz w:val="24"/>
              </w:rPr>
              <w:t xml:space="preserve"> 263 and 264 </w:t>
            </w:r>
            <w:r w:rsidR="007062FD" w:rsidRPr="004B0EC7">
              <w:rPr>
                <w:rFonts w:ascii="Times New Roman" w:hAnsi="Times New Roman"/>
                <w:sz w:val="24"/>
                <w:lang w:val="en-US"/>
              </w:rPr>
              <w:t>of Regulation (EU) No 575/2013</w:t>
            </w:r>
          </w:p>
        </w:tc>
      </w:tr>
      <w:tr w:rsidR="00C55547" w:rsidRPr="004B0EC7" w14:paraId="7979A32D" w14:textId="77777777" w:rsidTr="00E10B85">
        <w:tc>
          <w:tcPr>
            <w:tcW w:w="1016" w:type="dxa"/>
          </w:tcPr>
          <w:p w14:paraId="7C1C67E6" w14:textId="77777777" w:rsidR="00C55547" w:rsidRPr="004B0EC7" w:rsidRDefault="002F79EA" w:rsidP="00921700">
            <w:pPr>
              <w:rPr>
                <w:rFonts w:ascii="Times New Roman" w:hAnsi="Times New Roman"/>
                <w:sz w:val="24"/>
              </w:rPr>
            </w:pPr>
            <w:r w:rsidRPr="004B0EC7">
              <w:rPr>
                <w:rFonts w:ascii="Times New Roman" w:hAnsi="Times New Roman"/>
                <w:sz w:val="24"/>
                <w:lang w:eastAsia="nl-BE"/>
              </w:rPr>
              <w:t>0</w:t>
            </w:r>
            <w:r w:rsidR="00C55547" w:rsidRPr="004B0EC7">
              <w:rPr>
                <w:rFonts w:ascii="Times New Roman" w:hAnsi="Times New Roman"/>
                <w:sz w:val="24"/>
                <w:lang w:eastAsia="nl-BE"/>
              </w:rPr>
              <w:t>40</w:t>
            </w:r>
            <w:r w:rsidR="00921700" w:rsidRPr="004B0EC7">
              <w:rPr>
                <w:rFonts w:ascii="Times New Roman" w:hAnsi="Times New Roman"/>
                <w:sz w:val="24"/>
                <w:lang w:eastAsia="nl-BE"/>
              </w:rPr>
              <w:t>5</w:t>
            </w:r>
          </w:p>
        </w:tc>
        <w:tc>
          <w:tcPr>
            <w:tcW w:w="7874" w:type="dxa"/>
          </w:tcPr>
          <w:p w14:paraId="68CACB61" w14:textId="77777777" w:rsidR="00C55547" w:rsidRPr="004B0EC7" w:rsidRDefault="00C55547" w:rsidP="00E10B85">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INTERNAL ASSESSMENT APPROACH</w:t>
            </w:r>
          </w:p>
          <w:p w14:paraId="46E92693" w14:textId="78E87E8C" w:rsidR="00C55547" w:rsidRPr="004B0EC7" w:rsidRDefault="00C55547" w:rsidP="0002267E">
            <w:pPr>
              <w:autoSpaceDE w:val="0"/>
              <w:autoSpaceDN w:val="0"/>
              <w:adjustRightInd w:val="0"/>
              <w:jc w:val="left"/>
              <w:rPr>
                <w:rStyle w:val="InstructionsTabelleberschrift"/>
                <w:rFonts w:ascii="Times New Roman" w:hAnsi="Times New Roman"/>
                <w:sz w:val="24"/>
              </w:rPr>
            </w:pPr>
            <w:r w:rsidRPr="004B0EC7">
              <w:rPr>
                <w:rStyle w:val="InstructionsTabelleText"/>
                <w:rFonts w:ascii="Times New Roman" w:hAnsi="Times New Roman"/>
                <w:sz w:val="24"/>
              </w:rPr>
              <w:t>Articles 254</w:t>
            </w:r>
            <w:r w:rsidR="005F3BBE" w:rsidRPr="004B0EC7">
              <w:rPr>
                <w:rStyle w:val="InstructionsTabelleText"/>
                <w:rFonts w:ascii="Times New Roman" w:hAnsi="Times New Roman"/>
                <w:sz w:val="24"/>
              </w:rPr>
              <w:t xml:space="preserve"> and</w:t>
            </w:r>
            <w:r w:rsidRPr="004B0EC7">
              <w:rPr>
                <w:rStyle w:val="InstructionsTabelleText"/>
                <w:rFonts w:ascii="Times New Roman" w:hAnsi="Times New Roman"/>
                <w:sz w:val="24"/>
              </w:rPr>
              <w:t xml:space="preserve"> 265 and </w:t>
            </w:r>
            <w:r w:rsidR="008241B9" w:rsidRPr="004B0EC7">
              <w:rPr>
                <w:rStyle w:val="InstructionsTabelleText"/>
                <w:rFonts w:ascii="Times New Roman" w:hAnsi="Times New Roman"/>
                <w:sz w:val="24"/>
              </w:rPr>
              <w:t xml:space="preserve">Article </w:t>
            </w:r>
            <w:r w:rsidRPr="004B0EC7">
              <w:rPr>
                <w:rStyle w:val="InstructionsTabelleText"/>
                <w:rFonts w:ascii="Times New Roman" w:hAnsi="Times New Roman"/>
                <w:sz w:val="24"/>
              </w:rPr>
              <w:t xml:space="preserve">266(5) </w:t>
            </w:r>
            <w:r w:rsidR="007062FD" w:rsidRPr="004B0EC7">
              <w:rPr>
                <w:rFonts w:ascii="Times New Roman" w:hAnsi="Times New Roman"/>
                <w:sz w:val="24"/>
                <w:lang w:val="en-US"/>
              </w:rPr>
              <w:t>of Regulation (EU) No 575/2013</w:t>
            </w:r>
            <w:r w:rsidRPr="004B0EC7">
              <w:rPr>
                <w:rStyle w:val="InstructionsTabelleText"/>
                <w:rFonts w:ascii="Times New Roman" w:hAnsi="Times New Roman"/>
                <w:sz w:val="24"/>
              </w:rPr>
              <w:t>.</w:t>
            </w:r>
          </w:p>
        </w:tc>
      </w:tr>
      <w:tr w:rsidR="00A97C62" w:rsidRPr="004B0EC7" w14:paraId="412C0D2A" w14:textId="77777777" w:rsidTr="00E10B85">
        <w:tc>
          <w:tcPr>
            <w:tcW w:w="1016" w:type="dxa"/>
          </w:tcPr>
          <w:p w14:paraId="184EAC6C" w14:textId="26696219" w:rsidR="00A97C62" w:rsidRPr="004B0EC7" w:rsidRDefault="00A97C62" w:rsidP="00A97C62">
            <w:pPr>
              <w:rPr>
                <w:rFonts w:ascii="Times New Roman" w:hAnsi="Times New Roman"/>
                <w:sz w:val="24"/>
                <w:lang w:eastAsia="nl-BE"/>
              </w:rPr>
            </w:pPr>
            <w:r w:rsidRPr="004B0EC7">
              <w:rPr>
                <w:rFonts w:ascii="Times New Roman" w:hAnsi="Times New Roman"/>
                <w:sz w:val="24"/>
                <w:lang w:eastAsia="nl-BE"/>
              </w:rPr>
              <w:t>0900</w:t>
            </w:r>
          </w:p>
        </w:tc>
        <w:tc>
          <w:tcPr>
            <w:tcW w:w="7874" w:type="dxa"/>
          </w:tcPr>
          <w:p w14:paraId="33E51780" w14:textId="77777777" w:rsidR="00A97C62" w:rsidRPr="004B0EC7" w:rsidRDefault="00A97C62" w:rsidP="00A97C62">
            <w:pPr>
              <w:spacing w:before="0" w:after="0"/>
              <w:jc w:val="left"/>
              <w:rPr>
                <w:rFonts w:ascii="Times New Roman" w:hAnsi="Times New Roman"/>
                <w:b/>
                <w:sz w:val="24"/>
                <w:u w:val="single"/>
              </w:rPr>
            </w:pPr>
            <w:r w:rsidRPr="004B0EC7">
              <w:rPr>
                <w:rFonts w:ascii="Times New Roman" w:hAnsi="Times New Roman"/>
                <w:b/>
                <w:sz w:val="24"/>
                <w:u w:val="single"/>
              </w:rPr>
              <w:t>SPECIFIC TREATMENT FOR SENIOR TRANCHES OF QUALIFYING NPE SECURITISATIONS</w:t>
            </w:r>
          </w:p>
          <w:p w14:paraId="1D397AE3" w14:textId="76C348BD" w:rsidR="00A97C62" w:rsidRPr="004B0EC7" w:rsidRDefault="00A97C62" w:rsidP="001235ED">
            <w:pPr>
              <w:autoSpaceDE w:val="0"/>
              <w:autoSpaceDN w:val="0"/>
              <w:adjustRightInd w:val="0"/>
              <w:jc w:val="left"/>
              <w:rPr>
                <w:rFonts w:ascii="Times New Roman" w:hAnsi="Times New Roman"/>
                <w:b/>
                <w:bCs/>
                <w:sz w:val="24"/>
                <w:u w:val="single"/>
                <w:lang w:eastAsia="nl-BE"/>
              </w:rPr>
            </w:pPr>
            <w:r w:rsidRPr="004B0EC7">
              <w:rPr>
                <w:rFonts w:ascii="Times New Roman" w:hAnsi="Times New Roman"/>
                <w:sz w:val="24"/>
              </w:rPr>
              <w:t xml:space="preserve">Article </w:t>
            </w:r>
            <w:r w:rsidRPr="004B0EC7">
              <w:rPr>
                <w:rStyle w:val="InstructionsTabelleText"/>
                <w:rFonts w:ascii="Times New Roman" w:hAnsi="Times New Roman"/>
                <w:sz w:val="24"/>
              </w:rPr>
              <w:t>269a</w:t>
            </w:r>
            <w:r w:rsidRPr="004B0EC7">
              <w:rPr>
                <w:rFonts w:ascii="Times New Roman" w:hAnsi="Times New Roman"/>
                <w:sz w:val="24"/>
              </w:rPr>
              <w:t xml:space="preserve">(3) </w:t>
            </w:r>
            <w:r w:rsidRPr="004B0EC7">
              <w:rPr>
                <w:rFonts w:ascii="Times New Roman" w:hAnsi="Times New Roman"/>
                <w:sz w:val="24"/>
                <w:lang w:val="en-US"/>
              </w:rPr>
              <w:t>of Regulation (EU) No 575/2013</w:t>
            </w:r>
          </w:p>
        </w:tc>
      </w:tr>
      <w:tr w:rsidR="00C55547" w:rsidRPr="004B0EC7" w14:paraId="5C0D49CC" w14:textId="77777777" w:rsidTr="00E10B85">
        <w:tc>
          <w:tcPr>
            <w:tcW w:w="1016" w:type="dxa"/>
          </w:tcPr>
          <w:p w14:paraId="4A75E404" w14:textId="77777777" w:rsidR="00C55547" w:rsidRPr="004B0EC7" w:rsidRDefault="002F79EA" w:rsidP="00921700">
            <w:pPr>
              <w:rPr>
                <w:rFonts w:ascii="Times New Roman" w:hAnsi="Times New Roman"/>
                <w:sz w:val="24"/>
              </w:rPr>
            </w:pPr>
            <w:r w:rsidRPr="004B0EC7">
              <w:rPr>
                <w:rFonts w:ascii="Times New Roman" w:hAnsi="Times New Roman"/>
                <w:sz w:val="24"/>
                <w:lang w:eastAsia="nl-BE"/>
              </w:rPr>
              <w:t>0</w:t>
            </w:r>
            <w:r w:rsidR="00C55547" w:rsidRPr="004B0EC7">
              <w:rPr>
                <w:rFonts w:ascii="Times New Roman" w:hAnsi="Times New Roman"/>
                <w:sz w:val="24"/>
                <w:lang w:eastAsia="nl-BE"/>
              </w:rPr>
              <w:t>40</w:t>
            </w:r>
            <w:r w:rsidR="00921700" w:rsidRPr="004B0EC7">
              <w:rPr>
                <w:rFonts w:ascii="Times New Roman" w:hAnsi="Times New Roman"/>
                <w:sz w:val="24"/>
                <w:lang w:eastAsia="nl-BE"/>
              </w:rPr>
              <w:t>6</w:t>
            </w:r>
          </w:p>
        </w:tc>
        <w:tc>
          <w:tcPr>
            <w:tcW w:w="7874" w:type="dxa"/>
          </w:tcPr>
          <w:p w14:paraId="27B9523C" w14:textId="26593451" w:rsidR="00C55547" w:rsidRPr="004B0EC7" w:rsidRDefault="00C55547" w:rsidP="00E10B85">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OTHER (RW=1</w:t>
            </w:r>
            <w:r w:rsidR="006A66C9" w:rsidRPr="004B0EC7">
              <w:rPr>
                <w:rFonts w:ascii="Times New Roman" w:hAnsi="Times New Roman"/>
                <w:b/>
                <w:bCs/>
                <w:sz w:val="24"/>
                <w:u w:val="single"/>
                <w:lang w:eastAsia="nl-BE"/>
              </w:rPr>
              <w:t xml:space="preserve"> </w:t>
            </w:r>
            <w:r w:rsidRPr="004B0EC7">
              <w:rPr>
                <w:rFonts w:ascii="Times New Roman" w:hAnsi="Times New Roman"/>
                <w:b/>
                <w:bCs/>
                <w:sz w:val="24"/>
                <w:u w:val="single"/>
                <w:lang w:eastAsia="nl-BE"/>
              </w:rPr>
              <w:t>250</w:t>
            </w:r>
            <w:r w:rsidR="00B856D5" w:rsidRPr="004B0EC7">
              <w:t> </w:t>
            </w:r>
            <w:r w:rsidRPr="004B0EC7">
              <w:rPr>
                <w:rFonts w:ascii="Times New Roman" w:hAnsi="Times New Roman"/>
                <w:b/>
                <w:bCs/>
                <w:sz w:val="24"/>
                <w:u w:val="single"/>
                <w:lang w:eastAsia="nl-BE"/>
              </w:rPr>
              <w:t>%)</w:t>
            </w:r>
          </w:p>
          <w:p w14:paraId="0B94870A" w14:textId="0A4BBAC5" w:rsidR="00C55547" w:rsidRPr="004B0EC7" w:rsidRDefault="00C55547" w:rsidP="0002267E">
            <w:pPr>
              <w:autoSpaceDE w:val="0"/>
              <w:autoSpaceDN w:val="0"/>
              <w:adjustRightInd w:val="0"/>
              <w:jc w:val="left"/>
              <w:rPr>
                <w:rStyle w:val="InstructionsTabelleberschrift"/>
                <w:rFonts w:ascii="Times New Roman" w:hAnsi="Times New Roman"/>
                <w:sz w:val="24"/>
              </w:rPr>
            </w:pPr>
            <w:r w:rsidRPr="004B0EC7">
              <w:rPr>
                <w:rStyle w:val="InstructionsTabelleText"/>
                <w:rFonts w:ascii="Times New Roman" w:hAnsi="Times New Roman"/>
                <w:sz w:val="24"/>
              </w:rPr>
              <w:t xml:space="preserve">Article 254(7) </w:t>
            </w:r>
            <w:r w:rsidR="007062FD" w:rsidRPr="004B0EC7">
              <w:rPr>
                <w:rFonts w:ascii="Times New Roman" w:hAnsi="Times New Roman"/>
                <w:sz w:val="24"/>
                <w:lang w:val="en-US"/>
              </w:rPr>
              <w:t>of Regulation (EU) No 575/2013</w:t>
            </w:r>
          </w:p>
        </w:tc>
      </w:tr>
      <w:tr w:rsidR="00C55547" w:rsidRPr="004B0EC7" w14:paraId="16A48520" w14:textId="77777777" w:rsidTr="00E10B85">
        <w:tc>
          <w:tcPr>
            <w:tcW w:w="1016" w:type="dxa"/>
          </w:tcPr>
          <w:p w14:paraId="04D4F5AC" w14:textId="77777777" w:rsidR="00C55547" w:rsidRPr="004B0EC7" w:rsidRDefault="002F79EA" w:rsidP="0002267E">
            <w:pPr>
              <w:rPr>
                <w:rFonts w:ascii="Times New Roman" w:hAnsi="Times New Roman"/>
                <w:sz w:val="24"/>
                <w:lang w:eastAsia="nl-BE"/>
              </w:rPr>
            </w:pPr>
            <w:r w:rsidRPr="004B0EC7">
              <w:rPr>
                <w:rFonts w:ascii="Times New Roman" w:hAnsi="Times New Roman"/>
                <w:sz w:val="24"/>
              </w:rPr>
              <w:t>0</w:t>
            </w:r>
            <w:r w:rsidR="00C55547" w:rsidRPr="004B0EC7">
              <w:rPr>
                <w:rFonts w:ascii="Times New Roman" w:hAnsi="Times New Roman"/>
                <w:sz w:val="24"/>
              </w:rPr>
              <w:t>410-</w:t>
            </w:r>
            <w:r w:rsidRPr="004B0EC7">
              <w:rPr>
                <w:rFonts w:ascii="Times New Roman" w:hAnsi="Times New Roman"/>
                <w:sz w:val="24"/>
              </w:rPr>
              <w:t>0</w:t>
            </w:r>
            <w:r w:rsidR="00C55547" w:rsidRPr="004B0EC7">
              <w:rPr>
                <w:rFonts w:ascii="Times New Roman" w:hAnsi="Times New Roman"/>
                <w:sz w:val="24"/>
              </w:rPr>
              <w:t>420</w:t>
            </w:r>
          </w:p>
        </w:tc>
        <w:tc>
          <w:tcPr>
            <w:tcW w:w="7874" w:type="dxa"/>
          </w:tcPr>
          <w:p w14:paraId="78E183CC" w14:textId="77777777" w:rsidR="00C55547" w:rsidRPr="004B0EC7" w:rsidRDefault="00C55547" w:rsidP="00E10B85">
            <w:pPr>
              <w:rPr>
                <w:rStyle w:val="InstructionsTabelleberschrift"/>
                <w:rFonts w:ascii="Times New Roman" w:hAnsi="Times New Roman"/>
                <w:sz w:val="24"/>
              </w:rPr>
            </w:pPr>
            <w:r w:rsidRPr="004B0EC7">
              <w:rPr>
                <w:rStyle w:val="InstructionsTabelleberschrift"/>
                <w:rFonts w:ascii="Times New Roman" w:hAnsi="Times New Roman"/>
                <w:sz w:val="24"/>
              </w:rPr>
              <w:t>BEFORE CAP - WEIGHTED NET LONG / SHORT POSITIONS</w:t>
            </w:r>
          </w:p>
          <w:p w14:paraId="7E8A31C6" w14:textId="04B0137F" w:rsidR="00C55547" w:rsidRPr="004B0EC7" w:rsidRDefault="00C55547" w:rsidP="007062FD">
            <w:pPr>
              <w:rPr>
                <w:rFonts w:ascii="Times New Roman" w:hAnsi="Times New Roman"/>
                <w:sz w:val="24"/>
              </w:rPr>
            </w:pPr>
            <w:r w:rsidRPr="004B0EC7">
              <w:rPr>
                <w:rFonts w:ascii="Times New Roman" w:hAnsi="Times New Roman"/>
                <w:sz w:val="24"/>
              </w:rPr>
              <w:t>Article 338</w:t>
            </w:r>
            <w:r w:rsidR="00E64BFE" w:rsidRPr="004B0EC7">
              <w:rPr>
                <w:rFonts w:ascii="Times New Roman" w:hAnsi="Times New Roman"/>
                <w:sz w:val="24"/>
              </w:rPr>
              <w:t xml:space="preserve"> </w:t>
            </w:r>
            <w:r w:rsidR="007062FD" w:rsidRPr="004B0EC7">
              <w:rPr>
                <w:rFonts w:ascii="Times New Roman" w:hAnsi="Times New Roman"/>
                <w:sz w:val="24"/>
                <w:lang w:val="en-US"/>
              </w:rPr>
              <w:t>of Regulation (EU) No 575/2013</w:t>
            </w:r>
            <w:r w:rsidR="005F3BBE" w:rsidRPr="004B0EC7">
              <w:rPr>
                <w:rFonts w:ascii="Times New Roman" w:hAnsi="Times New Roman"/>
                <w:sz w:val="24"/>
              </w:rPr>
              <w:t>,</w:t>
            </w:r>
            <w:r w:rsidRPr="004B0EC7">
              <w:rPr>
                <w:rFonts w:ascii="Times New Roman" w:hAnsi="Times New Roman"/>
                <w:sz w:val="24"/>
              </w:rPr>
              <w:t xml:space="preserve"> without taking into account the discretion of Article 335 </w:t>
            </w:r>
            <w:r w:rsidR="007062FD" w:rsidRPr="004B0EC7">
              <w:rPr>
                <w:rFonts w:ascii="Times New Roman" w:hAnsi="Times New Roman"/>
                <w:sz w:val="24"/>
                <w:lang w:val="en-US"/>
              </w:rPr>
              <w:t xml:space="preserve">of that Regulation </w:t>
            </w:r>
          </w:p>
        </w:tc>
      </w:tr>
      <w:tr w:rsidR="00C55547" w:rsidRPr="004B0EC7" w14:paraId="566ACCB3" w14:textId="77777777" w:rsidTr="00E10B85">
        <w:tc>
          <w:tcPr>
            <w:tcW w:w="1016" w:type="dxa"/>
          </w:tcPr>
          <w:p w14:paraId="4093CA68" w14:textId="77777777" w:rsidR="00C55547" w:rsidRPr="004B0EC7" w:rsidRDefault="002F79EA" w:rsidP="0002267E">
            <w:pPr>
              <w:rPr>
                <w:rFonts w:ascii="Times New Roman" w:hAnsi="Times New Roman"/>
                <w:sz w:val="24"/>
                <w:lang w:eastAsia="nl-BE"/>
              </w:rPr>
            </w:pPr>
            <w:r w:rsidRPr="004B0EC7">
              <w:rPr>
                <w:rFonts w:ascii="Times New Roman" w:hAnsi="Times New Roman"/>
                <w:sz w:val="24"/>
              </w:rPr>
              <w:t>0</w:t>
            </w:r>
            <w:r w:rsidR="00C55547" w:rsidRPr="004B0EC7">
              <w:rPr>
                <w:rFonts w:ascii="Times New Roman" w:hAnsi="Times New Roman"/>
                <w:sz w:val="24"/>
              </w:rPr>
              <w:t>430-</w:t>
            </w:r>
            <w:r w:rsidRPr="004B0EC7">
              <w:rPr>
                <w:rFonts w:ascii="Times New Roman" w:hAnsi="Times New Roman"/>
                <w:sz w:val="24"/>
              </w:rPr>
              <w:t>0</w:t>
            </w:r>
            <w:r w:rsidR="00C55547" w:rsidRPr="004B0EC7">
              <w:rPr>
                <w:rFonts w:ascii="Times New Roman" w:hAnsi="Times New Roman"/>
                <w:sz w:val="24"/>
              </w:rPr>
              <w:t>440</w:t>
            </w:r>
          </w:p>
        </w:tc>
        <w:tc>
          <w:tcPr>
            <w:tcW w:w="7874" w:type="dxa"/>
          </w:tcPr>
          <w:p w14:paraId="00C8D0F3" w14:textId="77777777" w:rsidR="00C55547" w:rsidRPr="004B0EC7" w:rsidRDefault="00C55547" w:rsidP="00E10B85">
            <w:pPr>
              <w:rPr>
                <w:rStyle w:val="InstructionsTabelleberschrift"/>
                <w:rFonts w:ascii="Times New Roman" w:hAnsi="Times New Roman"/>
                <w:sz w:val="24"/>
              </w:rPr>
            </w:pPr>
            <w:r w:rsidRPr="004B0EC7">
              <w:rPr>
                <w:rStyle w:val="InstructionsTabelleberschrift"/>
                <w:rFonts w:ascii="Times New Roman" w:hAnsi="Times New Roman"/>
                <w:sz w:val="24"/>
              </w:rPr>
              <w:t>AFTER CAP - WEIGHTED NET LONG / SHORT POSITIONS</w:t>
            </w:r>
          </w:p>
          <w:p w14:paraId="3304B399" w14:textId="1538540C" w:rsidR="00C55547" w:rsidRPr="004B0EC7" w:rsidRDefault="00C55547" w:rsidP="007062FD">
            <w:pPr>
              <w:rPr>
                <w:rFonts w:ascii="Times New Roman" w:hAnsi="Times New Roman"/>
                <w:sz w:val="24"/>
              </w:rPr>
            </w:pPr>
            <w:r w:rsidRPr="004B0EC7">
              <w:rPr>
                <w:rFonts w:ascii="Times New Roman" w:hAnsi="Times New Roman"/>
                <w:sz w:val="24"/>
              </w:rPr>
              <w:t>Article 338</w:t>
            </w:r>
            <w:r w:rsidR="00E64BFE" w:rsidRPr="004B0EC7">
              <w:rPr>
                <w:rFonts w:ascii="Times New Roman" w:hAnsi="Times New Roman"/>
                <w:sz w:val="24"/>
              </w:rPr>
              <w:t xml:space="preserve"> </w:t>
            </w:r>
            <w:r w:rsidR="007062FD" w:rsidRPr="004B0EC7">
              <w:rPr>
                <w:rFonts w:ascii="Times New Roman" w:hAnsi="Times New Roman"/>
                <w:sz w:val="24"/>
                <w:lang w:val="en-US"/>
              </w:rPr>
              <w:t>of Regulation (EU) No 575/2013</w:t>
            </w:r>
            <w:r w:rsidR="005F3BBE" w:rsidRPr="004B0EC7">
              <w:rPr>
                <w:rFonts w:ascii="Times New Roman" w:hAnsi="Times New Roman"/>
                <w:sz w:val="24"/>
              </w:rPr>
              <w:t>,</w:t>
            </w:r>
            <w:r w:rsidRPr="004B0EC7">
              <w:rPr>
                <w:rFonts w:ascii="Times New Roman" w:hAnsi="Times New Roman"/>
                <w:sz w:val="24"/>
              </w:rPr>
              <w:t xml:space="preserve"> taking into account the discretion of Article 335 </w:t>
            </w:r>
            <w:r w:rsidR="007062FD" w:rsidRPr="004B0EC7">
              <w:rPr>
                <w:rFonts w:ascii="Times New Roman" w:hAnsi="Times New Roman"/>
                <w:sz w:val="24"/>
                <w:lang w:val="en-US"/>
              </w:rPr>
              <w:t xml:space="preserve">of that Regulation </w:t>
            </w:r>
          </w:p>
        </w:tc>
      </w:tr>
      <w:tr w:rsidR="00C55547" w:rsidRPr="004B0EC7" w14:paraId="23063B74" w14:textId="77777777" w:rsidTr="00E10B85">
        <w:tc>
          <w:tcPr>
            <w:tcW w:w="1016" w:type="dxa"/>
          </w:tcPr>
          <w:p w14:paraId="5A3BC562" w14:textId="77777777" w:rsidR="00C55547" w:rsidRPr="004B0EC7" w:rsidRDefault="002F79EA" w:rsidP="0002267E">
            <w:pPr>
              <w:rPr>
                <w:rFonts w:ascii="Times New Roman" w:hAnsi="Times New Roman"/>
                <w:sz w:val="24"/>
                <w:lang w:eastAsia="nl-BE"/>
              </w:rPr>
            </w:pPr>
            <w:r w:rsidRPr="004B0EC7">
              <w:rPr>
                <w:rFonts w:ascii="Times New Roman" w:hAnsi="Times New Roman"/>
                <w:sz w:val="24"/>
              </w:rPr>
              <w:t>0</w:t>
            </w:r>
            <w:r w:rsidR="00C55547" w:rsidRPr="004B0EC7">
              <w:rPr>
                <w:rFonts w:ascii="Times New Roman" w:hAnsi="Times New Roman"/>
                <w:sz w:val="24"/>
              </w:rPr>
              <w:t>450</w:t>
            </w:r>
          </w:p>
        </w:tc>
        <w:tc>
          <w:tcPr>
            <w:tcW w:w="7874" w:type="dxa"/>
          </w:tcPr>
          <w:p w14:paraId="4210145F" w14:textId="7D6EC5B6" w:rsidR="00C55547" w:rsidRPr="004B0EC7" w:rsidRDefault="00C55547" w:rsidP="00E10B85">
            <w:pPr>
              <w:rPr>
                <w:rStyle w:val="InstructionsTabelleberschrift"/>
                <w:rFonts w:ascii="Times New Roman" w:hAnsi="Times New Roman"/>
                <w:sz w:val="24"/>
              </w:rPr>
            </w:pPr>
            <w:r w:rsidRPr="004B0EC7">
              <w:rPr>
                <w:rStyle w:val="InstructionsTabelleberschrift"/>
                <w:rFonts w:ascii="Times New Roman" w:hAnsi="Times New Roman"/>
                <w:sz w:val="24"/>
              </w:rPr>
              <w:t>TOTAL OWN FUNDS REQUIREMENTS</w:t>
            </w:r>
            <w:r w:rsidR="00AE43DC" w:rsidRPr="004B0EC7">
              <w:rPr>
                <w:rStyle w:val="InstructionsTabelleberschrift"/>
                <w:rFonts w:ascii="Times New Roman" w:hAnsi="Times New Roman"/>
                <w:sz w:val="24"/>
              </w:rPr>
              <w:t xml:space="preserve"> BEFORE APPLICATION OF SCALING FACTOR</w:t>
            </w:r>
          </w:p>
          <w:p w14:paraId="7DEA5D32" w14:textId="77777777" w:rsidR="00C55547" w:rsidRPr="004B0EC7" w:rsidRDefault="00C55547" w:rsidP="00E10B85">
            <w:pPr>
              <w:rPr>
                <w:rFonts w:ascii="Times New Roman" w:hAnsi="Times New Roman"/>
                <w:sz w:val="24"/>
              </w:rPr>
            </w:pPr>
            <w:r w:rsidRPr="004B0EC7">
              <w:rPr>
                <w:rFonts w:ascii="Times New Roman" w:hAnsi="Times New Roman"/>
                <w:sz w:val="24"/>
              </w:rPr>
              <w:t xml:space="preserve">The own funds requirement is determined as the larger of either (i) the specific risk charge that would apply just to the net long positions (column </w:t>
            </w:r>
            <w:r w:rsidR="002F79EA" w:rsidRPr="004B0EC7">
              <w:rPr>
                <w:rFonts w:ascii="Times New Roman" w:hAnsi="Times New Roman"/>
                <w:sz w:val="24"/>
              </w:rPr>
              <w:t>0</w:t>
            </w:r>
            <w:r w:rsidRPr="004B0EC7">
              <w:rPr>
                <w:rFonts w:ascii="Times New Roman" w:hAnsi="Times New Roman"/>
                <w:sz w:val="24"/>
              </w:rPr>
              <w:t xml:space="preserve">430) or (ii) the specific risk charge that would apply just to the net short positions (column </w:t>
            </w:r>
            <w:r w:rsidR="002F79EA" w:rsidRPr="004B0EC7">
              <w:rPr>
                <w:rFonts w:ascii="Times New Roman" w:hAnsi="Times New Roman"/>
                <w:sz w:val="24"/>
              </w:rPr>
              <w:t>0</w:t>
            </w:r>
            <w:r w:rsidRPr="004B0EC7">
              <w:rPr>
                <w:rFonts w:ascii="Times New Roman" w:hAnsi="Times New Roman"/>
                <w:sz w:val="24"/>
              </w:rPr>
              <w:t>440).</w:t>
            </w:r>
          </w:p>
        </w:tc>
      </w:tr>
    </w:tbl>
    <w:p w14:paraId="4123A762" w14:textId="77777777" w:rsidR="00C55547" w:rsidRPr="004B0EC7" w:rsidRDefault="00C55547" w:rsidP="00C55547">
      <w:pPr>
        <w:autoSpaceDE w:val="0"/>
        <w:autoSpaceDN w:val="0"/>
        <w:adjustRightInd w:val="0"/>
        <w:spacing w:before="0" w:after="0"/>
        <w:rPr>
          <w:rFonts w:ascii="Times New Roman" w:hAnsi="Times New Roman"/>
          <w:sz w:val="24"/>
          <w:lang w:eastAsia="nl-BE"/>
        </w:rPr>
      </w:pPr>
    </w:p>
    <w:p w14:paraId="0FD93711" w14:textId="77777777" w:rsidR="00C55547" w:rsidRPr="004B0EC7" w:rsidRDefault="00C55547" w:rsidP="00C55547">
      <w:pPr>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8059"/>
      </w:tblGrid>
      <w:tr w:rsidR="00C55547" w:rsidRPr="004B0EC7" w14:paraId="0C05A0C6" w14:textId="77777777" w:rsidTr="00E10B85">
        <w:trPr>
          <w:trHeight w:val="642"/>
        </w:trPr>
        <w:tc>
          <w:tcPr>
            <w:tcW w:w="9212" w:type="dxa"/>
            <w:gridSpan w:val="2"/>
            <w:shd w:val="clear" w:color="auto" w:fill="CCCCCC"/>
          </w:tcPr>
          <w:p w14:paraId="1B224033" w14:textId="77777777" w:rsidR="00C55547" w:rsidRPr="004B0EC7" w:rsidRDefault="00C55547" w:rsidP="00E10B85">
            <w:pPr>
              <w:autoSpaceDE w:val="0"/>
              <w:autoSpaceDN w:val="0"/>
              <w:adjustRightInd w:val="0"/>
              <w:spacing w:after="0"/>
              <w:rPr>
                <w:rFonts w:ascii="Times New Roman" w:hAnsi="Times New Roman"/>
                <w:b/>
                <w:sz w:val="24"/>
                <w:lang w:eastAsia="nl-BE"/>
              </w:rPr>
            </w:pPr>
            <w:r w:rsidRPr="004B0EC7">
              <w:rPr>
                <w:rFonts w:ascii="Times New Roman" w:hAnsi="Times New Roman"/>
                <w:b/>
                <w:sz w:val="24"/>
                <w:lang w:eastAsia="nl-BE"/>
              </w:rPr>
              <w:lastRenderedPageBreak/>
              <w:t>Rows</w:t>
            </w:r>
          </w:p>
        </w:tc>
      </w:tr>
      <w:tr w:rsidR="00C55547" w:rsidRPr="004B0EC7" w14:paraId="51303CB0" w14:textId="77777777" w:rsidTr="00E10B85">
        <w:tc>
          <w:tcPr>
            <w:tcW w:w="1008" w:type="dxa"/>
          </w:tcPr>
          <w:p w14:paraId="4EF580E7" w14:textId="77777777" w:rsidR="00C55547" w:rsidRPr="004B0EC7" w:rsidRDefault="002F79EA" w:rsidP="00E10B85">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C55547" w:rsidRPr="004B0EC7">
              <w:rPr>
                <w:rFonts w:ascii="Times New Roman" w:hAnsi="Times New Roman"/>
                <w:sz w:val="24"/>
                <w:lang w:eastAsia="nl-BE"/>
              </w:rPr>
              <w:t>010</w:t>
            </w:r>
          </w:p>
        </w:tc>
        <w:tc>
          <w:tcPr>
            <w:tcW w:w="8204" w:type="dxa"/>
          </w:tcPr>
          <w:p w14:paraId="3B5F07DE" w14:textId="77777777" w:rsidR="00C55547" w:rsidRPr="004B0EC7" w:rsidRDefault="00C55547" w:rsidP="00E10B85">
            <w:pPr>
              <w:rPr>
                <w:rStyle w:val="InstructionsTabelleberschrift"/>
                <w:rFonts w:ascii="Times New Roman" w:hAnsi="Times New Roman"/>
                <w:sz w:val="24"/>
              </w:rPr>
            </w:pPr>
            <w:r w:rsidRPr="004B0EC7">
              <w:rPr>
                <w:rStyle w:val="InstructionsTabelleberschrift"/>
                <w:rFonts w:ascii="Times New Roman" w:hAnsi="Times New Roman"/>
                <w:sz w:val="24"/>
              </w:rPr>
              <w:t>TOTAL EXPOSURES</w:t>
            </w:r>
          </w:p>
          <w:p w14:paraId="47BDA358" w14:textId="77777777" w:rsidR="00C55547" w:rsidRPr="004B0EC7" w:rsidRDefault="00C55547" w:rsidP="00E10B85">
            <w:pPr>
              <w:rPr>
                <w:rFonts w:ascii="Times New Roman" w:hAnsi="Times New Roman"/>
                <w:sz w:val="24"/>
                <w:lang w:eastAsia="nl-BE"/>
              </w:rPr>
            </w:pPr>
            <w:r w:rsidRPr="004B0EC7">
              <w:rPr>
                <w:rFonts w:ascii="Times New Roman" w:hAnsi="Times New Roman"/>
                <w:sz w:val="24"/>
              </w:rPr>
              <w:t>Total amount of outstanding positions (held in the correlation trading portfolio) reported by the institution playing the role/s of originator, investor or sponsor.</w:t>
            </w:r>
          </w:p>
        </w:tc>
      </w:tr>
      <w:tr w:rsidR="00C55547" w:rsidRPr="004B0EC7" w14:paraId="4F9E3B66" w14:textId="77777777" w:rsidTr="00E10B85">
        <w:tc>
          <w:tcPr>
            <w:tcW w:w="1008" w:type="dxa"/>
          </w:tcPr>
          <w:p w14:paraId="4294FDFC" w14:textId="77777777" w:rsidR="00C55547" w:rsidRPr="004B0EC7" w:rsidRDefault="002F79EA" w:rsidP="00E10B85">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C55547" w:rsidRPr="004B0EC7">
              <w:rPr>
                <w:rFonts w:ascii="Times New Roman" w:hAnsi="Times New Roman"/>
                <w:sz w:val="24"/>
                <w:lang w:eastAsia="nl-BE"/>
              </w:rPr>
              <w:t>020-</w:t>
            </w:r>
            <w:r w:rsidRPr="004B0EC7">
              <w:rPr>
                <w:rFonts w:ascii="Times New Roman" w:hAnsi="Times New Roman"/>
                <w:sz w:val="24"/>
                <w:lang w:eastAsia="nl-BE"/>
              </w:rPr>
              <w:t>0</w:t>
            </w:r>
            <w:r w:rsidR="00C55547" w:rsidRPr="004B0EC7">
              <w:rPr>
                <w:rFonts w:ascii="Times New Roman" w:hAnsi="Times New Roman"/>
                <w:sz w:val="24"/>
                <w:lang w:eastAsia="nl-BE"/>
              </w:rPr>
              <w:t>040</w:t>
            </w:r>
          </w:p>
        </w:tc>
        <w:tc>
          <w:tcPr>
            <w:tcW w:w="8204" w:type="dxa"/>
          </w:tcPr>
          <w:p w14:paraId="68E0826A" w14:textId="77777777" w:rsidR="00C55547" w:rsidRPr="004B0EC7" w:rsidRDefault="00C55547" w:rsidP="00E10B85">
            <w:pPr>
              <w:rPr>
                <w:rStyle w:val="InstructionsTabelleberschrift"/>
                <w:rFonts w:ascii="Times New Roman" w:hAnsi="Times New Roman"/>
                <w:sz w:val="24"/>
              </w:rPr>
            </w:pPr>
            <w:r w:rsidRPr="004B0EC7">
              <w:rPr>
                <w:rStyle w:val="InstructionsTabelleberschrift"/>
                <w:rFonts w:ascii="Times New Roman" w:hAnsi="Times New Roman"/>
                <w:sz w:val="24"/>
              </w:rPr>
              <w:t>ORIGINATOR</w:t>
            </w:r>
          </w:p>
          <w:p w14:paraId="07F7FC7F" w14:textId="691C5D11" w:rsidR="00C55547" w:rsidRPr="004B0EC7" w:rsidRDefault="00C55547" w:rsidP="001F2389">
            <w:pPr>
              <w:rPr>
                <w:rFonts w:ascii="Times New Roman" w:hAnsi="Times New Roman"/>
                <w:sz w:val="24"/>
              </w:rPr>
            </w:pPr>
            <w:r w:rsidRPr="004B0EC7">
              <w:rPr>
                <w:rFonts w:ascii="Times New Roman" w:hAnsi="Times New Roman"/>
                <w:sz w:val="24"/>
              </w:rPr>
              <w:t>Article 4(1)</w:t>
            </w:r>
            <w:r w:rsidR="00B83DDE" w:rsidRPr="004B0EC7">
              <w:rPr>
                <w:rFonts w:ascii="Times New Roman" w:hAnsi="Times New Roman"/>
                <w:sz w:val="24"/>
              </w:rPr>
              <w:t>, p</w:t>
            </w:r>
            <w:r w:rsidR="001F2389" w:rsidRPr="004B0EC7">
              <w:rPr>
                <w:rFonts w:ascii="Times New Roman" w:hAnsi="Times New Roman"/>
                <w:sz w:val="24"/>
              </w:rPr>
              <w:t>oint (13)</w:t>
            </w:r>
            <w:r w:rsidR="00FF1617" w:rsidRPr="004B0EC7">
              <w:rPr>
                <w:rFonts w:ascii="Times New Roman" w:hAnsi="Times New Roman"/>
                <w:sz w:val="24"/>
              </w:rPr>
              <w:t>,</w:t>
            </w:r>
            <w:r w:rsidR="001F2389" w:rsidRPr="004B0EC7">
              <w:rPr>
                <w:rFonts w:ascii="Times New Roman" w:hAnsi="Times New Roman"/>
                <w:sz w:val="24"/>
              </w:rPr>
              <w:t xml:space="preserve"> </w:t>
            </w:r>
            <w:r w:rsidR="007062FD" w:rsidRPr="004B0EC7">
              <w:rPr>
                <w:rFonts w:ascii="Times New Roman" w:hAnsi="Times New Roman"/>
                <w:sz w:val="24"/>
                <w:lang w:val="en-US"/>
              </w:rPr>
              <w:t>of Regulation (EU) No 575/2013</w:t>
            </w:r>
            <w:r w:rsidRPr="004B0EC7">
              <w:rPr>
                <w:rFonts w:ascii="Times New Roman" w:hAnsi="Times New Roman"/>
                <w:sz w:val="24"/>
              </w:rPr>
              <w:t xml:space="preserve"> </w:t>
            </w:r>
          </w:p>
        </w:tc>
      </w:tr>
      <w:tr w:rsidR="00C55547" w:rsidRPr="004B0EC7" w14:paraId="1113CFCE" w14:textId="77777777" w:rsidTr="00E10B85">
        <w:tc>
          <w:tcPr>
            <w:tcW w:w="1008" w:type="dxa"/>
          </w:tcPr>
          <w:p w14:paraId="045998CB" w14:textId="77777777" w:rsidR="00C55547" w:rsidRPr="004B0EC7" w:rsidRDefault="002F79EA" w:rsidP="00E10B85">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C55547" w:rsidRPr="004B0EC7">
              <w:rPr>
                <w:rFonts w:ascii="Times New Roman" w:hAnsi="Times New Roman"/>
                <w:sz w:val="24"/>
                <w:lang w:eastAsia="nl-BE"/>
              </w:rPr>
              <w:t>050-</w:t>
            </w:r>
            <w:r w:rsidRPr="004B0EC7">
              <w:rPr>
                <w:rFonts w:ascii="Times New Roman" w:hAnsi="Times New Roman"/>
                <w:sz w:val="24"/>
                <w:lang w:eastAsia="nl-BE"/>
              </w:rPr>
              <w:t>0</w:t>
            </w:r>
            <w:r w:rsidR="00C55547" w:rsidRPr="004B0EC7">
              <w:rPr>
                <w:rFonts w:ascii="Times New Roman" w:hAnsi="Times New Roman"/>
                <w:sz w:val="24"/>
                <w:lang w:eastAsia="nl-BE"/>
              </w:rPr>
              <w:t>070</w:t>
            </w:r>
          </w:p>
        </w:tc>
        <w:tc>
          <w:tcPr>
            <w:tcW w:w="8204" w:type="dxa"/>
          </w:tcPr>
          <w:p w14:paraId="7C4743F6" w14:textId="77777777" w:rsidR="00C55547" w:rsidRPr="004B0EC7" w:rsidRDefault="00C55547" w:rsidP="00E10B85">
            <w:pPr>
              <w:rPr>
                <w:rStyle w:val="InstructionsTabelleberschrift"/>
                <w:rFonts w:ascii="Times New Roman" w:hAnsi="Times New Roman"/>
                <w:sz w:val="24"/>
              </w:rPr>
            </w:pPr>
            <w:r w:rsidRPr="004B0EC7">
              <w:rPr>
                <w:rStyle w:val="InstructionsTabelleberschrift"/>
                <w:rFonts w:ascii="Times New Roman" w:hAnsi="Times New Roman"/>
                <w:sz w:val="24"/>
              </w:rPr>
              <w:t>INVESTOR</w:t>
            </w:r>
          </w:p>
          <w:p w14:paraId="5507389D" w14:textId="77777777" w:rsidR="00C55547" w:rsidRPr="004B0EC7" w:rsidRDefault="00C55547">
            <w:pPr>
              <w:rPr>
                <w:rFonts w:ascii="Times New Roman" w:hAnsi="Times New Roman"/>
                <w:sz w:val="24"/>
              </w:rPr>
            </w:pPr>
            <w:r w:rsidRPr="004B0EC7">
              <w:rPr>
                <w:rFonts w:ascii="Times New Roman" w:hAnsi="Times New Roman"/>
                <w:sz w:val="24"/>
              </w:rPr>
              <w:t>Credit institution that holds a securitisation positions in a securitisation transaction for which it is neither originator, sponsor nor original lender</w:t>
            </w:r>
          </w:p>
        </w:tc>
      </w:tr>
      <w:tr w:rsidR="00C55547" w:rsidRPr="004B0EC7" w14:paraId="3AE4557E" w14:textId="77777777" w:rsidTr="00E10B85">
        <w:tc>
          <w:tcPr>
            <w:tcW w:w="1008" w:type="dxa"/>
          </w:tcPr>
          <w:p w14:paraId="4017D379" w14:textId="77777777" w:rsidR="00C55547" w:rsidRPr="004B0EC7" w:rsidRDefault="002F79EA" w:rsidP="00E10B85">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C55547" w:rsidRPr="004B0EC7">
              <w:rPr>
                <w:rFonts w:ascii="Times New Roman" w:hAnsi="Times New Roman"/>
                <w:sz w:val="24"/>
                <w:lang w:eastAsia="nl-BE"/>
              </w:rPr>
              <w:t>080-</w:t>
            </w:r>
            <w:r w:rsidRPr="004B0EC7">
              <w:rPr>
                <w:rFonts w:ascii="Times New Roman" w:hAnsi="Times New Roman"/>
                <w:sz w:val="24"/>
                <w:lang w:eastAsia="nl-BE"/>
              </w:rPr>
              <w:t>0</w:t>
            </w:r>
            <w:r w:rsidR="00C55547" w:rsidRPr="004B0EC7">
              <w:rPr>
                <w:rFonts w:ascii="Times New Roman" w:hAnsi="Times New Roman"/>
                <w:sz w:val="24"/>
                <w:lang w:eastAsia="nl-BE"/>
              </w:rPr>
              <w:t>100</w:t>
            </w:r>
          </w:p>
        </w:tc>
        <w:tc>
          <w:tcPr>
            <w:tcW w:w="8204" w:type="dxa"/>
          </w:tcPr>
          <w:p w14:paraId="6D18A74A" w14:textId="77777777" w:rsidR="00C55547" w:rsidRPr="004B0EC7" w:rsidRDefault="00C55547" w:rsidP="00E10B85">
            <w:pPr>
              <w:rPr>
                <w:rStyle w:val="InstructionsTabelleberschrift"/>
                <w:rFonts w:ascii="Times New Roman" w:hAnsi="Times New Roman"/>
                <w:sz w:val="24"/>
              </w:rPr>
            </w:pPr>
            <w:r w:rsidRPr="004B0EC7">
              <w:rPr>
                <w:rStyle w:val="InstructionsTabelleberschrift"/>
                <w:rFonts w:ascii="Times New Roman" w:hAnsi="Times New Roman"/>
                <w:sz w:val="24"/>
              </w:rPr>
              <w:t>SPONSOR</w:t>
            </w:r>
          </w:p>
          <w:p w14:paraId="65D6B605" w14:textId="002B3FBA" w:rsidR="005C14B0" w:rsidRPr="004B0EC7" w:rsidRDefault="00E64BFE" w:rsidP="001E0C80">
            <w:pPr>
              <w:rPr>
                <w:rFonts w:ascii="Times New Roman" w:hAnsi="Times New Roman"/>
                <w:sz w:val="24"/>
              </w:rPr>
            </w:pPr>
            <w:r w:rsidRPr="004B0EC7">
              <w:rPr>
                <w:rFonts w:ascii="Times New Roman" w:hAnsi="Times New Roman"/>
                <w:sz w:val="24"/>
              </w:rPr>
              <w:t xml:space="preserve"> </w:t>
            </w:r>
            <w:r w:rsidR="00C55547" w:rsidRPr="004B0EC7">
              <w:rPr>
                <w:rFonts w:ascii="Times New Roman" w:hAnsi="Times New Roman"/>
                <w:sz w:val="24"/>
              </w:rPr>
              <w:t>Article 4(1)</w:t>
            </w:r>
            <w:r w:rsidR="00B83DDE" w:rsidRPr="004B0EC7">
              <w:rPr>
                <w:rFonts w:ascii="Times New Roman" w:hAnsi="Times New Roman"/>
                <w:sz w:val="24"/>
              </w:rPr>
              <w:t>, p</w:t>
            </w:r>
            <w:r w:rsidR="001F2389" w:rsidRPr="004B0EC7">
              <w:rPr>
                <w:rFonts w:ascii="Times New Roman" w:hAnsi="Times New Roman"/>
                <w:sz w:val="24"/>
              </w:rPr>
              <w:t>oint (14)</w:t>
            </w:r>
            <w:r w:rsidR="00FF1617" w:rsidRPr="004B0EC7">
              <w:rPr>
                <w:rFonts w:ascii="Times New Roman" w:hAnsi="Times New Roman"/>
                <w:sz w:val="24"/>
              </w:rPr>
              <w:t>,</w:t>
            </w:r>
            <w:r w:rsidR="001F2389" w:rsidRPr="004B0EC7">
              <w:rPr>
                <w:rFonts w:ascii="Times New Roman" w:hAnsi="Times New Roman"/>
                <w:sz w:val="24"/>
              </w:rPr>
              <w:t xml:space="preserve"> </w:t>
            </w:r>
            <w:r w:rsidR="007062FD" w:rsidRPr="004B0EC7">
              <w:rPr>
                <w:rFonts w:ascii="Times New Roman" w:hAnsi="Times New Roman"/>
                <w:sz w:val="24"/>
                <w:lang w:val="en-US"/>
              </w:rPr>
              <w:t>of Regulation (EU) No 575/2013</w:t>
            </w:r>
            <w:r w:rsidR="00C55547" w:rsidRPr="004B0EC7">
              <w:rPr>
                <w:rFonts w:ascii="Times New Roman" w:hAnsi="Times New Roman"/>
                <w:sz w:val="24"/>
              </w:rPr>
              <w:t xml:space="preserve"> </w:t>
            </w:r>
          </w:p>
          <w:p w14:paraId="7911CCA2" w14:textId="77777777" w:rsidR="00C55547" w:rsidRPr="004B0EC7" w:rsidRDefault="005F3BBE" w:rsidP="005F3BBE">
            <w:pPr>
              <w:rPr>
                <w:rFonts w:ascii="Times New Roman" w:hAnsi="Times New Roman"/>
                <w:sz w:val="24"/>
              </w:rPr>
            </w:pPr>
            <w:r w:rsidRPr="004B0EC7">
              <w:rPr>
                <w:rFonts w:ascii="Times New Roman" w:hAnsi="Times New Roman"/>
                <w:sz w:val="24"/>
              </w:rPr>
              <w:t xml:space="preserve">A </w:t>
            </w:r>
            <w:r w:rsidR="00C55547" w:rsidRPr="004B0EC7">
              <w:rPr>
                <w:rFonts w:ascii="Times New Roman" w:hAnsi="Times New Roman"/>
                <w:sz w:val="24"/>
              </w:rPr>
              <w:t xml:space="preserve">sponsor </w:t>
            </w:r>
            <w:r w:rsidRPr="004B0EC7">
              <w:rPr>
                <w:rFonts w:ascii="Times New Roman" w:hAnsi="Times New Roman"/>
                <w:sz w:val="24"/>
              </w:rPr>
              <w:t>that</w:t>
            </w:r>
            <w:r w:rsidR="00C55547" w:rsidRPr="004B0EC7">
              <w:rPr>
                <w:rFonts w:ascii="Times New Roman" w:hAnsi="Times New Roman"/>
                <w:sz w:val="24"/>
              </w:rPr>
              <w:t xml:space="preserve"> also securitis</w:t>
            </w:r>
            <w:r w:rsidRPr="004B0EC7">
              <w:rPr>
                <w:rFonts w:ascii="Times New Roman" w:hAnsi="Times New Roman"/>
                <w:sz w:val="24"/>
              </w:rPr>
              <w:t>es</w:t>
            </w:r>
            <w:r w:rsidR="00C55547" w:rsidRPr="004B0EC7">
              <w:rPr>
                <w:rFonts w:ascii="Times New Roman" w:hAnsi="Times New Roman"/>
                <w:sz w:val="24"/>
              </w:rPr>
              <w:t xml:space="preserve"> it</w:t>
            </w:r>
            <w:r w:rsidRPr="004B0EC7">
              <w:rPr>
                <w:rFonts w:ascii="Times New Roman" w:hAnsi="Times New Roman"/>
                <w:sz w:val="24"/>
              </w:rPr>
              <w:t>s</w:t>
            </w:r>
            <w:r w:rsidR="00C55547" w:rsidRPr="004B0EC7">
              <w:rPr>
                <w:rFonts w:ascii="Times New Roman" w:hAnsi="Times New Roman"/>
                <w:sz w:val="24"/>
              </w:rPr>
              <w:t xml:space="preserve"> own assets shall fill in the originator's rows with the information regarding its own securitised assets</w:t>
            </w:r>
            <w:r w:rsidRPr="004B0EC7">
              <w:rPr>
                <w:rFonts w:ascii="Times New Roman" w:hAnsi="Times New Roman"/>
                <w:sz w:val="24"/>
              </w:rPr>
              <w:t>.</w:t>
            </w:r>
          </w:p>
        </w:tc>
      </w:tr>
      <w:tr w:rsidR="00C55547" w:rsidRPr="004B0EC7" w14:paraId="5A0251A3" w14:textId="77777777" w:rsidTr="00E10B85">
        <w:tc>
          <w:tcPr>
            <w:tcW w:w="1008" w:type="dxa"/>
          </w:tcPr>
          <w:p w14:paraId="64B09950" w14:textId="77777777" w:rsidR="00C55547" w:rsidRPr="004B0EC7" w:rsidRDefault="002F79EA" w:rsidP="00E10B85">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C55547" w:rsidRPr="004B0EC7">
              <w:rPr>
                <w:rFonts w:ascii="Times New Roman" w:hAnsi="Times New Roman"/>
                <w:sz w:val="24"/>
                <w:lang w:eastAsia="nl-BE"/>
              </w:rPr>
              <w:t>030,</w:t>
            </w:r>
            <w:r w:rsidRPr="004B0EC7">
              <w:rPr>
                <w:rFonts w:ascii="Times New Roman" w:hAnsi="Times New Roman"/>
                <w:sz w:val="24"/>
                <w:lang w:eastAsia="nl-BE"/>
              </w:rPr>
              <w:t xml:space="preserve"> 0</w:t>
            </w:r>
            <w:r w:rsidR="00C55547" w:rsidRPr="004B0EC7">
              <w:rPr>
                <w:rFonts w:ascii="Times New Roman" w:hAnsi="Times New Roman"/>
                <w:sz w:val="24"/>
                <w:lang w:eastAsia="nl-BE"/>
              </w:rPr>
              <w:t xml:space="preserve">060 and </w:t>
            </w:r>
            <w:r w:rsidRPr="004B0EC7">
              <w:rPr>
                <w:rFonts w:ascii="Times New Roman" w:hAnsi="Times New Roman"/>
                <w:sz w:val="24"/>
                <w:lang w:eastAsia="nl-BE"/>
              </w:rPr>
              <w:t>0</w:t>
            </w:r>
            <w:r w:rsidR="00C55547" w:rsidRPr="004B0EC7">
              <w:rPr>
                <w:rFonts w:ascii="Times New Roman" w:hAnsi="Times New Roman"/>
                <w:sz w:val="24"/>
                <w:lang w:eastAsia="nl-BE"/>
              </w:rPr>
              <w:t>090</w:t>
            </w:r>
          </w:p>
        </w:tc>
        <w:tc>
          <w:tcPr>
            <w:tcW w:w="8204" w:type="dxa"/>
          </w:tcPr>
          <w:p w14:paraId="65F68A65" w14:textId="77777777" w:rsidR="00C55547" w:rsidRPr="004B0EC7" w:rsidRDefault="00C55547" w:rsidP="00E10B85">
            <w:pPr>
              <w:rPr>
                <w:rStyle w:val="InstructionsTabelleberschrift"/>
                <w:rFonts w:ascii="Times New Roman" w:hAnsi="Times New Roman"/>
                <w:sz w:val="24"/>
              </w:rPr>
            </w:pPr>
            <w:r w:rsidRPr="004B0EC7">
              <w:rPr>
                <w:rStyle w:val="InstructionsTabelleberschrift"/>
                <w:rFonts w:ascii="Times New Roman" w:hAnsi="Times New Roman"/>
                <w:sz w:val="24"/>
              </w:rPr>
              <w:t>SECURITISATION</w:t>
            </w:r>
            <w:r w:rsidR="006259C7" w:rsidRPr="004B0EC7">
              <w:rPr>
                <w:rStyle w:val="InstructionsTabelleberschrift"/>
                <w:rFonts w:ascii="Times New Roman" w:hAnsi="Times New Roman"/>
                <w:sz w:val="24"/>
              </w:rPr>
              <w:t xml:space="preserve"> POSITIONS</w:t>
            </w:r>
          </w:p>
          <w:p w14:paraId="3E2839F4" w14:textId="4835C00E" w:rsidR="00C55547" w:rsidRPr="004B0EC7" w:rsidRDefault="00C55547" w:rsidP="00E10B85">
            <w:pPr>
              <w:rPr>
                <w:rFonts w:ascii="Times New Roman" w:hAnsi="Times New Roman"/>
                <w:sz w:val="24"/>
                <w:lang w:eastAsia="fr-FR"/>
              </w:rPr>
            </w:pPr>
            <w:r w:rsidRPr="004B0EC7">
              <w:rPr>
                <w:rFonts w:ascii="Times New Roman" w:hAnsi="Times New Roman"/>
                <w:sz w:val="24"/>
                <w:lang w:eastAsia="fr-FR"/>
              </w:rPr>
              <w:t xml:space="preserve">The correlation trading portfolio </w:t>
            </w:r>
            <w:r w:rsidR="005C14B0" w:rsidRPr="004B0EC7">
              <w:rPr>
                <w:rFonts w:ascii="Times New Roman" w:hAnsi="Times New Roman"/>
                <w:sz w:val="24"/>
                <w:lang w:eastAsia="fr-FR"/>
              </w:rPr>
              <w:t xml:space="preserve">shall </w:t>
            </w:r>
            <w:r w:rsidRPr="004B0EC7">
              <w:rPr>
                <w:rFonts w:ascii="Times New Roman" w:hAnsi="Times New Roman"/>
                <w:sz w:val="24"/>
                <w:lang w:eastAsia="fr-FR"/>
              </w:rPr>
              <w:t xml:space="preserve">comprise securitisations, n-th-to-default credit derivatives and possibly other hedging positions that meet the criteria set </w:t>
            </w:r>
            <w:r w:rsidR="005F3BBE" w:rsidRPr="004B0EC7">
              <w:rPr>
                <w:rFonts w:ascii="Times New Roman" w:hAnsi="Times New Roman"/>
                <w:sz w:val="24"/>
                <w:lang w:eastAsia="fr-FR"/>
              </w:rPr>
              <w:t xml:space="preserve">out </w:t>
            </w:r>
            <w:r w:rsidRPr="004B0EC7">
              <w:rPr>
                <w:rFonts w:ascii="Times New Roman" w:hAnsi="Times New Roman"/>
                <w:sz w:val="24"/>
                <w:lang w:eastAsia="fr-FR"/>
              </w:rPr>
              <w:t>in Article 338</w:t>
            </w:r>
            <w:r w:rsidR="00B83DDE" w:rsidRPr="004B0EC7">
              <w:rPr>
                <w:rFonts w:ascii="Times New Roman" w:hAnsi="Times New Roman"/>
                <w:sz w:val="24"/>
                <w:lang w:eastAsia="fr-FR"/>
              </w:rPr>
              <w:t>, p</w:t>
            </w:r>
            <w:r w:rsidR="001F2389" w:rsidRPr="004B0EC7">
              <w:rPr>
                <w:rFonts w:ascii="Times New Roman" w:hAnsi="Times New Roman"/>
                <w:sz w:val="24"/>
                <w:lang w:eastAsia="fr-FR"/>
              </w:rPr>
              <w:t xml:space="preserve">aragraphs 2 and 3 </w:t>
            </w:r>
            <w:r w:rsidR="007062FD" w:rsidRPr="004B0EC7">
              <w:rPr>
                <w:rFonts w:ascii="Times New Roman" w:hAnsi="Times New Roman"/>
                <w:sz w:val="24"/>
                <w:lang w:val="en-US"/>
              </w:rPr>
              <w:t>of Regulation (EU) No 575/2013</w:t>
            </w:r>
            <w:r w:rsidRPr="004B0EC7">
              <w:rPr>
                <w:rFonts w:ascii="Times New Roman" w:hAnsi="Times New Roman"/>
                <w:sz w:val="24"/>
                <w:lang w:eastAsia="fr-FR"/>
              </w:rPr>
              <w:t>.</w:t>
            </w:r>
          </w:p>
          <w:p w14:paraId="284429BF" w14:textId="77777777" w:rsidR="00C55547" w:rsidRPr="004B0EC7" w:rsidRDefault="00C55547" w:rsidP="00E10B85">
            <w:pPr>
              <w:rPr>
                <w:rFonts w:ascii="Times New Roman" w:hAnsi="Times New Roman"/>
                <w:sz w:val="24"/>
              </w:rPr>
            </w:pPr>
            <w:r w:rsidRPr="004B0EC7">
              <w:rPr>
                <w:rFonts w:ascii="Times New Roman" w:hAnsi="Times New Roman"/>
                <w:sz w:val="24"/>
                <w:lang w:eastAsia="fr-FR"/>
              </w:rPr>
              <w:t>Derivatives of securitisation exposures that provide a pro-rata share as well as positions hedging CTP positions shall be included in row 'Other CTP positions'.</w:t>
            </w:r>
          </w:p>
        </w:tc>
      </w:tr>
      <w:tr w:rsidR="00C55547" w:rsidRPr="004B0EC7" w14:paraId="310FE06B" w14:textId="77777777" w:rsidTr="00E10B85">
        <w:tc>
          <w:tcPr>
            <w:tcW w:w="1008" w:type="dxa"/>
          </w:tcPr>
          <w:p w14:paraId="2602BE79" w14:textId="77777777" w:rsidR="00C55547" w:rsidRPr="004B0EC7" w:rsidRDefault="002F79EA" w:rsidP="00E10B85">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C55547" w:rsidRPr="004B0EC7">
              <w:rPr>
                <w:rFonts w:ascii="Times New Roman" w:hAnsi="Times New Roman"/>
                <w:sz w:val="24"/>
                <w:lang w:eastAsia="nl-BE"/>
              </w:rPr>
              <w:t>110</w:t>
            </w:r>
          </w:p>
        </w:tc>
        <w:tc>
          <w:tcPr>
            <w:tcW w:w="8204" w:type="dxa"/>
          </w:tcPr>
          <w:p w14:paraId="5251DCC8" w14:textId="77777777" w:rsidR="00C55547" w:rsidRPr="004B0EC7" w:rsidRDefault="00C55547" w:rsidP="00E10B85">
            <w:pPr>
              <w:rPr>
                <w:rStyle w:val="InstructionsTabelleberschrift"/>
                <w:rFonts w:ascii="Times New Roman" w:hAnsi="Times New Roman"/>
                <w:sz w:val="24"/>
              </w:rPr>
            </w:pPr>
            <w:r w:rsidRPr="004B0EC7">
              <w:rPr>
                <w:rStyle w:val="InstructionsTabelleberschrift"/>
                <w:rFonts w:ascii="Times New Roman" w:hAnsi="Times New Roman"/>
                <w:sz w:val="24"/>
              </w:rPr>
              <w:t>N-TH-TO-DEFAULT CREDIT DERIVATIVES</w:t>
            </w:r>
          </w:p>
          <w:p w14:paraId="298FC0AB" w14:textId="5115C116" w:rsidR="00C55547" w:rsidRPr="004B0EC7" w:rsidRDefault="00C55547" w:rsidP="00E10B85">
            <w:pPr>
              <w:rPr>
                <w:rFonts w:ascii="Times New Roman" w:hAnsi="Times New Roman"/>
                <w:sz w:val="24"/>
              </w:rPr>
            </w:pPr>
            <w:r w:rsidRPr="004B0EC7">
              <w:rPr>
                <w:rFonts w:ascii="Times New Roman" w:hAnsi="Times New Roman"/>
                <w:sz w:val="24"/>
              </w:rPr>
              <w:t xml:space="preserve">N-th to default credit derivatives that are hedged by n-th-to-default credit derivatives </w:t>
            </w:r>
            <w:r w:rsidR="00BB22D4" w:rsidRPr="004B0EC7">
              <w:rPr>
                <w:rFonts w:ascii="Times New Roman" w:hAnsi="Times New Roman"/>
                <w:sz w:val="24"/>
              </w:rPr>
              <w:t>in accordance with</w:t>
            </w:r>
            <w:r w:rsidRPr="004B0EC7">
              <w:rPr>
                <w:rFonts w:ascii="Times New Roman" w:hAnsi="Times New Roman"/>
                <w:sz w:val="24"/>
              </w:rPr>
              <w:t xml:space="preserve"> Article 347 </w:t>
            </w:r>
            <w:r w:rsidR="007062FD" w:rsidRPr="004B0EC7">
              <w:rPr>
                <w:rFonts w:ascii="Times New Roman" w:hAnsi="Times New Roman"/>
                <w:sz w:val="24"/>
                <w:lang w:val="en-US"/>
              </w:rPr>
              <w:t>of Regulation (EU) No 575/2013</w:t>
            </w:r>
            <w:r w:rsidRPr="004B0EC7">
              <w:rPr>
                <w:rFonts w:ascii="Times New Roman" w:hAnsi="Times New Roman"/>
                <w:sz w:val="24"/>
              </w:rPr>
              <w:t xml:space="preserve"> shall both be reported here.</w:t>
            </w:r>
          </w:p>
          <w:p w14:paraId="0ADF3C10" w14:textId="77777777" w:rsidR="00C55547" w:rsidRPr="004B0EC7" w:rsidRDefault="00C55547" w:rsidP="00E10B85">
            <w:pPr>
              <w:rPr>
                <w:rFonts w:ascii="Times New Roman" w:hAnsi="Times New Roman"/>
                <w:sz w:val="24"/>
              </w:rPr>
            </w:pPr>
            <w:r w:rsidRPr="004B0EC7">
              <w:rPr>
                <w:rFonts w:ascii="Times New Roman" w:hAnsi="Times New Roman"/>
                <w:sz w:val="24"/>
              </w:rPr>
              <w:t>The positions originator, investor and sponsor do not fit for n-th to default credit derivatives. As a consequence, the breakdown as for securitisation positions cannot be provided for n-th to default credit derivatives.</w:t>
            </w:r>
          </w:p>
        </w:tc>
      </w:tr>
      <w:tr w:rsidR="00C55547" w:rsidRPr="004B0EC7" w14:paraId="3804EA7A" w14:textId="77777777" w:rsidTr="00E10B85">
        <w:tc>
          <w:tcPr>
            <w:tcW w:w="1008" w:type="dxa"/>
          </w:tcPr>
          <w:p w14:paraId="492141F6" w14:textId="77777777" w:rsidR="00C55547" w:rsidRPr="004B0EC7" w:rsidRDefault="002F79EA" w:rsidP="00E10B85">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C55547" w:rsidRPr="004B0EC7">
              <w:rPr>
                <w:rFonts w:ascii="Times New Roman" w:hAnsi="Times New Roman"/>
                <w:sz w:val="24"/>
                <w:lang w:eastAsia="nl-BE"/>
              </w:rPr>
              <w:t xml:space="preserve">040, </w:t>
            </w:r>
            <w:r w:rsidRPr="004B0EC7">
              <w:rPr>
                <w:rFonts w:ascii="Times New Roman" w:hAnsi="Times New Roman"/>
                <w:sz w:val="24"/>
                <w:lang w:eastAsia="nl-BE"/>
              </w:rPr>
              <w:t>0</w:t>
            </w:r>
            <w:r w:rsidR="00C55547" w:rsidRPr="004B0EC7">
              <w:rPr>
                <w:rFonts w:ascii="Times New Roman" w:hAnsi="Times New Roman"/>
                <w:sz w:val="24"/>
                <w:lang w:eastAsia="nl-BE"/>
              </w:rPr>
              <w:t xml:space="preserve">070, </w:t>
            </w:r>
            <w:r w:rsidRPr="004B0EC7">
              <w:rPr>
                <w:rFonts w:ascii="Times New Roman" w:hAnsi="Times New Roman"/>
                <w:sz w:val="24"/>
                <w:lang w:eastAsia="nl-BE"/>
              </w:rPr>
              <w:t>0</w:t>
            </w:r>
            <w:r w:rsidR="00C55547" w:rsidRPr="004B0EC7">
              <w:rPr>
                <w:rFonts w:ascii="Times New Roman" w:hAnsi="Times New Roman"/>
                <w:sz w:val="24"/>
                <w:lang w:eastAsia="nl-BE"/>
              </w:rPr>
              <w:t xml:space="preserve">100 and </w:t>
            </w:r>
            <w:r w:rsidRPr="004B0EC7">
              <w:rPr>
                <w:rFonts w:ascii="Times New Roman" w:hAnsi="Times New Roman"/>
                <w:sz w:val="24"/>
                <w:lang w:eastAsia="nl-BE"/>
              </w:rPr>
              <w:t>0</w:t>
            </w:r>
            <w:r w:rsidR="00C55547" w:rsidRPr="004B0EC7">
              <w:rPr>
                <w:rFonts w:ascii="Times New Roman" w:hAnsi="Times New Roman"/>
                <w:sz w:val="24"/>
                <w:lang w:eastAsia="nl-BE"/>
              </w:rPr>
              <w:t>120</w:t>
            </w:r>
          </w:p>
        </w:tc>
        <w:tc>
          <w:tcPr>
            <w:tcW w:w="8204" w:type="dxa"/>
          </w:tcPr>
          <w:p w14:paraId="1BEC5316" w14:textId="77777777" w:rsidR="00C55547" w:rsidRPr="004B0EC7" w:rsidRDefault="00C55547" w:rsidP="00E10B85">
            <w:pPr>
              <w:rPr>
                <w:rStyle w:val="InstructionsTabelleberschrift"/>
                <w:rFonts w:ascii="Times New Roman" w:hAnsi="Times New Roman"/>
                <w:sz w:val="24"/>
              </w:rPr>
            </w:pPr>
            <w:r w:rsidRPr="004B0EC7">
              <w:rPr>
                <w:rStyle w:val="InstructionsTabelleberschrift"/>
                <w:rFonts w:ascii="Times New Roman" w:hAnsi="Times New Roman"/>
                <w:sz w:val="24"/>
              </w:rPr>
              <w:t>OTHER CTP POSITIONS</w:t>
            </w:r>
          </w:p>
          <w:p w14:paraId="543C28DD" w14:textId="77777777" w:rsidR="00C55547" w:rsidRPr="004B0EC7" w:rsidRDefault="00C55547" w:rsidP="00E10B85">
            <w:pPr>
              <w:rPr>
                <w:rFonts w:ascii="Times New Roman" w:hAnsi="Times New Roman"/>
                <w:sz w:val="24"/>
              </w:rPr>
            </w:pPr>
            <w:r w:rsidRPr="004B0EC7">
              <w:rPr>
                <w:rFonts w:ascii="Times New Roman" w:hAnsi="Times New Roman"/>
                <w:sz w:val="24"/>
              </w:rPr>
              <w:t xml:space="preserve">The </w:t>
            </w:r>
            <w:r w:rsidR="005F3BBE" w:rsidRPr="004B0EC7">
              <w:rPr>
                <w:rFonts w:ascii="Times New Roman" w:hAnsi="Times New Roman"/>
                <w:sz w:val="24"/>
              </w:rPr>
              <w:t xml:space="preserve">following </w:t>
            </w:r>
            <w:r w:rsidRPr="004B0EC7">
              <w:rPr>
                <w:rFonts w:ascii="Times New Roman" w:hAnsi="Times New Roman"/>
                <w:sz w:val="24"/>
              </w:rPr>
              <w:t xml:space="preserve">positions </w:t>
            </w:r>
            <w:r w:rsidR="005F3BBE" w:rsidRPr="004B0EC7">
              <w:rPr>
                <w:rFonts w:ascii="Times New Roman" w:hAnsi="Times New Roman"/>
                <w:sz w:val="24"/>
              </w:rPr>
              <w:t>are included</w:t>
            </w:r>
            <w:r w:rsidRPr="004B0EC7">
              <w:rPr>
                <w:rFonts w:ascii="Times New Roman" w:hAnsi="Times New Roman"/>
                <w:sz w:val="24"/>
              </w:rPr>
              <w:t xml:space="preserve">: </w:t>
            </w:r>
          </w:p>
          <w:p w14:paraId="22F89721" w14:textId="77777777" w:rsidR="00C55547" w:rsidRPr="004B0EC7" w:rsidRDefault="00C55547" w:rsidP="00E10B85">
            <w:pPr>
              <w:tabs>
                <w:tab w:val="left" w:pos="720"/>
              </w:tabs>
              <w:ind w:left="720" w:hanging="360"/>
              <w:rPr>
                <w:rFonts w:ascii="Times New Roman" w:hAnsi="Times New Roman"/>
                <w:sz w:val="24"/>
              </w:rPr>
            </w:pPr>
            <w:r w:rsidRPr="004B0EC7">
              <w:rPr>
                <w:rFonts w:ascii="Symbol" w:hAnsi="Symbol"/>
                <w:sz w:val="24"/>
              </w:rPr>
              <w:t></w:t>
            </w:r>
            <w:r w:rsidRPr="004B0EC7">
              <w:rPr>
                <w:rFonts w:ascii="Symbol" w:hAnsi="Symbol"/>
                <w:sz w:val="24"/>
              </w:rPr>
              <w:tab/>
            </w:r>
            <w:r w:rsidRPr="004B0EC7">
              <w:rPr>
                <w:rFonts w:ascii="Times New Roman" w:hAnsi="Times New Roman"/>
                <w:sz w:val="24"/>
                <w:lang w:eastAsia="fr-FR"/>
              </w:rPr>
              <w:t>Derivatives of securitisation exposures that provide a pro-rata share</w:t>
            </w:r>
            <w:r w:rsidR="005F3BBE" w:rsidRPr="004B0EC7">
              <w:rPr>
                <w:rFonts w:ascii="Times New Roman" w:hAnsi="Times New Roman"/>
                <w:sz w:val="24"/>
                <w:lang w:eastAsia="fr-FR"/>
              </w:rPr>
              <w:t>,</w:t>
            </w:r>
            <w:r w:rsidRPr="004B0EC7">
              <w:rPr>
                <w:rFonts w:ascii="Times New Roman" w:hAnsi="Times New Roman"/>
                <w:sz w:val="24"/>
                <w:lang w:eastAsia="fr-FR"/>
              </w:rPr>
              <w:t xml:space="preserve"> as well as positions hedging CTP positions;</w:t>
            </w:r>
          </w:p>
          <w:p w14:paraId="35CA9598" w14:textId="4A9D4754" w:rsidR="00C55547" w:rsidRPr="004B0EC7" w:rsidRDefault="00C55547" w:rsidP="00E10B85">
            <w:pPr>
              <w:tabs>
                <w:tab w:val="left" w:pos="720"/>
              </w:tabs>
              <w:ind w:left="720" w:hanging="360"/>
              <w:rPr>
                <w:rFonts w:ascii="Times New Roman" w:hAnsi="Times New Roman"/>
                <w:sz w:val="24"/>
              </w:rPr>
            </w:pPr>
            <w:r w:rsidRPr="004B0EC7">
              <w:rPr>
                <w:rFonts w:ascii="Symbol" w:hAnsi="Symbol"/>
                <w:sz w:val="24"/>
              </w:rPr>
              <w:t></w:t>
            </w:r>
            <w:r w:rsidRPr="004B0EC7">
              <w:rPr>
                <w:rFonts w:ascii="Symbol" w:hAnsi="Symbol"/>
                <w:sz w:val="24"/>
              </w:rPr>
              <w:tab/>
            </w:r>
            <w:r w:rsidRPr="004B0EC7">
              <w:rPr>
                <w:rFonts w:ascii="Times New Roman" w:hAnsi="Times New Roman"/>
                <w:sz w:val="24"/>
                <w:lang w:eastAsia="fr-FR"/>
              </w:rPr>
              <w:t xml:space="preserve">CTP positions hedged by credit derivatives </w:t>
            </w:r>
            <w:r w:rsidR="00BB22D4" w:rsidRPr="004B0EC7">
              <w:rPr>
                <w:rFonts w:ascii="Times New Roman" w:hAnsi="Times New Roman"/>
                <w:sz w:val="24"/>
                <w:lang w:eastAsia="fr-FR"/>
              </w:rPr>
              <w:t>in accordance with</w:t>
            </w:r>
            <w:r w:rsidRPr="004B0EC7">
              <w:rPr>
                <w:rFonts w:ascii="Times New Roman" w:hAnsi="Times New Roman"/>
                <w:sz w:val="24"/>
                <w:lang w:eastAsia="fr-FR"/>
              </w:rPr>
              <w:t xml:space="preserve"> Article 346 </w:t>
            </w:r>
            <w:r w:rsidR="007062FD" w:rsidRPr="004B0EC7">
              <w:rPr>
                <w:rFonts w:ascii="Times New Roman" w:hAnsi="Times New Roman"/>
                <w:sz w:val="24"/>
                <w:lang w:val="en-US"/>
              </w:rPr>
              <w:t>of Regulation (EU) No 575/2013</w:t>
            </w:r>
            <w:r w:rsidRPr="004B0EC7">
              <w:rPr>
                <w:rFonts w:ascii="Times New Roman" w:hAnsi="Times New Roman"/>
                <w:sz w:val="24"/>
                <w:lang w:eastAsia="fr-FR"/>
              </w:rPr>
              <w:t>;</w:t>
            </w:r>
          </w:p>
          <w:p w14:paraId="37D9C26F" w14:textId="0EC62F4B" w:rsidR="00C55547" w:rsidRPr="004B0EC7" w:rsidRDefault="00C55547" w:rsidP="005F3BBE">
            <w:pPr>
              <w:tabs>
                <w:tab w:val="left" w:pos="720"/>
              </w:tabs>
              <w:ind w:left="720" w:hanging="360"/>
              <w:rPr>
                <w:rFonts w:ascii="Times New Roman" w:hAnsi="Times New Roman"/>
                <w:sz w:val="24"/>
              </w:rPr>
            </w:pPr>
            <w:r w:rsidRPr="004B0EC7">
              <w:rPr>
                <w:rFonts w:ascii="Symbol" w:hAnsi="Symbol"/>
                <w:sz w:val="24"/>
              </w:rPr>
              <w:t></w:t>
            </w:r>
            <w:r w:rsidRPr="004B0EC7">
              <w:rPr>
                <w:rFonts w:ascii="Symbol" w:hAnsi="Symbol"/>
                <w:sz w:val="24"/>
              </w:rPr>
              <w:tab/>
            </w:r>
            <w:r w:rsidRPr="004B0EC7">
              <w:rPr>
                <w:rFonts w:ascii="Times New Roman" w:hAnsi="Times New Roman"/>
                <w:sz w:val="24"/>
                <w:lang w:eastAsia="fr-FR"/>
              </w:rPr>
              <w:t xml:space="preserve">Other positions that satisfy Article 338(3) </w:t>
            </w:r>
            <w:r w:rsidR="007062FD" w:rsidRPr="004B0EC7">
              <w:rPr>
                <w:rFonts w:ascii="Times New Roman" w:hAnsi="Times New Roman"/>
                <w:sz w:val="24"/>
                <w:lang w:val="en-US"/>
              </w:rPr>
              <w:t>of Regulation (EU) No 575/2013</w:t>
            </w:r>
            <w:r w:rsidR="005F3BBE" w:rsidRPr="004B0EC7">
              <w:rPr>
                <w:rFonts w:ascii="Times New Roman" w:hAnsi="Times New Roman"/>
                <w:sz w:val="24"/>
                <w:lang w:eastAsia="fr-FR"/>
              </w:rPr>
              <w:t>.</w:t>
            </w:r>
          </w:p>
        </w:tc>
      </w:tr>
    </w:tbl>
    <w:p w14:paraId="2FA40F1B" w14:textId="77777777" w:rsidR="000B0B09" w:rsidRPr="004B0EC7" w:rsidRDefault="000B0B09" w:rsidP="000B0B09">
      <w:pPr>
        <w:autoSpaceDE w:val="0"/>
        <w:autoSpaceDN w:val="0"/>
        <w:adjustRightInd w:val="0"/>
        <w:spacing w:before="0" w:after="0"/>
        <w:rPr>
          <w:rFonts w:ascii="Times New Roman" w:hAnsi="Times New Roman"/>
          <w:sz w:val="24"/>
          <w:lang w:eastAsia="nl-BE"/>
        </w:rPr>
      </w:pPr>
    </w:p>
    <w:p w14:paraId="43E44EE8" w14:textId="3D00D7C6" w:rsidR="000B0B09" w:rsidRPr="004B0EC7" w:rsidRDefault="00125707" w:rsidP="0023700C">
      <w:pPr>
        <w:pStyle w:val="Instructionsberschrift2"/>
        <w:numPr>
          <w:ilvl w:val="0"/>
          <w:numId w:val="0"/>
        </w:numPr>
        <w:ind w:left="357" w:hanging="357"/>
        <w:rPr>
          <w:rFonts w:ascii="Times New Roman" w:hAnsi="Times New Roman" w:cs="Times New Roman"/>
          <w:sz w:val="24"/>
          <w:lang w:val="en-GB"/>
        </w:rPr>
      </w:pPr>
      <w:bookmarkStart w:id="82" w:name="_Toc262566429"/>
      <w:bookmarkStart w:id="83" w:name="_Toc295830005"/>
      <w:bookmarkStart w:id="84" w:name="_Toc308426682"/>
      <w:bookmarkStart w:id="85" w:name="_Toc310415066"/>
      <w:bookmarkStart w:id="86" w:name="_Toc360188401"/>
      <w:bookmarkStart w:id="87" w:name="_Toc473561041"/>
      <w:bookmarkStart w:id="88" w:name="_Toc151714495"/>
      <w:r w:rsidRPr="004B0EC7">
        <w:rPr>
          <w:rFonts w:ascii="Times New Roman" w:hAnsi="Times New Roman" w:cs="Times New Roman"/>
          <w:sz w:val="24"/>
          <w:u w:val="none"/>
          <w:lang w:val="en-GB"/>
        </w:rPr>
        <w:lastRenderedPageBreak/>
        <w:t>5.4.</w:t>
      </w:r>
      <w:r w:rsidRPr="004B0EC7">
        <w:rPr>
          <w:rFonts w:ascii="Times New Roman" w:hAnsi="Times New Roman" w:cs="Times New Roman"/>
          <w:sz w:val="24"/>
          <w:u w:val="none"/>
          <w:lang w:val="en-GB"/>
        </w:rPr>
        <w:tab/>
      </w:r>
      <w:r w:rsidR="008B73EE" w:rsidRPr="004B0EC7">
        <w:rPr>
          <w:rFonts w:ascii="Times New Roman" w:hAnsi="Times New Roman" w:cs="Times New Roman"/>
          <w:sz w:val="24"/>
          <w:lang w:val="en-GB"/>
        </w:rPr>
        <w:t>C 21.0</w:t>
      </w:r>
      <w:r w:rsidR="003D711A" w:rsidRPr="004B0EC7">
        <w:rPr>
          <w:rFonts w:ascii="Times New Roman" w:hAnsi="Times New Roman" w:cs="Times New Roman"/>
          <w:sz w:val="24"/>
          <w:lang w:val="en-GB"/>
        </w:rPr>
        <w:t>1</w:t>
      </w:r>
      <w:r w:rsidR="008B73EE" w:rsidRPr="004B0EC7">
        <w:rPr>
          <w:rFonts w:ascii="Times New Roman" w:hAnsi="Times New Roman" w:cs="Times New Roman"/>
          <w:sz w:val="24"/>
          <w:lang w:val="en-GB"/>
        </w:rPr>
        <w:t xml:space="preserve"> - </w:t>
      </w:r>
      <w:r w:rsidR="000B0B09" w:rsidRPr="004B0EC7">
        <w:rPr>
          <w:rFonts w:ascii="Times New Roman" w:hAnsi="Times New Roman" w:cs="Times New Roman"/>
          <w:sz w:val="24"/>
          <w:lang w:val="en-GB"/>
        </w:rPr>
        <w:t xml:space="preserve">Market Risk: </w:t>
      </w:r>
      <w:r w:rsidR="00FD7683" w:rsidRPr="004B0EC7">
        <w:rPr>
          <w:rFonts w:ascii="Times New Roman" w:hAnsi="Times New Roman" w:cs="Times New Roman"/>
          <w:sz w:val="24"/>
          <w:lang w:val="en-GB"/>
        </w:rPr>
        <w:t xml:space="preserve">Simplified </w:t>
      </w:r>
      <w:r w:rsidR="000B0B09" w:rsidRPr="004B0EC7">
        <w:rPr>
          <w:rFonts w:ascii="Times New Roman" w:hAnsi="Times New Roman" w:cs="Times New Roman"/>
          <w:sz w:val="24"/>
          <w:lang w:val="en-GB"/>
        </w:rPr>
        <w:t>Standardised Approach for Position Risk in Equities</w:t>
      </w:r>
      <w:bookmarkEnd w:id="82"/>
      <w:bookmarkEnd w:id="83"/>
      <w:bookmarkEnd w:id="84"/>
      <w:bookmarkEnd w:id="85"/>
      <w:bookmarkEnd w:id="86"/>
      <w:r w:rsidR="008B73EE" w:rsidRPr="004B0EC7">
        <w:rPr>
          <w:rFonts w:ascii="Times New Roman" w:hAnsi="Times New Roman" w:cs="Times New Roman"/>
          <w:sz w:val="24"/>
          <w:lang w:val="en-GB"/>
        </w:rPr>
        <w:t xml:space="preserve"> (MKR </w:t>
      </w:r>
      <w:r w:rsidR="00FD7683" w:rsidRPr="004B0EC7">
        <w:rPr>
          <w:rFonts w:ascii="Times New Roman" w:hAnsi="Times New Roman" w:cs="Times New Roman"/>
          <w:sz w:val="24"/>
          <w:lang w:val="en-GB"/>
        </w:rPr>
        <w:t>S</w:t>
      </w:r>
      <w:r w:rsidR="008B73EE" w:rsidRPr="004B0EC7">
        <w:rPr>
          <w:rFonts w:ascii="Times New Roman" w:hAnsi="Times New Roman" w:cs="Times New Roman"/>
          <w:sz w:val="24"/>
          <w:lang w:val="en-GB"/>
        </w:rPr>
        <w:t>SA EQU)</w:t>
      </w:r>
      <w:bookmarkEnd w:id="87"/>
      <w:bookmarkEnd w:id="88"/>
    </w:p>
    <w:p w14:paraId="28B3FACA" w14:textId="77777777" w:rsidR="000B0B09" w:rsidRPr="004B0EC7" w:rsidRDefault="00125707" w:rsidP="0023700C">
      <w:pPr>
        <w:pStyle w:val="Instructionsberschrift2"/>
        <w:numPr>
          <w:ilvl w:val="0"/>
          <w:numId w:val="0"/>
        </w:numPr>
        <w:ind w:left="357" w:hanging="357"/>
        <w:rPr>
          <w:rFonts w:ascii="Times New Roman" w:hAnsi="Times New Roman" w:cs="Times New Roman"/>
          <w:sz w:val="24"/>
          <w:lang w:val="en-GB"/>
        </w:rPr>
      </w:pPr>
      <w:bookmarkStart w:id="89" w:name="_Toc262566430"/>
      <w:bookmarkStart w:id="90" w:name="_Toc295830006"/>
      <w:bookmarkStart w:id="91" w:name="_Toc308426683"/>
      <w:bookmarkStart w:id="92" w:name="_Toc310415067"/>
      <w:bookmarkStart w:id="93" w:name="_Toc360188402"/>
      <w:bookmarkStart w:id="94" w:name="_Toc473561042"/>
      <w:bookmarkStart w:id="95" w:name="_Toc151714496"/>
      <w:r w:rsidRPr="004B0EC7">
        <w:rPr>
          <w:rFonts w:ascii="Times New Roman" w:hAnsi="Times New Roman" w:cs="Times New Roman"/>
          <w:sz w:val="24"/>
          <w:u w:val="none"/>
          <w:lang w:val="en-GB"/>
        </w:rPr>
        <w:t>5.4.1.</w:t>
      </w:r>
      <w:r w:rsidRPr="004B0EC7">
        <w:rPr>
          <w:rFonts w:ascii="Times New Roman" w:hAnsi="Times New Roman" w:cs="Times New Roman"/>
          <w:sz w:val="24"/>
          <w:u w:val="none"/>
          <w:lang w:val="en-GB"/>
        </w:rPr>
        <w:tab/>
      </w:r>
      <w:r w:rsidR="000B0B09" w:rsidRPr="004B0EC7">
        <w:rPr>
          <w:rFonts w:ascii="Times New Roman" w:hAnsi="Times New Roman" w:cs="Times New Roman"/>
          <w:sz w:val="24"/>
          <w:lang w:val="en-GB"/>
        </w:rPr>
        <w:t>General Remarks</w:t>
      </w:r>
      <w:bookmarkEnd w:id="89"/>
      <w:bookmarkEnd w:id="90"/>
      <w:bookmarkEnd w:id="91"/>
      <w:bookmarkEnd w:id="92"/>
      <w:bookmarkEnd w:id="93"/>
      <w:bookmarkEnd w:id="94"/>
      <w:bookmarkEnd w:id="95"/>
    </w:p>
    <w:p w14:paraId="1BA8EF6D" w14:textId="171A3E6F" w:rsidR="000B0B09" w:rsidRPr="004B0EC7" w:rsidRDefault="008F3052" w:rsidP="00660845">
      <w:pPr>
        <w:pStyle w:val="InstructionsText2"/>
        <w:numPr>
          <w:ilvl w:val="0"/>
          <w:numId w:val="0"/>
        </w:numPr>
        <w:ind w:left="993"/>
      </w:pPr>
      <w:r w:rsidRPr="004B0EC7">
        <w:fldChar w:fldCharType="begin"/>
      </w:r>
      <w:r w:rsidRPr="004B0EC7">
        <w:instrText>seq paragraphs</w:instrText>
      </w:r>
      <w:r w:rsidRPr="004B0EC7">
        <w:fldChar w:fldCharType="separate"/>
      </w:r>
      <w:r w:rsidR="00771068" w:rsidRPr="004B0EC7">
        <w:rPr>
          <w:noProof/>
        </w:rPr>
        <w:t>169</w:t>
      </w:r>
      <w:r w:rsidRPr="004B0EC7">
        <w:fldChar w:fldCharType="end"/>
      </w:r>
      <w:r w:rsidR="00125707" w:rsidRPr="004B0EC7">
        <w:t>.</w:t>
      </w:r>
      <w:r w:rsidR="00125707" w:rsidRPr="004B0EC7">
        <w:tab/>
      </w:r>
      <w:r w:rsidR="005C14B0" w:rsidRPr="004B0EC7">
        <w:t xml:space="preserve"> </w:t>
      </w:r>
      <w:r w:rsidR="000B0B09" w:rsidRPr="004B0EC7">
        <w:t xml:space="preserve">This template requests information on the positions and the corresponding own funds requirements for position risk in equities held in the trading book and treated under the </w:t>
      </w:r>
      <w:r w:rsidR="00CA21CA" w:rsidRPr="004B0EC7">
        <w:t>Standardised Approach</w:t>
      </w:r>
      <w:r w:rsidR="000B0B09" w:rsidRPr="004B0EC7">
        <w:t>.</w:t>
      </w:r>
    </w:p>
    <w:p w14:paraId="3AF5EC7C" w14:textId="2604BD99" w:rsidR="00B828CC" w:rsidRPr="004B0EC7" w:rsidRDefault="008F3052" w:rsidP="00660845">
      <w:pPr>
        <w:pStyle w:val="InstructionsText2"/>
        <w:numPr>
          <w:ilvl w:val="0"/>
          <w:numId w:val="0"/>
        </w:numPr>
        <w:ind w:left="993"/>
      </w:pPr>
      <w:r w:rsidRPr="004B0EC7">
        <w:fldChar w:fldCharType="begin"/>
      </w:r>
      <w:r w:rsidRPr="004B0EC7">
        <w:instrText>seq paragraphs</w:instrText>
      </w:r>
      <w:r w:rsidRPr="004B0EC7">
        <w:fldChar w:fldCharType="separate"/>
      </w:r>
      <w:r w:rsidR="00771068" w:rsidRPr="004B0EC7">
        <w:rPr>
          <w:noProof/>
        </w:rPr>
        <w:t>170</w:t>
      </w:r>
      <w:r w:rsidRPr="004B0EC7">
        <w:fldChar w:fldCharType="end"/>
      </w:r>
      <w:r w:rsidR="00125707" w:rsidRPr="004B0EC7">
        <w:t>.</w:t>
      </w:r>
      <w:r w:rsidR="00125707" w:rsidRPr="004B0EC7">
        <w:tab/>
      </w:r>
      <w:r w:rsidR="005C14B0" w:rsidRPr="004B0EC7">
        <w:t xml:space="preserve"> </w:t>
      </w:r>
      <w:r w:rsidR="000B0B09" w:rsidRPr="004B0EC7">
        <w:t xml:space="preserve">The template has to be filled out separately for the “Total”, plus a static, pre-defined list of </w:t>
      </w:r>
      <w:r w:rsidR="005F3BBE" w:rsidRPr="004B0EC7">
        <w:t xml:space="preserve">the </w:t>
      </w:r>
      <w:r w:rsidR="000B0B09" w:rsidRPr="004B0EC7">
        <w:t>following markets:</w:t>
      </w:r>
      <w:r w:rsidR="00DE0157" w:rsidRPr="004B0EC7">
        <w:t xml:space="preserve"> Bulgaria, Czech Republic, Denmark, Egypt, Hungary, Iceland, Liechtenstein, Norway, Poland, Romania, Sweden, United Kingdom, Albania, Japan, Former Yugoslav Republic of Macedonia, Russian Federation, Serbia, Switzerland, Turkey, Ukraine, USA</w:t>
      </w:r>
      <w:r w:rsidR="00B431BD" w:rsidRPr="004B0EC7">
        <w:t>, Euro Area</w:t>
      </w:r>
      <w:r w:rsidR="000B0B09" w:rsidRPr="004B0EC7">
        <w:t xml:space="preserve"> </w:t>
      </w:r>
      <w:r w:rsidR="00DE0157" w:rsidRPr="004B0EC7">
        <w:t>plus</w:t>
      </w:r>
      <w:r w:rsidR="000B0B09" w:rsidRPr="004B0EC7">
        <w:t xml:space="preserve"> one residual </w:t>
      </w:r>
      <w:r w:rsidR="00DE0157" w:rsidRPr="004B0EC7">
        <w:t>template</w:t>
      </w:r>
      <w:r w:rsidR="000B0B09" w:rsidRPr="004B0EC7">
        <w:t xml:space="preserve"> for all other markets. For th</w:t>
      </w:r>
      <w:r w:rsidR="00DE0157" w:rsidRPr="004B0EC7">
        <w:t>e</w:t>
      </w:r>
      <w:r w:rsidR="000B0B09" w:rsidRPr="004B0EC7">
        <w:t xml:space="preserve"> purpose of th</w:t>
      </w:r>
      <w:r w:rsidR="00DE0157" w:rsidRPr="004B0EC7">
        <w:t>is</w:t>
      </w:r>
      <w:r w:rsidR="000B0B09" w:rsidRPr="004B0EC7">
        <w:t xml:space="preserve"> reporting</w:t>
      </w:r>
      <w:r w:rsidR="00DE0157" w:rsidRPr="004B0EC7">
        <w:t xml:space="preserve"> requirement</w:t>
      </w:r>
      <w:r w:rsidR="005F3BBE" w:rsidRPr="004B0EC7">
        <w:t>,</w:t>
      </w:r>
      <w:r w:rsidR="000B0B09" w:rsidRPr="004B0EC7">
        <w:t xml:space="preserve"> the term “market” </w:t>
      </w:r>
      <w:r w:rsidR="00C93697" w:rsidRPr="004B0EC7">
        <w:t>shall</w:t>
      </w:r>
      <w:r w:rsidR="000B0B09" w:rsidRPr="004B0EC7">
        <w:t xml:space="preserve"> be read as “country”</w:t>
      </w:r>
      <w:r w:rsidR="00C71B86" w:rsidRPr="004B0EC7">
        <w:t xml:space="preserve"> (except for countries belonging to the Euro Area, see Commission Delegated Regulation (EU) No 525/2014</w:t>
      </w:r>
      <w:r w:rsidR="00B828CC" w:rsidRPr="004B0EC7">
        <w:rPr>
          <w:rStyle w:val="FootnoteReference"/>
        </w:rPr>
        <w:footnoteReference w:id="2"/>
      </w:r>
      <w:r w:rsidR="00C71B86" w:rsidRPr="004B0EC7">
        <w:t>)</w:t>
      </w:r>
      <w:r w:rsidR="000B0B09" w:rsidRPr="004B0EC7">
        <w:t>.</w:t>
      </w:r>
    </w:p>
    <w:p w14:paraId="077E1A41" w14:textId="0A87F237" w:rsidR="000B0B09" w:rsidRPr="004B0EC7" w:rsidRDefault="00125707" w:rsidP="0023700C">
      <w:pPr>
        <w:pStyle w:val="Instructionsberschrift2"/>
        <w:numPr>
          <w:ilvl w:val="0"/>
          <w:numId w:val="0"/>
        </w:numPr>
        <w:ind w:left="357" w:hanging="357"/>
        <w:rPr>
          <w:rFonts w:ascii="Times New Roman" w:hAnsi="Times New Roman" w:cs="Times New Roman"/>
          <w:sz w:val="24"/>
          <w:lang w:val="en-GB"/>
        </w:rPr>
      </w:pPr>
      <w:bookmarkStart w:id="96" w:name="_Toc262566431"/>
      <w:bookmarkStart w:id="97" w:name="_Toc295830007"/>
      <w:bookmarkStart w:id="98" w:name="_Toc308426684"/>
      <w:bookmarkStart w:id="99" w:name="_Toc310415068"/>
      <w:bookmarkStart w:id="100" w:name="_Toc360188403"/>
      <w:bookmarkStart w:id="101" w:name="_Toc473561043"/>
      <w:bookmarkStart w:id="102" w:name="_Toc151714497"/>
      <w:r w:rsidRPr="004B0EC7">
        <w:rPr>
          <w:rFonts w:ascii="Times New Roman" w:hAnsi="Times New Roman" w:cs="Times New Roman"/>
          <w:sz w:val="24"/>
          <w:u w:val="none"/>
          <w:lang w:val="en-GB"/>
        </w:rPr>
        <w:t>5.4.2.</w:t>
      </w:r>
      <w:r w:rsidRPr="004B0EC7">
        <w:rPr>
          <w:rFonts w:ascii="Times New Roman" w:hAnsi="Times New Roman" w:cs="Times New Roman"/>
          <w:sz w:val="24"/>
          <w:u w:val="none"/>
          <w:lang w:val="en-GB"/>
        </w:rPr>
        <w:tab/>
      </w:r>
      <w:r w:rsidR="000B0B09" w:rsidRPr="004B0EC7">
        <w:rPr>
          <w:rFonts w:ascii="Times New Roman" w:hAnsi="Times New Roman" w:cs="Times New Roman"/>
          <w:sz w:val="24"/>
          <w:lang w:val="en-GB"/>
        </w:rPr>
        <w:t>Instructions concerning specific positions</w:t>
      </w:r>
      <w:bookmarkEnd w:id="96"/>
      <w:bookmarkEnd w:id="97"/>
      <w:bookmarkEnd w:id="98"/>
      <w:bookmarkEnd w:id="99"/>
      <w:bookmarkEnd w:id="100"/>
      <w:bookmarkEnd w:id="101"/>
      <w:bookmarkEnd w:id="1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4B0EC7" w14:paraId="2ADAFC61" w14:textId="77777777" w:rsidTr="00672D2A">
        <w:trPr>
          <w:trHeight w:val="626"/>
        </w:trPr>
        <w:tc>
          <w:tcPr>
            <w:tcW w:w="8862" w:type="dxa"/>
            <w:gridSpan w:val="2"/>
            <w:shd w:val="clear" w:color="auto" w:fill="CCCCCC"/>
          </w:tcPr>
          <w:p w14:paraId="0BC1F4DA" w14:textId="77777777" w:rsidR="000B0B09" w:rsidRPr="004B0EC7" w:rsidRDefault="000B0B09" w:rsidP="000B0B09">
            <w:pPr>
              <w:autoSpaceDE w:val="0"/>
              <w:autoSpaceDN w:val="0"/>
              <w:adjustRightInd w:val="0"/>
              <w:spacing w:after="0"/>
              <w:rPr>
                <w:rFonts w:ascii="Times New Roman" w:hAnsi="Times New Roman"/>
                <w:b/>
                <w:sz w:val="24"/>
                <w:lang w:eastAsia="nl-BE"/>
              </w:rPr>
            </w:pPr>
            <w:r w:rsidRPr="004B0EC7">
              <w:rPr>
                <w:rFonts w:ascii="Times New Roman" w:hAnsi="Times New Roman"/>
                <w:b/>
                <w:sz w:val="24"/>
                <w:lang w:eastAsia="nl-BE"/>
              </w:rPr>
              <w:t>Columns</w:t>
            </w:r>
          </w:p>
        </w:tc>
      </w:tr>
      <w:tr w:rsidR="000B0B09" w:rsidRPr="004B0EC7" w14:paraId="1B6DCA2D" w14:textId="77777777" w:rsidTr="00672D2A">
        <w:tc>
          <w:tcPr>
            <w:tcW w:w="988" w:type="dxa"/>
          </w:tcPr>
          <w:p w14:paraId="2E10DD05" w14:textId="77777777" w:rsidR="000B0B09" w:rsidRPr="004B0EC7" w:rsidRDefault="002F79EA" w:rsidP="00B74792">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010</w:t>
            </w:r>
            <w:r w:rsidR="00B74792" w:rsidRPr="004B0EC7">
              <w:rPr>
                <w:rFonts w:ascii="Times New Roman" w:hAnsi="Times New Roman"/>
                <w:sz w:val="24"/>
                <w:lang w:eastAsia="nl-BE"/>
              </w:rPr>
              <w:t>-</w:t>
            </w:r>
            <w:r w:rsidRPr="004B0EC7">
              <w:rPr>
                <w:rFonts w:ascii="Times New Roman" w:hAnsi="Times New Roman"/>
                <w:sz w:val="24"/>
                <w:lang w:eastAsia="nl-BE"/>
              </w:rPr>
              <w:t>0</w:t>
            </w:r>
            <w:r w:rsidR="000B0B09" w:rsidRPr="004B0EC7">
              <w:rPr>
                <w:rFonts w:ascii="Times New Roman" w:hAnsi="Times New Roman"/>
                <w:sz w:val="24"/>
                <w:lang w:eastAsia="nl-BE"/>
              </w:rPr>
              <w:t>020</w:t>
            </w:r>
          </w:p>
        </w:tc>
        <w:tc>
          <w:tcPr>
            <w:tcW w:w="7874" w:type="dxa"/>
          </w:tcPr>
          <w:p w14:paraId="57FBE31B" w14:textId="77777777" w:rsidR="000B0B09" w:rsidRPr="004B0EC7" w:rsidRDefault="000B0B09" w:rsidP="005F3BBE">
            <w:pPr>
              <w:autoSpaceDE w:val="0"/>
              <w:autoSpaceDN w:val="0"/>
              <w:adjustRightInd w:val="0"/>
              <w:rPr>
                <w:rFonts w:ascii="Times New Roman" w:hAnsi="Times New Roman"/>
                <w:b/>
                <w:bCs/>
                <w:sz w:val="24"/>
                <w:u w:val="single"/>
                <w:lang w:eastAsia="nl-BE"/>
              </w:rPr>
            </w:pPr>
            <w:r w:rsidRPr="004B0EC7">
              <w:rPr>
                <w:rFonts w:ascii="Times New Roman" w:hAnsi="Times New Roman"/>
                <w:b/>
                <w:bCs/>
                <w:sz w:val="24"/>
                <w:u w:val="single"/>
                <w:lang w:eastAsia="nl-BE"/>
              </w:rPr>
              <w:t>ALL POSITIONS (LONG AND SHORT)</w:t>
            </w:r>
          </w:p>
          <w:p w14:paraId="754457ED" w14:textId="6411188D" w:rsidR="005C14B0" w:rsidRPr="004B0EC7" w:rsidRDefault="000B0B09" w:rsidP="005F3BBE">
            <w:pPr>
              <w:autoSpaceDE w:val="0"/>
              <w:autoSpaceDN w:val="0"/>
              <w:adjustRightInd w:val="0"/>
              <w:spacing w:before="0"/>
              <w:rPr>
                <w:rFonts w:ascii="Times New Roman" w:hAnsi="Times New Roman"/>
                <w:sz w:val="24"/>
                <w:lang w:eastAsia="de-DE"/>
              </w:rPr>
            </w:pPr>
            <w:r w:rsidRPr="004B0EC7">
              <w:rPr>
                <w:rFonts w:ascii="Times New Roman" w:hAnsi="Times New Roman"/>
                <w:sz w:val="24"/>
                <w:lang w:eastAsia="de-DE"/>
              </w:rPr>
              <w:t xml:space="preserve">Article </w:t>
            </w:r>
            <w:r w:rsidRPr="004B0EC7">
              <w:rPr>
                <w:rFonts w:ascii="Times New Roman" w:hAnsi="Times New Roman"/>
                <w:sz w:val="24"/>
              </w:rPr>
              <w:t>102</w:t>
            </w:r>
            <w:r w:rsidRPr="004B0EC7">
              <w:rPr>
                <w:rFonts w:ascii="Times New Roman" w:hAnsi="Times New Roman"/>
                <w:sz w:val="24"/>
                <w:lang w:eastAsia="de-DE"/>
              </w:rPr>
              <w:t xml:space="preserve"> and </w:t>
            </w:r>
            <w:r w:rsidR="008241B9" w:rsidRPr="004B0EC7">
              <w:rPr>
                <w:rFonts w:ascii="Times New Roman" w:hAnsi="Times New Roman"/>
                <w:sz w:val="24"/>
                <w:lang w:eastAsia="de-DE"/>
              </w:rPr>
              <w:t xml:space="preserve">Article </w:t>
            </w:r>
            <w:r w:rsidRPr="004B0EC7">
              <w:rPr>
                <w:rFonts w:ascii="Times New Roman" w:hAnsi="Times New Roman"/>
                <w:sz w:val="24"/>
                <w:lang w:eastAsia="de-DE"/>
              </w:rPr>
              <w:t xml:space="preserve">105(1) </w:t>
            </w:r>
            <w:r w:rsidR="007062FD" w:rsidRPr="004B0EC7">
              <w:rPr>
                <w:rFonts w:ascii="Times New Roman" w:hAnsi="Times New Roman"/>
                <w:sz w:val="24"/>
                <w:lang w:val="en-US"/>
              </w:rPr>
              <w:t>of Regulation (EU) No 575/2013</w:t>
            </w:r>
            <w:r w:rsidR="005F3BBE" w:rsidRPr="004B0EC7">
              <w:rPr>
                <w:rFonts w:ascii="Times New Roman" w:hAnsi="Times New Roman"/>
                <w:sz w:val="24"/>
                <w:lang w:eastAsia="de-DE"/>
              </w:rPr>
              <w:t>.</w:t>
            </w:r>
            <w:r w:rsidRPr="004B0EC7">
              <w:rPr>
                <w:rFonts w:ascii="Times New Roman" w:hAnsi="Times New Roman"/>
                <w:sz w:val="24"/>
                <w:lang w:eastAsia="de-DE"/>
              </w:rPr>
              <w:t xml:space="preserve"> </w:t>
            </w:r>
          </w:p>
          <w:p w14:paraId="59EE061F" w14:textId="7EE7BDEC" w:rsidR="000B0B09" w:rsidRPr="004B0EC7" w:rsidRDefault="000B0B09" w:rsidP="00E64BFE">
            <w:pPr>
              <w:autoSpaceDE w:val="0"/>
              <w:autoSpaceDN w:val="0"/>
              <w:adjustRightInd w:val="0"/>
              <w:spacing w:before="0"/>
              <w:rPr>
                <w:rFonts w:ascii="Times New Roman" w:hAnsi="Times New Roman"/>
                <w:sz w:val="24"/>
                <w:lang w:eastAsia="nl-BE"/>
              </w:rPr>
            </w:pPr>
            <w:r w:rsidRPr="004B0EC7">
              <w:rPr>
                <w:rFonts w:ascii="Times New Roman" w:hAnsi="Times New Roman"/>
                <w:sz w:val="24"/>
                <w:lang w:eastAsia="de-DE"/>
              </w:rPr>
              <w:t xml:space="preserve">These are gross positions not netted by instruments but excluding underwriting positions subscribed or sub-underwritten by third parties </w:t>
            </w:r>
            <w:r w:rsidR="00E64BFE" w:rsidRPr="004B0EC7">
              <w:rPr>
                <w:rFonts w:ascii="Times New Roman" w:hAnsi="Times New Roman"/>
                <w:sz w:val="24"/>
                <w:lang w:eastAsia="de-DE"/>
              </w:rPr>
              <w:t xml:space="preserve">as referred to in </w:t>
            </w:r>
            <w:r w:rsidR="00705025" w:rsidRPr="004B0EC7">
              <w:rPr>
                <w:rFonts w:ascii="Times New Roman" w:hAnsi="Times New Roman"/>
                <w:sz w:val="24"/>
                <w:lang w:eastAsia="de-DE"/>
              </w:rPr>
              <w:t xml:space="preserve">the second sentence of </w:t>
            </w:r>
            <w:r w:rsidR="005F3BBE" w:rsidRPr="004B0EC7">
              <w:rPr>
                <w:rFonts w:ascii="Times New Roman" w:hAnsi="Times New Roman"/>
                <w:sz w:val="24"/>
                <w:lang w:eastAsia="de-DE"/>
              </w:rPr>
              <w:t xml:space="preserve">the first subparagraph of </w:t>
            </w:r>
            <w:r w:rsidRPr="004B0EC7">
              <w:rPr>
                <w:rFonts w:ascii="Times New Roman" w:hAnsi="Times New Roman"/>
                <w:sz w:val="24"/>
                <w:lang w:eastAsia="de-DE"/>
              </w:rPr>
              <w:t>Article 345</w:t>
            </w:r>
            <w:r w:rsidR="005F3BBE" w:rsidRPr="004B0EC7">
              <w:rPr>
                <w:rFonts w:ascii="Times New Roman" w:hAnsi="Times New Roman"/>
                <w:sz w:val="24"/>
                <w:lang w:eastAsia="de-DE"/>
              </w:rPr>
              <w:t>(1)</w:t>
            </w:r>
            <w:r w:rsidRPr="004B0EC7">
              <w:rPr>
                <w:rFonts w:ascii="Times New Roman" w:hAnsi="Times New Roman"/>
                <w:sz w:val="24"/>
                <w:lang w:eastAsia="de-DE"/>
              </w:rPr>
              <w:t xml:space="preserve"> </w:t>
            </w:r>
            <w:r w:rsidR="007062FD" w:rsidRPr="004B0EC7">
              <w:rPr>
                <w:rFonts w:ascii="Times New Roman" w:hAnsi="Times New Roman"/>
                <w:sz w:val="24"/>
                <w:lang w:val="en-US"/>
              </w:rPr>
              <w:t>of Regulation (EU) No 575/2013</w:t>
            </w:r>
            <w:r w:rsidRPr="004B0EC7">
              <w:rPr>
                <w:rFonts w:ascii="Times New Roman" w:hAnsi="Times New Roman"/>
                <w:sz w:val="24"/>
                <w:lang w:eastAsia="de-DE"/>
              </w:rPr>
              <w:t xml:space="preserve">. </w:t>
            </w:r>
          </w:p>
        </w:tc>
      </w:tr>
      <w:tr w:rsidR="000B0B09" w:rsidRPr="004B0EC7" w14:paraId="518A8218" w14:textId="77777777" w:rsidTr="00672D2A">
        <w:tc>
          <w:tcPr>
            <w:tcW w:w="988" w:type="dxa"/>
          </w:tcPr>
          <w:p w14:paraId="5DF1DDF0" w14:textId="77777777" w:rsidR="000B0B09" w:rsidRPr="004B0EC7" w:rsidRDefault="002F79EA" w:rsidP="00B74792">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030</w:t>
            </w:r>
            <w:r w:rsidR="00B74792" w:rsidRPr="004B0EC7">
              <w:rPr>
                <w:rFonts w:ascii="Times New Roman" w:hAnsi="Times New Roman"/>
                <w:sz w:val="24"/>
                <w:lang w:eastAsia="nl-BE"/>
              </w:rPr>
              <w:t>-</w:t>
            </w:r>
            <w:r w:rsidRPr="004B0EC7">
              <w:rPr>
                <w:rFonts w:ascii="Times New Roman" w:hAnsi="Times New Roman"/>
                <w:sz w:val="24"/>
                <w:lang w:eastAsia="nl-BE"/>
              </w:rPr>
              <w:t>0</w:t>
            </w:r>
            <w:r w:rsidR="000B0B09" w:rsidRPr="004B0EC7">
              <w:rPr>
                <w:rFonts w:ascii="Times New Roman" w:hAnsi="Times New Roman"/>
                <w:sz w:val="24"/>
                <w:lang w:eastAsia="nl-BE"/>
              </w:rPr>
              <w:t xml:space="preserve">040 </w:t>
            </w:r>
          </w:p>
        </w:tc>
        <w:tc>
          <w:tcPr>
            <w:tcW w:w="7874" w:type="dxa"/>
          </w:tcPr>
          <w:p w14:paraId="22DC25DE"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NET POSITIONS (LONG AND SHORT)</w:t>
            </w:r>
          </w:p>
          <w:p w14:paraId="72A57BC7" w14:textId="1B6E0BBC" w:rsidR="000B0B09" w:rsidRPr="004B0EC7" w:rsidRDefault="000B0B09" w:rsidP="005F3BBE">
            <w:pPr>
              <w:autoSpaceDE w:val="0"/>
              <w:autoSpaceDN w:val="0"/>
              <w:adjustRightInd w:val="0"/>
              <w:rPr>
                <w:rFonts w:ascii="Times New Roman" w:hAnsi="Times New Roman"/>
                <w:sz w:val="24"/>
                <w:lang w:eastAsia="nl-BE"/>
              </w:rPr>
            </w:pPr>
            <w:r w:rsidRPr="004B0EC7">
              <w:rPr>
                <w:rFonts w:ascii="Times New Roman" w:hAnsi="Times New Roman"/>
                <w:sz w:val="24"/>
                <w:lang w:eastAsia="de-DE"/>
              </w:rPr>
              <w:t xml:space="preserve">Articles 327, 329, 332, 341 and 345 </w:t>
            </w:r>
            <w:r w:rsidR="007062FD" w:rsidRPr="004B0EC7">
              <w:rPr>
                <w:rFonts w:ascii="Times New Roman" w:hAnsi="Times New Roman"/>
                <w:sz w:val="24"/>
                <w:lang w:val="en-US"/>
              </w:rPr>
              <w:t>of Regulation (EU) No 575/2013</w:t>
            </w:r>
            <w:r w:rsidR="005F3BBE" w:rsidRPr="004B0EC7">
              <w:rPr>
                <w:rFonts w:ascii="Times New Roman" w:hAnsi="Times New Roman"/>
                <w:sz w:val="24"/>
                <w:lang w:eastAsia="de-DE"/>
              </w:rPr>
              <w:t>.</w:t>
            </w:r>
            <w:r w:rsidRPr="004B0EC7">
              <w:rPr>
                <w:rFonts w:ascii="Times New Roman" w:hAnsi="Times New Roman"/>
                <w:sz w:val="24"/>
                <w:lang w:eastAsia="de-DE"/>
              </w:rPr>
              <w:t xml:space="preserve"> </w:t>
            </w:r>
          </w:p>
        </w:tc>
      </w:tr>
      <w:tr w:rsidR="000B0B09" w:rsidRPr="004B0EC7" w14:paraId="1ED40A34" w14:textId="77777777" w:rsidTr="00672D2A">
        <w:tc>
          <w:tcPr>
            <w:tcW w:w="988" w:type="dxa"/>
          </w:tcPr>
          <w:p w14:paraId="49ADB5D9"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050</w:t>
            </w:r>
          </w:p>
        </w:tc>
        <w:tc>
          <w:tcPr>
            <w:tcW w:w="7874" w:type="dxa"/>
          </w:tcPr>
          <w:p w14:paraId="28262B96" w14:textId="77777777" w:rsidR="000B0B09" w:rsidRPr="004B0EC7" w:rsidRDefault="000B0B09" w:rsidP="000B0B09">
            <w:pPr>
              <w:tabs>
                <w:tab w:val="left" w:pos="5795"/>
              </w:tabs>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POSITIONS SUBJECT TO CAPITAL CHARGE</w:t>
            </w:r>
          </w:p>
          <w:p w14:paraId="5B62E698" w14:textId="56A23293" w:rsidR="000B0B09" w:rsidRPr="004B0EC7" w:rsidRDefault="000B0B09" w:rsidP="005F3BBE">
            <w:pPr>
              <w:autoSpaceDE w:val="0"/>
              <w:autoSpaceDN w:val="0"/>
              <w:adjustRightInd w:val="0"/>
              <w:spacing w:after="0"/>
              <w:rPr>
                <w:rFonts w:ascii="Times New Roman" w:hAnsi="Times New Roman"/>
                <w:sz w:val="24"/>
                <w:lang w:eastAsia="de-DE"/>
              </w:rPr>
            </w:pPr>
            <w:r w:rsidRPr="004B0EC7">
              <w:rPr>
                <w:rFonts w:ascii="Times New Roman" w:hAnsi="Times New Roman"/>
                <w:sz w:val="24"/>
                <w:lang w:eastAsia="de-DE"/>
              </w:rPr>
              <w:t xml:space="preserve">Those net positions that, </w:t>
            </w:r>
            <w:r w:rsidR="00BB22D4" w:rsidRPr="004B0EC7">
              <w:rPr>
                <w:rFonts w:ascii="Times New Roman" w:hAnsi="Times New Roman"/>
                <w:sz w:val="24"/>
                <w:lang w:eastAsia="de-DE"/>
              </w:rPr>
              <w:t>in accordance with</w:t>
            </w:r>
            <w:r w:rsidRPr="004B0EC7">
              <w:rPr>
                <w:rFonts w:ascii="Times New Roman" w:hAnsi="Times New Roman"/>
                <w:sz w:val="24"/>
                <w:lang w:eastAsia="de-DE"/>
              </w:rPr>
              <w:t xml:space="preserve"> the different approaches considered in </w:t>
            </w:r>
            <w:r w:rsidR="00F372AF" w:rsidRPr="004B0EC7">
              <w:rPr>
                <w:rFonts w:ascii="Times New Roman" w:hAnsi="Times New Roman"/>
                <w:sz w:val="24"/>
                <w:lang w:eastAsia="de-DE"/>
              </w:rPr>
              <w:t xml:space="preserve">Part Three, Title IV, Chapter 2 </w:t>
            </w:r>
            <w:r w:rsidR="007062FD" w:rsidRPr="004B0EC7">
              <w:rPr>
                <w:rFonts w:ascii="Times New Roman" w:hAnsi="Times New Roman"/>
                <w:sz w:val="24"/>
                <w:lang w:val="en-US"/>
              </w:rPr>
              <w:t>of Regulation (EU) No 575/2013</w:t>
            </w:r>
            <w:r w:rsidRPr="004B0EC7">
              <w:rPr>
                <w:rFonts w:ascii="Times New Roman" w:hAnsi="Times New Roman"/>
                <w:sz w:val="24"/>
                <w:lang w:eastAsia="de-DE"/>
              </w:rPr>
              <w:t xml:space="preserve"> receive a capital charge. The capital charge has to be calculated for each national market separately. </w:t>
            </w:r>
            <w:r w:rsidR="00201F3E" w:rsidRPr="004B0EC7">
              <w:rPr>
                <w:rFonts w:ascii="Times New Roman" w:hAnsi="Times New Roman"/>
                <w:sz w:val="24"/>
                <w:lang w:eastAsia="de-DE"/>
              </w:rPr>
              <w:t xml:space="preserve">Positions in stock-index futures </w:t>
            </w:r>
            <w:r w:rsidR="00A11C6E" w:rsidRPr="004B0EC7">
              <w:rPr>
                <w:rFonts w:ascii="Times New Roman" w:hAnsi="Times New Roman"/>
                <w:sz w:val="24"/>
                <w:lang w:eastAsia="de-DE"/>
              </w:rPr>
              <w:t>as referred to in</w:t>
            </w:r>
            <w:r w:rsidR="00201F3E" w:rsidRPr="004B0EC7">
              <w:rPr>
                <w:rFonts w:ascii="Times New Roman" w:hAnsi="Times New Roman"/>
                <w:sz w:val="24"/>
                <w:lang w:eastAsia="de-DE"/>
              </w:rPr>
              <w:t xml:space="preserve"> the second sentence of Article 344(4) </w:t>
            </w:r>
            <w:r w:rsidR="007062FD" w:rsidRPr="004B0EC7">
              <w:rPr>
                <w:rFonts w:ascii="Times New Roman" w:hAnsi="Times New Roman"/>
                <w:sz w:val="24"/>
                <w:lang w:val="en-US"/>
              </w:rPr>
              <w:t>of Regulation (EU) No 575/2013</w:t>
            </w:r>
            <w:r w:rsidR="00201F3E" w:rsidRPr="004B0EC7">
              <w:rPr>
                <w:rFonts w:ascii="Times New Roman" w:hAnsi="Times New Roman"/>
                <w:sz w:val="24"/>
                <w:lang w:eastAsia="de-DE"/>
              </w:rPr>
              <w:t xml:space="preserve"> shall not be included in this column.</w:t>
            </w:r>
          </w:p>
          <w:p w14:paraId="7C352B88"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4B0EC7" w14:paraId="57DD60D2" w14:textId="77777777" w:rsidTr="00672D2A">
        <w:tc>
          <w:tcPr>
            <w:tcW w:w="988" w:type="dxa"/>
          </w:tcPr>
          <w:p w14:paraId="479821DD"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060</w:t>
            </w:r>
          </w:p>
        </w:tc>
        <w:tc>
          <w:tcPr>
            <w:tcW w:w="7874" w:type="dxa"/>
          </w:tcPr>
          <w:p w14:paraId="3258053C" w14:textId="679461BC" w:rsidR="000B0B09" w:rsidRPr="004B0EC7"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OWN FUNDS REQUIREMENTS</w:t>
            </w:r>
            <w:r w:rsidR="00616CC0" w:rsidRPr="004B0EC7">
              <w:rPr>
                <w:rFonts w:ascii="Times New Roman" w:hAnsi="Times New Roman"/>
                <w:b/>
                <w:bCs/>
                <w:sz w:val="24"/>
                <w:u w:val="single"/>
                <w:lang w:eastAsia="nl-BE"/>
              </w:rPr>
              <w:t xml:space="preserve"> BEFORE APPLICATION OF SCALING FACTORS</w:t>
            </w:r>
          </w:p>
          <w:p w14:paraId="75CDA27D" w14:textId="1AD90BE9" w:rsidR="000B0B09" w:rsidRPr="004B0EC7" w:rsidRDefault="000B0B09" w:rsidP="005F3BBE">
            <w:pPr>
              <w:autoSpaceDE w:val="0"/>
              <w:autoSpaceDN w:val="0"/>
              <w:adjustRightInd w:val="0"/>
              <w:spacing w:after="0"/>
              <w:rPr>
                <w:rFonts w:ascii="Times New Roman" w:hAnsi="Times New Roman"/>
                <w:sz w:val="24"/>
                <w:lang w:eastAsia="de-DE"/>
              </w:rPr>
            </w:pPr>
            <w:r w:rsidRPr="004B0EC7">
              <w:rPr>
                <w:rFonts w:ascii="Times New Roman" w:hAnsi="Times New Roman"/>
                <w:sz w:val="24"/>
                <w:lang w:eastAsia="de-DE"/>
              </w:rPr>
              <w:t xml:space="preserve">The </w:t>
            </w:r>
            <w:r w:rsidR="00E64BFE" w:rsidRPr="004B0EC7">
              <w:rPr>
                <w:rFonts w:ascii="Times New Roman" w:hAnsi="Times New Roman"/>
                <w:sz w:val="24"/>
                <w:lang w:eastAsia="de-DE"/>
              </w:rPr>
              <w:t>own funds requirement</w:t>
            </w:r>
            <w:r w:rsidRPr="004B0EC7">
              <w:rPr>
                <w:rFonts w:ascii="Times New Roman" w:hAnsi="Times New Roman"/>
                <w:sz w:val="24"/>
                <w:lang w:eastAsia="de-DE"/>
              </w:rPr>
              <w:t xml:space="preserve"> </w:t>
            </w:r>
            <w:r w:rsidR="00E64BFE" w:rsidRPr="004B0EC7">
              <w:rPr>
                <w:rFonts w:ascii="Times New Roman" w:hAnsi="Times New Roman"/>
                <w:sz w:val="24"/>
                <w:lang w:eastAsia="de-DE"/>
              </w:rPr>
              <w:t xml:space="preserve">in accordance with </w:t>
            </w:r>
            <w:r w:rsidR="00F372AF" w:rsidRPr="004B0EC7">
              <w:rPr>
                <w:rFonts w:ascii="Times New Roman" w:hAnsi="Times New Roman"/>
                <w:sz w:val="24"/>
                <w:lang w:eastAsia="de-DE"/>
              </w:rPr>
              <w:t xml:space="preserve">Part Three, Title IV, Chapter 2 </w:t>
            </w:r>
            <w:r w:rsidR="007062FD" w:rsidRPr="004B0EC7">
              <w:rPr>
                <w:rFonts w:ascii="Times New Roman" w:hAnsi="Times New Roman"/>
                <w:sz w:val="24"/>
                <w:lang w:val="en-US"/>
              </w:rPr>
              <w:t>of Regulation (EU) No 575/2013</w:t>
            </w:r>
            <w:r w:rsidR="00E64BFE" w:rsidRPr="004B0EC7">
              <w:rPr>
                <w:rFonts w:ascii="Times New Roman" w:hAnsi="Times New Roman"/>
                <w:sz w:val="24"/>
                <w:lang w:eastAsia="de-DE"/>
              </w:rPr>
              <w:t xml:space="preserve"> </w:t>
            </w:r>
            <w:r w:rsidRPr="004B0EC7">
              <w:rPr>
                <w:rFonts w:ascii="Times New Roman" w:hAnsi="Times New Roman"/>
                <w:sz w:val="24"/>
                <w:lang w:eastAsia="de-DE"/>
              </w:rPr>
              <w:t>for any relevant position</w:t>
            </w:r>
            <w:r w:rsidR="00BB6834" w:rsidRPr="004B0EC7">
              <w:rPr>
                <w:rFonts w:ascii="Times New Roman" w:hAnsi="Times New Roman"/>
                <w:sz w:val="24"/>
                <w:lang w:eastAsia="de-DE"/>
              </w:rPr>
              <w:t xml:space="preserve">, before the application of the scaling factors </w:t>
            </w:r>
            <w:r w:rsidR="00497A47" w:rsidRPr="004B0EC7">
              <w:rPr>
                <w:rFonts w:ascii="Times New Roman" w:hAnsi="Times New Roman"/>
                <w:sz w:val="24"/>
                <w:lang w:eastAsia="de-DE"/>
              </w:rPr>
              <w:t>stipulated in</w:t>
            </w:r>
            <w:r w:rsidR="00A25173" w:rsidRPr="004B0EC7">
              <w:rPr>
                <w:rFonts w:ascii="Times New Roman" w:hAnsi="Times New Roman"/>
                <w:sz w:val="24"/>
                <w:lang w:eastAsia="de-DE"/>
              </w:rPr>
              <w:t xml:space="preserve"> Article 325(2), point (a)</w:t>
            </w:r>
            <w:r w:rsidR="00497A47" w:rsidRPr="004B0EC7">
              <w:rPr>
                <w:rFonts w:ascii="Times New Roman" w:hAnsi="Times New Roman"/>
                <w:sz w:val="24"/>
                <w:lang w:eastAsia="de-DE"/>
              </w:rPr>
              <w:t>(ii)</w:t>
            </w:r>
            <w:r w:rsidR="00A25173" w:rsidRPr="004B0EC7">
              <w:rPr>
                <w:rFonts w:ascii="Times New Roman" w:hAnsi="Times New Roman"/>
                <w:sz w:val="24"/>
                <w:lang w:eastAsia="de-DE"/>
              </w:rPr>
              <w:t>, of that Regulation</w:t>
            </w:r>
          </w:p>
          <w:p w14:paraId="6CDF917D" w14:textId="77777777" w:rsidR="000B0B09" w:rsidRPr="004B0EC7"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p>
        </w:tc>
      </w:tr>
      <w:tr w:rsidR="000B0B09" w:rsidRPr="004B0EC7" w14:paraId="62F4C373" w14:textId="77777777" w:rsidTr="00672D2A">
        <w:tc>
          <w:tcPr>
            <w:tcW w:w="988" w:type="dxa"/>
          </w:tcPr>
          <w:p w14:paraId="62D82E3B" w14:textId="1C5268CF"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lastRenderedPageBreak/>
              <w:t>0</w:t>
            </w:r>
            <w:r w:rsidR="000B0B09" w:rsidRPr="004B0EC7">
              <w:rPr>
                <w:rFonts w:ascii="Times New Roman" w:hAnsi="Times New Roman"/>
                <w:sz w:val="24"/>
                <w:lang w:eastAsia="nl-BE"/>
              </w:rPr>
              <w:t>070</w:t>
            </w:r>
          </w:p>
        </w:tc>
        <w:tc>
          <w:tcPr>
            <w:tcW w:w="7874" w:type="dxa"/>
          </w:tcPr>
          <w:p w14:paraId="1A727463" w14:textId="77777777" w:rsidR="000B0B09" w:rsidRPr="004B0EC7"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TOTAL RISK EXPOSURE AMOUNT</w:t>
            </w:r>
          </w:p>
          <w:p w14:paraId="33E7C378" w14:textId="2CD315CB" w:rsidR="00E64BFE" w:rsidRPr="004B0EC7" w:rsidRDefault="000B0B09" w:rsidP="005F3BBE">
            <w:pPr>
              <w:tabs>
                <w:tab w:val="left" w:pos="1665"/>
              </w:tabs>
              <w:autoSpaceDE w:val="0"/>
              <w:autoSpaceDN w:val="0"/>
              <w:adjustRightInd w:val="0"/>
              <w:spacing w:after="0"/>
              <w:rPr>
                <w:rFonts w:ascii="Times New Roman" w:hAnsi="Times New Roman"/>
                <w:sz w:val="24"/>
                <w:lang w:eastAsia="de-DE"/>
              </w:rPr>
            </w:pPr>
            <w:r w:rsidRPr="004B0EC7">
              <w:rPr>
                <w:rFonts w:ascii="Times New Roman" w:hAnsi="Times New Roman"/>
                <w:sz w:val="24"/>
                <w:lang w:eastAsia="de-DE"/>
              </w:rPr>
              <w:t>Article 92(4)</w:t>
            </w:r>
            <w:r w:rsidR="00B83DDE" w:rsidRPr="004B0EC7">
              <w:rPr>
                <w:rFonts w:ascii="Times New Roman" w:hAnsi="Times New Roman"/>
                <w:sz w:val="24"/>
                <w:lang w:eastAsia="de-DE"/>
              </w:rPr>
              <w:t>, p</w:t>
            </w:r>
            <w:r w:rsidR="001F2389" w:rsidRPr="004B0EC7">
              <w:rPr>
                <w:rFonts w:ascii="Times New Roman" w:hAnsi="Times New Roman"/>
                <w:sz w:val="24"/>
              </w:rPr>
              <w:t>oint (b)</w:t>
            </w:r>
            <w:r w:rsidR="00A25173" w:rsidRPr="004B0EC7">
              <w:rPr>
                <w:rFonts w:ascii="Times New Roman" w:hAnsi="Times New Roman"/>
                <w:sz w:val="24"/>
              </w:rPr>
              <w:t>(i</w:t>
            </w:r>
            <w:r w:rsidR="001F2389" w:rsidRPr="004B0EC7">
              <w:rPr>
                <w:rFonts w:ascii="Times New Roman" w:hAnsi="Times New Roman"/>
                <w:sz w:val="24"/>
              </w:rPr>
              <w:t>)</w:t>
            </w:r>
            <w:r w:rsidR="00BE1277" w:rsidRPr="004B0EC7">
              <w:rPr>
                <w:rFonts w:ascii="Times New Roman" w:hAnsi="Times New Roman"/>
                <w:sz w:val="24"/>
              </w:rPr>
              <w:t>,</w:t>
            </w:r>
            <w:r w:rsidR="001F2389" w:rsidRPr="004B0EC7">
              <w:rPr>
                <w:rFonts w:ascii="Times New Roman" w:hAnsi="Times New Roman"/>
                <w:sz w:val="24"/>
              </w:rPr>
              <w:t xml:space="preserve"> </w:t>
            </w:r>
            <w:r w:rsidR="007062FD" w:rsidRPr="004B0EC7">
              <w:rPr>
                <w:rFonts w:ascii="Times New Roman" w:hAnsi="Times New Roman"/>
                <w:sz w:val="24"/>
                <w:lang w:val="en-US"/>
              </w:rPr>
              <w:t>of Regulation (EU) No 575/2013</w:t>
            </w:r>
            <w:r w:rsidRPr="004B0EC7">
              <w:rPr>
                <w:rFonts w:ascii="Times New Roman" w:hAnsi="Times New Roman"/>
                <w:sz w:val="24"/>
                <w:lang w:eastAsia="de-DE"/>
              </w:rPr>
              <w:t xml:space="preserve">. </w:t>
            </w:r>
          </w:p>
          <w:p w14:paraId="5D42B3B3" w14:textId="746A8766" w:rsidR="000B0B09" w:rsidRPr="004B0EC7" w:rsidRDefault="000B0B09" w:rsidP="00B828CC">
            <w:pPr>
              <w:tabs>
                <w:tab w:val="left" w:pos="1665"/>
              </w:tabs>
              <w:autoSpaceDE w:val="0"/>
              <w:autoSpaceDN w:val="0"/>
              <w:adjustRightInd w:val="0"/>
              <w:rPr>
                <w:rFonts w:ascii="Times New Roman" w:hAnsi="Times New Roman"/>
                <w:b/>
                <w:bCs/>
                <w:sz w:val="24"/>
                <w:u w:val="single"/>
                <w:lang w:eastAsia="nl-BE"/>
              </w:rPr>
            </w:pPr>
            <w:r w:rsidRPr="004B0EC7">
              <w:rPr>
                <w:rFonts w:ascii="Times New Roman" w:hAnsi="Times New Roman"/>
                <w:sz w:val="24"/>
                <w:lang w:eastAsia="de-DE"/>
              </w:rPr>
              <w:t>Result of the multiplication of the own funds requirements by 12</w:t>
            </w:r>
            <w:r w:rsidR="005F3BBE" w:rsidRPr="004B0EC7">
              <w:rPr>
                <w:rFonts w:ascii="Times New Roman" w:hAnsi="Times New Roman"/>
                <w:sz w:val="24"/>
                <w:lang w:eastAsia="de-DE"/>
              </w:rPr>
              <w:t>,</w:t>
            </w:r>
            <w:r w:rsidRPr="004B0EC7">
              <w:rPr>
                <w:rFonts w:ascii="Times New Roman" w:hAnsi="Times New Roman"/>
                <w:sz w:val="24"/>
                <w:lang w:eastAsia="de-DE"/>
              </w:rPr>
              <w:t>5</w:t>
            </w:r>
            <w:r w:rsidR="00616CC0" w:rsidRPr="004B0EC7">
              <w:rPr>
                <w:rFonts w:ascii="Times New Roman" w:hAnsi="Times New Roman"/>
                <w:sz w:val="24"/>
                <w:lang w:eastAsia="de-DE"/>
              </w:rPr>
              <w:t xml:space="preserve"> in accordance with Article 92(</w:t>
            </w:r>
            <w:r w:rsidR="007F28A6" w:rsidRPr="004B0EC7">
              <w:rPr>
                <w:rFonts w:ascii="Times New Roman" w:hAnsi="Times New Roman"/>
                <w:sz w:val="24"/>
                <w:lang w:eastAsia="de-DE"/>
              </w:rPr>
              <w:t>6</w:t>
            </w:r>
            <w:r w:rsidR="00616CC0" w:rsidRPr="004B0EC7">
              <w:rPr>
                <w:rFonts w:ascii="Times New Roman" w:hAnsi="Times New Roman"/>
                <w:sz w:val="24"/>
                <w:lang w:eastAsia="de-DE"/>
              </w:rPr>
              <w:t xml:space="preserve">), point (b), of Regulation (EU) No 575/2013, and </w:t>
            </w:r>
            <w:r w:rsidR="00760D23" w:rsidRPr="004B0EC7">
              <w:rPr>
                <w:rFonts w:ascii="Times New Roman" w:hAnsi="Times New Roman"/>
                <w:sz w:val="24"/>
                <w:lang w:eastAsia="de-DE"/>
              </w:rPr>
              <w:t xml:space="preserve">by </w:t>
            </w:r>
            <w:r w:rsidR="00616CC0" w:rsidRPr="004B0EC7">
              <w:rPr>
                <w:rFonts w:ascii="Times New Roman" w:hAnsi="Times New Roman"/>
                <w:sz w:val="24"/>
                <w:lang w:eastAsia="de-DE"/>
              </w:rPr>
              <w:t>the scaling factor in accordance with Article 325(2), point (a)</w:t>
            </w:r>
            <w:r w:rsidR="000A6613" w:rsidRPr="004B0EC7">
              <w:rPr>
                <w:rFonts w:ascii="Times New Roman" w:hAnsi="Times New Roman"/>
                <w:sz w:val="24"/>
                <w:lang w:eastAsia="de-DE"/>
              </w:rPr>
              <w:t>(ii), of that Regulation.</w:t>
            </w:r>
          </w:p>
        </w:tc>
      </w:tr>
    </w:tbl>
    <w:p w14:paraId="62FB026B" w14:textId="77777777" w:rsidR="000B0B09" w:rsidRPr="004B0EC7" w:rsidRDefault="000B0B09" w:rsidP="000B0B09">
      <w:pPr>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8059"/>
      </w:tblGrid>
      <w:tr w:rsidR="000B0B09" w:rsidRPr="004B0EC7" w14:paraId="4775591D" w14:textId="77777777" w:rsidTr="00672D2A">
        <w:trPr>
          <w:trHeight w:val="662"/>
        </w:trPr>
        <w:tc>
          <w:tcPr>
            <w:tcW w:w="9212" w:type="dxa"/>
            <w:gridSpan w:val="2"/>
            <w:shd w:val="clear" w:color="auto" w:fill="CCCCCC"/>
          </w:tcPr>
          <w:p w14:paraId="5298B570" w14:textId="77777777" w:rsidR="000B0B09" w:rsidRPr="004B0EC7" w:rsidRDefault="000B0B09" w:rsidP="000B0B09">
            <w:pPr>
              <w:autoSpaceDE w:val="0"/>
              <w:autoSpaceDN w:val="0"/>
              <w:adjustRightInd w:val="0"/>
              <w:spacing w:after="0"/>
              <w:rPr>
                <w:rFonts w:ascii="Times New Roman" w:hAnsi="Times New Roman"/>
                <w:b/>
                <w:sz w:val="24"/>
                <w:lang w:eastAsia="nl-BE"/>
              </w:rPr>
            </w:pPr>
            <w:r w:rsidRPr="004B0EC7">
              <w:rPr>
                <w:rFonts w:ascii="Times New Roman" w:hAnsi="Times New Roman"/>
                <w:b/>
                <w:sz w:val="24"/>
                <w:lang w:eastAsia="nl-BE"/>
              </w:rPr>
              <w:t>Rows</w:t>
            </w:r>
          </w:p>
        </w:tc>
      </w:tr>
      <w:tr w:rsidR="000B0B09" w:rsidRPr="004B0EC7" w14:paraId="7546B05C" w14:textId="77777777" w:rsidTr="00672D2A">
        <w:tc>
          <w:tcPr>
            <w:tcW w:w="1008" w:type="dxa"/>
          </w:tcPr>
          <w:p w14:paraId="7BE875B0" w14:textId="77777777" w:rsidR="000B0B09" w:rsidRPr="004B0EC7" w:rsidRDefault="002F79EA" w:rsidP="00B74792">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010-</w:t>
            </w:r>
            <w:r w:rsidRPr="004B0EC7">
              <w:rPr>
                <w:rFonts w:ascii="Times New Roman" w:hAnsi="Times New Roman"/>
                <w:sz w:val="24"/>
                <w:lang w:eastAsia="nl-BE"/>
              </w:rPr>
              <w:t>0</w:t>
            </w:r>
            <w:r w:rsidR="000B0B09" w:rsidRPr="004B0EC7">
              <w:rPr>
                <w:rFonts w:ascii="Times New Roman" w:hAnsi="Times New Roman"/>
                <w:sz w:val="24"/>
                <w:lang w:eastAsia="nl-BE"/>
              </w:rPr>
              <w:t>130</w:t>
            </w:r>
          </w:p>
        </w:tc>
        <w:tc>
          <w:tcPr>
            <w:tcW w:w="8204" w:type="dxa"/>
          </w:tcPr>
          <w:p w14:paraId="1FF7DE12"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EQUITIES IN TRADING BOOK</w:t>
            </w:r>
          </w:p>
          <w:p w14:paraId="030F1935" w14:textId="5FC6F493" w:rsidR="000B0B09" w:rsidRPr="004B0EC7" w:rsidRDefault="000B0B09" w:rsidP="007062FD">
            <w:pPr>
              <w:tabs>
                <w:tab w:val="left" w:pos="1665"/>
              </w:tabs>
              <w:autoSpaceDE w:val="0"/>
              <w:autoSpaceDN w:val="0"/>
              <w:adjustRightInd w:val="0"/>
              <w:rPr>
                <w:rFonts w:ascii="Times New Roman" w:hAnsi="Times New Roman"/>
                <w:sz w:val="24"/>
                <w:lang w:eastAsia="nl-BE"/>
              </w:rPr>
            </w:pPr>
            <w:r w:rsidRPr="004B0EC7">
              <w:rPr>
                <w:rFonts w:ascii="Times New Roman" w:hAnsi="Times New Roman"/>
                <w:sz w:val="24"/>
              </w:rPr>
              <w:t xml:space="preserve">Own funds requirements for position risk </w:t>
            </w:r>
            <w:r w:rsidR="00A11C6E" w:rsidRPr="004B0EC7">
              <w:rPr>
                <w:rFonts w:ascii="Times New Roman" w:hAnsi="Times New Roman"/>
                <w:sz w:val="24"/>
              </w:rPr>
              <w:t>as referred to in</w:t>
            </w:r>
            <w:r w:rsidR="00402284" w:rsidRPr="004B0EC7">
              <w:rPr>
                <w:rFonts w:ascii="Times New Roman" w:hAnsi="Times New Roman"/>
                <w:sz w:val="24"/>
              </w:rPr>
              <w:t xml:space="preserve"> </w:t>
            </w:r>
            <w:r w:rsidR="00D21B29" w:rsidRPr="004B0EC7">
              <w:rPr>
                <w:rFonts w:ascii="Times New Roman" w:hAnsi="Times New Roman"/>
                <w:sz w:val="24"/>
              </w:rPr>
              <w:t>Article</w:t>
            </w:r>
            <w:r w:rsidRPr="004B0EC7">
              <w:rPr>
                <w:rFonts w:ascii="Times New Roman" w:hAnsi="Times New Roman"/>
                <w:sz w:val="24"/>
              </w:rPr>
              <w:t xml:space="preserve"> 92(</w:t>
            </w:r>
            <w:r w:rsidR="000D3A1F" w:rsidRPr="004B0EC7">
              <w:rPr>
                <w:rFonts w:ascii="Times New Roman" w:hAnsi="Times New Roman"/>
                <w:sz w:val="24"/>
              </w:rPr>
              <w:t>4</w:t>
            </w:r>
            <w:r w:rsidRPr="004B0EC7">
              <w:rPr>
                <w:rFonts w:ascii="Times New Roman" w:hAnsi="Times New Roman"/>
                <w:sz w:val="24"/>
              </w:rPr>
              <w:t>)</w:t>
            </w:r>
            <w:r w:rsidR="000D3A1F" w:rsidRPr="004B0EC7">
              <w:rPr>
                <w:rFonts w:ascii="Times New Roman" w:hAnsi="Times New Roman"/>
                <w:sz w:val="24"/>
              </w:rPr>
              <w:t>, point (b)(i),</w:t>
            </w:r>
            <w:r w:rsidRPr="004B0EC7">
              <w:rPr>
                <w:rFonts w:ascii="Times New Roman" w:hAnsi="Times New Roman"/>
                <w:sz w:val="24"/>
              </w:rPr>
              <w:t xml:space="preserve"> </w:t>
            </w:r>
            <w:r w:rsidR="007062FD" w:rsidRPr="004B0EC7">
              <w:rPr>
                <w:rFonts w:ascii="Times New Roman" w:hAnsi="Times New Roman"/>
                <w:sz w:val="24"/>
                <w:lang w:val="en-US"/>
              </w:rPr>
              <w:t>of Regulation (EU) No 575/2013</w:t>
            </w:r>
            <w:r w:rsidR="001F2389" w:rsidRPr="004B0EC7">
              <w:rPr>
                <w:rFonts w:ascii="Times New Roman" w:hAnsi="Times New Roman"/>
                <w:sz w:val="24"/>
              </w:rPr>
              <w:t xml:space="preserve"> </w:t>
            </w:r>
            <w:r w:rsidRPr="004B0EC7">
              <w:rPr>
                <w:rFonts w:ascii="Times New Roman" w:hAnsi="Times New Roman"/>
                <w:sz w:val="24"/>
                <w:lang w:eastAsia="de-DE"/>
              </w:rPr>
              <w:t>and</w:t>
            </w:r>
            <w:r w:rsidRPr="004B0EC7">
              <w:rPr>
                <w:rFonts w:ascii="Times New Roman" w:hAnsi="Times New Roman"/>
                <w:sz w:val="24"/>
              </w:rPr>
              <w:t xml:space="preserve"> </w:t>
            </w:r>
            <w:r w:rsidR="00097A17" w:rsidRPr="004B0EC7">
              <w:rPr>
                <w:rFonts w:ascii="Times New Roman" w:hAnsi="Times New Roman"/>
                <w:sz w:val="24"/>
              </w:rPr>
              <w:t>Part Three</w:t>
            </w:r>
            <w:r w:rsidR="007C2F65" w:rsidRPr="004B0EC7">
              <w:rPr>
                <w:rFonts w:ascii="Times New Roman" w:hAnsi="Times New Roman"/>
                <w:sz w:val="24"/>
              </w:rPr>
              <w:t>,</w:t>
            </w:r>
            <w:r w:rsidRPr="004B0EC7">
              <w:rPr>
                <w:rFonts w:ascii="Times New Roman" w:hAnsi="Times New Roman"/>
                <w:sz w:val="24"/>
              </w:rPr>
              <w:t xml:space="preserve"> </w:t>
            </w:r>
            <w:r w:rsidR="007C2F65" w:rsidRPr="004B0EC7">
              <w:rPr>
                <w:rFonts w:ascii="Times New Roman" w:hAnsi="Times New Roman"/>
                <w:sz w:val="24"/>
              </w:rPr>
              <w:t>Title IV, Chapter 2, Section 3</w:t>
            </w:r>
            <w:r w:rsidR="000D3A1F" w:rsidRPr="004B0EC7">
              <w:rPr>
                <w:rFonts w:ascii="Times New Roman" w:hAnsi="Times New Roman"/>
                <w:sz w:val="24"/>
              </w:rPr>
              <w:t>,</w:t>
            </w:r>
            <w:r w:rsidR="007C2F65" w:rsidRPr="004B0EC7">
              <w:rPr>
                <w:rFonts w:ascii="Times New Roman" w:hAnsi="Times New Roman"/>
                <w:sz w:val="24"/>
              </w:rPr>
              <w:t xml:space="preserve"> </w:t>
            </w:r>
            <w:r w:rsidR="007062FD" w:rsidRPr="004B0EC7">
              <w:rPr>
                <w:rFonts w:ascii="Times New Roman" w:hAnsi="Times New Roman"/>
                <w:sz w:val="24"/>
                <w:lang w:val="en-US"/>
              </w:rPr>
              <w:t xml:space="preserve">of that Regulation </w:t>
            </w:r>
            <w:r w:rsidR="005F3BBE" w:rsidRPr="004B0EC7">
              <w:rPr>
                <w:rFonts w:ascii="Times New Roman" w:hAnsi="Times New Roman"/>
                <w:sz w:val="24"/>
              </w:rPr>
              <w:t>.</w:t>
            </w:r>
          </w:p>
        </w:tc>
      </w:tr>
      <w:tr w:rsidR="000B0B09" w:rsidRPr="004B0EC7" w14:paraId="06FCC7F1" w14:textId="77777777" w:rsidTr="00672D2A">
        <w:tc>
          <w:tcPr>
            <w:tcW w:w="1008" w:type="dxa"/>
          </w:tcPr>
          <w:p w14:paraId="33E8BCC6" w14:textId="77777777" w:rsidR="000B0B09" w:rsidRPr="004B0EC7" w:rsidRDefault="002F79EA" w:rsidP="00B74792">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020</w:t>
            </w:r>
            <w:r w:rsidR="00B74792" w:rsidRPr="004B0EC7">
              <w:rPr>
                <w:rFonts w:ascii="Times New Roman" w:hAnsi="Times New Roman"/>
                <w:sz w:val="24"/>
                <w:lang w:eastAsia="nl-BE"/>
              </w:rPr>
              <w:t>-</w:t>
            </w:r>
            <w:r w:rsidRPr="004B0EC7">
              <w:rPr>
                <w:rFonts w:ascii="Times New Roman" w:hAnsi="Times New Roman"/>
                <w:sz w:val="24"/>
                <w:lang w:eastAsia="nl-BE"/>
              </w:rPr>
              <w:t>0</w:t>
            </w:r>
            <w:r w:rsidR="000B0B09" w:rsidRPr="004B0EC7">
              <w:rPr>
                <w:rFonts w:ascii="Times New Roman" w:hAnsi="Times New Roman"/>
                <w:sz w:val="24"/>
                <w:lang w:eastAsia="nl-BE"/>
              </w:rPr>
              <w:t>040</w:t>
            </w:r>
          </w:p>
        </w:tc>
        <w:tc>
          <w:tcPr>
            <w:tcW w:w="8204" w:type="dxa"/>
          </w:tcPr>
          <w:p w14:paraId="029ED25F"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GENERAL RISK</w:t>
            </w:r>
          </w:p>
          <w:p w14:paraId="21F94335" w14:textId="276AABDB" w:rsidR="000B0B09" w:rsidRPr="004B0EC7" w:rsidRDefault="000B0B09" w:rsidP="005F3BBE">
            <w:pPr>
              <w:autoSpaceDE w:val="0"/>
              <w:autoSpaceDN w:val="0"/>
              <w:adjustRightInd w:val="0"/>
              <w:rPr>
                <w:rFonts w:ascii="Times New Roman" w:hAnsi="Times New Roman"/>
                <w:sz w:val="24"/>
              </w:rPr>
            </w:pPr>
            <w:r w:rsidRPr="004B0EC7">
              <w:rPr>
                <w:rFonts w:ascii="Times New Roman" w:hAnsi="Times New Roman"/>
                <w:sz w:val="24"/>
              </w:rPr>
              <w:t xml:space="preserve">Positions in equities subject to general risk (Article 343 </w:t>
            </w:r>
            <w:r w:rsidR="007062FD" w:rsidRPr="004B0EC7">
              <w:rPr>
                <w:rFonts w:ascii="Times New Roman" w:hAnsi="Times New Roman"/>
                <w:sz w:val="24"/>
                <w:lang w:val="en-US"/>
              </w:rPr>
              <w:t>of Regulation (EU) No 575/2013</w:t>
            </w:r>
            <w:r w:rsidRPr="004B0EC7">
              <w:rPr>
                <w:rFonts w:ascii="Times New Roman" w:hAnsi="Times New Roman"/>
                <w:sz w:val="24"/>
              </w:rPr>
              <w:t xml:space="preserve">) and their correspondent own funds requirement </w:t>
            </w:r>
            <w:r w:rsidR="00BB22D4" w:rsidRPr="004B0EC7">
              <w:rPr>
                <w:rFonts w:ascii="Times New Roman" w:hAnsi="Times New Roman"/>
                <w:sz w:val="24"/>
              </w:rPr>
              <w:t>in accordance with</w:t>
            </w:r>
            <w:r w:rsidRPr="004B0EC7">
              <w:rPr>
                <w:rFonts w:ascii="Times New Roman" w:hAnsi="Times New Roman"/>
                <w:sz w:val="24"/>
              </w:rPr>
              <w:t xml:space="preserve"> </w:t>
            </w:r>
            <w:r w:rsidR="00F26CE4" w:rsidRPr="004B0EC7">
              <w:rPr>
                <w:rFonts w:ascii="Times New Roman" w:hAnsi="Times New Roman"/>
                <w:sz w:val="24"/>
              </w:rPr>
              <w:t>Part Three, Title IV, Chapter 2, Section 3</w:t>
            </w:r>
            <w:r w:rsidR="007062FD" w:rsidRPr="004B0EC7">
              <w:rPr>
                <w:rFonts w:ascii="Times New Roman" w:hAnsi="Times New Roman"/>
                <w:sz w:val="24"/>
                <w:lang w:val="en-US"/>
              </w:rPr>
              <w:t xml:space="preserve">of that Regulation </w:t>
            </w:r>
          </w:p>
          <w:p w14:paraId="729400AD" w14:textId="77777777" w:rsidR="001E0C80" w:rsidRPr="004B0EC7" w:rsidRDefault="000B0B09" w:rsidP="005F3BBE">
            <w:pPr>
              <w:autoSpaceDE w:val="0"/>
              <w:autoSpaceDN w:val="0"/>
              <w:adjustRightInd w:val="0"/>
              <w:spacing w:before="0"/>
              <w:rPr>
                <w:rFonts w:ascii="Times New Roman" w:hAnsi="Times New Roman"/>
                <w:sz w:val="24"/>
              </w:rPr>
            </w:pPr>
            <w:r w:rsidRPr="004B0EC7">
              <w:rPr>
                <w:rFonts w:ascii="Times New Roman" w:hAnsi="Times New Roman"/>
                <w:sz w:val="24"/>
              </w:rPr>
              <w:t>Both breakdowns (</w:t>
            </w:r>
            <w:r w:rsidR="002F79EA" w:rsidRPr="004B0EC7">
              <w:rPr>
                <w:rFonts w:ascii="Times New Roman" w:hAnsi="Times New Roman"/>
                <w:sz w:val="24"/>
              </w:rPr>
              <w:t>rows 0</w:t>
            </w:r>
            <w:r w:rsidRPr="004B0EC7">
              <w:rPr>
                <w:rFonts w:ascii="Times New Roman" w:hAnsi="Times New Roman"/>
                <w:sz w:val="24"/>
              </w:rPr>
              <w:t>021/</w:t>
            </w:r>
            <w:r w:rsidR="002F79EA" w:rsidRPr="004B0EC7">
              <w:rPr>
                <w:rFonts w:ascii="Times New Roman" w:hAnsi="Times New Roman"/>
                <w:sz w:val="24"/>
              </w:rPr>
              <w:t>0</w:t>
            </w:r>
            <w:r w:rsidRPr="004B0EC7">
              <w:rPr>
                <w:rFonts w:ascii="Times New Roman" w:hAnsi="Times New Roman"/>
                <w:sz w:val="24"/>
              </w:rPr>
              <w:t xml:space="preserve">022 as well as </w:t>
            </w:r>
            <w:r w:rsidR="002F79EA" w:rsidRPr="004B0EC7">
              <w:rPr>
                <w:rFonts w:ascii="Times New Roman" w:hAnsi="Times New Roman"/>
                <w:sz w:val="24"/>
              </w:rPr>
              <w:t>rows 0</w:t>
            </w:r>
            <w:r w:rsidRPr="004B0EC7">
              <w:rPr>
                <w:rFonts w:ascii="Times New Roman" w:hAnsi="Times New Roman"/>
                <w:sz w:val="24"/>
              </w:rPr>
              <w:t>030/</w:t>
            </w:r>
            <w:r w:rsidR="002F79EA" w:rsidRPr="004B0EC7">
              <w:rPr>
                <w:rFonts w:ascii="Times New Roman" w:hAnsi="Times New Roman"/>
                <w:sz w:val="24"/>
              </w:rPr>
              <w:t>0</w:t>
            </w:r>
            <w:r w:rsidRPr="004B0EC7">
              <w:rPr>
                <w:rFonts w:ascii="Times New Roman" w:hAnsi="Times New Roman"/>
                <w:sz w:val="24"/>
              </w:rPr>
              <w:t>040) are a breakdown related to all positions subject to general risk.</w:t>
            </w:r>
          </w:p>
          <w:p w14:paraId="32EAD513" w14:textId="77777777" w:rsidR="004E2725" w:rsidRPr="004B0EC7" w:rsidRDefault="000B0B09">
            <w:pPr>
              <w:autoSpaceDE w:val="0"/>
              <w:autoSpaceDN w:val="0"/>
              <w:adjustRightInd w:val="0"/>
              <w:spacing w:before="0" w:after="0"/>
              <w:rPr>
                <w:rFonts w:ascii="Times New Roman" w:hAnsi="Times New Roman"/>
                <w:sz w:val="24"/>
              </w:rPr>
            </w:pPr>
            <w:r w:rsidRPr="004B0EC7">
              <w:rPr>
                <w:rFonts w:ascii="Times New Roman" w:hAnsi="Times New Roman"/>
                <w:sz w:val="24"/>
              </w:rPr>
              <w:t xml:space="preserve">Rows </w:t>
            </w:r>
            <w:r w:rsidR="002F79EA" w:rsidRPr="004B0EC7">
              <w:rPr>
                <w:rFonts w:ascii="Times New Roman" w:hAnsi="Times New Roman"/>
                <w:sz w:val="24"/>
              </w:rPr>
              <w:t>0</w:t>
            </w:r>
            <w:r w:rsidRPr="004B0EC7">
              <w:rPr>
                <w:rFonts w:ascii="Times New Roman" w:hAnsi="Times New Roman"/>
                <w:sz w:val="24"/>
              </w:rPr>
              <w:t xml:space="preserve">021 and </w:t>
            </w:r>
            <w:r w:rsidR="002F79EA" w:rsidRPr="004B0EC7">
              <w:rPr>
                <w:rFonts w:ascii="Times New Roman" w:hAnsi="Times New Roman"/>
                <w:sz w:val="24"/>
              </w:rPr>
              <w:t>0</w:t>
            </w:r>
            <w:r w:rsidRPr="004B0EC7">
              <w:rPr>
                <w:rFonts w:ascii="Times New Roman" w:hAnsi="Times New Roman"/>
                <w:sz w:val="24"/>
              </w:rPr>
              <w:t xml:space="preserve">022 request information on the breakdown </w:t>
            </w:r>
            <w:r w:rsidR="004E2725" w:rsidRPr="004B0EC7">
              <w:rPr>
                <w:rFonts w:ascii="Times New Roman" w:hAnsi="Times New Roman"/>
                <w:sz w:val="24"/>
              </w:rPr>
              <w:t>by</w:t>
            </w:r>
            <w:r w:rsidRPr="004B0EC7">
              <w:rPr>
                <w:rFonts w:ascii="Times New Roman" w:hAnsi="Times New Roman"/>
                <w:sz w:val="24"/>
              </w:rPr>
              <w:t xml:space="preserve"> instruments. </w:t>
            </w:r>
          </w:p>
          <w:p w14:paraId="75FD06DA" w14:textId="77777777" w:rsidR="000B0B09" w:rsidRPr="004B0EC7" w:rsidRDefault="000B0B09" w:rsidP="00B828CC">
            <w:pPr>
              <w:tabs>
                <w:tab w:val="left" w:pos="1665"/>
              </w:tabs>
              <w:autoSpaceDE w:val="0"/>
              <w:autoSpaceDN w:val="0"/>
              <w:adjustRightInd w:val="0"/>
              <w:rPr>
                <w:rFonts w:ascii="Times New Roman" w:hAnsi="Times New Roman"/>
                <w:sz w:val="24"/>
                <w:lang w:eastAsia="nl-BE"/>
              </w:rPr>
            </w:pPr>
            <w:r w:rsidRPr="004B0EC7">
              <w:rPr>
                <w:rFonts w:ascii="Times New Roman" w:hAnsi="Times New Roman"/>
                <w:sz w:val="24"/>
              </w:rPr>
              <w:t xml:space="preserve">Only the breakdown in rows </w:t>
            </w:r>
            <w:r w:rsidR="002F79EA" w:rsidRPr="004B0EC7">
              <w:rPr>
                <w:rFonts w:ascii="Times New Roman" w:hAnsi="Times New Roman"/>
                <w:sz w:val="24"/>
              </w:rPr>
              <w:t>0</w:t>
            </w:r>
            <w:r w:rsidRPr="004B0EC7">
              <w:rPr>
                <w:rFonts w:ascii="Times New Roman" w:hAnsi="Times New Roman"/>
                <w:sz w:val="24"/>
              </w:rPr>
              <w:t xml:space="preserve">030 and </w:t>
            </w:r>
            <w:r w:rsidR="002F79EA" w:rsidRPr="004B0EC7">
              <w:rPr>
                <w:rFonts w:ascii="Times New Roman" w:hAnsi="Times New Roman"/>
                <w:sz w:val="24"/>
              </w:rPr>
              <w:t>0</w:t>
            </w:r>
            <w:r w:rsidRPr="004B0EC7">
              <w:rPr>
                <w:rFonts w:ascii="Times New Roman" w:hAnsi="Times New Roman"/>
                <w:sz w:val="24"/>
              </w:rPr>
              <w:t xml:space="preserve">040 </w:t>
            </w:r>
            <w:r w:rsidR="005F3BBE" w:rsidRPr="004B0EC7">
              <w:rPr>
                <w:rFonts w:ascii="Times New Roman" w:hAnsi="Times New Roman"/>
                <w:sz w:val="24"/>
              </w:rPr>
              <w:t>shall be</w:t>
            </w:r>
            <w:r w:rsidRPr="004B0EC7">
              <w:rPr>
                <w:rFonts w:ascii="Times New Roman" w:hAnsi="Times New Roman"/>
                <w:sz w:val="24"/>
              </w:rPr>
              <w:t xml:space="preserve"> used as a basis for the calculation of own funds requirements.</w:t>
            </w:r>
          </w:p>
        </w:tc>
      </w:tr>
      <w:tr w:rsidR="000B0B09" w:rsidRPr="004B0EC7" w14:paraId="7E2E7066" w14:textId="77777777" w:rsidTr="00672D2A">
        <w:tc>
          <w:tcPr>
            <w:tcW w:w="1008" w:type="dxa"/>
          </w:tcPr>
          <w:p w14:paraId="2A8F2E03"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021</w:t>
            </w:r>
          </w:p>
        </w:tc>
        <w:tc>
          <w:tcPr>
            <w:tcW w:w="8204" w:type="dxa"/>
          </w:tcPr>
          <w:p w14:paraId="51E4EB2D" w14:textId="77777777" w:rsidR="000B0B09" w:rsidRPr="004B0EC7" w:rsidRDefault="000B0B09" w:rsidP="000B0B09">
            <w:pPr>
              <w:autoSpaceDE w:val="0"/>
              <w:autoSpaceDN w:val="0"/>
              <w:adjustRightInd w:val="0"/>
              <w:spacing w:before="0" w:after="0"/>
              <w:rPr>
                <w:rFonts w:ascii="Times New Roman" w:hAnsi="Times New Roman"/>
                <w:b/>
                <w:sz w:val="24"/>
                <w:u w:val="single"/>
                <w:lang w:eastAsia="de-DE"/>
              </w:rPr>
            </w:pPr>
            <w:r w:rsidRPr="004B0EC7">
              <w:rPr>
                <w:rFonts w:ascii="Times New Roman" w:hAnsi="Times New Roman"/>
                <w:b/>
                <w:sz w:val="24"/>
                <w:u w:val="single"/>
                <w:lang w:eastAsia="de-DE"/>
              </w:rPr>
              <w:t>Derivatives</w:t>
            </w:r>
          </w:p>
          <w:p w14:paraId="561EFF21" w14:textId="424FAD2D" w:rsidR="000B0B09" w:rsidRPr="004B0EC7" w:rsidRDefault="000B0B09" w:rsidP="005F3BBE">
            <w:pPr>
              <w:autoSpaceDE w:val="0"/>
              <w:autoSpaceDN w:val="0"/>
              <w:adjustRightInd w:val="0"/>
              <w:rPr>
                <w:rFonts w:ascii="Times New Roman" w:hAnsi="Times New Roman"/>
                <w:b/>
                <w:bCs/>
                <w:sz w:val="24"/>
                <w:u w:val="single"/>
              </w:rPr>
            </w:pPr>
            <w:r w:rsidRPr="004B0EC7">
              <w:rPr>
                <w:rFonts w:ascii="Times New Roman" w:hAnsi="Times New Roman"/>
                <w:sz w:val="24"/>
                <w:lang w:eastAsia="de-DE"/>
              </w:rPr>
              <w:t>Derivatives included in the calculation of equity risk of trading book positions taking into account Articles 329 and 332</w:t>
            </w:r>
            <w:r w:rsidR="004E2725" w:rsidRPr="004B0EC7">
              <w:rPr>
                <w:rFonts w:ascii="Times New Roman" w:hAnsi="Times New Roman"/>
                <w:sz w:val="24"/>
                <w:lang w:eastAsia="de-DE"/>
              </w:rPr>
              <w:t xml:space="preserve"> </w:t>
            </w:r>
            <w:r w:rsidR="007062FD" w:rsidRPr="004B0EC7">
              <w:rPr>
                <w:rFonts w:ascii="Times New Roman" w:hAnsi="Times New Roman"/>
                <w:sz w:val="24"/>
                <w:lang w:val="en-US"/>
              </w:rPr>
              <w:t>of Regulation (EU) No 575/2013</w:t>
            </w:r>
            <w:r w:rsidRPr="004B0EC7">
              <w:rPr>
                <w:rFonts w:ascii="Times New Roman" w:hAnsi="Times New Roman"/>
                <w:sz w:val="24"/>
                <w:lang w:eastAsia="de-DE"/>
              </w:rPr>
              <w:t xml:space="preserve">, </w:t>
            </w:r>
            <w:r w:rsidR="005F3BBE" w:rsidRPr="004B0EC7">
              <w:rPr>
                <w:rFonts w:ascii="Times New Roman" w:hAnsi="Times New Roman"/>
                <w:sz w:val="24"/>
                <w:lang w:eastAsia="de-DE"/>
              </w:rPr>
              <w:t>where</w:t>
            </w:r>
            <w:r w:rsidRPr="004B0EC7">
              <w:rPr>
                <w:rFonts w:ascii="Times New Roman" w:hAnsi="Times New Roman"/>
                <w:sz w:val="24"/>
                <w:lang w:eastAsia="de-DE"/>
              </w:rPr>
              <w:t xml:space="preserve"> applicable</w:t>
            </w:r>
          </w:p>
        </w:tc>
      </w:tr>
      <w:tr w:rsidR="000B0B09" w:rsidRPr="004B0EC7" w14:paraId="70CC2A6A" w14:textId="77777777" w:rsidTr="00672D2A">
        <w:tc>
          <w:tcPr>
            <w:tcW w:w="1008" w:type="dxa"/>
          </w:tcPr>
          <w:p w14:paraId="569AE9F8"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022</w:t>
            </w:r>
          </w:p>
        </w:tc>
        <w:tc>
          <w:tcPr>
            <w:tcW w:w="8204" w:type="dxa"/>
          </w:tcPr>
          <w:p w14:paraId="100EC51C" w14:textId="77777777" w:rsidR="000B0B09" w:rsidRPr="004B0EC7" w:rsidRDefault="000B0B09" w:rsidP="000B0B09">
            <w:pPr>
              <w:autoSpaceDE w:val="0"/>
              <w:autoSpaceDN w:val="0"/>
              <w:adjustRightInd w:val="0"/>
              <w:spacing w:before="0" w:after="0"/>
              <w:rPr>
                <w:rFonts w:ascii="Times New Roman" w:hAnsi="Times New Roman"/>
                <w:b/>
                <w:sz w:val="24"/>
                <w:u w:val="single"/>
                <w:lang w:eastAsia="de-DE"/>
              </w:rPr>
            </w:pPr>
            <w:r w:rsidRPr="004B0EC7">
              <w:rPr>
                <w:rFonts w:ascii="Times New Roman" w:hAnsi="Times New Roman"/>
                <w:b/>
                <w:sz w:val="24"/>
                <w:u w:val="single"/>
                <w:lang w:eastAsia="de-DE"/>
              </w:rPr>
              <w:t>Other assets and liabilities</w:t>
            </w:r>
          </w:p>
          <w:p w14:paraId="21AC79DF" w14:textId="77777777" w:rsidR="000B0B09" w:rsidRPr="004B0EC7" w:rsidRDefault="000B0B09" w:rsidP="005F3BBE">
            <w:pPr>
              <w:autoSpaceDE w:val="0"/>
              <w:autoSpaceDN w:val="0"/>
              <w:adjustRightInd w:val="0"/>
              <w:rPr>
                <w:rFonts w:ascii="Times New Roman" w:hAnsi="Times New Roman"/>
                <w:b/>
                <w:bCs/>
                <w:sz w:val="24"/>
                <w:u w:val="single"/>
              </w:rPr>
            </w:pPr>
            <w:r w:rsidRPr="004B0EC7">
              <w:rPr>
                <w:rFonts w:ascii="Times New Roman" w:hAnsi="Times New Roman"/>
                <w:sz w:val="24"/>
                <w:lang w:eastAsia="de-DE"/>
              </w:rPr>
              <w:t>Instruments other than derivatives included in the calculation of equity risk of trading book positions</w:t>
            </w:r>
            <w:r w:rsidR="005F3BBE" w:rsidRPr="004B0EC7">
              <w:rPr>
                <w:rFonts w:ascii="Times New Roman" w:hAnsi="Times New Roman"/>
                <w:sz w:val="24"/>
                <w:lang w:eastAsia="de-DE"/>
              </w:rPr>
              <w:t>.</w:t>
            </w:r>
            <w:r w:rsidRPr="004B0EC7">
              <w:rPr>
                <w:rFonts w:ascii="Times New Roman" w:hAnsi="Times New Roman"/>
                <w:sz w:val="24"/>
                <w:lang w:eastAsia="de-DE"/>
              </w:rPr>
              <w:t xml:space="preserve"> </w:t>
            </w:r>
          </w:p>
        </w:tc>
      </w:tr>
      <w:tr w:rsidR="000B0B09" w:rsidRPr="004B0EC7" w14:paraId="2ECBC519" w14:textId="77777777" w:rsidTr="00672D2A">
        <w:tc>
          <w:tcPr>
            <w:tcW w:w="1008" w:type="dxa"/>
          </w:tcPr>
          <w:p w14:paraId="63840C82"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030</w:t>
            </w:r>
          </w:p>
        </w:tc>
        <w:tc>
          <w:tcPr>
            <w:tcW w:w="8204" w:type="dxa"/>
          </w:tcPr>
          <w:p w14:paraId="5BE0B58F" w14:textId="77777777" w:rsidR="000B0B09" w:rsidRPr="004B0EC7" w:rsidRDefault="000B0B09" w:rsidP="000B0B09">
            <w:pPr>
              <w:autoSpaceDE w:val="0"/>
              <w:autoSpaceDN w:val="0"/>
              <w:adjustRightInd w:val="0"/>
              <w:spacing w:before="0" w:after="0"/>
              <w:rPr>
                <w:rFonts w:ascii="Times New Roman" w:hAnsi="Times New Roman"/>
                <w:b/>
                <w:bCs/>
                <w:sz w:val="24"/>
                <w:u w:val="single"/>
              </w:rPr>
            </w:pPr>
            <w:r w:rsidRPr="004B0EC7">
              <w:rPr>
                <w:rFonts w:ascii="Times New Roman" w:hAnsi="Times New Roman"/>
                <w:b/>
                <w:bCs/>
                <w:sz w:val="24"/>
                <w:u w:val="single"/>
              </w:rPr>
              <w:t>Exchange traded stock-index futures broadly diversified and subject to a particular approach</w:t>
            </w:r>
          </w:p>
          <w:p w14:paraId="56A22316" w14:textId="77777777" w:rsidR="005C14B0" w:rsidRPr="004B0EC7" w:rsidRDefault="000B0B09" w:rsidP="00B828CC">
            <w:pPr>
              <w:tabs>
                <w:tab w:val="left" w:pos="1665"/>
              </w:tabs>
              <w:autoSpaceDE w:val="0"/>
              <w:autoSpaceDN w:val="0"/>
              <w:adjustRightInd w:val="0"/>
              <w:rPr>
                <w:rFonts w:ascii="Times New Roman" w:hAnsi="Times New Roman"/>
                <w:sz w:val="24"/>
              </w:rPr>
            </w:pPr>
            <w:r w:rsidRPr="004B0EC7">
              <w:rPr>
                <w:rFonts w:ascii="Times New Roman" w:hAnsi="Times New Roman"/>
                <w:sz w:val="24"/>
              </w:rPr>
              <w:t xml:space="preserve">Exchange traded stock-index futures broadly diversified and subject to a particular approach </w:t>
            </w:r>
            <w:r w:rsidR="00BB22D4" w:rsidRPr="004B0EC7">
              <w:rPr>
                <w:rFonts w:ascii="Times New Roman" w:hAnsi="Times New Roman"/>
                <w:sz w:val="24"/>
              </w:rPr>
              <w:t>in accordance with</w:t>
            </w:r>
            <w:r w:rsidRPr="004B0EC7">
              <w:rPr>
                <w:rFonts w:ascii="Times New Roman" w:hAnsi="Times New Roman"/>
                <w:sz w:val="24"/>
              </w:rPr>
              <w:t xml:space="preserve"> </w:t>
            </w:r>
            <w:r w:rsidR="00A11C6E" w:rsidRPr="004B0EC7">
              <w:rPr>
                <w:rFonts w:ascii="Times New Roman" w:hAnsi="Times New Roman"/>
                <w:sz w:val="24"/>
              </w:rPr>
              <w:t>Commission Implementing Regulation (EU) No 945/2014</w:t>
            </w:r>
            <w:r w:rsidR="00A11C6E" w:rsidRPr="004B0EC7">
              <w:rPr>
                <w:rStyle w:val="FootnoteReference"/>
              </w:rPr>
              <w:footnoteReference w:id="3"/>
            </w:r>
          </w:p>
          <w:p w14:paraId="2528F1AA" w14:textId="77777777" w:rsidR="000B0B09" w:rsidRPr="004B0EC7" w:rsidRDefault="000B0B09" w:rsidP="00B828CC">
            <w:pPr>
              <w:tabs>
                <w:tab w:val="left" w:pos="1665"/>
              </w:tabs>
              <w:autoSpaceDE w:val="0"/>
              <w:autoSpaceDN w:val="0"/>
              <w:adjustRightInd w:val="0"/>
              <w:rPr>
                <w:rFonts w:ascii="Times New Roman" w:hAnsi="Times New Roman"/>
                <w:b/>
                <w:bCs/>
                <w:sz w:val="24"/>
                <w:u w:val="single"/>
                <w:lang w:eastAsia="nl-BE"/>
              </w:rPr>
            </w:pPr>
            <w:r w:rsidRPr="004B0EC7">
              <w:rPr>
                <w:rFonts w:ascii="Times New Roman" w:hAnsi="Times New Roman"/>
                <w:sz w:val="24"/>
              </w:rPr>
              <w:t>Th</w:t>
            </w:r>
            <w:r w:rsidR="005F3BBE" w:rsidRPr="004B0EC7">
              <w:rPr>
                <w:rFonts w:ascii="Times New Roman" w:hAnsi="Times New Roman"/>
                <w:sz w:val="24"/>
              </w:rPr>
              <w:t>o</w:t>
            </w:r>
            <w:r w:rsidRPr="004B0EC7">
              <w:rPr>
                <w:rFonts w:ascii="Times New Roman" w:hAnsi="Times New Roman"/>
                <w:sz w:val="24"/>
              </w:rPr>
              <w:t xml:space="preserve">se positions </w:t>
            </w:r>
            <w:r w:rsidR="005C14B0" w:rsidRPr="004B0EC7">
              <w:rPr>
                <w:rFonts w:ascii="Times New Roman" w:hAnsi="Times New Roman"/>
                <w:sz w:val="24"/>
              </w:rPr>
              <w:t xml:space="preserve">shall be </w:t>
            </w:r>
            <w:r w:rsidRPr="004B0EC7">
              <w:rPr>
                <w:rFonts w:ascii="Times New Roman" w:hAnsi="Times New Roman"/>
                <w:sz w:val="24"/>
              </w:rPr>
              <w:t xml:space="preserve">only subject to general risk and, accordingly, must not be reported in row </w:t>
            </w:r>
            <w:r w:rsidR="002F79EA" w:rsidRPr="004B0EC7">
              <w:rPr>
                <w:rFonts w:ascii="Times New Roman" w:hAnsi="Times New Roman"/>
                <w:sz w:val="24"/>
              </w:rPr>
              <w:t>0</w:t>
            </w:r>
            <w:r w:rsidRPr="004B0EC7">
              <w:rPr>
                <w:rFonts w:ascii="Times New Roman" w:hAnsi="Times New Roman"/>
                <w:sz w:val="24"/>
              </w:rPr>
              <w:t>050.</w:t>
            </w:r>
          </w:p>
        </w:tc>
      </w:tr>
      <w:tr w:rsidR="000B0B09" w:rsidRPr="004B0EC7" w14:paraId="132F7A31" w14:textId="77777777" w:rsidTr="00672D2A">
        <w:tc>
          <w:tcPr>
            <w:tcW w:w="1008" w:type="dxa"/>
          </w:tcPr>
          <w:p w14:paraId="5A552EB7"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040</w:t>
            </w:r>
          </w:p>
        </w:tc>
        <w:tc>
          <w:tcPr>
            <w:tcW w:w="8204" w:type="dxa"/>
          </w:tcPr>
          <w:p w14:paraId="10EE0C22" w14:textId="77777777" w:rsidR="000B0B09" w:rsidRPr="004B0EC7" w:rsidRDefault="000B0B09" w:rsidP="000B0B09">
            <w:pPr>
              <w:autoSpaceDE w:val="0"/>
              <w:autoSpaceDN w:val="0"/>
              <w:adjustRightInd w:val="0"/>
              <w:spacing w:before="0" w:after="0"/>
              <w:rPr>
                <w:rFonts w:ascii="Times New Roman" w:hAnsi="Times New Roman"/>
                <w:b/>
                <w:bCs/>
                <w:sz w:val="24"/>
                <w:u w:val="single"/>
              </w:rPr>
            </w:pPr>
            <w:r w:rsidRPr="004B0EC7">
              <w:rPr>
                <w:rFonts w:ascii="Times New Roman" w:hAnsi="Times New Roman"/>
                <w:b/>
                <w:bCs/>
                <w:sz w:val="24"/>
                <w:u w:val="single"/>
              </w:rPr>
              <w:t>Other equities than exchange traded stock-index futures broadly diversified</w:t>
            </w:r>
          </w:p>
          <w:p w14:paraId="17542C2D" w14:textId="0BABB084" w:rsidR="000B0B09" w:rsidRPr="004B0EC7" w:rsidRDefault="000B0B09" w:rsidP="007062FD">
            <w:pPr>
              <w:autoSpaceDE w:val="0"/>
              <w:autoSpaceDN w:val="0"/>
              <w:adjustRightInd w:val="0"/>
              <w:rPr>
                <w:rFonts w:ascii="Times New Roman" w:hAnsi="Times New Roman"/>
                <w:sz w:val="24"/>
              </w:rPr>
            </w:pPr>
            <w:r w:rsidRPr="004B0EC7">
              <w:rPr>
                <w:rFonts w:ascii="Times New Roman" w:hAnsi="Times New Roman"/>
                <w:sz w:val="24"/>
              </w:rPr>
              <w:lastRenderedPageBreak/>
              <w:t xml:space="preserve">Other positions in equities subject to specific risk </w:t>
            </w:r>
            <w:r w:rsidR="00A11C6E" w:rsidRPr="004B0EC7">
              <w:rPr>
                <w:rFonts w:ascii="Times New Roman" w:hAnsi="Times New Roman"/>
                <w:sz w:val="24"/>
              </w:rPr>
              <w:t xml:space="preserve">as well as </w:t>
            </w:r>
            <w:r w:rsidRPr="004B0EC7">
              <w:rPr>
                <w:rFonts w:ascii="Times New Roman" w:hAnsi="Times New Roman"/>
                <w:sz w:val="24"/>
              </w:rPr>
              <w:t xml:space="preserve">the correspondent own funds requirements </w:t>
            </w:r>
            <w:r w:rsidR="00BB22D4" w:rsidRPr="004B0EC7">
              <w:rPr>
                <w:rFonts w:ascii="Times New Roman" w:hAnsi="Times New Roman"/>
                <w:sz w:val="24"/>
              </w:rPr>
              <w:t>in accordance with</w:t>
            </w:r>
            <w:r w:rsidRPr="004B0EC7">
              <w:rPr>
                <w:rFonts w:ascii="Times New Roman" w:hAnsi="Times New Roman"/>
                <w:sz w:val="24"/>
              </w:rPr>
              <w:t xml:space="preserve"> Article 343</w:t>
            </w:r>
            <w:r w:rsidR="00364EBB" w:rsidRPr="004B0EC7">
              <w:rPr>
                <w:rFonts w:ascii="Times New Roman" w:hAnsi="Times New Roman"/>
                <w:sz w:val="24"/>
              </w:rPr>
              <w:t xml:space="preserve"> </w:t>
            </w:r>
            <w:r w:rsidR="007062FD" w:rsidRPr="004B0EC7">
              <w:rPr>
                <w:rFonts w:ascii="Times New Roman" w:hAnsi="Times New Roman"/>
                <w:sz w:val="24"/>
                <w:lang w:val="en-US"/>
              </w:rPr>
              <w:t>of Regulation (EU) No 575/2013</w:t>
            </w:r>
            <w:r w:rsidR="006259C7" w:rsidRPr="004B0EC7">
              <w:rPr>
                <w:rFonts w:ascii="Times New Roman" w:hAnsi="Times New Roman"/>
                <w:sz w:val="24"/>
              </w:rPr>
              <w:t xml:space="preserve">, including positions in stock index futures </w:t>
            </w:r>
            <w:r w:rsidR="00F2521E" w:rsidRPr="004B0EC7">
              <w:rPr>
                <w:rFonts w:ascii="Times New Roman" w:hAnsi="Times New Roman"/>
                <w:sz w:val="24"/>
              </w:rPr>
              <w:t xml:space="preserve">treated in accordance with </w:t>
            </w:r>
            <w:r w:rsidR="008241B9" w:rsidRPr="004B0EC7">
              <w:rPr>
                <w:rFonts w:ascii="Times New Roman" w:hAnsi="Times New Roman"/>
                <w:sz w:val="24"/>
              </w:rPr>
              <w:t xml:space="preserve">Article </w:t>
            </w:r>
            <w:r w:rsidRPr="004B0EC7">
              <w:rPr>
                <w:rFonts w:ascii="Times New Roman" w:hAnsi="Times New Roman"/>
                <w:sz w:val="24"/>
              </w:rPr>
              <w:t xml:space="preserve">344(3) </w:t>
            </w:r>
            <w:r w:rsidR="007062FD" w:rsidRPr="004B0EC7">
              <w:rPr>
                <w:rFonts w:ascii="Times New Roman" w:hAnsi="Times New Roman"/>
                <w:sz w:val="24"/>
                <w:lang w:val="en-US"/>
              </w:rPr>
              <w:t>of that Regulation</w:t>
            </w:r>
          </w:p>
        </w:tc>
      </w:tr>
      <w:tr w:rsidR="000B0B09" w:rsidRPr="004B0EC7" w14:paraId="10C7ACD9" w14:textId="77777777" w:rsidTr="00672D2A">
        <w:tc>
          <w:tcPr>
            <w:tcW w:w="1008" w:type="dxa"/>
          </w:tcPr>
          <w:p w14:paraId="1F6F53FD" w14:textId="77777777" w:rsidR="000B0B09" w:rsidRPr="004B0EC7" w:rsidRDefault="002F79EA" w:rsidP="00B74792">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lastRenderedPageBreak/>
              <w:t>0</w:t>
            </w:r>
            <w:r w:rsidR="000B0B09" w:rsidRPr="004B0EC7">
              <w:rPr>
                <w:rFonts w:ascii="Times New Roman" w:hAnsi="Times New Roman"/>
                <w:sz w:val="24"/>
                <w:lang w:eastAsia="nl-BE"/>
              </w:rPr>
              <w:t xml:space="preserve">050 </w:t>
            </w:r>
          </w:p>
        </w:tc>
        <w:tc>
          <w:tcPr>
            <w:tcW w:w="8204" w:type="dxa"/>
          </w:tcPr>
          <w:p w14:paraId="0CF5CE81" w14:textId="77777777" w:rsidR="000B0B09" w:rsidRPr="004B0EC7" w:rsidRDefault="000B0B09" w:rsidP="000B0B09">
            <w:pPr>
              <w:autoSpaceDE w:val="0"/>
              <w:autoSpaceDN w:val="0"/>
              <w:adjustRightInd w:val="0"/>
              <w:spacing w:before="0" w:after="0"/>
              <w:rPr>
                <w:rFonts w:ascii="Times New Roman" w:hAnsi="Times New Roman"/>
                <w:b/>
                <w:bCs/>
                <w:sz w:val="24"/>
                <w:u w:val="single"/>
              </w:rPr>
            </w:pPr>
            <w:r w:rsidRPr="004B0EC7">
              <w:rPr>
                <w:rFonts w:ascii="Times New Roman" w:hAnsi="Times New Roman"/>
                <w:b/>
                <w:bCs/>
                <w:sz w:val="24"/>
                <w:u w:val="single"/>
              </w:rPr>
              <w:t>SPECIFIC RISK</w:t>
            </w:r>
          </w:p>
          <w:p w14:paraId="4CFFEA2D" w14:textId="05674FED" w:rsidR="000B0B09" w:rsidRPr="004B0EC7" w:rsidRDefault="000B0B09" w:rsidP="007062FD">
            <w:pPr>
              <w:autoSpaceDE w:val="0"/>
              <w:autoSpaceDN w:val="0"/>
              <w:adjustRightInd w:val="0"/>
              <w:rPr>
                <w:rFonts w:ascii="Times New Roman" w:hAnsi="Times New Roman"/>
                <w:sz w:val="24"/>
              </w:rPr>
            </w:pPr>
            <w:r w:rsidRPr="004B0EC7">
              <w:rPr>
                <w:rFonts w:ascii="Times New Roman" w:hAnsi="Times New Roman"/>
                <w:sz w:val="24"/>
                <w:lang w:eastAsia="fr-FR"/>
              </w:rPr>
              <w:t xml:space="preserve">Positions in equities subject to specific risk and the correspondent own funds requirement </w:t>
            </w:r>
            <w:r w:rsidR="00BB22D4" w:rsidRPr="004B0EC7">
              <w:rPr>
                <w:rFonts w:ascii="Times New Roman" w:hAnsi="Times New Roman"/>
                <w:sz w:val="24"/>
                <w:lang w:eastAsia="fr-FR"/>
              </w:rPr>
              <w:t>in accordance with</w:t>
            </w:r>
            <w:r w:rsidRPr="004B0EC7">
              <w:rPr>
                <w:rFonts w:ascii="Times New Roman" w:hAnsi="Times New Roman"/>
                <w:sz w:val="24"/>
                <w:lang w:eastAsia="fr-FR"/>
              </w:rPr>
              <w:t xml:space="preserve"> Article 342 </w:t>
            </w:r>
            <w:r w:rsidR="007062FD" w:rsidRPr="004B0EC7">
              <w:rPr>
                <w:rFonts w:ascii="Times New Roman" w:hAnsi="Times New Roman"/>
                <w:sz w:val="24"/>
                <w:lang w:val="en-US"/>
              </w:rPr>
              <w:t>of Regulation (EU) No 575/2013</w:t>
            </w:r>
            <w:r w:rsidR="006259C7" w:rsidRPr="004B0EC7">
              <w:rPr>
                <w:rFonts w:ascii="Times New Roman" w:hAnsi="Times New Roman"/>
                <w:sz w:val="24"/>
                <w:lang w:eastAsia="fr-FR"/>
              </w:rPr>
              <w:t xml:space="preserve">, </w:t>
            </w:r>
            <w:r w:rsidR="00097A17" w:rsidRPr="004B0EC7">
              <w:rPr>
                <w:rFonts w:ascii="Times New Roman" w:hAnsi="Times New Roman"/>
                <w:sz w:val="24"/>
                <w:lang w:eastAsia="fr-FR"/>
              </w:rPr>
              <w:t>ex</w:t>
            </w:r>
            <w:r w:rsidR="006259C7" w:rsidRPr="004B0EC7">
              <w:rPr>
                <w:rFonts w:ascii="Times New Roman" w:hAnsi="Times New Roman"/>
                <w:sz w:val="24"/>
                <w:lang w:eastAsia="fr-FR"/>
              </w:rPr>
              <w:t xml:space="preserve">cluding positions in stock-index futures </w:t>
            </w:r>
            <w:r w:rsidR="00F2521E" w:rsidRPr="004B0EC7">
              <w:rPr>
                <w:rFonts w:ascii="Times New Roman" w:hAnsi="Times New Roman"/>
                <w:sz w:val="24"/>
              </w:rPr>
              <w:t xml:space="preserve">treated in accordance with </w:t>
            </w:r>
            <w:r w:rsidR="006259C7" w:rsidRPr="004B0EC7">
              <w:rPr>
                <w:rFonts w:ascii="Times New Roman" w:hAnsi="Times New Roman"/>
                <w:sz w:val="24"/>
              </w:rPr>
              <w:t xml:space="preserve">the </w:t>
            </w:r>
            <w:r w:rsidR="00097A17" w:rsidRPr="004B0EC7">
              <w:rPr>
                <w:rFonts w:ascii="Times New Roman" w:hAnsi="Times New Roman"/>
                <w:sz w:val="24"/>
              </w:rPr>
              <w:t>second</w:t>
            </w:r>
            <w:r w:rsidR="006259C7" w:rsidRPr="004B0EC7">
              <w:rPr>
                <w:rFonts w:ascii="Times New Roman" w:hAnsi="Times New Roman"/>
                <w:sz w:val="24"/>
              </w:rPr>
              <w:t xml:space="preserve"> sentence of </w:t>
            </w:r>
            <w:r w:rsidR="008241B9" w:rsidRPr="004B0EC7">
              <w:rPr>
                <w:rFonts w:ascii="Times New Roman" w:hAnsi="Times New Roman"/>
                <w:sz w:val="24"/>
                <w:lang w:eastAsia="fr-FR"/>
              </w:rPr>
              <w:t xml:space="preserve">Article </w:t>
            </w:r>
            <w:r w:rsidRPr="004B0EC7">
              <w:rPr>
                <w:rFonts w:ascii="Times New Roman" w:hAnsi="Times New Roman"/>
                <w:sz w:val="24"/>
                <w:lang w:eastAsia="fr-FR"/>
              </w:rPr>
              <w:t xml:space="preserve">344(4) </w:t>
            </w:r>
            <w:r w:rsidR="007062FD" w:rsidRPr="004B0EC7">
              <w:rPr>
                <w:rFonts w:ascii="Times New Roman" w:hAnsi="Times New Roman"/>
                <w:sz w:val="24"/>
                <w:lang w:val="en-US"/>
              </w:rPr>
              <w:t xml:space="preserve">of that Regulation </w:t>
            </w:r>
          </w:p>
        </w:tc>
      </w:tr>
      <w:tr w:rsidR="000B0B09" w:rsidRPr="004B0EC7" w14:paraId="63780725" w14:textId="77777777" w:rsidTr="00672D2A">
        <w:tc>
          <w:tcPr>
            <w:tcW w:w="1008" w:type="dxa"/>
          </w:tcPr>
          <w:p w14:paraId="573EB4E8" w14:textId="77777777" w:rsidR="000B0B09" w:rsidRPr="004B0EC7" w:rsidRDefault="002F79EA" w:rsidP="00B74792">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090-</w:t>
            </w:r>
            <w:r w:rsidRPr="004B0EC7">
              <w:rPr>
                <w:rFonts w:ascii="Times New Roman" w:hAnsi="Times New Roman"/>
                <w:sz w:val="24"/>
                <w:lang w:eastAsia="nl-BE"/>
              </w:rPr>
              <w:t>0</w:t>
            </w:r>
            <w:r w:rsidR="000B0B09" w:rsidRPr="004B0EC7">
              <w:rPr>
                <w:rFonts w:ascii="Times New Roman" w:hAnsi="Times New Roman"/>
                <w:sz w:val="24"/>
                <w:lang w:eastAsia="nl-BE"/>
              </w:rPr>
              <w:t>130</w:t>
            </w:r>
          </w:p>
        </w:tc>
        <w:tc>
          <w:tcPr>
            <w:tcW w:w="8204" w:type="dxa"/>
          </w:tcPr>
          <w:p w14:paraId="1BAF0B57"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de-DE"/>
              </w:rPr>
            </w:pPr>
            <w:r w:rsidRPr="004B0EC7">
              <w:rPr>
                <w:rStyle w:val="InstructionsTabelleberschrift"/>
                <w:rFonts w:ascii="Times New Roman" w:hAnsi="Times New Roman"/>
                <w:sz w:val="24"/>
              </w:rPr>
              <w:t>ADDITIONAL REQUIREMENTS FOR OPTIONS (NON-DELTA RISKS)</w:t>
            </w:r>
          </w:p>
          <w:p w14:paraId="2552C107" w14:textId="2AD28847" w:rsidR="000B0B09" w:rsidRPr="004B0EC7" w:rsidRDefault="00F2521E" w:rsidP="00F2521E">
            <w:pPr>
              <w:autoSpaceDE w:val="0"/>
              <w:autoSpaceDN w:val="0"/>
              <w:adjustRightInd w:val="0"/>
              <w:rPr>
                <w:rFonts w:ascii="Times New Roman" w:hAnsi="Times New Roman"/>
                <w:sz w:val="24"/>
                <w:lang w:eastAsia="de-DE"/>
              </w:rPr>
            </w:pPr>
            <w:r w:rsidRPr="004B0EC7">
              <w:rPr>
                <w:rFonts w:ascii="Times New Roman" w:hAnsi="Times New Roman"/>
                <w:sz w:val="24"/>
                <w:lang w:eastAsia="de-DE"/>
              </w:rPr>
              <w:t xml:space="preserve">of </w:t>
            </w:r>
            <w:r w:rsidR="000B0B09" w:rsidRPr="004B0EC7">
              <w:rPr>
                <w:rFonts w:ascii="Times New Roman" w:hAnsi="Times New Roman"/>
                <w:sz w:val="24"/>
                <w:lang w:eastAsia="de-DE"/>
              </w:rPr>
              <w:t>Article 329</w:t>
            </w:r>
            <w:r w:rsidR="00B83DDE" w:rsidRPr="004B0EC7">
              <w:rPr>
                <w:rFonts w:ascii="Times New Roman" w:hAnsi="Times New Roman"/>
                <w:sz w:val="24"/>
                <w:lang w:eastAsia="de-DE"/>
              </w:rPr>
              <w:t>, p</w:t>
            </w:r>
            <w:r w:rsidR="007C2F65" w:rsidRPr="004B0EC7">
              <w:rPr>
                <w:rFonts w:ascii="Times New Roman" w:hAnsi="Times New Roman"/>
                <w:sz w:val="24"/>
                <w:lang w:eastAsia="de-DE"/>
              </w:rPr>
              <w:t xml:space="preserve">aragraphs 2 and 3 </w:t>
            </w:r>
            <w:r w:rsidR="007062FD" w:rsidRPr="004B0EC7">
              <w:rPr>
                <w:rFonts w:ascii="Times New Roman" w:hAnsi="Times New Roman"/>
                <w:sz w:val="24"/>
                <w:lang w:val="en-US"/>
              </w:rPr>
              <w:t>of Regulation (EU) No 575/2013</w:t>
            </w:r>
            <w:r w:rsidR="000B0B09" w:rsidRPr="004B0EC7">
              <w:rPr>
                <w:rFonts w:ascii="Times New Roman" w:hAnsi="Times New Roman"/>
                <w:sz w:val="24"/>
                <w:lang w:eastAsia="de-DE"/>
              </w:rPr>
              <w:t xml:space="preserve"> </w:t>
            </w:r>
          </w:p>
          <w:p w14:paraId="72C3FAC3" w14:textId="77777777" w:rsidR="000B0B09" w:rsidRPr="004B0EC7" w:rsidRDefault="000B0B09">
            <w:pPr>
              <w:autoSpaceDE w:val="0"/>
              <w:autoSpaceDN w:val="0"/>
              <w:adjustRightInd w:val="0"/>
              <w:spacing w:before="0" w:after="0"/>
              <w:rPr>
                <w:rFonts w:ascii="Times New Roman" w:hAnsi="Times New Roman"/>
                <w:sz w:val="24"/>
              </w:rPr>
            </w:pPr>
            <w:r w:rsidRPr="004B0EC7">
              <w:rPr>
                <w:rFonts w:ascii="Times New Roman" w:hAnsi="Times New Roman"/>
                <w:sz w:val="24"/>
                <w:lang w:eastAsia="de-DE"/>
              </w:rPr>
              <w:t>The additional requirements for options related to non-delta risks shall be reported in the method used for its calculation.</w:t>
            </w:r>
          </w:p>
        </w:tc>
      </w:tr>
    </w:tbl>
    <w:p w14:paraId="0EB6FD79" w14:textId="77777777" w:rsidR="000B0B09" w:rsidRPr="004B0EC7" w:rsidRDefault="000B0B09" w:rsidP="000B0B09">
      <w:pPr>
        <w:autoSpaceDE w:val="0"/>
        <w:autoSpaceDN w:val="0"/>
        <w:adjustRightInd w:val="0"/>
        <w:spacing w:before="0" w:after="0"/>
        <w:rPr>
          <w:rFonts w:ascii="Times New Roman" w:hAnsi="Times New Roman"/>
          <w:bCs/>
          <w:sz w:val="24"/>
          <w:lang w:eastAsia="nl-BE"/>
        </w:rPr>
      </w:pPr>
    </w:p>
    <w:p w14:paraId="1D26B512" w14:textId="46B21F7D" w:rsidR="000B0B09" w:rsidRPr="004B0EC7" w:rsidRDefault="00125707" w:rsidP="0023700C">
      <w:pPr>
        <w:pStyle w:val="Instructionsberschrift2"/>
        <w:numPr>
          <w:ilvl w:val="0"/>
          <w:numId w:val="0"/>
        </w:numPr>
        <w:ind w:left="357" w:hanging="357"/>
        <w:rPr>
          <w:rFonts w:ascii="Times New Roman" w:hAnsi="Times New Roman" w:cs="Times New Roman"/>
          <w:sz w:val="24"/>
          <w:lang w:val="en-GB"/>
        </w:rPr>
      </w:pPr>
      <w:bookmarkStart w:id="103" w:name="_Toc262566432"/>
      <w:bookmarkStart w:id="104" w:name="_Toc295830008"/>
      <w:bookmarkStart w:id="105" w:name="_Toc308426685"/>
      <w:bookmarkStart w:id="106" w:name="_Toc310415069"/>
      <w:bookmarkStart w:id="107" w:name="_Toc360188404"/>
      <w:bookmarkStart w:id="108" w:name="_Toc473561044"/>
      <w:bookmarkStart w:id="109" w:name="_Toc151714498"/>
      <w:r w:rsidRPr="004B0EC7">
        <w:rPr>
          <w:rFonts w:ascii="Times New Roman" w:hAnsi="Times New Roman" w:cs="Times New Roman"/>
          <w:sz w:val="24"/>
          <w:u w:val="none"/>
          <w:lang w:val="en-GB"/>
        </w:rPr>
        <w:t>5.5.</w:t>
      </w:r>
      <w:r w:rsidRPr="004B0EC7">
        <w:rPr>
          <w:rFonts w:ascii="Times New Roman" w:hAnsi="Times New Roman" w:cs="Times New Roman"/>
          <w:sz w:val="24"/>
          <w:u w:val="none"/>
          <w:lang w:val="en-GB"/>
        </w:rPr>
        <w:tab/>
      </w:r>
      <w:r w:rsidR="008B73EE" w:rsidRPr="004B0EC7">
        <w:rPr>
          <w:rFonts w:ascii="Times New Roman" w:hAnsi="Times New Roman" w:cs="Times New Roman"/>
          <w:sz w:val="24"/>
          <w:lang w:val="en-GB"/>
        </w:rPr>
        <w:t>C 22.0</w:t>
      </w:r>
      <w:r w:rsidR="003D711A" w:rsidRPr="004B0EC7">
        <w:rPr>
          <w:rFonts w:ascii="Times New Roman" w:hAnsi="Times New Roman" w:cs="Times New Roman"/>
          <w:sz w:val="24"/>
          <w:lang w:val="en-GB"/>
        </w:rPr>
        <w:t>1</w:t>
      </w:r>
      <w:r w:rsidR="008B73EE" w:rsidRPr="004B0EC7">
        <w:rPr>
          <w:rFonts w:ascii="Times New Roman" w:hAnsi="Times New Roman" w:cs="Times New Roman"/>
          <w:sz w:val="24"/>
          <w:lang w:val="en-GB"/>
        </w:rPr>
        <w:t xml:space="preserve"> </w:t>
      </w:r>
      <w:r w:rsidR="000B0B09" w:rsidRPr="004B0EC7">
        <w:rPr>
          <w:rFonts w:ascii="Times New Roman" w:hAnsi="Times New Roman" w:cs="Times New Roman"/>
          <w:sz w:val="24"/>
          <w:lang w:val="en-GB"/>
        </w:rPr>
        <w:t xml:space="preserve">- Market Risk: </w:t>
      </w:r>
      <w:r w:rsidR="00FD7683" w:rsidRPr="004B0EC7">
        <w:rPr>
          <w:rFonts w:ascii="Times New Roman" w:hAnsi="Times New Roman" w:cs="Times New Roman"/>
          <w:sz w:val="24"/>
          <w:lang w:val="en-GB"/>
        </w:rPr>
        <w:t xml:space="preserve">Simplified </w:t>
      </w:r>
      <w:r w:rsidR="000B0B09" w:rsidRPr="004B0EC7">
        <w:rPr>
          <w:rFonts w:ascii="Times New Roman" w:hAnsi="Times New Roman" w:cs="Times New Roman"/>
          <w:sz w:val="24"/>
          <w:lang w:val="en-GB"/>
        </w:rPr>
        <w:t>Standardised Approach for Foreign Exchange Risk</w:t>
      </w:r>
      <w:bookmarkEnd w:id="103"/>
      <w:bookmarkEnd w:id="104"/>
      <w:bookmarkEnd w:id="105"/>
      <w:bookmarkEnd w:id="106"/>
      <w:bookmarkEnd w:id="107"/>
      <w:r w:rsidR="008B73EE" w:rsidRPr="004B0EC7">
        <w:rPr>
          <w:rFonts w:ascii="Times New Roman" w:hAnsi="Times New Roman" w:cs="Times New Roman"/>
          <w:sz w:val="24"/>
          <w:lang w:val="en-GB"/>
        </w:rPr>
        <w:t xml:space="preserve"> (MKR </w:t>
      </w:r>
      <w:r w:rsidR="00FD7683" w:rsidRPr="004B0EC7">
        <w:rPr>
          <w:rFonts w:ascii="Times New Roman" w:hAnsi="Times New Roman" w:cs="Times New Roman"/>
          <w:sz w:val="24"/>
          <w:lang w:val="en-GB"/>
        </w:rPr>
        <w:t>S</w:t>
      </w:r>
      <w:r w:rsidR="008B73EE" w:rsidRPr="004B0EC7">
        <w:rPr>
          <w:rFonts w:ascii="Times New Roman" w:hAnsi="Times New Roman" w:cs="Times New Roman"/>
          <w:sz w:val="24"/>
          <w:lang w:val="en-GB"/>
        </w:rPr>
        <w:t>SA FX)</w:t>
      </w:r>
      <w:bookmarkEnd w:id="108"/>
      <w:bookmarkEnd w:id="109"/>
    </w:p>
    <w:p w14:paraId="70FD2A29" w14:textId="77777777" w:rsidR="000B0B09" w:rsidRPr="004B0EC7" w:rsidRDefault="00125707" w:rsidP="0023700C">
      <w:pPr>
        <w:pStyle w:val="Instructionsberschrift2"/>
        <w:numPr>
          <w:ilvl w:val="0"/>
          <w:numId w:val="0"/>
        </w:numPr>
        <w:ind w:left="357" w:hanging="357"/>
        <w:rPr>
          <w:rFonts w:ascii="Times New Roman" w:hAnsi="Times New Roman" w:cs="Times New Roman"/>
          <w:sz w:val="24"/>
          <w:lang w:val="en-GB"/>
        </w:rPr>
      </w:pPr>
      <w:bookmarkStart w:id="110" w:name="_Toc262566433"/>
      <w:bookmarkStart w:id="111" w:name="_Toc295830009"/>
      <w:bookmarkStart w:id="112" w:name="_Toc308426686"/>
      <w:bookmarkStart w:id="113" w:name="_Toc310415070"/>
      <w:bookmarkStart w:id="114" w:name="_Toc360188405"/>
      <w:bookmarkStart w:id="115" w:name="_Toc473561045"/>
      <w:bookmarkStart w:id="116" w:name="_Toc151714499"/>
      <w:r w:rsidRPr="004B0EC7">
        <w:rPr>
          <w:rFonts w:ascii="Times New Roman" w:hAnsi="Times New Roman" w:cs="Times New Roman"/>
          <w:sz w:val="24"/>
          <w:u w:val="none"/>
          <w:lang w:val="en-GB"/>
        </w:rPr>
        <w:t>5.5.1.</w:t>
      </w:r>
      <w:r w:rsidRPr="004B0EC7">
        <w:rPr>
          <w:rFonts w:ascii="Times New Roman" w:hAnsi="Times New Roman" w:cs="Times New Roman"/>
          <w:sz w:val="24"/>
          <w:u w:val="none"/>
          <w:lang w:val="en-GB"/>
        </w:rPr>
        <w:tab/>
      </w:r>
      <w:r w:rsidR="000B0B09" w:rsidRPr="004B0EC7">
        <w:rPr>
          <w:rFonts w:ascii="Times New Roman" w:hAnsi="Times New Roman" w:cs="Times New Roman"/>
          <w:sz w:val="24"/>
          <w:lang w:val="en-GB"/>
        </w:rPr>
        <w:t>General Remarks</w:t>
      </w:r>
      <w:bookmarkEnd w:id="110"/>
      <w:bookmarkEnd w:id="111"/>
      <w:bookmarkEnd w:id="112"/>
      <w:bookmarkEnd w:id="113"/>
      <w:bookmarkEnd w:id="114"/>
      <w:bookmarkEnd w:id="115"/>
      <w:bookmarkEnd w:id="116"/>
    </w:p>
    <w:p w14:paraId="3B4750B2" w14:textId="251AD709" w:rsidR="00F71DF2" w:rsidRPr="004B0EC7" w:rsidRDefault="008F3052" w:rsidP="00660845">
      <w:pPr>
        <w:pStyle w:val="InstructionsText2"/>
        <w:numPr>
          <w:ilvl w:val="0"/>
          <w:numId w:val="0"/>
        </w:numPr>
        <w:ind w:left="993"/>
      </w:pPr>
      <w:r w:rsidRPr="004B0EC7">
        <w:fldChar w:fldCharType="begin"/>
      </w:r>
      <w:r w:rsidRPr="004B0EC7">
        <w:instrText>seq paragraphs</w:instrText>
      </w:r>
      <w:r w:rsidRPr="004B0EC7">
        <w:fldChar w:fldCharType="separate"/>
      </w:r>
      <w:r w:rsidR="00771068" w:rsidRPr="004B0EC7">
        <w:rPr>
          <w:noProof/>
        </w:rPr>
        <w:t>171</w:t>
      </w:r>
      <w:r w:rsidRPr="004B0EC7">
        <w:fldChar w:fldCharType="end"/>
      </w:r>
      <w:r w:rsidR="00125707" w:rsidRPr="004B0EC7">
        <w:t>.</w:t>
      </w:r>
      <w:r w:rsidR="005C14B0" w:rsidRPr="004B0EC7">
        <w:t xml:space="preserve"> </w:t>
      </w:r>
      <w:r w:rsidR="00F1062E" w:rsidRPr="004B0EC7">
        <w:t>Institutions shall report</w:t>
      </w:r>
      <w:r w:rsidR="000B0B09" w:rsidRPr="004B0EC7">
        <w:t xml:space="preserve"> information on the positions in each currency (reporting currency included) and the corresponding own funds requirements for foreign exchange</w:t>
      </w:r>
      <w:r w:rsidR="006259C7" w:rsidRPr="004B0EC7">
        <w:t xml:space="preserve"> risk</w:t>
      </w:r>
      <w:r w:rsidR="000B0B09" w:rsidRPr="004B0EC7">
        <w:t xml:space="preserve"> treated under the </w:t>
      </w:r>
      <w:r w:rsidR="00CA21CA" w:rsidRPr="004B0EC7">
        <w:t>Standardised Approach</w:t>
      </w:r>
      <w:r w:rsidR="000B0B09" w:rsidRPr="004B0EC7">
        <w:t xml:space="preserve">. The position </w:t>
      </w:r>
      <w:r w:rsidR="00F2521E" w:rsidRPr="004B0EC7">
        <w:t>shall be</w:t>
      </w:r>
      <w:r w:rsidR="000B0B09" w:rsidRPr="004B0EC7">
        <w:t xml:space="preserve"> calculated for each currency (including </w:t>
      </w:r>
      <w:r w:rsidR="00F2521E" w:rsidRPr="004B0EC7">
        <w:t>EUR</w:t>
      </w:r>
      <w:r w:rsidR="000B0B09" w:rsidRPr="004B0EC7">
        <w:t>), gold, and positions to CIUs.</w:t>
      </w:r>
    </w:p>
    <w:p w14:paraId="39EF826C" w14:textId="3D244F2F" w:rsidR="000B0B09" w:rsidRPr="004B0EC7" w:rsidRDefault="008F3052" w:rsidP="00660845">
      <w:pPr>
        <w:pStyle w:val="InstructionsText2"/>
        <w:numPr>
          <w:ilvl w:val="0"/>
          <w:numId w:val="0"/>
        </w:numPr>
        <w:ind w:left="993"/>
      </w:pPr>
      <w:r w:rsidRPr="004B0EC7">
        <w:fldChar w:fldCharType="begin"/>
      </w:r>
      <w:r w:rsidRPr="004B0EC7">
        <w:instrText>seq paragraphs</w:instrText>
      </w:r>
      <w:r w:rsidRPr="004B0EC7">
        <w:fldChar w:fldCharType="separate"/>
      </w:r>
      <w:r w:rsidR="00771068" w:rsidRPr="004B0EC7">
        <w:rPr>
          <w:noProof/>
        </w:rPr>
        <w:t>172</w:t>
      </w:r>
      <w:r w:rsidRPr="004B0EC7">
        <w:fldChar w:fldCharType="end"/>
      </w:r>
      <w:r w:rsidR="00125707" w:rsidRPr="004B0EC7">
        <w:t>.</w:t>
      </w:r>
      <w:r w:rsidR="00125707" w:rsidRPr="004B0EC7">
        <w:tab/>
      </w:r>
      <w:r w:rsidR="005C14B0" w:rsidRPr="004B0EC7">
        <w:t xml:space="preserve"> </w:t>
      </w:r>
      <w:r w:rsidR="00B31D8A" w:rsidRPr="004B0EC7">
        <w:t>R</w:t>
      </w:r>
      <w:r w:rsidR="00F1062E" w:rsidRPr="004B0EC7">
        <w:t xml:space="preserve">ows </w:t>
      </w:r>
      <w:r w:rsidR="002F79EA" w:rsidRPr="004B0EC7">
        <w:t>0</w:t>
      </w:r>
      <w:r w:rsidR="00F1062E" w:rsidRPr="004B0EC7">
        <w:t xml:space="preserve">100 to </w:t>
      </w:r>
      <w:r w:rsidR="002F79EA" w:rsidRPr="004B0EC7">
        <w:t>0</w:t>
      </w:r>
      <w:r w:rsidR="00F1062E" w:rsidRPr="004B0EC7">
        <w:t>4</w:t>
      </w:r>
      <w:r w:rsidR="009E2BBD" w:rsidRPr="004B0EC7">
        <w:t>8</w:t>
      </w:r>
      <w:r w:rsidR="00F1062E" w:rsidRPr="004B0EC7">
        <w:t>0 of this template</w:t>
      </w:r>
      <w:r w:rsidR="00B31D8A" w:rsidRPr="004B0EC7">
        <w:t xml:space="preserve"> shall be reported even </w:t>
      </w:r>
      <w:r w:rsidR="00F2521E" w:rsidRPr="004B0EC7">
        <w:t>where</w:t>
      </w:r>
      <w:r w:rsidR="00B31D8A" w:rsidRPr="004B0EC7">
        <w:t xml:space="preserve"> institutions are not required to calculate own funds requirements for foreign exchange risk </w:t>
      </w:r>
      <w:r w:rsidR="00BB22D4" w:rsidRPr="004B0EC7">
        <w:t>in accordance with</w:t>
      </w:r>
      <w:r w:rsidR="00B31D8A" w:rsidRPr="004B0EC7">
        <w:t xml:space="preserve"> Article 351 </w:t>
      </w:r>
      <w:r w:rsidR="007062FD" w:rsidRPr="004B0EC7">
        <w:rPr>
          <w:lang w:val="en-US"/>
        </w:rPr>
        <w:t>of Regulation (EU) No 575/2013</w:t>
      </w:r>
      <w:r w:rsidR="00B31D8A" w:rsidRPr="004B0EC7">
        <w:t>.</w:t>
      </w:r>
      <w:r w:rsidR="00F71DF2" w:rsidRPr="004B0EC7">
        <w:t xml:space="preserve"> In those memorandum items, all the positions in the reporting currency are included, irrespective of </w:t>
      </w:r>
      <w:r w:rsidR="00F2521E" w:rsidRPr="004B0EC7">
        <w:t xml:space="preserve">whether </w:t>
      </w:r>
      <w:r w:rsidR="00F71DF2" w:rsidRPr="004B0EC7">
        <w:t xml:space="preserve">they are considered for the purposes of Article 354 </w:t>
      </w:r>
      <w:r w:rsidR="007062FD" w:rsidRPr="004B0EC7">
        <w:rPr>
          <w:lang w:val="en-US"/>
        </w:rPr>
        <w:t>of Regulation (EU) No 575/2013</w:t>
      </w:r>
      <w:r w:rsidR="00F71DF2" w:rsidRPr="004B0EC7">
        <w:t xml:space="preserve">. Rows </w:t>
      </w:r>
      <w:r w:rsidR="002F79EA" w:rsidRPr="004B0EC7">
        <w:t>0</w:t>
      </w:r>
      <w:r w:rsidR="00F71DF2" w:rsidRPr="004B0EC7">
        <w:t xml:space="preserve">130 to </w:t>
      </w:r>
      <w:r w:rsidR="002F79EA" w:rsidRPr="004B0EC7">
        <w:t>0</w:t>
      </w:r>
      <w:r w:rsidR="00F71DF2" w:rsidRPr="004B0EC7">
        <w:t>480 of the</w:t>
      </w:r>
      <w:r w:rsidR="000B0B09" w:rsidRPr="004B0EC7">
        <w:t xml:space="preserve"> memorandum items of the template </w:t>
      </w:r>
      <w:r w:rsidR="00C93697" w:rsidRPr="004B0EC7">
        <w:t>shall</w:t>
      </w:r>
      <w:r w:rsidR="000B0B09" w:rsidRPr="004B0EC7">
        <w:t xml:space="preserve"> be filled out separately for </w:t>
      </w:r>
      <w:r w:rsidR="00F71DF2" w:rsidRPr="004B0EC7">
        <w:t>a</w:t>
      </w:r>
      <w:r w:rsidR="000B0B09" w:rsidRPr="004B0EC7">
        <w:t xml:space="preserve">ll currencies of the </w:t>
      </w:r>
      <w:r w:rsidR="002F79EA" w:rsidRPr="004B0EC7">
        <w:t>M</w:t>
      </w:r>
      <w:r w:rsidR="000B0B09" w:rsidRPr="004B0EC7">
        <w:t xml:space="preserve">ember </w:t>
      </w:r>
      <w:r w:rsidR="002F79EA" w:rsidRPr="004B0EC7">
        <w:t>S</w:t>
      </w:r>
      <w:r w:rsidR="000B0B09" w:rsidRPr="004B0EC7">
        <w:t>tates of the Union</w:t>
      </w:r>
      <w:r w:rsidR="00A11C6E" w:rsidRPr="004B0EC7">
        <w:t xml:space="preserve">, </w:t>
      </w:r>
      <w:r w:rsidR="000B0B09" w:rsidRPr="004B0EC7">
        <w:t xml:space="preserve">the currencies </w:t>
      </w:r>
      <w:r w:rsidR="002F79EA" w:rsidRPr="004B0EC7">
        <w:t xml:space="preserve">GBP, </w:t>
      </w:r>
      <w:r w:rsidR="000B0B09" w:rsidRPr="004B0EC7">
        <w:t>USD, CHF, JPY, RUB, TRY, AUD, CAD, RSD, ALL, UAH, MKD, EGP, ARS, BRL, MXN, HKD, ICK, TWD, NZD, NOK, SGD, KRW, CNY and all other currencies.</w:t>
      </w:r>
    </w:p>
    <w:p w14:paraId="346B4732" w14:textId="273354B2" w:rsidR="000B0B09" w:rsidRPr="004B0EC7" w:rsidRDefault="00125707" w:rsidP="0023700C">
      <w:pPr>
        <w:pStyle w:val="Instructionsberschrift2"/>
        <w:numPr>
          <w:ilvl w:val="0"/>
          <w:numId w:val="0"/>
        </w:numPr>
        <w:ind w:left="357" w:hanging="357"/>
        <w:rPr>
          <w:rFonts w:ascii="Times New Roman" w:hAnsi="Times New Roman" w:cs="Times New Roman"/>
          <w:sz w:val="24"/>
          <w:lang w:val="en-GB"/>
        </w:rPr>
      </w:pPr>
      <w:bookmarkStart w:id="117" w:name="_Toc262566434"/>
      <w:bookmarkStart w:id="118" w:name="_Toc295830010"/>
      <w:bookmarkStart w:id="119" w:name="_Toc308426687"/>
      <w:bookmarkStart w:id="120" w:name="_Toc310415071"/>
      <w:bookmarkStart w:id="121" w:name="_Toc360188406"/>
      <w:bookmarkStart w:id="122" w:name="_Toc473561046"/>
      <w:bookmarkStart w:id="123" w:name="_Toc151714500"/>
      <w:r w:rsidRPr="004B0EC7">
        <w:rPr>
          <w:rFonts w:ascii="Times New Roman" w:hAnsi="Times New Roman" w:cs="Times New Roman"/>
          <w:sz w:val="24"/>
          <w:u w:val="none"/>
          <w:lang w:val="en-GB"/>
        </w:rPr>
        <w:t>5.5.2.</w:t>
      </w:r>
      <w:r w:rsidRPr="004B0EC7">
        <w:rPr>
          <w:rFonts w:ascii="Times New Roman" w:hAnsi="Times New Roman" w:cs="Times New Roman"/>
          <w:sz w:val="24"/>
          <w:u w:val="none"/>
          <w:lang w:val="en-GB"/>
        </w:rPr>
        <w:tab/>
      </w:r>
      <w:r w:rsidR="000B0B09" w:rsidRPr="004B0EC7">
        <w:rPr>
          <w:rFonts w:ascii="Times New Roman" w:hAnsi="Times New Roman" w:cs="Times New Roman"/>
          <w:sz w:val="24"/>
          <w:lang w:val="en-GB"/>
        </w:rPr>
        <w:t>Instructions concerning specific positions</w:t>
      </w:r>
      <w:bookmarkEnd w:id="117"/>
      <w:bookmarkEnd w:id="118"/>
      <w:bookmarkEnd w:id="119"/>
      <w:bookmarkEnd w:id="120"/>
      <w:bookmarkEnd w:id="121"/>
      <w:bookmarkEnd w:id="122"/>
      <w:bookmarkEnd w:id="1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4B0EC7" w14:paraId="49DEFDC7" w14:textId="77777777" w:rsidTr="00672D2A">
        <w:trPr>
          <w:trHeight w:val="595"/>
        </w:trPr>
        <w:tc>
          <w:tcPr>
            <w:tcW w:w="8862" w:type="dxa"/>
            <w:gridSpan w:val="2"/>
            <w:shd w:val="clear" w:color="auto" w:fill="CCCCCC"/>
          </w:tcPr>
          <w:p w14:paraId="12971A77" w14:textId="77777777" w:rsidR="000B0B09" w:rsidRPr="004B0EC7" w:rsidRDefault="000B0B09" w:rsidP="000B0B09">
            <w:pPr>
              <w:autoSpaceDE w:val="0"/>
              <w:autoSpaceDN w:val="0"/>
              <w:adjustRightInd w:val="0"/>
              <w:spacing w:after="0"/>
              <w:rPr>
                <w:rFonts w:ascii="Times New Roman" w:hAnsi="Times New Roman"/>
                <w:b/>
                <w:sz w:val="24"/>
                <w:lang w:eastAsia="nl-BE"/>
              </w:rPr>
            </w:pPr>
            <w:r w:rsidRPr="004B0EC7">
              <w:rPr>
                <w:rFonts w:ascii="Times New Roman" w:hAnsi="Times New Roman"/>
                <w:b/>
                <w:sz w:val="24"/>
                <w:lang w:eastAsia="nl-BE"/>
              </w:rPr>
              <w:t>Columns</w:t>
            </w:r>
          </w:p>
        </w:tc>
      </w:tr>
      <w:tr w:rsidR="000B0B09" w:rsidRPr="004B0EC7" w14:paraId="159B4B41" w14:textId="77777777" w:rsidTr="00672D2A">
        <w:tc>
          <w:tcPr>
            <w:tcW w:w="988" w:type="dxa"/>
          </w:tcPr>
          <w:p w14:paraId="0ABA9E21"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020-</w:t>
            </w:r>
            <w:r w:rsidRPr="004B0EC7">
              <w:rPr>
                <w:rFonts w:ascii="Times New Roman" w:hAnsi="Times New Roman"/>
                <w:sz w:val="24"/>
                <w:lang w:eastAsia="nl-BE"/>
              </w:rPr>
              <w:t>0</w:t>
            </w:r>
            <w:r w:rsidR="000B0B09" w:rsidRPr="004B0EC7">
              <w:rPr>
                <w:rFonts w:ascii="Times New Roman" w:hAnsi="Times New Roman"/>
                <w:sz w:val="24"/>
                <w:lang w:eastAsia="nl-BE"/>
              </w:rPr>
              <w:t>030</w:t>
            </w:r>
          </w:p>
        </w:tc>
        <w:tc>
          <w:tcPr>
            <w:tcW w:w="7874" w:type="dxa"/>
          </w:tcPr>
          <w:p w14:paraId="3450FB81"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ALL POSITIONS (LONG AND SHORT)</w:t>
            </w:r>
          </w:p>
          <w:p w14:paraId="21CD6173" w14:textId="77777777" w:rsidR="000B0B09" w:rsidRPr="004B0EC7" w:rsidRDefault="000B0B09" w:rsidP="00283B5F">
            <w:pPr>
              <w:autoSpaceDE w:val="0"/>
              <w:autoSpaceDN w:val="0"/>
              <w:adjustRightInd w:val="0"/>
              <w:spacing w:before="0" w:after="0"/>
              <w:rPr>
                <w:rFonts w:ascii="Times New Roman" w:hAnsi="Times New Roman"/>
                <w:sz w:val="24"/>
                <w:lang w:eastAsia="nl-BE"/>
              </w:rPr>
            </w:pPr>
          </w:p>
          <w:p w14:paraId="5F204D98" w14:textId="7206E339" w:rsidR="005C14B0" w:rsidRPr="004B0EC7" w:rsidRDefault="000B0B09" w:rsidP="00F2521E">
            <w:pPr>
              <w:autoSpaceDE w:val="0"/>
              <w:autoSpaceDN w:val="0"/>
              <w:adjustRightInd w:val="0"/>
              <w:spacing w:before="0"/>
              <w:rPr>
                <w:rFonts w:ascii="Times New Roman" w:hAnsi="Times New Roman"/>
                <w:sz w:val="24"/>
                <w:lang w:eastAsia="de-DE"/>
              </w:rPr>
            </w:pPr>
            <w:r w:rsidRPr="004B0EC7">
              <w:rPr>
                <w:rFonts w:ascii="Times New Roman" w:hAnsi="Times New Roman"/>
                <w:sz w:val="24"/>
                <w:lang w:eastAsia="de-DE"/>
              </w:rPr>
              <w:t xml:space="preserve">Gross positions due to assets, amounts to be received and similar items referred to in Article 352(1) </w:t>
            </w:r>
            <w:r w:rsidR="007062FD" w:rsidRPr="004B0EC7">
              <w:rPr>
                <w:rFonts w:ascii="Times New Roman" w:hAnsi="Times New Roman"/>
                <w:sz w:val="24"/>
                <w:lang w:val="en-US"/>
              </w:rPr>
              <w:t>of Regulation (EU) No 575/2013</w:t>
            </w:r>
          </w:p>
          <w:p w14:paraId="754DB1BB" w14:textId="2FEAA29E" w:rsidR="000B0B09" w:rsidRPr="004B0EC7" w:rsidRDefault="00BB22D4" w:rsidP="00D1690D">
            <w:pPr>
              <w:autoSpaceDE w:val="0"/>
              <w:autoSpaceDN w:val="0"/>
              <w:adjustRightInd w:val="0"/>
              <w:spacing w:before="0" w:after="0"/>
              <w:rPr>
                <w:rFonts w:ascii="Times New Roman" w:hAnsi="Times New Roman"/>
                <w:sz w:val="24"/>
                <w:lang w:eastAsia="de-DE"/>
              </w:rPr>
            </w:pPr>
            <w:r w:rsidRPr="004B0EC7">
              <w:rPr>
                <w:rFonts w:ascii="Times New Roman" w:hAnsi="Times New Roman"/>
                <w:sz w:val="24"/>
                <w:lang w:eastAsia="de-DE"/>
              </w:rPr>
              <w:t>In accordance with</w:t>
            </w:r>
            <w:r w:rsidR="006D35FC" w:rsidRPr="004B0EC7">
              <w:rPr>
                <w:rFonts w:ascii="Times New Roman" w:hAnsi="Times New Roman"/>
                <w:sz w:val="24"/>
                <w:lang w:eastAsia="de-DE"/>
              </w:rPr>
              <w:t xml:space="preserve"> Article 352(2) </w:t>
            </w:r>
            <w:r w:rsidR="007062FD" w:rsidRPr="004B0EC7">
              <w:rPr>
                <w:rFonts w:ascii="Times New Roman" w:hAnsi="Times New Roman"/>
                <w:sz w:val="24"/>
                <w:lang w:val="en-US"/>
              </w:rPr>
              <w:t>of Regulation (EU) No 575/2013</w:t>
            </w:r>
            <w:r w:rsidR="00F23247" w:rsidRPr="004B0EC7">
              <w:rPr>
                <w:rFonts w:ascii="Times New Roman" w:hAnsi="Times New Roman"/>
                <w:sz w:val="24"/>
                <w:lang w:eastAsia="de-DE"/>
              </w:rPr>
              <w:t xml:space="preserve"> </w:t>
            </w:r>
            <w:r w:rsidR="006D35FC" w:rsidRPr="004B0EC7">
              <w:rPr>
                <w:rFonts w:ascii="Times New Roman" w:hAnsi="Times New Roman"/>
                <w:sz w:val="24"/>
                <w:lang w:eastAsia="de-DE"/>
              </w:rPr>
              <w:t xml:space="preserve">and subject to permission </w:t>
            </w:r>
            <w:r w:rsidR="000A7D27" w:rsidRPr="004B0EC7">
              <w:rPr>
                <w:rFonts w:ascii="Times New Roman" w:hAnsi="Times New Roman"/>
                <w:sz w:val="24"/>
                <w:lang w:eastAsia="de-DE"/>
              </w:rPr>
              <w:t>from</w:t>
            </w:r>
            <w:r w:rsidR="006D35FC" w:rsidRPr="004B0EC7">
              <w:rPr>
                <w:rFonts w:ascii="Times New Roman" w:hAnsi="Times New Roman"/>
                <w:sz w:val="24"/>
                <w:lang w:eastAsia="de-DE"/>
              </w:rPr>
              <w:t xml:space="preserve"> competent authorities</w:t>
            </w:r>
            <w:r w:rsidR="00B83DDE" w:rsidRPr="004B0EC7">
              <w:rPr>
                <w:rFonts w:ascii="Times New Roman" w:hAnsi="Times New Roman"/>
                <w:sz w:val="24"/>
                <w:lang w:eastAsia="de-DE"/>
              </w:rPr>
              <w:t>, p</w:t>
            </w:r>
            <w:r w:rsidR="006D35FC" w:rsidRPr="004B0EC7">
              <w:rPr>
                <w:rFonts w:ascii="Times New Roman" w:hAnsi="Times New Roman"/>
                <w:sz w:val="24"/>
                <w:lang w:eastAsia="de-DE"/>
              </w:rPr>
              <w:t xml:space="preserve">ositions taken to hedge against the adverse effect of the exchange rate on their ratios in accordance with Article </w:t>
            </w:r>
            <w:r w:rsidR="006D35FC" w:rsidRPr="004B0EC7">
              <w:rPr>
                <w:rFonts w:ascii="Times New Roman" w:hAnsi="Times New Roman"/>
                <w:sz w:val="24"/>
                <w:lang w:eastAsia="de-DE"/>
              </w:rPr>
              <w:lastRenderedPageBreak/>
              <w:t xml:space="preserve">92(1) </w:t>
            </w:r>
            <w:r w:rsidR="007062FD" w:rsidRPr="004B0EC7">
              <w:rPr>
                <w:rFonts w:ascii="Times New Roman" w:hAnsi="Times New Roman"/>
                <w:sz w:val="24"/>
                <w:lang w:val="en-US"/>
              </w:rPr>
              <w:t xml:space="preserve">of that Regulation </w:t>
            </w:r>
            <w:r w:rsidR="006D35FC" w:rsidRPr="004B0EC7">
              <w:rPr>
                <w:rFonts w:ascii="Times New Roman" w:hAnsi="Times New Roman"/>
                <w:sz w:val="24"/>
                <w:lang w:eastAsia="de-DE"/>
              </w:rPr>
              <w:t>and positions related to items that are already deducted in the calculation of own funds shall not be reported.</w:t>
            </w:r>
          </w:p>
          <w:p w14:paraId="40A85A41" w14:textId="77777777" w:rsidR="000B0B09" w:rsidRPr="004B0EC7" w:rsidRDefault="000B0B09" w:rsidP="000B0B09">
            <w:pPr>
              <w:autoSpaceDE w:val="0"/>
              <w:autoSpaceDN w:val="0"/>
              <w:adjustRightInd w:val="0"/>
              <w:spacing w:before="0" w:after="0"/>
              <w:rPr>
                <w:rFonts w:ascii="Times New Roman" w:hAnsi="Times New Roman"/>
                <w:sz w:val="24"/>
                <w:lang w:eastAsia="nl-BE"/>
              </w:rPr>
            </w:pPr>
          </w:p>
        </w:tc>
      </w:tr>
      <w:tr w:rsidR="000B0B09" w:rsidRPr="004B0EC7" w14:paraId="5B6C2519" w14:textId="77777777" w:rsidTr="00672D2A">
        <w:tc>
          <w:tcPr>
            <w:tcW w:w="988" w:type="dxa"/>
          </w:tcPr>
          <w:p w14:paraId="01A2B5B6" w14:textId="77777777" w:rsidR="000B0B09" w:rsidRPr="004B0EC7" w:rsidRDefault="002F79EA" w:rsidP="00B74792">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lastRenderedPageBreak/>
              <w:t>0</w:t>
            </w:r>
            <w:r w:rsidR="000B0B09" w:rsidRPr="004B0EC7">
              <w:rPr>
                <w:rFonts w:ascii="Times New Roman" w:hAnsi="Times New Roman"/>
                <w:sz w:val="24"/>
                <w:lang w:eastAsia="nl-BE"/>
              </w:rPr>
              <w:t>040-</w:t>
            </w:r>
            <w:r w:rsidRPr="004B0EC7">
              <w:rPr>
                <w:rFonts w:ascii="Times New Roman" w:hAnsi="Times New Roman"/>
                <w:sz w:val="24"/>
                <w:lang w:eastAsia="nl-BE"/>
              </w:rPr>
              <w:t>0</w:t>
            </w:r>
            <w:r w:rsidR="000B0B09" w:rsidRPr="004B0EC7">
              <w:rPr>
                <w:rFonts w:ascii="Times New Roman" w:hAnsi="Times New Roman"/>
                <w:sz w:val="24"/>
                <w:lang w:eastAsia="nl-BE"/>
              </w:rPr>
              <w:t>050</w:t>
            </w:r>
          </w:p>
        </w:tc>
        <w:tc>
          <w:tcPr>
            <w:tcW w:w="7874" w:type="dxa"/>
          </w:tcPr>
          <w:p w14:paraId="5A21CA54"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NET POSITIONS (LONG AND SHORT)</w:t>
            </w:r>
          </w:p>
          <w:p w14:paraId="5D5BCFBB" w14:textId="77777777" w:rsidR="000B0B09" w:rsidRPr="004B0EC7" w:rsidRDefault="000B0B09" w:rsidP="000B0B09">
            <w:pPr>
              <w:autoSpaceDE w:val="0"/>
              <w:autoSpaceDN w:val="0"/>
              <w:adjustRightInd w:val="0"/>
              <w:spacing w:before="0" w:after="0"/>
              <w:rPr>
                <w:rFonts w:ascii="Times New Roman" w:hAnsi="Times New Roman"/>
                <w:sz w:val="24"/>
                <w:lang w:eastAsia="de-DE"/>
              </w:rPr>
            </w:pPr>
          </w:p>
          <w:p w14:paraId="263D2EB9" w14:textId="4D60A7B0" w:rsidR="00283B5F" w:rsidRPr="004B0EC7" w:rsidRDefault="000B0B09" w:rsidP="00F2521E">
            <w:pPr>
              <w:autoSpaceDE w:val="0"/>
              <w:autoSpaceDN w:val="0"/>
              <w:adjustRightInd w:val="0"/>
              <w:spacing w:before="0"/>
              <w:rPr>
                <w:rFonts w:ascii="Times New Roman" w:hAnsi="Times New Roman"/>
                <w:sz w:val="24"/>
                <w:lang w:eastAsia="de-DE"/>
              </w:rPr>
            </w:pPr>
            <w:r w:rsidRPr="004B0EC7">
              <w:rPr>
                <w:rFonts w:ascii="Times New Roman" w:hAnsi="Times New Roman"/>
                <w:sz w:val="24"/>
                <w:lang w:eastAsia="de-DE"/>
              </w:rPr>
              <w:t>Article 352(3)</w:t>
            </w:r>
            <w:r w:rsidR="00F2521E" w:rsidRPr="004B0EC7">
              <w:rPr>
                <w:rFonts w:ascii="Times New Roman" w:hAnsi="Times New Roman"/>
                <w:sz w:val="24"/>
                <w:lang w:eastAsia="de-DE"/>
              </w:rPr>
              <w:t>,</w:t>
            </w:r>
            <w:r w:rsidR="00AC6570" w:rsidRPr="004B0EC7">
              <w:rPr>
                <w:rFonts w:ascii="Times New Roman" w:hAnsi="Times New Roman"/>
                <w:sz w:val="24"/>
                <w:lang w:eastAsia="de-DE"/>
              </w:rPr>
              <w:t xml:space="preserve"> </w:t>
            </w:r>
            <w:r w:rsidR="00705025" w:rsidRPr="004B0EC7">
              <w:rPr>
                <w:rFonts w:ascii="Times New Roman" w:hAnsi="Times New Roman"/>
                <w:sz w:val="24"/>
                <w:lang w:eastAsia="de-DE"/>
              </w:rPr>
              <w:t>the Article 352</w:t>
            </w:r>
            <w:r w:rsidR="00283B5F" w:rsidRPr="004B0EC7">
              <w:rPr>
                <w:rFonts w:ascii="Times New Roman" w:hAnsi="Times New Roman"/>
                <w:sz w:val="24"/>
                <w:lang w:eastAsia="de-DE"/>
              </w:rPr>
              <w:t>(4)</w:t>
            </w:r>
            <w:r w:rsidR="00AC6570" w:rsidRPr="004B0EC7">
              <w:rPr>
                <w:rFonts w:ascii="Times New Roman" w:hAnsi="Times New Roman"/>
                <w:sz w:val="24"/>
                <w:lang w:eastAsia="de-DE"/>
              </w:rPr>
              <w:t xml:space="preserve">, </w:t>
            </w:r>
            <w:r w:rsidR="007C2F65" w:rsidRPr="004B0EC7">
              <w:rPr>
                <w:rFonts w:ascii="Times New Roman" w:hAnsi="Times New Roman"/>
                <w:sz w:val="24"/>
                <w:lang w:eastAsia="de-DE"/>
              </w:rPr>
              <w:t xml:space="preserve">first two sentences </w:t>
            </w:r>
            <w:r w:rsidRPr="004B0EC7">
              <w:rPr>
                <w:rFonts w:ascii="Times New Roman" w:hAnsi="Times New Roman"/>
                <w:sz w:val="24"/>
                <w:lang w:eastAsia="de-DE"/>
              </w:rPr>
              <w:t xml:space="preserve">and </w:t>
            </w:r>
            <w:r w:rsidR="005C14B0" w:rsidRPr="004B0EC7">
              <w:rPr>
                <w:rFonts w:ascii="Times New Roman" w:hAnsi="Times New Roman"/>
                <w:sz w:val="24"/>
                <w:lang w:eastAsia="de-DE"/>
              </w:rPr>
              <w:t xml:space="preserve">Article </w:t>
            </w:r>
            <w:r w:rsidRPr="004B0EC7">
              <w:rPr>
                <w:rFonts w:ascii="Times New Roman" w:hAnsi="Times New Roman"/>
                <w:sz w:val="24"/>
                <w:lang w:eastAsia="de-DE"/>
              </w:rPr>
              <w:t xml:space="preserve">353 </w:t>
            </w:r>
            <w:r w:rsidR="006E347B" w:rsidRPr="004B0EC7">
              <w:rPr>
                <w:rFonts w:ascii="Times New Roman" w:hAnsi="Times New Roman"/>
                <w:sz w:val="24"/>
                <w:lang w:val="en-US"/>
              </w:rPr>
              <w:t>of Regulation (EU) No 575/2013</w:t>
            </w:r>
          </w:p>
          <w:p w14:paraId="1436375E" w14:textId="100DFA36" w:rsidR="000B0B09" w:rsidRPr="004B0EC7" w:rsidRDefault="000B0B09" w:rsidP="000B0B09">
            <w:pPr>
              <w:autoSpaceDE w:val="0"/>
              <w:autoSpaceDN w:val="0"/>
              <w:adjustRightInd w:val="0"/>
              <w:spacing w:before="0" w:after="0"/>
              <w:rPr>
                <w:rFonts w:ascii="Times New Roman" w:hAnsi="Times New Roman"/>
                <w:sz w:val="24"/>
                <w:lang w:eastAsia="de-DE"/>
              </w:rPr>
            </w:pPr>
            <w:r w:rsidRPr="004B0EC7">
              <w:rPr>
                <w:rFonts w:ascii="Times New Roman" w:hAnsi="Times New Roman"/>
                <w:sz w:val="24"/>
                <w:lang w:eastAsia="de-DE"/>
              </w:rPr>
              <w:t>The net positions are calculated by each currency</w:t>
            </w:r>
            <w:r w:rsidR="00F23247" w:rsidRPr="004B0EC7">
              <w:rPr>
                <w:rFonts w:ascii="Times New Roman" w:hAnsi="Times New Roman"/>
                <w:sz w:val="24"/>
                <w:lang w:eastAsia="de-DE"/>
              </w:rPr>
              <w:t xml:space="preserve"> in accordance with Article 35</w:t>
            </w:r>
            <w:r w:rsidR="00097A17" w:rsidRPr="004B0EC7">
              <w:rPr>
                <w:rFonts w:ascii="Times New Roman" w:hAnsi="Times New Roman"/>
                <w:sz w:val="24"/>
                <w:lang w:eastAsia="de-DE"/>
              </w:rPr>
              <w:t>2</w:t>
            </w:r>
            <w:r w:rsidR="00F23247" w:rsidRPr="004B0EC7">
              <w:rPr>
                <w:rFonts w:ascii="Times New Roman" w:hAnsi="Times New Roman"/>
                <w:sz w:val="24"/>
                <w:lang w:eastAsia="de-DE"/>
              </w:rPr>
              <w:t xml:space="preserve"> (1) </w:t>
            </w:r>
            <w:r w:rsidR="006E347B" w:rsidRPr="004B0EC7">
              <w:rPr>
                <w:rFonts w:ascii="Times New Roman" w:hAnsi="Times New Roman"/>
                <w:sz w:val="24"/>
                <w:lang w:val="en-US"/>
              </w:rPr>
              <w:t>of Regulation (EU) No 575/2013</w:t>
            </w:r>
            <w:r w:rsidR="00F2521E" w:rsidRPr="004B0EC7">
              <w:rPr>
                <w:rFonts w:ascii="Times New Roman" w:hAnsi="Times New Roman"/>
                <w:sz w:val="24"/>
                <w:lang w:eastAsia="de-DE"/>
              </w:rPr>
              <w:t xml:space="preserve">. </w:t>
            </w:r>
            <w:r w:rsidR="00F23247" w:rsidRPr="004B0EC7">
              <w:rPr>
                <w:rFonts w:ascii="Times New Roman" w:hAnsi="Times New Roman"/>
                <w:sz w:val="24"/>
                <w:lang w:eastAsia="de-DE"/>
              </w:rPr>
              <w:t xml:space="preserve">Consequently, both </w:t>
            </w:r>
            <w:r w:rsidRPr="004B0EC7">
              <w:rPr>
                <w:rFonts w:ascii="Times New Roman" w:hAnsi="Times New Roman"/>
                <w:sz w:val="24"/>
                <w:lang w:eastAsia="de-DE"/>
              </w:rPr>
              <w:t>long and short positions</w:t>
            </w:r>
            <w:r w:rsidR="00F23247" w:rsidRPr="004B0EC7">
              <w:rPr>
                <w:rFonts w:ascii="Times New Roman" w:hAnsi="Times New Roman"/>
                <w:sz w:val="24"/>
                <w:lang w:eastAsia="de-DE"/>
              </w:rPr>
              <w:t xml:space="preserve"> may be reported at the same time.</w:t>
            </w:r>
          </w:p>
          <w:p w14:paraId="7EF6C18C" w14:textId="77777777" w:rsidR="000B0B09" w:rsidRPr="004B0EC7" w:rsidRDefault="000B0B09" w:rsidP="000B0B09">
            <w:pPr>
              <w:autoSpaceDE w:val="0"/>
              <w:autoSpaceDN w:val="0"/>
              <w:adjustRightInd w:val="0"/>
              <w:spacing w:before="0" w:after="0"/>
              <w:rPr>
                <w:rFonts w:ascii="Times New Roman" w:hAnsi="Times New Roman"/>
                <w:sz w:val="24"/>
                <w:lang w:eastAsia="nl-BE"/>
              </w:rPr>
            </w:pPr>
          </w:p>
        </w:tc>
      </w:tr>
      <w:tr w:rsidR="000B0B09" w:rsidRPr="004B0EC7" w14:paraId="1DBF3F98" w14:textId="77777777" w:rsidTr="00672D2A">
        <w:tc>
          <w:tcPr>
            <w:tcW w:w="988" w:type="dxa"/>
          </w:tcPr>
          <w:p w14:paraId="5ED8190E"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060-</w:t>
            </w:r>
            <w:r w:rsidRPr="004B0EC7">
              <w:rPr>
                <w:rFonts w:ascii="Times New Roman" w:hAnsi="Times New Roman"/>
                <w:sz w:val="24"/>
                <w:lang w:eastAsia="nl-BE"/>
              </w:rPr>
              <w:t>0</w:t>
            </w:r>
            <w:r w:rsidR="000B0B09" w:rsidRPr="004B0EC7">
              <w:rPr>
                <w:rFonts w:ascii="Times New Roman" w:hAnsi="Times New Roman"/>
                <w:sz w:val="24"/>
                <w:lang w:eastAsia="nl-BE"/>
              </w:rPr>
              <w:t>080</w:t>
            </w:r>
          </w:p>
        </w:tc>
        <w:tc>
          <w:tcPr>
            <w:tcW w:w="7874" w:type="dxa"/>
          </w:tcPr>
          <w:p w14:paraId="23461A49"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de-DE"/>
              </w:rPr>
            </w:pPr>
            <w:r w:rsidRPr="004B0EC7">
              <w:rPr>
                <w:rFonts w:ascii="Times New Roman" w:hAnsi="Times New Roman"/>
                <w:b/>
                <w:bCs/>
                <w:sz w:val="24"/>
                <w:u w:val="single"/>
                <w:lang w:eastAsia="de-DE"/>
              </w:rPr>
              <w:t>POSITIONS SUBJECT TO CAPITAL CHARGE</w:t>
            </w:r>
          </w:p>
          <w:p w14:paraId="536B2115" w14:textId="77777777" w:rsidR="000B0B09" w:rsidRPr="004B0EC7" w:rsidRDefault="000B0B09" w:rsidP="000B0B09">
            <w:pPr>
              <w:autoSpaceDE w:val="0"/>
              <w:autoSpaceDN w:val="0"/>
              <w:adjustRightInd w:val="0"/>
              <w:spacing w:before="0" w:after="0"/>
              <w:rPr>
                <w:rFonts w:ascii="Times New Roman" w:hAnsi="Times New Roman"/>
                <w:sz w:val="24"/>
                <w:lang w:eastAsia="de-DE"/>
              </w:rPr>
            </w:pPr>
          </w:p>
          <w:p w14:paraId="4FE1162B" w14:textId="78C764D9" w:rsidR="000B0B09" w:rsidRPr="004B0EC7" w:rsidRDefault="000B0B09" w:rsidP="000B0B09">
            <w:pPr>
              <w:autoSpaceDE w:val="0"/>
              <w:autoSpaceDN w:val="0"/>
              <w:adjustRightInd w:val="0"/>
              <w:spacing w:before="0" w:after="0"/>
              <w:rPr>
                <w:rFonts w:ascii="Times New Roman" w:hAnsi="Times New Roman"/>
                <w:sz w:val="24"/>
                <w:lang w:eastAsia="de-DE"/>
              </w:rPr>
            </w:pPr>
            <w:r w:rsidRPr="004B0EC7">
              <w:rPr>
                <w:rFonts w:ascii="Times New Roman" w:hAnsi="Times New Roman"/>
                <w:sz w:val="24"/>
                <w:lang w:eastAsia="de-DE"/>
              </w:rPr>
              <w:t>Article 352(</w:t>
            </w:r>
            <w:r w:rsidR="00283B5F" w:rsidRPr="004B0EC7">
              <w:rPr>
                <w:rFonts w:ascii="Times New Roman" w:hAnsi="Times New Roman"/>
                <w:sz w:val="24"/>
                <w:lang w:eastAsia="de-DE"/>
              </w:rPr>
              <w:t>4</w:t>
            </w:r>
            <w:r w:rsidRPr="004B0EC7">
              <w:rPr>
                <w:rFonts w:ascii="Times New Roman" w:hAnsi="Times New Roman"/>
                <w:sz w:val="24"/>
                <w:lang w:eastAsia="de-DE"/>
              </w:rPr>
              <w:t>)</w:t>
            </w:r>
            <w:r w:rsidR="007C2F65" w:rsidRPr="004B0EC7">
              <w:rPr>
                <w:rFonts w:ascii="Times New Roman" w:hAnsi="Times New Roman"/>
                <w:sz w:val="24"/>
                <w:lang w:eastAsia="de-DE"/>
              </w:rPr>
              <w:t>,</w:t>
            </w:r>
            <w:r w:rsidR="00AC6570" w:rsidRPr="004B0EC7">
              <w:rPr>
                <w:rFonts w:ascii="Times New Roman" w:hAnsi="Times New Roman"/>
                <w:sz w:val="24"/>
                <w:lang w:eastAsia="de-DE"/>
              </w:rPr>
              <w:t xml:space="preserve"> </w:t>
            </w:r>
            <w:r w:rsidR="007C2F65" w:rsidRPr="004B0EC7">
              <w:rPr>
                <w:rFonts w:ascii="Times New Roman" w:hAnsi="Times New Roman"/>
                <w:sz w:val="24"/>
                <w:lang w:eastAsia="de-DE"/>
              </w:rPr>
              <w:t xml:space="preserve">third sentence </w:t>
            </w:r>
            <w:r w:rsidR="00F2521E" w:rsidRPr="004B0EC7">
              <w:rPr>
                <w:rFonts w:ascii="Times New Roman" w:hAnsi="Times New Roman"/>
                <w:sz w:val="24"/>
                <w:lang w:eastAsia="de-DE"/>
              </w:rPr>
              <w:t xml:space="preserve">and </w:t>
            </w:r>
            <w:r w:rsidR="00705025" w:rsidRPr="004B0EC7">
              <w:rPr>
                <w:rFonts w:ascii="Times New Roman" w:hAnsi="Times New Roman"/>
                <w:sz w:val="24"/>
                <w:lang w:eastAsia="de-DE"/>
              </w:rPr>
              <w:t xml:space="preserve">Articles </w:t>
            </w:r>
            <w:r w:rsidRPr="004B0EC7">
              <w:rPr>
                <w:rFonts w:ascii="Times New Roman" w:hAnsi="Times New Roman"/>
                <w:sz w:val="24"/>
                <w:lang w:eastAsia="de-DE"/>
              </w:rPr>
              <w:t xml:space="preserve">353 and 354 </w:t>
            </w:r>
            <w:r w:rsidR="006E347B" w:rsidRPr="004B0EC7">
              <w:rPr>
                <w:rFonts w:ascii="Times New Roman" w:hAnsi="Times New Roman"/>
                <w:sz w:val="24"/>
                <w:lang w:val="en-US"/>
              </w:rPr>
              <w:t>of Regulation (EU) No 575/2013</w:t>
            </w:r>
            <w:r w:rsidRPr="004B0EC7">
              <w:rPr>
                <w:rFonts w:ascii="Times New Roman" w:hAnsi="Times New Roman"/>
                <w:sz w:val="24"/>
                <w:lang w:eastAsia="de-DE"/>
              </w:rPr>
              <w:t xml:space="preserve"> </w:t>
            </w:r>
          </w:p>
          <w:p w14:paraId="091C4CE9"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4B0EC7" w14:paraId="52E36B34" w14:textId="77777777" w:rsidTr="00672D2A">
        <w:tc>
          <w:tcPr>
            <w:tcW w:w="988" w:type="dxa"/>
          </w:tcPr>
          <w:p w14:paraId="4CF75F7E"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060-</w:t>
            </w:r>
            <w:r w:rsidRPr="004B0EC7">
              <w:rPr>
                <w:rFonts w:ascii="Times New Roman" w:hAnsi="Times New Roman"/>
                <w:sz w:val="24"/>
                <w:lang w:eastAsia="nl-BE"/>
              </w:rPr>
              <w:t>0</w:t>
            </w:r>
            <w:r w:rsidR="000B0B09" w:rsidRPr="004B0EC7">
              <w:rPr>
                <w:rFonts w:ascii="Times New Roman" w:hAnsi="Times New Roman"/>
                <w:sz w:val="24"/>
                <w:lang w:eastAsia="nl-BE"/>
              </w:rPr>
              <w:t>070</w:t>
            </w:r>
          </w:p>
        </w:tc>
        <w:tc>
          <w:tcPr>
            <w:tcW w:w="7874" w:type="dxa"/>
          </w:tcPr>
          <w:p w14:paraId="4917443B" w14:textId="77777777" w:rsidR="000B0B09" w:rsidRPr="004B0EC7" w:rsidRDefault="000B0B09" w:rsidP="000B0B09">
            <w:pPr>
              <w:autoSpaceDE w:val="0"/>
              <w:autoSpaceDN w:val="0"/>
              <w:adjustRightInd w:val="0"/>
              <w:spacing w:before="0" w:after="0"/>
              <w:rPr>
                <w:rFonts w:ascii="Times New Roman" w:hAnsi="Times New Roman"/>
                <w:sz w:val="24"/>
                <w:lang w:eastAsia="de-DE"/>
              </w:rPr>
            </w:pPr>
            <w:r w:rsidRPr="004B0EC7">
              <w:rPr>
                <w:rFonts w:ascii="Times New Roman" w:hAnsi="Times New Roman"/>
                <w:b/>
                <w:bCs/>
                <w:sz w:val="24"/>
                <w:u w:val="single"/>
                <w:lang w:eastAsia="de-DE"/>
              </w:rPr>
              <w:t>POSITIONS SUBJECT TO CAPITAL CHARGE</w:t>
            </w:r>
            <w:r w:rsidRPr="004B0EC7">
              <w:rPr>
                <w:rFonts w:ascii="Times New Roman" w:hAnsi="Times New Roman"/>
                <w:b/>
                <w:bCs/>
                <w:sz w:val="24"/>
                <w:u w:val="single"/>
                <w:lang w:eastAsia="nl-BE"/>
              </w:rPr>
              <w:t xml:space="preserve"> (LONG AND SHORT)</w:t>
            </w:r>
          </w:p>
          <w:p w14:paraId="1CA17503" w14:textId="77777777" w:rsidR="000B0B09" w:rsidRPr="004B0EC7" w:rsidRDefault="000B0B09" w:rsidP="00F2521E">
            <w:pPr>
              <w:autoSpaceDE w:val="0"/>
              <w:autoSpaceDN w:val="0"/>
              <w:adjustRightInd w:val="0"/>
              <w:spacing w:after="0"/>
              <w:rPr>
                <w:rFonts w:ascii="Times New Roman" w:hAnsi="Times New Roman"/>
                <w:sz w:val="24"/>
                <w:lang w:eastAsia="de-DE"/>
              </w:rPr>
            </w:pPr>
            <w:r w:rsidRPr="004B0EC7">
              <w:rPr>
                <w:rFonts w:ascii="Times New Roman" w:hAnsi="Times New Roman"/>
                <w:sz w:val="24"/>
                <w:lang w:eastAsia="de-DE"/>
              </w:rPr>
              <w:t xml:space="preserve">The long and short net positions for each currency </w:t>
            </w:r>
            <w:r w:rsidR="005C14B0" w:rsidRPr="004B0EC7">
              <w:rPr>
                <w:rFonts w:ascii="Times New Roman" w:hAnsi="Times New Roman"/>
                <w:sz w:val="24"/>
                <w:lang w:eastAsia="de-DE"/>
              </w:rPr>
              <w:t xml:space="preserve">shall be </w:t>
            </w:r>
            <w:r w:rsidRPr="004B0EC7">
              <w:rPr>
                <w:rFonts w:ascii="Times New Roman" w:hAnsi="Times New Roman"/>
                <w:sz w:val="24"/>
                <w:lang w:eastAsia="de-DE"/>
              </w:rPr>
              <w:t>calculated by deducting the total of short positions from the total of long positions.</w:t>
            </w:r>
          </w:p>
          <w:p w14:paraId="7912A4F1" w14:textId="77777777" w:rsidR="000B0B09" w:rsidRPr="004B0EC7" w:rsidRDefault="000B0B09" w:rsidP="00F2521E">
            <w:pPr>
              <w:autoSpaceDE w:val="0"/>
              <w:autoSpaceDN w:val="0"/>
              <w:adjustRightInd w:val="0"/>
              <w:spacing w:after="0"/>
              <w:rPr>
                <w:rFonts w:ascii="Times New Roman" w:hAnsi="Times New Roman"/>
                <w:sz w:val="24"/>
                <w:lang w:eastAsia="de-DE"/>
              </w:rPr>
            </w:pPr>
            <w:r w:rsidRPr="004B0EC7">
              <w:rPr>
                <w:rFonts w:ascii="Times New Roman" w:hAnsi="Times New Roman"/>
                <w:sz w:val="24"/>
                <w:lang w:eastAsia="de-DE"/>
              </w:rPr>
              <w:t xml:space="preserve">Long net positions for each operation in a currency </w:t>
            </w:r>
            <w:r w:rsidR="005C14B0" w:rsidRPr="004B0EC7">
              <w:rPr>
                <w:rFonts w:ascii="Times New Roman" w:hAnsi="Times New Roman"/>
                <w:sz w:val="24"/>
                <w:lang w:eastAsia="de-DE"/>
              </w:rPr>
              <w:t xml:space="preserve">shall be </w:t>
            </w:r>
            <w:r w:rsidRPr="004B0EC7">
              <w:rPr>
                <w:rFonts w:ascii="Times New Roman" w:hAnsi="Times New Roman"/>
                <w:sz w:val="24"/>
                <w:lang w:eastAsia="de-DE"/>
              </w:rPr>
              <w:t>added to obtain the long net position in that currency.</w:t>
            </w:r>
          </w:p>
          <w:p w14:paraId="5B4E9BDF" w14:textId="77777777" w:rsidR="000B0B09" w:rsidRPr="004B0EC7" w:rsidRDefault="000B0B09" w:rsidP="00F2521E">
            <w:pPr>
              <w:autoSpaceDE w:val="0"/>
              <w:autoSpaceDN w:val="0"/>
              <w:adjustRightInd w:val="0"/>
              <w:spacing w:after="0"/>
              <w:rPr>
                <w:rFonts w:ascii="Times New Roman" w:hAnsi="Times New Roman"/>
                <w:sz w:val="24"/>
                <w:lang w:eastAsia="de-DE"/>
              </w:rPr>
            </w:pPr>
            <w:r w:rsidRPr="004B0EC7">
              <w:rPr>
                <w:rFonts w:ascii="Times New Roman" w:hAnsi="Times New Roman"/>
                <w:sz w:val="24"/>
                <w:lang w:eastAsia="de-DE"/>
              </w:rPr>
              <w:t xml:space="preserve">Short net positions for each operation in a currency </w:t>
            </w:r>
            <w:r w:rsidR="005C14B0" w:rsidRPr="004B0EC7">
              <w:rPr>
                <w:rFonts w:ascii="Times New Roman" w:hAnsi="Times New Roman"/>
                <w:sz w:val="24"/>
                <w:lang w:eastAsia="de-DE"/>
              </w:rPr>
              <w:t xml:space="preserve">shall be </w:t>
            </w:r>
            <w:r w:rsidRPr="004B0EC7">
              <w:rPr>
                <w:rFonts w:ascii="Times New Roman" w:hAnsi="Times New Roman"/>
                <w:sz w:val="24"/>
                <w:lang w:eastAsia="de-DE"/>
              </w:rPr>
              <w:t>added to obtain the short net position in that currency.</w:t>
            </w:r>
          </w:p>
          <w:p w14:paraId="71BEB09F" w14:textId="77777777" w:rsidR="000B0B09" w:rsidRPr="004B0EC7" w:rsidRDefault="000B0B09" w:rsidP="00F2521E">
            <w:pPr>
              <w:autoSpaceDE w:val="0"/>
              <w:autoSpaceDN w:val="0"/>
              <w:adjustRightInd w:val="0"/>
              <w:spacing w:after="0"/>
              <w:rPr>
                <w:rFonts w:ascii="Times New Roman" w:hAnsi="Times New Roman"/>
                <w:sz w:val="24"/>
                <w:lang w:eastAsia="de-DE"/>
              </w:rPr>
            </w:pPr>
            <w:r w:rsidRPr="004B0EC7">
              <w:rPr>
                <w:rFonts w:ascii="Times New Roman" w:hAnsi="Times New Roman"/>
                <w:sz w:val="24"/>
                <w:lang w:eastAsia="de-DE"/>
              </w:rPr>
              <w:t xml:space="preserve">Unmatched positions </w:t>
            </w:r>
            <w:r w:rsidR="00491F4D" w:rsidRPr="004B0EC7">
              <w:rPr>
                <w:rFonts w:ascii="Times New Roman" w:hAnsi="Times New Roman"/>
                <w:sz w:val="24"/>
                <w:lang w:eastAsia="de-DE"/>
              </w:rPr>
              <w:t xml:space="preserve">in non-reporting currencies </w:t>
            </w:r>
            <w:r w:rsidR="005C14B0" w:rsidRPr="004B0EC7">
              <w:rPr>
                <w:rFonts w:ascii="Times New Roman" w:hAnsi="Times New Roman"/>
                <w:sz w:val="24"/>
                <w:lang w:eastAsia="de-DE"/>
              </w:rPr>
              <w:t xml:space="preserve">shall be </w:t>
            </w:r>
            <w:r w:rsidRPr="004B0EC7">
              <w:rPr>
                <w:rFonts w:ascii="Times New Roman" w:hAnsi="Times New Roman"/>
                <w:sz w:val="24"/>
                <w:lang w:eastAsia="de-DE"/>
              </w:rPr>
              <w:t>added to positions subject to capital charges for other currencies (row 030) in column 0</w:t>
            </w:r>
            <w:r w:rsidR="00283B5F" w:rsidRPr="004B0EC7">
              <w:rPr>
                <w:rFonts w:ascii="Times New Roman" w:hAnsi="Times New Roman"/>
                <w:sz w:val="24"/>
                <w:lang w:eastAsia="de-DE"/>
              </w:rPr>
              <w:t>6</w:t>
            </w:r>
            <w:r w:rsidRPr="004B0EC7">
              <w:rPr>
                <w:rFonts w:ascii="Times New Roman" w:hAnsi="Times New Roman"/>
                <w:sz w:val="24"/>
                <w:lang w:eastAsia="de-DE"/>
              </w:rPr>
              <w:t>0 or 0</w:t>
            </w:r>
            <w:r w:rsidR="00283B5F" w:rsidRPr="004B0EC7">
              <w:rPr>
                <w:rFonts w:ascii="Times New Roman" w:hAnsi="Times New Roman"/>
                <w:sz w:val="24"/>
                <w:lang w:eastAsia="de-DE"/>
              </w:rPr>
              <w:t>7</w:t>
            </w:r>
            <w:r w:rsidRPr="004B0EC7">
              <w:rPr>
                <w:rFonts w:ascii="Times New Roman" w:hAnsi="Times New Roman"/>
                <w:sz w:val="24"/>
                <w:lang w:eastAsia="de-DE"/>
              </w:rPr>
              <w:t>0</w:t>
            </w:r>
            <w:r w:rsidR="00F2521E" w:rsidRPr="004B0EC7">
              <w:rPr>
                <w:rFonts w:ascii="Times New Roman" w:hAnsi="Times New Roman"/>
                <w:sz w:val="24"/>
                <w:lang w:eastAsia="de-DE"/>
              </w:rPr>
              <w:t>,</w:t>
            </w:r>
            <w:r w:rsidRPr="004B0EC7">
              <w:rPr>
                <w:rFonts w:ascii="Times New Roman" w:hAnsi="Times New Roman"/>
                <w:sz w:val="24"/>
                <w:lang w:eastAsia="de-DE"/>
              </w:rPr>
              <w:t xml:space="preserve"> depending on their short or long arrangement.</w:t>
            </w:r>
          </w:p>
          <w:p w14:paraId="3B8AB235" w14:textId="77777777" w:rsidR="00DE48EF" w:rsidRPr="004B0EC7" w:rsidRDefault="00DE48EF" w:rsidP="00283B5F">
            <w:pPr>
              <w:autoSpaceDE w:val="0"/>
              <w:autoSpaceDN w:val="0"/>
              <w:adjustRightInd w:val="0"/>
              <w:spacing w:before="0" w:after="0"/>
              <w:rPr>
                <w:rFonts w:ascii="Times New Roman" w:hAnsi="Times New Roman"/>
                <w:b/>
                <w:bCs/>
                <w:sz w:val="24"/>
                <w:u w:val="single"/>
                <w:lang w:eastAsia="nl-BE"/>
              </w:rPr>
            </w:pPr>
          </w:p>
        </w:tc>
      </w:tr>
      <w:tr w:rsidR="000B0B09" w:rsidRPr="004B0EC7" w14:paraId="153E3368" w14:textId="77777777" w:rsidTr="00672D2A">
        <w:tc>
          <w:tcPr>
            <w:tcW w:w="988" w:type="dxa"/>
          </w:tcPr>
          <w:p w14:paraId="79947C75"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080</w:t>
            </w:r>
          </w:p>
        </w:tc>
        <w:tc>
          <w:tcPr>
            <w:tcW w:w="7874" w:type="dxa"/>
          </w:tcPr>
          <w:p w14:paraId="50779B26"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de-DE"/>
              </w:rPr>
            </w:pPr>
            <w:r w:rsidRPr="004B0EC7">
              <w:rPr>
                <w:rFonts w:ascii="Times New Roman" w:hAnsi="Times New Roman"/>
                <w:b/>
                <w:bCs/>
                <w:sz w:val="24"/>
                <w:u w:val="single"/>
                <w:lang w:eastAsia="de-DE"/>
              </w:rPr>
              <w:t>POSITIONS SUBJECT TO CAPITAL CHARGE (MATCHED)</w:t>
            </w:r>
          </w:p>
          <w:p w14:paraId="1787EA62" w14:textId="77777777" w:rsidR="000B0B09" w:rsidRPr="004B0EC7" w:rsidRDefault="000B0B09" w:rsidP="000B0B09">
            <w:pPr>
              <w:autoSpaceDE w:val="0"/>
              <w:autoSpaceDN w:val="0"/>
              <w:adjustRightInd w:val="0"/>
              <w:spacing w:before="0" w:after="0"/>
              <w:rPr>
                <w:rFonts w:ascii="Times New Roman" w:hAnsi="Times New Roman"/>
                <w:sz w:val="24"/>
                <w:lang w:eastAsia="de-DE"/>
              </w:rPr>
            </w:pPr>
          </w:p>
          <w:p w14:paraId="54376274" w14:textId="77777777" w:rsidR="000B0B09" w:rsidRPr="004B0EC7" w:rsidRDefault="000B0B09" w:rsidP="000B0B09">
            <w:pPr>
              <w:autoSpaceDE w:val="0"/>
              <w:autoSpaceDN w:val="0"/>
              <w:adjustRightInd w:val="0"/>
              <w:spacing w:before="0" w:after="0"/>
              <w:rPr>
                <w:rFonts w:ascii="Times New Roman" w:hAnsi="Times New Roman"/>
                <w:sz w:val="24"/>
                <w:lang w:eastAsia="de-DE"/>
              </w:rPr>
            </w:pPr>
            <w:r w:rsidRPr="004B0EC7">
              <w:rPr>
                <w:rFonts w:ascii="Times New Roman" w:hAnsi="Times New Roman"/>
                <w:sz w:val="24"/>
                <w:lang w:eastAsia="de-DE"/>
              </w:rPr>
              <w:t>Matched positions for closely correlated currencies</w:t>
            </w:r>
            <w:r w:rsidR="00F2521E" w:rsidRPr="004B0EC7">
              <w:rPr>
                <w:rFonts w:ascii="Times New Roman" w:hAnsi="Times New Roman"/>
                <w:sz w:val="24"/>
                <w:lang w:eastAsia="de-DE"/>
              </w:rPr>
              <w:t>.</w:t>
            </w:r>
          </w:p>
          <w:p w14:paraId="6BC8E676"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4B0EC7" w14:paraId="6E3750E4" w14:textId="77777777" w:rsidTr="00672D2A">
        <w:tc>
          <w:tcPr>
            <w:tcW w:w="988" w:type="dxa"/>
          </w:tcPr>
          <w:p w14:paraId="0E46DE0C"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090</w:t>
            </w:r>
          </w:p>
        </w:tc>
        <w:tc>
          <w:tcPr>
            <w:tcW w:w="7874" w:type="dxa"/>
          </w:tcPr>
          <w:p w14:paraId="4FC12DDA" w14:textId="7F464E56"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OWN FUNDS REQUIREMENTS</w:t>
            </w:r>
            <w:r w:rsidR="00924AF6" w:rsidRPr="004B0EC7">
              <w:rPr>
                <w:rFonts w:ascii="Times New Roman" w:hAnsi="Times New Roman"/>
                <w:b/>
                <w:bCs/>
                <w:sz w:val="24"/>
                <w:u w:val="single"/>
                <w:lang w:eastAsia="nl-BE"/>
              </w:rPr>
              <w:t xml:space="preserve"> BEFORE APPLICATION OF SCALING FACTORS</w:t>
            </w:r>
          </w:p>
          <w:p w14:paraId="4108E694"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p>
          <w:p w14:paraId="0D828234" w14:textId="6DCB9C10" w:rsidR="000B0B09" w:rsidRPr="004B0EC7" w:rsidRDefault="000B0B09" w:rsidP="000B0B09">
            <w:pPr>
              <w:autoSpaceDE w:val="0"/>
              <w:autoSpaceDN w:val="0"/>
              <w:adjustRightInd w:val="0"/>
              <w:spacing w:before="0" w:after="0"/>
              <w:rPr>
                <w:rFonts w:ascii="Times New Roman" w:hAnsi="Times New Roman"/>
                <w:sz w:val="24"/>
                <w:lang w:eastAsia="de-DE"/>
              </w:rPr>
            </w:pPr>
            <w:r w:rsidRPr="004B0EC7">
              <w:rPr>
                <w:rFonts w:ascii="Times New Roman" w:hAnsi="Times New Roman"/>
                <w:sz w:val="24"/>
                <w:lang w:eastAsia="de-DE"/>
              </w:rPr>
              <w:t xml:space="preserve">The </w:t>
            </w:r>
            <w:r w:rsidR="00DF6546" w:rsidRPr="004B0EC7">
              <w:rPr>
                <w:rFonts w:ascii="Times New Roman" w:hAnsi="Times New Roman"/>
                <w:sz w:val="24"/>
                <w:lang w:eastAsia="de-DE"/>
              </w:rPr>
              <w:t>own funds requirement</w:t>
            </w:r>
            <w:r w:rsidRPr="004B0EC7">
              <w:rPr>
                <w:rFonts w:ascii="Times New Roman" w:hAnsi="Times New Roman"/>
                <w:sz w:val="24"/>
                <w:lang w:eastAsia="de-DE"/>
              </w:rPr>
              <w:t xml:space="preserve"> for any relevant position </w:t>
            </w:r>
            <w:r w:rsidR="00BB22D4" w:rsidRPr="004B0EC7">
              <w:rPr>
                <w:rFonts w:ascii="Times New Roman" w:hAnsi="Times New Roman"/>
                <w:sz w:val="24"/>
                <w:lang w:eastAsia="de-DE"/>
              </w:rPr>
              <w:t>in accordance with</w:t>
            </w:r>
            <w:r w:rsidR="00402284" w:rsidRPr="004B0EC7">
              <w:rPr>
                <w:rFonts w:ascii="Times New Roman" w:hAnsi="Times New Roman"/>
                <w:sz w:val="24"/>
                <w:lang w:eastAsia="de-DE"/>
              </w:rPr>
              <w:t xml:space="preserve"> </w:t>
            </w:r>
            <w:r w:rsidR="00097A17" w:rsidRPr="004B0EC7">
              <w:rPr>
                <w:rFonts w:ascii="Times New Roman" w:hAnsi="Times New Roman"/>
                <w:sz w:val="24"/>
                <w:lang w:eastAsia="de-DE"/>
              </w:rPr>
              <w:t>Part Three</w:t>
            </w:r>
            <w:r w:rsidR="007079CE" w:rsidRPr="004B0EC7">
              <w:rPr>
                <w:rFonts w:ascii="Times New Roman" w:hAnsi="Times New Roman"/>
                <w:sz w:val="24"/>
                <w:lang w:eastAsia="de-DE"/>
              </w:rPr>
              <w:t>,</w:t>
            </w:r>
            <w:r w:rsidRPr="004B0EC7">
              <w:rPr>
                <w:rFonts w:ascii="Times New Roman" w:hAnsi="Times New Roman"/>
                <w:sz w:val="24"/>
                <w:lang w:eastAsia="de-DE"/>
              </w:rPr>
              <w:t xml:space="preserve"> </w:t>
            </w:r>
            <w:r w:rsidR="007079CE" w:rsidRPr="004B0EC7">
              <w:rPr>
                <w:rFonts w:ascii="Times New Roman" w:hAnsi="Times New Roman"/>
                <w:sz w:val="24"/>
                <w:lang w:eastAsia="de-DE"/>
              </w:rPr>
              <w:t xml:space="preserve">Title IV, Chapter 3 </w:t>
            </w:r>
            <w:r w:rsidR="006E347B" w:rsidRPr="004B0EC7">
              <w:rPr>
                <w:rFonts w:ascii="Times New Roman" w:hAnsi="Times New Roman"/>
                <w:sz w:val="24"/>
                <w:lang w:val="en-US"/>
              </w:rPr>
              <w:t>of Regulation (EU) No 575/2013</w:t>
            </w:r>
            <w:r w:rsidR="00924AF6" w:rsidRPr="004B0EC7">
              <w:rPr>
                <w:rFonts w:ascii="Times New Roman" w:hAnsi="Times New Roman"/>
                <w:sz w:val="24"/>
                <w:lang w:val="en-US"/>
              </w:rPr>
              <w:t>, before the application of the scaling factor</w:t>
            </w:r>
            <w:r w:rsidR="00C01E4F" w:rsidRPr="004B0EC7">
              <w:rPr>
                <w:rFonts w:ascii="Times New Roman" w:hAnsi="Times New Roman"/>
                <w:sz w:val="24"/>
                <w:lang w:val="en-US"/>
              </w:rPr>
              <w:t xml:space="preserve"> in accordance with Article 325(2), point (b), of that Regulation.</w:t>
            </w:r>
            <w:r w:rsidRPr="004B0EC7">
              <w:rPr>
                <w:rFonts w:ascii="Times New Roman" w:hAnsi="Times New Roman"/>
                <w:sz w:val="24"/>
                <w:lang w:eastAsia="de-DE"/>
              </w:rPr>
              <w:t xml:space="preserve"> </w:t>
            </w:r>
          </w:p>
          <w:p w14:paraId="62C9AE79"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4B0EC7" w14:paraId="75A4CD35" w14:textId="77777777" w:rsidTr="00672D2A">
        <w:tc>
          <w:tcPr>
            <w:tcW w:w="988" w:type="dxa"/>
          </w:tcPr>
          <w:p w14:paraId="5B271B1C" w14:textId="16F42514"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100</w:t>
            </w:r>
          </w:p>
        </w:tc>
        <w:tc>
          <w:tcPr>
            <w:tcW w:w="7874" w:type="dxa"/>
          </w:tcPr>
          <w:p w14:paraId="0647EAC0" w14:textId="77777777" w:rsidR="000B0B09" w:rsidRPr="004B0EC7"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TOTAL RISK EXPOSURE AMOUNT</w:t>
            </w:r>
          </w:p>
          <w:p w14:paraId="1005789B" w14:textId="77777777" w:rsidR="000B0B09" w:rsidRPr="004B0EC7"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p>
          <w:p w14:paraId="3CF09645" w14:textId="20CDB811" w:rsidR="005C14B0" w:rsidRPr="004B0EC7" w:rsidRDefault="000B0B09" w:rsidP="00F2521E">
            <w:pPr>
              <w:tabs>
                <w:tab w:val="left" w:pos="1665"/>
              </w:tabs>
              <w:autoSpaceDE w:val="0"/>
              <w:autoSpaceDN w:val="0"/>
              <w:adjustRightInd w:val="0"/>
              <w:spacing w:before="0"/>
              <w:rPr>
                <w:rFonts w:ascii="Times New Roman" w:hAnsi="Times New Roman"/>
                <w:sz w:val="24"/>
                <w:lang w:eastAsia="de-DE"/>
              </w:rPr>
            </w:pPr>
            <w:r w:rsidRPr="004B0EC7">
              <w:rPr>
                <w:rFonts w:ascii="Times New Roman" w:hAnsi="Times New Roman"/>
                <w:sz w:val="24"/>
                <w:lang w:eastAsia="de-DE"/>
              </w:rPr>
              <w:t>Article 92(4)</w:t>
            </w:r>
            <w:r w:rsidR="00B83DDE" w:rsidRPr="004B0EC7">
              <w:rPr>
                <w:rFonts w:ascii="Times New Roman" w:hAnsi="Times New Roman"/>
                <w:sz w:val="24"/>
                <w:lang w:eastAsia="de-DE"/>
              </w:rPr>
              <w:t>, p</w:t>
            </w:r>
            <w:r w:rsidR="00070113" w:rsidRPr="004B0EC7">
              <w:rPr>
                <w:rFonts w:ascii="Times New Roman" w:hAnsi="Times New Roman"/>
                <w:sz w:val="24"/>
              </w:rPr>
              <w:t>oint (</w:t>
            </w:r>
            <w:r w:rsidR="00D4503D" w:rsidRPr="004B0EC7">
              <w:rPr>
                <w:rFonts w:ascii="Times New Roman" w:hAnsi="Times New Roman"/>
                <w:sz w:val="24"/>
              </w:rPr>
              <w:t>c</w:t>
            </w:r>
            <w:r w:rsidR="00070113" w:rsidRPr="004B0EC7">
              <w:rPr>
                <w:rFonts w:ascii="Times New Roman" w:hAnsi="Times New Roman"/>
                <w:sz w:val="24"/>
              </w:rPr>
              <w:t>)</w:t>
            </w:r>
            <w:r w:rsidR="00BE1277" w:rsidRPr="004B0EC7">
              <w:rPr>
                <w:rFonts w:ascii="Times New Roman" w:hAnsi="Times New Roman"/>
                <w:sz w:val="24"/>
              </w:rPr>
              <w:t>,</w:t>
            </w:r>
            <w:r w:rsidR="00070113" w:rsidRPr="004B0EC7">
              <w:rPr>
                <w:rFonts w:ascii="Times New Roman" w:hAnsi="Times New Roman"/>
                <w:sz w:val="24"/>
              </w:rPr>
              <w:t xml:space="preserve"> </w:t>
            </w:r>
            <w:r w:rsidR="006E347B" w:rsidRPr="004B0EC7">
              <w:rPr>
                <w:rFonts w:ascii="Times New Roman" w:hAnsi="Times New Roman"/>
                <w:sz w:val="24"/>
                <w:lang w:val="en-US"/>
              </w:rPr>
              <w:t>of Regulation (EU) No 575/2013</w:t>
            </w:r>
            <w:r w:rsidR="00F2521E" w:rsidRPr="004B0EC7">
              <w:rPr>
                <w:rFonts w:ascii="Times New Roman" w:hAnsi="Times New Roman"/>
                <w:sz w:val="24"/>
                <w:lang w:eastAsia="de-DE"/>
              </w:rPr>
              <w:t>.</w:t>
            </w:r>
          </w:p>
          <w:p w14:paraId="74C1A53D" w14:textId="0F1B212C" w:rsidR="000B0B09" w:rsidRPr="004B0EC7" w:rsidRDefault="000B0B09" w:rsidP="000B0B09">
            <w:pPr>
              <w:tabs>
                <w:tab w:val="left" w:pos="1665"/>
              </w:tabs>
              <w:autoSpaceDE w:val="0"/>
              <w:autoSpaceDN w:val="0"/>
              <w:adjustRightInd w:val="0"/>
              <w:spacing w:before="0" w:after="0"/>
              <w:rPr>
                <w:rFonts w:ascii="Times New Roman" w:hAnsi="Times New Roman"/>
                <w:sz w:val="24"/>
                <w:lang w:eastAsia="de-DE"/>
              </w:rPr>
            </w:pPr>
            <w:r w:rsidRPr="004B0EC7">
              <w:rPr>
                <w:rFonts w:ascii="Times New Roman" w:hAnsi="Times New Roman"/>
                <w:sz w:val="24"/>
                <w:lang w:eastAsia="de-DE"/>
              </w:rPr>
              <w:t>Result of the multiplication of the own funds requirements by 12</w:t>
            </w:r>
            <w:r w:rsidR="00F2521E" w:rsidRPr="004B0EC7">
              <w:rPr>
                <w:rFonts w:ascii="Times New Roman" w:hAnsi="Times New Roman"/>
                <w:sz w:val="24"/>
                <w:lang w:eastAsia="de-DE"/>
              </w:rPr>
              <w:t>,</w:t>
            </w:r>
            <w:r w:rsidRPr="004B0EC7">
              <w:rPr>
                <w:rFonts w:ascii="Times New Roman" w:hAnsi="Times New Roman"/>
                <w:sz w:val="24"/>
                <w:lang w:eastAsia="de-DE"/>
              </w:rPr>
              <w:t>5</w:t>
            </w:r>
            <w:r w:rsidR="00002A62" w:rsidRPr="004B0EC7">
              <w:rPr>
                <w:rFonts w:ascii="Times New Roman" w:hAnsi="Times New Roman"/>
                <w:sz w:val="24"/>
                <w:lang w:eastAsia="de-DE"/>
              </w:rPr>
              <w:t xml:space="preserve"> in accordance with Article 92(</w:t>
            </w:r>
            <w:r w:rsidR="007F28A6" w:rsidRPr="004B0EC7">
              <w:rPr>
                <w:rFonts w:ascii="Times New Roman" w:hAnsi="Times New Roman"/>
                <w:sz w:val="24"/>
                <w:lang w:eastAsia="de-DE"/>
              </w:rPr>
              <w:t>6</w:t>
            </w:r>
            <w:r w:rsidR="00002A62" w:rsidRPr="004B0EC7">
              <w:rPr>
                <w:rFonts w:ascii="Times New Roman" w:hAnsi="Times New Roman"/>
                <w:sz w:val="24"/>
                <w:lang w:eastAsia="de-DE"/>
              </w:rPr>
              <w:t xml:space="preserve">), </w:t>
            </w:r>
            <w:r w:rsidR="00252C37" w:rsidRPr="004B0EC7">
              <w:rPr>
                <w:rFonts w:ascii="Times New Roman" w:hAnsi="Times New Roman"/>
                <w:sz w:val="24"/>
                <w:lang w:eastAsia="de-DE"/>
              </w:rPr>
              <w:t>point (b)</w:t>
            </w:r>
            <w:r w:rsidR="006A10D3" w:rsidRPr="004B0EC7">
              <w:rPr>
                <w:rFonts w:ascii="Times New Roman" w:hAnsi="Times New Roman"/>
                <w:sz w:val="24"/>
                <w:lang w:eastAsia="de-DE"/>
              </w:rPr>
              <w:t xml:space="preserve">, of Regulation (EU) No 575/2013, and </w:t>
            </w:r>
            <w:r w:rsidR="00760D23" w:rsidRPr="004B0EC7">
              <w:rPr>
                <w:rFonts w:ascii="Times New Roman" w:hAnsi="Times New Roman"/>
                <w:sz w:val="24"/>
                <w:lang w:eastAsia="de-DE"/>
              </w:rPr>
              <w:t>by</w:t>
            </w:r>
            <w:r w:rsidR="006A10D3" w:rsidRPr="004B0EC7">
              <w:rPr>
                <w:rFonts w:ascii="Times New Roman" w:hAnsi="Times New Roman"/>
                <w:sz w:val="24"/>
                <w:lang w:eastAsia="de-DE"/>
              </w:rPr>
              <w:t xml:space="preserve"> the scaling factor in accordance with Article 325</w:t>
            </w:r>
            <w:r w:rsidR="00046888" w:rsidRPr="004B0EC7">
              <w:rPr>
                <w:rFonts w:ascii="Times New Roman" w:hAnsi="Times New Roman"/>
                <w:sz w:val="24"/>
                <w:lang w:eastAsia="de-DE"/>
              </w:rPr>
              <w:t>(2), point (</w:t>
            </w:r>
            <w:r w:rsidR="00AE047C" w:rsidRPr="004B0EC7">
              <w:rPr>
                <w:rFonts w:ascii="Times New Roman" w:hAnsi="Times New Roman"/>
                <w:sz w:val="24"/>
                <w:lang w:eastAsia="de-DE"/>
              </w:rPr>
              <w:t>b</w:t>
            </w:r>
            <w:r w:rsidR="00046888" w:rsidRPr="004B0EC7">
              <w:rPr>
                <w:rFonts w:ascii="Times New Roman" w:hAnsi="Times New Roman"/>
                <w:sz w:val="24"/>
                <w:lang w:eastAsia="de-DE"/>
              </w:rPr>
              <w:t>), of that Regulation</w:t>
            </w:r>
            <w:r w:rsidRPr="004B0EC7">
              <w:rPr>
                <w:rFonts w:ascii="Times New Roman" w:hAnsi="Times New Roman"/>
                <w:sz w:val="24"/>
                <w:lang w:eastAsia="de-DE"/>
              </w:rPr>
              <w:t xml:space="preserve">. </w:t>
            </w:r>
          </w:p>
          <w:p w14:paraId="43ECFCA3" w14:textId="77777777" w:rsidR="00DE48EF" w:rsidRPr="004B0EC7" w:rsidRDefault="00DE48EF" w:rsidP="000B0B09">
            <w:pPr>
              <w:tabs>
                <w:tab w:val="left" w:pos="1665"/>
              </w:tabs>
              <w:autoSpaceDE w:val="0"/>
              <w:autoSpaceDN w:val="0"/>
              <w:adjustRightInd w:val="0"/>
              <w:spacing w:before="0" w:after="0"/>
              <w:rPr>
                <w:rFonts w:ascii="Times New Roman" w:hAnsi="Times New Roman"/>
                <w:b/>
                <w:bCs/>
                <w:sz w:val="24"/>
                <w:u w:val="single"/>
                <w:lang w:eastAsia="nl-BE"/>
              </w:rPr>
            </w:pPr>
          </w:p>
        </w:tc>
      </w:tr>
    </w:tbl>
    <w:p w14:paraId="4E615BD8" w14:textId="77777777" w:rsidR="000B0B09" w:rsidRPr="004B0EC7" w:rsidRDefault="000B0B09" w:rsidP="000B0B09">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7871"/>
      </w:tblGrid>
      <w:tr w:rsidR="000B0B09" w:rsidRPr="004B0EC7" w14:paraId="0291DB10" w14:textId="77777777" w:rsidTr="00672D2A">
        <w:trPr>
          <w:trHeight w:val="497"/>
        </w:trPr>
        <w:tc>
          <w:tcPr>
            <w:tcW w:w="8862" w:type="dxa"/>
            <w:gridSpan w:val="2"/>
            <w:shd w:val="clear" w:color="auto" w:fill="CCCCCC"/>
          </w:tcPr>
          <w:p w14:paraId="080D5566" w14:textId="77777777" w:rsidR="000B0B09" w:rsidRPr="004B0EC7" w:rsidRDefault="000B0B09" w:rsidP="000B0B09">
            <w:pPr>
              <w:autoSpaceDE w:val="0"/>
              <w:autoSpaceDN w:val="0"/>
              <w:adjustRightInd w:val="0"/>
              <w:spacing w:after="0"/>
              <w:rPr>
                <w:rFonts w:ascii="Times New Roman" w:hAnsi="Times New Roman"/>
                <w:b/>
                <w:sz w:val="24"/>
                <w:lang w:eastAsia="nl-BE"/>
              </w:rPr>
            </w:pPr>
            <w:r w:rsidRPr="004B0EC7">
              <w:rPr>
                <w:rFonts w:ascii="Times New Roman" w:hAnsi="Times New Roman"/>
                <w:b/>
                <w:sz w:val="24"/>
                <w:lang w:eastAsia="nl-BE"/>
              </w:rPr>
              <w:lastRenderedPageBreak/>
              <w:t>Rows</w:t>
            </w:r>
          </w:p>
        </w:tc>
      </w:tr>
      <w:tr w:rsidR="000B0B09" w:rsidRPr="004B0EC7" w14:paraId="7E8F93AD" w14:textId="77777777" w:rsidTr="00672D2A">
        <w:tc>
          <w:tcPr>
            <w:tcW w:w="991" w:type="dxa"/>
          </w:tcPr>
          <w:p w14:paraId="308DA059"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010</w:t>
            </w:r>
          </w:p>
        </w:tc>
        <w:tc>
          <w:tcPr>
            <w:tcW w:w="7871" w:type="dxa"/>
          </w:tcPr>
          <w:p w14:paraId="444D3E44"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rPr>
              <w:t>TOTAL POSITIONS</w:t>
            </w:r>
          </w:p>
          <w:p w14:paraId="625A8F91" w14:textId="77777777" w:rsidR="000B0B09" w:rsidRPr="004B0EC7" w:rsidRDefault="000B0B09" w:rsidP="000B0B09">
            <w:pPr>
              <w:autoSpaceDE w:val="0"/>
              <w:autoSpaceDN w:val="0"/>
              <w:adjustRightInd w:val="0"/>
              <w:spacing w:before="0" w:after="0"/>
              <w:rPr>
                <w:rFonts w:ascii="Times New Roman" w:hAnsi="Times New Roman"/>
                <w:sz w:val="24"/>
                <w:lang w:eastAsia="nl-BE"/>
              </w:rPr>
            </w:pPr>
          </w:p>
          <w:p w14:paraId="474297D9" w14:textId="1621A6E7" w:rsidR="000B0B09" w:rsidRPr="004B0EC7" w:rsidRDefault="00491F4D" w:rsidP="000B0B09">
            <w:pPr>
              <w:autoSpaceDE w:val="0"/>
              <w:autoSpaceDN w:val="0"/>
              <w:adjustRightInd w:val="0"/>
              <w:spacing w:before="0" w:after="0"/>
              <w:rPr>
                <w:rFonts w:ascii="Times New Roman" w:hAnsi="Times New Roman"/>
                <w:sz w:val="24"/>
              </w:rPr>
            </w:pPr>
            <w:r w:rsidRPr="004B0EC7">
              <w:rPr>
                <w:rFonts w:ascii="Times New Roman" w:hAnsi="Times New Roman"/>
                <w:sz w:val="24"/>
              </w:rPr>
              <w:t>All p</w:t>
            </w:r>
            <w:r w:rsidR="000B0B09" w:rsidRPr="004B0EC7">
              <w:rPr>
                <w:rFonts w:ascii="Times New Roman" w:hAnsi="Times New Roman"/>
                <w:sz w:val="24"/>
              </w:rPr>
              <w:t xml:space="preserve">ositions in non-reporting currencies </w:t>
            </w:r>
            <w:r w:rsidRPr="004B0EC7">
              <w:rPr>
                <w:rFonts w:ascii="Times New Roman" w:hAnsi="Times New Roman"/>
                <w:sz w:val="24"/>
              </w:rPr>
              <w:t xml:space="preserve">and those positions in the reporting currency that are considered for the purposes of Article 354 </w:t>
            </w:r>
            <w:r w:rsidR="006E347B" w:rsidRPr="004B0EC7">
              <w:rPr>
                <w:rFonts w:ascii="Times New Roman" w:hAnsi="Times New Roman"/>
                <w:sz w:val="24"/>
                <w:lang w:val="en-US"/>
              </w:rPr>
              <w:t>of Regulation (EU) No 575/2013</w:t>
            </w:r>
            <w:r w:rsidRPr="004B0EC7">
              <w:rPr>
                <w:rFonts w:ascii="Times New Roman" w:hAnsi="Times New Roman"/>
                <w:sz w:val="24"/>
              </w:rPr>
              <w:t xml:space="preserve"> as well as</w:t>
            </w:r>
            <w:r w:rsidR="000B0B09" w:rsidRPr="004B0EC7">
              <w:rPr>
                <w:rFonts w:ascii="Times New Roman" w:hAnsi="Times New Roman"/>
                <w:sz w:val="24"/>
              </w:rPr>
              <w:t xml:space="preserve"> their correspondent own funds requirements </w:t>
            </w:r>
            <w:r w:rsidR="00F2521E" w:rsidRPr="004B0EC7">
              <w:rPr>
                <w:rFonts w:ascii="Times New Roman" w:hAnsi="Times New Roman"/>
                <w:sz w:val="24"/>
              </w:rPr>
              <w:t xml:space="preserve">for the foreign-exchange risk referred to in </w:t>
            </w:r>
            <w:r w:rsidR="00D21B29" w:rsidRPr="004B0EC7">
              <w:rPr>
                <w:rFonts w:ascii="Times New Roman" w:hAnsi="Times New Roman"/>
                <w:sz w:val="24"/>
              </w:rPr>
              <w:t>Article</w:t>
            </w:r>
            <w:r w:rsidR="000B0B09" w:rsidRPr="004B0EC7">
              <w:rPr>
                <w:rFonts w:ascii="Times New Roman" w:hAnsi="Times New Roman"/>
                <w:sz w:val="24"/>
              </w:rPr>
              <w:t xml:space="preserve"> 92(</w:t>
            </w:r>
            <w:r w:rsidR="00B67F61" w:rsidRPr="004B0EC7">
              <w:rPr>
                <w:rFonts w:ascii="Times New Roman" w:hAnsi="Times New Roman"/>
                <w:sz w:val="24"/>
              </w:rPr>
              <w:t>4</w:t>
            </w:r>
            <w:r w:rsidR="000B0B09" w:rsidRPr="004B0EC7">
              <w:rPr>
                <w:rFonts w:ascii="Times New Roman" w:hAnsi="Times New Roman"/>
                <w:sz w:val="24"/>
              </w:rPr>
              <w:t>)</w:t>
            </w:r>
            <w:r w:rsidR="00B83DDE" w:rsidRPr="004B0EC7">
              <w:rPr>
                <w:rFonts w:ascii="Times New Roman" w:hAnsi="Times New Roman"/>
                <w:sz w:val="24"/>
              </w:rPr>
              <w:t>, p</w:t>
            </w:r>
            <w:r w:rsidR="00070113" w:rsidRPr="004B0EC7">
              <w:rPr>
                <w:rFonts w:ascii="Times New Roman" w:hAnsi="Times New Roman"/>
                <w:sz w:val="24"/>
              </w:rPr>
              <w:t xml:space="preserve">oint (c), </w:t>
            </w:r>
            <w:r w:rsidR="0019088A" w:rsidRPr="004B0EC7">
              <w:rPr>
                <w:rFonts w:ascii="Times New Roman" w:hAnsi="Times New Roman"/>
                <w:sz w:val="24"/>
              </w:rPr>
              <w:t>taking into account</w:t>
            </w:r>
            <w:r w:rsidR="00F2521E" w:rsidRPr="004B0EC7">
              <w:rPr>
                <w:rFonts w:ascii="Times New Roman" w:hAnsi="Times New Roman"/>
                <w:sz w:val="24"/>
              </w:rPr>
              <w:t xml:space="preserve"> </w:t>
            </w:r>
            <w:r w:rsidR="000B0B09" w:rsidRPr="004B0EC7">
              <w:rPr>
                <w:rFonts w:ascii="Times New Roman" w:hAnsi="Times New Roman"/>
                <w:sz w:val="24"/>
              </w:rPr>
              <w:t>Article 352</w:t>
            </w:r>
            <w:r w:rsidR="007F05F0" w:rsidRPr="004B0EC7">
              <w:rPr>
                <w:rFonts w:ascii="Times New Roman" w:hAnsi="Times New Roman"/>
                <w:sz w:val="24"/>
              </w:rPr>
              <w:t xml:space="preserve">(2) </w:t>
            </w:r>
            <w:r w:rsidR="00070113" w:rsidRPr="004B0EC7">
              <w:rPr>
                <w:rFonts w:ascii="Times New Roman" w:hAnsi="Times New Roman"/>
                <w:sz w:val="24"/>
              </w:rPr>
              <w:t xml:space="preserve">and </w:t>
            </w:r>
            <w:r w:rsidR="00EE7C49" w:rsidRPr="004B0EC7">
              <w:rPr>
                <w:rFonts w:ascii="Times New Roman" w:hAnsi="Times New Roman"/>
                <w:sz w:val="24"/>
              </w:rPr>
              <w:t>(</w:t>
            </w:r>
            <w:r w:rsidR="00070113" w:rsidRPr="004B0EC7">
              <w:rPr>
                <w:rFonts w:ascii="Times New Roman" w:hAnsi="Times New Roman"/>
                <w:sz w:val="24"/>
              </w:rPr>
              <w:t>4</w:t>
            </w:r>
            <w:r w:rsidR="00EE7C49" w:rsidRPr="004B0EC7">
              <w:rPr>
                <w:rFonts w:ascii="Times New Roman" w:hAnsi="Times New Roman"/>
                <w:sz w:val="24"/>
              </w:rPr>
              <w:t>)</w:t>
            </w:r>
            <w:r w:rsidR="00070113" w:rsidRPr="004B0EC7">
              <w:rPr>
                <w:rFonts w:ascii="Times New Roman" w:hAnsi="Times New Roman"/>
                <w:sz w:val="24"/>
              </w:rPr>
              <w:t xml:space="preserve"> </w:t>
            </w:r>
            <w:r w:rsidR="006E347B" w:rsidRPr="004B0EC7">
              <w:rPr>
                <w:rFonts w:ascii="Times New Roman" w:hAnsi="Times New Roman"/>
                <w:sz w:val="24"/>
                <w:lang w:val="en-US"/>
              </w:rPr>
              <w:t>of Regulation (EU) No 575/2013</w:t>
            </w:r>
            <w:r w:rsidR="000B0B09" w:rsidRPr="004B0EC7">
              <w:rPr>
                <w:rFonts w:ascii="Times New Roman" w:hAnsi="Times New Roman"/>
                <w:sz w:val="24"/>
              </w:rPr>
              <w:t xml:space="preserve"> (for conversion into the reporting currency).</w:t>
            </w:r>
          </w:p>
          <w:p w14:paraId="60C8486E" w14:textId="77777777" w:rsidR="000B0B09" w:rsidRPr="004B0EC7" w:rsidRDefault="000B0B09" w:rsidP="000B0B09">
            <w:pPr>
              <w:autoSpaceDE w:val="0"/>
              <w:autoSpaceDN w:val="0"/>
              <w:adjustRightInd w:val="0"/>
              <w:spacing w:before="0" w:after="0"/>
              <w:rPr>
                <w:rFonts w:ascii="Times New Roman" w:hAnsi="Times New Roman"/>
                <w:sz w:val="24"/>
                <w:lang w:eastAsia="nl-BE"/>
              </w:rPr>
            </w:pPr>
          </w:p>
        </w:tc>
      </w:tr>
      <w:tr w:rsidR="000B0B09" w:rsidRPr="004B0EC7" w14:paraId="467D9D0D" w14:textId="77777777" w:rsidTr="00672D2A">
        <w:tc>
          <w:tcPr>
            <w:tcW w:w="991" w:type="dxa"/>
          </w:tcPr>
          <w:p w14:paraId="65214D61"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020</w:t>
            </w:r>
          </w:p>
        </w:tc>
        <w:tc>
          <w:tcPr>
            <w:tcW w:w="7871" w:type="dxa"/>
          </w:tcPr>
          <w:p w14:paraId="49A2740E"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CURRENCIES CLOSELY CORRELATED</w:t>
            </w:r>
          </w:p>
          <w:p w14:paraId="784B138D" w14:textId="77777777" w:rsidR="000B0B09" w:rsidRPr="004B0EC7" w:rsidRDefault="000B0B09" w:rsidP="000B0B09">
            <w:pPr>
              <w:autoSpaceDE w:val="0"/>
              <w:autoSpaceDN w:val="0"/>
              <w:adjustRightInd w:val="0"/>
              <w:spacing w:before="0" w:after="0"/>
              <w:rPr>
                <w:rFonts w:ascii="Times New Roman" w:hAnsi="Times New Roman"/>
                <w:sz w:val="24"/>
                <w:lang w:eastAsia="de-DE"/>
              </w:rPr>
            </w:pPr>
          </w:p>
          <w:p w14:paraId="7339F996" w14:textId="4E8E103C" w:rsidR="000B0B09" w:rsidRPr="004B0EC7" w:rsidRDefault="000B0B09" w:rsidP="000B0B09">
            <w:pPr>
              <w:autoSpaceDE w:val="0"/>
              <w:autoSpaceDN w:val="0"/>
              <w:adjustRightInd w:val="0"/>
              <w:spacing w:before="0" w:after="0"/>
              <w:rPr>
                <w:rFonts w:ascii="Times New Roman" w:hAnsi="Times New Roman"/>
                <w:sz w:val="24"/>
              </w:rPr>
            </w:pPr>
            <w:r w:rsidRPr="004B0EC7">
              <w:rPr>
                <w:rFonts w:ascii="Times New Roman" w:hAnsi="Times New Roman"/>
                <w:sz w:val="24"/>
              </w:rPr>
              <w:t xml:space="preserve">Positions and their correspondent own funds requirements for </w:t>
            </w:r>
            <w:r w:rsidR="00F2521E" w:rsidRPr="004B0EC7">
              <w:rPr>
                <w:rFonts w:ascii="Times New Roman" w:hAnsi="Times New Roman"/>
                <w:sz w:val="24"/>
              </w:rPr>
              <w:t xml:space="preserve">closely correlated </w:t>
            </w:r>
            <w:r w:rsidRPr="004B0EC7">
              <w:rPr>
                <w:rFonts w:ascii="Times New Roman" w:hAnsi="Times New Roman"/>
                <w:sz w:val="24"/>
              </w:rPr>
              <w:t xml:space="preserve">currencies </w:t>
            </w:r>
            <w:r w:rsidR="00F2521E" w:rsidRPr="004B0EC7">
              <w:rPr>
                <w:rFonts w:ascii="Times New Roman" w:hAnsi="Times New Roman"/>
                <w:sz w:val="24"/>
              </w:rPr>
              <w:t xml:space="preserve">as </w:t>
            </w:r>
            <w:r w:rsidRPr="004B0EC7">
              <w:rPr>
                <w:rFonts w:ascii="Times New Roman" w:hAnsi="Times New Roman"/>
                <w:sz w:val="24"/>
              </w:rPr>
              <w:t xml:space="preserve">referred to in Article 354 </w:t>
            </w:r>
            <w:r w:rsidR="006E347B" w:rsidRPr="004B0EC7">
              <w:rPr>
                <w:rFonts w:ascii="Times New Roman" w:hAnsi="Times New Roman"/>
                <w:sz w:val="24"/>
                <w:lang w:val="en-US"/>
              </w:rPr>
              <w:t>of Regulation (EU) No 575/2013</w:t>
            </w:r>
            <w:r w:rsidRPr="004B0EC7">
              <w:rPr>
                <w:rFonts w:ascii="Times New Roman" w:hAnsi="Times New Roman"/>
                <w:sz w:val="24"/>
              </w:rPr>
              <w:t>.</w:t>
            </w:r>
          </w:p>
          <w:p w14:paraId="1228E8F4" w14:textId="77777777" w:rsidR="000B0B09" w:rsidRPr="004B0EC7" w:rsidRDefault="000B0B09" w:rsidP="000B0B09">
            <w:pPr>
              <w:autoSpaceDE w:val="0"/>
              <w:autoSpaceDN w:val="0"/>
              <w:adjustRightInd w:val="0"/>
              <w:spacing w:before="0" w:after="0"/>
              <w:rPr>
                <w:rFonts w:ascii="Times New Roman" w:hAnsi="Times New Roman"/>
                <w:sz w:val="24"/>
                <w:lang w:eastAsia="nl-BE"/>
              </w:rPr>
            </w:pPr>
          </w:p>
        </w:tc>
      </w:tr>
      <w:tr w:rsidR="00491F4D" w:rsidRPr="004B0EC7" w14:paraId="6BD5BA15" w14:textId="77777777" w:rsidTr="00672D2A">
        <w:tc>
          <w:tcPr>
            <w:tcW w:w="991" w:type="dxa"/>
          </w:tcPr>
          <w:p w14:paraId="5BFECF57" w14:textId="77777777" w:rsidR="00491F4D"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491F4D" w:rsidRPr="004B0EC7">
              <w:rPr>
                <w:rFonts w:ascii="Times New Roman" w:hAnsi="Times New Roman"/>
                <w:sz w:val="24"/>
                <w:lang w:eastAsia="nl-BE"/>
              </w:rPr>
              <w:t>025</w:t>
            </w:r>
          </w:p>
        </w:tc>
        <w:tc>
          <w:tcPr>
            <w:tcW w:w="7871" w:type="dxa"/>
          </w:tcPr>
          <w:p w14:paraId="596531B8" w14:textId="77777777" w:rsidR="00491F4D" w:rsidRPr="004B0EC7" w:rsidRDefault="00491F4D"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 xml:space="preserve">Currencies closely correlated: </w:t>
            </w:r>
            <w:r w:rsidRPr="004B0EC7">
              <w:rPr>
                <w:rFonts w:ascii="Times New Roman" w:hAnsi="Times New Roman"/>
                <w:b/>
                <w:bCs/>
                <w:i/>
                <w:sz w:val="24"/>
                <w:u w:val="single"/>
                <w:lang w:eastAsia="nl-BE"/>
              </w:rPr>
              <w:t>of which</w:t>
            </w:r>
            <w:r w:rsidRPr="004B0EC7">
              <w:rPr>
                <w:rFonts w:ascii="Times New Roman" w:hAnsi="Times New Roman"/>
                <w:b/>
                <w:bCs/>
                <w:sz w:val="24"/>
                <w:u w:val="single"/>
                <w:lang w:eastAsia="nl-BE"/>
              </w:rPr>
              <w:t>: reporting currency</w:t>
            </w:r>
          </w:p>
          <w:p w14:paraId="1A313604" w14:textId="77777777" w:rsidR="00491F4D" w:rsidRPr="004B0EC7" w:rsidRDefault="00491F4D" w:rsidP="000B0B09">
            <w:pPr>
              <w:autoSpaceDE w:val="0"/>
              <w:autoSpaceDN w:val="0"/>
              <w:adjustRightInd w:val="0"/>
              <w:spacing w:before="0" w:after="0"/>
              <w:rPr>
                <w:rFonts w:ascii="Times New Roman" w:hAnsi="Times New Roman"/>
                <w:sz w:val="24"/>
              </w:rPr>
            </w:pPr>
          </w:p>
          <w:p w14:paraId="6CF1E695" w14:textId="3B11B1C0" w:rsidR="00491F4D" w:rsidRPr="004B0EC7" w:rsidRDefault="00491F4D" w:rsidP="000B0B09">
            <w:pPr>
              <w:autoSpaceDE w:val="0"/>
              <w:autoSpaceDN w:val="0"/>
              <w:adjustRightInd w:val="0"/>
              <w:spacing w:before="0" w:after="0"/>
              <w:rPr>
                <w:rFonts w:ascii="Times New Roman" w:hAnsi="Times New Roman"/>
                <w:sz w:val="24"/>
              </w:rPr>
            </w:pPr>
            <w:r w:rsidRPr="004B0EC7">
              <w:rPr>
                <w:rFonts w:ascii="Times New Roman" w:hAnsi="Times New Roman"/>
                <w:sz w:val="24"/>
              </w:rPr>
              <w:t xml:space="preserve">Positions in the reporting currency which contribute to the calculation of the capital requirements </w:t>
            </w:r>
            <w:r w:rsidR="00BB22D4" w:rsidRPr="004B0EC7">
              <w:rPr>
                <w:rFonts w:ascii="Times New Roman" w:hAnsi="Times New Roman"/>
                <w:sz w:val="24"/>
              </w:rPr>
              <w:t>in accordance with</w:t>
            </w:r>
            <w:r w:rsidRPr="004B0EC7">
              <w:rPr>
                <w:rFonts w:ascii="Times New Roman" w:hAnsi="Times New Roman"/>
                <w:sz w:val="24"/>
              </w:rPr>
              <w:t xml:space="preserve"> Article 354 </w:t>
            </w:r>
            <w:r w:rsidR="006E347B" w:rsidRPr="004B0EC7">
              <w:rPr>
                <w:rFonts w:ascii="Times New Roman" w:hAnsi="Times New Roman"/>
                <w:sz w:val="24"/>
                <w:lang w:val="en-US"/>
              </w:rPr>
              <w:t>of Regulation (EU) No 575/2013</w:t>
            </w:r>
            <w:r w:rsidR="00F2521E" w:rsidRPr="004B0EC7">
              <w:rPr>
                <w:rFonts w:ascii="Times New Roman" w:hAnsi="Times New Roman"/>
                <w:sz w:val="24"/>
              </w:rPr>
              <w:t>.</w:t>
            </w:r>
          </w:p>
          <w:p w14:paraId="1727C5A3" w14:textId="77777777" w:rsidR="00491F4D" w:rsidRPr="004B0EC7" w:rsidRDefault="00491F4D" w:rsidP="000B0B09">
            <w:pPr>
              <w:autoSpaceDE w:val="0"/>
              <w:autoSpaceDN w:val="0"/>
              <w:adjustRightInd w:val="0"/>
              <w:spacing w:before="0" w:after="0"/>
              <w:rPr>
                <w:rFonts w:ascii="Times New Roman" w:hAnsi="Times New Roman"/>
                <w:b/>
                <w:bCs/>
                <w:sz w:val="24"/>
                <w:u w:val="single"/>
                <w:lang w:eastAsia="nl-BE"/>
              </w:rPr>
            </w:pPr>
          </w:p>
        </w:tc>
      </w:tr>
      <w:tr w:rsidR="000B0B09" w:rsidRPr="004B0EC7" w14:paraId="52A3FAA7" w14:textId="77777777" w:rsidTr="00672D2A">
        <w:tc>
          <w:tcPr>
            <w:tcW w:w="991" w:type="dxa"/>
          </w:tcPr>
          <w:p w14:paraId="0150967E"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030</w:t>
            </w:r>
          </w:p>
        </w:tc>
        <w:tc>
          <w:tcPr>
            <w:tcW w:w="7871" w:type="dxa"/>
          </w:tcPr>
          <w:p w14:paraId="0BAA11C1"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ALL OTHER CURRENCIES (including CIU´s treated as different currencies)</w:t>
            </w:r>
          </w:p>
          <w:p w14:paraId="1677D283"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p>
          <w:p w14:paraId="0DD3AFD1" w14:textId="05872348" w:rsidR="000B0B09" w:rsidRPr="004B0EC7" w:rsidRDefault="000B0B09" w:rsidP="000B0B09">
            <w:pPr>
              <w:autoSpaceDE w:val="0"/>
              <w:autoSpaceDN w:val="0"/>
              <w:adjustRightInd w:val="0"/>
              <w:spacing w:before="0" w:after="0"/>
              <w:rPr>
                <w:rFonts w:ascii="Times New Roman" w:hAnsi="Times New Roman"/>
                <w:sz w:val="24"/>
              </w:rPr>
            </w:pPr>
            <w:r w:rsidRPr="004B0EC7">
              <w:rPr>
                <w:rFonts w:ascii="Times New Roman" w:hAnsi="Times New Roman"/>
                <w:sz w:val="24"/>
              </w:rPr>
              <w:t xml:space="preserve">Positions and their correspondent own funds requirements for currencies subject to the general procedure referred to in Article 351 and </w:t>
            </w:r>
            <w:r w:rsidR="008241B9" w:rsidRPr="004B0EC7">
              <w:rPr>
                <w:rFonts w:ascii="Times New Roman" w:hAnsi="Times New Roman"/>
                <w:sz w:val="24"/>
              </w:rPr>
              <w:t xml:space="preserve">Article </w:t>
            </w:r>
            <w:r w:rsidRPr="004B0EC7">
              <w:rPr>
                <w:rFonts w:ascii="Times New Roman" w:hAnsi="Times New Roman"/>
                <w:sz w:val="24"/>
              </w:rPr>
              <w:t>352</w:t>
            </w:r>
            <w:r w:rsidR="00B83DDE" w:rsidRPr="004B0EC7">
              <w:rPr>
                <w:rFonts w:ascii="Times New Roman" w:hAnsi="Times New Roman"/>
                <w:sz w:val="24"/>
              </w:rPr>
              <w:t>, p</w:t>
            </w:r>
            <w:r w:rsidR="00070113" w:rsidRPr="004B0EC7">
              <w:rPr>
                <w:rFonts w:ascii="Times New Roman" w:hAnsi="Times New Roman"/>
                <w:sz w:val="24"/>
              </w:rPr>
              <w:t xml:space="preserve">aragraphs 2 and 4 </w:t>
            </w:r>
            <w:r w:rsidR="006E347B" w:rsidRPr="004B0EC7">
              <w:rPr>
                <w:rFonts w:ascii="Times New Roman" w:hAnsi="Times New Roman"/>
                <w:sz w:val="24"/>
                <w:lang w:val="en-US"/>
              </w:rPr>
              <w:t>of Regulation (EU) No 575/2013</w:t>
            </w:r>
            <w:r w:rsidR="004319EB" w:rsidRPr="004B0EC7">
              <w:rPr>
                <w:rFonts w:ascii="Times New Roman" w:hAnsi="Times New Roman"/>
                <w:sz w:val="24"/>
              </w:rPr>
              <w:t>.</w:t>
            </w:r>
          </w:p>
          <w:p w14:paraId="0D0C93F2"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p>
          <w:p w14:paraId="369470C9" w14:textId="2C612C05" w:rsidR="000B0B09" w:rsidRPr="004B0EC7" w:rsidRDefault="000B0B09" w:rsidP="000B0B09">
            <w:pPr>
              <w:autoSpaceDE w:val="0"/>
              <w:autoSpaceDN w:val="0"/>
              <w:adjustRightInd w:val="0"/>
              <w:spacing w:before="0" w:after="0"/>
              <w:rPr>
                <w:rFonts w:ascii="Times New Roman" w:hAnsi="Times New Roman"/>
                <w:bCs/>
                <w:sz w:val="24"/>
                <w:u w:val="single"/>
                <w:lang w:eastAsia="nl-BE"/>
              </w:rPr>
            </w:pPr>
            <w:r w:rsidRPr="004B0EC7">
              <w:rPr>
                <w:rFonts w:ascii="Times New Roman" w:hAnsi="Times New Roman"/>
                <w:bCs/>
                <w:sz w:val="24"/>
                <w:u w:val="single"/>
                <w:lang w:eastAsia="nl-BE"/>
              </w:rPr>
              <w:t xml:space="preserve">Reporting of CIU´s treated as separate currencies </w:t>
            </w:r>
            <w:r w:rsidR="00BB22D4" w:rsidRPr="004B0EC7">
              <w:rPr>
                <w:rFonts w:ascii="Times New Roman" w:hAnsi="Times New Roman"/>
                <w:bCs/>
                <w:sz w:val="24"/>
                <w:u w:val="single"/>
                <w:lang w:eastAsia="nl-BE"/>
              </w:rPr>
              <w:t>in accordance with</w:t>
            </w:r>
            <w:r w:rsidRPr="004B0EC7">
              <w:rPr>
                <w:rFonts w:ascii="Times New Roman" w:hAnsi="Times New Roman"/>
                <w:bCs/>
                <w:sz w:val="24"/>
                <w:u w:val="single"/>
                <w:lang w:eastAsia="nl-BE"/>
              </w:rPr>
              <w:t xml:space="preserve"> Article 353 </w:t>
            </w:r>
            <w:r w:rsidR="006E347B" w:rsidRPr="004B0EC7">
              <w:rPr>
                <w:rFonts w:ascii="Times New Roman" w:hAnsi="Times New Roman"/>
                <w:sz w:val="24"/>
                <w:lang w:val="en-US"/>
              </w:rPr>
              <w:t>of Regulation (EU) No 575/2013</w:t>
            </w:r>
            <w:r w:rsidRPr="004B0EC7">
              <w:rPr>
                <w:rFonts w:ascii="Times New Roman" w:hAnsi="Times New Roman"/>
                <w:bCs/>
                <w:sz w:val="24"/>
                <w:u w:val="single"/>
                <w:lang w:eastAsia="nl-BE"/>
              </w:rPr>
              <w:t>:</w:t>
            </w:r>
          </w:p>
          <w:p w14:paraId="77B7A43F" w14:textId="77777777" w:rsidR="000B0B09" w:rsidRPr="004B0EC7" w:rsidRDefault="000B0B09" w:rsidP="000B0B09">
            <w:pPr>
              <w:autoSpaceDE w:val="0"/>
              <w:autoSpaceDN w:val="0"/>
              <w:adjustRightInd w:val="0"/>
              <w:spacing w:before="0" w:after="0"/>
              <w:rPr>
                <w:rFonts w:ascii="Times New Roman" w:hAnsi="Times New Roman"/>
                <w:bCs/>
                <w:sz w:val="24"/>
                <w:lang w:eastAsia="nl-BE"/>
              </w:rPr>
            </w:pPr>
            <w:r w:rsidRPr="004B0EC7">
              <w:rPr>
                <w:rFonts w:ascii="Times New Roman" w:hAnsi="Times New Roman"/>
                <w:bCs/>
                <w:sz w:val="24"/>
                <w:lang w:eastAsia="nl-BE"/>
              </w:rPr>
              <w:t>There are two different treatments of CIUs treated as separate currencies for calculating the capital requirements:</w:t>
            </w:r>
          </w:p>
          <w:p w14:paraId="5B250982" w14:textId="77777777" w:rsidR="000B0B09" w:rsidRPr="004B0EC7" w:rsidRDefault="00125707" w:rsidP="0023700C">
            <w:pPr>
              <w:autoSpaceDE w:val="0"/>
              <w:autoSpaceDN w:val="0"/>
              <w:adjustRightInd w:val="0"/>
              <w:spacing w:before="0" w:after="0"/>
              <w:ind w:left="720" w:hanging="360"/>
              <w:rPr>
                <w:rFonts w:ascii="Times New Roman" w:hAnsi="Times New Roman"/>
                <w:bCs/>
                <w:sz w:val="24"/>
                <w:lang w:eastAsia="nl-BE"/>
              </w:rPr>
            </w:pPr>
            <w:r w:rsidRPr="004B0EC7">
              <w:rPr>
                <w:rFonts w:ascii="Times New Roman" w:hAnsi="Times New Roman"/>
                <w:bCs/>
                <w:sz w:val="24"/>
                <w:lang w:eastAsia="nl-BE"/>
              </w:rPr>
              <w:t>1.</w:t>
            </w:r>
            <w:r w:rsidRPr="004B0EC7">
              <w:rPr>
                <w:rFonts w:ascii="Times New Roman" w:hAnsi="Times New Roman"/>
                <w:bCs/>
                <w:sz w:val="24"/>
                <w:lang w:eastAsia="nl-BE"/>
              </w:rPr>
              <w:tab/>
            </w:r>
            <w:r w:rsidR="000B0B09" w:rsidRPr="004B0EC7">
              <w:rPr>
                <w:rFonts w:ascii="Times New Roman" w:hAnsi="Times New Roman"/>
                <w:bCs/>
                <w:sz w:val="24"/>
                <w:lang w:eastAsia="nl-BE"/>
              </w:rPr>
              <w:t xml:space="preserve">The modified gold method, </w:t>
            </w:r>
            <w:r w:rsidR="00A8318E" w:rsidRPr="004B0EC7">
              <w:rPr>
                <w:rFonts w:ascii="Times New Roman" w:hAnsi="Times New Roman"/>
                <w:bCs/>
                <w:sz w:val="24"/>
                <w:lang w:eastAsia="nl-BE"/>
              </w:rPr>
              <w:t>where</w:t>
            </w:r>
            <w:r w:rsidR="000B0B09" w:rsidRPr="004B0EC7">
              <w:rPr>
                <w:rFonts w:ascii="Times New Roman" w:hAnsi="Times New Roman"/>
                <w:bCs/>
                <w:sz w:val="24"/>
                <w:lang w:eastAsia="nl-BE"/>
              </w:rPr>
              <w:t xml:space="preserve"> the direction of the CIUs investment is not available (those CIUs </w:t>
            </w:r>
            <w:r w:rsidR="00B811B0" w:rsidRPr="004B0EC7">
              <w:rPr>
                <w:rFonts w:ascii="Times New Roman" w:hAnsi="Times New Roman"/>
                <w:bCs/>
                <w:sz w:val="24"/>
                <w:lang w:eastAsia="nl-BE"/>
              </w:rPr>
              <w:t>shall</w:t>
            </w:r>
            <w:r w:rsidR="000B0B09" w:rsidRPr="004B0EC7">
              <w:rPr>
                <w:rFonts w:ascii="Times New Roman" w:hAnsi="Times New Roman"/>
                <w:bCs/>
                <w:sz w:val="24"/>
                <w:lang w:eastAsia="nl-BE"/>
              </w:rPr>
              <w:t xml:space="preserve"> be added to an institution</w:t>
            </w:r>
            <w:r w:rsidR="00DE73B4" w:rsidRPr="004B0EC7">
              <w:rPr>
                <w:rFonts w:ascii="Times New Roman" w:hAnsi="Times New Roman"/>
                <w:bCs/>
                <w:sz w:val="24"/>
                <w:lang w:eastAsia="nl-BE"/>
              </w:rPr>
              <w:t>’</w:t>
            </w:r>
            <w:r w:rsidR="000B0B09" w:rsidRPr="004B0EC7">
              <w:rPr>
                <w:rFonts w:ascii="Times New Roman" w:hAnsi="Times New Roman"/>
                <w:bCs/>
                <w:sz w:val="24"/>
                <w:lang w:eastAsia="nl-BE"/>
              </w:rPr>
              <w:t>s overall net foreign-exchange position)</w:t>
            </w:r>
            <w:r w:rsidR="00A8318E" w:rsidRPr="004B0EC7">
              <w:rPr>
                <w:rFonts w:ascii="Times New Roman" w:hAnsi="Times New Roman"/>
                <w:bCs/>
                <w:sz w:val="24"/>
                <w:lang w:eastAsia="nl-BE"/>
              </w:rPr>
              <w:t>;</w:t>
            </w:r>
          </w:p>
          <w:p w14:paraId="36EAAD8C" w14:textId="77777777" w:rsidR="000B0B09" w:rsidRPr="004B0EC7" w:rsidRDefault="00125707" w:rsidP="0023700C">
            <w:pPr>
              <w:autoSpaceDE w:val="0"/>
              <w:autoSpaceDN w:val="0"/>
              <w:adjustRightInd w:val="0"/>
              <w:spacing w:before="0" w:after="0"/>
              <w:ind w:left="720" w:hanging="360"/>
              <w:rPr>
                <w:rFonts w:ascii="Times New Roman" w:hAnsi="Times New Roman"/>
                <w:bCs/>
                <w:sz w:val="24"/>
                <w:lang w:eastAsia="nl-BE"/>
              </w:rPr>
            </w:pPr>
            <w:r w:rsidRPr="004B0EC7">
              <w:rPr>
                <w:rFonts w:ascii="Times New Roman" w:hAnsi="Times New Roman"/>
                <w:bCs/>
                <w:sz w:val="24"/>
                <w:lang w:eastAsia="nl-BE"/>
              </w:rPr>
              <w:t>2.</w:t>
            </w:r>
            <w:r w:rsidRPr="004B0EC7">
              <w:rPr>
                <w:rFonts w:ascii="Times New Roman" w:hAnsi="Times New Roman"/>
                <w:bCs/>
                <w:sz w:val="24"/>
                <w:lang w:eastAsia="nl-BE"/>
              </w:rPr>
              <w:tab/>
            </w:r>
            <w:r w:rsidR="00A8318E" w:rsidRPr="004B0EC7">
              <w:rPr>
                <w:rFonts w:ascii="Times New Roman" w:hAnsi="Times New Roman"/>
                <w:bCs/>
                <w:sz w:val="24"/>
                <w:lang w:eastAsia="nl-BE"/>
              </w:rPr>
              <w:t>Where</w:t>
            </w:r>
            <w:r w:rsidR="000B0B09" w:rsidRPr="004B0EC7">
              <w:rPr>
                <w:rFonts w:ascii="Times New Roman" w:hAnsi="Times New Roman"/>
                <w:bCs/>
                <w:sz w:val="24"/>
                <w:lang w:eastAsia="nl-BE"/>
              </w:rPr>
              <w:t xml:space="preserve"> the direction of the CIU´s investment is available, those CIUs </w:t>
            </w:r>
            <w:r w:rsidR="00B811B0" w:rsidRPr="004B0EC7">
              <w:rPr>
                <w:rFonts w:ascii="Times New Roman" w:hAnsi="Times New Roman"/>
                <w:bCs/>
                <w:sz w:val="24"/>
                <w:lang w:eastAsia="nl-BE"/>
              </w:rPr>
              <w:t>shall</w:t>
            </w:r>
            <w:r w:rsidR="000B0B09" w:rsidRPr="004B0EC7">
              <w:rPr>
                <w:rFonts w:ascii="Times New Roman" w:hAnsi="Times New Roman"/>
                <w:bCs/>
                <w:sz w:val="24"/>
                <w:lang w:eastAsia="nl-BE"/>
              </w:rPr>
              <w:t xml:space="preserve"> be added to the total open foreign exchange position (long or short, depending on the direction of the CIU)</w:t>
            </w:r>
            <w:r w:rsidR="001A0143" w:rsidRPr="004B0EC7">
              <w:rPr>
                <w:rFonts w:ascii="Times New Roman" w:hAnsi="Times New Roman"/>
                <w:bCs/>
                <w:sz w:val="24"/>
                <w:lang w:eastAsia="nl-BE"/>
              </w:rPr>
              <w:t>.</w:t>
            </w:r>
          </w:p>
          <w:p w14:paraId="6410AE39" w14:textId="77777777" w:rsidR="000B0B09" w:rsidRPr="004B0EC7" w:rsidRDefault="000B0B09" w:rsidP="000B0B09">
            <w:pPr>
              <w:autoSpaceDE w:val="0"/>
              <w:autoSpaceDN w:val="0"/>
              <w:adjustRightInd w:val="0"/>
              <w:spacing w:before="0" w:after="0"/>
              <w:rPr>
                <w:rFonts w:ascii="Times New Roman" w:hAnsi="Times New Roman"/>
                <w:bCs/>
                <w:sz w:val="24"/>
                <w:u w:val="single"/>
                <w:lang w:eastAsia="nl-BE"/>
              </w:rPr>
            </w:pPr>
            <w:r w:rsidRPr="004B0EC7">
              <w:rPr>
                <w:rFonts w:ascii="Times New Roman" w:hAnsi="Times New Roman"/>
                <w:bCs/>
                <w:sz w:val="24"/>
                <w:lang w:eastAsia="nl-BE"/>
              </w:rPr>
              <w:t xml:space="preserve">The reporting of those CIU´s </w:t>
            </w:r>
            <w:r w:rsidR="001A0143" w:rsidRPr="004B0EC7">
              <w:rPr>
                <w:rFonts w:ascii="Times New Roman" w:hAnsi="Times New Roman"/>
                <w:bCs/>
                <w:sz w:val="24"/>
                <w:lang w:eastAsia="nl-BE"/>
              </w:rPr>
              <w:t xml:space="preserve">shall </w:t>
            </w:r>
            <w:r w:rsidRPr="004B0EC7">
              <w:rPr>
                <w:rFonts w:ascii="Times New Roman" w:hAnsi="Times New Roman"/>
                <w:bCs/>
                <w:sz w:val="24"/>
                <w:lang w:eastAsia="nl-BE"/>
              </w:rPr>
              <w:t>follow the calculation of the capital requirements.</w:t>
            </w:r>
          </w:p>
          <w:p w14:paraId="6EF89CCB" w14:textId="77777777" w:rsidR="00DE48EF" w:rsidRPr="004B0EC7" w:rsidRDefault="00DE48EF" w:rsidP="000B0B09">
            <w:pPr>
              <w:autoSpaceDE w:val="0"/>
              <w:autoSpaceDN w:val="0"/>
              <w:adjustRightInd w:val="0"/>
              <w:spacing w:before="0" w:after="0"/>
              <w:rPr>
                <w:rFonts w:ascii="Times New Roman" w:hAnsi="Times New Roman"/>
                <w:b/>
                <w:bCs/>
                <w:sz w:val="24"/>
                <w:u w:val="single"/>
                <w:lang w:eastAsia="nl-BE"/>
              </w:rPr>
            </w:pPr>
          </w:p>
        </w:tc>
      </w:tr>
      <w:tr w:rsidR="000B0B09" w:rsidRPr="004B0EC7" w14:paraId="3074F2FD" w14:textId="77777777" w:rsidTr="00672D2A">
        <w:tc>
          <w:tcPr>
            <w:tcW w:w="991" w:type="dxa"/>
          </w:tcPr>
          <w:p w14:paraId="77D3A983"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040</w:t>
            </w:r>
          </w:p>
        </w:tc>
        <w:tc>
          <w:tcPr>
            <w:tcW w:w="7871" w:type="dxa"/>
          </w:tcPr>
          <w:p w14:paraId="0E1B066C"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GOLD</w:t>
            </w:r>
          </w:p>
          <w:p w14:paraId="3DD20C37"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p>
          <w:p w14:paraId="3E2B6F8D" w14:textId="6CE20A0D" w:rsidR="000B0B09" w:rsidRPr="004B0EC7" w:rsidRDefault="000B0B09" w:rsidP="000B0B09">
            <w:pPr>
              <w:autoSpaceDE w:val="0"/>
              <w:autoSpaceDN w:val="0"/>
              <w:adjustRightInd w:val="0"/>
              <w:spacing w:before="0" w:after="0"/>
              <w:rPr>
                <w:rFonts w:ascii="Times New Roman" w:hAnsi="Times New Roman"/>
                <w:sz w:val="24"/>
              </w:rPr>
            </w:pPr>
            <w:r w:rsidRPr="004B0EC7">
              <w:rPr>
                <w:rFonts w:ascii="Times New Roman" w:hAnsi="Times New Roman"/>
                <w:sz w:val="24"/>
              </w:rPr>
              <w:t>Positions and their correspondent own funds requirements for currencies subject to the general procedure referred to in Article 351 and</w:t>
            </w:r>
            <w:r w:rsidR="00402284" w:rsidRPr="004B0EC7">
              <w:rPr>
                <w:rFonts w:ascii="Times New Roman" w:hAnsi="Times New Roman"/>
                <w:sz w:val="24"/>
              </w:rPr>
              <w:t xml:space="preserve"> </w:t>
            </w:r>
            <w:r w:rsidR="008241B9" w:rsidRPr="004B0EC7">
              <w:rPr>
                <w:rFonts w:ascii="Times New Roman" w:hAnsi="Times New Roman"/>
                <w:sz w:val="24"/>
              </w:rPr>
              <w:t xml:space="preserve">Article </w:t>
            </w:r>
            <w:r w:rsidRPr="004B0EC7">
              <w:rPr>
                <w:rFonts w:ascii="Times New Roman" w:hAnsi="Times New Roman"/>
                <w:sz w:val="24"/>
              </w:rPr>
              <w:t>352</w:t>
            </w:r>
            <w:r w:rsidR="00B83DDE" w:rsidRPr="004B0EC7">
              <w:rPr>
                <w:rFonts w:ascii="Times New Roman" w:hAnsi="Times New Roman"/>
                <w:sz w:val="24"/>
              </w:rPr>
              <w:t>, p</w:t>
            </w:r>
            <w:r w:rsidR="00070113" w:rsidRPr="004B0EC7">
              <w:rPr>
                <w:rFonts w:ascii="Times New Roman" w:hAnsi="Times New Roman"/>
                <w:sz w:val="24"/>
              </w:rPr>
              <w:t xml:space="preserve">aragraphs 2 and 4 </w:t>
            </w:r>
            <w:r w:rsidR="006E347B" w:rsidRPr="004B0EC7">
              <w:rPr>
                <w:rFonts w:ascii="Times New Roman" w:hAnsi="Times New Roman"/>
                <w:sz w:val="24"/>
                <w:lang w:val="en-US"/>
              </w:rPr>
              <w:t>of Regulation (EU) No 575/2013</w:t>
            </w:r>
            <w:r w:rsidRPr="004B0EC7">
              <w:rPr>
                <w:rFonts w:ascii="Times New Roman" w:hAnsi="Times New Roman"/>
                <w:sz w:val="24"/>
              </w:rPr>
              <w:t xml:space="preserve"> </w:t>
            </w:r>
          </w:p>
          <w:p w14:paraId="23633856"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4B0EC7" w14:paraId="76FC5B51" w14:textId="77777777" w:rsidTr="00672D2A">
        <w:tc>
          <w:tcPr>
            <w:tcW w:w="991" w:type="dxa"/>
          </w:tcPr>
          <w:p w14:paraId="119AB326"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 xml:space="preserve">050 - </w:t>
            </w:r>
            <w:r w:rsidRPr="004B0EC7">
              <w:rPr>
                <w:rFonts w:ascii="Times New Roman" w:hAnsi="Times New Roman"/>
                <w:sz w:val="24"/>
                <w:lang w:eastAsia="nl-BE"/>
              </w:rPr>
              <w:t>0</w:t>
            </w:r>
            <w:r w:rsidR="000B0B09" w:rsidRPr="004B0EC7">
              <w:rPr>
                <w:rFonts w:ascii="Times New Roman" w:hAnsi="Times New Roman"/>
                <w:sz w:val="24"/>
                <w:lang w:eastAsia="nl-BE"/>
              </w:rPr>
              <w:t>090</w:t>
            </w:r>
          </w:p>
        </w:tc>
        <w:tc>
          <w:tcPr>
            <w:tcW w:w="7871" w:type="dxa"/>
          </w:tcPr>
          <w:p w14:paraId="76D7671B"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Style w:val="InstructionsTabelleberschrift"/>
                <w:rFonts w:ascii="Times New Roman" w:hAnsi="Times New Roman"/>
                <w:sz w:val="24"/>
              </w:rPr>
              <w:t>ADDITIONAL REQUIREMENTS FOR OPTIONS (NON-DELTA RISKS)</w:t>
            </w:r>
          </w:p>
          <w:p w14:paraId="409B80C0" w14:textId="56A2BE80" w:rsidR="000B0B09" w:rsidRPr="004B0EC7" w:rsidRDefault="000B0B09" w:rsidP="001A0143">
            <w:pPr>
              <w:autoSpaceDE w:val="0"/>
              <w:autoSpaceDN w:val="0"/>
              <w:adjustRightInd w:val="0"/>
              <w:spacing w:after="0"/>
              <w:rPr>
                <w:rFonts w:ascii="Times New Roman" w:hAnsi="Times New Roman"/>
                <w:sz w:val="24"/>
                <w:lang w:eastAsia="de-DE"/>
              </w:rPr>
            </w:pPr>
            <w:r w:rsidRPr="004B0EC7">
              <w:rPr>
                <w:rFonts w:ascii="Times New Roman" w:hAnsi="Times New Roman"/>
                <w:sz w:val="24"/>
                <w:lang w:eastAsia="de-DE"/>
              </w:rPr>
              <w:lastRenderedPageBreak/>
              <w:t>Article 352</w:t>
            </w:r>
            <w:r w:rsidR="00B83DDE" w:rsidRPr="004B0EC7">
              <w:rPr>
                <w:rFonts w:ascii="Times New Roman" w:hAnsi="Times New Roman"/>
                <w:sz w:val="24"/>
                <w:lang w:eastAsia="de-DE"/>
              </w:rPr>
              <w:t>, p</w:t>
            </w:r>
            <w:r w:rsidR="00070113" w:rsidRPr="004B0EC7">
              <w:rPr>
                <w:rFonts w:ascii="Times New Roman" w:hAnsi="Times New Roman"/>
                <w:sz w:val="24"/>
                <w:lang w:eastAsia="de-DE"/>
              </w:rPr>
              <w:t xml:space="preserve">aragraphs 5 and 6 </w:t>
            </w:r>
            <w:r w:rsidR="006E347B" w:rsidRPr="004B0EC7">
              <w:rPr>
                <w:rFonts w:ascii="Times New Roman" w:hAnsi="Times New Roman"/>
                <w:sz w:val="24"/>
                <w:lang w:val="en-US"/>
              </w:rPr>
              <w:t>of Regulation (EU) No 575/2013</w:t>
            </w:r>
            <w:r w:rsidRPr="004B0EC7">
              <w:rPr>
                <w:rFonts w:ascii="Times New Roman" w:hAnsi="Times New Roman"/>
                <w:sz w:val="24"/>
                <w:lang w:eastAsia="de-DE"/>
              </w:rPr>
              <w:t xml:space="preserve"> </w:t>
            </w:r>
          </w:p>
          <w:p w14:paraId="28A72F07" w14:textId="77777777" w:rsidR="000B0B09" w:rsidRPr="004B0EC7" w:rsidRDefault="000B0B09" w:rsidP="000B0B09">
            <w:pPr>
              <w:autoSpaceDE w:val="0"/>
              <w:autoSpaceDN w:val="0"/>
              <w:adjustRightInd w:val="0"/>
              <w:spacing w:before="0" w:after="0"/>
              <w:rPr>
                <w:rFonts w:ascii="Times New Roman" w:hAnsi="Times New Roman"/>
                <w:sz w:val="24"/>
                <w:lang w:eastAsia="de-DE"/>
              </w:rPr>
            </w:pPr>
          </w:p>
          <w:p w14:paraId="30C3DAE3" w14:textId="77777777" w:rsidR="000B0B09" w:rsidRPr="004B0EC7" w:rsidRDefault="000B0B09" w:rsidP="000B0B09">
            <w:pPr>
              <w:autoSpaceDE w:val="0"/>
              <w:autoSpaceDN w:val="0"/>
              <w:adjustRightInd w:val="0"/>
              <w:spacing w:before="0" w:after="0"/>
              <w:rPr>
                <w:rFonts w:ascii="Times New Roman" w:hAnsi="Times New Roman"/>
                <w:sz w:val="24"/>
                <w:lang w:eastAsia="de-DE"/>
              </w:rPr>
            </w:pPr>
            <w:r w:rsidRPr="004B0EC7">
              <w:rPr>
                <w:rFonts w:ascii="Times New Roman" w:hAnsi="Times New Roman"/>
                <w:sz w:val="24"/>
                <w:lang w:eastAsia="de-DE"/>
              </w:rPr>
              <w:t xml:space="preserve">The additional requirements for options related to non-delta risks shall be reported </w:t>
            </w:r>
            <w:r w:rsidR="00DE73B4" w:rsidRPr="004B0EC7">
              <w:rPr>
                <w:rFonts w:ascii="Times New Roman" w:hAnsi="Times New Roman"/>
                <w:sz w:val="24"/>
                <w:lang w:eastAsia="de-DE"/>
              </w:rPr>
              <w:t>broken down by</w:t>
            </w:r>
            <w:r w:rsidRPr="004B0EC7">
              <w:rPr>
                <w:rFonts w:ascii="Times New Roman" w:hAnsi="Times New Roman"/>
                <w:sz w:val="24"/>
                <w:lang w:eastAsia="de-DE"/>
              </w:rPr>
              <w:t xml:space="preserve"> the method used for </w:t>
            </w:r>
            <w:r w:rsidR="00DE73B4" w:rsidRPr="004B0EC7">
              <w:rPr>
                <w:rFonts w:ascii="Times New Roman" w:hAnsi="Times New Roman"/>
                <w:sz w:val="24"/>
                <w:lang w:eastAsia="de-DE"/>
              </w:rPr>
              <w:t>their</w:t>
            </w:r>
            <w:r w:rsidR="002300C6" w:rsidRPr="004B0EC7">
              <w:rPr>
                <w:rFonts w:ascii="Times New Roman" w:hAnsi="Times New Roman"/>
                <w:sz w:val="24"/>
                <w:lang w:eastAsia="de-DE"/>
              </w:rPr>
              <w:t xml:space="preserve"> </w:t>
            </w:r>
            <w:r w:rsidRPr="004B0EC7">
              <w:rPr>
                <w:rFonts w:ascii="Times New Roman" w:hAnsi="Times New Roman"/>
                <w:sz w:val="24"/>
                <w:lang w:eastAsia="de-DE"/>
              </w:rPr>
              <w:t>calculation</w:t>
            </w:r>
            <w:r w:rsidR="00DE73B4" w:rsidRPr="004B0EC7">
              <w:rPr>
                <w:rFonts w:ascii="Times New Roman" w:hAnsi="Times New Roman"/>
                <w:sz w:val="24"/>
                <w:lang w:eastAsia="de-DE"/>
              </w:rPr>
              <w:t>.</w:t>
            </w:r>
            <w:r w:rsidR="002300C6" w:rsidRPr="004B0EC7">
              <w:rPr>
                <w:rFonts w:ascii="Times New Roman" w:hAnsi="Times New Roman"/>
                <w:sz w:val="24"/>
                <w:lang w:eastAsia="de-DE"/>
              </w:rPr>
              <w:t xml:space="preserve"> </w:t>
            </w:r>
          </w:p>
          <w:p w14:paraId="64B10AE8" w14:textId="77777777" w:rsidR="000B0B09" w:rsidRPr="004B0EC7" w:rsidRDefault="000B0B09" w:rsidP="00DE73B4">
            <w:pPr>
              <w:autoSpaceDE w:val="0"/>
              <w:autoSpaceDN w:val="0"/>
              <w:adjustRightInd w:val="0"/>
              <w:spacing w:before="0" w:after="0"/>
              <w:rPr>
                <w:rFonts w:ascii="Times New Roman" w:hAnsi="Times New Roman"/>
                <w:b/>
                <w:bCs/>
                <w:sz w:val="24"/>
                <w:u w:val="single"/>
                <w:lang w:eastAsia="nl-BE"/>
              </w:rPr>
            </w:pPr>
          </w:p>
        </w:tc>
      </w:tr>
      <w:tr w:rsidR="000B0B09" w:rsidRPr="004B0EC7" w14:paraId="4FB6CAB6" w14:textId="77777777" w:rsidTr="00672D2A">
        <w:tc>
          <w:tcPr>
            <w:tcW w:w="991" w:type="dxa"/>
          </w:tcPr>
          <w:p w14:paraId="4A4827FD"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lastRenderedPageBreak/>
              <w:t>0</w:t>
            </w:r>
            <w:r w:rsidR="000B0B09" w:rsidRPr="004B0EC7">
              <w:rPr>
                <w:rFonts w:ascii="Times New Roman" w:hAnsi="Times New Roman"/>
                <w:sz w:val="24"/>
                <w:lang w:eastAsia="nl-BE"/>
              </w:rPr>
              <w:t>100-</w:t>
            </w:r>
            <w:r w:rsidRPr="004B0EC7">
              <w:rPr>
                <w:rFonts w:ascii="Times New Roman" w:hAnsi="Times New Roman"/>
                <w:sz w:val="24"/>
                <w:lang w:eastAsia="nl-BE"/>
              </w:rPr>
              <w:t>0</w:t>
            </w:r>
            <w:r w:rsidR="000B0B09" w:rsidRPr="004B0EC7">
              <w:rPr>
                <w:rFonts w:ascii="Times New Roman" w:hAnsi="Times New Roman"/>
                <w:sz w:val="24"/>
                <w:lang w:eastAsia="nl-BE"/>
              </w:rPr>
              <w:t>120</w:t>
            </w:r>
          </w:p>
        </w:tc>
        <w:tc>
          <w:tcPr>
            <w:tcW w:w="7871" w:type="dxa"/>
          </w:tcPr>
          <w:p w14:paraId="4D32EE99"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Breakdown of total positions (reporting currency included) by exposure types</w:t>
            </w:r>
          </w:p>
          <w:p w14:paraId="35F84DAE"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p>
          <w:p w14:paraId="11C8EDD8" w14:textId="77777777" w:rsidR="000B0B09" w:rsidRPr="004B0EC7" w:rsidRDefault="000B0B09" w:rsidP="000B0B09">
            <w:pPr>
              <w:autoSpaceDE w:val="0"/>
              <w:autoSpaceDN w:val="0"/>
              <w:adjustRightInd w:val="0"/>
              <w:spacing w:before="0" w:after="0"/>
              <w:rPr>
                <w:rFonts w:ascii="Times New Roman" w:hAnsi="Times New Roman"/>
                <w:sz w:val="24"/>
                <w:lang w:eastAsia="de-DE"/>
              </w:rPr>
            </w:pPr>
            <w:r w:rsidRPr="004B0EC7">
              <w:rPr>
                <w:rFonts w:ascii="Times New Roman" w:hAnsi="Times New Roman"/>
                <w:sz w:val="24"/>
                <w:lang w:eastAsia="de-DE"/>
              </w:rPr>
              <w:t xml:space="preserve">Total positions shall be broken down </w:t>
            </w:r>
            <w:r w:rsidR="001A0143" w:rsidRPr="004B0EC7">
              <w:rPr>
                <w:rFonts w:ascii="Times New Roman" w:hAnsi="Times New Roman"/>
                <w:sz w:val="24"/>
                <w:lang w:eastAsia="de-DE"/>
              </w:rPr>
              <w:t xml:space="preserve">into </w:t>
            </w:r>
            <w:r w:rsidRPr="004B0EC7">
              <w:rPr>
                <w:rFonts w:ascii="Times New Roman" w:hAnsi="Times New Roman"/>
                <w:sz w:val="24"/>
                <w:lang w:eastAsia="de-DE"/>
              </w:rPr>
              <w:t>derivatives, other assets and liabilities</w:t>
            </w:r>
            <w:r w:rsidR="001A0143" w:rsidRPr="004B0EC7">
              <w:rPr>
                <w:rFonts w:ascii="Times New Roman" w:hAnsi="Times New Roman"/>
                <w:sz w:val="24"/>
                <w:lang w:eastAsia="de-DE"/>
              </w:rPr>
              <w:t>,</w:t>
            </w:r>
            <w:r w:rsidRPr="004B0EC7">
              <w:rPr>
                <w:rFonts w:ascii="Times New Roman" w:hAnsi="Times New Roman"/>
                <w:sz w:val="24"/>
                <w:lang w:eastAsia="de-DE"/>
              </w:rPr>
              <w:t xml:space="preserve"> and off-balance sheet items.</w:t>
            </w:r>
          </w:p>
          <w:p w14:paraId="645944F1" w14:textId="77777777" w:rsidR="00DE48EF" w:rsidRPr="004B0EC7" w:rsidRDefault="00DE48EF" w:rsidP="000B0B09">
            <w:pPr>
              <w:autoSpaceDE w:val="0"/>
              <w:autoSpaceDN w:val="0"/>
              <w:adjustRightInd w:val="0"/>
              <w:spacing w:before="0" w:after="0"/>
              <w:rPr>
                <w:rFonts w:ascii="Times New Roman" w:hAnsi="Times New Roman"/>
                <w:b/>
                <w:bCs/>
                <w:sz w:val="24"/>
                <w:u w:val="single"/>
                <w:lang w:eastAsia="nl-BE"/>
              </w:rPr>
            </w:pPr>
          </w:p>
        </w:tc>
      </w:tr>
      <w:tr w:rsidR="000B0B09" w:rsidRPr="004B0EC7" w14:paraId="12C3A573" w14:textId="77777777" w:rsidTr="00672D2A">
        <w:tc>
          <w:tcPr>
            <w:tcW w:w="991" w:type="dxa"/>
          </w:tcPr>
          <w:p w14:paraId="328B76F1"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100</w:t>
            </w:r>
          </w:p>
        </w:tc>
        <w:tc>
          <w:tcPr>
            <w:tcW w:w="7871" w:type="dxa"/>
          </w:tcPr>
          <w:p w14:paraId="2B5ED8B0"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Other assets and liabilities other than off-balance sheet items and derivatives</w:t>
            </w:r>
          </w:p>
          <w:p w14:paraId="70ABA94F"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p>
          <w:p w14:paraId="048B1F95" w14:textId="77777777" w:rsidR="00DE48EF" w:rsidRPr="004B0EC7" w:rsidRDefault="000B0B09" w:rsidP="000B0B09">
            <w:pPr>
              <w:autoSpaceDE w:val="0"/>
              <w:autoSpaceDN w:val="0"/>
              <w:adjustRightInd w:val="0"/>
              <w:spacing w:before="0" w:after="0"/>
              <w:rPr>
                <w:rFonts w:ascii="Times New Roman" w:hAnsi="Times New Roman"/>
                <w:sz w:val="24"/>
                <w:lang w:eastAsia="de-DE"/>
              </w:rPr>
            </w:pPr>
            <w:r w:rsidRPr="004B0EC7">
              <w:rPr>
                <w:rFonts w:ascii="Times New Roman" w:hAnsi="Times New Roman"/>
                <w:sz w:val="24"/>
                <w:lang w:eastAsia="de-DE"/>
              </w:rPr>
              <w:t xml:space="preserve">Positions not included in row </w:t>
            </w:r>
            <w:r w:rsidR="002F79EA" w:rsidRPr="004B0EC7">
              <w:rPr>
                <w:rFonts w:ascii="Times New Roman" w:hAnsi="Times New Roman"/>
                <w:sz w:val="24"/>
                <w:lang w:eastAsia="de-DE"/>
              </w:rPr>
              <w:t>0</w:t>
            </w:r>
            <w:r w:rsidRPr="004B0EC7">
              <w:rPr>
                <w:rFonts w:ascii="Times New Roman" w:hAnsi="Times New Roman"/>
                <w:sz w:val="24"/>
                <w:lang w:eastAsia="de-DE"/>
              </w:rPr>
              <w:t xml:space="preserve">110 or </w:t>
            </w:r>
            <w:r w:rsidR="002F79EA" w:rsidRPr="004B0EC7">
              <w:rPr>
                <w:rFonts w:ascii="Times New Roman" w:hAnsi="Times New Roman"/>
                <w:sz w:val="24"/>
                <w:lang w:eastAsia="de-DE"/>
              </w:rPr>
              <w:t>0</w:t>
            </w:r>
            <w:r w:rsidRPr="004B0EC7">
              <w:rPr>
                <w:rFonts w:ascii="Times New Roman" w:hAnsi="Times New Roman"/>
                <w:sz w:val="24"/>
                <w:lang w:eastAsia="de-DE"/>
              </w:rPr>
              <w:t xml:space="preserve">120 shall be included here. </w:t>
            </w:r>
          </w:p>
          <w:p w14:paraId="68474F8C"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sz w:val="24"/>
                <w:lang w:eastAsia="de-DE"/>
              </w:rPr>
              <w:t xml:space="preserve"> </w:t>
            </w:r>
          </w:p>
        </w:tc>
      </w:tr>
      <w:tr w:rsidR="000B0B09" w:rsidRPr="004B0EC7" w14:paraId="68F25686" w14:textId="77777777" w:rsidTr="00672D2A">
        <w:tc>
          <w:tcPr>
            <w:tcW w:w="991" w:type="dxa"/>
          </w:tcPr>
          <w:p w14:paraId="76AEDC5B"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110</w:t>
            </w:r>
          </w:p>
        </w:tc>
        <w:tc>
          <w:tcPr>
            <w:tcW w:w="7871" w:type="dxa"/>
          </w:tcPr>
          <w:p w14:paraId="2D487603"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Off-balance sheet items</w:t>
            </w:r>
          </w:p>
          <w:p w14:paraId="4FE41ABE"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p>
          <w:p w14:paraId="7CE2DA10" w14:textId="2927412B" w:rsidR="000B0B09" w:rsidRPr="004B0EC7" w:rsidRDefault="000B0B09" w:rsidP="000B0B09">
            <w:pPr>
              <w:autoSpaceDE w:val="0"/>
              <w:autoSpaceDN w:val="0"/>
              <w:adjustRightInd w:val="0"/>
              <w:spacing w:before="0" w:after="0"/>
              <w:rPr>
                <w:rFonts w:ascii="Times New Roman" w:hAnsi="Times New Roman"/>
                <w:sz w:val="24"/>
                <w:lang w:eastAsia="de-DE"/>
              </w:rPr>
            </w:pPr>
            <w:r w:rsidRPr="004B0EC7">
              <w:rPr>
                <w:rFonts w:ascii="Times New Roman" w:hAnsi="Times New Roman"/>
                <w:sz w:val="24"/>
                <w:lang w:eastAsia="de-DE"/>
              </w:rPr>
              <w:t xml:space="preserve">Items </w:t>
            </w:r>
            <w:r w:rsidR="00D95045" w:rsidRPr="004B0EC7">
              <w:rPr>
                <w:rFonts w:ascii="Times New Roman" w:hAnsi="Times New Roman"/>
                <w:sz w:val="24"/>
                <w:lang w:eastAsia="de-DE"/>
              </w:rPr>
              <w:t xml:space="preserve">within the scope of Article 352 </w:t>
            </w:r>
            <w:r w:rsidR="006E347B" w:rsidRPr="004B0EC7">
              <w:rPr>
                <w:rFonts w:ascii="Times New Roman" w:hAnsi="Times New Roman"/>
                <w:sz w:val="24"/>
                <w:lang w:val="en-US"/>
              </w:rPr>
              <w:t>of Regulation (EU) No 575/2013</w:t>
            </w:r>
            <w:r w:rsidR="00D95045" w:rsidRPr="004B0EC7">
              <w:rPr>
                <w:rFonts w:ascii="Times New Roman" w:hAnsi="Times New Roman"/>
                <w:sz w:val="24"/>
                <w:lang w:eastAsia="de-DE"/>
              </w:rPr>
              <w:t xml:space="preserve">, irrespective of the currency of denomination, which are </w:t>
            </w:r>
            <w:r w:rsidRPr="004B0EC7">
              <w:rPr>
                <w:rFonts w:ascii="Times New Roman" w:hAnsi="Times New Roman"/>
                <w:sz w:val="24"/>
                <w:lang w:eastAsia="de-DE"/>
              </w:rPr>
              <w:t xml:space="preserve">included in Annex I </w:t>
            </w:r>
            <w:r w:rsidR="001A0143" w:rsidRPr="004B0EC7">
              <w:rPr>
                <w:rFonts w:ascii="Times New Roman" w:hAnsi="Times New Roman"/>
                <w:sz w:val="24"/>
                <w:lang w:eastAsia="de-DE"/>
              </w:rPr>
              <w:t xml:space="preserve">to </w:t>
            </w:r>
            <w:r w:rsidR="00F75233" w:rsidRPr="004B0EC7">
              <w:rPr>
                <w:rFonts w:ascii="Times New Roman" w:hAnsi="Times New Roman"/>
                <w:sz w:val="24"/>
                <w:lang w:val="en-US"/>
              </w:rPr>
              <w:t>of that Regulation</w:t>
            </w:r>
            <w:r w:rsidR="001A0143" w:rsidRPr="004B0EC7">
              <w:rPr>
                <w:rFonts w:ascii="Times New Roman" w:hAnsi="Times New Roman"/>
                <w:sz w:val="24"/>
                <w:lang w:eastAsia="de-DE"/>
              </w:rPr>
              <w:t>,</w:t>
            </w:r>
            <w:r w:rsidRPr="004B0EC7">
              <w:rPr>
                <w:rFonts w:ascii="Times New Roman" w:hAnsi="Times New Roman"/>
                <w:sz w:val="24"/>
                <w:lang w:eastAsia="de-DE"/>
              </w:rPr>
              <w:t xml:space="preserve"> except those included as Securities Financing Transactions &amp; Long Settlement Transactions or from Contractual Cross Product Netting</w:t>
            </w:r>
            <w:r w:rsidR="001A0143" w:rsidRPr="004B0EC7">
              <w:rPr>
                <w:rFonts w:ascii="Times New Roman" w:hAnsi="Times New Roman"/>
                <w:sz w:val="24"/>
                <w:lang w:eastAsia="de-DE"/>
              </w:rPr>
              <w:t>.</w:t>
            </w:r>
          </w:p>
          <w:p w14:paraId="25D49F5C" w14:textId="77777777" w:rsidR="00DE48EF" w:rsidRPr="004B0EC7" w:rsidRDefault="00DE48EF" w:rsidP="000B0B09">
            <w:pPr>
              <w:autoSpaceDE w:val="0"/>
              <w:autoSpaceDN w:val="0"/>
              <w:adjustRightInd w:val="0"/>
              <w:spacing w:before="0" w:after="0"/>
              <w:rPr>
                <w:rFonts w:ascii="Times New Roman" w:hAnsi="Times New Roman"/>
                <w:b/>
                <w:bCs/>
                <w:sz w:val="24"/>
                <w:u w:val="single"/>
                <w:lang w:eastAsia="nl-BE"/>
              </w:rPr>
            </w:pPr>
          </w:p>
        </w:tc>
      </w:tr>
      <w:tr w:rsidR="000B0B09" w:rsidRPr="004B0EC7" w14:paraId="6C61B439" w14:textId="77777777" w:rsidTr="00672D2A">
        <w:tc>
          <w:tcPr>
            <w:tcW w:w="991" w:type="dxa"/>
          </w:tcPr>
          <w:p w14:paraId="33EE452C" w14:textId="77777777" w:rsidR="000B0B09" w:rsidRPr="004B0EC7" w:rsidRDefault="002F79EA" w:rsidP="002F79EA">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120</w:t>
            </w:r>
          </w:p>
        </w:tc>
        <w:tc>
          <w:tcPr>
            <w:tcW w:w="7871" w:type="dxa"/>
          </w:tcPr>
          <w:p w14:paraId="56E07170"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Derivatives</w:t>
            </w:r>
          </w:p>
          <w:p w14:paraId="7B6CC853"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p>
          <w:p w14:paraId="174E14E9" w14:textId="61FBE982" w:rsidR="000B0B09" w:rsidRPr="004B0EC7" w:rsidRDefault="000B0B09" w:rsidP="000B0B09">
            <w:pPr>
              <w:autoSpaceDE w:val="0"/>
              <w:autoSpaceDN w:val="0"/>
              <w:adjustRightInd w:val="0"/>
              <w:spacing w:before="0" w:after="0"/>
              <w:rPr>
                <w:rFonts w:ascii="Times New Roman" w:hAnsi="Times New Roman"/>
                <w:sz w:val="24"/>
                <w:lang w:eastAsia="de-DE"/>
              </w:rPr>
            </w:pPr>
            <w:r w:rsidRPr="004B0EC7">
              <w:rPr>
                <w:rFonts w:ascii="Times New Roman" w:hAnsi="Times New Roman"/>
                <w:sz w:val="24"/>
                <w:lang w:eastAsia="de-DE"/>
              </w:rPr>
              <w:t xml:space="preserve">Positions valued </w:t>
            </w:r>
            <w:r w:rsidR="00A2757B" w:rsidRPr="004B0EC7">
              <w:rPr>
                <w:rFonts w:ascii="Times New Roman" w:hAnsi="Times New Roman"/>
                <w:sz w:val="24"/>
                <w:lang w:eastAsia="de-DE"/>
              </w:rPr>
              <w:t xml:space="preserve">in </w:t>
            </w:r>
            <w:r w:rsidRPr="004B0EC7">
              <w:rPr>
                <w:rFonts w:ascii="Times New Roman" w:hAnsi="Times New Roman"/>
                <w:sz w:val="24"/>
                <w:lang w:eastAsia="de-DE"/>
              </w:rPr>
              <w:t>accord</w:t>
            </w:r>
            <w:r w:rsidR="00A2757B" w:rsidRPr="004B0EC7">
              <w:rPr>
                <w:rFonts w:ascii="Times New Roman" w:hAnsi="Times New Roman"/>
                <w:sz w:val="24"/>
                <w:lang w:eastAsia="de-DE"/>
              </w:rPr>
              <w:t>ance with</w:t>
            </w:r>
            <w:r w:rsidRPr="004B0EC7">
              <w:rPr>
                <w:rFonts w:ascii="Times New Roman" w:hAnsi="Times New Roman"/>
                <w:sz w:val="24"/>
                <w:lang w:eastAsia="de-DE"/>
              </w:rPr>
              <w:t xml:space="preserve"> Article 352 </w:t>
            </w:r>
            <w:r w:rsidR="006E347B" w:rsidRPr="004B0EC7">
              <w:rPr>
                <w:rFonts w:ascii="Times New Roman" w:hAnsi="Times New Roman"/>
                <w:sz w:val="24"/>
                <w:lang w:val="en-US"/>
              </w:rPr>
              <w:t>of Regulation (EU) No 575/2013</w:t>
            </w:r>
            <w:r w:rsidRPr="004B0EC7">
              <w:rPr>
                <w:rFonts w:ascii="Times New Roman" w:hAnsi="Times New Roman"/>
                <w:sz w:val="24"/>
                <w:lang w:eastAsia="de-DE"/>
              </w:rPr>
              <w:t>.</w:t>
            </w:r>
          </w:p>
          <w:p w14:paraId="2984F2C2" w14:textId="77777777" w:rsidR="00902EFC" w:rsidRPr="004B0EC7" w:rsidRDefault="00902EFC" w:rsidP="000B0B09">
            <w:pPr>
              <w:autoSpaceDE w:val="0"/>
              <w:autoSpaceDN w:val="0"/>
              <w:adjustRightInd w:val="0"/>
              <w:spacing w:before="0" w:after="0"/>
              <w:rPr>
                <w:rFonts w:ascii="Times New Roman" w:hAnsi="Times New Roman"/>
                <w:b/>
                <w:bCs/>
                <w:sz w:val="24"/>
                <w:u w:val="single"/>
                <w:lang w:eastAsia="nl-BE"/>
              </w:rPr>
            </w:pPr>
          </w:p>
        </w:tc>
      </w:tr>
      <w:tr w:rsidR="000B0B09" w:rsidRPr="004B0EC7" w14:paraId="0D32A9CF" w14:textId="77777777" w:rsidTr="00672D2A">
        <w:tc>
          <w:tcPr>
            <w:tcW w:w="991" w:type="dxa"/>
          </w:tcPr>
          <w:p w14:paraId="7B4BCDF0" w14:textId="77777777" w:rsidR="000B0B09" w:rsidRPr="004B0EC7" w:rsidRDefault="002F79EA" w:rsidP="002F79EA">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130-</w:t>
            </w:r>
            <w:r w:rsidRPr="004B0EC7">
              <w:rPr>
                <w:rFonts w:ascii="Times New Roman" w:hAnsi="Times New Roman"/>
                <w:sz w:val="24"/>
                <w:lang w:eastAsia="nl-BE"/>
              </w:rPr>
              <w:t>0</w:t>
            </w:r>
            <w:r w:rsidR="00B431BD" w:rsidRPr="004B0EC7">
              <w:rPr>
                <w:rFonts w:ascii="Times New Roman" w:hAnsi="Times New Roman"/>
                <w:sz w:val="24"/>
                <w:lang w:eastAsia="nl-BE"/>
              </w:rPr>
              <w:t>480</w:t>
            </w:r>
          </w:p>
        </w:tc>
        <w:tc>
          <w:tcPr>
            <w:tcW w:w="7871" w:type="dxa"/>
          </w:tcPr>
          <w:p w14:paraId="26286B4C" w14:textId="38433819" w:rsidR="000B0B09" w:rsidRPr="004B0EC7" w:rsidRDefault="000B0B09" w:rsidP="000B0B09">
            <w:pPr>
              <w:autoSpaceDE w:val="0"/>
              <w:autoSpaceDN w:val="0"/>
              <w:adjustRightInd w:val="0"/>
              <w:spacing w:before="0" w:after="0"/>
              <w:rPr>
                <w:rFonts w:ascii="Times New Roman" w:hAnsi="Times New Roman"/>
                <w:sz w:val="24"/>
                <w:lang w:eastAsia="de-DE"/>
              </w:rPr>
            </w:pPr>
            <w:r w:rsidRPr="004B0EC7">
              <w:rPr>
                <w:rFonts w:ascii="Times New Roman" w:hAnsi="Times New Roman"/>
                <w:b/>
                <w:bCs/>
                <w:sz w:val="24"/>
                <w:u w:val="single"/>
                <w:lang w:eastAsia="nl-BE"/>
              </w:rPr>
              <w:t>MEMORANDUM ITEMS: CURRENCY POSITIONS</w:t>
            </w:r>
          </w:p>
          <w:p w14:paraId="77A906DE" w14:textId="77777777" w:rsidR="000B0B09" w:rsidRPr="004B0EC7" w:rsidRDefault="000B0B09" w:rsidP="000B0B09">
            <w:pPr>
              <w:autoSpaceDE w:val="0"/>
              <w:autoSpaceDN w:val="0"/>
              <w:adjustRightInd w:val="0"/>
              <w:spacing w:before="0" w:after="0"/>
              <w:rPr>
                <w:rFonts w:ascii="Times New Roman" w:hAnsi="Times New Roman"/>
                <w:b/>
                <w:bCs/>
                <w:sz w:val="24"/>
                <w:lang w:eastAsia="de-DE"/>
              </w:rPr>
            </w:pPr>
          </w:p>
          <w:p w14:paraId="31EAE6A1" w14:textId="77777777" w:rsidR="000B0B09" w:rsidRPr="004B0EC7" w:rsidRDefault="000B0B09" w:rsidP="00A2757B">
            <w:pPr>
              <w:autoSpaceDE w:val="0"/>
              <w:autoSpaceDN w:val="0"/>
              <w:adjustRightInd w:val="0"/>
              <w:spacing w:before="0" w:after="0"/>
              <w:rPr>
                <w:rFonts w:ascii="Times New Roman" w:hAnsi="Times New Roman"/>
                <w:sz w:val="24"/>
                <w:lang w:eastAsia="de-DE"/>
              </w:rPr>
            </w:pPr>
            <w:r w:rsidRPr="004B0EC7">
              <w:rPr>
                <w:rFonts w:ascii="Times New Roman" w:hAnsi="Times New Roman"/>
                <w:sz w:val="24"/>
                <w:lang w:eastAsia="de-DE"/>
              </w:rPr>
              <w:t xml:space="preserve">The memorandum items of the template </w:t>
            </w:r>
            <w:r w:rsidR="00C93697" w:rsidRPr="004B0EC7">
              <w:rPr>
                <w:rFonts w:ascii="Times New Roman" w:hAnsi="Times New Roman"/>
                <w:sz w:val="24"/>
                <w:lang w:eastAsia="de-DE"/>
              </w:rPr>
              <w:t>shall</w:t>
            </w:r>
            <w:r w:rsidRPr="004B0EC7">
              <w:rPr>
                <w:rFonts w:ascii="Times New Roman" w:hAnsi="Times New Roman"/>
                <w:sz w:val="24"/>
                <w:lang w:eastAsia="de-DE"/>
              </w:rPr>
              <w:t xml:space="preserve"> be filled </w:t>
            </w:r>
            <w:r w:rsidR="00A2757B" w:rsidRPr="004B0EC7">
              <w:rPr>
                <w:rFonts w:ascii="Times New Roman" w:hAnsi="Times New Roman"/>
                <w:sz w:val="24"/>
                <w:lang w:eastAsia="de-DE"/>
              </w:rPr>
              <w:t>in</w:t>
            </w:r>
            <w:r w:rsidRPr="004B0EC7">
              <w:rPr>
                <w:rFonts w:ascii="Times New Roman" w:hAnsi="Times New Roman"/>
                <w:sz w:val="24"/>
                <w:lang w:eastAsia="de-DE"/>
              </w:rPr>
              <w:t xml:space="preserve"> separately for </w:t>
            </w:r>
            <w:r w:rsidR="001A0143" w:rsidRPr="004B0EC7">
              <w:rPr>
                <w:rFonts w:ascii="Times New Roman" w:hAnsi="Times New Roman"/>
                <w:sz w:val="24"/>
                <w:lang w:eastAsia="de-DE"/>
              </w:rPr>
              <w:t>a</w:t>
            </w:r>
            <w:r w:rsidRPr="004B0EC7">
              <w:rPr>
                <w:rFonts w:ascii="Times New Roman" w:hAnsi="Times New Roman"/>
                <w:sz w:val="24"/>
                <w:lang w:eastAsia="de-DE"/>
              </w:rPr>
              <w:t>ll currencies of the member states of the Union</w:t>
            </w:r>
            <w:r w:rsidR="002300C6" w:rsidRPr="004B0EC7">
              <w:rPr>
                <w:rFonts w:ascii="Times New Roman" w:hAnsi="Times New Roman"/>
                <w:sz w:val="24"/>
                <w:lang w:eastAsia="de-DE"/>
              </w:rPr>
              <w:t>,</w:t>
            </w:r>
            <w:r w:rsidRPr="004B0EC7">
              <w:rPr>
                <w:rFonts w:ascii="Times New Roman" w:hAnsi="Times New Roman"/>
                <w:sz w:val="24"/>
                <w:lang w:eastAsia="de-DE"/>
              </w:rPr>
              <w:t xml:space="preserve"> </w:t>
            </w:r>
            <w:r w:rsidR="002F79EA" w:rsidRPr="004B0EC7">
              <w:rPr>
                <w:rFonts w:ascii="Times New Roman" w:hAnsi="Times New Roman"/>
                <w:sz w:val="24"/>
                <w:lang w:eastAsia="de-DE"/>
              </w:rPr>
              <w:t xml:space="preserve">GBP, </w:t>
            </w:r>
            <w:r w:rsidRPr="004B0EC7">
              <w:rPr>
                <w:rFonts w:ascii="Times New Roman" w:hAnsi="Times New Roman"/>
                <w:sz w:val="24"/>
                <w:lang w:eastAsia="de-DE"/>
              </w:rPr>
              <w:t xml:space="preserve">USD, CHF, JPY, RUB, TRY, AUD, CAD, RSD, ALL, UAH, MKD, EGP, ARS, BRL, MXN, HKD, ICK, TWD, NZD, NOK, SGD, KRW, CNY and all other currencies. </w:t>
            </w:r>
          </w:p>
          <w:p w14:paraId="2A795EB2" w14:textId="3FA18151" w:rsidR="0055144E" w:rsidRPr="004B0EC7" w:rsidRDefault="0055144E" w:rsidP="00A2757B">
            <w:pPr>
              <w:autoSpaceDE w:val="0"/>
              <w:autoSpaceDN w:val="0"/>
              <w:adjustRightInd w:val="0"/>
              <w:spacing w:before="0" w:after="0"/>
              <w:rPr>
                <w:rStyle w:val="InstructionsTabelleText"/>
                <w:rFonts w:ascii="Times New Roman" w:hAnsi="Times New Roman"/>
                <w:sz w:val="24"/>
              </w:rPr>
            </w:pPr>
          </w:p>
        </w:tc>
      </w:tr>
      <w:tr w:rsidR="00DB1114" w:rsidRPr="004B0EC7" w14:paraId="0E22FBA2" w14:textId="77777777" w:rsidTr="00E40F04">
        <w:tc>
          <w:tcPr>
            <w:tcW w:w="991" w:type="dxa"/>
          </w:tcPr>
          <w:p w14:paraId="70BD8900" w14:textId="77777777" w:rsidR="00DB1114" w:rsidRPr="004B0EC7" w:rsidRDefault="00DB1114" w:rsidP="00E40F04">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0470</w:t>
            </w:r>
          </w:p>
        </w:tc>
        <w:tc>
          <w:tcPr>
            <w:tcW w:w="7871" w:type="dxa"/>
          </w:tcPr>
          <w:p w14:paraId="323DC607" w14:textId="77777777" w:rsidR="00DB1114" w:rsidRPr="004B0EC7" w:rsidRDefault="00DB1114" w:rsidP="00E40F04">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Other</w:t>
            </w:r>
          </w:p>
          <w:p w14:paraId="06E2CC4B" w14:textId="77777777" w:rsidR="00DB1114" w:rsidRPr="004B0EC7" w:rsidRDefault="00DB1114" w:rsidP="00E40F04">
            <w:pPr>
              <w:autoSpaceDE w:val="0"/>
              <w:autoSpaceDN w:val="0"/>
              <w:adjustRightInd w:val="0"/>
              <w:spacing w:before="0" w:after="0"/>
              <w:rPr>
                <w:rFonts w:ascii="Times New Roman" w:hAnsi="Times New Roman"/>
                <w:b/>
                <w:bCs/>
                <w:sz w:val="24"/>
                <w:u w:val="single"/>
                <w:lang w:eastAsia="nl-BE"/>
              </w:rPr>
            </w:pPr>
          </w:p>
          <w:p w14:paraId="45C4133E" w14:textId="77777777" w:rsidR="00DB1114" w:rsidRPr="004B0EC7" w:rsidRDefault="00DB1114" w:rsidP="00E40F04">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sz w:val="24"/>
                <w:lang w:eastAsia="de-DE"/>
              </w:rPr>
              <w:t>Positions in gold and positions in CIUs treated as a separate currency in accordance with Article 353(3) of Regulation (EU) No 575/2013 shall be included in this row.</w:t>
            </w:r>
          </w:p>
        </w:tc>
      </w:tr>
    </w:tbl>
    <w:p w14:paraId="6BA92730" w14:textId="77777777" w:rsidR="000B0B09" w:rsidRPr="004B0EC7" w:rsidRDefault="000B0B09" w:rsidP="000B0B09">
      <w:pPr>
        <w:rPr>
          <w:rFonts w:ascii="Times New Roman" w:hAnsi="Times New Roman"/>
          <w:sz w:val="24"/>
        </w:rPr>
      </w:pPr>
    </w:p>
    <w:p w14:paraId="53515718" w14:textId="15BE5B2C" w:rsidR="000B0B09" w:rsidRPr="004B0EC7" w:rsidRDefault="00125707" w:rsidP="0023700C">
      <w:pPr>
        <w:pStyle w:val="Instructionsberschrift2"/>
        <w:numPr>
          <w:ilvl w:val="0"/>
          <w:numId w:val="0"/>
        </w:numPr>
        <w:ind w:left="357" w:hanging="357"/>
        <w:rPr>
          <w:rFonts w:ascii="Times New Roman" w:hAnsi="Times New Roman" w:cs="Times New Roman"/>
          <w:sz w:val="24"/>
          <w:lang w:val="en-GB"/>
        </w:rPr>
      </w:pPr>
      <w:bookmarkStart w:id="124" w:name="_Toc262566435"/>
      <w:bookmarkStart w:id="125" w:name="_Toc295830011"/>
      <w:bookmarkStart w:id="126" w:name="_Toc308426688"/>
      <w:bookmarkStart w:id="127" w:name="_Toc310415072"/>
      <w:bookmarkStart w:id="128" w:name="_Toc360188407"/>
      <w:bookmarkStart w:id="129" w:name="_Toc473561047"/>
      <w:bookmarkStart w:id="130" w:name="_Toc151714501"/>
      <w:r w:rsidRPr="004B0EC7">
        <w:rPr>
          <w:rFonts w:ascii="Times New Roman" w:hAnsi="Times New Roman" w:cs="Times New Roman"/>
          <w:sz w:val="24"/>
          <w:u w:val="none"/>
          <w:lang w:val="en-GB"/>
        </w:rPr>
        <w:t>5.6.</w:t>
      </w:r>
      <w:r w:rsidRPr="004B0EC7">
        <w:rPr>
          <w:rFonts w:ascii="Times New Roman" w:hAnsi="Times New Roman" w:cs="Times New Roman"/>
          <w:sz w:val="24"/>
          <w:u w:val="none"/>
          <w:lang w:val="en-GB"/>
        </w:rPr>
        <w:tab/>
      </w:r>
      <w:r w:rsidR="008B73EE" w:rsidRPr="004B0EC7">
        <w:rPr>
          <w:rFonts w:ascii="Times New Roman" w:hAnsi="Times New Roman" w:cs="Times New Roman"/>
          <w:sz w:val="24"/>
          <w:lang w:val="en-GB"/>
        </w:rPr>
        <w:t>C 23.0</w:t>
      </w:r>
      <w:r w:rsidR="003D711A" w:rsidRPr="004B0EC7">
        <w:rPr>
          <w:rFonts w:ascii="Times New Roman" w:hAnsi="Times New Roman" w:cs="Times New Roman"/>
          <w:sz w:val="24"/>
          <w:lang w:val="en-GB"/>
        </w:rPr>
        <w:t>1</w:t>
      </w:r>
      <w:r w:rsidR="008B73EE" w:rsidRPr="004B0EC7">
        <w:rPr>
          <w:rFonts w:ascii="Times New Roman" w:hAnsi="Times New Roman" w:cs="Times New Roman"/>
          <w:sz w:val="24"/>
          <w:lang w:val="en-GB"/>
        </w:rPr>
        <w:t xml:space="preserve"> </w:t>
      </w:r>
      <w:r w:rsidR="000B0B09" w:rsidRPr="004B0EC7">
        <w:rPr>
          <w:rFonts w:ascii="Times New Roman" w:hAnsi="Times New Roman" w:cs="Times New Roman"/>
          <w:sz w:val="24"/>
          <w:lang w:val="en-GB"/>
        </w:rPr>
        <w:t xml:space="preserve">- Market Risk: </w:t>
      </w:r>
      <w:r w:rsidR="00FD7683" w:rsidRPr="004B0EC7">
        <w:rPr>
          <w:rFonts w:ascii="Times New Roman" w:hAnsi="Times New Roman" w:cs="Times New Roman"/>
          <w:sz w:val="24"/>
          <w:lang w:val="en-GB"/>
        </w:rPr>
        <w:t xml:space="preserve">Simplified </w:t>
      </w:r>
      <w:r w:rsidR="000B0B09" w:rsidRPr="004B0EC7">
        <w:rPr>
          <w:rFonts w:ascii="Times New Roman" w:hAnsi="Times New Roman" w:cs="Times New Roman"/>
          <w:sz w:val="24"/>
          <w:lang w:val="en-GB"/>
        </w:rPr>
        <w:t>Standardised Approach for Commodities</w:t>
      </w:r>
      <w:bookmarkEnd w:id="124"/>
      <w:bookmarkEnd w:id="125"/>
      <w:bookmarkEnd w:id="126"/>
      <w:bookmarkEnd w:id="127"/>
      <w:bookmarkEnd w:id="128"/>
      <w:r w:rsidR="008B73EE" w:rsidRPr="004B0EC7">
        <w:rPr>
          <w:rFonts w:ascii="Times New Roman" w:hAnsi="Times New Roman" w:cs="Times New Roman"/>
          <w:sz w:val="24"/>
          <w:lang w:val="en-GB"/>
        </w:rPr>
        <w:t xml:space="preserve"> </w:t>
      </w:r>
      <w:r w:rsidR="00E85CB9" w:rsidRPr="004B0EC7">
        <w:rPr>
          <w:rFonts w:ascii="Times New Roman" w:hAnsi="Times New Roman" w:cs="Times New Roman"/>
          <w:sz w:val="24"/>
          <w:lang w:val="en-GB"/>
        </w:rPr>
        <w:t xml:space="preserve">risk </w:t>
      </w:r>
      <w:r w:rsidR="008B73EE" w:rsidRPr="004B0EC7">
        <w:rPr>
          <w:rFonts w:ascii="Times New Roman" w:hAnsi="Times New Roman" w:cs="Times New Roman"/>
          <w:sz w:val="24"/>
          <w:lang w:val="en-GB"/>
        </w:rPr>
        <w:t xml:space="preserve">(MKR </w:t>
      </w:r>
      <w:r w:rsidR="00FD7683" w:rsidRPr="004B0EC7">
        <w:rPr>
          <w:rFonts w:ascii="Times New Roman" w:hAnsi="Times New Roman" w:cs="Times New Roman"/>
          <w:sz w:val="24"/>
          <w:lang w:val="en-GB"/>
        </w:rPr>
        <w:t>S</w:t>
      </w:r>
      <w:r w:rsidR="008B73EE" w:rsidRPr="004B0EC7">
        <w:rPr>
          <w:rFonts w:ascii="Times New Roman" w:hAnsi="Times New Roman" w:cs="Times New Roman"/>
          <w:sz w:val="24"/>
          <w:lang w:val="en-GB"/>
        </w:rPr>
        <w:t>SA COM)</w:t>
      </w:r>
      <w:bookmarkEnd w:id="129"/>
      <w:bookmarkEnd w:id="130"/>
    </w:p>
    <w:p w14:paraId="72871AE4" w14:textId="77777777" w:rsidR="000B0B09" w:rsidRPr="004B0EC7" w:rsidRDefault="00125707" w:rsidP="0023700C">
      <w:pPr>
        <w:pStyle w:val="Instructionsberschrift2"/>
        <w:numPr>
          <w:ilvl w:val="0"/>
          <w:numId w:val="0"/>
        </w:numPr>
        <w:ind w:left="357" w:hanging="357"/>
        <w:rPr>
          <w:rFonts w:ascii="Times New Roman" w:hAnsi="Times New Roman" w:cs="Times New Roman"/>
          <w:sz w:val="24"/>
          <w:lang w:val="en-GB"/>
        </w:rPr>
      </w:pPr>
      <w:bookmarkStart w:id="131" w:name="_Toc262566436"/>
      <w:bookmarkStart w:id="132" w:name="_Toc295830012"/>
      <w:bookmarkStart w:id="133" w:name="_Toc308426689"/>
      <w:bookmarkStart w:id="134" w:name="_Toc310415073"/>
      <w:bookmarkStart w:id="135" w:name="_Toc360188408"/>
      <w:bookmarkStart w:id="136" w:name="_Toc473561048"/>
      <w:bookmarkStart w:id="137" w:name="_Toc151714502"/>
      <w:r w:rsidRPr="004B0EC7">
        <w:rPr>
          <w:rFonts w:ascii="Times New Roman" w:hAnsi="Times New Roman" w:cs="Times New Roman"/>
          <w:sz w:val="24"/>
          <w:u w:val="none"/>
          <w:lang w:val="en-GB"/>
        </w:rPr>
        <w:t>5.6.1.</w:t>
      </w:r>
      <w:r w:rsidRPr="004B0EC7">
        <w:rPr>
          <w:rFonts w:ascii="Times New Roman" w:hAnsi="Times New Roman" w:cs="Times New Roman"/>
          <w:sz w:val="24"/>
          <w:u w:val="none"/>
          <w:lang w:val="en-GB"/>
        </w:rPr>
        <w:tab/>
      </w:r>
      <w:r w:rsidR="000B0B09" w:rsidRPr="004B0EC7">
        <w:rPr>
          <w:rFonts w:ascii="Times New Roman" w:hAnsi="Times New Roman" w:cs="Times New Roman"/>
          <w:sz w:val="24"/>
          <w:lang w:val="en-GB"/>
        </w:rPr>
        <w:t>General Remarks</w:t>
      </w:r>
      <w:bookmarkEnd w:id="131"/>
      <w:bookmarkEnd w:id="132"/>
      <w:bookmarkEnd w:id="133"/>
      <w:bookmarkEnd w:id="134"/>
      <w:bookmarkEnd w:id="135"/>
      <w:bookmarkEnd w:id="136"/>
      <w:bookmarkEnd w:id="137"/>
    </w:p>
    <w:p w14:paraId="441FA19A" w14:textId="38802150" w:rsidR="000B0B09" w:rsidRPr="004B0EC7" w:rsidRDefault="008F3052" w:rsidP="00660845">
      <w:pPr>
        <w:pStyle w:val="InstructionsText2"/>
        <w:numPr>
          <w:ilvl w:val="0"/>
          <w:numId w:val="0"/>
        </w:numPr>
        <w:ind w:left="993"/>
      </w:pPr>
      <w:r w:rsidRPr="004B0EC7">
        <w:fldChar w:fldCharType="begin"/>
      </w:r>
      <w:r w:rsidRPr="004B0EC7">
        <w:instrText>seq paragraphs</w:instrText>
      </w:r>
      <w:r w:rsidRPr="004B0EC7">
        <w:fldChar w:fldCharType="separate"/>
      </w:r>
      <w:r w:rsidR="00771068" w:rsidRPr="004B0EC7">
        <w:rPr>
          <w:noProof/>
        </w:rPr>
        <w:t>173</w:t>
      </w:r>
      <w:r w:rsidRPr="004B0EC7">
        <w:fldChar w:fldCharType="end"/>
      </w:r>
      <w:r w:rsidR="00125707" w:rsidRPr="004B0EC7">
        <w:t>.</w:t>
      </w:r>
      <w:r w:rsidR="00125707" w:rsidRPr="004B0EC7">
        <w:tab/>
      </w:r>
      <w:r w:rsidR="005C14B0" w:rsidRPr="004B0EC7">
        <w:t xml:space="preserve"> </w:t>
      </w:r>
      <w:r w:rsidR="000B0B09" w:rsidRPr="004B0EC7">
        <w:t xml:space="preserve">This template request information on the positions in commodities and the corresponding own funds requirements treated under the </w:t>
      </w:r>
      <w:r w:rsidR="00CA21CA" w:rsidRPr="004B0EC7">
        <w:t>Standardised Approach</w:t>
      </w:r>
      <w:r w:rsidR="000B0B09" w:rsidRPr="004B0EC7">
        <w:t>.</w:t>
      </w:r>
    </w:p>
    <w:p w14:paraId="0C8765B1" w14:textId="16F4CE7F" w:rsidR="000B0B09" w:rsidRPr="004B0EC7" w:rsidRDefault="00125707" w:rsidP="0023700C">
      <w:pPr>
        <w:pStyle w:val="Instructionsberschrift2"/>
        <w:numPr>
          <w:ilvl w:val="0"/>
          <w:numId w:val="0"/>
        </w:numPr>
        <w:ind w:left="357" w:hanging="357"/>
        <w:rPr>
          <w:rFonts w:ascii="Times New Roman" w:hAnsi="Times New Roman" w:cs="Times New Roman"/>
          <w:sz w:val="24"/>
          <w:lang w:val="en-GB"/>
        </w:rPr>
      </w:pPr>
      <w:bookmarkStart w:id="138" w:name="_Toc262566437"/>
      <w:bookmarkStart w:id="139" w:name="_Toc295830013"/>
      <w:bookmarkStart w:id="140" w:name="_Toc308426690"/>
      <w:bookmarkStart w:id="141" w:name="_Toc310415074"/>
      <w:bookmarkStart w:id="142" w:name="_Toc360188409"/>
      <w:bookmarkStart w:id="143" w:name="_Toc473561049"/>
      <w:bookmarkStart w:id="144" w:name="_Toc151714503"/>
      <w:r w:rsidRPr="004B0EC7">
        <w:rPr>
          <w:rFonts w:ascii="Times New Roman" w:hAnsi="Times New Roman" w:cs="Times New Roman"/>
          <w:sz w:val="24"/>
          <w:u w:val="none"/>
          <w:lang w:val="en-GB"/>
        </w:rPr>
        <w:lastRenderedPageBreak/>
        <w:t>5.6.2.</w:t>
      </w:r>
      <w:r w:rsidRPr="004B0EC7">
        <w:rPr>
          <w:rFonts w:ascii="Times New Roman" w:hAnsi="Times New Roman" w:cs="Times New Roman"/>
          <w:sz w:val="24"/>
          <w:u w:val="none"/>
          <w:lang w:val="en-GB"/>
        </w:rPr>
        <w:tab/>
      </w:r>
      <w:r w:rsidR="000B0B09" w:rsidRPr="004B0EC7">
        <w:rPr>
          <w:rFonts w:ascii="Times New Roman" w:hAnsi="Times New Roman" w:cs="Times New Roman"/>
          <w:sz w:val="24"/>
          <w:lang w:val="en-GB"/>
        </w:rPr>
        <w:t>Instructions concerning specific positions</w:t>
      </w:r>
      <w:bookmarkEnd w:id="138"/>
      <w:bookmarkEnd w:id="139"/>
      <w:bookmarkEnd w:id="140"/>
      <w:bookmarkEnd w:id="141"/>
      <w:bookmarkEnd w:id="142"/>
      <w:bookmarkEnd w:id="143"/>
      <w:bookmarkEnd w:id="1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7876"/>
      </w:tblGrid>
      <w:tr w:rsidR="000B0B09" w:rsidRPr="004B0EC7" w14:paraId="7440A91F" w14:textId="77777777" w:rsidTr="00672D2A">
        <w:trPr>
          <w:trHeight w:val="591"/>
        </w:trPr>
        <w:tc>
          <w:tcPr>
            <w:tcW w:w="8862" w:type="dxa"/>
            <w:gridSpan w:val="2"/>
            <w:shd w:val="clear" w:color="auto" w:fill="CCCCCC"/>
          </w:tcPr>
          <w:p w14:paraId="4154FB7C" w14:textId="77777777" w:rsidR="000B0B09" w:rsidRPr="004B0EC7" w:rsidRDefault="000B0B09" w:rsidP="000B0B09">
            <w:pPr>
              <w:autoSpaceDE w:val="0"/>
              <w:autoSpaceDN w:val="0"/>
              <w:adjustRightInd w:val="0"/>
              <w:spacing w:after="0"/>
              <w:rPr>
                <w:rFonts w:ascii="Times New Roman" w:hAnsi="Times New Roman"/>
                <w:b/>
                <w:sz w:val="24"/>
                <w:lang w:eastAsia="nl-BE"/>
              </w:rPr>
            </w:pPr>
            <w:r w:rsidRPr="004B0EC7">
              <w:rPr>
                <w:rFonts w:ascii="Times New Roman" w:hAnsi="Times New Roman"/>
                <w:b/>
                <w:sz w:val="24"/>
                <w:lang w:eastAsia="nl-BE"/>
              </w:rPr>
              <w:t>Columns</w:t>
            </w:r>
          </w:p>
        </w:tc>
      </w:tr>
      <w:tr w:rsidR="000B0B09" w:rsidRPr="004B0EC7" w14:paraId="12CECACA" w14:textId="77777777" w:rsidTr="00672D2A">
        <w:tc>
          <w:tcPr>
            <w:tcW w:w="986" w:type="dxa"/>
          </w:tcPr>
          <w:p w14:paraId="6FA50BBC" w14:textId="77777777" w:rsidR="000B0B09" w:rsidRPr="004B0EC7" w:rsidRDefault="002F79EA" w:rsidP="00B74792">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010-</w:t>
            </w:r>
            <w:r w:rsidRPr="004B0EC7">
              <w:rPr>
                <w:rFonts w:ascii="Times New Roman" w:hAnsi="Times New Roman"/>
                <w:sz w:val="24"/>
                <w:lang w:eastAsia="nl-BE"/>
              </w:rPr>
              <w:t>0</w:t>
            </w:r>
            <w:r w:rsidR="000B0B09" w:rsidRPr="004B0EC7">
              <w:rPr>
                <w:rFonts w:ascii="Times New Roman" w:hAnsi="Times New Roman"/>
                <w:sz w:val="24"/>
                <w:lang w:eastAsia="nl-BE"/>
              </w:rPr>
              <w:t>020</w:t>
            </w:r>
          </w:p>
        </w:tc>
        <w:tc>
          <w:tcPr>
            <w:tcW w:w="7876" w:type="dxa"/>
          </w:tcPr>
          <w:p w14:paraId="29C026B5"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All POSITIONS (LONG AND SHORT)</w:t>
            </w:r>
          </w:p>
          <w:p w14:paraId="4B99A786"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p>
          <w:p w14:paraId="60BC9B3E" w14:textId="0520F9FF" w:rsidR="000B0B09" w:rsidRPr="004B0EC7" w:rsidRDefault="000B0B09" w:rsidP="000B0B09">
            <w:pPr>
              <w:autoSpaceDE w:val="0"/>
              <w:autoSpaceDN w:val="0"/>
              <w:adjustRightInd w:val="0"/>
              <w:spacing w:before="0" w:after="0"/>
              <w:rPr>
                <w:rFonts w:ascii="Times New Roman" w:hAnsi="Times New Roman"/>
                <w:sz w:val="24"/>
                <w:lang w:eastAsia="de-DE"/>
              </w:rPr>
            </w:pPr>
            <w:r w:rsidRPr="004B0EC7">
              <w:rPr>
                <w:rFonts w:ascii="Times New Roman" w:hAnsi="Times New Roman"/>
                <w:sz w:val="24"/>
                <w:lang w:eastAsia="de-DE"/>
              </w:rPr>
              <w:t xml:space="preserve">Gross long/short positions considered positions in the same commodity </w:t>
            </w:r>
            <w:r w:rsidR="00BB22D4" w:rsidRPr="004B0EC7">
              <w:rPr>
                <w:rFonts w:ascii="Times New Roman" w:hAnsi="Times New Roman"/>
                <w:sz w:val="24"/>
                <w:lang w:eastAsia="de-DE"/>
              </w:rPr>
              <w:t>in accordance with</w:t>
            </w:r>
            <w:r w:rsidRPr="004B0EC7">
              <w:rPr>
                <w:rFonts w:ascii="Times New Roman" w:hAnsi="Times New Roman"/>
                <w:sz w:val="24"/>
                <w:lang w:eastAsia="de-DE"/>
              </w:rPr>
              <w:t xml:space="preserve"> Article 357(</w:t>
            </w:r>
            <w:r w:rsidR="00D1690D" w:rsidRPr="004B0EC7">
              <w:rPr>
                <w:rFonts w:ascii="Times New Roman" w:hAnsi="Times New Roman"/>
                <w:sz w:val="24"/>
                <w:lang w:eastAsia="de-DE"/>
              </w:rPr>
              <w:t>4</w:t>
            </w:r>
            <w:r w:rsidRPr="004B0EC7">
              <w:rPr>
                <w:rFonts w:ascii="Times New Roman" w:hAnsi="Times New Roman"/>
                <w:sz w:val="24"/>
                <w:lang w:eastAsia="de-DE"/>
              </w:rPr>
              <w:t xml:space="preserve">) </w:t>
            </w:r>
            <w:r w:rsidR="006E347B" w:rsidRPr="004B0EC7">
              <w:rPr>
                <w:rFonts w:ascii="Times New Roman" w:hAnsi="Times New Roman"/>
                <w:sz w:val="24"/>
                <w:lang w:val="en-US"/>
              </w:rPr>
              <w:t>of Regulation (EU) No 575/2013</w:t>
            </w:r>
            <w:r w:rsidRPr="004B0EC7">
              <w:rPr>
                <w:rFonts w:ascii="Times New Roman" w:hAnsi="Times New Roman"/>
                <w:sz w:val="24"/>
                <w:lang w:eastAsia="de-DE"/>
              </w:rPr>
              <w:t xml:space="preserve"> (see also Article 359(1) </w:t>
            </w:r>
            <w:r w:rsidR="006E347B" w:rsidRPr="004B0EC7">
              <w:rPr>
                <w:rFonts w:ascii="Times New Roman" w:hAnsi="Times New Roman"/>
                <w:sz w:val="24"/>
                <w:lang w:val="en-US"/>
              </w:rPr>
              <w:t>of Regulation (EU) No 575/2013</w:t>
            </w:r>
            <w:r w:rsidRPr="004B0EC7">
              <w:rPr>
                <w:rFonts w:ascii="Times New Roman" w:hAnsi="Times New Roman"/>
                <w:sz w:val="24"/>
                <w:lang w:eastAsia="de-DE"/>
              </w:rPr>
              <w:t>)</w:t>
            </w:r>
          </w:p>
          <w:p w14:paraId="3E9C7204" w14:textId="77777777" w:rsidR="000B0B09" w:rsidRPr="004B0EC7" w:rsidRDefault="000B0B09"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de-DE"/>
              </w:rPr>
              <w:t xml:space="preserve"> </w:t>
            </w:r>
          </w:p>
        </w:tc>
      </w:tr>
      <w:tr w:rsidR="000B0B09" w:rsidRPr="004B0EC7" w14:paraId="4AB4396B" w14:textId="77777777" w:rsidTr="00672D2A">
        <w:tc>
          <w:tcPr>
            <w:tcW w:w="986" w:type="dxa"/>
          </w:tcPr>
          <w:p w14:paraId="224657DD" w14:textId="77777777" w:rsidR="000B0B09" w:rsidRPr="004B0EC7" w:rsidRDefault="002F79EA" w:rsidP="00B74792">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030</w:t>
            </w:r>
            <w:r w:rsidR="00B74792" w:rsidRPr="004B0EC7">
              <w:rPr>
                <w:rFonts w:ascii="Times New Roman" w:hAnsi="Times New Roman"/>
                <w:sz w:val="24"/>
                <w:lang w:eastAsia="nl-BE"/>
              </w:rPr>
              <w:t>-</w:t>
            </w:r>
            <w:r w:rsidRPr="004B0EC7">
              <w:rPr>
                <w:rFonts w:ascii="Times New Roman" w:hAnsi="Times New Roman"/>
                <w:sz w:val="24"/>
                <w:lang w:eastAsia="nl-BE"/>
              </w:rPr>
              <w:t>0</w:t>
            </w:r>
            <w:r w:rsidR="000B0B09" w:rsidRPr="004B0EC7">
              <w:rPr>
                <w:rFonts w:ascii="Times New Roman" w:hAnsi="Times New Roman"/>
                <w:sz w:val="24"/>
                <w:lang w:eastAsia="nl-BE"/>
              </w:rPr>
              <w:t xml:space="preserve">040 </w:t>
            </w:r>
          </w:p>
        </w:tc>
        <w:tc>
          <w:tcPr>
            <w:tcW w:w="7876" w:type="dxa"/>
          </w:tcPr>
          <w:p w14:paraId="7FA580C3"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NET POSITIONS (LONG AND SHORT)</w:t>
            </w:r>
          </w:p>
          <w:p w14:paraId="0B49C3FC" w14:textId="77777777" w:rsidR="000B0B09" w:rsidRPr="004B0EC7" w:rsidRDefault="000B0B09" w:rsidP="000B0B09">
            <w:pPr>
              <w:autoSpaceDE w:val="0"/>
              <w:autoSpaceDN w:val="0"/>
              <w:adjustRightInd w:val="0"/>
              <w:spacing w:before="0" w:after="0"/>
              <w:rPr>
                <w:rFonts w:ascii="Times New Roman" w:hAnsi="Times New Roman"/>
                <w:sz w:val="24"/>
                <w:lang w:eastAsia="de-DE"/>
              </w:rPr>
            </w:pPr>
          </w:p>
          <w:p w14:paraId="27F059DD" w14:textId="5D2358BE" w:rsidR="000B0B09" w:rsidRPr="004B0EC7" w:rsidRDefault="000B0B09" w:rsidP="001A0143">
            <w:pPr>
              <w:autoSpaceDE w:val="0"/>
              <w:autoSpaceDN w:val="0"/>
              <w:adjustRightInd w:val="0"/>
              <w:spacing w:before="0"/>
              <w:rPr>
                <w:rFonts w:ascii="Times New Roman" w:hAnsi="Times New Roman"/>
                <w:sz w:val="24"/>
                <w:lang w:eastAsia="nl-BE"/>
              </w:rPr>
            </w:pPr>
            <w:r w:rsidRPr="004B0EC7">
              <w:rPr>
                <w:rFonts w:ascii="Times New Roman" w:hAnsi="Times New Roman"/>
                <w:sz w:val="24"/>
                <w:lang w:eastAsia="de-DE"/>
              </w:rPr>
              <w:t>As defined in Article 357(</w:t>
            </w:r>
            <w:r w:rsidR="00D1690D" w:rsidRPr="004B0EC7">
              <w:rPr>
                <w:rFonts w:ascii="Times New Roman" w:hAnsi="Times New Roman"/>
                <w:sz w:val="24"/>
                <w:lang w:eastAsia="de-DE"/>
              </w:rPr>
              <w:t>3</w:t>
            </w:r>
            <w:r w:rsidRPr="004B0EC7">
              <w:rPr>
                <w:rFonts w:ascii="Times New Roman" w:hAnsi="Times New Roman"/>
                <w:sz w:val="24"/>
                <w:lang w:eastAsia="de-DE"/>
              </w:rPr>
              <w:t xml:space="preserve">) </w:t>
            </w:r>
            <w:r w:rsidR="006E347B" w:rsidRPr="004B0EC7">
              <w:rPr>
                <w:rFonts w:ascii="Times New Roman" w:hAnsi="Times New Roman"/>
                <w:sz w:val="24"/>
                <w:lang w:val="en-US"/>
              </w:rPr>
              <w:t>of Regulation (EU) No 575/2013</w:t>
            </w:r>
            <w:r w:rsidRPr="004B0EC7">
              <w:rPr>
                <w:rFonts w:ascii="Times New Roman" w:hAnsi="Times New Roman"/>
                <w:sz w:val="24"/>
                <w:lang w:eastAsia="de-DE"/>
              </w:rPr>
              <w:t xml:space="preserve"> </w:t>
            </w:r>
          </w:p>
        </w:tc>
      </w:tr>
      <w:tr w:rsidR="000B0B09" w:rsidRPr="004B0EC7" w14:paraId="0A46320C" w14:textId="77777777" w:rsidTr="00672D2A">
        <w:tc>
          <w:tcPr>
            <w:tcW w:w="986" w:type="dxa"/>
          </w:tcPr>
          <w:p w14:paraId="7F0B984E"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050</w:t>
            </w:r>
          </w:p>
        </w:tc>
        <w:tc>
          <w:tcPr>
            <w:tcW w:w="7876" w:type="dxa"/>
          </w:tcPr>
          <w:p w14:paraId="7ADEF1C0"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de-DE"/>
              </w:rPr>
            </w:pPr>
            <w:r w:rsidRPr="004B0EC7">
              <w:rPr>
                <w:rFonts w:ascii="Times New Roman" w:hAnsi="Times New Roman"/>
                <w:b/>
                <w:bCs/>
                <w:sz w:val="24"/>
                <w:u w:val="single"/>
                <w:lang w:eastAsia="de-DE"/>
              </w:rPr>
              <w:t>POSITIONS SUBJECT TO CAPITAL CHARGE</w:t>
            </w:r>
          </w:p>
          <w:p w14:paraId="55ED580C" w14:textId="77777777" w:rsidR="000B0B09" w:rsidRPr="004B0EC7" w:rsidRDefault="000B0B09" w:rsidP="000B0B09">
            <w:pPr>
              <w:autoSpaceDE w:val="0"/>
              <w:autoSpaceDN w:val="0"/>
              <w:adjustRightInd w:val="0"/>
              <w:spacing w:before="0" w:after="0"/>
              <w:rPr>
                <w:rFonts w:ascii="Times New Roman" w:hAnsi="Times New Roman"/>
                <w:sz w:val="24"/>
                <w:lang w:eastAsia="de-DE"/>
              </w:rPr>
            </w:pPr>
          </w:p>
          <w:p w14:paraId="0D57A399" w14:textId="09B8F7C1" w:rsidR="000B0B09" w:rsidRPr="004B0EC7" w:rsidRDefault="000B0B09" w:rsidP="000B0B09">
            <w:pPr>
              <w:autoSpaceDE w:val="0"/>
              <w:autoSpaceDN w:val="0"/>
              <w:adjustRightInd w:val="0"/>
              <w:spacing w:before="0" w:after="0"/>
              <w:rPr>
                <w:rFonts w:ascii="Times New Roman" w:hAnsi="Times New Roman"/>
                <w:sz w:val="24"/>
                <w:lang w:eastAsia="de-DE"/>
              </w:rPr>
            </w:pPr>
            <w:r w:rsidRPr="004B0EC7">
              <w:rPr>
                <w:rFonts w:ascii="Times New Roman" w:hAnsi="Times New Roman"/>
                <w:sz w:val="24"/>
                <w:lang w:eastAsia="de-DE"/>
              </w:rPr>
              <w:t xml:space="preserve">Those net positions that, </w:t>
            </w:r>
            <w:r w:rsidR="00BB22D4" w:rsidRPr="004B0EC7">
              <w:rPr>
                <w:rFonts w:ascii="Times New Roman" w:hAnsi="Times New Roman"/>
                <w:sz w:val="24"/>
                <w:lang w:eastAsia="de-DE"/>
              </w:rPr>
              <w:t>in accordance with</w:t>
            </w:r>
            <w:r w:rsidRPr="004B0EC7">
              <w:rPr>
                <w:rFonts w:ascii="Times New Roman" w:hAnsi="Times New Roman"/>
                <w:sz w:val="24"/>
                <w:lang w:eastAsia="de-DE"/>
              </w:rPr>
              <w:t xml:space="preserve"> the different approaches considered in </w:t>
            </w:r>
            <w:r w:rsidR="00F372AF" w:rsidRPr="004B0EC7">
              <w:rPr>
                <w:rFonts w:ascii="Times New Roman" w:hAnsi="Times New Roman"/>
                <w:sz w:val="24"/>
                <w:lang w:eastAsia="de-DE"/>
              </w:rPr>
              <w:t xml:space="preserve">Part Three, Title IV, Chapter 4 </w:t>
            </w:r>
            <w:r w:rsidR="006E347B" w:rsidRPr="004B0EC7">
              <w:rPr>
                <w:rFonts w:ascii="Times New Roman" w:hAnsi="Times New Roman"/>
                <w:sz w:val="24"/>
                <w:lang w:val="en-US"/>
              </w:rPr>
              <w:t>of Regulation (EU) No 575/2013</w:t>
            </w:r>
            <w:r w:rsidRPr="004B0EC7">
              <w:rPr>
                <w:rFonts w:ascii="Times New Roman" w:hAnsi="Times New Roman"/>
                <w:sz w:val="24"/>
                <w:lang w:eastAsia="de-DE"/>
              </w:rPr>
              <w:t xml:space="preserve"> receive a capital charge</w:t>
            </w:r>
            <w:r w:rsidR="002F79EA" w:rsidRPr="004B0EC7">
              <w:rPr>
                <w:rFonts w:ascii="Times New Roman" w:hAnsi="Times New Roman"/>
                <w:sz w:val="24"/>
                <w:lang w:eastAsia="de-DE"/>
              </w:rPr>
              <w:t>.</w:t>
            </w:r>
          </w:p>
          <w:p w14:paraId="762BD2E2"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4B0EC7" w14:paraId="637B5E6C" w14:textId="77777777" w:rsidTr="00672D2A">
        <w:tc>
          <w:tcPr>
            <w:tcW w:w="986" w:type="dxa"/>
          </w:tcPr>
          <w:p w14:paraId="41FAB945"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060</w:t>
            </w:r>
          </w:p>
        </w:tc>
        <w:tc>
          <w:tcPr>
            <w:tcW w:w="7876" w:type="dxa"/>
          </w:tcPr>
          <w:p w14:paraId="4AA26DC6" w14:textId="579AC514"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OWN FUNDS REQUIREMENTS</w:t>
            </w:r>
            <w:r w:rsidR="006E23F2" w:rsidRPr="004B0EC7">
              <w:rPr>
                <w:rFonts w:ascii="Times New Roman" w:hAnsi="Times New Roman"/>
                <w:b/>
                <w:bCs/>
                <w:sz w:val="24"/>
                <w:u w:val="single"/>
                <w:lang w:eastAsia="nl-BE"/>
              </w:rPr>
              <w:t xml:space="preserve"> BEFORE APPLICATION OF SCALING FACTORS</w:t>
            </w:r>
          </w:p>
          <w:p w14:paraId="545A195F"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p>
          <w:p w14:paraId="1F8C468D" w14:textId="605A5C51" w:rsidR="000B0B09" w:rsidRPr="004B0EC7" w:rsidRDefault="000B0B09" w:rsidP="00A2757B">
            <w:pPr>
              <w:autoSpaceDE w:val="0"/>
              <w:autoSpaceDN w:val="0"/>
              <w:adjustRightInd w:val="0"/>
              <w:spacing w:before="0"/>
              <w:rPr>
                <w:rFonts w:ascii="Times New Roman" w:hAnsi="Times New Roman"/>
                <w:b/>
                <w:bCs/>
                <w:sz w:val="24"/>
                <w:u w:val="single"/>
                <w:lang w:eastAsia="nl-BE"/>
              </w:rPr>
            </w:pPr>
            <w:r w:rsidRPr="004B0EC7">
              <w:rPr>
                <w:rFonts w:ascii="Times New Roman" w:hAnsi="Times New Roman"/>
                <w:sz w:val="24"/>
                <w:lang w:eastAsia="de-DE"/>
              </w:rPr>
              <w:t xml:space="preserve">The </w:t>
            </w:r>
            <w:r w:rsidR="00A2757B" w:rsidRPr="004B0EC7">
              <w:rPr>
                <w:rFonts w:ascii="Times New Roman" w:hAnsi="Times New Roman"/>
                <w:sz w:val="24"/>
                <w:lang w:eastAsia="de-DE"/>
              </w:rPr>
              <w:t>own funds requirement</w:t>
            </w:r>
            <w:r w:rsidRPr="004B0EC7">
              <w:rPr>
                <w:rFonts w:ascii="Times New Roman" w:hAnsi="Times New Roman"/>
                <w:sz w:val="24"/>
                <w:lang w:eastAsia="de-DE"/>
              </w:rPr>
              <w:t xml:space="preserve"> </w:t>
            </w:r>
            <w:r w:rsidR="001A0143" w:rsidRPr="004B0EC7">
              <w:rPr>
                <w:rFonts w:ascii="Times New Roman" w:hAnsi="Times New Roman"/>
                <w:sz w:val="24"/>
                <w:lang w:eastAsia="de-DE"/>
              </w:rPr>
              <w:t xml:space="preserve">calculated </w:t>
            </w:r>
            <w:r w:rsidR="00BB22D4" w:rsidRPr="004B0EC7">
              <w:rPr>
                <w:rFonts w:ascii="Times New Roman" w:hAnsi="Times New Roman"/>
                <w:sz w:val="24"/>
                <w:lang w:eastAsia="de-DE"/>
              </w:rPr>
              <w:t>in accordance with</w:t>
            </w:r>
            <w:r w:rsidRPr="004B0EC7">
              <w:rPr>
                <w:rFonts w:ascii="Times New Roman" w:hAnsi="Times New Roman"/>
                <w:sz w:val="24"/>
                <w:lang w:eastAsia="de-DE"/>
              </w:rPr>
              <w:t xml:space="preserve"> </w:t>
            </w:r>
            <w:r w:rsidR="00F372AF" w:rsidRPr="004B0EC7">
              <w:rPr>
                <w:rFonts w:ascii="Times New Roman" w:hAnsi="Times New Roman"/>
                <w:sz w:val="24"/>
                <w:lang w:eastAsia="de-DE"/>
              </w:rPr>
              <w:t xml:space="preserve">Part Three, Title IV, Chapter 4 </w:t>
            </w:r>
            <w:r w:rsidR="006E347B" w:rsidRPr="004B0EC7">
              <w:rPr>
                <w:rFonts w:ascii="Times New Roman" w:hAnsi="Times New Roman"/>
                <w:sz w:val="24"/>
                <w:lang w:val="en-US"/>
              </w:rPr>
              <w:t>of Regulation (EU) No 575/2013</w:t>
            </w:r>
            <w:r w:rsidR="00A2757B" w:rsidRPr="004B0EC7">
              <w:rPr>
                <w:rFonts w:ascii="Times New Roman" w:hAnsi="Times New Roman"/>
                <w:sz w:val="24"/>
                <w:lang w:eastAsia="de-DE"/>
              </w:rPr>
              <w:t xml:space="preserve"> for any relevant position</w:t>
            </w:r>
            <w:r w:rsidR="00BE6C8F" w:rsidRPr="004B0EC7">
              <w:rPr>
                <w:rFonts w:ascii="Times New Roman" w:hAnsi="Times New Roman"/>
                <w:sz w:val="24"/>
                <w:lang w:eastAsia="de-DE"/>
              </w:rPr>
              <w:t>, before the application of the scaling factor in accordance with Article 325(2)</w:t>
            </w:r>
            <w:r w:rsidR="00AE047C" w:rsidRPr="004B0EC7">
              <w:rPr>
                <w:rFonts w:ascii="Times New Roman" w:hAnsi="Times New Roman"/>
                <w:sz w:val="24"/>
                <w:lang w:eastAsia="de-DE"/>
              </w:rPr>
              <w:t xml:space="preserve"> of that Regulation.</w:t>
            </w:r>
          </w:p>
        </w:tc>
      </w:tr>
      <w:tr w:rsidR="000B0B09" w:rsidRPr="004B0EC7" w14:paraId="380AB4E0" w14:textId="77777777" w:rsidTr="00672D2A">
        <w:tc>
          <w:tcPr>
            <w:tcW w:w="986" w:type="dxa"/>
          </w:tcPr>
          <w:p w14:paraId="0EE22EDA" w14:textId="671C9C7F"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070</w:t>
            </w:r>
          </w:p>
        </w:tc>
        <w:tc>
          <w:tcPr>
            <w:tcW w:w="7876" w:type="dxa"/>
          </w:tcPr>
          <w:p w14:paraId="162C1DF7" w14:textId="77777777" w:rsidR="000B0B09" w:rsidRPr="004B0EC7"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TOTAL RISK EXPOSURE AMOUNT</w:t>
            </w:r>
          </w:p>
          <w:p w14:paraId="35864C1F" w14:textId="77777777" w:rsidR="000B0B09" w:rsidRPr="004B0EC7" w:rsidRDefault="000B0B09" w:rsidP="000B0B09">
            <w:pPr>
              <w:tabs>
                <w:tab w:val="left" w:pos="1665"/>
              </w:tabs>
              <w:autoSpaceDE w:val="0"/>
              <w:autoSpaceDN w:val="0"/>
              <w:adjustRightInd w:val="0"/>
              <w:spacing w:before="0" w:after="0"/>
              <w:rPr>
                <w:rFonts w:ascii="Times New Roman" w:hAnsi="Times New Roman"/>
                <w:b/>
                <w:bCs/>
                <w:sz w:val="24"/>
                <w:u w:val="single"/>
                <w:lang w:eastAsia="nl-BE"/>
              </w:rPr>
            </w:pPr>
          </w:p>
          <w:p w14:paraId="7C230E5C" w14:textId="173EE7A5" w:rsidR="00A2757B" w:rsidRPr="004B0EC7" w:rsidRDefault="000B0B09" w:rsidP="001A0143">
            <w:pPr>
              <w:tabs>
                <w:tab w:val="left" w:pos="1665"/>
              </w:tabs>
              <w:autoSpaceDE w:val="0"/>
              <w:autoSpaceDN w:val="0"/>
              <w:adjustRightInd w:val="0"/>
              <w:spacing w:before="0"/>
              <w:rPr>
                <w:rFonts w:ascii="Times New Roman" w:hAnsi="Times New Roman"/>
                <w:sz w:val="24"/>
                <w:lang w:eastAsia="de-DE"/>
              </w:rPr>
            </w:pPr>
            <w:r w:rsidRPr="004B0EC7">
              <w:rPr>
                <w:rFonts w:ascii="Times New Roman" w:hAnsi="Times New Roman"/>
                <w:sz w:val="24"/>
                <w:lang w:eastAsia="de-DE"/>
              </w:rPr>
              <w:t>Article 92(4)</w:t>
            </w:r>
            <w:r w:rsidR="00B83DDE" w:rsidRPr="004B0EC7">
              <w:rPr>
                <w:rFonts w:ascii="Times New Roman" w:hAnsi="Times New Roman"/>
                <w:sz w:val="24"/>
                <w:lang w:eastAsia="de-DE"/>
              </w:rPr>
              <w:t>, p</w:t>
            </w:r>
            <w:r w:rsidR="00070113" w:rsidRPr="004B0EC7">
              <w:rPr>
                <w:rFonts w:ascii="Times New Roman" w:hAnsi="Times New Roman"/>
                <w:sz w:val="24"/>
              </w:rPr>
              <w:t>oint (</w:t>
            </w:r>
            <w:r w:rsidR="00D4503D" w:rsidRPr="004B0EC7">
              <w:rPr>
                <w:rFonts w:ascii="Times New Roman" w:hAnsi="Times New Roman"/>
                <w:sz w:val="24"/>
              </w:rPr>
              <w:t>c</w:t>
            </w:r>
            <w:r w:rsidR="00070113" w:rsidRPr="004B0EC7">
              <w:rPr>
                <w:rFonts w:ascii="Times New Roman" w:hAnsi="Times New Roman"/>
                <w:sz w:val="24"/>
              </w:rPr>
              <w:t>)</w:t>
            </w:r>
            <w:r w:rsidR="00BE1277" w:rsidRPr="004B0EC7">
              <w:rPr>
                <w:rFonts w:ascii="Times New Roman" w:hAnsi="Times New Roman"/>
                <w:sz w:val="24"/>
              </w:rPr>
              <w:t>,</w:t>
            </w:r>
            <w:r w:rsidR="00070113" w:rsidRPr="004B0EC7">
              <w:rPr>
                <w:rFonts w:ascii="Times New Roman" w:hAnsi="Times New Roman"/>
                <w:sz w:val="24"/>
              </w:rPr>
              <w:t xml:space="preserve"> </w:t>
            </w:r>
            <w:r w:rsidR="006E347B" w:rsidRPr="004B0EC7">
              <w:rPr>
                <w:rFonts w:ascii="Times New Roman" w:hAnsi="Times New Roman"/>
                <w:sz w:val="24"/>
                <w:lang w:val="en-US"/>
              </w:rPr>
              <w:t>of Regulation (EU) No 575/2013</w:t>
            </w:r>
            <w:r w:rsidR="005C14B0" w:rsidRPr="004B0EC7">
              <w:rPr>
                <w:rFonts w:ascii="Times New Roman" w:hAnsi="Times New Roman"/>
                <w:sz w:val="24"/>
                <w:lang w:eastAsia="de-DE"/>
              </w:rPr>
              <w:t xml:space="preserve">. </w:t>
            </w:r>
          </w:p>
          <w:p w14:paraId="67EADC1A" w14:textId="634950C6" w:rsidR="000B0B09" w:rsidRPr="004B0EC7" w:rsidRDefault="000B0B09" w:rsidP="001A0143">
            <w:pPr>
              <w:tabs>
                <w:tab w:val="left" w:pos="1665"/>
              </w:tabs>
              <w:autoSpaceDE w:val="0"/>
              <w:autoSpaceDN w:val="0"/>
              <w:adjustRightInd w:val="0"/>
              <w:spacing w:before="0"/>
              <w:rPr>
                <w:rFonts w:ascii="Times New Roman" w:hAnsi="Times New Roman"/>
                <w:b/>
                <w:bCs/>
                <w:sz w:val="24"/>
                <w:u w:val="single"/>
                <w:lang w:eastAsia="nl-BE"/>
              </w:rPr>
            </w:pPr>
            <w:r w:rsidRPr="004B0EC7">
              <w:rPr>
                <w:rFonts w:ascii="Times New Roman" w:hAnsi="Times New Roman"/>
                <w:sz w:val="24"/>
                <w:lang w:eastAsia="de-DE"/>
              </w:rPr>
              <w:t xml:space="preserve">Result of the multiplication of the own funds requirements </w:t>
            </w:r>
            <w:r w:rsidR="00D21B29" w:rsidRPr="004B0EC7">
              <w:rPr>
                <w:rFonts w:ascii="Times New Roman" w:hAnsi="Times New Roman"/>
                <w:sz w:val="24"/>
                <w:lang w:eastAsia="de-DE"/>
              </w:rPr>
              <w:t xml:space="preserve">by </w:t>
            </w:r>
            <w:r w:rsidRPr="004B0EC7">
              <w:rPr>
                <w:rFonts w:ascii="Times New Roman" w:hAnsi="Times New Roman"/>
                <w:sz w:val="24"/>
                <w:lang w:eastAsia="de-DE"/>
              </w:rPr>
              <w:t>12</w:t>
            </w:r>
            <w:r w:rsidR="001A0143" w:rsidRPr="004B0EC7">
              <w:rPr>
                <w:rFonts w:ascii="Times New Roman" w:hAnsi="Times New Roman"/>
                <w:sz w:val="24"/>
                <w:lang w:eastAsia="de-DE"/>
              </w:rPr>
              <w:t>,</w:t>
            </w:r>
            <w:r w:rsidRPr="004B0EC7">
              <w:rPr>
                <w:rFonts w:ascii="Times New Roman" w:hAnsi="Times New Roman"/>
                <w:sz w:val="24"/>
                <w:lang w:eastAsia="de-DE"/>
              </w:rPr>
              <w:t>5</w:t>
            </w:r>
            <w:r w:rsidR="00AE047C" w:rsidRPr="004B0EC7">
              <w:rPr>
                <w:rFonts w:ascii="Times New Roman" w:hAnsi="Times New Roman"/>
                <w:sz w:val="24"/>
                <w:lang w:eastAsia="de-DE"/>
              </w:rPr>
              <w:t xml:space="preserve"> in accordance with Article 92(</w:t>
            </w:r>
            <w:r w:rsidR="007F28A6" w:rsidRPr="004B0EC7">
              <w:rPr>
                <w:rFonts w:ascii="Times New Roman" w:hAnsi="Times New Roman"/>
                <w:sz w:val="24"/>
                <w:lang w:eastAsia="de-DE"/>
              </w:rPr>
              <w:t>6</w:t>
            </w:r>
            <w:r w:rsidR="00AE047C" w:rsidRPr="004B0EC7">
              <w:rPr>
                <w:rFonts w:ascii="Times New Roman" w:hAnsi="Times New Roman"/>
                <w:sz w:val="24"/>
                <w:lang w:eastAsia="de-DE"/>
              </w:rPr>
              <w:t>), point (b), of Regulation (EU) No 575/2013</w:t>
            </w:r>
            <w:r w:rsidR="0045361B" w:rsidRPr="004B0EC7">
              <w:rPr>
                <w:rFonts w:ascii="Times New Roman" w:hAnsi="Times New Roman"/>
                <w:sz w:val="24"/>
                <w:lang w:eastAsia="de-DE"/>
              </w:rPr>
              <w:t>,</w:t>
            </w:r>
            <w:r w:rsidR="00FC7DC2" w:rsidRPr="004B0EC7">
              <w:rPr>
                <w:rFonts w:ascii="Times New Roman" w:hAnsi="Times New Roman"/>
                <w:sz w:val="24"/>
                <w:lang w:eastAsia="de-DE"/>
              </w:rPr>
              <w:t xml:space="preserve"> and by the scaling factor in accordance with Article 325(2), point (c), of that Regulation.</w:t>
            </w:r>
          </w:p>
        </w:tc>
      </w:tr>
    </w:tbl>
    <w:p w14:paraId="0DC9D0A4" w14:textId="77777777" w:rsidR="000B0B09" w:rsidRPr="004B0EC7" w:rsidRDefault="000B0B09" w:rsidP="000B0B09">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4B0EC7" w14:paraId="0386B5FC" w14:textId="77777777" w:rsidTr="00672D2A">
        <w:trPr>
          <w:trHeight w:val="483"/>
        </w:trPr>
        <w:tc>
          <w:tcPr>
            <w:tcW w:w="8862" w:type="dxa"/>
            <w:gridSpan w:val="2"/>
            <w:shd w:val="clear" w:color="auto" w:fill="CCCCCC"/>
          </w:tcPr>
          <w:p w14:paraId="1255E033" w14:textId="77777777" w:rsidR="000B0B09" w:rsidRPr="004B0EC7" w:rsidRDefault="000B0B09" w:rsidP="000B0B09">
            <w:pPr>
              <w:autoSpaceDE w:val="0"/>
              <w:autoSpaceDN w:val="0"/>
              <w:adjustRightInd w:val="0"/>
              <w:spacing w:after="0"/>
              <w:rPr>
                <w:rFonts w:ascii="Times New Roman" w:hAnsi="Times New Roman"/>
                <w:b/>
                <w:sz w:val="24"/>
                <w:lang w:eastAsia="nl-BE"/>
              </w:rPr>
            </w:pPr>
            <w:r w:rsidRPr="004B0EC7">
              <w:rPr>
                <w:rFonts w:ascii="Times New Roman" w:hAnsi="Times New Roman"/>
                <w:b/>
                <w:sz w:val="24"/>
                <w:lang w:eastAsia="nl-BE"/>
              </w:rPr>
              <w:t>Rows</w:t>
            </w:r>
          </w:p>
        </w:tc>
      </w:tr>
      <w:tr w:rsidR="000B0B09" w:rsidRPr="004B0EC7" w14:paraId="3F19FB75" w14:textId="77777777" w:rsidTr="00672D2A">
        <w:tc>
          <w:tcPr>
            <w:tcW w:w="987" w:type="dxa"/>
          </w:tcPr>
          <w:p w14:paraId="62003386"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010</w:t>
            </w:r>
          </w:p>
        </w:tc>
        <w:tc>
          <w:tcPr>
            <w:tcW w:w="7875" w:type="dxa"/>
          </w:tcPr>
          <w:p w14:paraId="3CC5979D" w14:textId="77777777" w:rsidR="000B0B09" w:rsidRPr="004B0EC7" w:rsidRDefault="000B0B09" w:rsidP="000B0B09">
            <w:pPr>
              <w:autoSpaceDE w:val="0"/>
              <w:autoSpaceDN w:val="0"/>
              <w:adjustRightInd w:val="0"/>
              <w:spacing w:before="0" w:after="0"/>
              <w:rPr>
                <w:rFonts w:ascii="Times New Roman" w:hAnsi="Times New Roman"/>
                <w:b/>
                <w:bCs/>
                <w:sz w:val="24"/>
                <w:u w:val="single"/>
              </w:rPr>
            </w:pPr>
            <w:r w:rsidRPr="004B0EC7">
              <w:rPr>
                <w:rFonts w:ascii="Times New Roman" w:hAnsi="Times New Roman"/>
                <w:b/>
                <w:bCs/>
                <w:sz w:val="24"/>
                <w:u w:val="single"/>
              </w:rPr>
              <w:t>TOTAL POSITIONS IN COMMODITIES</w:t>
            </w:r>
          </w:p>
          <w:p w14:paraId="03562626" w14:textId="77777777" w:rsidR="000B0B09" w:rsidRPr="004B0EC7" w:rsidRDefault="000B0B09" w:rsidP="000B0B09">
            <w:pPr>
              <w:autoSpaceDE w:val="0"/>
              <w:autoSpaceDN w:val="0"/>
              <w:adjustRightInd w:val="0"/>
              <w:spacing w:before="0" w:after="0"/>
              <w:rPr>
                <w:rFonts w:ascii="Times New Roman" w:hAnsi="Times New Roman"/>
                <w:sz w:val="24"/>
              </w:rPr>
            </w:pPr>
          </w:p>
          <w:p w14:paraId="1B02378E" w14:textId="27789902" w:rsidR="000B0B09" w:rsidRPr="004B0EC7" w:rsidRDefault="000B0B09" w:rsidP="00070113">
            <w:pPr>
              <w:autoSpaceDE w:val="0"/>
              <w:autoSpaceDN w:val="0"/>
              <w:adjustRightInd w:val="0"/>
              <w:spacing w:before="0"/>
              <w:rPr>
                <w:rFonts w:ascii="Times New Roman" w:hAnsi="Times New Roman"/>
                <w:sz w:val="24"/>
                <w:lang w:eastAsia="nl-BE"/>
              </w:rPr>
            </w:pPr>
            <w:r w:rsidRPr="004B0EC7">
              <w:rPr>
                <w:rFonts w:ascii="Times New Roman" w:hAnsi="Times New Roman"/>
                <w:sz w:val="24"/>
              </w:rPr>
              <w:t xml:space="preserve">Positions in commodities and their correspondent own funds requirements for market risk </w:t>
            </w:r>
            <w:r w:rsidR="001A0143" w:rsidRPr="004B0EC7">
              <w:rPr>
                <w:rFonts w:ascii="Times New Roman" w:hAnsi="Times New Roman"/>
                <w:sz w:val="24"/>
              </w:rPr>
              <w:t xml:space="preserve">calculated </w:t>
            </w:r>
            <w:r w:rsidR="00BB22D4" w:rsidRPr="004B0EC7">
              <w:rPr>
                <w:rFonts w:ascii="Times New Roman" w:hAnsi="Times New Roman"/>
                <w:sz w:val="24"/>
              </w:rPr>
              <w:t>in accordance with</w:t>
            </w:r>
            <w:r w:rsidRPr="004B0EC7">
              <w:rPr>
                <w:rFonts w:ascii="Times New Roman" w:hAnsi="Times New Roman"/>
                <w:sz w:val="24"/>
              </w:rPr>
              <w:t xml:space="preserve"> </w:t>
            </w:r>
            <w:r w:rsidR="00D21B29" w:rsidRPr="004B0EC7">
              <w:rPr>
                <w:rFonts w:ascii="Times New Roman" w:hAnsi="Times New Roman"/>
                <w:sz w:val="24"/>
              </w:rPr>
              <w:t>Article</w:t>
            </w:r>
            <w:r w:rsidRPr="004B0EC7">
              <w:rPr>
                <w:rFonts w:ascii="Times New Roman" w:hAnsi="Times New Roman"/>
                <w:sz w:val="24"/>
              </w:rPr>
              <w:t xml:space="preserve"> 92(</w:t>
            </w:r>
            <w:r w:rsidR="00665343" w:rsidRPr="004B0EC7">
              <w:rPr>
                <w:rFonts w:ascii="Times New Roman" w:hAnsi="Times New Roman"/>
                <w:sz w:val="24"/>
              </w:rPr>
              <w:t>4</w:t>
            </w:r>
            <w:r w:rsidRPr="004B0EC7">
              <w:rPr>
                <w:rFonts w:ascii="Times New Roman" w:hAnsi="Times New Roman"/>
                <w:sz w:val="24"/>
              </w:rPr>
              <w:t>)</w:t>
            </w:r>
            <w:r w:rsidR="00B83DDE" w:rsidRPr="004B0EC7">
              <w:rPr>
                <w:rFonts w:ascii="Times New Roman" w:hAnsi="Times New Roman"/>
                <w:sz w:val="24"/>
              </w:rPr>
              <w:t>, p</w:t>
            </w:r>
            <w:r w:rsidR="00070113" w:rsidRPr="004B0EC7">
              <w:rPr>
                <w:rFonts w:ascii="Times New Roman" w:hAnsi="Times New Roman"/>
                <w:sz w:val="24"/>
              </w:rPr>
              <w:t>oint (c)</w:t>
            </w:r>
            <w:r w:rsidR="0027437C" w:rsidRPr="004B0EC7">
              <w:rPr>
                <w:rFonts w:ascii="Times New Roman" w:hAnsi="Times New Roman"/>
                <w:sz w:val="24"/>
              </w:rPr>
              <w:t>,</w:t>
            </w:r>
            <w:r w:rsidR="00070113" w:rsidRPr="004B0EC7">
              <w:rPr>
                <w:rFonts w:ascii="Times New Roman" w:hAnsi="Times New Roman"/>
                <w:sz w:val="24"/>
              </w:rPr>
              <w:t xml:space="preserve"> </w:t>
            </w:r>
            <w:r w:rsidR="006E347B" w:rsidRPr="004B0EC7">
              <w:rPr>
                <w:rFonts w:ascii="Times New Roman" w:hAnsi="Times New Roman"/>
                <w:sz w:val="24"/>
                <w:lang w:val="en-US"/>
              </w:rPr>
              <w:t>of Regulation (EU) No 575/2013</w:t>
            </w:r>
            <w:r w:rsidRPr="004B0EC7">
              <w:rPr>
                <w:rFonts w:ascii="Times New Roman" w:hAnsi="Times New Roman"/>
                <w:sz w:val="24"/>
              </w:rPr>
              <w:t xml:space="preserve"> and </w:t>
            </w:r>
            <w:r w:rsidR="005C14B0" w:rsidRPr="004B0EC7">
              <w:rPr>
                <w:rFonts w:ascii="Times New Roman" w:hAnsi="Times New Roman"/>
                <w:sz w:val="24"/>
                <w:lang w:eastAsia="de-DE"/>
              </w:rPr>
              <w:t>Part Three</w:t>
            </w:r>
            <w:r w:rsidR="00070113" w:rsidRPr="004B0EC7">
              <w:rPr>
                <w:rFonts w:ascii="Times New Roman" w:hAnsi="Times New Roman"/>
                <w:sz w:val="24"/>
                <w:lang w:eastAsia="de-DE"/>
              </w:rPr>
              <w:t>,</w:t>
            </w:r>
            <w:r w:rsidR="005C14B0" w:rsidRPr="004B0EC7">
              <w:rPr>
                <w:rFonts w:ascii="Times New Roman" w:hAnsi="Times New Roman"/>
                <w:sz w:val="24"/>
                <w:lang w:eastAsia="de-DE"/>
              </w:rPr>
              <w:t xml:space="preserve"> </w:t>
            </w:r>
            <w:r w:rsidR="00070113" w:rsidRPr="004B0EC7">
              <w:rPr>
                <w:rFonts w:ascii="Times New Roman" w:hAnsi="Times New Roman"/>
                <w:sz w:val="24"/>
                <w:lang w:eastAsia="de-DE"/>
              </w:rPr>
              <w:t xml:space="preserve">Title IV, Chapter 4 </w:t>
            </w:r>
            <w:r w:rsidR="006E347B" w:rsidRPr="004B0EC7">
              <w:rPr>
                <w:rFonts w:ascii="Times New Roman" w:hAnsi="Times New Roman"/>
                <w:sz w:val="24"/>
                <w:lang w:val="en-US"/>
              </w:rPr>
              <w:t xml:space="preserve">of </w:t>
            </w:r>
            <w:r w:rsidR="0027437C" w:rsidRPr="004B0EC7">
              <w:rPr>
                <w:rFonts w:ascii="Times New Roman" w:hAnsi="Times New Roman"/>
                <w:sz w:val="24"/>
                <w:lang w:val="en-US"/>
              </w:rPr>
              <w:t xml:space="preserve">that </w:t>
            </w:r>
            <w:r w:rsidR="006E347B" w:rsidRPr="004B0EC7">
              <w:rPr>
                <w:rFonts w:ascii="Times New Roman" w:hAnsi="Times New Roman"/>
                <w:sz w:val="24"/>
                <w:lang w:val="en-US"/>
              </w:rPr>
              <w:t>Regulation</w:t>
            </w:r>
            <w:r w:rsidRPr="004B0EC7">
              <w:rPr>
                <w:rFonts w:ascii="Times New Roman" w:hAnsi="Times New Roman"/>
                <w:sz w:val="24"/>
              </w:rPr>
              <w:t xml:space="preserve"> </w:t>
            </w:r>
          </w:p>
        </w:tc>
      </w:tr>
      <w:tr w:rsidR="000B0B09" w:rsidRPr="004B0EC7" w14:paraId="216F1AEE" w14:textId="77777777" w:rsidTr="00672D2A">
        <w:tc>
          <w:tcPr>
            <w:tcW w:w="987" w:type="dxa"/>
          </w:tcPr>
          <w:p w14:paraId="62D08C2C" w14:textId="77777777" w:rsidR="000B0B09" w:rsidRPr="004B0EC7" w:rsidRDefault="002F79EA" w:rsidP="00B74792">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020</w:t>
            </w:r>
            <w:r w:rsidR="00B74792" w:rsidRPr="004B0EC7">
              <w:rPr>
                <w:rFonts w:ascii="Times New Roman" w:hAnsi="Times New Roman"/>
                <w:sz w:val="24"/>
                <w:lang w:eastAsia="nl-BE"/>
              </w:rPr>
              <w:t>-</w:t>
            </w:r>
            <w:r w:rsidRPr="004B0EC7">
              <w:rPr>
                <w:rFonts w:ascii="Times New Roman" w:hAnsi="Times New Roman"/>
                <w:sz w:val="24"/>
                <w:lang w:eastAsia="nl-BE"/>
              </w:rPr>
              <w:t>0</w:t>
            </w:r>
            <w:r w:rsidR="000B0B09" w:rsidRPr="004B0EC7">
              <w:rPr>
                <w:rFonts w:ascii="Times New Roman" w:hAnsi="Times New Roman"/>
                <w:sz w:val="24"/>
                <w:lang w:eastAsia="nl-BE"/>
              </w:rPr>
              <w:t>060</w:t>
            </w:r>
          </w:p>
        </w:tc>
        <w:tc>
          <w:tcPr>
            <w:tcW w:w="7875" w:type="dxa"/>
          </w:tcPr>
          <w:p w14:paraId="759E5790"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POSITIONS BY CATEGORY OF COMMODITY</w:t>
            </w:r>
          </w:p>
          <w:p w14:paraId="56921883" w14:textId="77777777" w:rsidR="000B0B09" w:rsidRPr="004B0EC7" w:rsidRDefault="000B0B09" w:rsidP="000B0B09">
            <w:pPr>
              <w:autoSpaceDE w:val="0"/>
              <w:autoSpaceDN w:val="0"/>
              <w:adjustRightInd w:val="0"/>
              <w:spacing w:before="0" w:after="0"/>
              <w:rPr>
                <w:rFonts w:ascii="Times New Roman" w:hAnsi="Times New Roman"/>
                <w:sz w:val="24"/>
                <w:lang w:eastAsia="de-DE"/>
              </w:rPr>
            </w:pPr>
          </w:p>
          <w:p w14:paraId="3DC33454" w14:textId="05CBF891" w:rsidR="000B0B09" w:rsidRPr="004B0EC7" w:rsidRDefault="000B0B09" w:rsidP="000B0B09">
            <w:pPr>
              <w:autoSpaceDE w:val="0"/>
              <w:autoSpaceDN w:val="0"/>
              <w:adjustRightInd w:val="0"/>
              <w:spacing w:before="0" w:after="0"/>
              <w:rPr>
                <w:rFonts w:ascii="Times New Roman" w:hAnsi="Times New Roman"/>
                <w:sz w:val="24"/>
              </w:rPr>
            </w:pPr>
            <w:r w:rsidRPr="004B0EC7">
              <w:rPr>
                <w:rFonts w:ascii="Times New Roman" w:hAnsi="Times New Roman"/>
                <w:sz w:val="24"/>
              </w:rPr>
              <w:t>For reporting purposes</w:t>
            </w:r>
            <w:r w:rsidR="001A0143" w:rsidRPr="004B0EC7">
              <w:rPr>
                <w:rFonts w:ascii="Times New Roman" w:hAnsi="Times New Roman"/>
                <w:sz w:val="24"/>
              </w:rPr>
              <w:t>,</w:t>
            </w:r>
            <w:r w:rsidRPr="004B0EC7">
              <w:rPr>
                <w:rFonts w:ascii="Times New Roman" w:hAnsi="Times New Roman"/>
                <w:sz w:val="24"/>
              </w:rPr>
              <w:t xml:space="preserve"> commodities </w:t>
            </w:r>
            <w:r w:rsidR="005C14B0" w:rsidRPr="004B0EC7">
              <w:rPr>
                <w:rFonts w:ascii="Times New Roman" w:hAnsi="Times New Roman"/>
                <w:sz w:val="24"/>
              </w:rPr>
              <w:t xml:space="preserve">shall be </w:t>
            </w:r>
            <w:r w:rsidRPr="004B0EC7">
              <w:rPr>
                <w:rFonts w:ascii="Times New Roman" w:hAnsi="Times New Roman"/>
                <w:sz w:val="24"/>
              </w:rPr>
              <w:t>grouped in the four groups of commodities referred to in Article 361</w:t>
            </w:r>
            <w:r w:rsidR="00070113" w:rsidRPr="004B0EC7">
              <w:rPr>
                <w:rFonts w:ascii="Times New Roman" w:hAnsi="Times New Roman"/>
                <w:sz w:val="24"/>
              </w:rPr>
              <w:t>,</w:t>
            </w:r>
            <w:r w:rsidRPr="004B0EC7">
              <w:rPr>
                <w:rFonts w:ascii="Times New Roman" w:hAnsi="Times New Roman"/>
                <w:sz w:val="24"/>
              </w:rPr>
              <w:t xml:space="preserve"> </w:t>
            </w:r>
            <w:r w:rsidR="00070113" w:rsidRPr="004B0EC7">
              <w:rPr>
                <w:rFonts w:ascii="Times New Roman" w:hAnsi="Times New Roman"/>
                <w:sz w:val="24"/>
              </w:rPr>
              <w:t>Table 2</w:t>
            </w:r>
            <w:r w:rsidR="006E347B" w:rsidRPr="004B0EC7">
              <w:rPr>
                <w:rFonts w:ascii="Times New Roman" w:hAnsi="Times New Roman"/>
                <w:sz w:val="24"/>
                <w:lang w:val="en-US"/>
              </w:rPr>
              <w:t xml:space="preserve"> of Regulation (EU) No 575/2013</w:t>
            </w:r>
            <w:r w:rsidRPr="004B0EC7">
              <w:rPr>
                <w:rFonts w:ascii="Times New Roman" w:hAnsi="Times New Roman"/>
                <w:sz w:val="24"/>
              </w:rPr>
              <w:t>.</w:t>
            </w:r>
          </w:p>
          <w:p w14:paraId="04BB5316" w14:textId="77777777" w:rsidR="000B0B09" w:rsidRPr="004B0EC7" w:rsidRDefault="000B0B09"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rPr>
              <w:t xml:space="preserve"> </w:t>
            </w:r>
          </w:p>
        </w:tc>
      </w:tr>
      <w:tr w:rsidR="000B0B09" w:rsidRPr="004B0EC7" w14:paraId="50CBB22D" w14:textId="77777777" w:rsidTr="00672D2A">
        <w:tc>
          <w:tcPr>
            <w:tcW w:w="987" w:type="dxa"/>
          </w:tcPr>
          <w:p w14:paraId="3E68EF2F"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070</w:t>
            </w:r>
          </w:p>
        </w:tc>
        <w:tc>
          <w:tcPr>
            <w:tcW w:w="7875" w:type="dxa"/>
          </w:tcPr>
          <w:p w14:paraId="5AACA5EE"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de-DE"/>
              </w:rPr>
            </w:pPr>
            <w:r w:rsidRPr="004B0EC7">
              <w:rPr>
                <w:rFonts w:ascii="Times New Roman" w:hAnsi="Times New Roman"/>
                <w:b/>
                <w:bCs/>
                <w:sz w:val="24"/>
                <w:u w:val="single"/>
                <w:lang w:eastAsia="de-DE"/>
              </w:rPr>
              <w:t>MATURITY LADDER APPROACH</w:t>
            </w:r>
          </w:p>
          <w:p w14:paraId="2C667CB8" w14:textId="77777777" w:rsidR="000B0B09" w:rsidRPr="004B0EC7" w:rsidRDefault="000B0B09" w:rsidP="000B0B09">
            <w:pPr>
              <w:autoSpaceDE w:val="0"/>
              <w:autoSpaceDN w:val="0"/>
              <w:adjustRightInd w:val="0"/>
              <w:spacing w:before="0" w:after="0"/>
              <w:rPr>
                <w:rFonts w:ascii="Times New Roman" w:hAnsi="Times New Roman"/>
                <w:sz w:val="24"/>
                <w:lang w:eastAsia="de-DE"/>
              </w:rPr>
            </w:pPr>
          </w:p>
          <w:p w14:paraId="72CB6FD7" w14:textId="0EBD6A78" w:rsidR="000B0B09" w:rsidRPr="004B0EC7" w:rsidRDefault="000B0B09" w:rsidP="000B0B09">
            <w:pPr>
              <w:autoSpaceDE w:val="0"/>
              <w:autoSpaceDN w:val="0"/>
              <w:adjustRightInd w:val="0"/>
              <w:spacing w:before="0" w:after="0"/>
              <w:rPr>
                <w:rFonts w:ascii="Times New Roman" w:hAnsi="Times New Roman"/>
                <w:sz w:val="24"/>
              </w:rPr>
            </w:pPr>
            <w:r w:rsidRPr="004B0EC7">
              <w:rPr>
                <w:rFonts w:ascii="Times New Roman" w:hAnsi="Times New Roman"/>
                <w:sz w:val="24"/>
              </w:rPr>
              <w:lastRenderedPageBreak/>
              <w:t xml:space="preserve">Positions in commodities subject to the </w:t>
            </w:r>
            <w:r w:rsidR="001A0143" w:rsidRPr="004B0EC7">
              <w:rPr>
                <w:rFonts w:ascii="Times New Roman" w:hAnsi="Times New Roman"/>
                <w:sz w:val="24"/>
              </w:rPr>
              <w:t>m</w:t>
            </w:r>
            <w:r w:rsidRPr="004B0EC7">
              <w:rPr>
                <w:rFonts w:ascii="Times New Roman" w:hAnsi="Times New Roman"/>
                <w:sz w:val="24"/>
              </w:rPr>
              <w:t xml:space="preserve">aturity </w:t>
            </w:r>
            <w:r w:rsidR="001A0143" w:rsidRPr="004B0EC7">
              <w:rPr>
                <w:rFonts w:ascii="Times New Roman" w:hAnsi="Times New Roman"/>
                <w:sz w:val="24"/>
              </w:rPr>
              <w:t>l</w:t>
            </w:r>
            <w:r w:rsidRPr="004B0EC7">
              <w:rPr>
                <w:rFonts w:ascii="Times New Roman" w:hAnsi="Times New Roman"/>
                <w:sz w:val="24"/>
              </w:rPr>
              <w:t xml:space="preserve">adder approach referred to in Article 359 </w:t>
            </w:r>
            <w:r w:rsidR="006E347B" w:rsidRPr="004B0EC7">
              <w:rPr>
                <w:rFonts w:ascii="Times New Roman" w:hAnsi="Times New Roman"/>
                <w:sz w:val="24"/>
                <w:lang w:val="en-US"/>
              </w:rPr>
              <w:t>of Regulation (EU) No 575/2013</w:t>
            </w:r>
          </w:p>
          <w:p w14:paraId="018E7283"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4B0EC7" w14:paraId="1D4187B0" w14:textId="77777777" w:rsidTr="00672D2A">
        <w:tc>
          <w:tcPr>
            <w:tcW w:w="987" w:type="dxa"/>
          </w:tcPr>
          <w:p w14:paraId="317F5718"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lastRenderedPageBreak/>
              <w:t>0</w:t>
            </w:r>
            <w:r w:rsidR="000B0B09" w:rsidRPr="004B0EC7">
              <w:rPr>
                <w:rFonts w:ascii="Times New Roman" w:hAnsi="Times New Roman"/>
                <w:sz w:val="24"/>
                <w:lang w:eastAsia="nl-BE"/>
              </w:rPr>
              <w:t>080</w:t>
            </w:r>
          </w:p>
        </w:tc>
        <w:tc>
          <w:tcPr>
            <w:tcW w:w="7875" w:type="dxa"/>
          </w:tcPr>
          <w:p w14:paraId="7D3D047D"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de-DE"/>
              </w:rPr>
            </w:pPr>
            <w:r w:rsidRPr="004B0EC7">
              <w:rPr>
                <w:rFonts w:ascii="Times New Roman" w:hAnsi="Times New Roman"/>
                <w:b/>
                <w:bCs/>
                <w:sz w:val="24"/>
                <w:u w:val="single"/>
                <w:lang w:eastAsia="de-DE"/>
              </w:rPr>
              <w:t>EXTENDED MATURITY LADDER APPROACH</w:t>
            </w:r>
          </w:p>
          <w:p w14:paraId="28E22845" w14:textId="77777777" w:rsidR="000B0B09" w:rsidRPr="004B0EC7" w:rsidRDefault="000B0B09" w:rsidP="000B0B09">
            <w:pPr>
              <w:autoSpaceDE w:val="0"/>
              <w:autoSpaceDN w:val="0"/>
              <w:adjustRightInd w:val="0"/>
              <w:spacing w:before="0" w:after="0"/>
              <w:rPr>
                <w:rFonts w:ascii="Times New Roman" w:hAnsi="Times New Roman"/>
                <w:sz w:val="24"/>
                <w:lang w:eastAsia="de-DE"/>
              </w:rPr>
            </w:pPr>
          </w:p>
          <w:p w14:paraId="072FB876" w14:textId="13AA387E" w:rsidR="000B0B09" w:rsidRPr="004B0EC7" w:rsidRDefault="000B0B09" w:rsidP="000B0B09">
            <w:pPr>
              <w:autoSpaceDE w:val="0"/>
              <w:autoSpaceDN w:val="0"/>
              <w:adjustRightInd w:val="0"/>
              <w:spacing w:before="0" w:after="0"/>
              <w:rPr>
                <w:rFonts w:ascii="Times New Roman" w:hAnsi="Times New Roman"/>
                <w:sz w:val="24"/>
              </w:rPr>
            </w:pPr>
            <w:r w:rsidRPr="004B0EC7">
              <w:rPr>
                <w:rFonts w:ascii="Times New Roman" w:hAnsi="Times New Roman"/>
                <w:sz w:val="24"/>
              </w:rPr>
              <w:t xml:space="preserve">Positions in commodities subject to the </w:t>
            </w:r>
            <w:r w:rsidR="001A0143" w:rsidRPr="004B0EC7">
              <w:rPr>
                <w:rFonts w:ascii="Times New Roman" w:hAnsi="Times New Roman"/>
                <w:sz w:val="24"/>
              </w:rPr>
              <w:t>e</w:t>
            </w:r>
            <w:r w:rsidRPr="004B0EC7">
              <w:rPr>
                <w:rFonts w:ascii="Times New Roman" w:hAnsi="Times New Roman"/>
                <w:sz w:val="24"/>
              </w:rPr>
              <w:t xml:space="preserve">xtended </w:t>
            </w:r>
            <w:r w:rsidR="001A0143" w:rsidRPr="004B0EC7">
              <w:rPr>
                <w:rFonts w:ascii="Times New Roman" w:hAnsi="Times New Roman"/>
                <w:sz w:val="24"/>
              </w:rPr>
              <w:t>m</w:t>
            </w:r>
            <w:r w:rsidRPr="004B0EC7">
              <w:rPr>
                <w:rFonts w:ascii="Times New Roman" w:hAnsi="Times New Roman"/>
                <w:sz w:val="24"/>
              </w:rPr>
              <w:t xml:space="preserve">aturity </w:t>
            </w:r>
            <w:r w:rsidR="001A0143" w:rsidRPr="004B0EC7">
              <w:rPr>
                <w:rFonts w:ascii="Times New Roman" w:hAnsi="Times New Roman"/>
                <w:sz w:val="24"/>
              </w:rPr>
              <w:t>l</w:t>
            </w:r>
            <w:r w:rsidRPr="004B0EC7">
              <w:rPr>
                <w:rFonts w:ascii="Times New Roman" w:hAnsi="Times New Roman"/>
                <w:sz w:val="24"/>
              </w:rPr>
              <w:t xml:space="preserve">adder approach referred to in Article 361 </w:t>
            </w:r>
            <w:r w:rsidR="006E347B" w:rsidRPr="004B0EC7">
              <w:rPr>
                <w:rFonts w:ascii="Times New Roman" w:hAnsi="Times New Roman"/>
                <w:sz w:val="24"/>
                <w:lang w:val="en-US"/>
              </w:rPr>
              <w:t>of Regulation (EU) No 575/2013</w:t>
            </w:r>
          </w:p>
          <w:p w14:paraId="4CC42EBB"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4B0EC7" w14:paraId="08D8BBC0" w14:textId="77777777" w:rsidTr="00672D2A">
        <w:tc>
          <w:tcPr>
            <w:tcW w:w="987" w:type="dxa"/>
          </w:tcPr>
          <w:p w14:paraId="75FF36E9"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090</w:t>
            </w:r>
          </w:p>
        </w:tc>
        <w:tc>
          <w:tcPr>
            <w:tcW w:w="7875" w:type="dxa"/>
          </w:tcPr>
          <w:p w14:paraId="5AEA8FE4"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SIMPLIFIED APPROACH</w:t>
            </w:r>
          </w:p>
          <w:p w14:paraId="739EF26B"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p>
          <w:p w14:paraId="33C6F5D9" w14:textId="7485AEDA" w:rsidR="000B0B09" w:rsidRPr="004B0EC7" w:rsidRDefault="000B0B09" w:rsidP="000B0B09">
            <w:pPr>
              <w:autoSpaceDE w:val="0"/>
              <w:autoSpaceDN w:val="0"/>
              <w:adjustRightInd w:val="0"/>
              <w:spacing w:before="0" w:after="0"/>
              <w:rPr>
                <w:rFonts w:ascii="Times New Roman" w:hAnsi="Times New Roman"/>
                <w:sz w:val="24"/>
              </w:rPr>
            </w:pPr>
            <w:r w:rsidRPr="004B0EC7">
              <w:rPr>
                <w:rFonts w:ascii="Times New Roman" w:hAnsi="Times New Roman"/>
                <w:sz w:val="24"/>
              </w:rPr>
              <w:t xml:space="preserve">Positions in commodities subject to the </w:t>
            </w:r>
            <w:r w:rsidR="001A0143" w:rsidRPr="004B0EC7">
              <w:rPr>
                <w:rFonts w:ascii="Times New Roman" w:hAnsi="Times New Roman"/>
                <w:sz w:val="24"/>
              </w:rPr>
              <w:t>s</w:t>
            </w:r>
            <w:r w:rsidRPr="004B0EC7">
              <w:rPr>
                <w:rFonts w:ascii="Times New Roman" w:hAnsi="Times New Roman"/>
                <w:sz w:val="24"/>
              </w:rPr>
              <w:t>implified approach</w:t>
            </w:r>
            <w:r w:rsidR="00402284" w:rsidRPr="004B0EC7">
              <w:rPr>
                <w:rFonts w:ascii="Times New Roman" w:hAnsi="Times New Roman"/>
                <w:sz w:val="24"/>
              </w:rPr>
              <w:t xml:space="preserve"> </w:t>
            </w:r>
            <w:r w:rsidRPr="004B0EC7">
              <w:rPr>
                <w:rFonts w:ascii="Times New Roman" w:hAnsi="Times New Roman"/>
                <w:sz w:val="24"/>
              </w:rPr>
              <w:t xml:space="preserve">referred to in Article 360 </w:t>
            </w:r>
            <w:r w:rsidR="006E347B" w:rsidRPr="004B0EC7">
              <w:rPr>
                <w:rFonts w:ascii="Times New Roman" w:hAnsi="Times New Roman"/>
                <w:sz w:val="24"/>
                <w:lang w:val="en-US"/>
              </w:rPr>
              <w:t>of Regulation (EU) No 575/2013</w:t>
            </w:r>
            <w:r w:rsidRPr="004B0EC7">
              <w:rPr>
                <w:rFonts w:ascii="Times New Roman" w:hAnsi="Times New Roman"/>
                <w:sz w:val="24"/>
              </w:rPr>
              <w:t xml:space="preserve"> </w:t>
            </w:r>
          </w:p>
          <w:p w14:paraId="72D24CC9"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4B0EC7" w14:paraId="46AF081D" w14:textId="77777777" w:rsidTr="00672D2A">
        <w:tc>
          <w:tcPr>
            <w:tcW w:w="987" w:type="dxa"/>
          </w:tcPr>
          <w:p w14:paraId="7DA76A9F"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100-</w:t>
            </w:r>
            <w:r w:rsidRPr="004B0EC7">
              <w:rPr>
                <w:rFonts w:ascii="Times New Roman" w:hAnsi="Times New Roman"/>
                <w:sz w:val="24"/>
                <w:lang w:eastAsia="nl-BE"/>
              </w:rPr>
              <w:t>0</w:t>
            </w:r>
            <w:r w:rsidR="000B0B09" w:rsidRPr="004B0EC7">
              <w:rPr>
                <w:rFonts w:ascii="Times New Roman" w:hAnsi="Times New Roman"/>
                <w:sz w:val="24"/>
                <w:lang w:eastAsia="nl-BE"/>
              </w:rPr>
              <w:t>140</w:t>
            </w:r>
          </w:p>
        </w:tc>
        <w:tc>
          <w:tcPr>
            <w:tcW w:w="7875" w:type="dxa"/>
          </w:tcPr>
          <w:p w14:paraId="1AB2469B"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Style w:val="InstructionsTabelleberschrift"/>
                <w:rFonts w:ascii="Times New Roman" w:hAnsi="Times New Roman"/>
                <w:sz w:val="24"/>
              </w:rPr>
              <w:t>ADDITIONAL REQUIREMENTS FOR OPTIONS (NON-DELTA RISKS)</w:t>
            </w:r>
          </w:p>
          <w:p w14:paraId="444B7110" w14:textId="08585130" w:rsidR="000B0B09" w:rsidRPr="004B0EC7" w:rsidRDefault="000B0B09" w:rsidP="001A0143">
            <w:pPr>
              <w:autoSpaceDE w:val="0"/>
              <w:autoSpaceDN w:val="0"/>
              <w:adjustRightInd w:val="0"/>
              <w:rPr>
                <w:rFonts w:ascii="Times New Roman" w:hAnsi="Times New Roman"/>
                <w:sz w:val="24"/>
                <w:lang w:eastAsia="de-DE"/>
              </w:rPr>
            </w:pPr>
            <w:r w:rsidRPr="004B0EC7">
              <w:rPr>
                <w:rFonts w:ascii="Times New Roman" w:hAnsi="Times New Roman"/>
                <w:sz w:val="24"/>
                <w:lang w:eastAsia="de-DE"/>
              </w:rPr>
              <w:t xml:space="preserve">Article 358(4) </w:t>
            </w:r>
            <w:r w:rsidR="006E347B" w:rsidRPr="004B0EC7">
              <w:rPr>
                <w:rFonts w:ascii="Times New Roman" w:hAnsi="Times New Roman"/>
                <w:sz w:val="24"/>
                <w:lang w:val="en-US"/>
              </w:rPr>
              <w:t>of Regulation (EU) No 575/2013</w:t>
            </w:r>
            <w:r w:rsidRPr="004B0EC7">
              <w:rPr>
                <w:rFonts w:ascii="Times New Roman" w:hAnsi="Times New Roman"/>
                <w:sz w:val="24"/>
                <w:lang w:eastAsia="de-DE"/>
              </w:rPr>
              <w:t xml:space="preserve"> </w:t>
            </w:r>
          </w:p>
          <w:p w14:paraId="1D3D5AF7" w14:textId="77777777" w:rsidR="000B0B09" w:rsidRPr="004B0EC7" w:rsidRDefault="000B0B09" w:rsidP="000B0B09">
            <w:pPr>
              <w:autoSpaceDE w:val="0"/>
              <w:autoSpaceDN w:val="0"/>
              <w:adjustRightInd w:val="0"/>
              <w:spacing w:before="0" w:after="0"/>
              <w:rPr>
                <w:rFonts w:ascii="Times New Roman" w:hAnsi="Times New Roman"/>
                <w:sz w:val="24"/>
                <w:lang w:eastAsia="de-DE"/>
              </w:rPr>
            </w:pPr>
            <w:r w:rsidRPr="004B0EC7">
              <w:rPr>
                <w:rFonts w:ascii="Times New Roman" w:hAnsi="Times New Roman"/>
                <w:sz w:val="24"/>
                <w:lang w:eastAsia="de-DE"/>
              </w:rPr>
              <w:t>The additional requirements for options related to non-delta risks shall be reported in the method used for its calculation</w:t>
            </w:r>
            <w:r w:rsidR="005C14B0" w:rsidRPr="004B0EC7">
              <w:rPr>
                <w:rFonts w:ascii="Times New Roman" w:hAnsi="Times New Roman"/>
                <w:sz w:val="24"/>
                <w:lang w:eastAsia="de-DE"/>
              </w:rPr>
              <w:t>.</w:t>
            </w:r>
          </w:p>
          <w:p w14:paraId="55D77BA3" w14:textId="77777777" w:rsidR="000B0B09" w:rsidRPr="004B0EC7" w:rsidRDefault="000B0B09" w:rsidP="000B0B09">
            <w:pPr>
              <w:autoSpaceDE w:val="0"/>
              <w:autoSpaceDN w:val="0"/>
              <w:adjustRightInd w:val="0"/>
              <w:spacing w:before="0" w:after="0"/>
              <w:rPr>
                <w:rFonts w:ascii="Times New Roman" w:hAnsi="Times New Roman"/>
                <w:sz w:val="24"/>
                <w:lang w:eastAsia="de-DE"/>
              </w:rPr>
            </w:pPr>
          </w:p>
        </w:tc>
      </w:tr>
    </w:tbl>
    <w:p w14:paraId="43D70997" w14:textId="77777777" w:rsidR="000B0B09" w:rsidRPr="004B0EC7" w:rsidRDefault="000B0B09" w:rsidP="000B0B09">
      <w:pPr>
        <w:rPr>
          <w:rFonts w:ascii="Times New Roman" w:hAnsi="Times New Roman"/>
          <w:sz w:val="24"/>
        </w:rPr>
      </w:pPr>
    </w:p>
    <w:p w14:paraId="2B97C384" w14:textId="77777777" w:rsidR="000B0B09" w:rsidRPr="004B0EC7" w:rsidRDefault="00125707" w:rsidP="0023700C">
      <w:pPr>
        <w:pStyle w:val="Instructionsberschrift2"/>
        <w:numPr>
          <w:ilvl w:val="0"/>
          <w:numId w:val="0"/>
        </w:numPr>
        <w:ind w:left="357" w:hanging="357"/>
        <w:rPr>
          <w:rFonts w:ascii="Times New Roman" w:hAnsi="Times New Roman"/>
          <w:sz w:val="24"/>
          <w:lang w:val="en-GB"/>
        </w:rPr>
      </w:pPr>
      <w:bookmarkStart w:id="145" w:name="_Toc262566438"/>
      <w:bookmarkStart w:id="146" w:name="_Toc295830014"/>
      <w:bookmarkStart w:id="147" w:name="_Toc308426691"/>
      <w:bookmarkStart w:id="148" w:name="_Toc310415075"/>
      <w:bookmarkStart w:id="149" w:name="_Toc360188410"/>
      <w:bookmarkStart w:id="150" w:name="_Toc473561050"/>
      <w:bookmarkStart w:id="151" w:name="_Toc151714504"/>
      <w:r w:rsidRPr="004B0EC7">
        <w:rPr>
          <w:rFonts w:ascii="Times New Roman" w:hAnsi="Times New Roman" w:cs="Times New Roman"/>
          <w:sz w:val="24"/>
          <w:u w:val="none"/>
          <w:lang w:val="en-GB"/>
        </w:rPr>
        <w:t>5.7.</w:t>
      </w:r>
      <w:r w:rsidRPr="004B0EC7">
        <w:rPr>
          <w:rFonts w:ascii="Times New Roman" w:hAnsi="Times New Roman" w:cs="Times New Roman"/>
          <w:sz w:val="24"/>
          <w:u w:val="none"/>
          <w:lang w:val="en-GB"/>
        </w:rPr>
        <w:tab/>
      </w:r>
      <w:r w:rsidR="008B73EE" w:rsidRPr="004B0EC7">
        <w:rPr>
          <w:rFonts w:ascii="Times New Roman" w:hAnsi="Times New Roman"/>
          <w:sz w:val="24"/>
          <w:lang w:val="en-GB"/>
        </w:rPr>
        <w:t xml:space="preserve">C 24.00 </w:t>
      </w:r>
      <w:r w:rsidR="000B0B09" w:rsidRPr="004B0EC7">
        <w:rPr>
          <w:rFonts w:ascii="Times New Roman" w:hAnsi="Times New Roman"/>
          <w:sz w:val="24"/>
          <w:lang w:val="en-GB"/>
        </w:rPr>
        <w:t>- Market Risk Internal Model</w:t>
      </w:r>
      <w:bookmarkEnd w:id="145"/>
      <w:bookmarkEnd w:id="146"/>
      <w:bookmarkEnd w:id="147"/>
      <w:bookmarkEnd w:id="148"/>
      <w:bookmarkEnd w:id="149"/>
      <w:r w:rsidR="008B73EE" w:rsidRPr="004B0EC7">
        <w:rPr>
          <w:rFonts w:ascii="Times New Roman" w:hAnsi="Times New Roman"/>
          <w:sz w:val="24"/>
          <w:lang w:val="en-GB"/>
        </w:rPr>
        <w:t xml:space="preserve"> (MKR IM)</w:t>
      </w:r>
      <w:bookmarkEnd w:id="150"/>
      <w:bookmarkEnd w:id="151"/>
    </w:p>
    <w:p w14:paraId="78347ABD" w14:textId="77777777" w:rsidR="000B0B09" w:rsidRPr="004B0EC7" w:rsidRDefault="00125707" w:rsidP="0023700C">
      <w:pPr>
        <w:pStyle w:val="Instructionsberschrift2"/>
        <w:numPr>
          <w:ilvl w:val="0"/>
          <w:numId w:val="0"/>
        </w:numPr>
        <w:ind w:left="357" w:hanging="357"/>
        <w:rPr>
          <w:rFonts w:ascii="Times New Roman" w:hAnsi="Times New Roman" w:cs="Times New Roman"/>
          <w:sz w:val="24"/>
          <w:lang w:val="en-GB"/>
        </w:rPr>
      </w:pPr>
      <w:bookmarkStart w:id="152" w:name="_Toc262566439"/>
      <w:bookmarkStart w:id="153" w:name="_Toc295830015"/>
      <w:bookmarkStart w:id="154" w:name="_Toc308426692"/>
      <w:bookmarkStart w:id="155" w:name="_Toc310415076"/>
      <w:bookmarkStart w:id="156" w:name="_Toc360188411"/>
      <w:bookmarkStart w:id="157" w:name="_Toc473561051"/>
      <w:bookmarkStart w:id="158" w:name="_Toc151714505"/>
      <w:r w:rsidRPr="004B0EC7">
        <w:rPr>
          <w:rFonts w:ascii="Times New Roman" w:hAnsi="Times New Roman" w:cs="Times New Roman"/>
          <w:sz w:val="24"/>
          <w:u w:val="none"/>
          <w:lang w:val="en-GB"/>
        </w:rPr>
        <w:t>5.7.1.</w:t>
      </w:r>
      <w:r w:rsidRPr="004B0EC7">
        <w:rPr>
          <w:rFonts w:ascii="Times New Roman" w:hAnsi="Times New Roman" w:cs="Times New Roman"/>
          <w:sz w:val="24"/>
          <w:u w:val="none"/>
          <w:lang w:val="en-GB"/>
        </w:rPr>
        <w:tab/>
      </w:r>
      <w:r w:rsidR="000B0B09" w:rsidRPr="004B0EC7">
        <w:rPr>
          <w:rFonts w:ascii="Times New Roman" w:hAnsi="Times New Roman" w:cs="Times New Roman"/>
          <w:sz w:val="24"/>
          <w:lang w:val="en-GB"/>
        </w:rPr>
        <w:t>General Remarks</w:t>
      </w:r>
      <w:bookmarkEnd w:id="152"/>
      <w:bookmarkEnd w:id="153"/>
      <w:bookmarkEnd w:id="154"/>
      <w:bookmarkEnd w:id="155"/>
      <w:bookmarkEnd w:id="156"/>
      <w:bookmarkEnd w:id="157"/>
      <w:bookmarkEnd w:id="158"/>
    </w:p>
    <w:p w14:paraId="1055920F" w14:textId="5CFE289B" w:rsidR="000B0B09" w:rsidRPr="004B0EC7" w:rsidRDefault="00CE7221" w:rsidP="00660845">
      <w:pPr>
        <w:pStyle w:val="InstructionsText2"/>
        <w:numPr>
          <w:ilvl w:val="0"/>
          <w:numId w:val="0"/>
        </w:numPr>
        <w:ind w:left="993"/>
      </w:pPr>
      <w:r w:rsidRPr="004B0EC7">
        <w:fldChar w:fldCharType="begin"/>
      </w:r>
      <w:r w:rsidRPr="004B0EC7">
        <w:instrText xml:space="preserve"> seq paragraphs </w:instrText>
      </w:r>
      <w:r w:rsidRPr="004B0EC7">
        <w:fldChar w:fldCharType="separate"/>
      </w:r>
      <w:r w:rsidR="00771068" w:rsidRPr="004B0EC7">
        <w:rPr>
          <w:noProof/>
        </w:rPr>
        <w:t>174</w:t>
      </w:r>
      <w:r w:rsidRPr="004B0EC7">
        <w:rPr>
          <w:noProof/>
        </w:rPr>
        <w:fldChar w:fldCharType="end"/>
      </w:r>
      <w:r w:rsidR="00125707" w:rsidRPr="004B0EC7">
        <w:t>.</w:t>
      </w:r>
      <w:r w:rsidR="00125707" w:rsidRPr="004B0EC7">
        <w:tab/>
      </w:r>
      <w:r w:rsidR="005C14B0" w:rsidRPr="004B0EC7">
        <w:t xml:space="preserve"> </w:t>
      </w:r>
      <w:r w:rsidR="000B0B09" w:rsidRPr="004B0EC7">
        <w:t xml:space="preserve">This template provides a breakdown of VaR and stressed VaR (sVaR) figures </w:t>
      </w:r>
      <w:r w:rsidR="00001AF1" w:rsidRPr="004B0EC7">
        <w:t>by</w:t>
      </w:r>
      <w:r w:rsidR="000B0B09" w:rsidRPr="004B0EC7">
        <w:t xml:space="preserve"> the different market risks (debt, equity, FX, commodities) and other information relevant for the calculation of the own funds requirements.</w:t>
      </w:r>
    </w:p>
    <w:p w14:paraId="3DD1046B" w14:textId="4AD05ACF" w:rsidR="000B0B09" w:rsidRPr="004B0EC7" w:rsidRDefault="00CE7221" w:rsidP="00660845">
      <w:pPr>
        <w:pStyle w:val="InstructionsText2"/>
        <w:numPr>
          <w:ilvl w:val="0"/>
          <w:numId w:val="0"/>
        </w:numPr>
        <w:ind w:left="993"/>
      </w:pPr>
      <w:r w:rsidRPr="004B0EC7">
        <w:fldChar w:fldCharType="begin"/>
      </w:r>
      <w:r w:rsidRPr="004B0EC7">
        <w:instrText xml:space="preserve"> seq paragraphs </w:instrText>
      </w:r>
      <w:r w:rsidRPr="004B0EC7">
        <w:fldChar w:fldCharType="separate"/>
      </w:r>
      <w:r w:rsidR="00771068" w:rsidRPr="004B0EC7">
        <w:rPr>
          <w:noProof/>
        </w:rPr>
        <w:t>175</w:t>
      </w:r>
      <w:r w:rsidRPr="004B0EC7">
        <w:rPr>
          <w:noProof/>
        </w:rPr>
        <w:fldChar w:fldCharType="end"/>
      </w:r>
      <w:r w:rsidR="00125707" w:rsidRPr="004B0EC7">
        <w:t>.</w:t>
      </w:r>
      <w:r w:rsidR="00125707" w:rsidRPr="004B0EC7">
        <w:tab/>
      </w:r>
      <w:r w:rsidR="005C14B0" w:rsidRPr="004B0EC7">
        <w:t xml:space="preserve"> </w:t>
      </w:r>
      <w:r w:rsidR="000B0B09" w:rsidRPr="004B0EC7">
        <w:t>Generally</w:t>
      </w:r>
      <w:r w:rsidR="0016282F" w:rsidRPr="004B0EC7">
        <w:t>,</w:t>
      </w:r>
      <w:r w:rsidR="000B0B09" w:rsidRPr="004B0EC7">
        <w:t xml:space="preserve"> </w:t>
      </w:r>
      <w:r w:rsidR="00001AF1" w:rsidRPr="004B0EC7">
        <w:t>it</w:t>
      </w:r>
      <w:r w:rsidR="0016282F" w:rsidRPr="004B0EC7">
        <w:t xml:space="preserve"> </w:t>
      </w:r>
      <w:r w:rsidR="000B0B09" w:rsidRPr="004B0EC7">
        <w:t>depends on the structure of the model of the institutions</w:t>
      </w:r>
      <w:r w:rsidR="002300C6" w:rsidRPr="004B0EC7">
        <w:t xml:space="preserve"> </w:t>
      </w:r>
      <w:r w:rsidR="000B0B09" w:rsidRPr="004B0EC7">
        <w:t xml:space="preserve">whether the figures for general and specific risk </w:t>
      </w:r>
      <w:r w:rsidR="00CD35F2" w:rsidRPr="004B0EC7">
        <w:t xml:space="preserve">can be determined and reported </w:t>
      </w:r>
      <w:r w:rsidR="000B0B09" w:rsidRPr="004B0EC7">
        <w:t xml:space="preserve">separately or </w:t>
      </w:r>
      <w:r w:rsidR="00CD35F2" w:rsidRPr="004B0EC7">
        <w:t>only as a total</w:t>
      </w:r>
      <w:r w:rsidR="000B0B09" w:rsidRPr="004B0EC7">
        <w:t>. The same holds true for the decomposition of the V</w:t>
      </w:r>
      <w:r w:rsidR="00CD35F2" w:rsidRPr="004B0EC7">
        <w:t>a</w:t>
      </w:r>
      <w:r w:rsidR="000B0B09" w:rsidRPr="004B0EC7">
        <w:t>R /Stress-Va</w:t>
      </w:r>
      <w:r w:rsidR="00CD35F2" w:rsidRPr="004B0EC7">
        <w:t>R</w:t>
      </w:r>
      <w:r w:rsidR="000B0B09" w:rsidRPr="004B0EC7">
        <w:t xml:space="preserve"> into the risk categories (interest rate risk, equity risk, commodities risk and foreign exchange risk). An institution can </w:t>
      </w:r>
      <w:r w:rsidR="00CD35F2" w:rsidRPr="004B0EC7">
        <w:t xml:space="preserve">refrain from </w:t>
      </w:r>
      <w:r w:rsidR="000B0B09" w:rsidRPr="004B0EC7">
        <w:t>report</w:t>
      </w:r>
      <w:r w:rsidR="00CD35F2" w:rsidRPr="004B0EC7">
        <w:t>ing</w:t>
      </w:r>
      <w:r w:rsidR="000B0B09" w:rsidRPr="004B0EC7">
        <w:t xml:space="preserve"> th</w:t>
      </w:r>
      <w:r w:rsidR="0016282F" w:rsidRPr="004B0EC7">
        <w:t>ose</w:t>
      </w:r>
      <w:r w:rsidR="000B0B09" w:rsidRPr="004B0EC7">
        <w:t xml:space="preserve"> decompositions if it proves that reporting th</w:t>
      </w:r>
      <w:r w:rsidR="0016282F" w:rsidRPr="004B0EC7">
        <w:t>o</w:t>
      </w:r>
      <w:r w:rsidR="000B0B09" w:rsidRPr="004B0EC7">
        <w:t>se figures would be unduly burdensome.</w:t>
      </w:r>
      <w:r w:rsidR="00730040" w:rsidRPr="004B0EC7">
        <w:t xml:space="preserve"> </w:t>
      </w:r>
    </w:p>
    <w:p w14:paraId="16A354D7" w14:textId="38B85B55" w:rsidR="000B0B09" w:rsidRPr="004B0EC7" w:rsidRDefault="00125707" w:rsidP="0023700C">
      <w:pPr>
        <w:pStyle w:val="Instructionsberschrift2"/>
        <w:numPr>
          <w:ilvl w:val="0"/>
          <w:numId w:val="0"/>
        </w:numPr>
        <w:ind w:left="357" w:hanging="357"/>
        <w:rPr>
          <w:rFonts w:ascii="Times New Roman" w:hAnsi="Times New Roman" w:cs="Times New Roman"/>
          <w:sz w:val="24"/>
          <w:lang w:val="en-GB"/>
        </w:rPr>
      </w:pPr>
      <w:bookmarkStart w:id="159" w:name="_Toc262566440"/>
      <w:bookmarkStart w:id="160" w:name="_Toc295830016"/>
      <w:bookmarkStart w:id="161" w:name="_Toc308426693"/>
      <w:bookmarkStart w:id="162" w:name="_Toc310415077"/>
      <w:bookmarkStart w:id="163" w:name="_Toc360188412"/>
      <w:bookmarkStart w:id="164" w:name="_Toc473561052"/>
      <w:bookmarkStart w:id="165" w:name="_Toc151714506"/>
      <w:r w:rsidRPr="004B0EC7">
        <w:rPr>
          <w:rFonts w:ascii="Times New Roman" w:hAnsi="Times New Roman" w:cs="Times New Roman"/>
          <w:sz w:val="24"/>
          <w:u w:val="none"/>
          <w:lang w:val="en-GB"/>
        </w:rPr>
        <w:t>5.7.2.</w:t>
      </w:r>
      <w:r w:rsidRPr="004B0EC7">
        <w:rPr>
          <w:rFonts w:ascii="Times New Roman" w:hAnsi="Times New Roman" w:cs="Times New Roman"/>
          <w:sz w:val="24"/>
          <w:u w:val="none"/>
          <w:lang w:val="en-GB"/>
        </w:rPr>
        <w:tab/>
      </w:r>
      <w:r w:rsidR="000B0B09" w:rsidRPr="004B0EC7">
        <w:rPr>
          <w:rFonts w:ascii="Times New Roman" w:hAnsi="Times New Roman" w:cs="Times New Roman"/>
          <w:sz w:val="24"/>
          <w:lang w:val="en-GB"/>
        </w:rPr>
        <w:t>Instructions concerning specific positions</w:t>
      </w:r>
      <w:bookmarkEnd w:id="159"/>
      <w:bookmarkEnd w:id="160"/>
      <w:bookmarkEnd w:id="161"/>
      <w:bookmarkEnd w:id="162"/>
      <w:bookmarkEnd w:id="163"/>
      <w:bookmarkEnd w:id="164"/>
      <w:bookmarkEnd w:id="1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869"/>
      </w:tblGrid>
      <w:tr w:rsidR="000B0B09" w:rsidRPr="004B0EC7" w14:paraId="2E01A882" w14:textId="77777777" w:rsidTr="00672D2A">
        <w:tc>
          <w:tcPr>
            <w:tcW w:w="8862" w:type="dxa"/>
            <w:gridSpan w:val="2"/>
            <w:shd w:val="clear" w:color="auto" w:fill="BFBFBF"/>
          </w:tcPr>
          <w:p w14:paraId="12FA7906" w14:textId="77777777" w:rsidR="000B0B09" w:rsidRPr="004B0EC7" w:rsidRDefault="0034786E"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C</w:t>
            </w:r>
            <w:r w:rsidR="000B0B09" w:rsidRPr="004B0EC7">
              <w:rPr>
                <w:rFonts w:ascii="Times New Roman" w:hAnsi="Times New Roman"/>
                <w:sz w:val="24"/>
                <w:lang w:eastAsia="nl-BE"/>
              </w:rPr>
              <w:t>olumns</w:t>
            </w:r>
          </w:p>
        </w:tc>
      </w:tr>
      <w:tr w:rsidR="000B0B09" w:rsidRPr="004B0EC7" w14:paraId="27C19C3C" w14:textId="77777777" w:rsidTr="00672D2A">
        <w:tc>
          <w:tcPr>
            <w:tcW w:w="993" w:type="dxa"/>
          </w:tcPr>
          <w:p w14:paraId="10AA4817"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030-</w:t>
            </w:r>
            <w:r w:rsidRPr="004B0EC7">
              <w:rPr>
                <w:rFonts w:ascii="Times New Roman" w:hAnsi="Times New Roman"/>
                <w:sz w:val="24"/>
                <w:lang w:eastAsia="nl-BE"/>
              </w:rPr>
              <w:t>0</w:t>
            </w:r>
            <w:r w:rsidR="000B0B09" w:rsidRPr="004B0EC7">
              <w:rPr>
                <w:rFonts w:ascii="Times New Roman" w:hAnsi="Times New Roman"/>
                <w:sz w:val="24"/>
                <w:lang w:eastAsia="nl-BE"/>
              </w:rPr>
              <w:t>040</w:t>
            </w:r>
          </w:p>
        </w:tc>
        <w:tc>
          <w:tcPr>
            <w:tcW w:w="7869" w:type="dxa"/>
          </w:tcPr>
          <w:p w14:paraId="6F9C4B0E" w14:textId="77777777" w:rsidR="000B0B09" w:rsidRPr="004B0EC7" w:rsidRDefault="0016282F"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Value at Risk (</w:t>
            </w:r>
            <w:r w:rsidR="000B0B09" w:rsidRPr="004B0EC7">
              <w:rPr>
                <w:rFonts w:ascii="Times New Roman" w:hAnsi="Times New Roman"/>
                <w:b/>
                <w:bCs/>
                <w:sz w:val="24"/>
                <w:u w:val="single"/>
                <w:lang w:eastAsia="nl-BE"/>
              </w:rPr>
              <w:t>VaR</w:t>
            </w:r>
            <w:r w:rsidRPr="004B0EC7">
              <w:rPr>
                <w:rFonts w:ascii="Times New Roman" w:hAnsi="Times New Roman"/>
                <w:b/>
                <w:bCs/>
                <w:sz w:val="24"/>
                <w:u w:val="single"/>
                <w:lang w:eastAsia="nl-BE"/>
              </w:rPr>
              <w:t>)</w:t>
            </w:r>
          </w:p>
          <w:p w14:paraId="59F85AD6" w14:textId="77777777" w:rsidR="000B0B09" w:rsidRPr="004B0EC7" w:rsidRDefault="0016282F" w:rsidP="002300C6">
            <w:pPr>
              <w:autoSpaceDE w:val="0"/>
              <w:autoSpaceDN w:val="0"/>
              <w:adjustRightInd w:val="0"/>
              <w:rPr>
                <w:rFonts w:ascii="Times New Roman" w:hAnsi="Times New Roman"/>
                <w:b/>
                <w:bCs/>
                <w:sz w:val="24"/>
                <w:u w:val="single"/>
                <w:lang w:eastAsia="nl-BE"/>
              </w:rPr>
            </w:pPr>
            <w:r w:rsidRPr="004B0EC7">
              <w:rPr>
                <w:rFonts w:ascii="Times New Roman" w:hAnsi="Times New Roman"/>
                <w:sz w:val="24"/>
                <w:lang w:eastAsia="fr-FR"/>
              </w:rPr>
              <w:t>VaR</w:t>
            </w:r>
            <w:r w:rsidR="005C14B0" w:rsidRPr="004B0EC7">
              <w:rPr>
                <w:rFonts w:ascii="Times New Roman" w:hAnsi="Times New Roman"/>
                <w:sz w:val="24"/>
                <w:lang w:eastAsia="fr-FR"/>
              </w:rPr>
              <w:t xml:space="preserve"> </w:t>
            </w:r>
            <w:r w:rsidR="000B0B09" w:rsidRPr="004B0EC7">
              <w:rPr>
                <w:rFonts w:ascii="Times New Roman" w:hAnsi="Times New Roman"/>
                <w:sz w:val="24"/>
                <w:lang w:eastAsia="fr-FR"/>
              </w:rPr>
              <w:t xml:space="preserve">means the maximum potential loss that would result from a price change with a given probability over a </w:t>
            </w:r>
            <w:r w:rsidR="002300C6" w:rsidRPr="004B0EC7">
              <w:rPr>
                <w:rFonts w:ascii="Times New Roman" w:hAnsi="Times New Roman"/>
                <w:sz w:val="24"/>
                <w:lang w:eastAsia="fr-FR"/>
              </w:rPr>
              <w:t xml:space="preserve">specific </w:t>
            </w:r>
            <w:r w:rsidR="000B0B09" w:rsidRPr="004B0EC7">
              <w:rPr>
                <w:rFonts w:ascii="Times New Roman" w:hAnsi="Times New Roman"/>
                <w:sz w:val="24"/>
                <w:lang w:eastAsia="fr-FR"/>
              </w:rPr>
              <w:t>time horizon.</w:t>
            </w:r>
          </w:p>
        </w:tc>
      </w:tr>
      <w:tr w:rsidR="000B0B09" w:rsidRPr="004B0EC7" w14:paraId="50B81018" w14:textId="77777777" w:rsidTr="00672D2A">
        <w:tc>
          <w:tcPr>
            <w:tcW w:w="993" w:type="dxa"/>
          </w:tcPr>
          <w:p w14:paraId="49937121"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030</w:t>
            </w:r>
          </w:p>
        </w:tc>
        <w:tc>
          <w:tcPr>
            <w:tcW w:w="7869" w:type="dxa"/>
          </w:tcPr>
          <w:p w14:paraId="3867D5D5"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Multiplication factor (mc) x Average of previous 60 working days VaR (VaRavg)</w:t>
            </w:r>
          </w:p>
          <w:p w14:paraId="028313DD"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fr-FR"/>
              </w:rPr>
            </w:pPr>
          </w:p>
          <w:p w14:paraId="799DC3B2" w14:textId="66672724" w:rsidR="000B0B09" w:rsidRPr="004B0EC7" w:rsidRDefault="00705025" w:rsidP="005F1095">
            <w:pPr>
              <w:autoSpaceDE w:val="0"/>
              <w:autoSpaceDN w:val="0"/>
              <w:adjustRightInd w:val="0"/>
              <w:spacing w:before="0" w:after="0"/>
              <w:rPr>
                <w:rFonts w:ascii="Times New Roman" w:hAnsi="Times New Roman"/>
                <w:sz w:val="24"/>
                <w:lang w:eastAsia="fr-FR"/>
              </w:rPr>
            </w:pPr>
            <w:r w:rsidRPr="004B0EC7">
              <w:rPr>
                <w:rFonts w:ascii="Times New Roman" w:hAnsi="Times New Roman"/>
                <w:sz w:val="24"/>
                <w:lang w:eastAsia="fr-FR"/>
              </w:rPr>
              <w:t xml:space="preserve"> </w:t>
            </w:r>
            <w:r w:rsidR="000B0B09" w:rsidRPr="004B0EC7">
              <w:rPr>
                <w:rFonts w:ascii="Times New Roman" w:hAnsi="Times New Roman"/>
                <w:sz w:val="24"/>
                <w:lang w:eastAsia="fr-FR"/>
              </w:rPr>
              <w:t>Article 364(1)</w:t>
            </w:r>
            <w:r w:rsidR="00B83DDE" w:rsidRPr="004B0EC7">
              <w:rPr>
                <w:rFonts w:ascii="Times New Roman" w:hAnsi="Times New Roman"/>
                <w:sz w:val="24"/>
                <w:lang w:eastAsia="fr-FR"/>
              </w:rPr>
              <w:t>, p</w:t>
            </w:r>
            <w:r w:rsidR="00070113" w:rsidRPr="004B0EC7">
              <w:rPr>
                <w:rFonts w:ascii="Times New Roman" w:hAnsi="Times New Roman"/>
                <w:sz w:val="24"/>
                <w:lang w:eastAsia="fr-FR"/>
              </w:rPr>
              <w:t xml:space="preserve">oint (a)(ii) </w:t>
            </w:r>
            <w:r w:rsidR="000B0B09" w:rsidRPr="004B0EC7">
              <w:rPr>
                <w:rFonts w:ascii="Times New Roman" w:hAnsi="Times New Roman"/>
                <w:sz w:val="24"/>
                <w:lang w:eastAsia="fr-FR"/>
              </w:rPr>
              <w:t xml:space="preserve">and </w:t>
            </w:r>
            <w:r w:rsidRPr="004B0EC7">
              <w:rPr>
                <w:rFonts w:ascii="Times New Roman" w:hAnsi="Times New Roman"/>
                <w:sz w:val="24"/>
                <w:lang w:eastAsia="fr-FR"/>
              </w:rPr>
              <w:t xml:space="preserve">Article </w:t>
            </w:r>
            <w:r w:rsidR="000B0B09" w:rsidRPr="004B0EC7">
              <w:rPr>
                <w:rFonts w:ascii="Times New Roman" w:hAnsi="Times New Roman"/>
                <w:sz w:val="24"/>
                <w:lang w:eastAsia="fr-FR"/>
              </w:rPr>
              <w:t xml:space="preserve">365(1) </w:t>
            </w:r>
            <w:r w:rsidR="006E347B" w:rsidRPr="004B0EC7">
              <w:rPr>
                <w:rFonts w:ascii="Times New Roman" w:hAnsi="Times New Roman"/>
                <w:sz w:val="24"/>
                <w:lang w:val="en-US"/>
              </w:rPr>
              <w:t>of Regulation (EU) No 575/2013</w:t>
            </w:r>
            <w:r w:rsidR="000B0B09" w:rsidRPr="004B0EC7">
              <w:rPr>
                <w:rFonts w:ascii="Times New Roman" w:hAnsi="Times New Roman"/>
                <w:sz w:val="24"/>
                <w:lang w:eastAsia="fr-FR"/>
              </w:rPr>
              <w:t xml:space="preserve"> </w:t>
            </w:r>
          </w:p>
          <w:p w14:paraId="34698FA2" w14:textId="77777777" w:rsidR="000B0B09" w:rsidRPr="004B0EC7" w:rsidRDefault="000B0B09" w:rsidP="000B0B09">
            <w:pPr>
              <w:autoSpaceDE w:val="0"/>
              <w:autoSpaceDN w:val="0"/>
              <w:adjustRightInd w:val="0"/>
              <w:spacing w:before="0" w:after="0"/>
              <w:rPr>
                <w:rFonts w:ascii="Times New Roman" w:hAnsi="Times New Roman"/>
                <w:sz w:val="24"/>
                <w:lang w:eastAsia="nl-BE"/>
              </w:rPr>
            </w:pPr>
          </w:p>
        </w:tc>
      </w:tr>
      <w:tr w:rsidR="000B0B09" w:rsidRPr="004B0EC7" w14:paraId="50DDBD1E" w14:textId="77777777" w:rsidTr="00672D2A">
        <w:tc>
          <w:tcPr>
            <w:tcW w:w="993" w:type="dxa"/>
          </w:tcPr>
          <w:p w14:paraId="404E452E"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040</w:t>
            </w:r>
          </w:p>
        </w:tc>
        <w:tc>
          <w:tcPr>
            <w:tcW w:w="7869" w:type="dxa"/>
          </w:tcPr>
          <w:p w14:paraId="15C0D519"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Previous day VaR (VaRt-1)</w:t>
            </w:r>
          </w:p>
          <w:p w14:paraId="21BBDC54"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fr-FR"/>
              </w:rPr>
            </w:pPr>
          </w:p>
          <w:p w14:paraId="3F00377E" w14:textId="605D93C8" w:rsidR="000B0B09" w:rsidRPr="004B0EC7" w:rsidRDefault="00070113" w:rsidP="000B0B09">
            <w:pPr>
              <w:autoSpaceDE w:val="0"/>
              <w:autoSpaceDN w:val="0"/>
              <w:adjustRightInd w:val="0"/>
              <w:spacing w:before="0" w:after="0"/>
              <w:rPr>
                <w:rFonts w:ascii="Times New Roman" w:hAnsi="Times New Roman"/>
                <w:sz w:val="24"/>
                <w:lang w:eastAsia="fr-FR"/>
              </w:rPr>
            </w:pPr>
            <w:r w:rsidRPr="004B0EC7">
              <w:rPr>
                <w:rFonts w:ascii="Times New Roman" w:hAnsi="Times New Roman"/>
                <w:sz w:val="24"/>
                <w:lang w:eastAsia="fr-FR"/>
              </w:rPr>
              <w:t>Article 364(1)</w:t>
            </w:r>
            <w:r w:rsidR="00B83DDE" w:rsidRPr="004B0EC7">
              <w:rPr>
                <w:rFonts w:ascii="Times New Roman" w:hAnsi="Times New Roman"/>
                <w:sz w:val="24"/>
                <w:lang w:eastAsia="fr-FR"/>
              </w:rPr>
              <w:t>, p</w:t>
            </w:r>
            <w:r w:rsidRPr="004B0EC7">
              <w:rPr>
                <w:rFonts w:ascii="Times New Roman" w:hAnsi="Times New Roman"/>
                <w:sz w:val="24"/>
                <w:lang w:eastAsia="fr-FR"/>
              </w:rPr>
              <w:t xml:space="preserve">oint (a)(i) </w:t>
            </w:r>
            <w:r w:rsidR="000B0B09" w:rsidRPr="004B0EC7">
              <w:rPr>
                <w:rFonts w:ascii="Times New Roman" w:hAnsi="Times New Roman"/>
                <w:sz w:val="24"/>
                <w:lang w:eastAsia="fr-FR"/>
              </w:rPr>
              <w:t xml:space="preserve">and </w:t>
            </w:r>
            <w:r w:rsidR="00705025" w:rsidRPr="004B0EC7">
              <w:rPr>
                <w:rFonts w:ascii="Times New Roman" w:hAnsi="Times New Roman"/>
                <w:sz w:val="24"/>
                <w:lang w:eastAsia="fr-FR"/>
              </w:rPr>
              <w:t xml:space="preserve">Article </w:t>
            </w:r>
            <w:r w:rsidR="000B0B09" w:rsidRPr="004B0EC7">
              <w:rPr>
                <w:rFonts w:ascii="Times New Roman" w:hAnsi="Times New Roman"/>
                <w:sz w:val="24"/>
                <w:lang w:eastAsia="fr-FR"/>
              </w:rPr>
              <w:t xml:space="preserve">365(1) </w:t>
            </w:r>
            <w:r w:rsidR="006E347B" w:rsidRPr="004B0EC7">
              <w:rPr>
                <w:rFonts w:ascii="Times New Roman" w:hAnsi="Times New Roman"/>
                <w:sz w:val="24"/>
                <w:lang w:val="en-US"/>
              </w:rPr>
              <w:t>of Regulation (EU) No 575/2013</w:t>
            </w:r>
            <w:r w:rsidR="000B0B09" w:rsidRPr="004B0EC7">
              <w:rPr>
                <w:rFonts w:ascii="Times New Roman" w:hAnsi="Times New Roman"/>
                <w:sz w:val="24"/>
                <w:lang w:eastAsia="fr-FR"/>
              </w:rPr>
              <w:t xml:space="preserve"> </w:t>
            </w:r>
          </w:p>
          <w:p w14:paraId="065DA05D" w14:textId="77777777" w:rsidR="000B0B09" w:rsidRPr="004B0EC7" w:rsidRDefault="000B0B09" w:rsidP="000B0B09">
            <w:pPr>
              <w:autoSpaceDE w:val="0"/>
              <w:autoSpaceDN w:val="0"/>
              <w:adjustRightInd w:val="0"/>
              <w:spacing w:before="0" w:after="0"/>
              <w:rPr>
                <w:rFonts w:ascii="Times New Roman" w:hAnsi="Times New Roman"/>
                <w:sz w:val="24"/>
                <w:lang w:eastAsia="nl-BE"/>
              </w:rPr>
            </w:pPr>
          </w:p>
        </w:tc>
      </w:tr>
      <w:tr w:rsidR="000B0B09" w:rsidRPr="004B0EC7" w14:paraId="1FD77FB5" w14:textId="77777777" w:rsidTr="00672D2A">
        <w:tc>
          <w:tcPr>
            <w:tcW w:w="993" w:type="dxa"/>
          </w:tcPr>
          <w:p w14:paraId="65ACFD9D"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lastRenderedPageBreak/>
              <w:t>0</w:t>
            </w:r>
            <w:r w:rsidR="000B0B09" w:rsidRPr="004B0EC7">
              <w:rPr>
                <w:rFonts w:ascii="Times New Roman" w:hAnsi="Times New Roman"/>
                <w:sz w:val="24"/>
                <w:lang w:eastAsia="nl-BE"/>
              </w:rPr>
              <w:t>050-</w:t>
            </w:r>
            <w:r w:rsidRPr="004B0EC7">
              <w:rPr>
                <w:rFonts w:ascii="Times New Roman" w:hAnsi="Times New Roman"/>
                <w:sz w:val="24"/>
                <w:lang w:eastAsia="nl-BE"/>
              </w:rPr>
              <w:t>0</w:t>
            </w:r>
            <w:r w:rsidR="000B0B09" w:rsidRPr="004B0EC7">
              <w:rPr>
                <w:rFonts w:ascii="Times New Roman" w:hAnsi="Times New Roman"/>
                <w:sz w:val="24"/>
                <w:lang w:eastAsia="nl-BE"/>
              </w:rPr>
              <w:t>060</w:t>
            </w:r>
          </w:p>
        </w:tc>
        <w:tc>
          <w:tcPr>
            <w:tcW w:w="7869" w:type="dxa"/>
          </w:tcPr>
          <w:p w14:paraId="388A6872"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Stressed VaR</w:t>
            </w:r>
          </w:p>
          <w:p w14:paraId="30D5B348"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p>
          <w:p w14:paraId="114BB124" w14:textId="77777777" w:rsidR="000B0B09" w:rsidRPr="004B0EC7" w:rsidRDefault="0016282F" w:rsidP="002300C6">
            <w:pPr>
              <w:autoSpaceDE w:val="0"/>
              <w:autoSpaceDN w:val="0"/>
              <w:adjustRightInd w:val="0"/>
              <w:spacing w:before="0"/>
              <w:rPr>
                <w:rFonts w:ascii="Times New Roman" w:hAnsi="Times New Roman"/>
                <w:sz w:val="24"/>
              </w:rPr>
            </w:pPr>
            <w:r w:rsidRPr="004B0EC7">
              <w:rPr>
                <w:rFonts w:ascii="Times New Roman" w:hAnsi="Times New Roman"/>
                <w:sz w:val="24"/>
                <w:lang w:eastAsia="fr-FR"/>
              </w:rPr>
              <w:t xml:space="preserve">Stressed VaR </w:t>
            </w:r>
            <w:r w:rsidR="000B0B09" w:rsidRPr="004B0EC7">
              <w:rPr>
                <w:rFonts w:ascii="Times New Roman" w:hAnsi="Times New Roman"/>
                <w:sz w:val="24"/>
                <w:lang w:eastAsia="fr-FR"/>
              </w:rPr>
              <w:t xml:space="preserve">means the maximum potential loss that would result from a price change with a given probability over a </w:t>
            </w:r>
            <w:r w:rsidR="002300C6" w:rsidRPr="004B0EC7">
              <w:rPr>
                <w:rFonts w:ascii="Times New Roman" w:hAnsi="Times New Roman"/>
                <w:sz w:val="24"/>
                <w:lang w:eastAsia="fr-FR"/>
              </w:rPr>
              <w:t xml:space="preserve">specific </w:t>
            </w:r>
            <w:r w:rsidR="000B0B09" w:rsidRPr="004B0EC7">
              <w:rPr>
                <w:rFonts w:ascii="Times New Roman" w:hAnsi="Times New Roman"/>
                <w:sz w:val="24"/>
                <w:lang w:eastAsia="fr-FR"/>
              </w:rPr>
              <w:t>time horizon obtained by using input calibrated to historical data from a continuous 12-months period of financial stress relevant to the institution’s portfolio.</w:t>
            </w:r>
          </w:p>
        </w:tc>
      </w:tr>
      <w:tr w:rsidR="000B0B09" w:rsidRPr="004B0EC7" w14:paraId="006F4906" w14:textId="77777777" w:rsidTr="00672D2A">
        <w:tc>
          <w:tcPr>
            <w:tcW w:w="993" w:type="dxa"/>
          </w:tcPr>
          <w:p w14:paraId="294AFD20"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050</w:t>
            </w:r>
          </w:p>
        </w:tc>
        <w:tc>
          <w:tcPr>
            <w:tcW w:w="7869" w:type="dxa"/>
          </w:tcPr>
          <w:p w14:paraId="3CDD7B35"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Multiplication factor (ms) x Average of previous 60 working days (SVaRavg)</w:t>
            </w:r>
          </w:p>
          <w:p w14:paraId="17CC7E24" w14:textId="77777777" w:rsidR="000B0B09" w:rsidRPr="004B0EC7" w:rsidRDefault="000B0B09" w:rsidP="000B0B09">
            <w:pPr>
              <w:autoSpaceDE w:val="0"/>
              <w:autoSpaceDN w:val="0"/>
              <w:adjustRightInd w:val="0"/>
              <w:spacing w:before="0" w:after="0"/>
              <w:rPr>
                <w:rStyle w:val="InstructionsTabelleberschrift"/>
                <w:rFonts w:ascii="Times New Roman" w:hAnsi="Times New Roman"/>
                <w:sz w:val="24"/>
              </w:rPr>
            </w:pPr>
          </w:p>
          <w:p w14:paraId="1B0FF569" w14:textId="518AE671" w:rsidR="000B0B09" w:rsidRPr="004B0EC7" w:rsidRDefault="000B0B09" w:rsidP="000B0B09">
            <w:pPr>
              <w:autoSpaceDE w:val="0"/>
              <w:autoSpaceDN w:val="0"/>
              <w:adjustRightInd w:val="0"/>
              <w:spacing w:before="0" w:after="0"/>
              <w:rPr>
                <w:rStyle w:val="InstructionsTabelleberschrift"/>
                <w:rFonts w:ascii="Times New Roman" w:hAnsi="Times New Roman"/>
                <w:b w:val="0"/>
                <w:bCs w:val="0"/>
                <w:sz w:val="24"/>
              </w:rPr>
            </w:pPr>
            <w:r w:rsidRPr="004B0EC7">
              <w:rPr>
                <w:rFonts w:ascii="Times New Roman" w:hAnsi="Times New Roman"/>
                <w:sz w:val="24"/>
              </w:rPr>
              <w:t>Article 364(1)</w:t>
            </w:r>
            <w:r w:rsidR="00B83DDE" w:rsidRPr="004B0EC7">
              <w:rPr>
                <w:rFonts w:ascii="Times New Roman" w:hAnsi="Times New Roman"/>
                <w:sz w:val="24"/>
              </w:rPr>
              <w:t>, p</w:t>
            </w:r>
            <w:r w:rsidR="001B17E6" w:rsidRPr="004B0EC7">
              <w:rPr>
                <w:rFonts w:ascii="Times New Roman" w:hAnsi="Times New Roman"/>
                <w:sz w:val="24"/>
              </w:rPr>
              <w:t xml:space="preserve">oint (b)(ii) </w:t>
            </w:r>
            <w:r w:rsidRPr="004B0EC7">
              <w:rPr>
                <w:rFonts w:ascii="Times New Roman" w:hAnsi="Times New Roman"/>
                <w:sz w:val="24"/>
              </w:rPr>
              <w:t xml:space="preserve">and </w:t>
            </w:r>
            <w:r w:rsidR="00705025" w:rsidRPr="004B0EC7">
              <w:rPr>
                <w:rFonts w:ascii="Times New Roman" w:hAnsi="Times New Roman"/>
                <w:sz w:val="24"/>
              </w:rPr>
              <w:t xml:space="preserve">Article </w:t>
            </w:r>
            <w:r w:rsidRPr="004B0EC7">
              <w:rPr>
                <w:rFonts w:ascii="Times New Roman" w:hAnsi="Times New Roman"/>
                <w:sz w:val="24"/>
              </w:rPr>
              <w:t xml:space="preserve">365(1) </w:t>
            </w:r>
            <w:r w:rsidR="006E347B" w:rsidRPr="004B0EC7">
              <w:rPr>
                <w:rFonts w:ascii="Times New Roman" w:hAnsi="Times New Roman"/>
                <w:sz w:val="24"/>
                <w:lang w:val="en-US"/>
              </w:rPr>
              <w:t>of Regulation (EU) No 575/2013</w:t>
            </w:r>
            <w:r w:rsidRPr="004B0EC7">
              <w:rPr>
                <w:rStyle w:val="InstructionsTabelleberschrift"/>
                <w:rFonts w:ascii="Times New Roman" w:hAnsi="Times New Roman"/>
                <w:bCs w:val="0"/>
                <w:sz w:val="24"/>
              </w:rPr>
              <w:t xml:space="preserve"> </w:t>
            </w:r>
          </w:p>
          <w:p w14:paraId="4E4677D0" w14:textId="77777777" w:rsidR="000B0B09" w:rsidRPr="004B0EC7" w:rsidRDefault="000B0B09" w:rsidP="000B0B09">
            <w:pPr>
              <w:autoSpaceDE w:val="0"/>
              <w:autoSpaceDN w:val="0"/>
              <w:adjustRightInd w:val="0"/>
              <w:spacing w:before="0" w:after="0"/>
              <w:rPr>
                <w:rStyle w:val="InstructionsTabelleberschrift"/>
                <w:rFonts w:ascii="Times New Roman" w:hAnsi="Times New Roman"/>
                <w:sz w:val="24"/>
              </w:rPr>
            </w:pPr>
          </w:p>
        </w:tc>
      </w:tr>
      <w:tr w:rsidR="000B0B09" w:rsidRPr="004B0EC7" w14:paraId="67754317" w14:textId="77777777" w:rsidTr="00672D2A">
        <w:tc>
          <w:tcPr>
            <w:tcW w:w="993" w:type="dxa"/>
          </w:tcPr>
          <w:p w14:paraId="48511238"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060</w:t>
            </w:r>
          </w:p>
        </w:tc>
        <w:tc>
          <w:tcPr>
            <w:tcW w:w="7869" w:type="dxa"/>
          </w:tcPr>
          <w:p w14:paraId="6934BA2C"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Latest available (SVaRt-1)</w:t>
            </w:r>
          </w:p>
          <w:p w14:paraId="26D70865" w14:textId="77777777" w:rsidR="000B0B09" w:rsidRPr="004B0EC7" w:rsidRDefault="000B0B09" w:rsidP="000B0B09">
            <w:pPr>
              <w:autoSpaceDE w:val="0"/>
              <w:autoSpaceDN w:val="0"/>
              <w:adjustRightInd w:val="0"/>
              <w:spacing w:before="0" w:after="0"/>
              <w:rPr>
                <w:rFonts w:ascii="Times New Roman" w:hAnsi="Times New Roman"/>
                <w:sz w:val="24"/>
              </w:rPr>
            </w:pPr>
          </w:p>
          <w:p w14:paraId="2269DF70" w14:textId="67B7CAF8" w:rsidR="000B0B09" w:rsidRPr="004B0EC7" w:rsidRDefault="001B17E6" w:rsidP="000B0B09">
            <w:pPr>
              <w:autoSpaceDE w:val="0"/>
              <w:autoSpaceDN w:val="0"/>
              <w:adjustRightInd w:val="0"/>
              <w:spacing w:before="0" w:after="0"/>
              <w:rPr>
                <w:rFonts w:ascii="Times New Roman" w:hAnsi="Times New Roman"/>
                <w:sz w:val="24"/>
              </w:rPr>
            </w:pPr>
            <w:r w:rsidRPr="004B0EC7">
              <w:rPr>
                <w:rFonts w:ascii="Times New Roman" w:hAnsi="Times New Roman"/>
                <w:sz w:val="24"/>
              </w:rPr>
              <w:t>Article 364(1)</w:t>
            </w:r>
            <w:r w:rsidR="00B83DDE" w:rsidRPr="004B0EC7">
              <w:rPr>
                <w:rFonts w:ascii="Times New Roman" w:hAnsi="Times New Roman"/>
                <w:sz w:val="24"/>
              </w:rPr>
              <w:t>, p</w:t>
            </w:r>
            <w:r w:rsidRPr="004B0EC7">
              <w:rPr>
                <w:rFonts w:ascii="Times New Roman" w:hAnsi="Times New Roman"/>
                <w:sz w:val="24"/>
              </w:rPr>
              <w:t>oint (b)(i)</w:t>
            </w:r>
            <w:r w:rsidR="00705025" w:rsidRPr="004B0EC7">
              <w:rPr>
                <w:rFonts w:ascii="Times New Roman" w:hAnsi="Times New Roman"/>
                <w:sz w:val="24"/>
              </w:rPr>
              <w:t xml:space="preserve">and Article 365(1) </w:t>
            </w:r>
            <w:r w:rsidR="006E347B" w:rsidRPr="004B0EC7">
              <w:rPr>
                <w:rFonts w:ascii="Times New Roman" w:hAnsi="Times New Roman"/>
                <w:sz w:val="24"/>
                <w:lang w:val="en-US"/>
              </w:rPr>
              <w:t>of Regulation (EU) No 575/2013</w:t>
            </w:r>
            <w:r w:rsidR="000B0B09" w:rsidRPr="004B0EC7">
              <w:rPr>
                <w:rFonts w:ascii="Times New Roman" w:hAnsi="Times New Roman"/>
                <w:sz w:val="24"/>
              </w:rPr>
              <w:t xml:space="preserve"> </w:t>
            </w:r>
          </w:p>
          <w:p w14:paraId="52AD8FDF"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de-DE"/>
              </w:rPr>
            </w:pPr>
          </w:p>
        </w:tc>
      </w:tr>
      <w:tr w:rsidR="000B0B09" w:rsidRPr="004B0EC7" w14:paraId="7AFDCF05" w14:textId="77777777" w:rsidTr="00672D2A">
        <w:tc>
          <w:tcPr>
            <w:tcW w:w="993" w:type="dxa"/>
          </w:tcPr>
          <w:p w14:paraId="189BA479"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070-</w:t>
            </w:r>
            <w:r w:rsidRPr="004B0EC7">
              <w:rPr>
                <w:rFonts w:ascii="Times New Roman" w:hAnsi="Times New Roman"/>
                <w:sz w:val="24"/>
                <w:lang w:eastAsia="nl-BE"/>
              </w:rPr>
              <w:t>0</w:t>
            </w:r>
            <w:r w:rsidR="000B0B09" w:rsidRPr="004B0EC7">
              <w:rPr>
                <w:rFonts w:ascii="Times New Roman" w:hAnsi="Times New Roman"/>
                <w:sz w:val="24"/>
                <w:lang w:eastAsia="nl-BE"/>
              </w:rPr>
              <w:t>080</w:t>
            </w:r>
          </w:p>
        </w:tc>
        <w:tc>
          <w:tcPr>
            <w:tcW w:w="7869" w:type="dxa"/>
          </w:tcPr>
          <w:p w14:paraId="260164A4"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INCREMENTAL DEFAULT AND MIGRATION RISK CAPITAL CHARGE</w:t>
            </w:r>
          </w:p>
          <w:p w14:paraId="1E7EA146" w14:textId="62573725" w:rsidR="000B0B09" w:rsidRPr="004B0EC7" w:rsidRDefault="0016282F" w:rsidP="001B17E6">
            <w:pPr>
              <w:rPr>
                <w:rFonts w:ascii="Times New Roman" w:hAnsi="Times New Roman"/>
                <w:b/>
                <w:bCs/>
                <w:sz w:val="24"/>
                <w:u w:val="single"/>
                <w:lang w:eastAsia="nl-BE"/>
              </w:rPr>
            </w:pPr>
            <w:r w:rsidRPr="004B0EC7">
              <w:rPr>
                <w:rFonts w:ascii="Times New Roman" w:hAnsi="Times New Roman"/>
                <w:sz w:val="24"/>
                <w:lang w:eastAsia="fr-FR"/>
              </w:rPr>
              <w:t>Incremental default and migration risk capital charge</w:t>
            </w:r>
            <w:r w:rsidR="000B0B09" w:rsidRPr="004B0EC7">
              <w:rPr>
                <w:rFonts w:ascii="Times New Roman" w:hAnsi="Times New Roman"/>
                <w:sz w:val="24"/>
                <w:lang w:eastAsia="fr-FR"/>
              </w:rPr>
              <w:t xml:space="preserve"> means the maximum potential loss that would result from a price change linked to default and migration risks calculated </w:t>
            </w:r>
            <w:r w:rsidRPr="004B0EC7">
              <w:rPr>
                <w:rFonts w:ascii="Times New Roman" w:hAnsi="Times New Roman"/>
                <w:sz w:val="24"/>
                <w:lang w:eastAsia="fr-FR"/>
              </w:rPr>
              <w:t>in accordance with</w:t>
            </w:r>
            <w:r w:rsidR="00402284" w:rsidRPr="004B0EC7">
              <w:rPr>
                <w:rFonts w:ascii="Times New Roman" w:hAnsi="Times New Roman"/>
                <w:sz w:val="24"/>
                <w:lang w:eastAsia="fr-FR"/>
              </w:rPr>
              <w:t xml:space="preserve"> </w:t>
            </w:r>
            <w:r w:rsidR="000B0B09" w:rsidRPr="004B0EC7">
              <w:rPr>
                <w:rFonts w:ascii="Times New Roman" w:hAnsi="Times New Roman"/>
                <w:sz w:val="24"/>
              </w:rPr>
              <w:t>Article 364(2)</w:t>
            </w:r>
            <w:r w:rsidR="00B83DDE" w:rsidRPr="004B0EC7">
              <w:rPr>
                <w:rFonts w:ascii="Times New Roman" w:hAnsi="Times New Roman"/>
                <w:sz w:val="24"/>
              </w:rPr>
              <w:t>, p</w:t>
            </w:r>
            <w:r w:rsidR="001B17E6" w:rsidRPr="004B0EC7">
              <w:rPr>
                <w:rFonts w:ascii="Times New Roman" w:hAnsi="Times New Roman"/>
                <w:sz w:val="24"/>
                <w:lang w:eastAsia="fr-FR"/>
              </w:rPr>
              <w:t xml:space="preserve">oint (b) </w:t>
            </w:r>
            <w:r w:rsidR="000B0B09" w:rsidRPr="004B0EC7">
              <w:rPr>
                <w:rFonts w:ascii="Times New Roman" w:hAnsi="Times New Roman"/>
                <w:sz w:val="24"/>
              </w:rPr>
              <w:t xml:space="preserve">in </w:t>
            </w:r>
            <w:r w:rsidR="002300C6" w:rsidRPr="004B0EC7">
              <w:rPr>
                <w:rFonts w:ascii="Times New Roman" w:hAnsi="Times New Roman"/>
                <w:sz w:val="24"/>
              </w:rPr>
              <w:t xml:space="preserve">conjunction </w:t>
            </w:r>
            <w:r w:rsidR="000B0B09" w:rsidRPr="004B0EC7">
              <w:rPr>
                <w:rFonts w:ascii="Times New Roman" w:hAnsi="Times New Roman"/>
                <w:sz w:val="24"/>
              </w:rPr>
              <w:t xml:space="preserve">with </w:t>
            </w:r>
            <w:r w:rsidR="00587E96" w:rsidRPr="004B0EC7">
              <w:rPr>
                <w:rFonts w:ascii="Times New Roman" w:hAnsi="Times New Roman"/>
                <w:sz w:val="24"/>
              </w:rPr>
              <w:t xml:space="preserve">Part Three, Title IV, Chapter 5, Section 4 </w:t>
            </w:r>
            <w:r w:rsidR="006E347B" w:rsidRPr="004B0EC7">
              <w:rPr>
                <w:rFonts w:ascii="Times New Roman" w:hAnsi="Times New Roman"/>
                <w:sz w:val="24"/>
                <w:lang w:val="en-US"/>
              </w:rPr>
              <w:t>of Regulation (EU) No 575/2013</w:t>
            </w:r>
            <w:r w:rsidR="000B0B09" w:rsidRPr="004B0EC7">
              <w:rPr>
                <w:rFonts w:ascii="Times New Roman" w:hAnsi="Times New Roman"/>
                <w:sz w:val="24"/>
              </w:rPr>
              <w:t xml:space="preserve">. </w:t>
            </w:r>
          </w:p>
        </w:tc>
      </w:tr>
      <w:tr w:rsidR="000B0B09" w:rsidRPr="004B0EC7" w14:paraId="0A8D9874" w14:textId="77777777" w:rsidTr="00672D2A">
        <w:tc>
          <w:tcPr>
            <w:tcW w:w="993" w:type="dxa"/>
          </w:tcPr>
          <w:p w14:paraId="75FBF5CA"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070</w:t>
            </w:r>
          </w:p>
        </w:tc>
        <w:tc>
          <w:tcPr>
            <w:tcW w:w="7869" w:type="dxa"/>
          </w:tcPr>
          <w:p w14:paraId="5E1133B4"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12 weeks average measure</w:t>
            </w:r>
          </w:p>
          <w:p w14:paraId="54F95AD4" w14:textId="77777777" w:rsidR="005C14B0" w:rsidRPr="004B0EC7" w:rsidRDefault="005C14B0">
            <w:pPr>
              <w:autoSpaceDE w:val="0"/>
              <w:autoSpaceDN w:val="0"/>
              <w:adjustRightInd w:val="0"/>
              <w:spacing w:before="0" w:after="0"/>
              <w:rPr>
                <w:rFonts w:ascii="Times New Roman" w:hAnsi="Times New Roman"/>
                <w:sz w:val="24"/>
              </w:rPr>
            </w:pPr>
          </w:p>
          <w:p w14:paraId="7D1E5A11" w14:textId="2D0D518D" w:rsidR="005C14B0" w:rsidRPr="004B0EC7" w:rsidRDefault="000B0B09">
            <w:pPr>
              <w:autoSpaceDE w:val="0"/>
              <w:autoSpaceDN w:val="0"/>
              <w:adjustRightInd w:val="0"/>
              <w:spacing w:before="0" w:after="0"/>
              <w:rPr>
                <w:rFonts w:ascii="Times New Roman" w:hAnsi="Times New Roman"/>
                <w:sz w:val="24"/>
              </w:rPr>
            </w:pPr>
            <w:r w:rsidRPr="004B0EC7">
              <w:rPr>
                <w:rFonts w:ascii="Times New Roman" w:hAnsi="Times New Roman"/>
                <w:sz w:val="24"/>
              </w:rPr>
              <w:t>Article 364(2)</w:t>
            </w:r>
            <w:r w:rsidR="00B83DDE" w:rsidRPr="004B0EC7">
              <w:rPr>
                <w:rFonts w:ascii="Times New Roman" w:hAnsi="Times New Roman"/>
                <w:sz w:val="24"/>
              </w:rPr>
              <w:t>, p</w:t>
            </w:r>
            <w:r w:rsidR="001B17E6" w:rsidRPr="004B0EC7">
              <w:rPr>
                <w:rFonts w:ascii="Times New Roman" w:hAnsi="Times New Roman"/>
                <w:sz w:val="24"/>
              </w:rPr>
              <w:t xml:space="preserve">oint (b)(ii) </w:t>
            </w:r>
            <w:r w:rsidRPr="004B0EC7">
              <w:rPr>
                <w:rFonts w:ascii="Times New Roman" w:hAnsi="Times New Roman"/>
                <w:sz w:val="24"/>
              </w:rPr>
              <w:t xml:space="preserve">in </w:t>
            </w:r>
            <w:r w:rsidR="002300C6" w:rsidRPr="004B0EC7">
              <w:rPr>
                <w:rFonts w:ascii="Times New Roman" w:hAnsi="Times New Roman"/>
                <w:sz w:val="24"/>
              </w:rPr>
              <w:t xml:space="preserve">conjunction </w:t>
            </w:r>
            <w:r w:rsidRPr="004B0EC7">
              <w:rPr>
                <w:rFonts w:ascii="Times New Roman" w:hAnsi="Times New Roman"/>
                <w:sz w:val="24"/>
              </w:rPr>
              <w:t>with Part Three</w:t>
            </w:r>
            <w:r w:rsidR="001B17E6" w:rsidRPr="004B0EC7">
              <w:rPr>
                <w:rFonts w:ascii="Times New Roman" w:hAnsi="Times New Roman"/>
                <w:sz w:val="24"/>
              </w:rPr>
              <w:t>,</w:t>
            </w:r>
            <w:r w:rsidRPr="004B0EC7">
              <w:rPr>
                <w:rFonts w:ascii="Times New Roman" w:hAnsi="Times New Roman"/>
                <w:sz w:val="24"/>
              </w:rPr>
              <w:t xml:space="preserve"> </w:t>
            </w:r>
            <w:r w:rsidR="001B17E6" w:rsidRPr="004B0EC7">
              <w:rPr>
                <w:rFonts w:ascii="Times New Roman" w:hAnsi="Times New Roman"/>
                <w:sz w:val="24"/>
              </w:rPr>
              <w:t xml:space="preserve">Title IV, Chapter 5, Section 4 </w:t>
            </w:r>
            <w:r w:rsidR="006E347B" w:rsidRPr="004B0EC7">
              <w:rPr>
                <w:rFonts w:ascii="Times New Roman" w:hAnsi="Times New Roman"/>
                <w:sz w:val="24"/>
                <w:lang w:val="en-US"/>
              </w:rPr>
              <w:t>of Regulation (EU) No 575/2013</w:t>
            </w:r>
          </w:p>
          <w:p w14:paraId="10724354" w14:textId="77777777" w:rsidR="000B0B09" w:rsidRPr="004B0EC7" w:rsidRDefault="000B0B09">
            <w:pPr>
              <w:autoSpaceDE w:val="0"/>
              <w:autoSpaceDN w:val="0"/>
              <w:adjustRightInd w:val="0"/>
              <w:spacing w:before="0" w:after="0"/>
              <w:rPr>
                <w:rFonts w:ascii="Times New Roman" w:hAnsi="Times New Roman"/>
                <w:b/>
                <w:bCs/>
                <w:sz w:val="24"/>
                <w:u w:val="single"/>
                <w:lang w:eastAsia="nl-BE"/>
              </w:rPr>
            </w:pPr>
          </w:p>
        </w:tc>
      </w:tr>
      <w:tr w:rsidR="000B0B09" w:rsidRPr="004B0EC7" w14:paraId="067ADFA6" w14:textId="77777777" w:rsidTr="00672D2A">
        <w:tc>
          <w:tcPr>
            <w:tcW w:w="993" w:type="dxa"/>
          </w:tcPr>
          <w:p w14:paraId="751E50AF"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080</w:t>
            </w:r>
          </w:p>
        </w:tc>
        <w:tc>
          <w:tcPr>
            <w:tcW w:w="7869" w:type="dxa"/>
          </w:tcPr>
          <w:p w14:paraId="270A52C5"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Last Measure</w:t>
            </w:r>
          </w:p>
          <w:p w14:paraId="52161985"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p>
          <w:p w14:paraId="34DDE7DF" w14:textId="1A98AC14" w:rsidR="000B0B09" w:rsidRPr="004B0EC7" w:rsidRDefault="00705025" w:rsidP="000B0B09">
            <w:pPr>
              <w:autoSpaceDE w:val="0"/>
              <w:autoSpaceDN w:val="0"/>
              <w:adjustRightInd w:val="0"/>
              <w:spacing w:before="0" w:after="0"/>
              <w:rPr>
                <w:rFonts w:ascii="Times New Roman" w:hAnsi="Times New Roman"/>
                <w:sz w:val="24"/>
              </w:rPr>
            </w:pPr>
            <w:r w:rsidRPr="004B0EC7">
              <w:rPr>
                <w:rFonts w:ascii="Times New Roman" w:hAnsi="Times New Roman"/>
                <w:sz w:val="24"/>
              </w:rPr>
              <w:t>Article 364(2)</w:t>
            </w:r>
            <w:r w:rsidR="00B83DDE" w:rsidRPr="004B0EC7">
              <w:rPr>
                <w:rFonts w:ascii="Times New Roman" w:hAnsi="Times New Roman"/>
                <w:sz w:val="24"/>
              </w:rPr>
              <w:t>, p</w:t>
            </w:r>
            <w:r w:rsidR="001B17E6" w:rsidRPr="004B0EC7">
              <w:rPr>
                <w:rFonts w:ascii="Times New Roman" w:hAnsi="Times New Roman"/>
                <w:sz w:val="24"/>
              </w:rPr>
              <w:t xml:space="preserve">oint (b)(i) </w:t>
            </w:r>
            <w:r w:rsidR="000B0B09" w:rsidRPr="004B0EC7">
              <w:rPr>
                <w:rFonts w:ascii="Times New Roman" w:hAnsi="Times New Roman"/>
                <w:sz w:val="24"/>
              </w:rPr>
              <w:t xml:space="preserve">in </w:t>
            </w:r>
            <w:r w:rsidR="002300C6" w:rsidRPr="004B0EC7">
              <w:rPr>
                <w:rFonts w:ascii="Times New Roman" w:hAnsi="Times New Roman"/>
                <w:sz w:val="24"/>
              </w:rPr>
              <w:t xml:space="preserve">conjunction </w:t>
            </w:r>
            <w:r w:rsidR="000B0B09" w:rsidRPr="004B0EC7">
              <w:rPr>
                <w:rFonts w:ascii="Times New Roman" w:hAnsi="Times New Roman"/>
                <w:sz w:val="24"/>
              </w:rPr>
              <w:t xml:space="preserve">with </w:t>
            </w:r>
            <w:r w:rsidR="00587E96" w:rsidRPr="004B0EC7">
              <w:rPr>
                <w:rFonts w:ascii="Times New Roman" w:hAnsi="Times New Roman"/>
                <w:sz w:val="24"/>
              </w:rPr>
              <w:t>Part Three, Title IV, Chapter 5, Section 4</w:t>
            </w:r>
            <w:r w:rsidR="00402284" w:rsidRPr="004B0EC7">
              <w:rPr>
                <w:rFonts w:ascii="Times New Roman" w:hAnsi="Times New Roman"/>
                <w:sz w:val="24"/>
              </w:rPr>
              <w:t xml:space="preserve"> </w:t>
            </w:r>
            <w:r w:rsidR="006E347B" w:rsidRPr="004B0EC7">
              <w:rPr>
                <w:rFonts w:ascii="Times New Roman" w:hAnsi="Times New Roman"/>
                <w:sz w:val="24"/>
                <w:lang w:val="en-US"/>
              </w:rPr>
              <w:t>of Regulation (EU) No 575/2013</w:t>
            </w:r>
          </w:p>
          <w:p w14:paraId="401526B6"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4B0EC7" w14:paraId="1F8D773E" w14:textId="77777777" w:rsidTr="00672D2A">
        <w:tc>
          <w:tcPr>
            <w:tcW w:w="993" w:type="dxa"/>
          </w:tcPr>
          <w:p w14:paraId="32E29A61"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090-</w:t>
            </w:r>
            <w:r w:rsidRPr="004B0EC7">
              <w:rPr>
                <w:rFonts w:ascii="Times New Roman" w:hAnsi="Times New Roman"/>
                <w:sz w:val="24"/>
                <w:lang w:eastAsia="nl-BE"/>
              </w:rPr>
              <w:t>0</w:t>
            </w:r>
            <w:r w:rsidR="000B0B09" w:rsidRPr="004B0EC7">
              <w:rPr>
                <w:rFonts w:ascii="Times New Roman" w:hAnsi="Times New Roman"/>
                <w:sz w:val="24"/>
                <w:lang w:eastAsia="nl-BE"/>
              </w:rPr>
              <w:t>110</w:t>
            </w:r>
          </w:p>
        </w:tc>
        <w:tc>
          <w:tcPr>
            <w:tcW w:w="7869" w:type="dxa"/>
          </w:tcPr>
          <w:p w14:paraId="3A49421F"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ALL PRICE RISKS CAPITAL CHARGE FOR CTP</w:t>
            </w:r>
          </w:p>
          <w:p w14:paraId="277A72A9"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4B0EC7" w14:paraId="62170B3A" w14:textId="77777777" w:rsidTr="00672D2A">
        <w:tc>
          <w:tcPr>
            <w:tcW w:w="993" w:type="dxa"/>
          </w:tcPr>
          <w:p w14:paraId="112441B2"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090</w:t>
            </w:r>
          </w:p>
        </w:tc>
        <w:tc>
          <w:tcPr>
            <w:tcW w:w="7869" w:type="dxa"/>
          </w:tcPr>
          <w:p w14:paraId="36F8F7AC"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FLOOR</w:t>
            </w:r>
          </w:p>
          <w:p w14:paraId="08424932" w14:textId="6F00A60B" w:rsidR="000B0B09" w:rsidRPr="004B0EC7" w:rsidRDefault="000B0B09" w:rsidP="000B0B09">
            <w:pPr>
              <w:rPr>
                <w:rFonts w:ascii="Times New Roman" w:hAnsi="Times New Roman"/>
                <w:sz w:val="24"/>
              </w:rPr>
            </w:pPr>
            <w:r w:rsidRPr="004B0EC7">
              <w:rPr>
                <w:rFonts w:ascii="Times New Roman" w:hAnsi="Times New Roman"/>
                <w:sz w:val="24"/>
              </w:rPr>
              <w:t>Article 364(3)</w:t>
            </w:r>
            <w:r w:rsidR="00B83DDE" w:rsidRPr="004B0EC7">
              <w:rPr>
                <w:rFonts w:ascii="Times New Roman" w:hAnsi="Times New Roman"/>
                <w:sz w:val="24"/>
              </w:rPr>
              <w:t>, p</w:t>
            </w:r>
            <w:r w:rsidR="00587E96" w:rsidRPr="004B0EC7">
              <w:rPr>
                <w:rFonts w:ascii="Times New Roman" w:hAnsi="Times New Roman"/>
                <w:sz w:val="24"/>
              </w:rPr>
              <w:t>oint (c)</w:t>
            </w:r>
            <w:r w:rsidR="00BE1277" w:rsidRPr="004B0EC7">
              <w:rPr>
                <w:rFonts w:ascii="Times New Roman" w:hAnsi="Times New Roman"/>
                <w:sz w:val="24"/>
              </w:rPr>
              <w:t>,</w:t>
            </w:r>
            <w:r w:rsidR="00587E96" w:rsidRPr="004B0EC7">
              <w:rPr>
                <w:rFonts w:ascii="Times New Roman" w:hAnsi="Times New Roman"/>
                <w:sz w:val="24"/>
              </w:rPr>
              <w:t xml:space="preserve"> </w:t>
            </w:r>
            <w:r w:rsidR="006E347B" w:rsidRPr="004B0EC7">
              <w:rPr>
                <w:rFonts w:ascii="Times New Roman" w:hAnsi="Times New Roman"/>
                <w:sz w:val="24"/>
                <w:lang w:val="en-US"/>
              </w:rPr>
              <w:t>of Regulation (EU) No 575/2013</w:t>
            </w:r>
          </w:p>
          <w:p w14:paraId="71FEB01E" w14:textId="7D0B9236"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sz w:val="24"/>
              </w:rPr>
              <w:t>8</w:t>
            </w:r>
            <w:r w:rsidR="00B856D5" w:rsidRPr="004B0EC7">
              <w:rPr>
                <w:rFonts w:ascii="Times New Roman" w:hAnsi="Times New Roman"/>
                <w:sz w:val="24"/>
              </w:rPr>
              <w:t xml:space="preserve"> </w:t>
            </w:r>
            <w:r w:rsidRPr="004B0EC7">
              <w:rPr>
                <w:rFonts w:ascii="Times New Roman" w:hAnsi="Times New Roman"/>
                <w:sz w:val="24"/>
              </w:rPr>
              <w:t xml:space="preserve">% of the capital charge that would be calculated in accordance with Article 338(1) </w:t>
            </w:r>
            <w:r w:rsidR="006E347B" w:rsidRPr="004B0EC7">
              <w:rPr>
                <w:rFonts w:ascii="Times New Roman" w:hAnsi="Times New Roman"/>
                <w:sz w:val="24"/>
                <w:lang w:val="en-US"/>
              </w:rPr>
              <w:t>of Regulation (EU) No 575/2013</w:t>
            </w:r>
            <w:r w:rsidRPr="004B0EC7">
              <w:rPr>
                <w:rFonts w:ascii="Times New Roman" w:hAnsi="Times New Roman"/>
                <w:sz w:val="24"/>
              </w:rPr>
              <w:t xml:space="preserve"> for all positions in the ‘all price risks’ capital charge.</w:t>
            </w:r>
            <w:r w:rsidRPr="004B0EC7">
              <w:rPr>
                <w:rFonts w:ascii="Times New Roman" w:hAnsi="Times New Roman"/>
                <w:b/>
                <w:bCs/>
                <w:sz w:val="24"/>
                <w:u w:val="single"/>
                <w:lang w:eastAsia="nl-BE"/>
              </w:rPr>
              <w:t xml:space="preserve"> </w:t>
            </w:r>
          </w:p>
          <w:p w14:paraId="52B76E80"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4B0EC7" w14:paraId="2A444375" w14:textId="77777777" w:rsidTr="00672D2A">
        <w:tc>
          <w:tcPr>
            <w:tcW w:w="993" w:type="dxa"/>
          </w:tcPr>
          <w:p w14:paraId="29168B09"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100-</w:t>
            </w:r>
            <w:r w:rsidRPr="004B0EC7">
              <w:rPr>
                <w:rFonts w:ascii="Times New Roman" w:hAnsi="Times New Roman"/>
                <w:sz w:val="24"/>
                <w:lang w:eastAsia="nl-BE"/>
              </w:rPr>
              <w:t>0</w:t>
            </w:r>
            <w:r w:rsidR="000B0B09" w:rsidRPr="004B0EC7">
              <w:rPr>
                <w:rFonts w:ascii="Times New Roman" w:hAnsi="Times New Roman"/>
                <w:sz w:val="24"/>
                <w:lang w:eastAsia="nl-BE"/>
              </w:rPr>
              <w:t>110</w:t>
            </w:r>
          </w:p>
        </w:tc>
        <w:tc>
          <w:tcPr>
            <w:tcW w:w="7869" w:type="dxa"/>
          </w:tcPr>
          <w:p w14:paraId="60E09F60"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12 WEEKS AVERAGE MEASURE AND LAST MEASURE</w:t>
            </w:r>
          </w:p>
          <w:p w14:paraId="244F0E2D" w14:textId="75367C4C" w:rsidR="000B0B09" w:rsidRPr="004B0EC7" w:rsidRDefault="00587E96" w:rsidP="0016282F">
            <w:pPr>
              <w:autoSpaceDE w:val="0"/>
              <w:autoSpaceDN w:val="0"/>
              <w:adjustRightInd w:val="0"/>
              <w:spacing w:after="0"/>
              <w:rPr>
                <w:rFonts w:ascii="Times New Roman" w:hAnsi="Times New Roman"/>
                <w:bCs/>
                <w:sz w:val="24"/>
                <w:lang w:eastAsia="nl-BE"/>
              </w:rPr>
            </w:pPr>
            <w:r w:rsidRPr="004B0EC7">
              <w:rPr>
                <w:rFonts w:ascii="Times New Roman" w:hAnsi="Times New Roman"/>
                <w:sz w:val="24"/>
              </w:rPr>
              <w:t>Article 364(3)</w:t>
            </w:r>
            <w:r w:rsidR="00B83DDE" w:rsidRPr="004B0EC7">
              <w:rPr>
                <w:rFonts w:ascii="Times New Roman" w:hAnsi="Times New Roman"/>
                <w:sz w:val="24"/>
              </w:rPr>
              <w:t>, p</w:t>
            </w:r>
            <w:r w:rsidRPr="004B0EC7">
              <w:rPr>
                <w:rFonts w:ascii="Times New Roman" w:hAnsi="Times New Roman"/>
                <w:sz w:val="24"/>
              </w:rPr>
              <w:t>oint (b)</w:t>
            </w:r>
            <w:r w:rsidR="00CF5957" w:rsidRPr="004B0EC7">
              <w:rPr>
                <w:rFonts w:ascii="Times New Roman" w:hAnsi="Times New Roman"/>
                <w:sz w:val="24"/>
              </w:rPr>
              <w:t>,</w:t>
            </w:r>
            <w:r w:rsidRPr="004B0EC7">
              <w:rPr>
                <w:rFonts w:ascii="Times New Roman" w:hAnsi="Times New Roman"/>
                <w:sz w:val="24"/>
              </w:rPr>
              <w:t xml:space="preserve"> </w:t>
            </w:r>
            <w:r w:rsidR="006E347B" w:rsidRPr="004B0EC7">
              <w:rPr>
                <w:rFonts w:ascii="Times New Roman" w:hAnsi="Times New Roman"/>
                <w:sz w:val="24"/>
                <w:lang w:val="en-US"/>
              </w:rPr>
              <w:t>of Regulation (EU) No 575/2013</w:t>
            </w:r>
          </w:p>
          <w:p w14:paraId="07DFA832" w14:textId="4544A338" w:rsidR="000B0B09" w:rsidRPr="004B0EC7" w:rsidRDefault="000B0B09" w:rsidP="000B0B09">
            <w:pPr>
              <w:autoSpaceDE w:val="0"/>
              <w:autoSpaceDN w:val="0"/>
              <w:adjustRightInd w:val="0"/>
              <w:spacing w:before="0" w:after="0"/>
              <w:rPr>
                <w:rFonts w:ascii="Times New Roman" w:hAnsi="Times New Roman"/>
                <w:bCs/>
                <w:sz w:val="24"/>
                <w:u w:val="single"/>
                <w:lang w:eastAsia="nl-BE"/>
              </w:rPr>
            </w:pPr>
          </w:p>
        </w:tc>
      </w:tr>
      <w:tr w:rsidR="000B0B09" w:rsidRPr="004B0EC7" w14:paraId="76A5FE93" w14:textId="77777777" w:rsidTr="00672D2A">
        <w:tc>
          <w:tcPr>
            <w:tcW w:w="993" w:type="dxa"/>
          </w:tcPr>
          <w:p w14:paraId="17DCA950"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110</w:t>
            </w:r>
          </w:p>
        </w:tc>
        <w:tc>
          <w:tcPr>
            <w:tcW w:w="7869" w:type="dxa"/>
          </w:tcPr>
          <w:p w14:paraId="07581252" w14:textId="77777777" w:rsidR="000B0B09" w:rsidRPr="004B0EC7" w:rsidRDefault="000B0B09" w:rsidP="0016282F">
            <w:pPr>
              <w:autoSpaceDE w:val="0"/>
              <w:autoSpaceDN w:val="0"/>
              <w:adjustRightInd w:val="0"/>
              <w:spacing w:before="0"/>
              <w:rPr>
                <w:rFonts w:ascii="Times New Roman" w:hAnsi="Times New Roman"/>
                <w:b/>
                <w:bCs/>
                <w:sz w:val="24"/>
                <w:u w:val="single"/>
                <w:lang w:eastAsia="nl-BE"/>
              </w:rPr>
            </w:pPr>
            <w:r w:rsidRPr="004B0EC7">
              <w:rPr>
                <w:rFonts w:ascii="Times New Roman" w:hAnsi="Times New Roman"/>
                <w:b/>
                <w:bCs/>
                <w:sz w:val="24"/>
                <w:u w:val="single"/>
                <w:lang w:eastAsia="nl-BE"/>
              </w:rPr>
              <w:t>LAST MEASURE</w:t>
            </w:r>
          </w:p>
          <w:p w14:paraId="58C3865D" w14:textId="7EBBD50E" w:rsidR="005C14B0" w:rsidRPr="004B0EC7" w:rsidRDefault="00587E96" w:rsidP="000B0B09">
            <w:pPr>
              <w:autoSpaceDE w:val="0"/>
              <w:autoSpaceDN w:val="0"/>
              <w:adjustRightInd w:val="0"/>
              <w:spacing w:before="0" w:after="0"/>
              <w:rPr>
                <w:rFonts w:ascii="Times New Roman" w:hAnsi="Times New Roman"/>
                <w:bCs/>
                <w:sz w:val="24"/>
                <w:lang w:eastAsia="nl-BE"/>
              </w:rPr>
            </w:pPr>
            <w:r w:rsidRPr="004B0EC7">
              <w:rPr>
                <w:rFonts w:ascii="Times New Roman" w:hAnsi="Times New Roman"/>
                <w:sz w:val="24"/>
              </w:rPr>
              <w:t>Article 364(3)</w:t>
            </w:r>
            <w:r w:rsidR="00B83DDE" w:rsidRPr="004B0EC7">
              <w:rPr>
                <w:rFonts w:ascii="Times New Roman" w:hAnsi="Times New Roman"/>
                <w:sz w:val="24"/>
              </w:rPr>
              <w:t>, p</w:t>
            </w:r>
            <w:r w:rsidR="006E347B" w:rsidRPr="004B0EC7">
              <w:rPr>
                <w:rFonts w:ascii="Times New Roman" w:hAnsi="Times New Roman"/>
                <w:sz w:val="24"/>
              </w:rPr>
              <w:t>oint (a</w:t>
            </w:r>
            <w:r w:rsidRPr="004B0EC7">
              <w:rPr>
                <w:rFonts w:ascii="Times New Roman" w:hAnsi="Times New Roman"/>
                <w:sz w:val="24"/>
              </w:rPr>
              <w:t>)</w:t>
            </w:r>
            <w:r w:rsidR="00CF5957" w:rsidRPr="004B0EC7">
              <w:rPr>
                <w:rFonts w:ascii="Times New Roman" w:hAnsi="Times New Roman"/>
                <w:sz w:val="24"/>
              </w:rPr>
              <w:t>,</w:t>
            </w:r>
            <w:r w:rsidRPr="004B0EC7">
              <w:rPr>
                <w:rFonts w:ascii="Times New Roman" w:hAnsi="Times New Roman"/>
                <w:sz w:val="24"/>
              </w:rPr>
              <w:t xml:space="preserve"> </w:t>
            </w:r>
            <w:r w:rsidR="006E347B" w:rsidRPr="004B0EC7">
              <w:rPr>
                <w:rFonts w:ascii="Times New Roman" w:hAnsi="Times New Roman"/>
                <w:sz w:val="24"/>
                <w:lang w:val="en-US"/>
              </w:rPr>
              <w:t>of Regulation (EU) No 575/2013</w:t>
            </w:r>
          </w:p>
          <w:p w14:paraId="60068EED"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4B0EC7" w14:paraId="662D7C08" w14:textId="77777777" w:rsidTr="00672D2A">
        <w:tc>
          <w:tcPr>
            <w:tcW w:w="993" w:type="dxa"/>
          </w:tcPr>
          <w:p w14:paraId="59243D7E"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lastRenderedPageBreak/>
              <w:t>0</w:t>
            </w:r>
            <w:r w:rsidR="000B0B09" w:rsidRPr="004B0EC7">
              <w:rPr>
                <w:rFonts w:ascii="Times New Roman" w:hAnsi="Times New Roman"/>
                <w:sz w:val="24"/>
                <w:lang w:eastAsia="nl-BE"/>
              </w:rPr>
              <w:t>120</w:t>
            </w:r>
          </w:p>
        </w:tc>
        <w:tc>
          <w:tcPr>
            <w:tcW w:w="7869" w:type="dxa"/>
          </w:tcPr>
          <w:p w14:paraId="5E5800C9"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OWN FUNDS REQUIREMENTS</w:t>
            </w:r>
          </w:p>
          <w:p w14:paraId="7122FC14" w14:textId="52CC637D" w:rsidR="000B0B09" w:rsidRPr="004B0EC7" w:rsidRDefault="00BE0363" w:rsidP="0016282F">
            <w:pPr>
              <w:autoSpaceDE w:val="0"/>
              <w:autoSpaceDN w:val="0"/>
              <w:adjustRightInd w:val="0"/>
              <w:rPr>
                <w:rFonts w:ascii="Times New Roman" w:hAnsi="Times New Roman"/>
                <w:b/>
                <w:bCs/>
                <w:sz w:val="24"/>
                <w:u w:val="single"/>
                <w:lang w:eastAsia="nl-BE"/>
              </w:rPr>
            </w:pPr>
            <w:r w:rsidRPr="004B0EC7">
              <w:rPr>
                <w:rFonts w:ascii="Times New Roman" w:hAnsi="Times New Roman"/>
                <w:bCs/>
                <w:sz w:val="24"/>
                <w:lang w:eastAsia="nl-BE"/>
              </w:rPr>
              <w:t>Own funds requirements a</w:t>
            </w:r>
            <w:r w:rsidR="005C14B0" w:rsidRPr="004B0EC7">
              <w:rPr>
                <w:rFonts w:ascii="Times New Roman" w:hAnsi="Times New Roman"/>
                <w:bCs/>
                <w:sz w:val="24"/>
                <w:lang w:eastAsia="nl-BE"/>
              </w:rPr>
              <w:t xml:space="preserve">s </w:t>
            </w:r>
            <w:r w:rsidR="005C14B0" w:rsidRPr="004B0EC7">
              <w:rPr>
                <w:rFonts w:ascii="Times New Roman" w:hAnsi="Times New Roman"/>
                <w:sz w:val="24"/>
                <w:lang w:eastAsia="fr-FR"/>
              </w:rPr>
              <w:t>r</w:t>
            </w:r>
            <w:r w:rsidR="000B0B09" w:rsidRPr="004B0EC7">
              <w:rPr>
                <w:rFonts w:ascii="Times New Roman" w:hAnsi="Times New Roman"/>
                <w:sz w:val="24"/>
                <w:lang w:eastAsia="fr-FR"/>
              </w:rPr>
              <w:t xml:space="preserve">eferred to in Article 364 </w:t>
            </w:r>
            <w:r w:rsidR="006E347B" w:rsidRPr="004B0EC7">
              <w:rPr>
                <w:rFonts w:ascii="Times New Roman" w:hAnsi="Times New Roman"/>
                <w:sz w:val="24"/>
                <w:lang w:val="en-US"/>
              </w:rPr>
              <w:t>of Regulation (EU) No 575/2013</w:t>
            </w:r>
            <w:r w:rsidR="000B0B09" w:rsidRPr="004B0EC7">
              <w:rPr>
                <w:rFonts w:ascii="Times New Roman" w:hAnsi="Times New Roman"/>
                <w:sz w:val="24"/>
                <w:lang w:eastAsia="fr-FR"/>
              </w:rPr>
              <w:t xml:space="preserve"> of all risk factors</w:t>
            </w:r>
            <w:r w:rsidR="0016282F" w:rsidRPr="004B0EC7">
              <w:rPr>
                <w:rFonts w:ascii="Times New Roman" w:hAnsi="Times New Roman"/>
                <w:sz w:val="24"/>
                <w:lang w:eastAsia="fr-FR"/>
              </w:rPr>
              <w:t>,</w:t>
            </w:r>
            <w:r w:rsidR="000B0B09" w:rsidRPr="004B0EC7">
              <w:rPr>
                <w:rFonts w:ascii="Times New Roman" w:hAnsi="Times New Roman"/>
                <w:sz w:val="24"/>
                <w:lang w:eastAsia="fr-FR"/>
              </w:rPr>
              <w:t xml:space="preserve"> taking into account correlation effects, </w:t>
            </w:r>
            <w:r w:rsidR="0016282F" w:rsidRPr="004B0EC7">
              <w:rPr>
                <w:rFonts w:ascii="Times New Roman" w:hAnsi="Times New Roman"/>
                <w:sz w:val="24"/>
                <w:lang w:eastAsia="fr-FR"/>
              </w:rPr>
              <w:t>where</w:t>
            </w:r>
            <w:r w:rsidR="000B0B09" w:rsidRPr="004B0EC7">
              <w:rPr>
                <w:rFonts w:ascii="Times New Roman" w:hAnsi="Times New Roman"/>
                <w:sz w:val="24"/>
                <w:lang w:eastAsia="fr-FR"/>
              </w:rPr>
              <w:t xml:space="preserve"> applicable</w:t>
            </w:r>
            <w:r w:rsidR="00B83DDE" w:rsidRPr="004B0EC7">
              <w:rPr>
                <w:rFonts w:ascii="Times New Roman" w:hAnsi="Times New Roman"/>
                <w:sz w:val="24"/>
                <w:lang w:eastAsia="fr-FR"/>
              </w:rPr>
              <w:t>, p</w:t>
            </w:r>
            <w:r w:rsidR="000B0B09" w:rsidRPr="004B0EC7">
              <w:rPr>
                <w:rFonts w:ascii="Times New Roman" w:hAnsi="Times New Roman"/>
                <w:sz w:val="24"/>
                <w:lang w:eastAsia="fr-FR"/>
              </w:rPr>
              <w:t>lus incremental default and migration risk and all price of risks for CTP</w:t>
            </w:r>
            <w:r w:rsidR="0016282F" w:rsidRPr="004B0EC7">
              <w:rPr>
                <w:rFonts w:ascii="Times New Roman" w:hAnsi="Times New Roman"/>
                <w:sz w:val="24"/>
                <w:lang w:eastAsia="fr-FR"/>
              </w:rPr>
              <w:t>,</w:t>
            </w:r>
            <w:r w:rsidR="000B0B09" w:rsidRPr="004B0EC7">
              <w:rPr>
                <w:rFonts w:ascii="Times New Roman" w:hAnsi="Times New Roman"/>
                <w:sz w:val="24"/>
                <w:lang w:eastAsia="fr-FR"/>
              </w:rPr>
              <w:t xml:space="preserve"> but excluding the Securitization capital charges for Securitization and nth-to-default credit derivative according</w:t>
            </w:r>
            <w:r w:rsidR="0016282F" w:rsidRPr="004B0EC7">
              <w:rPr>
                <w:rFonts w:ascii="Times New Roman" w:hAnsi="Times New Roman"/>
                <w:sz w:val="24"/>
                <w:lang w:eastAsia="fr-FR"/>
              </w:rPr>
              <w:t xml:space="preserve"> to</w:t>
            </w:r>
            <w:r w:rsidR="000B0B09" w:rsidRPr="004B0EC7">
              <w:rPr>
                <w:rFonts w:ascii="Times New Roman" w:hAnsi="Times New Roman"/>
                <w:sz w:val="24"/>
                <w:lang w:eastAsia="fr-FR"/>
              </w:rPr>
              <w:t xml:space="preserve"> Article 364(2) </w:t>
            </w:r>
            <w:r w:rsidR="006E347B" w:rsidRPr="004B0EC7">
              <w:rPr>
                <w:rFonts w:ascii="Times New Roman" w:hAnsi="Times New Roman"/>
                <w:sz w:val="24"/>
                <w:lang w:val="en-US"/>
              </w:rPr>
              <w:t>of Regulation (EU) No 575/2013</w:t>
            </w:r>
            <w:r w:rsidR="000B0B09" w:rsidRPr="004B0EC7">
              <w:rPr>
                <w:rFonts w:ascii="Times New Roman" w:hAnsi="Times New Roman"/>
                <w:sz w:val="24"/>
                <w:lang w:eastAsia="fr-FR"/>
              </w:rPr>
              <w:t xml:space="preserve"> </w:t>
            </w:r>
          </w:p>
        </w:tc>
      </w:tr>
      <w:tr w:rsidR="000B0B09" w:rsidRPr="004B0EC7" w14:paraId="52312031" w14:textId="77777777" w:rsidTr="00672D2A">
        <w:tc>
          <w:tcPr>
            <w:tcW w:w="993" w:type="dxa"/>
          </w:tcPr>
          <w:p w14:paraId="79FC26FA"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130</w:t>
            </w:r>
          </w:p>
        </w:tc>
        <w:tc>
          <w:tcPr>
            <w:tcW w:w="7869" w:type="dxa"/>
          </w:tcPr>
          <w:p w14:paraId="5970507C"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TOTAL RISK EXPOSURE AMOUNT</w:t>
            </w:r>
          </w:p>
          <w:p w14:paraId="44CC9511"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p>
          <w:p w14:paraId="777F75DA" w14:textId="5892BB6A" w:rsidR="00BE0363" w:rsidRPr="004B0EC7" w:rsidRDefault="000B0B09" w:rsidP="000B0B09">
            <w:pPr>
              <w:autoSpaceDE w:val="0"/>
              <w:autoSpaceDN w:val="0"/>
              <w:adjustRightInd w:val="0"/>
              <w:spacing w:before="0" w:after="0"/>
              <w:rPr>
                <w:rFonts w:ascii="Times New Roman" w:hAnsi="Times New Roman"/>
                <w:sz w:val="24"/>
                <w:lang w:eastAsia="de-DE"/>
              </w:rPr>
            </w:pPr>
            <w:r w:rsidRPr="004B0EC7">
              <w:rPr>
                <w:rFonts w:ascii="Times New Roman" w:hAnsi="Times New Roman"/>
                <w:sz w:val="24"/>
                <w:lang w:eastAsia="de-DE"/>
              </w:rPr>
              <w:t>Article 92(</w:t>
            </w:r>
            <w:r w:rsidR="00C27B03" w:rsidRPr="004B0EC7">
              <w:rPr>
                <w:rFonts w:ascii="Times New Roman" w:hAnsi="Times New Roman"/>
                <w:sz w:val="24"/>
                <w:lang w:eastAsia="de-DE"/>
              </w:rPr>
              <w:t>7</w:t>
            </w:r>
            <w:r w:rsidRPr="004B0EC7">
              <w:rPr>
                <w:rFonts w:ascii="Times New Roman" w:hAnsi="Times New Roman"/>
                <w:sz w:val="24"/>
                <w:lang w:eastAsia="de-DE"/>
              </w:rPr>
              <w:t>)</w:t>
            </w:r>
            <w:r w:rsidR="00B83DDE" w:rsidRPr="004B0EC7">
              <w:rPr>
                <w:rFonts w:ascii="Times New Roman" w:hAnsi="Times New Roman"/>
                <w:sz w:val="24"/>
                <w:lang w:eastAsia="de-DE"/>
              </w:rPr>
              <w:t>, p</w:t>
            </w:r>
            <w:r w:rsidR="00587E96" w:rsidRPr="004B0EC7">
              <w:rPr>
                <w:rFonts w:ascii="Times New Roman" w:hAnsi="Times New Roman"/>
                <w:sz w:val="24"/>
              </w:rPr>
              <w:t>oint (b)</w:t>
            </w:r>
            <w:r w:rsidR="00BE1277" w:rsidRPr="004B0EC7">
              <w:rPr>
                <w:rFonts w:ascii="Times New Roman" w:hAnsi="Times New Roman"/>
                <w:sz w:val="24"/>
              </w:rPr>
              <w:t>,</w:t>
            </w:r>
            <w:r w:rsidR="00587E96" w:rsidRPr="004B0EC7">
              <w:rPr>
                <w:rFonts w:ascii="Times New Roman" w:hAnsi="Times New Roman"/>
                <w:sz w:val="24"/>
              </w:rPr>
              <w:t xml:space="preserve"> </w:t>
            </w:r>
            <w:r w:rsidR="006E347B" w:rsidRPr="004B0EC7">
              <w:rPr>
                <w:rFonts w:ascii="Times New Roman" w:hAnsi="Times New Roman"/>
                <w:sz w:val="24"/>
                <w:lang w:val="en-US"/>
              </w:rPr>
              <w:t>of Regulation (EU) No 575/2013</w:t>
            </w:r>
            <w:r w:rsidRPr="004B0EC7">
              <w:rPr>
                <w:rFonts w:ascii="Times New Roman" w:hAnsi="Times New Roman"/>
                <w:sz w:val="24"/>
                <w:lang w:eastAsia="de-DE"/>
              </w:rPr>
              <w:t xml:space="preserve">. </w:t>
            </w:r>
          </w:p>
          <w:p w14:paraId="6FD933BD" w14:textId="77777777" w:rsidR="000B0B09" w:rsidRPr="004B0EC7" w:rsidRDefault="000B0B09" w:rsidP="000B0B09">
            <w:pPr>
              <w:autoSpaceDE w:val="0"/>
              <w:autoSpaceDN w:val="0"/>
              <w:adjustRightInd w:val="0"/>
              <w:spacing w:before="0" w:after="0"/>
              <w:rPr>
                <w:rFonts w:ascii="Times New Roman" w:hAnsi="Times New Roman"/>
                <w:sz w:val="24"/>
                <w:lang w:eastAsia="de-DE"/>
              </w:rPr>
            </w:pPr>
            <w:r w:rsidRPr="004B0EC7">
              <w:rPr>
                <w:rFonts w:ascii="Times New Roman" w:hAnsi="Times New Roman"/>
                <w:sz w:val="24"/>
                <w:lang w:eastAsia="de-DE"/>
              </w:rPr>
              <w:t xml:space="preserve">Result of the multiplication of the own funds requirements </w:t>
            </w:r>
            <w:r w:rsidR="00D21B29" w:rsidRPr="004B0EC7">
              <w:rPr>
                <w:rFonts w:ascii="Times New Roman" w:hAnsi="Times New Roman"/>
                <w:sz w:val="24"/>
                <w:lang w:eastAsia="de-DE"/>
              </w:rPr>
              <w:t xml:space="preserve">by </w:t>
            </w:r>
            <w:r w:rsidRPr="004B0EC7">
              <w:rPr>
                <w:rFonts w:ascii="Times New Roman" w:hAnsi="Times New Roman"/>
                <w:sz w:val="24"/>
                <w:lang w:eastAsia="de-DE"/>
              </w:rPr>
              <w:t>12</w:t>
            </w:r>
            <w:r w:rsidR="00787733" w:rsidRPr="004B0EC7">
              <w:rPr>
                <w:rFonts w:ascii="Times New Roman" w:hAnsi="Times New Roman"/>
                <w:sz w:val="24"/>
                <w:lang w:eastAsia="de-DE"/>
              </w:rPr>
              <w:t>.</w:t>
            </w:r>
            <w:r w:rsidRPr="004B0EC7">
              <w:rPr>
                <w:rFonts w:ascii="Times New Roman" w:hAnsi="Times New Roman"/>
                <w:sz w:val="24"/>
                <w:lang w:eastAsia="de-DE"/>
              </w:rPr>
              <w:t>5</w:t>
            </w:r>
          </w:p>
          <w:p w14:paraId="7AA2CA20"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p>
        </w:tc>
      </w:tr>
      <w:tr w:rsidR="000B0B09" w:rsidRPr="004B0EC7" w14:paraId="1A9058AB" w14:textId="77777777" w:rsidTr="00672D2A">
        <w:tc>
          <w:tcPr>
            <w:tcW w:w="993" w:type="dxa"/>
          </w:tcPr>
          <w:p w14:paraId="41ACC74D"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140</w:t>
            </w:r>
          </w:p>
        </w:tc>
        <w:tc>
          <w:tcPr>
            <w:tcW w:w="7869" w:type="dxa"/>
          </w:tcPr>
          <w:p w14:paraId="1C66A419" w14:textId="77777777" w:rsidR="000B0B09" w:rsidRPr="004B0EC7" w:rsidRDefault="000B0B09" w:rsidP="0016282F">
            <w:pPr>
              <w:autoSpaceDE w:val="0"/>
              <w:autoSpaceDN w:val="0"/>
              <w:adjustRightInd w:val="0"/>
              <w:spacing w:before="0"/>
              <w:rPr>
                <w:rFonts w:ascii="Times New Roman" w:hAnsi="Times New Roman"/>
                <w:b/>
                <w:bCs/>
                <w:sz w:val="24"/>
                <w:u w:val="single"/>
                <w:lang w:eastAsia="fr-FR"/>
              </w:rPr>
            </w:pPr>
            <w:r w:rsidRPr="004B0EC7">
              <w:rPr>
                <w:rFonts w:ascii="Times New Roman" w:hAnsi="Times New Roman"/>
                <w:b/>
                <w:bCs/>
                <w:sz w:val="24"/>
                <w:u w:val="single"/>
                <w:lang w:eastAsia="fr-FR"/>
              </w:rPr>
              <w:t>Number of overshootings (during previous 250 working days)</w:t>
            </w:r>
          </w:p>
          <w:p w14:paraId="28B225BB" w14:textId="3D65F9F7" w:rsidR="00A92CFF" w:rsidRPr="004B0EC7" w:rsidRDefault="000B0B09" w:rsidP="0016282F">
            <w:pPr>
              <w:autoSpaceDE w:val="0"/>
              <w:autoSpaceDN w:val="0"/>
              <w:adjustRightInd w:val="0"/>
              <w:spacing w:before="0"/>
              <w:rPr>
                <w:rFonts w:ascii="Times New Roman" w:hAnsi="Times New Roman"/>
                <w:sz w:val="24"/>
                <w:lang w:eastAsia="fr-FR"/>
              </w:rPr>
            </w:pPr>
            <w:r w:rsidRPr="004B0EC7">
              <w:rPr>
                <w:rFonts w:ascii="Times New Roman" w:hAnsi="Times New Roman"/>
                <w:sz w:val="24"/>
                <w:lang w:eastAsia="fr-FR"/>
              </w:rPr>
              <w:t xml:space="preserve">Referred to in Article 366 </w:t>
            </w:r>
            <w:r w:rsidR="006E347B" w:rsidRPr="004B0EC7">
              <w:rPr>
                <w:rFonts w:ascii="Times New Roman" w:hAnsi="Times New Roman"/>
                <w:sz w:val="24"/>
                <w:lang w:val="en-US"/>
              </w:rPr>
              <w:t>of Regulation (EU) No 575/2013</w:t>
            </w:r>
          </w:p>
          <w:p w14:paraId="555E37D2" w14:textId="0C3340E4" w:rsidR="000B0B09" w:rsidRPr="004B0EC7" w:rsidRDefault="00A92CFF" w:rsidP="0016282F">
            <w:pPr>
              <w:autoSpaceDE w:val="0"/>
              <w:autoSpaceDN w:val="0"/>
              <w:adjustRightInd w:val="0"/>
              <w:spacing w:before="0"/>
              <w:rPr>
                <w:rFonts w:ascii="Times New Roman" w:hAnsi="Times New Roman"/>
                <w:b/>
                <w:bCs/>
                <w:sz w:val="24"/>
                <w:u w:val="single"/>
                <w:lang w:eastAsia="nl-BE"/>
              </w:rPr>
            </w:pPr>
            <w:r w:rsidRPr="004B0EC7">
              <w:rPr>
                <w:rFonts w:ascii="Times New Roman" w:hAnsi="Times New Roman"/>
                <w:sz w:val="24"/>
                <w:lang w:eastAsia="fr-FR"/>
              </w:rPr>
              <w:t>The number of overshootings based on which the addend is determined shall be reported.</w:t>
            </w:r>
            <w:r w:rsidR="00011AFA" w:rsidRPr="004B0EC7">
              <w:rPr>
                <w:rFonts w:ascii="Times New Roman" w:hAnsi="Times New Roman"/>
                <w:sz w:val="24"/>
                <w:lang w:eastAsia="fr-FR"/>
              </w:rPr>
              <w:t xml:space="preserve"> Where institutions are permitted to exclude certain overshootings from the calculation of the addend in accordance with Article 500c </w:t>
            </w:r>
            <w:r w:rsidR="006E347B" w:rsidRPr="004B0EC7">
              <w:rPr>
                <w:rFonts w:ascii="Times New Roman" w:hAnsi="Times New Roman"/>
                <w:sz w:val="24"/>
                <w:lang w:val="en-US"/>
              </w:rPr>
              <w:t>of Regulation (EU) No 575/2013</w:t>
            </w:r>
            <w:r w:rsidR="00011AFA" w:rsidRPr="004B0EC7">
              <w:rPr>
                <w:rFonts w:ascii="Times New Roman" w:hAnsi="Times New Roman"/>
                <w:sz w:val="24"/>
                <w:lang w:eastAsia="fr-FR"/>
              </w:rPr>
              <w:t>, the number of overshootings reported in this column shall be net of those excluded overshootings.</w:t>
            </w:r>
          </w:p>
        </w:tc>
      </w:tr>
      <w:tr w:rsidR="000B0B09" w:rsidRPr="004B0EC7" w14:paraId="6B35F841" w14:textId="77777777" w:rsidTr="00672D2A">
        <w:tc>
          <w:tcPr>
            <w:tcW w:w="993" w:type="dxa"/>
          </w:tcPr>
          <w:p w14:paraId="2EA668BF" w14:textId="77777777" w:rsidR="000B0B09" w:rsidRPr="004B0EC7" w:rsidRDefault="002F79EA"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150-</w:t>
            </w:r>
            <w:r w:rsidRPr="004B0EC7">
              <w:rPr>
                <w:rFonts w:ascii="Times New Roman" w:hAnsi="Times New Roman"/>
                <w:sz w:val="24"/>
                <w:lang w:eastAsia="nl-BE"/>
              </w:rPr>
              <w:t>0</w:t>
            </w:r>
            <w:r w:rsidR="000B0B09" w:rsidRPr="004B0EC7">
              <w:rPr>
                <w:rFonts w:ascii="Times New Roman" w:hAnsi="Times New Roman"/>
                <w:sz w:val="24"/>
                <w:lang w:eastAsia="nl-BE"/>
              </w:rPr>
              <w:t>160</w:t>
            </w:r>
          </w:p>
        </w:tc>
        <w:tc>
          <w:tcPr>
            <w:tcW w:w="7869" w:type="dxa"/>
          </w:tcPr>
          <w:p w14:paraId="410D2BF2" w14:textId="77777777" w:rsidR="000B0B09" w:rsidRPr="004B0EC7" w:rsidRDefault="000B0B09" w:rsidP="0016282F">
            <w:pPr>
              <w:autoSpaceDE w:val="0"/>
              <w:autoSpaceDN w:val="0"/>
              <w:adjustRightInd w:val="0"/>
              <w:spacing w:before="0"/>
              <w:rPr>
                <w:rFonts w:ascii="Times New Roman" w:hAnsi="Times New Roman"/>
                <w:b/>
                <w:bCs/>
                <w:sz w:val="24"/>
                <w:u w:val="single"/>
                <w:lang w:eastAsia="nl-BE"/>
              </w:rPr>
            </w:pPr>
            <w:r w:rsidRPr="004B0EC7">
              <w:rPr>
                <w:rFonts w:ascii="Times New Roman" w:hAnsi="Times New Roman"/>
                <w:b/>
                <w:bCs/>
                <w:sz w:val="24"/>
                <w:u w:val="single"/>
                <w:lang w:eastAsia="nl-BE"/>
              </w:rPr>
              <w:t>VaR Multiplication Factor (mc) and SVaR Multiplication Factor (ms)</w:t>
            </w:r>
          </w:p>
          <w:p w14:paraId="315BC479" w14:textId="254D1B3C" w:rsidR="005C14B0" w:rsidRPr="004B0EC7" w:rsidRDefault="000B0B09" w:rsidP="006418A0">
            <w:pPr>
              <w:autoSpaceDE w:val="0"/>
              <w:autoSpaceDN w:val="0"/>
              <w:adjustRightInd w:val="0"/>
              <w:spacing w:before="0"/>
              <w:rPr>
                <w:rFonts w:ascii="Times New Roman" w:hAnsi="Times New Roman"/>
                <w:sz w:val="24"/>
              </w:rPr>
            </w:pPr>
            <w:r w:rsidRPr="004B0EC7">
              <w:rPr>
                <w:rFonts w:ascii="Times New Roman" w:hAnsi="Times New Roman"/>
                <w:sz w:val="24"/>
              </w:rPr>
              <w:t xml:space="preserve">As referred to in Article 366 </w:t>
            </w:r>
            <w:r w:rsidR="006E347B" w:rsidRPr="004B0EC7">
              <w:rPr>
                <w:rFonts w:ascii="Times New Roman" w:hAnsi="Times New Roman"/>
                <w:sz w:val="24"/>
                <w:lang w:val="en-US"/>
              </w:rPr>
              <w:t>of Regulation (EU) No 575/2013</w:t>
            </w:r>
          </w:p>
          <w:p w14:paraId="288D1C77" w14:textId="1A1A8D50" w:rsidR="00011AFA" w:rsidRPr="004B0EC7" w:rsidRDefault="00011AFA">
            <w:pPr>
              <w:autoSpaceDE w:val="0"/>
              <w:autoSpaceDN w:val="0"/>
              <w:adjustRightInd w:val="0"/>
              <w:spacing w:before="0" w:after="0"/>
              <w:rPr>
                <w:rStyle w:val="InstructionsTabelleberschrift"/>
              </w:rPr>
            </w:pPr>
            <w:r w:rsidRPr="004B0EC7">
              <w:rPr>
                <w:rFonts w:ascii="Times New Roman" w:hAnsi="Times New Roman"/>
                <w:sz w:val="24"/>
                <w:lang w:eastAsia="fr-FR"/>
              </w:rPr>
              <w:t xml:space="preserve">The multiplication factors effectively applicable for the calculation of own funds requirements shall be reported; where applicable, after application of Article 500c </w:t>
            </w:r>
            <w:r w:rsidR="006E347B" w:rsidRPr="004B0EC7">
              <w:rPr>
                <w:rFonts w:ascii="Times New Roman" w:hAnsi="Times New Roman"/>
                <w:sz w:val="24"/>
                <w:lang w:val="en-US"/>
              </w:rPr>
              <w:t>of Regulation (EU) No 575/2013</w:t>
            </w:r>
            <w:r w:rsidRPr="004B0EC7">
              <w:rPr>
                <w:rFonts w:ascii="Times New Roman" w:hAnsi="Times New Roman"/>
                <w:sz w:val="24"/>
                <w:lang w:eastAsia="fr-FR"/>
              </w:rPr>
              <w:t>.</w:t>
            </w:r>
          </w:p>
          <w:p w14:paraId="4889D826" w14:textId="77777777" w:rsidR="000B0B09" w:rsidRPr="004B0EC7" w:rsidRDefault="000B0B09">
            <w:pPr>
              <w:autoSpaceDE w:val="0"/>
              <w:autoSpaceDN w:val="0"/>
              <w:adjustRightInd w:val="0"/>
              <w:spacing w:before="0" w:after="0"/>
              <w:rPr>
                <w:rFonts w:ascii="Times New Roman" w:hAnsi="Times New Roman"/>
                <w:b/>
                <w:bCs/>
                <w:sz w:val="24"/>
                <w:u w:val="single"/>
                <w:lang w:eastAsia="fr-FR"/>
              </w:rPr>
            </w:pPr>
          </w:p>
        </w:tc>
      </w:tr>
      <w:tr w:rsidR="000B0B09" w:rsidRPr="004B0EC7" w14:paraId="0F119F1A" w14:textId="77777777" w:rsidTr="00672D2A">
        <w:tc>
          <w:tcPr>
            <w:tcW w:w="993" w:type="dxa"/>
          </w:tcPr>
          <w:p w14:paraId="1081B646" w14:textId="77777777" w:rsidR="000B0B09" w:rsidRPr="004B0EC7" w:rsidRDefault="002F79EA" w:rsidP="00B74792">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170-</w:t>
            </w:r>
            <w:r w:rsidRPr="004B0EC7">
              <w:rPr>
                <w:rFonts w:ascii="Times New Roman" w:hAnsi="Times New Roman"/>
                <w:sz w:val="24"/>
                <w:lang w:eastAsia="nl-BE"/>
              </w:rPr>
              <w:t>0</w:t>
            </w:r>
            <w:r w:rsidR="000B0B09" w:rsidRPr="004B0EC7">
              <w:rPr>
                <w:rFonts w:ascii="Times New Roman" w:hAnsi="Times New Roman"/>
                <w:sz w:val="24"/>
                <w:lang w:eastAsia="nl-BE"/>
              </w:rPr>
              <w:t>180</w:t>
            </w:r>
          </w:p>
        </w:tc>
        <w:tc>
          <w:tcPr>
            <w:tcW w:w="7869" w:type="dxa"/>
          </w:tcPr>
          <w:p w14:paraId="5B3A5B31"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ASSUMED CHARGE FOR CTP FLOOR - WEIGHTED NET LONG/ SHORT POSITIONS AFTER CAP</w:t>
            </w:r>
          </w:p>
          <w:p w14:paraId="68C956BE" w14:textId="3FF52305" w:rsidR="00902EFC" w:rsidRPr="004B0EC7" w:rsidRDefault="000B0B09" w:rsidP="00587E96">
            <w:pPr>
              <w:autoSpaceDE w:val="0"/>
              <w:autoSpaceDN w:val="0"/>
              <w:adjustRightInd w:val="0"/>
              <w:rPr>
                <w:rStyle w:val="InstructionsTabelleberschrift"/>
                <w:rFonts w:ascii="Times New Roman" w:hAnsi="Times New Roman"/>
                <w:sz w:val="24"/>
              </w:rPr>
            </w:pPr>
            <w:r w:rsidRPr="004B0EC7">
              <w:rPr>
                <w:rFonts w:ascii="Times New Roman" w:hAnsi="Times New Roman"/>
                <w:sz w:val="24"/>
                <w:lang w:eastAsia="fr-FR"/>
              </w:rPr>
              <w:t xml:space="preserve">The amount reported and serving as the basis to calculate the floor capital charge for all price risks </w:t>
            </w:r>
            <w:r w:rsidR="00BB22D4" w:rsidRPr="004B0EC7">
              <w:rPr>
                <w:rFonts w:ascii="Times New Roman" w:hAnsi="Times New Roman"/>
                <w:sz w:val="24"/>
                <w:lang w:eastAsia="fr-FR"/>
              </w:rPr>
              <w:t>in accordance with</w:t>
            </w:r>
            <w:r w:rsidRPr="004B0EC7">
              <w:rPr>
                <w:rFonts w:ascii="Times New Roman" w:hAnsi="Times New Roman"/>
                <w:sz w:val="24"/>
                <w:lang w:eastAsia="fr-FR"/>
              </w:rPr>
              <w:t xml:space="preserve"> </w:t>
            </w:r>
            <w:r w:rsidR="00705025" w:rsidRPr="004B0EC7">
              <w:rPr>
                <w:rFonts w:ascii="Times New Roman" w:hAnsi="Times New Roman"/>
                <w:bCs/>
                <w:sz w:val="24"/>
                <w:lang w:eastAsia="nl-BE"/>
              </w:rPr>
              <w:t>Article 364(3)</w:t>
            </w:r>
            <w:r w:rsidR="00B83DDE" w:rsidRPr="004B0EC7">
              <w:rPr>
                <w:rFonts w:ascii="Times New Roman" w:hAnsi="Times New Roman"/>
                <w:bCs/>
                <w:sz w:val="24"/>
                <w:lang w:eastAsia="nl-BE"/>
              </w:rPr>
              <w:t>, p</w:t>
            </w:r>
            <w:r w:rsidR="00587E96" w:rsidRPr="004B0EC7">
              <w:rPr>
                <w:rFonts w:ascii="Times New Roman" w:hAnsi="Times New Roman"/>
                <w:bCs/>
                <w:sz w:val="24"/>
                <w:lang w:eastAsia="nl-BE"/>
              </w:rPr>
              <w:t>oint (c)</w:t>
            </w:r>
            <w:r w:rsidR="00BE1277" w:rsidRPr="004B0EC7">
              <w:rPr>
                <w:rFonts w:ascii="Times New Roman" w:hAnsi="Times New Roman"/>
                <w:bCs/>
                <w:sz w:val="24"/>
                <w:lang w:eastAsia="nl-BE"/>
              </w:rPr>
              <w:t>,</w:t>
            </w:r>
            <w:r w:rsidR="00587E96" w:rsidRPr="004B0EC7">
              <w:rPr>
                <w:rFonts w:ascii="Times New Roman" w:hAnsi="Times New Roman"/>
                <w:bCs/>
                <w:sz w:val="24"/>
                <w:lang w:eastAsia="nl-BE"/>
              </w:rPr>
              <w:t xml:space="preserve"> </w:t>
            </w:r>
            <w:r w:rsidR="006E347B" w:rsidRPr="004B0EC7">
              <w:rPr>
                <w:rFonts w:ascii="Times New Roman" w:hAnsi="Times New Roman"/>
                <w:sz w:val="24"/>
                <w:lang w:val="en-US"/>
              </w:rPr>
              <w:t>of Regulation (EU) No 575/2013</w:t>
            </w:r>
            <w:r w:rsidR="0016282F" w:rsidRPr="004B0EC7">
              <w:rPr>
                <w:rFonts w:ascii="Times New Roman" w:hAnsi="Times New Roman"/>
                <w:bCs/>
                <w:sz w:val="24"/>
                <w:lang w:eastAsia="nl-BE"/>
              </w:rPr>
              <w:t>,</w:t>
            </w:r>
            <w:r w:rsidR="005C14B0" w:rsidRPr="004B0EC7">
              <w:rPr>
                <w:rFonts w:ascii="Times New Roman" w:hAnsi="Times New Roman"/>
                <w:bCs/>
                <w:sz w:val="24"/>
                <w:lang w:eastAsia="nl-BE"/>
              </w:rPr>
              <w:t xml:space="preserve"> </w:t>
            </w:r>
            <w:r w:rsidRPr="004B0EC7">
              <w:rPr>
                <w:rFonts w:ascii="Times New Roman" w:hAnsi="Times New Roman"/>
                <w:sz w:val="24"/>
                <w:lang w:eastAsia="fr-FR"/>
              </w:rPr>
              <w:t>tak</w:t>
            </w:r>
            <w:r w:rsidR="005C14B0" w:rsidRPr="004B0EC7">
              <w:rPr>
                <w:rFonts w:ascii="Times New Roman" w:hAnsi="Times New Roman"/>
                <w:sz w:val="24"/>
                <w:lang w:eastAsia="fr-FR"/>
              </w:rPr>
              <w:t>ing</w:t>
            </w:r>
            <w:r w:rsidRPr="004B0EC7">
              <w:rPr>
                <w:rFonts w:ascii="Times New Roman" w:hAnsi="Times New Roman"/>
                <w:sz w:val="24"/>
                <w:lang w:eastAsia="fr-FR"/>
              </w:rPr>
              <w:t xml:space="preserve"> into account the discretion of Article 335 </w:t>
            </w:r>
            <w:r w:rsidR="00F75233" w:rsidRPr="004B0EC7">
              <w:rPr>
                <w:rFonts w:ascii="Times New Roman" w:hAnsi="Times New Roman"/>
                <w:sz w:val="24"/>
                <w:lang w:val="en-US"/>
              </w:rPr>
              <w:t>of that Regulation</w:t>
            </w:r>
            <w:r w:rsidR="00F75233" w:rsidRPr="004B0EC7" w:rsidDel="006E347B">
              <w:rPr>
                <w:rFonts w:ascii="Times New Roman" w:hAnsi="Times New Roman"/>
                <w:sz w:val="24"/>
                <w:lang w:eastAsia="fr-FR"/>
              </w:rPr>
              <w:t xml:space="preserve"> </w:t>
            </w:r>
            <w:r w:rsidRPr="004B0EC7">
              <w:rPr>
                <w:rFonts w:ascii="Times New Roman" w:hAnsi="Times New Roman"/>
                <w:sz w:val="24"/>
                <w:lang w:eastAsia="fr-FR"/>
              </w:rPr>
              <w:t xml:space="preserve">which </w:t>
            </w:r>
            <w:r w:rsidR="005C14B0" w:rsidRPr="004B0EC7">
              <w:rPr>
                <w:rFonts w:ascii="Times New Roman" w:hAnsi="Times New Roman"/>
                <w:sz w:val="24"/>
                <w:lang w:eastAsia="fr-FR"/>
              </w:rPr>
              <w:t xml:space="preserve">stipulates </w:t>
            </w:r>
            <w:r w:rsidRPr="004B0EC7">
              <w:rPr>
                <w:rFonts w:ascii="Times New Roman" w:hAnsi="Times New Roman"/>
                <w:sz w:val="24"/>
                <w:lang w:eastAsia="fr-FR"/>
              </w:rPr>
              <w:t xml:space="preserve">that the institution may cap the product of the weight and the net position at the maximum possible default-risk related loss. </w:t>
            </w:r>
          </w:p>
        </w:tc>
      </w:tr>
    </w:tbl>
    <w:p w14:paraId="32116763" w14:textId="77777777" w:rsidR="000B0B09" w:rsidRPr="004B0EC7" w:rsidRDefault="000B0B09" w:rsidP="000B0B09">
      <w:pPr>
        <w:rPr>
          <w:rFonts w:ascii="Times New Roman" w:hAnsi="Times New Roman"/>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903"/>
      </w:tblGrid>
      <w:tr w:rsidR="00067367" w:rsidRPr="004B0EC7" w14:paraId="0F7C3E72" w14:textId="77777777" w:rsidTr="00672D2A">
        <w:trPr>
          <w:trHeight w:val="566"/>
        </w:trPr>
        <w:tc>
          <w:tcPr>
            <w:tcW w:w="8896" w:type="dxa"/>
            <w:gridSpan w:val="2"/>
            <w:shd w:val="clear" w:color="auto" w:fill="CCCCCC"/>
          </w:tcPr>
          <w:p w14:paraId="60B80A9E" w14:textId="77777777" w:rsidR="000B0B09" w:rsidRPr="004B0EC7" w:rsidRDefault="000B0B09" w:rsidP="000B0B09">
            <w:pPr>
              <w:autoSpaceDE w:val="0"/>
              <w:autoSpaceDN w:val="0"/>
              <w:adjustRightInd w:val="0"/>
              <w:spacing w:after="0"/>
              <w:rPr>
                <w:rFonts w:ascii="Times New Roman" w:hAnsi="Times New Roman"/>
                <w:b/>
                <w:sz w:val="24"/>
                <w:lang w:eastAsia="nl-BE"/>
              </w:rPr>
            </w:pPr>
            <w:r w:rsidRPr="004B0EC7">
              <w:rPr>
                <w:rFonts w:ascii="Times New Roman" w:hAnsi="Times New Roman"/>
                <w:b/>
                <w:sz w:val="24"/>
                <w:lang w:eastAsia="nl-BE"/>
              </w:rPr>
              <w:t>Rows</w:t>
            </w:r>
          </w:p>
        </w:tc>
      </w:tr>
      <w:tr w:rsidR="00E9314A" w:rsidRPr="004B0EC7" w14:paraId="4DAD8BA6" w14:textId="77777777" w:rsidTr="00672D2A">
        <w:tc>
          <w:tcPr>
            <w:tcW w:w="993" w:type="dxa"/>
          </w:tcPr>
          <w:p w14:paraId="2C74563C" w14:textId="77777777" w:rsidR="000B0B09" w:rsidRPr="004B0EC7" w:rsidRDefault="00787733"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010</w:t>
            </w:r>
          </w:p>
        </w:tc>
        <w:tc>
          <w:tcPr>
            <w:tcW w:w="7903" w:type="dxa"/>
          </w:tcPr>
          <w:p w14:paraId="061D05D4"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TOTAL POSITIONS</w:t>
            </w:r>
          </w:p>
          <w:p w14:paraId="22755B2D"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p>
          <w:p w14:paraId="0B3799EE" w14:textId="63AC6002" w:rsidR="005C14B0" w:rsidRPr="004B0EC7" w:rsidRDefault="000B0B09" w:rsidP="0016282F">
            <w:pPr>
              <w:autoSpaceDE w:val="0"/>
              <w:autoSpaceDN w:val="0"/>
              <w:adjustRightInd w:val="0"/>
              <w:spacing w:before="0"/>
              <w:rPr>
                <w:rFonts w:ascii="Times New Roman" w:hAnsi="Times New Roman"/>
                <w:sz w:val="24"/>
                <w:lang w:eastAsia="fr-FR"/>
              </w:rPr>
            </w:pPr>
            <w:r w:rsidRPr="004B0EC7">
              <w:rPr>
                <w:rFonts w:ascii="Times New Roman" w:hAnsi="Times New Roman"/>
                <w:sz w:val="24"/>
                <w:lang w:eastAsia="fr-FR"/>
              </w:rPr>
              <w:t xml:space="preserve">Corresponds to the part of position, foreign exchange and commodities risk referred to in Article 363(1) </w:t>
            </w:r>
            <w:r w:rsidR="006E347B" w:rsidRPr="004B0EC7">
              <w:rPr>
                <w:rFonts w:ascii="Times New Roman" w:hAnsi="Times New Roman"/>
                <w:sz w:val="24"/>
                <w:lang w:val="en-US"/>
              </w:rPr>
              <w:t>of Regulation (EU) No 575/2013</w:t>
            </w:r>
            <w:r w:rsidRPr="004B0EC7">
              <w:rPr>
                <w:rFonts w:ascii="Times New Roman" w:hAnsi="Times New Roman"/>
                <w:sz w:val="24"/>
                <w:lang w:eastAsia="fr-FR"/>
              </w:rPr>
              <w:t xml:space="preserve"> linked to the risk factors specified in Article 367(2) </w:t>
            </w:r>
            <w:r w:rsidR="00F75233" w:rsidRPr="004B0EC7">
              <w:rPr>
                <w:rFonts w:ascii="Times New Roman" w:hAnsi="Times New Roman"/>
                <w:sz w:val="24"/>
                <w:lang w:val="en-US"/>
              </w:rPr>
              <w:t>of that Regulation</w:t>
            </w:r>
            <w:r w:rsidRPr="004B0EC7">
              <w:rPr>
                <w:rFonts w:ascii="Times New Roman" w:hAnsi="Times New Roman"/>
                <w:sz w:val="24"/>
                <w:lang w:eastAsia="fr-FR"/>
              </w:rPr>
              <w:t>.</w:t>
            </w:r>
          </w:p>
          <w:p w14:paraId="6F18E4FF" w14:textId="77777777" w:rsidR="005C14B0" w:rsidRPr="004B0EC7" w:rsidRDefault="000B0B09">
            <w:pPr>
              <w:autoSpaceDE w:val="0"/>
              <w:autoSpaceDN w:val="0"/>
              <w:adjustRightInd w:val="0"/>
              <w:spacing w:before="0" w:after="0"/>
              <w:rPr>
                <w:rFonts w:ascii="Times New Roman" w:hAnsi="Times New Roman"/>
                <w:sz w:val="24"/>
                <w:lang w:eastAsia="fr-FR"/>
              </w:rPr>
            </w:pPr>
            <w:r w:rsidRPr="004B0EC7">
              <w:rPr>
                <w:rFonts w:ascii="Times New Roman" w:hAnsi="Times New Roman"/>
                <w:sz w:val="24"/>
                <w:lang w:eastAsia="fr-FR"/>
              </w:rPr>
              <w:t xml:space="preserve">Concerning the columns </w:t>
            </w:r>
            <w:r w:rsidR="00787733" w:rsidRPr="004B0EC7">
              <w:rPr>
                <w:rFonts w:ascii="Times New Roman" w:hAnsi="Times New Roman"/>
                <w:sz w:val="24"/>
                <w:lang w:eastAsia="fr-FR"/>
              </w:rPr>
              <w:t>0</w:t>
            </w:r>
            <w:r w:rsidRPr="004B0EC7">
              <w:rPr>
                <w:rFonts w:ascii="Times New Roman" w:hAnsi="Times New Roman"/>
                <w:sz w:val="24"/>
                <w:lang w:eastAsia="fr-FR"/>
              </w:rPr>
              <w:t xml:space="preserve">030 to </w:t>
            </w:r>
            <w:r w:rsidR="00787733" w:rsidRPr="004B0EC7">
              <w:rPr>
                <w:rFonts w:ascii="Times New Roman" w:hAnsi="Times New Roman"/>
                <w:sz w:val="24"/>
                <w:lang w:eastAsia="fr-FR"/>
              </w:rPr>
              <w:t>0</w:t>
            </w:r>
            <w:r w:rsidRPr="004B0EC7">
              <w:rPr>
                <w:rFonts w:ascii="Times New Roman" w:hAnsi="Times New Roman"/>
                <w:sz w:val="24"/>
                <w:lang w:eastAsia="fr-FR"/>
              </w:rPr>
              <w:t>060 (VAR and Stress-VAR)</w:t>
            </w:r>
            <w:r w:rsidR="0016282F" w:rsidRPr="004B0EC7">
              <w:rPr>
                <w:rFonts w:ascii="Times New Roman" w:hAnsi="Times New Roman"/>
                <w:sz w:val="24"/>
                <w:lang w:eastAsia="fr-FR"/>
              </w:rPr>
              <w:t>,</w:t>
            </w:r>
            <w:r w:rsidRPr="004B0EC7">
              <w:rPr>
                <w:rFonts w:ascii="Times New Roman" w:hAnsi="Times New Roman"/>
                <w:sz w:val="24"/>
                <w:lang w:eastAsia="fr-FR"/>
              </w:rPr>
              <w:t xml:space="preserve"> the figures in the total row </w:t>
            </w:r>
            <w:r w:rsidR="0016282F" w:rsidRPr="004B0EC7">
              <w:rPr>
                <w:rFonts w:ascii="Times New Roman" w:hAnsi="Times New Roman"/>
                <w:sz w:val="24"/>
                <w:lang w:eastAsia="fr-FR"/>
              </w:rPr>
              <w:t>are</w:t>
            </w:r>
            <w:r w:rsidRPr="004B0EC7">
              <w:rPr>
                <w:rFonts w:ascii="Times New Roman" w:hAnsi="Times New Roman"/>
                <w:sz w:val="24"/>
                <w:lang w:eastAsia="fr-FR"/>
              </w:rPr>
              <w:t xml:space="preserve"> not equal to the decomposition of the figures for the V</w:t>
            </w:r>
            <w:r w:rsidR="00BE0363" w:rsidRPr="004B0EC7">
              <w:rPr>
                <w:rFonts w:ascii="Times New Roman" w:hAnsi="Times New Roman"/>
                <w:sz w:val="24"/>
                <w:lang w:eastAsia="fr-FR"/>
              </w:rPr>
              <w:t>a</w:t>
            </w:r>
            <w:r w:rsidRPr="004B0EC7">
              <w:rPr>
                <w:rFonts w:ascii="Times New Roman" w:hAnsi="Times New Roman"/>
                <w:sz w:val="24"/>
                <w:lang w:eastAsia="fr-FR"/>
              </w:rPr>
              <w:t>R/Stress-V</w:t>
            </w:r>
            <w:r w:rsidR="00BE0363" w:rsidRPr="004B0EC7">
              <w:rPr>
                <w:rFonts w:ascii="Times New Roman" w:hAnsi="Times New Roman"/>
                <w:sz w:val="24"/>
                <w:lang w:eastAsia="fr-FR"/>
              </w:rPr>
              <w:t>a</w:t>
            </w:r>
            <w:r w:rsidRPr="004B0EC7">
              <w:rPr>
                <w:rFonts w:ascii="Times New Roman" w:hAnsi="Times New Roman"/>
                <w:sz w:val="24"/>
                <w:lang w:eastAsia="fr-FR"/>
              </w:rPr>
              <w:t>R of the relevant risk components</w:t>
            </w:r>
            <w:r w:rsidR="002300C6" w:rsidRPr="004B0EC7">
              <w:rPr>
                <w:rFonts w:ascii="Times New Roman" w:hAnsi="Times New Roman"/>
                <w:sz w:val="24"/>
                <w:lang w:eastAsia="fr-FR"/>
              </w:rPr>
              <w:t>.</w:t>
            </w:r>
          </w:p>
          <w:p w14:paraId="29160AEA" w14:textId="77777777" w:rsidR="000B0B09" w:rsidRPr="004B0EC7" w:rsidRDefault="000B0B09">
            <w:pPr>
              <w:autoSpaceDE w:val="0"/>
              <w:autoSpaceDN w:val="0"/>
              <w:adjustRightInd w:val="0"/>
              <w:spacing w:before="0" w:after="0"/>
              <w:rPr>
                <w:rFonts w:ascii="Times New Roman" w:hAnsi="Times New Roman"/>
                <w:sz w:val="24"/>
                <w:lang w:eastAsia="fr-FR"/>
              </w:rPr>
            </w:pPr>
          </w:p>
        </w:tc>
      </w:tr>
      <w:tr w:rsidR="00E9314A" w:rsidRPr="004B0EC7" w14:paraId="544224F4" w14:textId="77777777" w:rsidTr="00672D2A">
        <w:tc>
          <w:tcPr>
            <w:tcW w:w="993" w:type="dxa"/>
          </w:tcPr>
          <w:p w14:paraId="15D33493" w14:textId="77777777" w:rsidR="000B0B09" w:rsidRPr="004B0EC7" w:rsidRDefault="00787733"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lastRenderedPageBreak/>
              <w:t>0</w:t>
            </w:r>
            <w:r w:rsidR="000B0B09" w:rsidRPr="004B0EC7">
              <w:rPr>
                <w:rFonts w:ascii="Times New Roman" w:hAnsi="Times New Roman"/>
                <w:sz w:val="24"/>
                <w:lang w:eastAsia="nl-BE"/>
              </w:rPr>
              <w:t>020</w:t>
            </w:r>
          </w:p>
        </w:tc>
        <w:tc>
          <w:tcPr>
            <w:tcW w:w="7903" w:type="dxa"/>
          </w:tcPr>
          <w:p w14:paraId="6294BA00"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TRADED DEBT INSTRUMENTS</w:t>
            </w:r>
          </w:p>
          <w:p w14:paraId="7EB08097" w14:textId="464B7176" w:rsidR="000B0B09" w:rsidRPr="004B0EC7" w:rsidRDefault="000B0B09" w:rsidP="00587E96">
            <w:pPr>
              <w:autoSpaceDE w:val="0"/>
              <w:autoSpaceDN w:val="0"/>
              <w:adjustRightInd w:val="0"/>
              <w:rPr>
                <w:rFonts w:ascii="Times New Roman" w:hAnsi="Times New Roman"/>
                <w:sz w:val="24"/>
                <w:lang w:eastAsia="nl-BE"/>
              </w:rPr>
            </w:pPr>
            <w:r w:rsidRPr="004B0EC7">
              <w:rPr>
                <w:rFonts w:ascii="Times New Roman" w:hAnsi="Times New Roman"/>
                <w:sz w:val="24"/>
                <w:lang w:eastAsia="fr-FR"/>
              </w:rPr>
              <w:t xml:space="preserve">Corresponds to the part of position risk referred to in </w:t>
            </w:r>
            <w:r w:rsidR="008241B9" w:rsidRPr="004B0EC7">
              <w:rPr>
                <w:rFonts w:ascii="Times New Roman" w:hAnsi="Times New Roman"/>
                <w:sz w:val="24"/>
                <w:lang w:eastAsia="fr-FR"/>
              </w:rPr>
              <w:t xml:space="preserve">Article </w:t>
            </w:r>
            <w:r w:rsidRPr="004B0EC7">
              <w:rPr>
                <w:rFonts w:ascii="Times New Roman" w:hAnsi="Times New Roman"/>
                <w:sz w:val="24"/>
                <w:lang w:eastAsia="fr-FR"/>
              </w:rPr>
              <w:t xml:space="preserve">363(1) </w:t>
            </w:r>
            <w:r w:rsidR="006E347B" w:rsidRPr="004B0EC7">
              <w:rPr>
                <w:rFonts w:ascii="Times New Roman" w:hAnsi="Times New Roman"/>
                <w:sz w:val="24"/>
                <w:lang w:val="en-US"/>
              </w:rPr>
              <w:t>of Regulation (EU) No 575/2013</w:t>
            </w:r>
            <w:r w:rsidR="0016282F" w:rsidRPr="004B0EC7">
              <w:rPr>
                <w:rFonts w:ascii="Times New Roman" w:hAnsi="Times New Roman"/>
                <w:sz w:val="24"/>
                <w:lang w:eastAsia="fr-FR"/>
              </w:rPr>
              <w:t>,</w:t>
            </w:r>
            <w:r w:rsidRPr="004B0EC7">
              <w:rPr>
                <w:rFonts w:ascii="Times New Roman" w:hAnsi="Times New Roman"/>
                <w:sz w:val="24"/>
                <w:lang w:eastAsia="fr-FR"/>
              </w:rPr>
              <w:t xml:space="preserve"> linked to the interest rates risk factors specified in Article 367(2)</w:t>
            </w:r>
            <w:r w:rsidR="00B83DDE" w:rsidRPr="004B0EC7">
              <w:rPr>
                <w:rFonts w:ascii="Times New Roman" w:hAnsi="Times New Roman"/>
                <w:sz w:val="24"/>
                <w:lang w:eastAsia="fr-FR"/>
              </w:rPr>
              <w:t>, p</w:t>
            </w:r>
            <w:r w:rsidR="00587E96" w:rsidRPr="004B0EC7">
              <w:rPr>
                <w:rFonts w:ascii="Times New Roman" w:hAnsi="Times New Roman"/>
                <w:sz w:val="24"/>
                <w:lang w:eastAsia="fr-FR"/>
              </w:rPr>
              <w:t>oint (a)</w:t>
            </w:r>
            <w:r w:rsidR="00CF5957" w:rsidRPr="004B0EC7">
              <w:rPr>
                <w:rFonts w:ascii="Times New Roman" w:hAnsi="Times New Roman"/>
                <w:sz w:val="24"/>
                <w:lang w:eastAsia="fr-FR"/>
              </w:rPr>
              <w:t>,</w:t>
            </w:r>
            <w:r w:rsidR="00587E96" w:rsidRPr="004B0EC7">
              <w:rPr>
                <w:rFonts w:ascii="Times New Roman" w:hAnsi="Times New Roman"/>
                <w:sz w:val="24"/>
                <w:lang w:eastAsia="fr-FR"/>
              </w:rPr>
              <w:t xml:space="preserve"> </w:t>
            </w:r>
            <w:r w:rsidR="00F75233" w:rsidRPr="004B0EC7">
              <w:rPr>
                <w:rFonts w:ascii="Times New Roman" w:hAnsi="Times New Roman"/>
                <w:sz w:val="24"/>
                <w:lang w:val="en-US"/>
              </w:rPr>
              <w:t>of that Regulation</w:t>
            </w:r>
            <w:r w:rsidRPr="004B0EC7">
              <w:rPr>
                <w:rFonts w:ascii="Times New Roman" w:hAnsi="Times New Roman"/>
                <w:sz w:val="24"/>
                <w:lang w:eastAsia="fr-FR"/>
              </w:rPr>
              <w:t>.</w:t>
            </w:r>
          </w:p>
        </w:tc>
      </w:tr>
      <w:tr w:rsidR="00E9314A" w:rsidRPr="004B0EC7" w14:paraId="72F66455" w14:textId="77777777" w:rsidTr="00672D2A">
        <w:tc>
          <w:tcPr>
            <w:tcW w:w="993" w:type="dxa"/>
          </w:tcPr>
          <w:p w14:paraId="0890877A" w14:textId="77777777" w:rsidR="000B0B09" w:rsidRPr="004B0EC7" w:rsidRDefault="00787733"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030</w:t>
            </w:r>
          </w:p>
        </w:tc>
        <w:tc>
          <w:tcPr>
            <w:tcW w:w="7903" w:type="dxa"/>
          </w:tcPr>
          <w:p w14:paraId="2BA9F6D7"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TDI – GENERAL RISK</w:t>
            </w:r>
          </w:p>
          <w:p w14:paraId="326F4D54" w14:textId="3D6EBE1B" w:rsidR="000B0B09" w:rsidRPr="004B0EC7" w:rsidRDefault="000B0B09" w:rsidP="0016282F">
            <w:pPr>
              <w:autoSpaceDE w:val="0"/>
              <w:autoSpaceDN w:val="0"/>
              <w:adjustRightInd w:val="0"/>
              <w:rPr>
                <w:rFonts w:ascii="Times New Roman" w:hAnsi="Times New Roman"/>
                <w:sz w:val="24"/>
                <w:lang w:eastAsia="nl-BE"/>
              </w:rPr>
            </w:pPr>
            <w:r w:rsidRPr="004B0EC7">
              <w:rPr>
                <w:rFonts w:ascii="Times New Roman" w:hAnsi="Times New Roman"/>
                <w:sz w:val="24"/>
                <w:lang w:eastAsia="fr-FR"/>
              </w:rPr>
              <w:t xml:space="preserve">General risk </w:t>
            </w:r>
            <w:r w:rsidR="0016282F" w:rsidRPr="004B0EC7">
              <w:rPr>
                <w:rFonts w:ascii="Times New Roman" w:hAnsi="Times New Roman"/>
                <w:sz w:val="24"/>
                <w:lang w:eastAsia="fr-FR"/>
              </w:rPr>
              <w:t xml:space="preserve">component as referred to in </w:t>
            </w:r>
            <w:r w:rsidRPr="004B0EC7">
              <w:rPr>
                <w:rFonts w:ascii="Times New Roman" w:hAnsi="Times New Roman"/>
                <w:sz w:val="24"/>
                <w:lang w:eastAsia="fr-FR"/>
              </w:rPr>
              <w:t xml:space="preserve">Article 362 </w:t>
            </w:r>
            <w:r w:rsidR="006E347B" w:rsidRPr="004B0EC7">
              <w:rPr>
                <w:rFonts w:ascii="Times New Roman" w:hAnsi="Times New Roman"/>
                <w:sz w:val="24"/>
                <w:lang w:val="en-US"/>
              </w:rPr>
              <w:t>of Regulation (EU) No 575/2013</w:t>
            </w:r>
            <w:r w:rsidRPr="004B0EC7">
              <w:rPr>
                <w:rFonts w:ascii="Times New Roman" w:hAnsi="Times New Roman"/>
                <w:sz w:val="24"/>
                <w:lang w:eastAsia="fr-FR"/>
              </w:rPr>
              <w:t xml:space="preserve"> </w:t>
            </w:r>
          </w:p>
        </w:tc>
      </w:tr>
      <w:tr w:rsidR="00E9314A" w:rsidRPr="004B0EC7" w14:paraId="7683899C" w14:textId="77777777" w:rsidTr="00672D2A">
        <w:tc>
          <w:tcPr>
            <w:tcW w:w="993" w:type="dxa"/>
          </w:tcPr>
          <w:p w14:paraId="71740265" w14:textId="77777777" w:rsidR="000B0B09" w:rsidRPr="004B0EC7" w:rsidRDefault="00787733"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040</w:t>
            </w:r>
          </w:p>
        </w:tc>
        <w:tc>
          <w:tcPr>
            <w:tcW w:w="7903" w:type="dxa"/>
          </w:tcPr>
          <w:p w14:paraId="0A8CBDBA"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de-DE"/>
              </w:rPr>
            </w:pPr>
            <w:r w:rsidRPr="004B0EC7">
              <w:rPr>
                <w:rFonts w:ascii="Times New Roman" w:hAnsi="Times New Roman"/>
                <w:b/>
                <w:bCs/>
                <w:sz w:val="24"/>
                <w:u w:val="single"/>
                <w:lang w:eastAsia="de-DE"/>
              </w:rPr>
              <w:t>TDI – SPECIFIC RISK</w:t>
            </w:r>
          </w:p>
          <w:p w14:paraId="545744BD" w14:textId="77777777" w:rsidR="000B0B09" w:rsidRPr="004B0EC7" w:rsidRDefault="000B0B09" w:rsidP="000B0B09">
            <w:pPr>
              <w:autoSpaceDE w:val="0"/>
              <w:autoSpaceDN w:val="0"/>
              <w:adjustRightInd w:val="0"/>
              <w:spacing w:before="0" w:after="0"/>
              <w:rPr>
                <w:rFonts w:ascii="Times New Roman" w:hAnsi="Times New Roman"/>
                <w:sz w:val="24"/>
                <w:lang w:eastAsia="de-DE"/>
              </w:rPr>
            </w:pPr>
          </w:p>
          <w:p w14:paraId="32F4DB08" w14:textId="5C7FE474" w:rsidR="000B0B09" w:rsidRPr="004B0EC7" w:rsidRDefault="000B0B09" w:rsidP="0016282F">
            <w:pPr>
              <w:autoSpaceDE w:val="0"/>
              <w:autoSpaceDN w:val="0"/>
              <w:adjustRightInd w:val="0"/>
              <w:rPr>
                <w:rFonts w:ascii="Times New Roman" w:hAnsi="Times New Roman"/>
                <w:b/>
                <w:bCs/>
                <w:sz w:val="24"/>
                <w:u w:val="single"/>
                <w:lang w:eastAsia="nl-BE"/>
              </w:rPr>
            </w:pPr>
            <w:r w:rsidRPr="004B0EC7">
              <w:rPr>
                <w:rFonts w:ascii="Times New Roman" w:hAnsi="Times New Roman"/>
                <w:sz w:val="24"/>
                <w:lang w:eastAsia="fr-FR"/>
              </w:rPr>
              <w:t xml:space="preserve">Specific risk </w:t>
            </w:r>
            <w:r w:rsidR="0016282F" w:rsidRPr="004B0EC7">
              <w:rPr>
                <w:rFonts w:ascii="Times New Roman" w:hAnsi="Times New Roman"/>
                <w:sz w:val="24"/>
                <w:lang w:eastAsia="fr-FR"/>
              </w:rPr>
              <w:t xml:space="preserve">component as referred to </w:t>
            </w:r>
            <w:r w:rsidRPr="004B0EC7">
              <w:rPr>
                <w:rFonts w:ascii="Times New Roman" w:hAnsi="Times New Roman"/>
                <w:sz w:val="24"/>
                <w:lang w:eastAsia="fr-FR"/>
              </w:rPr>
              <w:t xml:space="preserve">in Article 362 </w:t>
            </w:r>
            <w:r w:rsidR="006E347B" w:rsidRPr="004B0EC7">
              <w:rPr>
                <w:rFonts w:ascii="Times New Roman" w:hAnsi="Times New Roman"/>
                <w:sz w:val="24"/>
                <w:lang w:val="en-US"/>
              </w:rPr>
              <w:t>of Regulation (EU) No 575/2013</w:t>
            </w:r>
            <w:r w:rsidRPr="004B0EC7">
              <w:rPr>
                <w:rFonts w:ascii="Times New Roman" w:hAnsi="Times New Roman"/>
                <w:sz w:val="24"/>
                <w:lang w:eastAsia="fr-FR"/>
              </w:rPr>
              <w:t xml:space="preserve"> </w:t>
            </w:r>
          </w:p>
        </w:tc>
      </w:tr>
      <w:tr w:rsidR="00E9314A" w:rsidRPr="004B0EC7" w14:paraId="71D5C884" w14:textId="77777777" w:rsidTr="00672D2A">
        <w:tc>
          <w:tcPr>
            <w:tcW w:w="993" w:type="dxa"/>
          </w:tcPr>
          <w:p w14:paraId="2F431F5B" w14:textId="77777777" w:rsidR="000B0B09" w:rsidRPr="004B0EC7" w:rsidRDefault="00787733"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050</w:t>
            </w:r>
          </w:p>
        </w:tc>
        <w:tc>
          <w:tcPr>
            <w:tcW w:w="7903" w:type="dxa"/>
          </w:tcPr>
          <w:p w14:paraId="3D16BF4C"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de-DE"/>
              </w:rPr>
            </w:pPr>
            <w:r w:rsidRPr="004B0EC7">
              <w:rPr>
                <w:rFonts w:ascii="Times New Roman" w:hAnsi="Times New Roman"/>
                <w:b/>
                <w:bCs/>
                <w:sz w:val="24"/>
                <w:u w:val="single"/>
                <w:lang w:eastAsia="de-DE"/>
              </w:rPr>
              <w:t>EQUITIES</w:t>
            </w:r>
          </w:p>
          <w:p w14:paraId="2CB5AD43" w14:textId="77777777" w:rsidR="000B0B09" w:rsidRPr="004B0EC7" w:rsidRDefault="000B0B09" w:rsidP="000B0B09">
            <w:pPr>
              <w:autoSpaceDE w:val="0"/>
              <w:autoSpaceDN w:val="0"/>
              <w:adjustRightInd w:val="0"/>
              <w:spacing w:before="0" w:after="0"/>
              <w:rPr>
                <w:rFonts w:ascii="Times New Roman" w:hAnsi="Times New Roman"/>
                <w:sz w:val="24"/>
                <w:lang w:eastAsia="de-DE"/>
              </w:rPr>
            </w:pPr>
          </w:p>
          <w:p w14:paraId="50C4B755" w14:textId="16496F3A" w:rsidR="000B0B09" w:rsidRPr="004B0EC7" w:rsidRDefault="000B0B09" w:rsidP="000B0B09">
            <w:pPr>
              <w:autoSpaceDE w:val="0"/>
              <w:autoSpaceDN w:val="0"/>
              <w:adjustRightInd w:val="0"/>
              <w:spacing w:before="0" w:after="0"/>
              <w:rPr>
                <w:rFonts w:ascii="Times New Roman" w:hAnsi="Times New Roman"/>
                <w:sz w:val="24"/>
                <w:lang w:eastAsia="fr-FR"/>
              </w:rPr>
            </w:pPr>
            <w:r w:rsidRPr="004B0EC7">
              <w:rPr>
                <w:rFonts w:ascii="Times New Roman" w:hAnsi="Times New Roman"/>
                <w:sz w:val="24"/>
                <w:lang w:eastAsia="fr-FR"/>
              </w:rPr>
              <w:t xml:space="preserve">Corresponds to the part of position risk referred to in </w:t>
            </w:r>
            <w:r w:rsidR="008241B9" w:rsidRPr="004B0EC7">
              <w:rPr>
                <w:rFonts w:ascii="Times New Roman" w:hAnsi="Times New Roman"/>
                <w:sz w:val="24"/>
                <w:lang w:eastAsia="fr-FR"/>
              </w:rPr>
              <w:t xml:space="preserve">Article </w:t>
            </w:r>
            <w:r w:rsidRPr="004B0EC7">
              <w:rPr>
                <w:rFonts w:ascii="Times New Roman" w:hAnsi="Times New Roman"/>
                <w:sz w:val="24"/>
                <w:lang w:eastAsia="fr-FR"/>
              </w:rPr>
              <w:t xml:space="preserve">363(1) </w:t>
            </w:r>
            <w:r w:rsidR="006E347B" w:rsidRPr="004B0EC7">
              <w:rPr>
                <w:rFonts w:ascii="Times New Roman" w:hAnsi="Times New Roman"/>
                <w:sz w:val="24"/>
                <w:lang w:val="en-US"/>
              </w:rPr>
              <w:t>of Regulation (EU) No 575/2013</w:t>
            </w:r>
            <w:r w:rsidRPr="004B0EC7">
              <w:rPr>
                <w:rFonts w:ascii="Times New Roman" w:hAnsi="Times New Roman"/>
                <w:sz w:val="24"/>
                <w:lang w:eastAsia="fr-FR"/>
              </w:rPr>
              <w:t xml:space="preserve"> linked to the equity risk factors as specified in Article 367(2)</w:t>
            </w:r>
            <w:r w:rsidR="00B83DDE" w:rsidRPr="004B0EC7">
              <w:rPr>
                <w:rFonts w:ascii="Times New Roman" w:hAnsi="Times New Roman"/>
                <w:sz w:val="24"/>
                <w:lang w:eastAsia="fr-FR"/>
              </w:rPr>
              <w:t>, p</w:t>
            </w:r>
            <w:r w:rsidR="00587E96" w:rsidRPr="004B0EC7">
              <w:rPr>
                <w:rFonts w:ascii="Times New Roman" w:hAnsi="Times New Roman"/>
                <w:sz w:val="24"/>
                <w:lang w:eastAsia="fr-FR"/>
              </w:rPr>
              <w:t>oint (c)</w:t>
            </w:r>
            <w:r w:rsidR="00BE1277" w:rsidRPr="004B0EC7">
              <w:rPr>
                <w:rFonts w:ascii="Times New Roman" w:hAnsi="Times New Roman"/>
                <w:sz w:val="24"/>
                <w:lang w:eastAsia="fr-FR"/>
              </w:rPr>
              <w:t>,</w:t>
            </w:r>
            <w:r w:rsidR="00587E96" w:rsidRPr="004B0EC7">
              <w:rPr>
                <w:rFonts w:ascii="Times New Roman" w:hAnsi="Times New Roman"/>
                <w:sz w:val="24"/>
                <w:lang w:eastAsia="fr-FR"/>
              </w:rPr>
              <w:t xml:space="preserve"> </w:t>
            </w:r>
            <w:r w:rsidR="00F75233" w:rsidRPr="004B0EC7">
              <w:rPr>
                <w:rFonts w:ascii="Times New Roman" w:hAnsi="Times New Roman"/>
                <w:sz w:val="24"/>
                <w:lang w:val="en-US"/>
              </w:rPr>
              <w:t>of that Regulation</w:t>
            </w:r>
            <w:r w:rsidRPr="004B0EC7">
              <w:rPr>
                <w:rFonts w:ascii="Times New Roman" w:hAnsi="Times New Roman"/>
                <w:sz w:val="24"/>
                <w:lang w:eastAsia="fr-FR"/>
              </w:rPr>
              <w:t xml:space="preserve">. </w:t>
            </w:r>
          </w:p>
          <w:p w14:paraId="25BA2979"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p>
        </w:tc>
      </w:tr>
      <w:tr w:rsidR="00E9314A" w:rsidRPr="004B0EC7" w14:paraId="35DF2979" w14:textId="77777777" w:rsidTr="00672D2A">
        <w:tc>
          <w:tcPr>
            <w:tcW w:w="993" w:type="dxa"/>
          </w:tcPr>
          <w:p w14:paraId="317A6DAF" w14:textId="77777777" w:rsidR="000B0B09" w:rsidRPr="004B0EC7" w:rsidRDefault="00787733"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060</w:t>
            </w:r>
          </w:p>
        </w:tc>
        <w:tc>
          <w:tcPr>
            <w:tcW w:w="7903" w:type="dxa"/>
          </w:tcPr>
          <w:p w14:paraId="40CEA49F"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EQUITIES – GENERAL RISK</w:t>
            </w:r>
          </w:p>
          <w:p w14:paraId="528E3DA1" w14:textId="2D4BA326" w:rsidR="000B0B09" w:rsidRPr="004B0EC7" w:rsidRDefault="000B0B09" w:rsidP="00BE0363">
            <w:pPr>
              <w:autoSpaceDE w:val="0"/>
              <w:autoSpaceDN w:val="0"/>
              <w:adjustRightInd w:val="0"/>
              <w:rPr>
                <w:rFonts w:ascii="Times New Roman" w:hAnsi="Times New Roman"/>
                <w:b/>
                <w:bCs/>
                <w:sz w:val="24"/>
                <w:u w:val="single"/>
                <w:lang w:eastAsia="nl-BE"/>
              </w:rPr>
            </w:pPr>
            <w:r w:rsidRPr="004B0EC7">
              <w:rPr>
                <w:rFonts w:ascii="Times New Roman" w:hAnsi="Times New Roman"/>
                <w:sz w:val="24"/>
                <w:lang w:eastAsia="fr-FR"/>
              </w:rPr>
              <w:t xml:space="preserve">General risk </w:t>
            </w:r>
            <w:r w:rsidR="0016282F" w:rsidRPr="004B0EC7">
              <w:rPr>
                <w:rFonts w:ascii="Times New Roman" w:hAnsi="Times New Roman"/>
                <w:sz w:val="24"/>
                <w:lang w:eastAsia="fr-FR"/>
              </w:rPr>
              <w:t>component as referred to</w:t>
            </w:r>
            <w:r w:rsidRPr="004B0EC7">
              <w:rPr>
                <w:rFonts w:ascii="Times New Roman" w:hAnsi="Times New Roman"/>
                <w:sz w:val="24"/>
                <w:lang w:eastAsia="fr-FR"/>
              </w:rPr>
              <w:t xml:space="preserve"> in Article 362 </w:t>
            </w:r>
            <w:r w:rsidR="006E347B" w:rsidRPr="004B0EC7">
              <w:rPr>
                <w:rFonts w:ascii="Times New Roman" w:hAnsi="Times New Roman"/>
                <w:sz w:val="24"/>
                <w:lang w:val="en-US"/>
              </w:rPr>
              <w:t>of Regulation (EU) No 575/2013</w:t>
            </w:r>
          </w:p>
        </w:tc>
      </w:tr>
      <w:tr w:rsidR="00E9314A" w:rsidRPr="004B0EC7" w14:paraId="76BBEE88" w14:textId="77777777" w:rsidTr="00672D2A">
        <w:tc>
          <w:tcPr>
            <w:tcW w:w="993" w:type="dxa"/>
          </w:tcPr>
          <w:p w14:paraId="4D46D495" w14:textId="77777777" w:rsidR="000B0B09" w:rsidRPr="004B0EC7" w:rsidRDefault="00787733"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070</w:t>
            </w:r>
          </w:p>
        </w:tc>
        <w:tc>
          <w:tcPr>
            <w:tcW w:w="7903" w:type="dxa"/>
          </w:tcPr>
          <w:p w14:paraId="315638DD"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EQUITIES – SPECIFIC RISK</w:t>
            </w:r>
          </w:p>
          <w:p w14:paraId="53D03CDE" w14:textId="49BEAF03" w:rsidR="000B0B09" w:rsidRPr="004B0EC7" w:rsidRDefault="000B0B09" w:rsidP="0016282F">
            <w:pPr>
              <w:autoSpaceDE w:val="0"/>
              <w:autoSpaceDN w:val="0"/>
              <w:adjustRightInd w:val="0"/>
              <w:rPr>
                <w:rFonts w:ascii="Times New Roman" w:hAnsi="Times New Roman"/>
                <w:b/>
                <w:bCs/>
                <w:sz w:val="24"/>
                <w:u w:val="single"/>
                <w:lang w:eastAsia="nl-BE"/>
              </w:rPr>
            </w:pPr>
            <w:r w:rsidRPr="004B0EC7">
              <w:rPr>
                <w:rFonts w:ascii="Times New Roman" w:hAnsi="Times New Roman"/>
                <w:sz w:val="24"/>
                <w:lang w:eastAsia="fr-FR"/>
              </w:rPr>
              <w:t xml:space="preserve">Specific risk </w:t>
            </w:r>
            <w:r w:rsidR="0016282F" w:rsidRPr="004B0EC7">
              <w:rPr>
                <w:rFonts w:ascii="Times New Roman" w:hAnsi="Times New Roman"/>
                <w:sz w:val="24"/>
                <w:lang w:eastAsia="fr-FR"/>
              </w:rPr>
              <w:t xml:space="preserve">component as referred to </w:t>
            </w:r>
            <w:r w:rsidRPr="004B0EC7">
              <w:rPr>
                <w:rFonts w:ascii="Times New Roman" w:hAnsi="Times New Roman"/>
                <w:sz w:val="24"/>
                <w:lang w:eastAsia="fr-FR"/>
              </w:rPr>
              <w:t xml:space="preserve">in Article 362 </w:t>
            </w:r>
            <w:r w:rsidR="006E347B" w:rsidRPr="004B0EC7">
              <w:rPr>
                <w:rFonts w:ascii="Times New Roman" w:hAnsi="Times New Roman"/>
                <w:sz w:val="24"/>
                <w:lang w:val="en-US"/>
              </w:rPr>
              <w:t>of Regulation (EU) No 575/2013</w:t>
            </w:r>
            <w:r w:rsidRPr="004B0EC7">
              <w:rPr>
                <w:rFonts w:ascii="Times New Roman" w:hAnsi="Times New Roman"/>
                <w:sz w:val="24"/>
                <w:lang w:eastAsia="fr-FR"/>
              </w:rPr>
              <w:t xml:space="preserve"> </w:t>
            </w:r>
          </w:p>
        </w:tc>
      </w:tr>
      <w:tr w:rsidR="00E9314A" w:rsidRPr="004B0EC7" w14:paraId="572477D3" w14:textId="77777777" w:rsidTr="00672D2A">
        <w:tc>
          <w:tcPr>
            <w:tcW w:w="993" w:type="dxa"/>
          </w:tcPr>
          <w:p w14:paraId="22BAC81A" w14:textId="77777777" w:rsidR="000B0B09" w:rsidRPr="004B0EC7" w:rsidRDefault="00787733"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080</w:t>
            </w:r>
          </w:p>
        </w:tc>
        <w:tc>
          <w:tcPr>
            <w:tcW w:w="7903" w:type="dxa"/>
          </w:tcPr>
          <w:p w14:paraId="729B481D"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FOREIGN EXCHANGE RISK</w:t>
            </w:r>
          </w:p>
          <w:p w14:paraId="4A2A62FE" w14:textId="098C8392" w:rsidR="000B0B09" w:rsidRPr="004B0EC7" w:rsidRDefault="000B0B09" w:rsidP="00587E96">
            <w:pPr>
              <w:autoSpaceDE w:val="0"/>
              <w:autoSpaceDN w:val="0"/>
              <w:adjustRightInd w:val="0"/>
              <w:rPr>
                <w:rFonts w:ascii="Times New Roman" w:hAnsi="Times New Roman"/>
                <w:b/>
                <w:bCs/>
                <w:sz w:val="24"/>
                <w:u w:val="single"/>
                <w:lang w:eastAsia="nl-BE"/>
              </w:rPr>
            </w:pPr>
            <w:r w:rsidRPr="004B0EC7">
              <w:rPr>
                <w:rFonts w:ascii="Times New Roman" w:hAnsi="Times New Roman"/>
                <w:sz w:val="24"/>
                <w:lang w:eastAsia="fr-FR"/>
              </w:rPr>
              <w:t xml:space="preserve">Articles 363(1) and </w:t>
            </w:r>
            <w:r w:rsidR="00BE0363" w:rsidRPr="004B0EC7">
              <w:rPr>
                <w:rFonts w:ascii="Times New Roman" w:hAnsi="Times New Roman"/>
                <w:sz w:val="24"/>
                <w:lang w:eastAsia="fr-FR"/>
              </w:rPr>
              <w:t xml:space="preserve">Article </w:t>
            </w:r>
            <w:r w:rsidRPr="004B0EC7">
              <w:rPr>
                <w:rFonts w:ascii="Times New Roman" w:hAnsi="Times New Roman"/>
                <w:sz w:val="24"/>
                <w:lang w:eastAsia="fr-FR"/>
              </w:rPr>
              <w:t>367(2)</w:t>
            </w:r>
            <w:r w:rsidR="00B83DDE" w:rsidRPr="004B0EC7">
              <w:rPr>
                <w:rFonts w:ascii="Times New Roman" w:hAnsi="Times New Roman"/>
                <w:sz w:val="24"/>
                <w:lang w:eastAsia="fr-FR"/>
              </w:rPr>
              <w:t>, p</w:t>
            </w:r>
            <w:r w:rsidR="00587E96" w:rsidRPr="004B0EC7">
              <w:rPr>
                <w:rFonts w:ascii="Times New Roman" w:hAnsi="Times New Roman"/>
                <w:sz w:val="24"/>
                <w:lang w:eastAsia="fr-FR"/>
              </w:rPr>
              <w:t>oint (b)</w:t>
            </w:r>
            <w:r w:rsidR="00BE1277" w:rsidRPr="004B0EC7">
              <w:rPr>
                <w:rFonts w:ascii="Times New Roman" w:hAnsi="Times New Roman"/>
                <w:sz w:val="24"/>
                <w:lang w:eastAsia="fr-FR"/>
              </w:rPr>
              <w:t>,</w:t>
            </w:r>
            <w:r w:rsidR="00587E96" w:rsidRPr="004B0EC7">
              <w:rPr>
                <w:rFonts w:ascii="Times New Roman" w:hAnsi="Times New Roman"/>
                <w:sz w:val="24"/>
                <w:lang w:eastAsia="fr-FR"/>
              </w:rPr>
              <w:t xml:space="preserve"> </w:t>
            </w:r>
            <w:r w:rsidR="006E347B" w:rsidRPr="004B0EC7">
              <w:rPr>
                <w:rFonts w:ascii="Times New Roman" w:hAnsi="Times New Roman"/>
                <w:sz w:val="24"/>
                <w:lang w:val="en-US"/>
              </w:rPr>
              <w:t>of Regulation (EU) No 575/2013</w:t>
            </w:r>
          </w:p>
        </w:tc>
      </w:tr>
      <w:tr w:rsidR="00E9314A" w:rsidRPr="004B0EC7" w14:paraId="0161DCDD" w14:textId="77777777" w:rsidTr="00672D2A">
        <w:tc>
          <w:tcPr>
            <w:tcW w:w="993" w:type="dxa"/>
          </w:tcPr>
          <w:p w14:paraId="2D15B36B" w14:textId="77777777" w:rsidR="000B0B09" w:rsidRPr="004B0EC7" w:rsidRDefault="00787733"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090</w:t>
            </w:r>
          </w:p>
        </w:tc>
        <w:tc>
          <w:tcPr>
            <w:tcW w:w="7903" w:type="dxa"/>
          </w:tcPr>
          <w:p w14:paraId="3490DA93"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COMMODITY RISK</w:t>
            </w:r>
          </w:p>
          <w:p w14:paraId="341E16EA" w14:textId="56B929B0" w:rsidR="000B0B09" w:rsidRPr="004B0EC7" w:rsidRDefault="000B0B09" w:rsidP="00BE0363">
            <w:pPr>
              <w:autoSpaceDE w:val="0"/>
              <w:autoSpaceDN w:val="0"/>
              <w:adjustRightInd w:val="0"/>
              <w:rPr>
                <w:rFonts w:ascii="Times New Roman" w:hAnsi="Times New Roman"/>
                <w:b/>
                <w:bCs/>
                <w:sz w:val="24"/>
                <w:u w:val="single"/>
                <w:lang w:eastAsia="nl-BE"/>
              </w:rPr>
            </w:pPr>
            <w:r w:rsidRPr="004B0EC7">
              <w:rPr>
                <w:rFonts w:ascii="Times New Roman" w:hAnsi="Times New Roman"/>
                <w:sz w:val="24"/>
                <w:lang w:eastAsia="fr-FR"/>
              </w:rPr>
              <w:t xml:space="preserve">Articles 363(1) and </w:t>
            </w:r>
            <w:r w:rsidR="00587E96" w:rsidRPr="004B0EC7">
              <w:rPr>
                <w:rFonts w:ascii="Times New Roman" w:hAnsi="Times New Roman"/>
                <w:sz w:val="24"/>
                <w:lang w:eastAsia="fr-FR"/>
              </w:rPr>
              <w:t>Article 367(2)</w:t>
            </w:r>
            <w:r w:rsidR="00B83DDE" w:rsidRPr="004B0EC7">
              <w:rPr>
                <w:rFonts w:ascii="Times New Roman" w:hAnsi="Times New Roman"/>
                <w:sz w:val="24"/>
                <w:lang w:eastAsia="fr-FR"/>
              </w:rPr>
              <w:t>, p</w:t>
            </w:r>
            <w:r w:rsidR="00587E96" w:rsidRPr="004B0EC7">
              <w:rPr>
                <w:rFonts w:ascii="Times New Roman" w:hAnsi="Times New Roman"/>
                <w:sz w:val="24"/>
                <w:lang w:eastAsia="fr-FR"/>
              </w:rPr>
              <w:t>oint (d)</w:t>
            </w:r>
            <w:r w:rsidR="006E347B" w:rsidRPr="004B0EC7">
              <w:rPr>
                <w:rFonts w:ascii="Times New Roman" w:hAnsi="Times New Roman"/>
                <w:sz w:val="24"/>
                <w:lang w:val="en-US"/>
              </w:rPr>
              <w:t>of Regulation (EU) No 575/2013</w:t>
            </w:r>
            <w:r w:rsidRPr="004B0EC7">
              <w:rPr>
                <w:rFonts w:ascii="Times New Roman" w:hAnsi="Times New Roman"/>
                <w:sz w:val="24"/>
                <w:lang w:eastAsia="fr-FR"/>
              </w:rPr>
              <w:t xml:space="preserve"> </w:t>
            </w:r>
          </w:p>
        </w:tc>
      </w:tr>
      <w:tr w:rsidR="00E9314A" w:rsidRPr="004B0EC7" w14:paraId="5676DEE7" w14:textId="77777777" w:rsidTr="00672D2A">
        <w:tc>
          <w:tcPr>
            <w:tcW w:w="993" w:type="dxa"/>
          </w:tcPr>
          <w:p w14:paraId="2262B333" w14:textId="77777777" w:rsidR="000B0B09" w:rsidRPr="004B0EC7" w:rsidRDefault="00787733" w:rsidP="000B0B09">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100</w:t>
            </w:r>
          </w:p>
        </w:tc>
        <w:tc>
          <w:tcPr>
            <w:tcW w:w="7903" w:type="dxa"/>
          </w:tcPr>
          <w:p w14:paraId="3F8165C0"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TOTAL AMOUNT FOR GENERAL RISK</w:t>
            </w:r>
          </w:p>
          <w:p w14:paraId="62293AE5" w14:textId="77777777" w:rsidR="005C14B0" w:rsidRPr="004B0EC7" w:rsidRDefault="005C14B0" w:rsidP="000B0B09">
            <w:pPr>
              <w:autoSpaceDE w:val="0"/>
              <w:autoSpaceDN w:val="0"/>
              <w:adjustRightInd w:val="0"/>
              <w:spacing w:before="0" w:after="0"/>
              <w:rPr>
                <w:rFonts w:ascii="Times New Roman" w:hAnsi="Times New Roman"/>
                <w:b/>
                <w:bCs/>
                <w:sz w:val="24"/>
                <w:u w:val="single"/>
                <w:lang w:eastAsia="nl-BE"/>
              </w:rPr>
            </w:pPr>
          </w:p>
          <w:p w14:paraId="62C557EE" w14:textId="5C48B345" w:rsidR="000B0B09" w:rsidRPr="004B0EC7" w:rsidRDefault="000B0B09">
            <w:pPr>
              <w:autoSpaceDE w:val="0"/>
              <w:autoSpaceDN w:val="0"/>
              <w:adjustRightInd w:val="0"/>
              <w:spacing w:before="0" w:after="0"/>
              <w:rPr>
                <w:rFonts w:ascii="Times New Roman" w:hAnsi="Times New Roman"/>
                <w:b/>
                <w:bCs/>
                <w:sz w:val="24"/>
                <w:u w:val="single"/>
                <w:lang w:eastAsia="nl-BE"/>
              </w:rPr>
            </w:pPr>
            <w:r w:rsidRPr="004B0EC7">
              <w:rPr>
                <w:rStyle w:val="InstructionsTabelleText"/>
                <w:rFonts w:ascii="Times New Roman" w:hAnsi="Times New Roman"/>
                <w:sz w:val="24"/>
              </w:rPr>
              <w:t>Market risk caused by general market movements of traded debt instruments, equities, foreign exchange and commodities. V</w:t>
            </w:r>
            <w:r w:rsidR="00BE0363" w:rsidRPr="004B0EC7">
              <w:rPr>
                <w:rStyle w:val="InstructionsTabelleText"/>
                <w:rFonts w:ascii="Times New Roman" w:hAnsi="Times New Roman"/>
                <w:sz w:val="24"/>
              </w:rPr>
              <w:t>a</w:t>
            </w:r>
            <w:r w:rsidRPr="004B0EC7">
              <w:rPr>
                <w:rStyle w:val="InstructionsTabelleText"/>
                <w:rFonts w:ascii="Times New Roman" w:hAnsi="Times New Roman"/>
                <w:sz w:val="24"/>
              </w:rPr>
              <w:t xml:space="preserve">R for general risk of all risk factors (taking into account correlation effects </w:t>
            </w:r>
            <w:r w:rsidR="0016282F" w:rsidRPr="004B0EC7">
              <w:rPr>
                <w:rStyle w:val="InstructionsTabelleText"/>
                <w:rFonts w:ascii="Times New Roman" w:hAnsi="Times New Roman"/>
                <w:sz w:val="24"/>
              </w:rPr>
              <w:t>where</w:t>
            </w:r>
            <w:r w:rsidRPr="004B0EC7">
              <w:rPr>
                <w:rStyle w:val="InstructionsTabelleText"/>
                <w:rFonts w:ascii="Times New Roman" w:hAnsi="Times New Roman"/>
                <w:sz w:val="24"/>
              </w:rPr>
              <w:t xml:space="preserve"> applicable)</w:t>
            </w:r>
            <w:r w:rsidR="00402284" w:rsidRPr="004B0EC7">
              <w:rPr>
                <w:rStyle w:val="InstructionsTabelleText"/>
                <w:rFonts w:ascii="Times New Roman" w:hAnsi="Times New Roman"/>
                <w:sz w:val="24"/>
              </w:rPr>
              <w:t xml:space="preserve"> </w:t>
            </w:r>
          </w:p>
          <w:p w14:paraId="47CB1F26" w14:textId="77777777" w:rsidR="005C14B0" w:rsidRPr="004B0EC7" w:rsidRDefault="005C14B0">
            <w:pPr>
              <w:autoSpaceDE w:val="0"/>
              <w:autoSpaceDN w:val="0"/>
              <w:adjustRightInd w:val="0"/>
              <w:spacing w:before="0" w:after="0"/>
              <w:rPr>
                <w:rFonts w:ascii="Times New Roman" w:hAnsi="Times New Roman"/>
                <w:b/>
                <w:bCs/>
                <w:sz w:val="24"/>
                <w:u w:val="single"/>
                <w:lang w:eastAsia="nl-BE"/>
              </w:rPr>
            </w:pPr>
          </w:p>
        </w:tc>
      </w:tr>
      <w:tr w:rsidR="00E9314A" w:rsidRPr="002A677E" w14:paraId="41EDF57A" w14:textId="77777777" w:rsidTr="00672D2A">
        <w:tc>
          <w:tcPr>
            <w:tcW w:w="993" w:type="dxa"/>
          </w:tcPr>
          <w:p w14:paraId="2952258D" w14:textId="77777777" w:rsidR="000B0B09" w:rsidRPr="004B0EC7" w:rsidRDefault="00787733" w:rsidP="000911FE">
            <w:pPr>
              <w:autoSpaceDE w:val="0"/>
              <w:autoSpaceDN w:val="0"/>
              <w:adjustRightInd w:val="0"/>
              <w:spacing w:before="0" w:after="0"/>
              <w:rPr>
                <w:rFonts w:ascii="Times New Roman" w:hAnsi="Times New Roman"/>
                <w:sz w:val="24"/>
                <w:lang w:eastAsia="nl-BE"/>
              </w:rPr>
            </w:pPr>
            <w:r w:rsidRPr="004B0EC7">
              <w:rPr>
                <w:rFonts w:ascii="Times New Roman" w:hAnsi="Times New Roman"/>
                <w:sz w:val="24"/>
                <w:lang w:eastAsia="nl-BE"/>
              </w:rPr>
              <w:t>0</w:t>
            </w:r>
            <w:r w:rsidR="000B0B09" w:rsidRPr="004B0EC7">
              <w:rPr>
                <w:rFonts w:ascii="Times New Roman" w:hAnsi="Times New Roman"/>
                <w:sz w:val="24"/>
                <w:lang w:eastAsia="nl-BE"/>
              </w:rPr>
              <w:t>110</w:t>
            </w:r>
          </w:p>
        </w:tc>
        <w:tc>
          <w:tcPr>
            <w:tcW w:w="7903" w:type="dxa"/>
          </w:tcPr>
          <w:p w14:paraId="4F775FB3" w14:textId="77777777" w:rsidR="000B0B09" w:rsidRPr="004B0EC7" w:rsidRDefault="000B0B09" w:rsidP="000B0B09">
            <w:pPr>
              <w:autoSpaceDE w:val="0"/>
              <w:autoSpaceDN w:val="0"/>
              <w:adjustRightInd w:val="0"/>
              <w:spacing w:before="0" w:after="0"/>
              <w:rPr>
                <w:rFonts w:ascii="Times New Roman" w:hAnsi="Times New Roman"/>
                <w:b/>
                <w:bCs/>
                <w:sz w:val="24"/>
                <w:u w:val="single"/>
                <w:lang w:eastAsia="nl-BE"/>
              </w:rPr>
            </w:pPr>
            <w:r w:rsidRPr="004B0EC7">
              <w:rPr>
                <w:rFonts w:ascii="Times New Roman" w:hAnsi="Times New Roman"/>
                <w:b/>
                <w:bCs/>
                <w:sz w:val="24"/>
                <w:u w:val="single"/>
                <w:lang w:eastAsia="nl-BE"/>
              </w:rPr>
              <w:t>TOTAL AMOUNT FOR SPECIFIC RISK</w:t>
            </w:r>
          </w:p>
          <w:p w14:paraId="319F28D3" w14:textId="77777777" w:rsidR="000B0B09" w:rsidRPr="002A677E" w:rsidRDefault="000B0B09" w:rsidP="0016282F">
            <w:pPr>
              <w:autoSpaceDE w:val="0"/>
              <w:autoSpaceDN w:val="0"/>
              <w:adjustRightInd w:val="0"/>
              <w:rPr>
                <w:rFonts w:ascii="Times New Roman" w:hAnsi="Times New Roman"/>
                <w:b/>
                <w:bCs/>
                <w:sz w:val="24"/>
                <w:u w:val="single"/>
                <w:lang w:eastAsia="nl-BE"/>
              </w:rPr>
            </w:pPr>
            <w:r w:rsidRPr="004B0EC7">
              <w:rPr>
                <w:rStyle w:val="InstructionsTabelleText"/>
                <w:rFonts w:ascii="Times New Roman" w:hAnsi="Times New Roman"/>
                <w:sz w:val="24"/>
              </w:rPr>
              <w:t>Specific risk component of traded debt instruments and equities. V</w:t>
            </w:r>
            <w:r w:rsidR="00BE0363" w:rsidRPr="004B0EC7">
              <w:rPr>
                <w:rStyle w:val="InstructionsTabelleText"/>
                <w:rFonts w:ascii="Times New Roman" w:hAnsi="Times New Roman"/>
                <w:sz w:val="24"/>
              </w:rPr>
              <w:t>a</w:t>
            </w:r>
            <w:r w:rsidRPr="004B0EC7">
              <w:rPr>
                <w:rStyle w:val="InstructionsTabelleText"/>
                <w:rFonts w:ascii="Times New Roman" w:hAnsi="Times New Roman"/>
                <w:sz w:val="24"/>
              </w:rPr>
              <w:t xml:space="preserve">R for specific risk of equities and traded debt instruments of trading book (taking into account correlation effects </w:t>
            </w:r>
            <w:r w:rsidR="0016282F" w:rsidRPr="004B0EC7">
              <w:rPr>
                <w:rStyle w:val="InstructionsTabelleText"/>
                <w:rFonts w:ascii="Times New Roman" w:hAnsi="Times New Roman"/>
                <w:sz w:val="24"/>
              </w:rPr>
              <w:t>where</w:t>
            </w:r>
            <w:r w:rsidRPr="004B0EC7">
              <w:rPr>
                <w:rStyle w:val="InstructionsTabelleText"/>
                <w:rFonts w:ascii="Times New Roman" w:hAnsi="Times New Roman"/>
                <w:sz w:val="24"/>
              </w:rPr>
              <w:t xml:space="preserve"> applicable)</w:t>
            </w:r>
          </w:p>
        </w:tc>
      </w:tr>
    </w:tbl>
    <w:p w14:paraId="23397501" w14:textId="77777777" w:rsidR="00724589" w:rsidRPr="002A677E" w:rsidRDefault="00724589">
      <w:pPr>
        <w:spacing w:before="0" w:after="0"/>
        <w:jc w:val="left"/>
        <w:rPr>
          <w:rStyle w:val="InstructionsTabelleText"/>
          <w:rFonts w:ascii="Times New Roman" w:hAnsi="Times New Roman"/>
          <w:sz w:val="24"/>
        </w:rPr>
      </w:pPr>
    </w:p>
    <w:sectPr w:rsidR="00724589" w:rsidRPr="002A677E" w:rsidSect="00B51F42">
      <w:headerReference w:type="even" r:id="rId11"/>
      <w:headerReference w:type="default" r:id="rId12"/>
      <w:footerReference w:type="even" r:id="rId13"/>
      <w:footerReference w:type="default" r:id="rId14"/>
      <w:headerReference w:type="first" r:id="rId15"/>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B86EA" w14:textId="77777777" w:rsidR="00F72086" w:rsidRDefault="00F72086" w:rsidP="00D946DB">
      <w:pPr>
        <w:spacing w:before="0" w:after="0"/>
      </w:pPr>
      <w:r>
        <w:separator/>
      </w:r>
    </w:p>
  </w:endnote>
  <w:endnote w:type="continuationSeparator" w:id="0">
    <w:p w14:paraId="7E78B2E2" w14:textId="77777777" w:rsidR="00F72086" w:rsidRDefault="00F72086" w:rsidP="00D946DB">
      <w:pPr>
        <w:spacing w:before="0" w:after="0"/>
      </w:pPr>
      <w:r>
        <w:continuationSeparator/>
      </w:r>
    </w:p>
  </w:endnote>
  <w:endnote w:type="continuationNotice" w:id="1">
    <w:p w14:paraId="23302D77" w14:textId="77777777" w:rsidR="00F72086" w:rsidRDefault="00F7208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7E4A5" w14:textId="77777777" w:rsidR="00C3070C" w:rsidRDefault="00C3070C">
    <w:pPr>
      <w:pStyle w:val="Footer"/>
      <w:framePr w:wrap="auto" w:vAnchor="text" w:hAnchor="margin" w:xAlign="right" w:y="1"/>
      <w:rPr>
        <w:rStyle w:val="PageNumber"/>
        <w:szCs w:val="22"/>
      </w:rPr>
    </w:pPr>
    <w:r>
      <w:rPr>
        <w:rStyle w:val="PageNumber"/>
        <w:szCs w:val="22"/>
      </w:rPr>
      <w:fldChar w:fldCharType="begin"/>
    </w:r>
    <w:r>
      <w:rPr>
        <w:rStyle w:val="PageNumber"/>
        <w:szCs w:val="22"/>
      </w:rPr>
      <w:instrText xml:space="preserve">PAGE  </w:instrText>
    </w:r>
    <w:r>
      <w:rPr>
        <w:rStyle w:val="PageNumber"/>
        <w:szCs w:val="22"/>
      </w:rPr>
      <w:fldChar w:fldCharType="separate"/>
    </w:r>
    <w:r>
      <w:rPr>
        <w:rStyle w:val="PageNumber"/>
        <w:noProof/>
        <w:szCs w:val="22"/>
      </w:rPr>
      <w:t>183</w:t>
    </w:r>
    <w:r>
      <w:rPr>
        <w:rStyle w:val="PageNumber"/>
        <w:szCs w:val="22"/>
      </w:rPr>
      <w:fldChar w:fldCharType="end"/>
    </w:r>
  </w:p>
  <w:p w14:paraId="468B5799" w14:textId="77777777" w:rsidR="00C3070C" w:rsidRDefault="00C307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65885" w14:textId="71A1082C" w:rsidR="00C3070C" w:rsidRPr="00ED1956" w:rsidRDefault="00C3070C">
    <w:pPr>
      <w:pStyle w:val="Footer"/>
      <w:jc w:val="right"/>
      <w:rPr>
        <w:rFonts w:ascii="Times New Roman" w:hAnsi="Times New Roman"/>
        <w:sz w:val="20"/>
        <w:szCs w:val="20"/>
      </w:rPr>
    </w:pPr>
    <w:r w:rsidRPr="00ED1956">
      <w:rPr>
        <w:rFonts w:ascii="Times New Roman" w:hAnsi="Times New Roman"/>
        <w:sz w:val="20"/>
        <w:szCs w:val="20"/>
      </w:rPr>
      <w:fldChar w:fldCharType="begin"/>
    </w:r>
    <w:r w:rsidRPr="00ED1956">
      <w:rPr>
        <w:rFonts w:ascii="Times New Roman" w:hAnsi="Times New Roman"/>
        <w:sz w:val="20"/>
        <w:szCs w:val="20"/>
      </w:rPr>
      <w:instrText xml:space="preserve"> PAGE   \* MERGEFORMAT </w:instrText>
    </w:r>
    <w:r w:rsidRPr="00ED1956">
      <w:rPr>
        <w:rFonts w:ascii="Times New Roman" w:hAnsi="Times New Roman"/>
        <w:sz w:val="20"/>
        <w:szCs w:val="20"/>
      </w:rPr>
      <w:fldChar w:fldCharType="separate"/>
    </w:r>
    <w:r w:rsidR="008F3052">
      <w:rPr>
        <w:rFonts w:ascii="Times New Roman" w:hAnsi="Times New Roman"/>
        <w:noProof/>
        <w:sz w:val="20"/>
        <w:szCs w:val="20"/>
      </w:rPr>
      <w:t>42</w:t>
    </w:r>
    <w:r w:rsidRPr="00ED1956">
      <w:rPr>
        <w:rFonts w:ascii="Times New Roman" w:hAnsi="Times New Roman"/>
        <w:sz w:val="20"/>
        <w:szCs w:val="20"/>
      </w:rPr>
      <w:fldChar w:fldCharType="end"/>
    </w:r>
  </w:p>
  <w:p w14:paraId="416ED6B6" w14:textId="77777777" w:rsidR="00C3070C" w:rsidRPr="00A772B4" w:rsidRDefault="00C3070C"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00540" w14:textId="77777777" w:rsidR="00F72086" w:rsidRDefault="00F72086" w:rsidP="00D946DB">
      <w:pPr>
        <w:spacing w:before="0" w:after="0"/>
      </w:pPr>
      <w:r>
        <w:separator/>
      </w:r>
    </w:p>
  </w:footnote>
  <w:footnote w:type="continuationSeparator" w:id="0">
    <w:p w14:paraId="6C737719" w14:textId="77777777" w:rsidR="00F72086" w:rsidRDefault="00F72086" w:rsidP="00D946DB">
      <w:pPr>
        <w:spacing w:before="0" w:after="0"/>
      </w:pPr>
      <w:r>
        <w:continuationSeparator/>
      </w:r>
    </w:p>
  </w:footnote>
  <w:footnote w:type="continuationNotice" w:id="1">
    <w:p w14:paraId="190DCB3C" w14:textId="77777777" w:rsidR="00F72086" w:rsidRDefault="00F72086">
      <w:pPr>
        <w:spacing w:before="0" w:after="0"/>
      </w:pPr>
    </w:p>
  </w:footnote>
  <w:footnote w:id="2">
    <w:p w14:paraId="3507A652" w14:textId="78897E61" w:rsidR="00C3070C" w:rsidRPr="00B828CC" w:rsidRDefault="00C3070C">
      <w:pPr>
        <w:pStyle w:val="FootnoteText"/>
      </w:pPr>
      <w:r>
        <w:rPr>
          <w:rStyle w:val="FootnoteReference"/>
        </w:rPr>
        <w:footnoteRef/>
      </w:r>
      <w:r>
        <w:t xml:space="preserve"> </w:t>
      </w:r>
      <w:r w:rsidRPr="00B828CC">
        <w:rPr>
          <w:rFonts w:ascii="Times New Roman" w:hAnsi="Times New Roman"/>
          <w:sz w:val="20"/>
          <w:szCs w:val="20"/>
          <w:lang w:val="en-GB"/>
        </w:rPr>
        <w:t>Commission Delegated Regulation (EU) No 525/2014 of 12 March 2014 supplementing Regulation (EU) No 575/2013 of the European Parliament and of the Council with regard to regulatory technical standards for the definition of market (</w:t>
      </w:r>
      <w:r w:rsidRPr="00B828CC">
        <w:rPr>
          <w:rFonts w:ascii="Times New Roman" w:hAnsi="Times New Roman"/>
          <w:iCs/>
          <w:sz w:val="20"/>
          <w:szCs w:val="20"/>
          <w:lang w:val="en-GB"/>
        </w:rPr>
        <w:t>OJ L 148, 20.5.2014</w:t>
      </w:r>
      <w:r>
        <w:rPr>
          <w:rFonts w:ascii="Times New Roman" w:hAnsi="Times New Roman"/>
          <w:iCs/>
          <w:sz w:val="20"/>
          <w:szCs w:val="20"/>
          <w:lang w:val="en-GB"/>
        </w:rPr>
        <w:t>, p</w:t>
      </w:r>
      <w:r w:rsidRPr="00B828CC">
        <w:rPr>
          <w:rFonts w:ascii="Times New Roman" w:hAnsi="Times New Roman"/>
          <w:iCs/>
          <w:sz w:val="20"/>
          <w:szCs w:val="20"/>
          <w:lang w:val="en-GB"/>
        </w:rPr>
        <w:t>. 15)</w:t>
      </w:r>
      <w:r w:rsidRPr="00B828CC">
        <w:rPr>
          <w:rFonts w:ascii="Times New Roman" w:hAnsi="Times New Roman"/>
          <w:i/>
          <w:iCs/>
          <w:sz w:val="20"/>
          <w:szCs w:val="20"/>
          <w:lang w:val="en-GB"/>
        </w:rPr>
        <w:t>.</w:t>
      </w:r>
    </w:p>
  </w:footnote>
  <w:footnote w:id="3">
    <w:p w14:paraId="018474C7" w14:textId="77777777" w:rsidR="00C3070C" w:rsidRPr="00A11C6E" w:rsidRDefault="00C3070C">
      <w:pPr>
        <w:pStyle w:val="FootnoteText"/>
      </w:pPr>
      <w:r>
        <w:rPr>
          <w:rStyle w:val="FootnoteReference"/>
        </w:rPr>
        <w:footnoteRef/>
      </w:r>
      <w:r>
        <w:t xml:space="preserve"> </w:t>
      </w:r>
      <w:r w:rsidRPr="008125D7">
        <w:t>Commission Implementing Regulation (EU) No 945/2014 of 4 September 2014 laying down implementing technical standards with regard to relevant appropriately diversified indices according to Regulation (EU) No 575/2013 of the European Parliament and of the Council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A98C1" w14:textId="7C971337" w:rsidR="00C3070C" w:rsidRDefault="00C3070C">
    <w:pPr>
      <w:pStyle w:val="Header"/>
    </w:pPr>
    <w:r>
      <w:rPr>
        <w:noProof/>
        <w:lang w:val="en-GB" w:eastAsia="en-GB"/>
      </w:rPr>
      <mc:AlternateContent>
        <mc:Choice Requires="wps">
          <w:drawing>
            <wp:anchor distT="0" distB="0" distL="0" distR="0" simplePos="0" relativeHeight="251658242"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3B6094" w:rsidRDefault="00C3070C">
                          <w:pPr>
                            <w:rPr>
                              <w:rFonts w:ascii="Calibri" w:eastAsia="Calibri" w:hAnsi="Calibri" w:cs="Calibri"/>
                              <w:color w:val="000000"/>
                              <w:sz w:val="24"/>
                            </w:rPr>
                          </w:pPr>
                          <w:r w:rsidRPr="003B6094">
                            <w:rPr>
                              <w:rFonts w:ascii="Calibri" w:eastAsia="Calibri" w:hAnsi="Calibri" w:cs="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6"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E3DFA35" w14:textId="0AB4BE24" w:rsidR="00C3070C" w:rsidRPr="003B6094" w:rsidRDefault="00C3070C">
                    <w:pPr>
                      <w:rPr>
                        <w:rFonts w:ascii="Calibri" w:eastAsia="Calibri" w:hAnsi="Calibri" w:cs="Calibri"/>
                        <w:color w:val="000000"/>
                        <w:sz w:val="24"/>
                      </w:rPr>
                    </w:pPr>
                    <w:r w:rsidRPr="003B6094">
                      <w:rPr>
                        <w:rFonts w:ascii="Calibri" w:eastAsia="Calibri" w:hAnsi="Calibri" w:cs="Calibri"/>
                        <w:color w:val="000000"/>
                        <w:sz w:val="24"/>
                      </w:rPr>
                      <w:t>EBA Regular Use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DBBC0" w14:textId="5C594065" w:rsidR="00C3070C" w:rsidRDefault="00C3070C">
    <w:pPr>
      <w:pStyle w:val="Header"/>
    </w:pPr>
    <w:r>
      <w:rPr>
        <w:noProof/>
        <w:lang w:val="en-GB" w:eastAsia="en-GB"/>
      </w:rPr>
      <mc:AlternateContent>
        <mc:Choice Requires="wps">
          <w:drawing>
            <wp:anchor distT="0" distB="0" distL="0" distR="0" simplePos="0" relativeHeight="251658243" behindDoc="0" locked="0" layoutInCell="1" allowOverlap="1" wp14:anchorId="67084BAA" wp14:editId="07BD71DD">
              <wp:simplePos x="635" y="635"/>
              <wp:positionH relativeFrom="leftMargin">
                <wp:align>left</wp:align>
              </wp:positionH>
              <wp:positionV relativeFrom="paragraph">
                <wp:posOffset>635</wp:posOffset>
              </wp:positionV>
              <wp:extent cx="443865" cy="443865"/>
              <wp:effectExtent l="0" t="0" r="3175" b="4445"/>
              <wp:wrapSquare wrapText="bothSides"/>
              <wp:docPr id="22" name="Text Box 2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EFF338" w14:textId="5E526244" w:rsidR="00C3070C" w:rsidRPr="003B6094" w:rsidRDefault="00C3070C">
                          <w:pPr>
                            <w:rPr>
                              <w:rFonts w:ascii="Calibri" w:eastAsia="Calibri" w:hAnsi="Calibri" w:cs="Calibri"/>
                              <w:color w:val="000000"/>
                              <w:sz w:val="24"/>
                            </w:rPr>
                          </w:pPr>
                          <w:r w:rsidRPr="003B6094">
                            <w:rPr>
                              <w:rFonts w:ascii="Calibri" w:eastAsia="Calibri" w:hAnsi="Calibri" w:cs="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7084BAA" id="_x0000_t202" coordsize="21600,21600" o:spt="202" path="m,l,21600r21600,l21600,xe">
              <v:stroke joinstyle="miter"/>
              <v:path gradientshapeok="t" o:connecttype="rect"/>
            </v:shapetype>
            <v:shape id="Text Box 22" o:spid="_x0000_s1027" type="#_x0000_t202" alt="EBA Regular Use" style="position:absolute;left:0;text-align:left;margin-left:0;margin-top:.05pt;width:34.95pt;height:34.95pt;z-index:251658243;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26EFF338" w14:textId="5E526244" w:rsidR="00C3070C" w:rsidRPr="003B6094" w:rsidRDefault="00C3070C">
                    <w:pPr>
                      <w:rPr>
                        <w:rFonts w:ascii="Calibri" w:eastAsia="Calibri" w:hAnsi="Calibri" w:cs="Calibri"/>
                        <w:color w:val="000000"/>
                        <w:sz w:val="24"/>
                      </w:rPr>
                    </w:pPr>
                    <w:r w:rsidRPr="003B6094">
                      <w:rPr>
                        <w:rFonts w:ascii="Calibri" w:eastAsia="Calibri" w:hAnsi="Calibri" w:cs="Calibri"/>
                        <w:color w:val="000000"/>
                        <w:sz w:val="24"/>
                      </w:rPr>
                      <w:t>EBA Regular Use</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9755F" w14:textId="0211D059" w:rsidR="00C3070C" w:rsidRDefault="00C3070C">
    <w:pPr>
      <w:rPr>
        <w:rFonts w:ascii="Arial" w:hAnsi="Arial" w:cs="Arial"/>
      </w:rPr>
    </w:pPr>
    <w:r>
      <w:rPr>
        <w:rFonts w:ascii="Arial" w:hAnsi="Arial" w:cs="Arial"/>
        <w:noProof/>
        <w:lang w:eastAsia="en-GB"/>
      </w:rPr>
      <mc:AlternateContent>
        <mc:Choice Requires="wps">
          <w:drawing>
            <wp:anchor distT="0" distB="0" distL="0" distR="0" simplePos="0" relativeHeight="251658241"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3B6094" w:rsidRDefault="00C3070C">
                          <w:pPr>
                            <w:rPr>
                              <w:rFonts w:ascii="Calibri" w:eastAsia="Calibri" w:hAnsi="Calibri" w:cs="Calibri"/>
                              <w:color w:val="000000"/>
                              <w:sz w:val="24"/>
                            </w:rPr>
                          </w:pPr>
                          <w:r w:rsidRPr="003B6094">
                            <w:rPr>
                              <w:rFonts w:ascii="Calibri" w:eastAsia="Calibri" w:hAnsi="Calibri" w:cs="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A Regular Us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338E9168" w14:textId="7F6D1353" w:rsidR="00C3070C" w:rsidRPr="003B6094" w:rsidRDefault="00C3070C">
                    <w:pPr>
                      <w:rPr>
                        <w:rFonts w:ascii="Calibri" w:eastAsia="Calibri" w:hAnsi="Calibri" w:cs="Calibri"/>
                        <w:color w:val="000000"/>
                        <w:sz w:val="24"/>
                      </w:rPr>
                    </w:pPr>
                    <w:r w:rsidRPr="003B6094">
                      <w:rPr>
                        <w:rFonts w:ascii="Calibri" w:eastAsia="Calibri" w:hAnsi="Calibri" w:cs="Calibri"/>
                        <w:color w:val="000000"/>
                        <w:sz w:val="24"/>
                      </w:rPr>
                      <w:t>EBA Regular Use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E70D5F"/>
    <w:multiLevelType w:val="multilevel"/>
    <w:tmpl w:val="FA74CB0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BC737C"/>
    <w:multiLevelType w:val="hybridMultilevel"/>
    <w:tmpl w:val="52D6703E"/>
    <w:lvl w:ilvl="0" w:tplc="ABE852E6">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8A0755"/>
    <w:multiLevelType w:val="hybridMultilevel"/>
    <w:tmpl w:val="EB1066C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7" w15:restartNumberingAfterBreak="0">
    <w:nsid w:val="120F0A32"/>
    <w:multiLevelType w:val="hybridMultilevel"/>
    <w:tmpl w:val="B018387A"/>
    <w:lvl w:ilvl="0" w:tplc="08090019">
      <w:start w:val="1"/>
      <w:numFmt w:val="lowerLetter"/>
      <w:lvlText w:val="%1."/>
      <w:lvlJc w:val="left"/>
      <w:pPr>
        <w:ind w:left="2073" w:hanging="360"/>
      </w:pPr>
    </w:lvl>
    <w:lvl w:ilvl="1" w:tplc="08090019" w:tentative="1">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8" w15:restartNumberingAfterBreak="0">
    <w:nsid w:val="12AE467D"/>
    <w:multiLevelType w:val="hybridMultilevel"/>
    <w:tmpl w:val="BA68DF82"/>
    <w:lvl w:ilvl="0" w:tplc="FFFFFFFF">
      <w:start w:val="1"/>
      <w:numFmt w:val="decimal"/>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9" w15:restartNumberingAfterBreak="0">
    <w:nsid w:val="133C1BD7"/>
    <w:multiLevelType w:val="hybridMultilevel"/>
    <w:tmpl w:val="A0149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11" w15:restartNumberingAfterBreak="0">
    <w:nsid w:val="13777390"/>
    <w:multiLevelType w:val="hybridMultilevel"/>
    <w:tmpl w:val="79926B24"/>
    <w:lvl w:ilvl="0" w:tplc="50CE3E94">
      <w:start w:val="1"/>
      <w:numFmt w:val="lowerRoman"/>
      <w:lvlText w:val="(%1)"/>
      <w:lvlJc w:val="left"/>
      <w:pPr>
        <w:ind w:left="75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E26C87"/>
    <w:multiLevelType w:val="hybridMultilevel"/>
    <w:tmpl w:val="58C6074C"/>
    <w:lvl w:ilvl="0" w:tplc="CA244EBE">
      <w:start w:val="18"/>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8AD6655"/>
    <w:multiLevelType w:val="hybridMultilevel"/>
    <w:tmpl w:val="AC8E3FD8"/>
    <w:lvl w:ilvl="0" w:tplc="FFFFFFFF">
      <w:start w:val="1"/>
      <w:numFmt w:val="decimal"/>
      <w:lvlText w:val="%1."/>
      <w:lvlJc w:val="left"/>
      <w:pPr>
        <w:ind w:left="1353" w:hanging="360"/>
      </w:p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4" w15:restartNumberingAfterBreak="0">
    <w:nsid w:val="1AF56781"/>
    <w:multiLevelType w:val="hybridMultilevel"/>
    <w:tmpl w:val="136C5D58"/>
    <w:lvl w:ilvl="0" w:tplc="8D14D124">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5" w15:restartNumberingAfterBreak="0">
    <w:nsid w:val="1BE549C5"/>
    <w:multiLevelType w:val="hybridMultilevel"/>
    <w:tmpl w:val="A8C62022"/>
    <w:lvl w:ilvl="0" w:tplc="F842C1E4">
      <w:start w:val="1"/>
      <w:numFmt w:val="lowerRoman"/>
      <w:lvlText w:val="(%1)"/>
      <w:lvlJc w:val="left"/>
      <w:pPr>
        <w:ind w:left="753" w:hanging="720"/>
      </w:pPr>
      <w:rPr>
        <w:rFonts w:ascii="Times New Roman" w:eastAsia="Times New Roman" w:hAnsi="Times New Roman" w:cs="Times New Roman"/>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6"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7" w15:restartNumberingAfterBreak="0">
    <w:nsid w:val="222179FB"/>
    <w:multiLevelType w:val="hybridMultilevel"/>
    <w:tmpl w:val="4064A2B4"/>
    <w:lvl w:ilvl="0" w:tplc="81807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20" w15:restartNumberingAfterBreak="0">
    <w:nsid w:val="2B9B1C50"/>
    <w:multiLevelType w:val="hybridMultilevel"/>
    <w:tmpl w:val="9EACCA0E"/>
    <w:lvl w:ilvl="0" w:tplc="0D0AB2D8">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DAF4998"/>
    <w:multiLevelType w:val="hybridMultilevel"/>
    <w:tmpl w:val="3CD8ADAA"/>
    <w:lvl w:ilvl="0" w:tplc="BE927E64">
      <w:start w:val="1"/>
      <w:numFmt w:val="lowerRoman"/>
      <w:lvlText w:val="(%1)"/>
      <w:lvlJc w:val="left"/>
      <w:pPr>
        <w:ind w:left="753" w:hanging="360"/>
      </w:pPr>
      <w:rPr>
        <w:rFonts w:hint="default"/>
        <w:b w:val="0"/>
      </w:r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22" w15:restartNumberingAfterBreak="0">
    <w:nsid w:val="2F7D7F02"/>
    <w:multiLevelType w:val="multilevel"/>
    <w:tmpl w:val="0407001D"/>
    <w:numStyleLink w:val="Formatvorlage3"/>
  </w:abstractNum>
  <w:abstractNum w:abstractNumId="23" w15:restartNumberingAfterBreak="0">
    <w:nsid w:val="2FE6595B"/>
    <w:multiLevelType w:val="hybridMultilevel"/>
    <w:tmpl w:val="91389F68"/>
    <w:lvl w:ilvl="0" w:tplc="8A0ED5D2">
      <w:start w:val="208"/>
      <w:numFmt w:val="decimal"/>
      <w:lvlText w:val="%1."/>
      <w:lvlJc w:val="left"/>
      <w:pPr>
        <w:ind w:left="1413" w:hanging="4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4" w15:restartNumberingAfterBreak="0">
    <w:nsid w:val="30DD3DC0"/>
    <w:multiLevelType w:val="hybridMultilevel"/>
    <w:tmpl w:val="BA68DF82"/>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5"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6" w15:restartNumberingAfterBreak="0">
    <w:nsid w:val="345433EA"/>
    <w:multiLevelType w:val="hybridMultilevel"/>
    <w:tmpl w:val="644E74F8"/>
    <w:lvl w:ilvl="0" w:tplc="BE927E64">
      <w:start w:val="1"/>
      <w:numFmt w:val="lowerRoman"/>
      <w:lvlText w:val="(%1)"/>
      <w:lvlJc w:val="left"/>
      <w:pPr>
        <w:ind w:left="753" w:hanging="720"/>
      </w:pPr>
      <w:rPr>
        <w:rFonts w:hint="default"/>
        <w:b w:val="0"/>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7"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8" w15:restartNumberingAfterBreak="0">
    <w:nsid w:val="376D103C"/>
    <w:multiLevelType w:val="hybridMultilevel"/>
    <w:tmpl w:val="A1EC6F52"/>
    <w:lvl w:ilvl="0" w:tplc="7762841C">
      <w:start w:val="30"/>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3DC1554F"/>
    <w:multiLevelType w:val="hybridMultilevel"/>
    <w:tmpl w:val="CEBA3DA8"/>
    <w:lvl w:ilvl="0" w:tplc="4A96B0B0">
      <w:start w:val="30"/>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9B6193"/>
    <w:multiLevelType w:val="hybridMultilevel"/>
    <w:tmpl w:val="0EC889EC"/>
    <w:lvl w:ilvl="0" w:tplc="08090001">
      <w:start w:val="1"/>
      <w:numFmt w:val="bullet"/>
      <w:lvlText w:val=""/>
      <w:lvlJc w:val="left"/>
      <w:pPr>
        <w:ind w:left="1353" w:hanging="360"/>
      </w:pPr>
      <w:rPr>
        <w:rFonts w:ascii="Symbol" w:hAnsi="Symbol"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3" w15:restartNumberingAfterBreak="0">
    <w:nsid w:val="400F4A0D"/>
    <w:multiLevelType w:val="hybridMultilevel"/>
    <w:tmpl w:val="CB32C90E"/>
    <w:lvl w:ilvl="0" w:tplc="80BA033E">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2957DBD"/>
    <w:multiLevelType w:val="hybridMultilevel"/>
    <w:tmpl w:val="42E26CD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35"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5F3484C"/>
    <w:multiLevelType w:val="hybridMultilevel"/>
    <w:tmpl w:val="CDDC159E"/>
    <w:lvl w:ilvl="0" w:tplc="0972CC78">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37" w15:restartNumberingAfterBreak="0">
    <w:nsid w:val="47C76764"/>
    <w:multiLevelType w:val="multilevel"/>
    <w:tmpl w:val="6B6CB0F0"/>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7ED2232"/>
    <w:multiLevelType w:val="hybridMultilevel"/>
    <w:tmpl w:val="FE6C1DD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9" w15:restartNumberingAfterBreak="0">
    <w:nsid w:val="485101E7"/>
    <w:multiLevelType w:val="hybridMultilevel"/>
    <w:tmpl w:val="17080EE2"/>
    <w:lvl w:ilvl="0" w:tplc="2D629492">
      <w:start w:val="3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87150C0"/>
    <w:multiLevelType w:val="multilevel"/>
    <w:tmpl w:val="83F27A4C"/>
    <w:lvl w:ilvl="0">
      <w:start w:val="3"/>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3"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44"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422B26"/>
    <w:multiLevelType w:val="hybridMultilevel"/>
    <w:tmpl w:val="F20404C2"/>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46" w15:restartNumberingAfterBreak="0">
    <w:nsid w:val="589C29B2"/>
    <w:multiLevelType w:val="hybridMultilevel"/>
    <w:tmpl w:val="95AA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ADD1127"/>
    <w:multiLevelType w:val="hybridMultilevel"/>
    <w:tmpl w:val="44722EE6"/>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48"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9"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50" w15:restartNumberingAfterBreak="0">
    <w:nsid w:val="60642C4B"/>
    <w:multiLevelType w:val="hybridMultilevel"/>
    <w:tmpl w:val="65668BE4"/>
    <w:lvl w:ilvl="0" w:tplc="C8CE0B8C">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1A23F77"/>
    <w:multiLevelType w:val="hybridMultilevel"/>
    <w:tmpl w:val="FE4C356C"/>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52" w15:restartNumberingAfterBreak="0">
    <w:nsid w:val="62540E99"/>
    <w:multiLevelType w:val="multilevel"/>
    <w:tmpl w:val="4FB67B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62D26803"/>
    <w:multiLevelType w:val="hybridMultilevel"/>
    <w:tmpl w:val="F2C631DC"/>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54"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5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58" w15:restartNumberingAfterBreak="0">
    <w:nsid w:val="6BC535BB"/>
    <w:multiLevelType w:val="hybridMultilevel"/>
    <w:tmpl w:val="DBF049A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9"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0" w15:restartNumberingAfterBreak="0">
    <w:nsid w:val="6D6F093F"/>
    <w:multiLevelType w:val="hybridMultilevel"/>
    <w:tmpl w:val="E116BFEC"/>
    <w:lvl w:ilvl="0" w:tplc="783AB22E">
      <w:start w:val="1"/>
      <w:numFmt w:val="bullet"/>
      <w:lvlText w:val="-"/>
      <w:lvlJc w:val="left"/>
      <w:pPr>
        <w:ind w:left="720" w:hanging="360"/>
      </w:pPr>
      <w:rPr>
        <w:rFonts w:ascii="Calibri" w:hAnsi="Calibri" w:cs="Times New Roman" w:hint="default"/>
      </w:rPr>
    </w:lvl>
    <w:lvl w:ilvl="1" w:tplc="13E6DC68">
      <w:start w:val="1"/>
      <w:numFmt w:val="bullet"/>
      <w:lvlText w:val="o"/>
      <w:lvlJc w:val="left"/>
      <w:pPr>
        <w:ind w:left="1440" w:hanging="360"/>
      </w:pPr>
      <w:rPr>
        <w:rFonts w:ascii="Courier New" w:hAnsi="Courier New" w:cs="Times New Roman" w:hint="default"/>
      </w:rPr>
    </w:lvl>
    <w:lvl w:ilvl="2" w:tplc="04766A2A">
      <w:start w:val="1"/>
      <w:numFmt w:val="bullet"/>
      <w:lvlText w:val=""/>
      <w:lvlJc w:val="left"/>
      <w:pPr>
        <w:ind w:left="2160" w:hanging="360"/>
      </w:pPr>
      <w:rPr>
        <w:rFonts w:ascii="Wingdings" w:hAnsi="Wingdings" w:hint="default"/>
      </w:rPr>
    </w:lvl>
    <w:lvl w:ilvl="3" w:tplc="51A0BEB6">
      <w:start w:val="1"/>
      <w:numFmt w:val="bullet"/>
      <w:lvlText w:val=""/>
      <w:lvlJc w:val="left"/>
      <w:pPr>
        <w:ind w:left="2880" w:hanging="360"/>
      </w:pPr>
      <w:rPr>
        <w:rFonts w:ascii="Symbol" w:hAnsi="Symbol" w:hint="default"/>
      </w:rPr>
    </w:lvl>
    <w:lvl w:ilvl="4" w:tplc="D3061426">
      <w:start w:val="1"/>
      <w:numFmt w:val="bullet"/>
      <w:lvlText w:val="o"/>
      <w:lvlJc w:val="left"/>
      <w:pPr>
        <w:ind w:left="3600" w:hanging="360"/>
      </w:pPr>
      <w:rPr>
        <w:rFonts w:ascii="Courier New" w:hAnsi="Courier New" w:cs="Times New Roman" w:hint="default"/>
      </w:rPr>
    </w:lvl>
    <w:lvl w:ilvl="5" w:tplc="6B20305E">
      <w:start w:val="1"/>
      <w:numFmt w:val="bullet"/>
      <w:lvlText w:val=""/>
      <w:lvlJc w:val="left"/>
      <w:pPr>
        <w:ind w:left="4320" w:hanging="360"/>
      </w:pPr>
      <w:rPr>
        <w:rFonts w:ascii="Wingdings" w:hAnsi="Wingdings" w:hint="default"/>
      </w:rPr>
    </w:lvl>
    <w:lvl w:ilvl="6" w:tplc="FAEE3B3C">
      <w:start w:val="1"/>
      <w:numFmt w:val="bullet"/>
      <w:lvlText w:val=""/>
      <w:lvlJc w:val="left"/>
      <w:pPr>
        <w:ind w:left="5040" w:hanging="360"/>
      </w:pPr>
      <w:rPr>
        <w:rFonts w:ascii="Symbol" w:hAnsi="Symbol" w:hint="default"/>
      </w:rPr>
    </w:lvl>
    <w:lvl w:ilvl="7" w:tplc="BFE2EC22">
      <w:start w:val="1"/>
      <w:numFmt w:val="bullet"/>
      <w:lvlText w:val="o"/>
      <w:lvlJc w:val="left"/>
      <w:pPr>
        <w:ind w:left="5760" w:hanging="360"/>
      </w:pPr>
      <w:rPr>
        <w:rFonts w:ascii="Courier New" w:hAnsi="Courier New" w:cs="Times New Roman" w:hint="default"/>
      </w:rPr>
    </w:lvl>
    <w:lvl w:ilvl="8" w:tplc="80941290">
      <w:start w:val="1"/>
      <w:numFmt w:val="bullet"/>
      <w:lvlText w:val=""/>
      <w:lvlJc w:val="left"/>
      <w:pPr>
        <w:ind w:left="6480" w:hanging="360"/>
      </w:pPr>
      <w:rPr>
        <w:rFonts w:ascii="Wingdings" w:hAnsi="Wingdings" w:hint="default"/>
      </w:rPr>
    </w:lvl>
  </w:abstractNum>
  <w:abstractNum w:abstractNumId="61" w15:restartNumberingAfterBreak="0">
    <w:nsid w:val="6E2B25A4"/>
    <w:multiLevelType w:val="multilevel"/>
    <w:tmpl w:val="88B85D7E"/>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F346567"/>
    <w:multiLevelType w:val="hybridMultilevel"/>
    <w:tmpl w:val="E17A8CF8"/>
    <w:lvl w:ilvl="0" w:tplc="08090017">
      <w:start w:val="1"/>
      <w:numFmt w:val="lowerLetter"/>
      <w:lvlText w:val="%1)"/>
      <w:lvlJc w:val="left"/>
      <w:pPr>
        <w:ind w:left="1794" w:hanging="360"/>
      </w:pPr>
    </w:lvl>
    <w:lvl w:ilvl="1" w:tplc="08090019" w:tentative="1">
      <w:start w:val="1"/>
      <w:numFmt w:val="lowerLetter"/>
      <w:lvlText w:val="%2."/>
      <w:lvlJc w:val="left"/>
      <w:pPr>
        <w:ind w:left="2514" w:hanging="360"/>
      </w:pPr>
    </w:lvl>
    <w:lvl w:ilvl="2" w:tplc="0809001B" w:tentative="1">
      <w:start w:val="1"/>
      <w:numFmt w:val="lowerRoman"/>
      <w:lvlText w:val="%3."/>
      <w:lvlJc w:val="right"/>
      <w:pPr>
        <w:ind w:left="3234" w:hanging="180"/>
      </w:pPr>
    </w:lvl>
    <w:lvl w:ilvl="3" w:tplc="0809000F" w:tentative="1">
      <w:start w:val="1"/>
      <w:numFmt w:val="decimal"/>
      <w:lvlText w:val="%4."/>
      <w:lvlJc w:val="left"/>
      <w:pPr>
        <w:ind w:left="3954" w:hanging="360"/>
      </w:pPr>
    </w:lvl>
    <w:lvl w:ilvl="4" w:tplc="08090019" w:tentative="1">
      <w:start w:val="1"/>
      <w:numFmt w:val="lowerLetter"/>
      <w:lvlText w:val="%5."/>
      <w:lvlJc w:val="left"/>
      <w:pPr>
        <w:ind w:left="4674" w:hanging="360"/>
      </w:pPr>
    </w:lvl>
    <w:lvl w:ilvl="5" w:tplc="0809001B" w:tentative="1">
      <w:start w:val="1"/>
      <w:numFmt w:val="lowerRoman"/>
      <w:lvlText w:val="%6."/>
      <w:lvlJc w:val="right"/>
      <w:pPr>
        <w:ind w:left="5394" w:hanging="180"/>
      </w:pPr>
    </w:lvl>
    <w:lvl w:ilvl="6" w:tplc="0809000F" w:tentative="1">
      <w:start w:val="1"/>
      <w:numFmt w:val="decimal"/>
      <w:lvlText w:val="%7."/>
      <w:lvlJc w:val="left"/>
      <w:pPr>
        <w:ind w:left="6114" w:hanging="360"/>
      </w:pPr>
    </w:lvl>
    <w:lvl w:ilvl="7" w:tplc="08090019" w:tentative="1">
      <w:start w:val="1"/>
      <w:numFmt w:val="lowerLetter"/>
      <w:lvlText w:val="%8."/>
      <w:lvlJc w:val="left"/>
      <w:pPr>
        <w:ind w:left="6834" w:hanging="360"/>
      </w:pPr>
    </w:lvl>
    <w:lvl w:ilvl="8" w:tplc="0809001B" w:tentative="1">
      <w:start w:val="1"/>
      <w:numFmt w:val="lowerRoman"/>
      <w:lvlText w:val="%9."/>
      <w:lvlJc w:val="right"/>
      <w:pPr>
        <w:ind w:left="7554" w:hanging="180"/>
      </w:pPr>
    </w:lvl>
  </w:abstractNum>
  <w:abstractNum w:abstractNumId="63"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499543B"/>
    <w:multiLevelType w:val="multilevel"/>
    <w:tmpl w:val="FA74CB0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4A10E5B"/>
    <w:multiLevelType w:val="hybridMultilevel"/>
    <w:tmpl w:val="AC8E3FD8"/>
    <w:lvl w:ilvl="0" w:tplc="FFFFFFFF">
      <w:start w:val="1"/>
      <w:numFmt w:val="decimal"/>
      <w:lvlText w:val="%1."/>
      <w:lvlJc w:val="left"/>
      <w:pPr>
        <w:ind w:left="1353" w:hanging="360"/>
      </w:pPr>
    </w:lvl>
    <w:lvl w:ilvl="1" w:tplc="08090019">
      <w:start w:val="1"/>
      <w:numFmt w:val="lowerLetter"/>
      <w:lvlText w:val="%2."/>
      <w:lvlJc w:val="left"/>
      <w:pPr>
        <w:ind w:left="2073" w:hanging="360"/>
      </w:pPr>
    </w:lvl>
    <w:lvl w:ilvl="2" w:tplc="0809001B">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68" w15:restartNumberingAfterBreak="0">
    <w:nsid w:val="74FC3CAD"/>
    <w:multiLevelType w:val="hybridMultilevel"/>
    <w:tmpl w:val="9508F1A0"/>
    <w:lvl w:ilvl="0" w:tplc="F96AEA86">
      <w:start w:val="1"/>
      <w:numFmt w:val="bullet"/>
      <w:lvlText w:val="-"/>
      <w:lvlJc w:val="left"/>
      <w:pPr>
        <w:ind w:left="360" w:hanging="360"/>
      </w:pPr>
      <w:rPr>
        <w:rFonts w:ascii="Verdana" w:eastAsia="Times New Roman" w:hAnsi="Verdan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7F826FF"/>
    <w:multiLevelType w:val="hybridMultilevel"/>
    <w:tmpl w:val="7DB06E9C"/>
    <w:lvl w:ilvl="0" w:tplc="A5403C38">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70" w15:restartNumberingAfterBreak="0">
    <w:nsid w:val="77FD6839"/>
    <w:multiLevelType w:val="hybridMultilevel"/>
    <w:tmpl w:val="4CE8BEBA"/>
    <w:lvl w:ilvl="0" w:tplc="E1168B16">
      <w:start w:val="5"/>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ABC4DF3"/>
    <w:multiLevelType w:val="hybridMultilevel"/>
    <w:tmpl w:val="FA4820DE"/>
    <w:lvl w:ilvl="0" w:tplc="CD2A3886">
      <w:start w:val="208"/>
      <w:numFmt w:val="decimal"/>
      <w:lvlText w:val="%1."/>
      <w:lvlJc w:val="left"/>
      <w:pPr>
        <w:ind w:left="1773" w:hanging="42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num w:numId="1" w16cid:durableId="1505776359">
    <w:abstractNumId w:val="3"/>
  </w:num>
  <w:num w:numId="2" w16cid:durableId="1733112609">
    <w:abstractNumId w:val="49"/>
  </w:num>
  <w:num w:numId="3" w16cid:durableId="286200695">
    <w:abstractNumId w:val="65"/>
  </w:num>
  <w:num w:numId="4" w16cid:durableId="487287975">
    <w:abstractNumId w:val="41"/>
  </w:num>
  <w:num w:numId="5" w16cid:durableId="1754350949">
    <w:abstractNumId w:val="56"/>
  </w:num>
  <w:num w:numId="6" w16cid:durableId="1507597667">
    <w:abstractNumId w:val="30"/>
  </w:num>
  <w:num w:numId="7" w16cid:durableId="139271283">
    <w:abstractNumId w:val="64"/>
  </w:num>
  <w:num w:numId="8" w16cid:durableId="763764270">
    <w:abstractNumId w:val="16"/>
  </w:num>
  <w:num w:numId="9" w16cid:durableId="1561986968">
    <w:abstractNumId w:val="54"/>
  </w:num>
  <w:num w:numId="10" w16cid:durableId="1349260748">
    <w:abstractNumId w:val="27"/>
  </w:num>
  <w:num w:numId="11" w16cid:durableId="1097991330">
    <w:abstractNumId w:val="43"/>
  </w:num>
  <w:num w:numId="12" w16cid:durableId="858469680">
    <w:abstractNumId w:val="18"/>
  </w:num>
  <w:num w:numId="13" w16cid:durableId="1485394352">
    <w:abstractNumId w:val="55"/>
  </w:num>
  <w:num w:numId="14" w16cid:durableId="881021889">
    <w:abstractNumId w:val="48"/>
  </w:num>
  <w:num w:numId="15" w16cid:durableId="1923681300">
    <w:abstractNumId w:val="25"/>
  </w:num>
  <w:num w:numId="16" w16cid:durableId="211188018">
    <w:abstractNumId w:val="42"/>
  </w:num>
  <w:num w:numId="17" w16cid:durableId="373817584">
    <w:abstractNumId w:val="22"/>
  </w:num>
  <w:num w:numId="18" w16cid:durableId="1615165847">
    <w:abstractNumId w:val="57"/>
  </w:num>
  <w:num w:numId="19" w16cid:durableId="429467310">
    <w:abstractNumId w:val="10"/>
  </w:num>
  <w:num w:numId="20" w16cid:durableId="526409463">
    <w:abstractNumId w:val="14"/>
  </w:num>
  <w:num w:numId="21" w16cid:durableId="1023021418">
    <w:abstractNumId w:val="26"/>
  </w:num>
  <w:num w:numId="22" w16cid:durableId="510485648">
    <w:abstractNumId w:val="36"/>
  </w:num>
  <w:num w:numId="23" w16cid:durableId="863594772">
    <w:abstractNumId w:val="47"/>
  </w:num>
  <w:num w:numId="24" w16cid:durableId="1184786628">
    <w:abstractNumId w:val="58"/>
  </w:num>
  <w:num w:numId="25" w16cid:durableId="156314703">
    <w:abstractNumId w:val="15"/>
  </w:num>
  <w:num w:numId="26" w16cid:durableId="1106079368">
    <w:abstractNumId w:val="34"/>
  </w:num>
  <w:num w:numId="27" w16cid:durableId="1353070508">
    <w:abstractNumId w:val="45"/>
  </w:num>
  <w:num w:numId="28" w16cid:durableId="70588701">
    <w:abstractNumId w:val="11"/>
  </w:num>
  <w:num w:numId="29" w16cid:durableId="1356804014">
    <w:abstractNumId w:val="12"/>
  </w:num>
  <w:num w:numId="30" w16cid:durableId="3557898">
    <w:abstractNumId w:val="50"/>
  </w:num>
  <w:num w:numId="31" w16cid:durableId="1418819944">
    <w:abstractNumId w:val="68"/>
  </w:num>
  <w:num w:numId="32" w16cid:durableId="239949740">
    <w:abstractNumId w:val="17"/>
  </w:num>
  <w:num w:numId="33" w16cid:durableId="8442498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59669669">
    <w:abstractNumId w:val="20"/>
  </w:num>
  <w:num w:numId="35" w16cid:durableId="430467532">
    <w:abstractNumId w:val="70"/>
  </w:num>
  <w:num w:numId="36" w16cid:durableId="1464036760">
    <w:abstractNumId w:val="4"/>
  </w:num>
  <w:num w:numId="37" w16cid:durableId="249973241">
    <w:abstractNumId w:val="62"/>
  </w:num>
  <w:num w:numId="38" w16cid:durableId="1115178956">
    <w:abstractNumId w:val="66"/>
  </w:num>
  <w:num w:numId="39" w16cid:durableId="1079792157">
    <w:abstractNumId w:val="35"/>
  </w:num>
  <w:num w:numId="40" w16cid:durableId="1333265662">
    <w:abstractNumId w:val="2"/>
  </w:num>
  <w:num w:numId="41" w16cid:durableId="737484550">
    <w:abstractNumId w:val="29"/>
  </w:num>
  <w:num w:numId="42" w16cid:durableId="309210531">
    <w:abstractNumId w:val="63"/>
  </w:num>
  <w:num w:numId="43" w16cid:durableId="166527561">
    <w:abstractNumId w:val="1"/>
  </w:num>
  <w:num w:numId="44" w16cid:durableId="1544101633">
    <w:abstractNumId w:val="59"/>
  </w:num>
  <w:num w:numId="45" w16cid:durableId="44380249">
    <w:abstractNumId w:val="44"/>
  </w:num>
  <w:num w:numId="46" w16cid:durableId="1838038624">
    <w:abstractNumId w:val="0"/>
  </w:num>
  <w:num w:numId="47" w16cid:durableId="1856265522">
    <w:abstractNumId w:val="19"/>
  </w:num>
  <w:num w:numId="48" w16cid:durableId="2081713154">
    <w:abstractNumId w:val="40"/>
  </w:num>
  <w:num w:numId="49" w16cid:durableId="1718896137">
    <w:abstractNumId w:val="21"/>
  </w:num>
  <w:num w:numId="50" w16cid:durableId="1728258729">
    <w:abstractNumId w:val="69"/>
  </w:num>
  <w:num w:numId="51" w16cid:durableId="1856534817">
    <w:abstractNumId w:val="53"/>
  </w:num>
  <w:num w:numId="52" w16cid:durableId="771122248">
    <w:abstractNumId w:val="32"/>
  </w:num>
  <w:num w:numId="53" w16cid:durableId="738211683">
    <w:abstractNumId w:val="25"/>
  </w:num>
  <w:num w:numId="54" w16cid:durableId="1774208110">
    <w:abstractNumId w:val="25"/>
  </w:num>
  <w:num w:numId="55" w16cid:durableId="698626776">
    <w:abstractNumId w:val="25"/>
  </w:num>
  <w:num w:numId="56" w16cid:durableId="1155799151">
    <w:abstractNumId w:val="25"/>
  </w:num>
  <w:num w:numId="57" w16cid:durableId="16854895">
    <w:abstractNumId w:val="55"/>
  </w:num>
  <w:num w:numId="58" w16cid:durableId="441648627">
    <w:abstractNumId w:val="61"/>
  </w:num>
  <w:num w:numId="59" w16cid:durableId="1204750145">
    <w:abstractNumId w:val="37"/>
  </w:num>
  <w:num w:numId="60" w16cid:durableId="1881163654">
    <w:abstractNumId w:val="60"/>
  </w:num>
  <w:num w:numId="61" w16cid:durableId="564342068">
    <w:abstractNumId w:val="67"/>
  </w:num>
  <w:num w:numId="62" w16cid:durableId="1797748123">
    <w:abstractNumId w:val="13"/>
  </w:num>
  <w:num w:numId="63" w16cid:durableId="77364674">
    <w:abstractNumId w:val="7"/>
  </w:num>
  <w:num w:numId="64" w16cid:durableId="1571499201">
    <w:abstractNumId w:val="55"/>
  </w:num>
  <w:num w:numId="65" w16cid:durableId="912351439">
    <w:abstractNumId w:val="25"/>
  </w:num>
  <w:num w:numId="66" w16cid:durableId="1115518585">
    <w:abstractNumId w:val="23"/>
  </w:num>
  <w:num w:numId="67" w16cid:durableId="1254245876">
    <w:abstractNumId w:val="71"/>
  </w:num>
  <w:num w:numId="68" w16cid:durableId="1354916990">
    <w:abstractNumId w:val="31"/>
  </w:num>
  <w:num w:numId="69" w16cid:durableId="304165099">
    <w:abstractNumId w:val="28"/>
  </w:num>
  <w:num w:numId="70" w16cid:durableId="1683121088">
    <w:abstractNumId w:val="39"/>
  </w:num>
  <w:num w:numId="71" w16cid:durableId="1626156895">
    <w:abstractNumId w:val="6"/>
  </w:num>
  <w:num w:numId="72" w16cid:durableId="1012489178">
    <w:abstractNumId w:val="9"/>
  </w:num>
  <w:num w:numId="73" w16cid:durableId="954292358">
    <w:abstractNumId w:val="38"/>
  </w:num>
  <w:num w:numId="74" w16cid:durableId="469858578">
    <w:abstractNumId w:val="46"/>
  </w:num>
  <w:num w:numId="75" w16cid:durableId="2106150306">
    <w:abstractNumId w:val="33"/>
  </w:num>
  <w:num w:numId="76" w16cid:durableId="1625306053">
    <w:abstractNumId w:val="25"/>
  </w:num>
  <w:num w:numId="77" w16cid:durableId="1635911473">
    <w:abstractNumId w:val="25"/>
  </w:num>
  <w:num w:numId="78" w16cid:durableId="254442520">
    <w:abstractNumId w:val="55"/>
  </w:num>
  <w:num w:numId="79" w16cid:durableId="2019043190">
    <w:abstractNumId w:val="55"/>
  </w:num>
  <w:num w:numId="80" w16cid:durableId="562058377">
    <w:abstractNumId w:val="55"/>
  </w:num>
  <w:num w:numId="81" w16cid:durableId="1759137703">
    <w:abstractNumId w:val="55"/>
  </w:num>
  <w:num w:numId="82" w16cid:durableId="123818016">
    <w:abstractNumId w:val="55"/>
  </w:num>
  <w:num w:numId="83" w16cid:durableId="1590625833">
    <w:abstractNumId w:val="55"/>
  </w:num>
  <w:num w:numId="84" w16cid:durableId="671184775">
    <w:abstractNumId w:val="55"/>
  </w:num>
  <w:num w:numId="85" w16cid:durableId="897664751">
    <w:abstractNumId w:val="5"/>
  </w:num>
  <w:num w:numId="86" w16cid:durableId="1293025442">
    <w:abstractNumId w:val="55"/>
  </w:num>
  <w:num w:numId="87" w16cid:durableId="784428268">
    <w:abstractNumId w:val="55"/>
  </w:num>
  <w:num w:numId="88" w16cid:durableId="1356544267">
    <w:abstractNumId w:val="55"/>
  </w:num>
  <w:num w:numId="89" w16cid:durableId="1756898050">
    <w:abstractNumId w:val="55"/>
  </w:num>
  <w:num w:numId="90" w16cid:durableId="1953591268">
    <w:abstractNumId w:val="55"/>
  </w:num>
  <w:num w:numId="91" w16cid:durableId="1411076586">
    <w:abstractNumId w:val="55"/>
  </w:num>
  <w:num w:numId="92" w16cid:durableId="713577442">
    <w:abstractNumId w:val="55"/>
  </w:num>
  <w:num w:numId="93" w16cid:durableId="1665546488">
    <w:abstractNumId w:val="55"/>
  </w:num>
  <w:num w:numId="94" w16cid:durableId="967052354">
    <w:abstractNumId w:val="55"/>
  </w:num>
  <w:num w:numId="95" w16cid:durableId="309484170">
    <w:abstractNumId w:val="55"/>
  </w:num>
  <w:num w:numId="96" w16cid:durableId="1535777035">
    <w:abstractNumId w:val="25"/>
  </w:num>
  <w:num w:numId="97" w16cid:durableId="973751919">
    <w:abstractNumId w:val="25"/>
  </w:num>
  <w:num w:numId="98" w16cid:durableId="1635792443">
    <w:abstractNumId w:val="24"/>
  </w:num>
  <w:num w:numId="99" w16cid:durableId="1668896319">
    <w:abstractNumId w:val="8"/>
  </w:num>
  <w:num w:numId="100" w16cid:durableId="544409319">
    <w:abstractNumId w:val="25"/>
  </w:num>
  <w:num w:numId="101" w16cid:durableId="808861108">
    <w:abstractNumId w:val="25"/>
  </w:num>
  <w:num w:numId="102" w16cid:durableId="202838676">
    <w:abstractNumId w:val="25"/>
  </w:num>
  <w:num w:numId="103" w16cid:durableId="760026508">
    <w:abstractNumId w:val="25"/>
  </w:num>
  <w:num w:numId="104" w16cid:durableId="1074426706">
    <w:abstractNumId w:val="55"/>
  </w:num>
  <w:num w:numId="105" w16cid:durableId="524179360">
    <w:abstractNumId w:val="25"/>
  </w:num>
  <w:num w:numId="106" w16cid:durableId="98719631">
    <w:abstractNumId w:val="51"/>
  </w:num>
  <w:num w:numId="107" w16cid:durableId="1289240839">
    <w:abstractNumId w:val="25"/>
  </w:num>
  <w:num w:numId="108" w16cid:durableId="1410078559">
    <w:abstractNumId w:val="25"/>
  </w:num>
  <w:num w:numId="109" w16cid:durableId="1179739189">
    <w:abstractNumId w:val="25"/>
  </w:num>
  <w:num w:numId="110" w16cid:durableId="346566243">
    <w:abstractNumId w:val="25"/>
  </w:num>
  <w:num w:numId="111" w16cid:durableId="306859254">
    <w:abstractNumId w:val="25"/>
  </w:num>
  <w:num w:numId="112" w16cid:durableId="732776132">
    <w:abstractNumId w:val="55"/>
  </w:num>
  <w:num w:numId="113" w16cid:durableId="872963773">
    <w:abstractNumId w:val="55"/>
  </w:num>
  <w:num w:numId="114" w16cid:durableId="419832823">
    <w:abstractNumId w:val="25"/>
  </w:num>
  <w:num w:numId="115" w16cid:durableId="1976831320">
    <w:abstractNumId w:val="25"/>
  </w:num>
  <w:num w:numId="116" w16cid:durableId="926570473">
    <w:abstractNumId w:val="55"/>
  </w:num>
  <w:num w:numId="117" w16cid:durableId="365564648">
    <w:abstractNumId w:val="25"/>
  </w:num>
  <w:num w:numId="118" w16cid:durableId="98573524">
    <w:abstractNumId w:val="25"/>
  </w:num>
  <w:num w:numId="119" w16cid:durableId="1933127277">
    <w:abstractNumId w:val="25"/>
  </w:num>
  <w:num w:numId="120" w16cid:durableId="1898935926">
    <w:abstractNumId w:val="25"/>
  </w:num>
  <w:num w:numId="121" w16cid:durableId="102649250">
    <w:abstractNumId w:val="25"/>
  </w:num>
  <w:num w:numId="122" w16cid:durableId="1231430260">
    <w:abstractNumId w:val="55"/>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3DC"/>
    <w:rsid w:val="00000F70"/>
    <w:rsid w:val="000010F6"/>
    <w:rsid w:val="000017F3"/>
    <w:rsid w:val="00001AF1"/>
    <w:rsid w:val="000020E5"/>
    <w:rsid w:val="00002933"/>
    <w:rsid w:val="00002A62"/>
    <w:rsid w:val="00002E14"/>
    <w:rsid w:val="0000369F"/>
    <w:rsid w:val="00004478"/>
    <w:rsid w:val="000044B7"/>
    <w:rsid w:val="0000490D"/>
    <w:rsid w:val="00004978"/>
    <w:rsid w:val="00004C34"/>
    <w:rsid w:val="00004D21"/>
    <w:rsid w:val="00004FE8"/>
    <w:rsid w:val="00005078"/>
    <w:rsid w:val="00005765"/>
    <w:rsid w:val="000059B8"/>
    <w:rsid w:val="00005FFC"/>
    <w:rsid w:val="00006292"/>
    <w:rsid w:val="000068F6"/>
    <w:rsid w:val="000073EE"/>
    <w:rsid w:val="00007605"/>
    <w:rsid w:val="00007D0D"/>
    <w:rsid w:val="00010124"/>
    <w:rsid w:val="0001081C"/>
    <w:rsid w:val="00010D6C"/>
    <w:rsid w:val="00010F2F"/>
    <w:rsid w:val="00011AFA"/>
    <w:rsid w:val="00011BD0"/>
    <w:rsid w:val="000120EB"/>
    <w:rsid w:val="00014890"/>
    <w:rsid w:val="00014DC3"/>
    <w:rsid w:val="00015197"/>
    <w:rsid w:val="00015AE0"/>
    <w:rsid w:val="00015E76"/>
    <w:rsid w:val="0001693F"/>
    <w:rsid w:val="00016E64"/>
    <w:rsid w:val="00020200"/>
    <w:rsid w:val="000203AF"/>
    <w:rsid w:val="00020516"/>
    <w:rsid w:val="00020857"/>
    <w:rsid w:val="00020AF9"/>
    <w:rsid w:val="000212B7"/>
    <w:rsid w:val="0002157C"/>
    <w:rsid w:val="00021A05"/>
    <w:rsid w:val="00021B23"/>
    <w:rsid w:val="00021B54"/>
    <w:rsid w:val="00021E6A"/>
    <w:rsid w:val="0002267E"/>
    <w:rsid w:val="00023102"/>
    <w:rsid w:val="000232E2"/>
    <w:rsid w:val="00023383"/>
    <w:rsid w:val="000242CC"/>
    <w:rsid w:val="000243CE"/>
    <w:rsid w:val="0002452A"/>
    <w:rsid w:val="00025CBC"/>
    <w:rsid w:val="00025DA6"/>
    <w:rsid w:val="0002657F"/>
    <w:rsid w:val="00027235"/>
    <w:rsid w:val="00027D90"/>
    <w:rsid w:val="00027E60"/>
    <w:rsid w:val="0003060E"/>
    <w:rsid w:val="000306F2"/>
    <w:rsid w:val="000313B7"/>
    <w:rsid w:val="00031FA5"/>
    <w:rsid w:val="000326C1"/>
    <w:rsid w:val="00033B7C"/>
    <w:rsid w:val="00033C55"/>
    <w:rsid w:val="00034431"/>
    <w:rsid w:val="000345EF"/>
    <w:rsid w:val="000346A9"/>
    <w:rsid w:val="00034834"/>
    <w:rsid w:val="00035311"/>
    <w:rsid w:val="000359E1"/>
    <w:rsid w:val="00035DCC"/>
    <w:rsid w:val="000364CE"/>
    <w:rsid w:val="00037093"/>
    <w:rsid w:val="000377CC"/>
    <w:rsid w:val="00037FCC"/>
    <w:rsid w:val="00041480"/>
    <w:rsid w:val="000414DF"/>
    <w:rsid w:val="00041AC4"/>
    <w:rsid w:val="000420BE"/>
    <w:rsid w:val="0004295A"/>
    <w:rsid w:val="00042E60"/>
    <w:rsid w:val="000431E2"/>
    <w:rsid w:val="000433C4"/>
    <w:rsid w:val="00043906"/>
    <w:rsid w:val="00045036"/>
    <w:rsid w:val="00045125"/>
    <w:rsid w:val="0004590F"/>
    <w:rsid w:val="00045A22"/>
    <w:rsid w:val="00045B05"/>
    <w:rsid w:val="00046888"/>
    <w:rsid w:val="00046FA3"/>
    <w:rsid w:val="00050819"/>
    <w:rsid w:val="00050B55"/>
    <w:rsid w:val="00050EE0"/>
    <w:rsid w:val="00050FA1"/>
    <w:rsid w:val="0005110D"/>
    <w:rsid w:val="00052A80"/>
    <w:rsid w:val="00052CAE"/>
    <w:rsid w:val="00052EE6"/>
    <w:rsid w:val="000530BC"/>
    <w:rsid w:val="0005400A"/>
    <w:rsid w:val="000548A2"/>
    <w:rsid w:val="0005609F"/>
    <w:rsid w:val="000565B6"/>
    <w:rsid w:val="00056C0F"/>
    <w:rsid w:val="00056C8D"/>
    <w:rsid w:val="00057154"/>
    <w:rsid w:val="00057362"/>
    <w:rsid w:val="0005746D"/>
    <w:rsid w:val="00057809"/>
    <w:rsid w:val="00060388"/>
    <w:rsid w:val="000609BE"/>
    <w:rsid w:val="00061C24"/>
    <w:rsid w:val="00061E48"/>
    <w:rsid w:val="000627F0"/>
    <w:rsid w:val="00062A1F"/>
    <w:rsid w:val="00063085"/>
    <w:rsid w:val="00063B3F"/>
    <w:rsid w:val="00064158"/>
    <w:rsid w:val="00065941"/>
    <w:rsid w:val="0006666B"/>
    <w:rsid w:val="000667F8"/>
    <w:rsid w:val="00067367"/>
    <w:rsid w:val="00067560"/>
    <w:rsid w:val="00067DC1"/>
    <w:rsid w:val="00067EEA"/>
    <w:rsid w:val="00070113"/>
    <w:rsid w:val="00070518"/>
    <w:rsid w:val="00070642"/>
    <w:rsid w:val="00070AF9"/>
    <w:rsid w:val="00070E18"/>
    <w:rsid w:val="00071188"/>
    <w:rsid w:val="00071341"/>
    <w:rsid w:val="000714EC"/>
    <w:rsid w:val="000716F4"/>
    <w:rsid w:val="00071D95"/>
    <w:rsid w:val="000726BC"/>
    <w:rsid w:val="00072CD5"/>
    <w:rsid w:val="000733D3"/>
    <w:rsid w:val="000737D3"/>
    <w:rsid w:val="00073C7A"/>
    <w:rsid w:val="00074910"/>
    <w:rsid w:val="000758FE"/>
    <w:rsid w:val="00076091"/>
    <w:rsid w:val="000763E0"/>
    <w:rsid w:val="00076880"/>
    <w:rsid w:val="0007764C"/>
    <w:rsid w:val="00077C5F"/>
    <w:rsid w:val="00080BEC"/>
    <w:rsid w:val="00080DDC"/>
    <w:rsid w:val="0008111C"/>
    <w:rsid w:val="0008126E"/>
    <w:rsid w:val="00081B8F"/>
    <w:rsid w:val="00081BBF"/>
    <w:rsid w:val="00082265"/>
    <w:rsid w:val="000828C6"/>
    <w:rsid w:val="0008339B"/>
    <w:rsid w:val="0008356E"/>
    <w:rsid w:val="00083906"/>
    <w:rsid w:val="00084074"/>
    <w:rsid w:val="00084388"/>
    <w:rsid w:val="000843B3"/>
    <w:rsid w:val="0008481E"/>
    <w:rsid w:val="00084A4D"/>
    <w:rsid w:val="00085159"/>
    <w:rsid w:val="000856BD"/>
    <w:rsid w:val="000858A9"/>
    <w:rsid w:val="000860B6"/>
    <w:rsid w:val="000861CD"/>
    <w:rsid w:val="00086A31"/>
    <w:rsid w:val="00086C6E"/>
    <w:rsid w:val="00087700"/>
    <w:rsid w:val="00087B1B"/>
    <w:rsid w:val="00087E1A"/>
    <w:rsid w:val="000901BD"/>
    <w:rsid w:val="000903FA"/>
    <w:rsid w:val="000904F3"/>
    <w:rsid w:val="00090583"/>
    <w:rsid w:val="000911FE"/>
    <w:rsid w:val="0009195D"/>
    <w:rsid w:val="00091CBC"/>
    <w:rsid w:val="00092069"/>
    <w:rsid w:val="00092F67"/>
    <w:rsid w:val="00093686"/>
    <w:rsid w:val="00093BF7"/>
    <w:rsid w:val="00094CFB"/>
    <w:rsid w:val="00094D25"/>
    <w:rsid w:val="00095191"/>
    <w:rsid w:val="00095D0B"/>
    <w:rsid w:val="00095ED3"/>
    <w:rsid w:val="0009628F"/>
    <w:rsid w:val="00096566"/>
    <w:rsid w:val="00096876"/>
    <w:rsid w:val="000974F8"/>
    <w:rsid w:val="00097502"/>
    <w:rsid w:val="0009761E"/>
    <w:rsid w:val="00097A17"/>
    <w:rsid w:val="00097C81"/>
    <w:rsid w:val="00097E91"/>
    <w:rsid w:val="000A0356"/>
    <w:rsid w:val="000A095C"/>
    <w:rsid w:val="000A0FC4"/>
    <w:rsid w:val="000A1955"/>
    <w:rsid w:val="000A253C"/>
    <w:rsid w:val="000A29AE"/>
    <w:rsid w:val="000A368E"/>
    <w:rsid w:val="000A3B1A"/>
    <w:rsid w:val="000A3F56"/>
    <w:rsid w:val="000A41DF"/>
    <w:rsid w:val="000A4635"/>
    <w:rsid w:val="000A46E0"/>
    <w:rsid w:val="000A478B"/>
    <w:rsid w:val="000A4B61"/>
    <w:rsid w:val="000A4C10"/>
    <w:rsid w:val="000A54FF"/>
    <w:rsid w:val="000A57BC"/>
    <w:rsid w:val="000A5B47"/>
    <w:rsid w:val="000A6613"/>
    <w:rsid w:val="000A6BBC"/>
    <w:rsid w:val="000A7D27"/>
    <w:rsid w:val="000A7F37"/>
    <w:rsid w:val="000B0694"/>
    <w:rsid w:val="000B0B09"/>
    <w:rsid w:val="000B0C9C"/>
    <w:rsid w:val="000B0E46"/>
    <w:rsid w:val="000B0EBE"/>
    <w:rsid w:val="000B1177"/>
    <w:rsid w:val="000B13A1"/>
    <w:rsid w:val="000B169F"/>
    <w:rsid w:val="000B1E94"/>
    <w:rsid w:val="000B22F6"/>
    <w:rsid w:val="000B267A"/>
    <w:rsid w:val="000B2F04"/>
    <w:rsid w:val="000B3C33"/>
    <w:rsid w:val="000B3E00"/>
    <w:rsid w:val="000B480F"/>
    <w:rsid w:val="000B5700"/>
    <w:rsid w:val="000B6A14"/>
    <w:rsid w:val="000B70E1"/>
    <w:rsid w:val="000B73C4"/>
    <w:rsid w:val="000B7ABA"/>
    <w:rsid w:val="000C0127"/>
    <w:rsid w:val="000C0A34"/>
    <w:rsid w:val="000C0FA2"/>
    <w:rsid w:val="000C24B5"/>
    <w:rsid w:val="000C2EDE"/>
    <w:rsid w:val="000C3073"/>
    <w:rsid w:val="000C30A6"/>
    <w:rsid w:val="000C348C"/>
    <w:rsid w:val="000C45DE"/>
    <w:rsid w:val="000C4A6C"/>
    <w:rsid w:val="000C4AC2"/>
    <w:rsid w:val="000C566F"/>
    <w:rsid w:val="000C5A1A"/>
    <w:rsid w:val="000C5EA7"/>
    <w:rsid w:val="000C6938"/>
    <w:rsid w:val="000C6FA9"/>
    <w:rsid w:val="000C7632"/>
    <w:rsid w:val="000C7BF5"/>
    <w:rsid w:val="000C7EAA"/>
    <w:rsid w:val="000D04B6"/>
    <w:rsid w:val="000D0A23"/>
    <w:rsid w:val="000D194E"/>
    <w:rsid w:val="000D1FBE"/>
    <w:rsid w:val="000D20CF"/>
    <w:rsid w:val="000D220D"/>
    <w:rsid w:val="000D2C2B"/>
    <w:rsid w:val="000D3222"/>
    <w:rsid w:val="000D335F"/>
    <w:rsid w:val="000D3A1F"/>
    <w:rsid w:val="000D3CBC"/>
    <w:rsid w:val="000D3EA5"/>
    <w:rsid w:val="000D4352"/>
    <w:rsid w:val="000D458B"/>
    <w:rsid w:val="000D5292"/>
    <w:rsid w:val="000D5789"/>
    <w:rsid w:val="000D5958"/>
    <w:rsid w:val="000D6B9B"/>
    <w:rsid w:val="000D6F90"/>
    <w:rsid w:val="000E093A"/>
    <w:rsid w:val="000E1572"/>
    <w:rsid w:val="000E197A"/>
    <w:rsid w:val="000E2774"/>
    <w:rsid w:val="000E29C9"/>
    <w:rsid w:val="000E2CF2"/>
    <w:rsid w:val="000E383E"/>
    <w:rsid w:val="000E39F1"/>
    <w:rsid w:val="000E3F99"/>
    <w:rsid w:val="000E40DD"/>
    <w:rsid w:val="000E4E55"/>
    <w:rsid w:val="000E5ECE"/>
    <w:rsid w:val="000E629D"/>
    <w:rsid w:val="000E6835"/>
    <w:rsid w:val="000E7BA8"/>
    <w:rsid w:val="000E7F08"/>
    <w:rsid w:val="000F0D99"/>
    <w:rsid w:val="000F11B2"/>
    <w:rsid w:val="000F13F9"/>
    <w:rsid w:val="000F1CEA"/>
    <w:rsid w:val="000F26E4"/>
    <w:rsid w:val="000F2ADA"/>
    <w:rsid w:val="000F2E47"/>
    <w:rsid w:val="000F2EC8"/>
    <w:rsid w:val="000F2F09"/>
    <w:rsid w:val="000F33AF"/>
    <w:rsid w:val="000F37F0"/>
    <w:rsid w:val="000F3EE7"/>
    <w:rsid w:val="000F3FDC"/>
    <w:rsid w:val="000F46D5"/>
    <w:rsid w:val="000F4702"/>
    <w:rsid w:val="000F48E8"/>
    <w:rsid w:val="000F4B00"/>
    <w:rsid w:val="000F4F88"/>
    <w:rsid w:val="000F5631"/>
    <w:rsid w:val="000F57FD"/>
    <w:rsid w:val="000F6A80"/>
    <w:rsid w:val="000F6B25"/>
    <w:rsid w:val="000F7045"/>
    <w:rsid w:val="000F70EC"/>
    <w:rsid w:val="0010177C"/>
    <w:rsid w:val="00101D7A"/>
    <w:rsid w:val="00101E39"/>
    <w:rsid w:val="001028D1"/>
    <w:rsid w:val="00102C6F"/>
    <w:rsid w:val="00102E33"/>
    <w:rsid w:val="001033C5"/>
    <w:rsid w:val="00104370"/>
    <w:rsid w:val="0010455D"/>
    <w:rsid w:val="00104585"/>
    <w:rsid w:val="00104601"/>
    <w:rsid w:val="00104A65"/>
    <w:rsid w:val="001050B9"/>
    <w:rsid w:val="001051BD"/>
    <w:rsid w:val="00105437"/>
    <w:rsid w:val="001054B2"/>
    <w:rsid w:val="0010559F"/>
    <w:rsid w:val="00105A75"/>
    <w:rsid w:val="00105CF1"/>
    <w:rsid w:val="0010605A"/>
    <w:rsid w:val="00106764"/>
    <w:rsid w:val="00106FC5"/>
    <w:rsid w:val="001102E5"/>
    <w:rsid w:val="00110F40"/>
    <w:rsid w:val="001119D4"/>
    <w:rsid w:val="00112B0D"/>
    <w:rsid w:val="00113E45"/>
    <w:rsid w:val="00113EA5"/>
    <w:rsid w:val="00114C8D"/>
    <w:rsid w:val="001151C1"/>
    <w:rsid w:val="00115289"/>
    <w:rsid w:val="0011539B"/>
    <w:rsid w:val="00115685"/>
    <w:rsid w:val="001174B1"/>
    <w:rsid w:val="001201E0"/>
    <w:rsid w:val="0012049B"/>
    <w:rsid w:val="00120938"/>
    <w:rsid w:val="00121008"/>
    <w:rsid w:val="001210C3"/>
    <w:rsid w:val="001219C2"/>
    <w:rsid w:val="001219E0"/>
    <w:rsid w:val="00121BFD"/>
    <w:rsid w:val="001235ED"/>
    <w:rsid w:val="00123D62"/>
    <w:rsid w:val="00124235"/>
    <w:rsid w:val="00124A44"/>
    <w:rsid w:val="00124B85"/>
    <w:rsid w:val="00124F78"/>
    <w:rsid w:val="001250CC"/>
    <w:rsid w:val="0012515B"/>
    <w:rsid w:val="001255E1"/>
    <w:rsid w:val="00125707"/>
    <w:rsid w:val="00125D44"/>
    <w:rsid w:val="00125DEE"/>
    <w:rsid w:val="00126395"/>
    <w:rsid w:val="001273B5"/>
    <w:rsid w:val="00127986"/>
    <w:rsid w:val="00127FEA"/>
    <w:rsid w:val="00130586"/>
    <w:rsid w:val="00130EEF"/>
    <w:rsid w:val="001323BF"/>
    <w:rsid w:val="0013275D"/>
    <w:rsid w:val="00132778"/>
    <w:rsid w:val="00133107"/>
    <w:rsid w:val="001331F5"/>
    <w:rsid w:val="00133396"/>
    <w:rsid w:val="0013350B"/>
    <w:rsid w:val="0013380A"/>
    <w:rsid w:val="00133AC1"/>
    <w:rsid w:val="0013416F"/>
    <w:rsid w:val="001360BA"/>
    <w:rsid w:val="00136316"/>
    <w:rsid w:val="00137AC5"/>
    <w:rsid w:val="00140198"/>
    <w:rsid w:val="001402DB"/>
    <w:rsid w:val="00140571"/>
    <w:rsid w:val="001409D9"/>
    <w:rsid w:val="00140F6E"/>
    <w:rsid w:val="00141201"/>
    <w:rsid w:val="00141DD1"/>
    <w:rsid w:val="0014209A"/>
    <w:rsid w:val="0014210E"/>
    <w:rsid w:val="001422FA"/>
    <w:rsid w:val="00142917"/>
    <w:rsid w:val="001432EE"/>
    <w:rsid w:val="001435E2"/>
    <w:rsid w:val="00144C6E"/>
    <w:rsid w:val="00144F03"/>
    <w:rsid w:val="0014524C"/>
    <w:rsid w:val="001452FC"/>
    <w:rsid w:val="0014537D"/>
    <w:rsid w:val="0014570F"/>
    <w:rsid w:val="00145BAD"/>
    <w:rsid w:val="0014657C"/>
    <w:rsid w:val="00146836"/>
    <w:rsid w:val="00146D50"/>
    <w:rsid w:val="001474E0"/>
    <w:rsid w:val="0015008C"/>
    <w:rsid w:val="0015093A"/>
    <w:rsid w:val="00151071"/>
    <w:rsid w:val="00151B44"/>
    <w:rsid w:val="00151BD7"/>
    <w:rsid w:val="00151D8A"/>
    <w:rsid w:val="0015288B"/>
    <w:rsid w:val="0015295D"/>
    <w:rsid w:val="00152AF0"/>
    <w:rsid w:val="00152B33"/>
    <w:rsid w:val="00153BEC"/>
    <w:rsid w:val="00154185"/>
    <w:rsid w:val="001543E3"/>
    <w:rsid w:val="00154859"/>
    <w:rsid w:val="001550FA"/>
    <w:rsid w:val="00155114"/>
    <w:rsid w:val="00155543"/>
    <w:rsid w:val="00155E62"/>
    <w:rsid w:val="00156555"/>
    <w:rsid w:val="00156B24"/>
    <w:rsid w:val="001570C4"/>
    <w:rsid w:val="0015712A"/>
    <w:rsid w:val="00157883"/>
    <w:rsid w:val="00157B19"/>
    <w:rsid w:val="00160353"/>
    <w:rsid w:val="0016047E"/>
    <w:rsid w:val="0016072E"/>
    <w:rsid w:val="00160A62"/>
    <w:rsid w:val="00160CCC"/>
    <w:rsid w:val="0016282F"/>
    <w:rsid w:val="001628F4"/>
    <w:rsid w:val="00162CCF"/>
    <w:rsid w:val="00162E47"/>
    <w:rsid w:val="00163DBA"/>
    <w:rsid w:val="00163FFF"/>
    <w:rsid w:val="001644B8"/>
    <w:rsid w:val="00164970"/>
    <w:rsid w:val="00164B62"/>
    <w:rsid w:val="0016513C"/>
    <w:rsid w:val="00167602"/>
    <w:rsid w:val="00167619"/>
    <w:rsid w:val="00167E59"/>
    <w:rsid w:val="0017040A"/>
    <w:rsid w:val="00170B59"/>
    <w:rsid w:val="00171149"/>
    <w:rsid w:val="001720E5"/>
    <w:rsid w:val="001721BD"/>
    <w:rsid w:val="00172CC7"/>
    <w:rsid w:val="001734AB"/>
    <w:rsid w:val="0017357B"/>
    <w:rsid w:val="00173C90"/>
    <w:rsid w:val="0017440D"/>
    <w:rsid w:val="00174D2F"/>
    <w:rsid w:val="0017525E"/>
    <w:rsid w:val="00175957"/>
    <w:rsid w:val="001762EC"/>
    <w:rsid w:val="00176495"/>
    <w:rsid w:val="001771A4"/>
    <w:rsid w:val="001803AE"/>
    <w:rsid w:val="00180FA9"/>
    <w:rsid w:val="00181174"/>
    <w:rsid w:val="00181610"/>
    <w:rsid w:val="001816B6"/>
    <w:rsid w:val="00181888"/>
    <w:rsid w:val="00181AC7"/>
    <w:rsid w:val="00181D65"/>
    <w:rsid w:val="00182100"/>
    <w:rsid w:val="001822DF"/>
    <w:rsid w:val="001839FD"/>
    <w:rsid w:val="00183B7A"/>
    <w:rsid w:val="00184045"/>
    <w:rsid w:val="001840A5"/>
    <w:rsid w:val="00184117"/>
    <w:rsid w:val="001843F9"/>
    <w:rsid w:val="00184E8A"/>
    <w:rsid w:val="0018533B"/>
    <w:rsid w:val="001854F6"/>
    <w:rsid w:val="00185877"/>
    <w:rsid w:val="00185906"/>
    <w:rsid w:val="00185A19"/>
    <w:rsid w:val="00185FA8"/>
    <w:rsid w:val="001863CA"/>
    <w:rsid w:val="00186550"/>
    <w:rsid w:val="00187348"/>
    <w:rsid w:val="00187488"/>
    <w:rsid w:val="0019088A"/>
    <w:rsid w:val="00190FA3"/>
    <w:rsid w:val="00191159"/>
    <w:rsid w:val="001919E9"/>
    <w:rsid w:val="001924F4"/>
    <w:rsid w:val="00192744"/>
    <w:rsid w:val="001928DD"/>
    <w:rsid w:val="001934C0"/>
    <w:rsid w:val="00193697"/>
    <w:rsid w:val="0019394E"/>
    <w:rsid w:val="00194FA2"/>
    <w:rsid w:val="001959EF"/>
    <w:rsid w:val="00195FDC"/>
    <w:rsid w:val="00195FFE"/>
    <w:rsid w:val="00197136"/>
    <w:rsid w:val="0019727D"/>
    <w:rsid w:val="001978B0"/>
    <w:rsid w:val="00197C28"/>
    <w:rsid w:val="00197FD2"/>
    <w:rsid w:val="001A0143"/>
    <w:rsid w:val="001A0663"/>
    <w:rsid w:val="001A1E09"/>
    <w:rsid w:val="001A208E"/>
    <w:rsid w:val="001A2115"/>
    <w:rsid w:val="001A217F"/>
    <w:rsid w:val="001A2C8C"/>
    <w:rsid w:val="001A348A"/>
    <w:rsid w:val="001A370B"/>
    <w:rsid w:val="001A390C"/>
    <w:rsid w:val="001A3980"/>
    <w:rsid w:val="001A40DB"/>
    <w:rsid w:val="001A44B3"/>
    <w:rsid w:val="001A4B4F"/>
    <w:rsid w:val="001A51DF"/>
    <w:rsid w:val="001A523B"/>
    <w:rsid w:val="001A531E"/>
    <w:rsid w:val="001A627D"/>
    <w:rsid w:val="001A741B"/>
    <w:rsid w:val="001A7742"/>
    <w:rsid w:val="001A7FB0"/>
    <w:rsid w:val="001B023A"/>
    <w:rsid w:val="001B1349"/>
    <w:rsid w:val="001B140A"/>
    <w:rsid w:val="001B1531"/>
    <w:rsid w:val="001B17E6"/>
    <w:rsid w:val="001B1F77"/>
    <w:rsid w:val="001B21AE"/>
    <w:rsid w:val="001B2337"/>
    <w:rsid w:val="001B43BD"/>
    <w:rsid w:val="001B44EE"/>
    <w:rsid w:val="001B4EA5"/>
    <w:rsid w:val="001B5499"/>
    <w:rsid w:val="001B5725"/>
    <w:rsid w:val="001B5856"/>
    <w:rsid w:val="001B6114"/>
    <w:rsid w:val="001B6D4D"/>
    <w:rsid w:val="001B7D0F"/>
    <w:rsid w:val="001B7F0C"/>
    <w:rsid w:val="001B7F1A"/>
    <w:rsid w:val="001C04E2"/>
    <w:rsid w:val="001C0A12"/>
    <w:rsid w:val="001C1392"/>
    <w:rsid w:val="001C1571"/>
    <w:rsid w:val="001C1737"/>
    <w:rsid w:val="001C2358"/>
    <w:rsid w:val="001C24B0"/>
    <w:rsid w:val="001C2A41"/>
    <w:rsid w:val="001C2BA5"/>
    <w:rsid w:val="001C2C25"/>
    <w:rsid w:val="001C3443"/>
    <w:rsid w:val="001C36B0"/>
    <w:rsid w:val="001C3D30"/>
    <w:rsid w:val="001C5557"/>
    <w:rsid w:val="001C5CA8"/>
    <w:rsid w:val="001C6166"/>
    <w:rsid w:val="001C6416"/>
    <w:rsid w:val="001C6FF0"/>
    <w:rsid w:val="001C743D"/>
    <w:rsid w:val="001C7897"/>
    <w:rsid w:val="001C79CB"/>
    <w:rsid w:val="001C7AB7"/>
    <w:rsid w:val="001C7F2A"/>
    <w:rsid w:val="001D03A6"/>
    <w:rsid w:val="001D09F5"/>
    <w:rsid w:val="001D0FF1"/>
    <w:rsid w:val="001D1BAE"/>
    <w:rsid w:val="001D1D37"/>
    <w:rsid w:val="001D1F64"/>
    <w:rsid w:val="001D23D2"/>
    <w:rsid w:val="001D2ED8"/>
    <w:rsid w:val="001D2F6C"/>
    <w:rsid w:val="001D2FE6"/>
    <w:rsid w:val="001D3409"/>
    <w:rsid w:val="001D3CE7"/>
    <w:rsid w:val="001D46CB"/>
    <w:rsid w:val="001D46EA"/>
    <w:rsid w:val="001D476C"/>
    <w:rsid w:val="001D4848"/>
    <w:rsid w:val="001D4B9D"/>
    <w:rsid w:val="001D4C3D"/>
    <w:rsid w:val="001D5403"/>
    <w:rsid w:val="001D54D3"/>
    <w:rsid w:val="001D6551"/>
    <w:rsid w:val="001D6D53"/>
    <w:rsid w:val="001D6D7C"/>
    <w:rsid w:val="001D7382"/>
    <w:rsid w:val="001E01BA"/>
    <w:rsid w:val="001E06CB"/>
    <w:rsid w:val="001E0C80"/>
    <w:rsid w:val="001E1C80"/>
    <w:rsid w:val="001E1DC8"/>
    <w:rsid w:val="001E332C"/>
    <w:rsid w:val="001E38FD"/>
    <w:rsid w:val="001E39E5"/>
    <w:rsid w:val="001E3E85"/>
    <w:rsid w:val="001E3EF1"/>
    <w:rsid w:val="001E4C6B"/>
    <w:rsid w:val="001E5A75"/>
    <w:rsid w:val="001E6127"/>
    <w:rsid w:val="001E6A9E"/>
    <w:rsid w:val="001E6B9D"/>
    <w:rsid w:val="001E71B5"/>
    <w:rsid w:val="001E7280"/>
    <w:rsid w:val="001E7AE4"/>
    <w:rsid w:val="001E7EA7"/>
    <w:rsid w:val="001F0111"/>
    <w:rsid w:val="001F0D60"/>
    <w:rsid w:val="001F0FCF"/>
    <w:rsid w:val="001F1711"/>
    <w:rsid w:val="001F1B80"/>
    <w:rsid w:val="001F1F5F"/>
    <w:rsid w:val="001F2389"/>
    <w:rsid w:val="001F2830"/>
    <w:rsid w:val="001F2920"/>
    <w:rsid w:val="001F3223"/>
    <w:rsid w:val="001F3820"/>
    <w:rsid w:val="001F3BBE"/>
    <w:rsid w:val="001F3D6A"/>
    <w:rsid w:val="001F4225"/>
    <w:rsid w:val="001F4AF4"/>
    <w:rsid w:val="001F4CB2"/>
    <w:rsid w:val="001F5AC3"/>
    <w:rsid w:val="001F60B8"/>
    <w:rsid w:val="001F6487"/>
    <w:rsid w:val="001F73EA"/>
    <w:rsid w:val="00200D6E"/>
    <w:rsid w:val="00200E8E"/>
    <w:rsid w:val="00201582"/>
    <w:rsid w:val="00201704"/>
    <w:rsid w:val="00201DD3"/>
    <w:rsid w:val="00201F3E"/>
    <w:rsid w:val="00202198"/>
    <w:rsid w:val="00202496"/>
    <w:rsid w:val="00202742"/>
    <w:rsid w:val="0020282E"/>
    <w:rsid w:val="002053AE"/>
    <w:rsid w:val="00205699"/>
    <w:rsid w:val="00206687"/>
    <w:rsid w:val="00206811"/>
    <w:rsid w:val="002068A8"/>
    <w:rsid w:val="00206D7E"/>
    <w:rsid w:val="00207106"/>
    <w:rsid w:val="00210845"/>
    <w:rsid w:val="00211293"/>
    <w:rsid w:val="00211D35"/>
    <w:rsid w:val="0021267F"/>
    <w:rsid w:val="002126B7"/>
    <w:rsid w:val="00212844"/>
    <w:rsid w:val="00213102"/>
    <w:rsid w:val="0021389C"/>
    <w:rsid w:val="00213DC3"/>
    <w:rsid w:val="00213E0E"/>
    <w:rsid w:val="00213FC8"/>
    <w:rsid w:val="00214024"/>
    <w:rsid w:val="00214FDA"/>
    <w:rsid w:val="00215156"/>
    <w:rsid w:val="002154E5"/>
    <w:rsid w:val="00215548"/>
    <w:rsid w:val="00215CD7"/>
    <w:rsid w:val="00216D52"/>
    <w:rsid w:val="00216D67"/>
    <w:rsid w:val="00216EDB"/>
    <w:rsid w:val="0021767A"/>
    <w:rsid w:val="0021767F"/>
    <w:rsid w:val="00217E95"/>
    <w:rsid w:val="00220265"/>
    <w:rsid w:val="00220B85"/>
    <w:rsid w:val="00220DAF"/>
    <w:rsid w:val="00221103"/>
    <w:rsid w:val="0022147A"/>
    <w:rsid w:val="00221C2F"/>
    <w:rsid w:val="00221C99"/>
    <w:rsid w:val="00222596"/>
    <w:rsid w:val="002229FF"/>
    <w:rsid w:val="00222AC6"/>
    <w:rsid w:val="00222CD3"/>
    <w:rsid w:val="00222D1F"/>
    <w:rsid w:val="00222DEC"/>
    <w:rsid w:val="00222E56"/>
    <w:rsid w:val="0022311E"/>
    <w:rsid w:val="0022315F"/>
    <w:rsid w:val="00224016"/>
    <w:rsid w:val="00224033"/>
    <w:rsid w:val="00224828"/>
    <w:rsid w:val="002249DB"/>
    <w:rsid w:val="00224FE5"/>
    <w:rsid w:val="00225236"/>
    <w:rsid w:val="0022597E"/>
    <w:rsid w:val="00225D42"/>
    <w:rsid w:val="002300C6"/>
    <w:rsid w:val="002301C6"/>
    <w:rsid w:val="00230536"/>
    <w:rsid w:val="002305D2"/>
    <w:rsid w:val="00230DA8"/>
    <w:rsid w:val="002315F4"/>
    <w:rsid w:val="00231612"/>
    <w:rsid w:val="00232217"/>
    <w:rsid w:val="00232245"/>
    <w:rsid w:val="00232350"/>
    <w:rsid w:val="00232702"/>
    <w:rsid w:val="0023276A"/>
    <w:rsid w:val="002327CE"/>
    <w:rsid w:val="00232921"/>
    <w:rsid w:val="00233577"/>
    <w:rsid w:val="002339F2"/>
    <w:rsid w:val="002340BE"/>
    <w:rsid w:val="002340D9"/>
    <w:rsid w:val="0023488F"/>
    <w:rsid w:val="00234C86"/>
    <w:rsid w:val="00234E7D"/>
    <w:rsid w:val="00235327"/>
    <w:rsid w:val="0023571F"/>
    <w:rsid w:val="002357EA"/>
    <w:rsid w:val="00235897"/>
    <w:rsid w:val="002367E6"/>
    <w:rsid w:val="002369E6"/>
    <w:rsid w:val="00236BD0"/>
    <w:rsid w:val="00236E33"/>
    <w:rsid w:val="0023700C"/>
    <w:rsid w:val="00237276"/>
    <w:rsid w:val="0023738B"/>
    <w:rsid w:val="0023769E"/>
    <w:rsid w:val="002376B2"/>
    <w:rsid w:val="0023E9F0"/>
    <w:rsid w:val="002409C1"/>
    <w:rsid w:val="00240B06"/>
    <w:rsid w:val="00240D59"/>
    <w:rsid w:val="00240D78"/>
    <w:rsid w:val="00241190"/>
    <w:rsid w:val="002411EA"/>
    <w:rsid w:val="00241845"/>
    <w:rsid w:val="00241BEC"/>
    <w:rsid w:val="00242134"/>
    <w:rsid w:val="002423A5"/>
    <w:rsid w:val="002423CA"/>
    <w:rsid w:val="0024244E"/>
    <w:rsid w:val="0024258C"/>
    <w:rsid w:val="0024448D"/>
    <w:rsid w:val="002446C2"/>
    <w:rsid w:val="002446F1"/>
    <w:rsid w:val="00244ADD"/>
    <w:rsid w:val="00244B6A"/>
    <w:rsid w:val="00244BE6"/>
    <w:rsid w:val="002450B6"/>
    <w:rsid w:val="002451F4"/>
    <w:rsid w:val="00245325"/>
    <w:rsid w:val="00245E37"/>
    <w:rsid w:val="00246626"/>
    <w:rsid w:val="00246BCA"/>
    <w:rsid w:val="00246D42"/>
    <w:rsid w:val="00246F65"/>
    <w:rsid w:val="00247193"/>
    <w:rsid w:val="00247C2A"/>
    <w:rsid w:val="00247CB3"/>
    <w:rsid w:val="00250176"/>
    <w:rsid w:val="002506A3"/>
    <w:rsid w:val="00250CA1"/>
    <w:rsid w:val="00251CF4"/>
    <w:rsid w:val="00251F24"/>
    <w:rsid w:val="00252454"/>
    <w:rsid w:val="0025267A"/>
    <w:rsid w:val="0025290C"/>
    <w:rsid w:val="00252B47"/>
    <w:rsid w:val="00252C37"/>
    <w:rsid w:val="00253022"/>
    <w:rsid w:val="002530E8"/>
    <w:rsid w:val="002533EF"/>
    <w:rsid w:val="00253424"/>
    <w:rsid w:val="002540B2"/>
    <w:rsid w:val="0025461D"/>
    <w:rsid w:val="002547C1"/>
    <w:rsid w:val="00254DF6"/>
    <w:rsid w:val="0025582E"/>
    <w:rsid w:val="00255BA9"/>
    <w:rsid w:val="0025607F"/>
    <w:rsid w:val="002562F9"/>
    <w:rsid w:val="00257596"/>
    <w:rsid w:val="00257BF5"/>
    <w:rsid w:val="00257FBC"/>
    <w:rsid w:val="00260AA2"/>
    <w:rsid w:val="00261421"/>
    <w:rsid w:val="002618F4"/>
    <w:rsid w:val="00261B63"/>
    <w:rsid w:val="00261C7D"/>
    <w:rsid w:val="00261E3F"/>
    <w:rsid w:val="00262056"/>
    <w:rsid w:val="002623A9"/>
    <w:rsid w:val="002625C0"/>
    <w:rsid w:val="00262B22"/>
    <w:rsid w:val="00262B48"/>
    <w:rsid w:val="00262C1B"/>
    <w:rsid w:val="00262FFB"/>
    <w:rsid w:val="002630FB"/>
    <w:rsid w:val="0026352F"/>
    <w:rsid w:val="002638C8"/>
    <w:rsid w:val="00264421"/>
    <w:rsid w:val="00264531"/>
    <w:rsid w:val="00264783"/>
    <w:rsid w:val="002647D2"/>
    <w:rsid w:val="0026485D"/>
    <w:rsid w:val="002648B0"/>
    <w:rsid w:val="00264C8C"/>
    <w:rsid w:val="00264FED"/>
    <w:rsid w:val="002659E4"/>
    <w:rsid w:val="002664C7"/>
    <w:rsid w:val="002669F8"/>
    <w:rsid w:val="002678CE"/>
    <w:rsid w:val="00267A21"/>
    <w:rsid w:val="00270138"/>
    <w:rsid w:val="0027034D"/>
    <w:rsid w:val="002704DE"/>
    <w:rsid w:val="0027053D"/>
    <w:rsid w:val="00271C8B"/>
    <w:rsid w:val="00272741"/>
    <w:rsid w:val="00272B27"/>
    <w:rsid w:val="00272F65"/>
    <w:rsid w:val="0027324D"/>
    <w:rsid w:val="00273432"/>
    <w:rsid w:val="002735FE"/>
    <w:rsid w:val="0027398A"/>
    <w:rsid w:val="00273EFC"/>
    <w:rsid w:val="0027437C"/>
    <w:rsid w:val="00275445"/>
    <w:rsid w:val="002754C0"/>
    <w:rsid w:val="00276720"/>
    <w:rsid w:val="00276B41"/>
    <w:rsid w:val="00277058"/>
    <w:rsid w:val="002771C5"/>
    <w:rsid w:val="002772F3"/>
    <w:rsid w:val="002805FD"/>
    <w:rsid w:val="0028072E"/>
    <w:rsid w:val="00280B99"/>
    <w:rsid w:val="002816EA"/>
    <w:rsid w:val="00281798"/>
    <w:rsid w:val="00281B20"/>
    <w:rsid w:val="0028313B"/>
    <w:rsid w:val="00283B5F"/>
    <w:rsid w:val="00283C5E"/>
    <w:rsid w:val="00284A6D"/>
    <w:rsid w:val="0028519C"/>
    <w:rsid w:val="00285E2F"/>
    <w:rsid w:val="0028628A"/>
    <w:rsid w:val="002867B2"/>
    <w:rsid w:val="002874E6"/>
    <w:rsid w:val="002875CD"/>
    <w:rsid w:val="00287834"/>
    <w:rsid w:val="00290362"/>
    <w:rsid w:val="00290513"/>
    <w:rsid w:val="002906CD"/>
    <w:rsid w:val="00290CAD"/>
    <w:rsid w:val="002917CA"/>
    <w:rsid w:val="00291A18"/>
    <w:rsid w:val="00291F60"/>
    <w:rsid w:val="002920FF"/>
    <w:rsid w:val="00292409"/>
    <w:rsid w:val="002928E9"/>
    <w:rsid w:val="00292A20"/>
    <w:rsid w:val="00292C88"/>
    <w:rsid w:val="00294B07"/>
    <w:rsid w:val="00294B4F"/>
    <w:rsid w:val="00294D07"/>
    <w:rsid w:val="0029520F"/>
    <w:rsid w:val="00295225"/>
    <w:rsid w:val="00295288"/>
    <w:rsid w:val="0029630E"/>
    <w:rsid w:val="00297074"/>
    <w:rsid w:val="0029716F"/>
    <w:rsid w:val="0029726F"/>
    <w:rsid w:val="002A04D3"/>
    <w:rsid w:val="002A071E"/>
    <w:rsid w:val="002A09D5"/>
    <w:rsid w:val="002A15E3"/>
    <w:rsid w:val="002A1B49"/>
    <w:rsid w:val="002A2EB4"/>
    <w:rsid w:val="002A36BB"/>
    <w:rsid w:val="002A3B45"/>
    <w:rsid w:val="002A47C2"/>
    <w:rsid w:val="002A4B85"/>
    <w:rsid w:val="002A52DB"/>
    <w:rsid w:val="002A5969"/>
    <w:rsid w:val="002A5BC5"/>
    <w:rsid w:val="002A677E"/>
    <w:rsid w:val="002A67C8"/>
    <w:rsid w:val="002A6913"/>
    <w:rsid w:val="002A7C84"/>
    <w:rsid w:val="002B004B"/>
    <w:rsid w:val="002B0EAA"/>
    <w:rsid w:val="002B0EC3"/>
    <w:rsid w:val="002B15B5"/>
    <w:rsid w:val="002B1600"/>
    <w:rsid w:val="002B2586"/>
    <w:rsid w:val="002B27AC"/>
    <w:rsid w:val="002B2BA3"/>
    <w:rsid w:val="002B2E39"/>
    <w:rsid w:val="002B3E36"/>
    <w:rsid w:val="002B5403"/>
    <w:rsid w:val="002B5492"/>
    <w:rsid w:val="002B5B50"/>
    <w:rsid w:val="002B5CD1"/>
    <w:rsid w:val="002B5DAF"/>
    <w:rsid w:val="002B5F2D"/>
    <w:rsid w:val="002B66BD"/>
    <w:rsid w:val="002B6AFA"/>
    <w:rsid w:val="002B7B6A"/>
    <w:rsid w:val="002C0206"/>
    <w:rsid w:val="002C053E"/>
    <w:rsid w:val="002C06FD"/>
    <w:rsid w:val="002C08FD"/>
    <w:rsid w:val="002C1068"/>
    <w:rsid w:val="002C11E3"/>
    <w:rsid w:val="002C1251"/>
    <w:rsid w:val="002C15B7"/>
    <w:rsid w:val="002C1FEC"/>
    <w:rsid w:val="002C2A8F"/>
    <w:rsid w:val="002C32C3"/>
    <w:rsid w:val="002C37D9"/>
    <w:rsid w:val="002C41F1"/>
    <w:rsid w:val="002C4579"/>
    <w:rsid w:val="002C4D74"/>
    <w:rsid w:val="002C51E8"/>
    <w:rsid w:val="002C5671"/>
    <w:rsid w:val="002C5813"/>
    <w:rsid w:val="002C58D0"/>
    <w:rsid w:val="002C5F00"/>
    <w:rsid w:val="002C6263"/>
    <w:rsid w:val="002C66A4"/>
    <w:rsid w:val="002C66C5"/>
    <w:rsid w:val="002C674A"/>
    <w:rsid w:val="002C69C5"/>
    <w:rsid w:val="002C6ABD"/>
    <w:rsid w:val="002C730F"/>
    <w:rsid w:val="002D1415"/>
    <w:rsid w:val="002D1650"/>
    <w:rsid w:val="002D1746"/>
    <w:rsid w:val="002D1A59"/>
    <w:rsid w:val="002D1D3B"/>
    <w:rsid w:val="002D2C75"/>
    <w:rsid w:val="002D318D"/>
    <w:rsid w:val="002D31E5"/>
    <w:rsid w:val="002D3982"/>
    <w:rsid w:val="002D4561"/>
    <w:rsid w:val="002D4899"/>
    <w:rsid w:val="002D4E10"/>
    <w:rsid w:val="002D4F6A"/>
    <w:rsid w:val="002D6B9E"/>
    <w:rsid w:val="002D718C"/>
    <w:rsid w:val="002D7779"/>
    <w:rsid w:val="002D7E97"/>
    <w:rsid w:val="002E0148"/>
    <w:rsid w:val="002E0174"/>
    <w:rsid w:val="002E053A"/>
    <w:rsid w:val="002E0D4B"/>
    <w:rsid w:val="002E0DDB"/>
    <w:rsid w:val="002E12E6"/>
    <w:rsid w:val="002E136A"/>
    <w:rsid w:val="002E1B5A"/>
    <w:rsid w:val="002E2061"/>
    <w:rsid w:val="002E2164"/>
    <w:rsid w:val="002E27B0"/>
    <w:rsid w:val="002E28DA"/>
    <w:rsid w:val="002E306A"/>
    <w:rsid w:val="002E3720"/>
    <w:rsid w:val="002E3CE5"/>
    <w:rsid w:val="002E4EB7"/>
    <w:rsid w:val="002E5096"/>
    <w:rsid w:val="002E587F"/>
    <w:rsid w:val="002E58AF"/>
    <w:rsid w:val="002E60EC"/>
    <w:rsid w:val="002E7287"/>
    <w:rsid w:val="002E796C"/>
    <w:rsid w:val="002F07EA"/>
    <w:rsid w:val="002F0FB3"/>
    <w:rsid w:val="002F1163"/>
    <w:rsid w:val="002F11F3"/>
    <w:rsid w:val="002F170E"/>
    <w:rsid w:val="002F1920"/>
    <w:rsid w:val="002F19BB"/>
    <w:rsid w:val="002F1E8D"/>
    <w:rsid w:val="002F2663"/>
    <w:rsid w:val="002F29AF"/>
    <w:rsid w:val="002F39A7"/>
    <w:rsid w:val="002F4A67"/>
    <w:rsid w:val="002F4A87"/>
    <w:rsid w:val="002F5339"/>
    <w:rsid w:val="002F5571"/>
    <w:rsid w:val="002F6A55"/>
    <w:rsid w:val="002F6BCA"/>
    <w:rsid w:val="002F78EA"/>
    <w:rsid w:val="002F79EA"/>
    <w:rsid w:val="002F7B83"/>
    <w:rsid w:val="002F7E28"/>
    <w:rsid w:val="00300224"/>
    <w:rsid w:val="003013B8"/>
    <w:rsid w:val="00301B24"/>
    <w:rsid w:val="00302C3F"/>
    <w:rsid w:val="00302D9C"/>
    <w:rsid w:val="00303974"/>
    <w:rsid w:val="00303D86"/>
    <w:rsid w:val="00303E14"/>
    <w:rsid w:val="00304CA5"/>
    <w:rsid w:val="00304E64"/>
    <w:rsid w:val="0030514A"/>
    <w:rsid w:val="0030572F"/>
    <w:rsid w:val="0030603A"/>
    <w:rsid w:val="003060C9"/>
    <w:rsid w:val="00306163"/>
    <w:rsid w:val="0030672A"/>
    <w:rsid w:val="00306AD1"/>
    <w:rsid w:val="00306F71"/>
    <w:rsid w:val="00306F8E"/>
    <w:rsid w:val="003073B2"/>
    <w:rsid w:val="003078EF"/>
    <w:rsid w:val="00307BEC"/>
    <w:rsid w:val="0031001C"/>
    <w:rsid w:val="003105C6"/>
    <w:rsid w:val="00310F05"/>
    <w:rsid w:val="00310F96"/>
    <w:rsid w:val="00311119"/>
    <w:rsid w:val="003112D6"/>
    <w:rsid w:val="00311B2D"/>
    <w:rsid w:val="00311CD3"/>
    <w:rsid w:val="00312796"/>
    <w:rsid w:val="00312BA3"/>
    <w:rsid w:val="00312D03"/>
    <w:rsid w:val="00313274"/>
    <w:rsid w:val="003132E6"/>
    <w:rsid w:val="003137B9"/>
    <w:rsid w:val="00313D20"/>
    <w:rsid w:val="003141F6"/>
    <w:rsid w:val="003150E6"/>
    <w:rsid w:val="003172C8"/>
    <w:rsid w:val="003175FE"/>
    <w:rsid w:val="0032021C"/>
    <w:rsid w:val="00320B10"/>
    <w:rsid w:val="00320BB4"/>
    <w:rsid w:val="00320BC1"/>
    <w:rsid w:val="00321A3B"/>
    <w:rsid w:val="003220BD"/>
    <w:rsid w:val="0032264D"/>
    <w:rsid w:val="003229D3"/>
    <w:rsid w:val="003232D5"/>
    <w:rsid w:val="0032473E"/>
    <w:rsid w:val="00324CE4"/>
    <w:rsid w:val="00325654"/>
    <w:rsid w:val="003259DA"/>
    <w:rsid w:val="0032635E"/>
    <w:rsid w:val="00326911"/>
    <w:rsid w:val="0032755B"/>
    <w:rsid w:val="003300FF"/>
    <w:rsid w:val="00330199"/>
    <w:rsid w:val="00331FE6"/>
    <w:rsid w:val="00333A44"/>
    <w:rsid w:val="00334093"/>
    <w:rsid w:val="0033476C"/>
    <w:rsid w:val="003362A1"/>
    <w:rsid w:val="003374C1"/>
    <w:rsid w:val="00337849"/>
    <w:rsid w:val="00337BEA"/>
    <w:rsid w:val="00340094"/>
    <w:rsid w:val="003400BB"/>
    <w:rsid w:val="0034101A"/>
    <w:rsid w:val="00341FD4"/>
    <w:rsid w:val="00342261"/>
    <w:rsid w:val="00342411"/>
    <w:rsid w:val="00342B6A"/>
    <w:rsid w:val="00342C4B"/>
    <w:rsid w:val="00342DE5"/>
    <w:rsid w:val="003438E8"/>
    <w:rsid w:val="003459F8"/>
    <w:rsid w:val="00345A4B"/>
    <w:rsid w:val="00345A82"/>
    <w:rsid w:val="00345E53"/>
    <w:rsid w:val="00346C65"/>
    <w:rsid w:val="0034786E"/>
    <w:rsid w:val="00347FF9"/>
    <w:rsid w:val="00350AC4"/>
    <w:rsid w:val="00350B5B"/>
    <w:rsid w:val="00350DDB"/>
    <w:rsid w:val="00351969"/>
    <w:rsid w:val="00351C8B"/>
    <w:rsid w:val="00351D1F"/>
    <w:rsid w:val="00351F79"/>
    <w:rsid w:val="00352A45"/>
    <w:rsid w:val="00352C6E"/>
    <w:rsid w:val="00352EF8"/>
    <w:rsid w:val="00352FB3"/>
    <w:rsid w:val="00353D40"/>
    <w:rsid w:val="0035403D"/>
    <w:rsid w:val="003541BA"/>
    <w:rsid w:val="0035423C"/>
    <w:rsid w:val="00354B77"/>
    <w:rsid w:val="003556A3"/>
    <w:rsid w:val="00356773"/>
    <w:rsid w:val="00357360"/>
    <w:rsid w:val="00357CD1"/>
    <w:rsid w:val="00357F63"/>
    <w:rsid w:val="003616A1"/>
    <w:rsid w:val="00361D60"/>
    <w:rsid w:val="0036244D"/>
    <w:rsid w:val="003631A7"/>
    <w:rsid w:val="00363505"/>
    <w:rsid w:val="00363969"/>
    <w:rsid w:val="00363C38"/>
    <w:rsid w:val="0036415F"/>
    <w:rsid w:val="00364EBB"/>
    <w:rsid w:val="00365027"/>
    <w:rsid w:val="00366473"/>
    <w:rsid w:val="00366794"/>
    <w:rsid w:val="00366CAF"/>
    <w:rsid w:val="003677E5"/>
    <w:rsid w:val="00370576"/>
    <w:rsid w:val="003705C1"/>
    <w:rsid w:val="0037077A"/>
    <w:rsid w:val="00370D79"/>
    <w:rsid w:val="00371593"/>
    <w:rsid w:val="00371653"/>
    <w:rsid w:val="00372E88"/>
    <w:rsid w:val="00373554"/>
    <w:rsid w:val="003735B6"/>
    <w:rsid w:val="00373762"/>
    <w:rsid w:val="00373E3E"/>
    <w:rsid w:val="00375C47"/>
    <w:rsid w:val="00380D47"/>
    <w:rsid w:val="00380E85"/>
    <w:rsid w:val="003812AC"/>
    <w:rsid w:val="003813DF"/>
    <w:rsid w:val="0038147E"/>
    <w:rsid w:val="00381685"/>
    <w:rsid w:val="003818BE"/>
    <w:rsid w:val="0038258D"/>
    <w:rsid w:val="00382592"/>
    <w:rsid w:val="00382692"/>
    <w:rsid w:val="003826D9"/>
    <w:rsid w:val="00383833"/>
    <w:rsid w:val="00383D4B"/>
    <w:rsid w:val="00383FF2"/>
    <w:rsid w:val="00384770"/>
    <w:rsid w:val="0038487A"/>
    <w:rsid w:val="00386492"/>
    <w:rsid w:val="00386979"/>
    <w:rsid w:val="00386B14"/>
    <w:rsid w:val="00387E40"/>
    <w:rsid w:val="003903BE"/>
    <w:rsid w:val="003908C5"/>
    <w:rsid w:val="00390C1E"/>
    <w:rsid w:val="00390D58"/>
    <w:rsid w:val="00390DDA"/>
    <w:rsid w:val="00390E80"/>
    <w:rsid w:val="00391406"/>
    <w:rsid w:val="0039143F"/>
    <w:rsid w:val="003927BE"/>
    <w:rsid w:val="003928D4"/>
    <w:rsid w:val="00392C11"/>
    <w:rsid w:val="00392FFD"/>
    <w:rsid w:val="0039304E"/>
    <w:rsid w:val="0039346B"/>
    <w:rsid w:val="00393539"/>
    <w:rsid w:val="00393FF2"/>
    <w:rsid w:val="00394410"/>
    <w:rsid w:val="00394FF1"/>
    <w:rsid w:val="0039536F"/>
    <w:rsid w:val="003953E6"/>
    <w:rsid w:val="00395936"/>
    <w:rsid w:val="00395B9E"/>
    <w:rsid w:val="003960B0"/>
    <w:rsid w:val="00397314"/>
    <w:rsid w:val="003978DF"/>
    <w:rsid w:val="00397A77"/>
    <w:rsid w:val="00397BC5"/>
    <w:rsid w:val="003A03C5"/>
    <w:rsid w:val="003A0532"/>
    <w:rsid w:val="003A0641"/>
    <w:rsid w:val="003A07D6"/>
    <w:rsid w:val="003A0835"/>
    <w:rsid w:val="003A0C05"/>
    <w:rsid w:val="003A12E0"/>
    <w:rsid w:val="003A1469"/>
    <w:rsid w:val="003A17F7"/>
    <w:rsid w:val="003A1B96"/>
    <w:rsid w:val="003A1F0E"/>
    <w:rsid w:val="003A200A"/>
    <w:rsid w:val="003A3877"/>
    <w:rsid w:val="003A3899"/>
    <w:rsid w:val="003A38FB"/>
    <w:rsid w:val="003A3FFE"/>
    <w:rsid w:val="003A449C"/>
    <w:rsid w:val="003A4772"/>
    <w:rsid w:val="003A497B"/>
    <w:rsid w:val="003A4C8B"/>
    <w:rsid w:val="003A533D"/>
    <w:rsid w:val="003A5743"/>
    <w:rsid w:val="003A599C"/>
    <w:rsid w:val="003A59C8"/>
    <w:rsid w:val="003A5D8C"/>
    <w:rsid w:val="003A690A"/>
    <w:rsid w:val="003A700C"/>
    <w:rsid w:val="003A7214"/>
    <w:rsid w:val="003A7336"/>
    <w:rsid w:val="003B00F4"/>
    <w:rsid w:val="003B05AE"/>
    <w:rsid w:val="003B06B9"/>
    <w:rsid w:val="003B09EA"/>
    <w:rsid w:val="003B0B15"/>
    <w:rsid w:val="003B1DE4"/>
    <w:rsid w:val="003B20D7"/>
    <w:rsid w:val="003B219A"/>
    <w:rsid w:val="003B256A"/>
    <w:rsid w:val="003B25F0"/>
    <w:rsid w:val="003B2712"/>
    <w:rsid w:val="003B3112"/>
    <w:rsid w:val="003B31BA"/>
    <w:rsid w:val="003B333A"/>
    <w:rsid w:val="003B3533"/>
    <w:rsid w:val="003B3DBB"/>
    <w:rsid w:val="003B43BA"/>
    <w:rsid w:val="003B499E"/>
    <w:rsid w:val="003B6094"/>
    <w:rsid w:val="003B6360"/>
    <w:rsid w:val="003B7060"/>
    <w:rsid w:val="003B7693"/>
    <w:rsid w:val="003C050A"/>
    <w:rsid w:val="003C0D58"/>
    <w:rsid w:val="003C0FB5"/>
    <w:rsid w:val="003C1374"/>
    <w:rsid w:val="003C189D"/>
    <w:rsid w:val="003C195D"/>
    <w:rsid w:val="003C1BB1"/>
    <w:rsid w:val="003C2409"/>
    <w:rsid w:val="003C2566"/>
    <w:rsid w:val="003C3168"/>
    <w:rsid w:val="003C3AAB"/>
    <w:rsid w:val="003C3B79"/>
    <w:rsid w:val="003C3FD5"/>
    <w:rsid w:val="003C4279"/>
    <w:rsid w:val="003C4307"/>
    <w:rsid w:val="003C4D9D"/>
    <w:rsid w:val="003C60B9"/>
    <w:rsid w:val="003C6720"/>
    <w:rsid w:val="003C745D"/>
    <w:rsid w:val="003C76A2"/>
    <w:rsid w:val="003C7853"/>
    <w:rsid w:val="003D07E3"/>
    <w:rsid w:val="003D0CA3"/>
    <w:rsid w:val="003D10E9"/>
    <w:rsid w:val="003D11AD"/>
    <w:rsid w:val="003D14AE"/>
    <w:rsid w:val="003D1657"/>
    <w:rsid w:val="003D17D0"/>
    <w:rsid w:val="003D199D"/>
    <w:rsid w:val="003D3885"/>
    <w:rsid w:val="003D3CED"/>
    <w:rsid w:val="003D431C"/>
    <w:rsid w:val="003D485B"/>
    <w:rsid w:val="003D560C"/>
    <w:rsid w:val="003D56DE"/>
    <w:rsid w:val="003D5F68"/>
    <w:rsid w:val="003D655D"/>
    <w:rsid w:val="003D69CB"/>
    <w:rsid w:val="003D711A"/>
    <w:rsid w:val="003D725D"/>
    <w:rsid w:val="003D7571"/>
    <w:rsid w:val="003D7822"/>
    <w:rsid w:val="003D7C1A"/>
    <w:rsid w:val="003D7F50"/>
    <w:rsid w:val="003E098F"/>
    <w:rsid w:val="003E0F7E"/>
    <w:rsid w:val="003E2A03"/>
    <w:rsid w:val="003E2B90"/>
    <w:rsid w:val="003E3102"/>
    <w:rsid w:val="003E3683"/>
    <w:rsid w:val="003E46C4"/>
    <w:rsid w:val="003E47C5"/>
    <w:rsid w:val="003E4A79"/>
    <w:rsid w:val="003E4EF2"/>
    <w:rsid w:val="003E50CF"/>
    <w:rsid w:val="003E5145"/>
    <w:rsid w:val="003E52DA"/>
    <w:rsid w:val="003E6281"/>
    <w:rsid w:val="003E6AEB"/>
    <w:rsid w:val="003E7ABE"/>
    <w:rsid w:val="003E7AEC"/>
    <w:rsid w:val="003F0070"/>
    <w:rsid w:val="003F0298"/>
    <w:rsid w:val="003F05A0"/>
    <w:rsid w:val="003F0878"/>
    <w:rsid w:val="003F09A9"/>
    <w:rsid w:val="003F09E4"/>
    <w:rsid w:val="003F1103"/>
    <w:rsid w:val="003F15BB"/>
    <w:rsid w:val="003F17BB"/>
    <w:rsid w:val="003F19BA"/>
    <w:rsid w:val="003F1C46"/>
    <w:rsid w:val="003F2C43"/>
    <w:rsid w:val="003F3523"/>
    <w:rsid w:val="003F38FF"/>
    <w:rsid w:val="003F47BF"/>
    <w:rsid w:val="003F495A"/>
    <w:rsid w:val="003F591F"/>
    <w:rsid w:val="003F6505"/>
    <w:rsid w:val="003F651F"/>
    <w:rsid w:val="003F6DAE"/>
    <w:rsid w:val="003F775C"/>
    <w:rsid w:val="00400781"/>
    <w:rsid w:val="0040088F"/>
    <w:rsid w:val="00401111"/>
    <w:rsid w:val="0040156B"/>
    <w:rsid w:val="00401732"/>
    <w:rsid w:val="00401D0D"/>
    <w:rsid w:val="00401E48"/>
    <w:rsid w:val="004021AA"/>
    <w:rsid w:val="00402284"/>
    <w:rsid w:val="0040364D"/>
    <w:rsid w:val="00403B9F"/>
    <w:rsid w:val="0040411A"/>
    <w:rsid w:val="00404ED4"/>
    <w:rsid w:val="00404ED8"/>
    <w:rsid w:val="0040521E"/>
    <w:rsid w:val="00405C0A"/>
    <w:rsid w:val="00405C81"/>
    <w:rsid w:val="004065EF"/>
    <w:rsid w:val="00406AB4"/>
    <w:rsid w:val="00406D8F"/>
    <w:rsid w:val="00407110"/>
    <w:rsid w:val="00407505"/>
    <w:rsid w:val="00407936"/>
    <w:rsid w:val="00410796"/>
    <w:rsid w:val="004117F8"/>
    <w:rsid w:val="0041192D"/>
    <w:rsid w:val="0041205F"/>
    <w:rsid w:val="004120DF"/>
    <w:rsid w:val="004123C1"/>
    <w:rsid w:val="004123E7"/>
    <w:rsid w:val="0041257B"/>
    <w:rsid w:val="004127F7"/>
    <w:rsid w:val="004129D0"/>
    <w:rsid w:val="00412D44"/>
    <w:rsid w:val="004133D9"/>
    <w:rsid w:val="004134E6"/>
    <w:rsid w:val="00413628"/>
    <w:rsid w:val="0041532A"/>
    <w:rsid w:val="004157CC"/>
    <w:rsid w:val="00415A1B"/>
    <w:rsid w:val="004164C6"/>
    <w:rsid w:val="00416920"/>
    <w:rsid w:val="0041694C"/>
    <w:rsid w:val="00417984"/>
    <w:rsid w:val="00417C7E"/>
    <w:rsid w:val="00417F0B"/>
    <w:rsid w:val="0042097A"/>
    <w:rsid w:val="004216DF"/>
    <w:rsid w:val="00421B47"/>
    <w:rsid w:val="00422449"/>
    <w:rsid w:val="00422B88"/>
    <w:rsid w:val="00423556"/>
    <w:rsid w:val="004239CE"/>
    <w:rsid w:val="00423A19"/>
    <w:rsid w:val="00423D6C"/>
    <w:rsid w:val="00423F7E"/>
    <w:rsid w:val="00423FB5"/>
    <w:rsid w:val="0042449F"/>
    <w:rsid w:val="004255D6"/>
    <w:rsid w:val="0042588F"/>
    <w:rsid w:val="0042594B"/>
    <w:rsid w:val="00425F4C"/>
    <w:rsid w:val="00426A9E"/>
    <w:rsid w:val="00426B4D"/>
    <w:rsid w:val="00426E53"/>
    <w:rsid w:val="0042766A"/>
    <w:rsid w:val="0043001B"/>
    <w:rsid w:val="00430093"/>
    <w:rsid w:val="004304C0"/>
    <w:rsid w:val="00430D65"/>
    <w:rsid w:val="00430F6F"/>
    <w:rsid w:val="0043168D"/>
    <w:rsid w:val="004317F7"/>
    <w:rsid w:val="004319EB"/>
    <w:rsid w:val="004320CF"/>
    <w:rsid w:val="004320DA"/>
    <w:rsid w:val="004321D2"/>
    <w:rsid w:val="0043231D"/>
    <w:rsid w:val="00432393"/>
    <w:rsid w:val="00433E67"/>
    <w:rsid w:val="004348C2"/>
    <w:rsid w:val="00434F5A"/>
    <w:rsid w:val="004350F2"/>
    <w:rsid w:val="00435524"/>
    <w:rsid w:val="004357B9"/>
    <w:rsid w:val="00436204"/>
    <w:rsid w:val="00436490"/>
    <w:rsid w:val="00436A46"/>
    <w:rsid w:val="00436BBC"/>
    <w:rsid w:val="004375AE"/>
    <w:rsid w:val="004377DA"/>
    <w:rsid w:val="004377E2"/>
    <w:rsid w:val="004408E7"/>
    <w:rsid w:val="004415C8"/>
    <w:rsid w:val="00441F78"/>
    <w:rsid w:val="00442808"/>
    <w:rsid w:val="00443003"/>
    <w:rsid w:val="00443DD0"/>
    <w:rsid w:val="0044539D"/>
    <w:rsid w:val="00445CE3"/>
    <w:rsid w:val="00445E06"/>
    <w:rsid w:val="0044639C"/>
    <w:rsid w:val="00450422"/>
    <w:rsid w:val="0045099E"/>
    <w:rsid w:val="00450A2E"/>
    <w:rsid w:val="00450C41"/>
    <w:rsid w:val="00451220"/>
    <w:rsid w:val="004515DD"/>
    <w:rsid w:val="00451B63"/>
    <w:rsid w:val="004525F1"/>
    <w:rsid w:val="00452FEF"/>
    <w:rsid w:val="0045320A"/>
    <w:rsid w:val="0045361B"/>
    <w:rsid w:val="00453999"/>
    <w:rsid w:val="00454026"/>
    <w:rsid w:val="00454082"/>
    <w:rsid w:val="00454139"/>
    <w:rsid w:val="00454CFC"/>
    <w:rsid w:val="00455364"/>
    <w:rsid w:val="00455AF5"/>
    <w:rsid w:val="00455B49"/>
    <w:rsid w:val="00456123"/>
    <w:rsid w:val="004572C7"/>
    <w:rsid w:val="00457DCE"/>
    <w:rsid w:val="004600E4"/>
    <w:rsid w:val="004603C7"/>
    <w:rsid w:val="00460A9C"/>
    <w:rsid w:val="00461711"/>
    <w:rsid w:val="00461A5A"/>
    <w:rsid w:val="00461B6E"/>
    <w:rsid w:val="0046287A"/>
    <w:rsid w:val="004629A2"/>
    <w:rsid w:val="00462BAB"/>
    <w:rsid w:val="00462FBB"/>
    <w:rsid w:val="004631F8"/>
    <w:rsid w:val="004637BB"/>
    <w:rsid w:val="00463F88"/>
    <w:rsid w:val="00464DCB"/>
    <w:rsid w:val="00464F34"/>
    <w:rsid w:val="0046567A"/>
    <w:rsid w:val="00467F08"/>
    <w:rsid w:val="00467F65"/>
    <w:rsid w:val="00470595"/>
    <w:rsid w:val="00470C42"/>
    <w:rsid w:val="00471159"/>
    <w:rsid w:val="00471677"/>
    <w:rsid w:val="00471761"/>
    <w:rsid w:val="00471A05"/>
    <w:rsid w:val="00471A96"/>
    <w:rsid w:val="00472EF1"/>
    <w:rsid w:val="0047337A"/>
    <w:rsid w:val="00473C1C"/>
    <w:rsid w:val="0047449F"/>
    <w:rsid w:val="00474C49"/>
    <w:rsid w:val="0047503C"/>
    <w:rsid w:val="0047563E"/>
    <w:rsid w:val="00475B6A"/>
    <w:rsid w:val="00475F76"/>
    <w:rsid w:val="00475F8F"/>
    <w:rsid w:val="0047602E"/>
    <w:rsid w:val="00476209"/>
    <w:rsid w:val="00476213"/>
    <w:rsid w:val="00476566"/>
    <w:rsid w:val="004766D4"/>
    <w:rsid w:val="0047693D"/>
    <w:rsid w:val="004773AB"/>
    <w:rsid w:val="00477C45"/>
    <w:rsid w:val="00477CB6"/>
    <w:rsid w:val="00480A69"/>
    <w:rsid w:val="0048116C"/>
    <w:rsid w:val="0048143B"/>
    <w:rsid w:val="00481640"/>
    <w:rsid w:val="0048345E"/>
    <w:rsid w:val="00483FC9"/>
    <w:rsid w:val="0048437A"/>
    <w:rsid w:val="00484DDA"/>
    <w:rsid w:val="004852B9"/>
    <w:rsid w:val="00486A74"/>
    <w:rsid w:val="00486DA5"/>
    <w:rsid w:val="00487597"/>
    <w:rsid w:val="00487A02"/>
    <w:rsid w:val="00487B35"/>
    <w:rsid w:val="004901BE"/>
    <w:rsid w:val="0049092A"/>
    <w:rsid w:val="00490AF9"/>
    <w:rsid w:val="00490CBD"/>
    <w:rsid w:val="00490E8E"/>
    <w:rsid w:val="00490E9A"/>
    <w:rsid w:val="004913CE"/>
    <w:rsid w:val="00491AE3"/>
    <w:rsid w:val="00491F4D"/>
    <w:rsid w:val="004921CE"/>
    <w:rsid w:val="004928AC"/>
    <w:rsid w:val="00492D77"/>
    <w:rsid w:val="0049305B"/>
    <w:rsid w:val="0049389F"/>
    <w:rsid w:val="00493D5E"/>
    <w:rsid w:val="004954CC"/>
    <w:rsid w:val="004960F3"/>
    <w:rsid w:val="0049653D"/>
    <w:rsid w:val="00496C53"/>
    <w:rsid w:val="00496F5D"/>
    <w:rsid w:val="004970FA"/>
    <w:rsid w:val="00497553"/>
    <w:rsid w:val="00497A47"/>
    <w:rsid w:val="00497D60"/>
    <w:rsid w:val="004A01BF"/>
    <w:rsid w:val="004A0885"/>
    <w:rsid w:val="004A0D4A"/>
    <w:rsid w:val="004A11BD"/>
    <w:rsid w:val="004A139E"/>
    <w:rsid w:val="004A16B5"/>
    <w:rsid w:val="004A1D97"/>
    <w:rsid w:val="004A2471"/>
    <w:rsid w:val="004A3247"/>
    <w:rsid w:val="004A3A58"/>
    <w:rsid w:val="004A3B3D"/>
    <w:rsid w:val="004A4145"/>
    <w:rsid w:val="004A47BA"/>
    <w:rsid w:val="004A4EEA"/>
    <w:rsid w:val="004A5880"/>
    <w:rsid w:val="004A6C52"/>
    <w:rsid w:val="004A6FAC"/>
    <w:rsid w:val="004A705D"/>
    <w:rsid w:val="004A760A"/>
    <w:rsid w:val="004A7B60"/>
    <w:rsid w:val="004A7CE4"/>
    <w:rsid w:val="004B031B"/>
    <w:rsid w:val="004B0EC7"/>
    <w:rsid w:val="004B135C"/>
    <w:rsid w:val="004B2A17"/>
    <w:rsid w:val="004B38D3"/>
    <w:rsid w:val="004B38D7"/>
    <w:rsid w:val="004B3B58"/>
    <w:rsid w:val="004B4DF9"/>
    <w:rsid w:val="004B572C"/>
    <w:rsid w:val="004B584D"/>
    <w:rsid w:val="004B5870"/>
    <w:rsid w:val="004B58EF"/>
    <w:rsid w:val="004B67ED"/>
    <w:rsid w:val="004B6F60"/>
    <w:rsid w:val="004B6FC0"/>
    <w:rsid w:val="004B6FF2"/>
    <w:rsid w:val="004B7211"/>
    <w:rsid w:val="004B7284"/>
    <w:rsid w:val="004B741E"/>
    <w:rsid w:val="004B7F4A"/>
    <w:rsid w:val="004C03BC"/>
    <w:rsid w:val="004C0508"/>
    <w:rsid w:val="004C0581"/>
    <w:rsid w:val="004C0FD5"/>
    <w:rsid w:val="004C1216"/>
    <w:rsid w:val="004C1485"/>
    <w:rsid w:val="004C15A0"/>
    <w:rsid w:val="004C1A0F"/>
    <w:rsid w:val="004C1ACF"/>
    <w:rsid w:val="004C267B"/>
    <w:rsid w:val="004C3060"/>
    <w:rsid w:val="004C32A6"/>
    <w:rsid w:val="004C4478"/>
    <w:rsid w:val="004C4A52"/>
    <w:rsid w:val="004C69E6"/>
    <w:rsid w:val="004C6E6F"/>
    <w:rsid w:val="004C74EC"/>
    <w:rsid w:val="004C7783"/>
    <w:rsid w:val="004C7D6D"/>
    <w:rsid w:val="004D034C"/>
    <w:rsid w:val="004D0C15"/>
    <w:rsid w:val="004D19E2"/>
    <w:rsid w:val="004D2031"/>
    <w:rsid w:val="004D2753"/>
    <w:rsid w:val="004D36B6"/>
    <w:rsid w:val="004D3C0E"/>
    <w:rsid w:val="004D41E8"/>
    <w:rsid w:val="004D4419"/>
    <w:rsid w:val="004D45AA"/>
    <w:rsid w:val="004D47EC"/>
    <w:rsid w:val="004D4BDB"/>
    <w:rsid w:val="004D5047"/>
    <w:rsid w:val="004D5161"/>
    <w:rsid w:val="004D6307"/>
    <w:rsid w:val="004D6755"/>
    <w:rsid w:val="004D6C74"/>
    <w:rsid w:val="004D7396"/>
    <w:rsid w:val="004D780C"/>
    <w:rsid w:val="004D7F22"/>
    <w:rsid w:val="004E0244"/>
    <w:rsid w:val="004E04BF"/>
    <w:rsid w:val="004E081B"/>
    <w:rsid w:val="004E0A91"/>
    <w:rsid w:val="004E19C0"/>
    <w:rsid w:val="004E2725"/>
    <w:rsid w:val="004E2734"/>
    <w:rsid w:val="004E28B1"/>
    <w:rsid w:val="004E2BE7"/>
    <w:rsid w:val="004E2F7C"/>
    <w:rsid w:val="004E39FA"/>
    <w:rsid w:val="004E5239"/>
    <w:rsid w:val="004E52E5"/>
    <w:rsid w:val="004E5B02"/>
    <w:rsid w:val="004E6AC0"/>
    <w:rsid w:val="004E6D5F"/>
    <w:rsid w:val="004E7936"/>
    <w:rsid w:val="004E7D09"/>
    <w:rsid w:val="004E7DF2"/>
    <w:rsid w:val="004E7E47"/>
    <w:rsid w:val="004F0068"/>
    <w:rsid w:val="004F036B"/>
    <w:rsid w:val="004F03AE"/>
    <w:rsid w:val="004F0D06"/>
    <w:rsid w:val="004F0D16"/>
    <w:rsid w:val="004F0F3D"/>
    <w:rsid w:val="004F1DDB"/>
    <w:rsid w:val="004F26B1"/>
    <w:rsid w:val="004F2AB4"/>
    <w:rsid w:val="004F2B30"/>
    <w:rsid w:val="004F3766"/>
    <w:rsid w:val="004F458D"/>
    <w:rsid w:val="004F4775"/>
    <w:rsid w:val="004F481F"/>
    <w:rsid w:val="004F4BB8"/>
    <w:rsid w:val="004F4F7B"/>
    <w:rsid w:val="004F50AF"/>
    <w:rsid w:val="004F5C89"/>
    <w:rsid w:val="004F5CE0"/>
    <w:rsid w:val="004F6B6B"/>
    <w:rsid w:val="004F7078"/>
    <w:rsid w:val="00501D71"/>
    <w:rsid w:val="00501F90"/>
    <w:rsid w:val="00502363"/>
    <w:rsid w:val="00502364"/>
    <w:rsid w:val="005026CD"/>
    <w:rsid w:val="00502FC6"/>
    <w:rsid w:val="0050394C"/>
    <w:rsid w:val="0050399F"/>
    <w:rsid w:val="00503DEF"/>
    <w:rsid w:val="00503F93"/>
    <w:rsid w:val="00504A16"/>
    <w:rsid w:val="005050CE"/>
    <w:rsid w:val="00505538"/>
    <w:rsid w:val="00505B5C"/>
    <w:rsid w:val="005067A1"/>
    <w:rsid w:val="00510C9C"/>
    <w:rsid w:val="00511B44"/>
    <w:rsid w:val="005127D6"/>
    <w:rsid w:val="00512A3D"/>
    <w:rsid w:val="00512CC7"/>
    <w:rsid w:val="005130D9"/>
    <w:rsid w:val="005135D6"/>
    <w:rsid w:val="00513760"/>
    <w:rsid w:val="00513822"/>
    <w:rsid w:val="00514158"/>
    <w:rsid w:val="00514287"/>
    <w:rsid w:val="00514783"/>
    <w:rsid w:val="00515AEB"/>
    <w:rsid w:val="00515B28"/>
    <w:rsid w:val="00515CCA"/>
    <w:rsid w:val="0051657C"/>
    <w:rsid w:val="00517EE9"/>
    <w:rsid w:val="00520B00"/>
    <w:rsid w:val="0052158E"/>
    <w:rsid w:val="00521D56"/>
    <w:rsid w:val="00522111"/>
    <w:rsid w:val="005221FD"/>
    <w:rsid w:val="00522E00"/>
    <w:rsid w:val="00522F33"/>
    <w:rsid w:val="005232FC"/>
    <w:rsid w:val="0052367C"/>
    <w:rsid w:val="00523DD6"/>
    <w:rsid w:val="0052487A"/>
    <w:rsid w:val="0052490C"/>
    <w:rsid w:val="0052508A"/>
    <w:rsid w:val="00526E61"/>
    <w:rsid w:val="00527C18"/>
    <w:rsid w:val="0053078D"/>
    <w:rsid w:val="00530BA1"/>
    <w:rsid w:val="00530FC7"/>
    <w:rsid w:val="00531BA9"/>
    <w:rsid w:val="00531EE0"/>
    <w:rsid w:val="00531FC9"/>
    <w:rsid w:val="00532026"/>
    <w:rsid w:val="0053327A"/>
    <w:rsid w:val="00533788"/>
    <w:rsid w:val="00533D6A"/>
    <w:rsid w:val="00533D84"/>
    <w:rsid w:val="00533E53"/>
    <w:rsid w:val="005342A5"/>
    <w:rsid w:val="00534DC1"/>
    <w:rsid w:val="00534EC3"/>
    <w:rsid w:val="00534F1B"/>
    <w:rsid w:val="00535350"/>
    <w:rsid w:val="00535792"/>
    <w:rsid w:val="00535A98"/>
    <w:rsid w:val="005365B7"/>
    <w:rsid w:val="00536A16"/>
    <w:rsid w:val="00536B6D"/>
    <w:rsid w:val="0053702D"/>
    <w:rsid w:val="00537E84"/>
    <w:rsid w:val="00537F1E"/>
    <w:rsid w:val="00541003"/>
    <w:rsid w:val="0054122B"/>
    <w:rsid w:val="005429A0"/>
    <w:rsid w:val="005429BA"/>
    <w:rsid w:val="00542C33"/>
    <w:rsid w:val="00542EAE"/>
    <w:rsid w:val="00543964"/>
    <w:rsid w:val="00543DBD"/>
    <w:rsid w:val="005448D2"/>
    <w:rsid w:val="00544DA4"/>
    <w:rsid w:val="00544E37"/>
    <w:rsid w:val="005461A9"/>
    <w:rsid w:val="00546BA6"/>
    <w:rsid w:val="00547047"/>
    <w:rsid w:val="005474CB"/>
    <w:rsid w:val="00550113"/>
    <w:rsid w:val="00550601"/>
    <w:rsid w:val="005511AD"/>
    <w:rsid w:val="00551271"/>
    <w:rsid w:val="0055144E"/>
    <w:rsid w:val="0055245C"/>
    <w:rsid w:val="005528C1"/>
    <w:rsid w:val="00552A83"/>
    <w:rsid w:val="00552BF3"/>
    <w:rsid w:val="00552C53"/>
    <w:rsid w:val="00552E3E"/>
    <w:rsid w:val="00552F61"/>
    <w:rsid w:val="00553034"/>
    <w:rsid w:val="00554261"/>
    <w:rsid w:val="00554886"/>
    <w:rsid w:val="00554A32"/>
    <w:rsid w:val="0055516A"/>
    <w:rsid w:val="005555B9"/>
    <w:rsid w:val="005563DA"/>
    <w:rsid w:val="0055657F"/>
    <w:rsid w:val="0055791B"/>
    <w:rsid w:val="00557D09"/>
    <w:rsid w:val="00557EA0"/>
    <w:rsid w:val="0056002D"/>
    <w:rsid w:val="00560A14"/>
    <w:rsid w:val="00560F6C"/>
    <w:rsid w:val="005617F7"/>
    <w:rsid w:val="00562031"/>
    <w:rsid w:val="00562181"/>
    <w:rsid w:val="00562710"/>
    <w:rsid w:val="0056295D"/>
    <w:rsid w:val="00563313"/>
    <w:rsid w:val="00563BCE"/>
    <w:rsid w:val="00564304"/>
    <w:rsid w:val="005643EA"/>
    <w:rsid w:val="00564A89"/>
    <w:rsid w:val="00565011"/>
    <w:rsid w:val="00565031"/>
    <w:rsid w:val="005666F4"/>
    <w:rsid w:val="00566905"/>
    <w:rsid w:val="00566A45"/>
    <w:rsid w:val="00566DB5"/>
    <w:rsid w:val="00566E59"/>
    <w:rsid w:val="005704F9"/>
    <w:rsid w:val="005711A0"/>
    <w:rsid w:val="005723E9"/>
    <w:rsid w:val="00572A11"/>
    <w:rsid w:val="00572C82"/>
    <w:rsid w:val="00572FD0"/>
    <w:rsid w:val="0057350E"/>
    <w:rsid w:val="00573C62"/>
    <w:rsid w:val="00573D81"/>
    <w:rsid w:val="00573DB4"/>
    <w:rsid w:val="00574C0E"/>
    <w:rsid w:val="00576215"/>
    <w:rsid w:val="0057632A"/>
    <w:rsid w:val="00577610"/>
    <w:rsid w:val="00577AA3"/>
    <w:rsid w:val="00577AE1"/>
    <w:rsid w:val="005808DE"/>
    <w:rsid w:val="00581FA5"/>
    <w:rsid w:val="00582399"/>
    <w:rsid w:val="00582923"/>
    <w:rsid w:val="00583884"/>
    <w:rsid w:val="00583BBE"/>
    <w:rsid w:val="00584165"/>
    <w:rsid w:val="00584E68"/>
    <w:rsid w:val="00584FCA"/>
    <w:rsid w:val="00585466"/>
    <w:rsid w:val="0058576B"/>
    <w:rsid w:val="00585B5B"/>
    <w:rsid w:val="00585ED0"/>
    <w:rsid w:val="0058617B"/>
    <w:rsid w:val="00587E96"/>
    <w:rsid w:val="00590103"/>
    <w:rsid w:val="00590386"/>
    <w:rsid w:val="005911AC"/>
    <w:rsid w:val="00591292"/>
    <w:rsid w:val="0059138D"/>
    <w:rsid w:val="005920EE"/>
    <w:rsid w:val="005931E3"/>
    <w:rsid w:val="0059324A"/>
    <w:rsid w:val="00593E1F"/>
    <w:rsid w:val="005950CF"/>
    <w:rsid w:val="005954A7"/>
    <w:rsid w:val="00595FAD"/>
    <w:rsid w:val="00596229"/>
    <w:rsid w:val="0059657D"/>
    <w:rsid w:val="005965CE"/>
    <w:rsid w:val="00597BBC"/>
    <w:rsid w:val="005A020C"/>
    <w:rsid w:val="005A03AE"/>
    <w:rsid w:val="005A0E0C"/>
    <w:rsid w:val="005A1898"/>
    <w:rsid w:val="005A18FB"/>
    <w:rsid w:val="005A2182"/>
    <w:rsid w:val="005A2363"/>
    <w:rsid w:val="005A2C21"/>
    <w:rsid w:val="005A2E39"/>
    <w:rsid w:val="005A3869"/>
    <w:rsid w:val="005A43B1"/>
    <w:rsid w:val="005A6305"/>
    <w:rsid w:val="005A7426"/>
    <w:rsid w:val="005A760D"/>
    <w:rsid w:val="005A7CA9"/>
    <w:rsid w:val="005B02DE"/>
    <w:rsid w:val="005B034F"/>
    <w:rsid w:val="005B0463"/>
    <w:rsid w:val="005B04C9"/>
    <w:rsid w:val="005B06B6"/>
    <w:rsid w:val="005B0C8D"/>
    <w:rsid w:val="005B0D01"/>
    <w:rsid w:val="005B13A0"/>
    <w:rsid w:val="005B1AB1"/>
    <w:rsid w:val="005B27D4"/>
    <w:rsid w:val="005B2EB3"/>
    <w:rsid w:val="005B31DC"/>
    <w:rsid w:val="005B321D"/>
    <w:rsid w:val="005B3220"/>
    <w:rsid w:val="005B3AEF"/>
    <w:rsid w:val="005B3B7C"/>
    <w:rsid w:val="005B3D7B"/>
    <w:rsid w:val="005B5027"/>
    <w:rsid w:val="005B5390"/>
    <w:rsid w:val="005B54BB"/>
    <w:rsid w:val="005B57EC"/>
    <w:rsid w:val="005B591C"/>
    <w:rsid w:val="005B5D85"/>
    <w:rsid w:val="005B630F"/>
    <w:rsid w:val="005B76D3"/>
    <w:rsid w:val="005C14B0"/>
    <w:rsid w:val="005C156D"/>
    <w:rsid w:val="005C179E"/>
    <w:rsid w:val="005C1BC9"/>
    <w:rsid w:val="005C2738"/>
    <w:rsid w:val="005C287F"/>
    <w:rsid w:val="005C2907"/>
    <w:rsid w:val="005C29CD"/>
    <w:rsid w:val="005C2A1D"/>
    <w:rsid w:val="005C2F53"/>
    <w:rsid w:val="005C31F9"/>
    <w:rsid w:val="005C3734"/>
    <w:rsid w:val="005C3E68"/>
    <w:rsid w:val="005C401B"/>
    <w:rsid w:val="005C4B60"/>
    <w:rsid w:val="005C5136"/>
    <w:rsid w:val="005C517E"/>
    <w:rsid w:val="005C6242"/>
    <w:rsid w:val="005C6605"/>
    <w:rsid w:val="005C6CF7"/>
    <w:rsid w:val="005C6DEB"/>
    <w:rsid w:val="005C7542"/>
    <w:rsid w:val="005C7A65"/>
    <w:rsid w:val="005C7A91"/>
    <w:rsid w:val="005D0B5D"/>
    <w:rsid w:val="005D1411"/>
    <w:rsid w:val="005D1F2F"/>
    <w:rsid w:val="005D2F62"/>
    <w:rsid w:val="005D3034"/>
    <w:rsid w:val="005D3318"/>
    <w:rsid w:val="005D35A0"/>
    <w:rsid w:val="005D3751"/>
    <w:rsid w:val="005D3DD9"/>
    <w:rsid w:val="005D3E00"/>
    <w:rsid w:val="005D40D9"/>
    <w:rsid w:val="005D42FD"/>
    <w:rsid w:val="005D479B"/>
    <w:rsid w:val="005D5914"/>
    <w:rsid w:val="005D5C7F"/>
    <w:rsid w:val="005D69CE"/>
    <w:rsid w:val="005E02D3"/>
    <w:rsid w:val="005E0301"/>
    <w:rsid w:val="005E03B8"/>
    <w:rsid w:val="005E0917"/>
    <w:rsid w:val="005E0E70"/>
    <w:rsid w:val="005E1284"/>
    <w:rsid w:val="005E1B10"/>
    <w:rsid w:val="005E2F11"/>
    <w:rsid w:val="005E3471"/>
    <w:rsid w:val="005E3C3C"/>
    <w:rsid w:val="005E3C3D"/>
    <w:rsid w:val="005E3D5A"/>
    <w:rsid w:val="005E3FDE"/>
    <w:rsid w:val="005E4BEC"/>
    <w:rsid w:val="005E5070"/>
    <w:rsid w:val="005E59EB"/>
    <w:rsid w:val="005E5C50"/>
    <w:rsid w:val="005E61A3"/>
    <w:rsid w:val="005E6318"/>
    <w:rsid w:val="005E6707"/>
    <w:rsid w:val="005E6B37"/>
    <w:rsid w:val="005E7377"/>
    <w:rsid w:val="005E7D6E"/>
    <w:rsid w:val="005E7DF2"/>
    <w:rsid w:val="005E7FAD"/>
    <w:rsid w:val="005F05ED"/>
    <w:rsid w:val="005F1095"/>
    <w:rsid w:val="005F12F9"/>
    <w:rsid w:val="005F1697"/>
    <w:rsid w:val="005F1957"/>
    <w:rsid w:val="005F19C8"/>
    <w:rsid w:val="005F1EB8"/>
    <w:rsid w:val="005F2B95"/>
    <w:rsid w:val="005F2E55"/>
    <w:rsid w:val="005F3187"/>
    <w:rsid w:val="005F3409"/>
    <w:rsid w:val="005F3784"/>
    <w:rsid w:val="005F3BBE"/>
    <w:rsid w:val="005F4117"/>
    <w:rsid w:val="005F52A1"/>
    <w:rsid w:val="005F5B6B"/>
    <w:rsid w:val="005F5DF8"/>
    <w:rsid w:val="005F6354"/>
    <w:rsid w:val="005F6549"/>
    <w:rsid w:val="005F6603"/>
    <w:rsid w:val="005F6D11"/>
    <w:rsid w:val="005F6FDF"/>
    <w:rsid w:val="0060043C"/>
    <w:rsid w:val="00600733"/>
    <w:rsid w:val="00600E9D"/>
    <w:rsid w:val="00601450"/>
    <w:rsid w:val="006015FF"/>
    <w:rsid w:val="0060179C"/>
    <w:rsid w:val="006022CB"/>
    <w:rsid w:val="00602764"/>
    <w:rsid w:val="00602FA5"/>
    <w:rsid w:val="00603224"/>
    <w:rsid w:val="00603750"/>
    <w:rsid w:val="0060500C"/>
    <w:rsid w:val="0060593B"/>
    <w:rsid w:val="0060599F"/>
    <w:rsid w:val="00605A9A"/>
    <w:rsid w:val="00605F23"/>
    <w:rsid w:val="00606735"/>
    <w:rsid w:val="0060673F"/>
    <w:rsid w:val="00606830"/>
    <w:rsid w:val="00606885"/>
    <w:rsid w:val="0060723F"/>
    <w:rsid w:val="00607523"/>
    <w:rsid w:val="006108B8"/>
    <w:rsid w:val="00610920"/>
    <w:rsid w:val="00610B56"/>
    <w:rsid w:val="00610E7E"/>
    <w:rsid w:val="00611073"/>
    <w:rsid w:val="00611940"/>
    <w:rsid w:val="0061222C"/>
    <w:rsid w:val="0061248F"/>
    <w:rsid w:val="00612780"/>
    <w:rsid w:val="006128D7"/>
    <w:rsid w:val="00613578"/>
    <w:rsid w:val="0061382B"/>
    <w:rsid w:val="00614509"/>
    <w:rsid w:val="0061482E"/>
    <w:rsid w:val="00614A33"/>
    <w:rsid w:val="00615252"/>
    <w:rsid w:val="0061552A"/>
    <w:rsid w:val="0061568E"/>
    <w:rsid w:val="00616264"/>
    <w:rsid w:val="00616690"/>
    <w:rsid w:val="00616CC0"/>
    <w:rsid w:val="00616E90"/>
    <w:rsid w:val="00617624"/>
    <w:rsid w:val="006205D1"/>
    <w:rsid w:val="00620AB3"/>
    <w:rsid w:val="006213EF"/>
    <w:rsid w:val="006219CF"/>
    <w:rsid w:val="00622635"/>
    <w:rsid w:val="00622B37"/>
    <w:rsid w:val="00622B8C"/>
    <w:rsid w:val="00622CC2"/>
    <w:rsid w:val="00622DF8"/>
    <w:rsid w:val="0062362F"/>
    <w:rsid w:val="00623724"/>
    <w:rsid w:val="00623BD2"/>
    <w:rsid w:val="00623E77"/>
    <w:rsid w:val="00623EAD"/>
    <w:rsid w:val="00624117"/>
    <w:rsid w:val="00624624"/>
    <w:rsid w:val="0062472D"/>
    <w:rsid w:val="00625556"/>
    <w:rsid w:val="0062558D"/>
    <w:rsid w:val="006259C7"/>
    <w:rsid w:val="00625FF5"/>
    <w:rsid w:val="0062603B"/>
    <w:rsid w:val="006269F7"/>
    <w:rsid w:val="00626A88"/>
    <w:rsid w:val="00627143"/>
    <w:rsid w:val="00627B02"/>
    <w:rsid w:val="00630711"/>
    <w:rsid w:val="00631170"/>
    <w:rsid w:val="00631405"/>
    <w:rsid w:val="006317A9"/>
    <w:rsid w:val="0063314F"/>
    <w:rsid w:val="0063337F"/>
    <w:rsid w:val="00633D0D"/>
    <w:rsid w:val="00633D3C"/>
    <w:rsid w:val="00633DEB"/>
    <w:rsid w:val="0063449B"/>
    <w:rsid w:val="0063493E"/>
    <w:rsid w:val="00634A26"/>
    <w:rsid w:val="00634CC2"/>
    <w:rsid w:val="00634EC4"/>
    <w:rsid w:val="00635006"/>
    <w:rsid w:val="00635440"/>
    <w:rsid w:val="006354DE"/>
    <w:rsid w:val="00635FE0"/>
    <w:rsid w:val="006364E5"/>
    <w:rsid w:val="0063773C"/>
    <w:rsid w:val="00637C91"/>
    <w:rsid w:val="00640475"/>
    <w:rsid w:val="0064047D"/>
    <w:rsid w:val="006418A0"/>
    <w:rsid w:val="00643011"/>
    <w:rsid w:val="00643362"/>
    <w:rsid w:val="00643B18"/>
    <w:rsid w:val="0064497A"/>
    <w:rsid w:val="00645073"/>
    <w:rsid w:val="006452A4"/>
    <w:rsid w:val="00645573"/>
    <w:rsid w:val="006455B0"/>
    <w:rsid w:val="00646287"/>
    <w:rsid w:val="00646CAA"/>
    <w:rsid w:val="00646D1B"/>
    <w:rsid w:val="006477B8"/>
    <w:rsid w:val="00647C40"/>
    <w:rsid w:val="00647EED"/>
    <w:rsid w:val="00647F9C"/>
    <w:rsid w:val="00650529"/>
    <w:rsid w:val="00650B6C"/>
    <w:rsid w:val="00650D5A"/>
    <w:rsid w:val="00650DB8"/>
    <w:rsid w:val="006510F8"/>
    <w:rsid w:val="00651C18"/>
    <w:rsid w:val="00652409"/>
    <w:rsid w:val="00652460"/>
    <w:rsid w:val="00652DF7"/>
    <w:rsid w:val="00652F11"/>
    <w:rsid w:val="00652FA2"/>
    <w:rsid w:val="00653A41"/>
    <w:rsid w:val="00654A02"/>
    <w:rsid w:val="00655B6E"/>
    <w:rsid w:val="00656BF0"/>
    <w:rsid w:val="00656D7A"/>
    <w:rsid w:val="00657073"/>
    <w:rsid w:val="006579A9"/>
    <w:rsid w:val="00660845"/>
    <w:rsid w:val="00661595"/>
    <w:rsid w:val="0066173C"/>
    <w:rsid w:val="0066186C"/>
    <w:rsid w:val="00661E57"/>
    <w:rsid w:val="00661F76"/>
    <w:rsid w:val="00662435"/>
    <w:rsid w:val="00662545"/>
    <w:rsid w:val="00662732"/>
    <w:rsid w:val="00662E37"/>
    <w:rsid w:val="006636D8"/>
    <w:rsid w:val="00664361"/>
    <w:rsid w:val="006646B6"/>
    <w:rsid w:val="00664874"/>
    <w:rsid w:val="00664B1B"/>
    <w:rsid w:val="00665343"/>
    <w:rsid w:val="00665631"/>
    <w:rsid w:val="006657C2"/>
    <w:rsid w:val="00665A66"/>
    <w:rsid w:val="00665E44"/>
    <w:rsid w:val="006660B9"/>
    <w:rsid w:val="00666996"/>
    <w:rsid w:val="006678BD"/>
    <w:rsid w:val="00670758"/>
    <w:rsid w:val="00670AD9"/>
    <w:rsid w:val="00672713"/>
    <w:rsid w:val="00672841"/>
    <w:rsid w:val="00672AB9"/>
    <w:rsid w:val="00672D2A"/>
    <w:rsid w:val="0067410A"/>
    <w:rsid w:val="006746DB"/>
    <w:rsid w:val="00674BF5"/>
    <w:rsid w:val="00674FCA"/>
    <w:rsid w:val="006750B8"/>
    <w:rsid w:val="00675F33"/>
    <w:rsid w:val="00676304"/>
    <w:rsid w:val="00676B42"/>
    <w:rsid w:val="00676B98"/>
    <w:rsid w:val="006771CE"/>
    <w:rsid w:val="0067788B"/>
    <w:rsid w:val="006778A2"/>
    <w:rsid w:val="00677A91"/>
    <w:rsid w:val="006802F7"/>
    <w:rsid w:val="00680478"/>
    <w:rsid w:val="006808E8"/>
    <w:rsid w:val="00681382"/>
    <w:rsid w:val="00681BB5"/>
    <w:rsid w:val="00682248"/>
    <w:rsid w:val="00682B0A"/>
    <w:rsid w:val="006833B8"/>
    <w:rsid w:val="006834AB"/>
    <w:rsid w:val="0068385F"/>
    <w:rsid w:val="0068406A"/>
    <w:rsid w:val="006845C0"/>
    <w:rsid w:val="00684928"/>
    <w:rsid w:val="00685182"/>
    <w:rsid w:val="006855AB"/>
    <w:rsid w:val="0068594D"/>
    <w:rsid w:val="00690B40"/>
    <w:rsid w:val="00690D01"/>
    <w:rsid w:val="006916DC"/>
    <w:rsid w:val="00691F49"/>
    <w:rsid w:val="00691F9C"/>
    <w:rsid w:val="0069299C"/>
    <w:rsid w:val="00692A55"/>
    <w:rsid w:val="00692B10"/>
    <w:rsid w:val="00692E19"/>
    <w:rsid w:val="00693416"/>
    <w:rsid w:val="00694312"/>
    <w:rsid w:val="00694839"/>
    <w:rsid w:val="0069572F"/>
    <w:rsid w:val="00695A63"/>
    <w:rsid w:val="00696434"/>
    <w:rsid w:val="006966FF"/>
    <w:rsid w:val="00696996"/>
    <w:rsid w:val="00696F12"/>
    <w:rsid w:val="006972E8"/>
    <w:rsid w:val="0069756B"/>
    <w:rsid w:val="006A01F5"/>
    <w:rsid w:val="006A10D3"/>
    <w:rsid w:val="006A14F6"/>
    <w:rsid w:val="006A20A0"/>
    <w:rsid w:val="006A2528"/>
    <w:rsid w:val="006A3022"/>
    <w:rsid w:val="006A3201"/>
    <w:rsid w:val="006A32BF"/>
    <w:rsid w:val="006A3A82"/>
    <w:rsid w:val="006A3F4B"/>
    <w:rsid w:val="006A4B1B"/>
    <w:rsid w:val="006A4D1C"/>
    <w:rsid w:val="006A4D73"/>
    <w:rsid w:val="006A5973"/>
    <w:rsid w:val="006A5A77"/>
    <w:rsid w:val="006A6049"/>
    <w:rsid w:val="006A66C9"/>
    <w:rsid w:val="006A6822"/>
    <w:rsid w:val="006A6907"/>
    <w:rsid w:val="006A6984"/>
    <w:rsid w:val="006A6CCF"/>
    <w:rsid w:val="006A7AEE"/>
    <w:rsid w:val="006A7EC8"/>
    <w:rsid w:val="006B08A5"/>
    <w:rsid w:val="006B0C4A"/>
    <w:rsid w:val="006B0EEE"/>
    <w:rsid w:val="006B0F59"/>
    <w:rsid w:val="006B19A0"/>
    <w:rsid w:val="006B1A77"/>
    <w:rsid w:val="006B1C47"/>
    <w:rsid w:val="006B2333"/>
    <w:rsid w:val="006B2A31"/>
    <w:rsid w:val="006B2C9D"/>
    <w:rsid w:val="006B36C2"/>
    <w:rsid w:val="006B3BAE"/>
    <w:rsid w:val="006B401C"/>
    <w:rsid w:val="006B42A7"/>
    <w:rsid w:val="006B4AC8"/>
    <w:rsid w:val="006B4E35"/>
    <w:rsid w:val="006B5308"/>
    <w:rsid w:val="006B55D6"/>
    <w:rsid w:val="006B56FF"/>
    <w:rsid w:val="006B5A2B"/>
    <w:rsid w:val="006B5BA8"/>
    <w:rsid w:val="006B5E7F"/>
    <w:rsid w:val="006B7038"/>
    <w:rsid w:val="006B7228"/>
    <w:rsid w:val="006B72F3"/>
    <w:rsid w:val="006B7736"/>
    <w:rsid w:val="006C0691"/>
    <w:rsid w:val="006C0915"/>
    <w:rsid w:val="006C0EF3"/>
    <w:rsid w:val="006C11BB"/>
    <w:rsid w:val="006C163A"/>
    <w:rsid w:val="006C1FB5"/>
    <w:rsid w:val="006C2F61"/>
    <w:rsid w:val="006C35BA"/>
    <w:rsid w:val="006C3702"/>
    <w:rsid w:val="006C3FF9"/>
    <w:rsid w:val="006C4136"/>
    <w:rsid w:val="006C4174"/>
    <w:rsid w:val="006C45C6"/>
    <w:rsid w:val="006C4A8F"/>
    <w:rsid w:val="006C4D76"/>
    <w:rsid w:val="006C52E6"/>
    <w:rsid w:val="006C5419"/>
    <w:rsid w:val="006C5A49"/>
    <w:rsid w:val="006C66DB"/>
    <w:rsid w:val="006C6D3F"/>
    <w:rsid w:val="006C6EE0"/>
    <w:rsid w:val="006C7201"/>
    <w:rsid w:val="006D0928"/>
    <w:rsid w:val="006D1DDE"/>
    <w:rsid w:val="006D1E2E"/>
    <w:rsid w:val="006D2232"/>
    <w:rsid w:val="006D2499"/>
    <w:rsid w:val="006D2B1D"/>
    <w:rsid w:val="006D311B"/>
    <w:rsid w:val="006D35FC"/>
    <w:rsid w:val="006D3B1A"/>
    <w:rsid w:val="006D49F3"/>
    <w:rsid w:val="006D665A"/>
    <w:rsid w:val="006D6AE0"/>
    <w:rsid w:val="006D7512"/>
    <w:rsid w:val="006D76B0"/>
    <w:rsid w:val="006D78C4"/>
    <w:rsid w:val="006E01DA"/>
    <w:rsid w:val="006E0809"/>
    <w:rsid w:val="006E0E76"/>
    <w:rsid w:val="006E1321"/>
    <w:rsid w:val="006E19F7"/>
    <w:rsid w:val="006E23F2"/>
    <w:rsid w:val="006E3440"/>
    <w:rsid w:val="006E347B"/>
    <w:rsid w:val="006E3EA3"/>
    <w:rsid w:val="006E3FD9"/>
    <w:rsid w:val="006E52E7"/>
    <w:rsid w:val="006E5764"/>
    <w:rsid w:val="006E5D07"/>
    <w:rsid w:val="006E6778"/>
    <w:rsid w:val="006E6811"/>
    <w:rsid w:val="006E6AEF"/>
    <w:rsid w:val="006E7E57"/>
    <w:rsid w:val="006F0968"/>
    <w:rsid w:val="006F127B"/>
    <w:rsid w:val="006F185B"/>
    <w:rsid w:val="006F19F0"/>
    <w:rsid w:val="006F1D27"/>
    <w:rsid w:val="006F1D44"/>
    <w:rsid w:val="006F20A4"/>
    <w:rsid w:val="006F2637"/>
    <w:rsid w:val="006F284D"/>
    <w:rsid w:val="006F2989"/>
    <w:rsid w:val="006F35B8"/>
    <w:rsid w:val="006F3626"/>
    <w:rsid w:val="006F437F"/>
    <w:rsid w:val="006F491E"/>
    <w:rsid w:val="006F503D"/>
    <w:rsid w:val="006F53D7"/>
    <w:rsid w:val="006F5E2E"/>
    <w:rsid w:val="006F6E29"/>
    <w:rsid w:val="006F7563"/>
    <w:rsid w:val="00700DE8"/>
    <w:rsid w:val="00700DFD"/>
    <w:rsid w:val="00700F63"/>
    <w:rsid w:val="00701C17"/>
    <w:rsid w:val="007038D5"/>
    <w:rsid w:val="00703C87"/>
    <w:rsid w:val="00704B1D"/>
    <w:rsid w:val="00705025"/>
    <w:rsid w:val="007052EF"/>
    <w:rsid w:val="00705753"/>
    <w:rsid w:val="00705BDF"/>
    <w:rsid w:val="00705E40"/>
    <w:rsid w:val="007062FD"/>
    <w:rsid w:val="007063EE"/>
    <w:rsid w:val="007065FE"/>
    <w:rsid w:val="00706BDF"/>
    <w:rsid w:val="00706D25"/>
    <w:rsid w:val="00707038"/>
    <w:rsid w:val="00707457"/>
    <w:rsid w:val="0070781A"/>
    <w:rsid w:val="007079CE"/>
    <w:rsid w:val="007106FB"/>
    <w:rsid w:val="0071090A"/>
    <w:rsid w:val="007110A4"/>
    <w:rsid w:val="007111B3"/>
    <w:rsid w:val="00711F3A"/>
    <w:rsid w:val="007121C9"/>
    <w:rsid w:val="00712380"/>
    <w:rsid w:val="00712B6C"/>
    <w:rsid w:val="00712BEE"/>
    <w:rsid w:val="00712C8C"/>
    <w:rsid w:val="00712DE1"/>
    <w:rsid w:val="00712F56"/>
    <w:rsid w:val="0071377A"/>
    <w:rsid w:val="00713A5E"/>
    <w:rsid w:val="00713C83"/>
    <w:rsid w:val="00713E91"/>
    <w:rsid w:val="00714970"/>
    <w:rsid w:val="007158B2"/>
    <w:rsid w:val="00715D1D"/>
    <w:rsid w:val="0071647E"/>
    <w:rsid w:val="00716768"/>
    <w:rsid w:val="007172B2"/>
    <w:rsid w:val="00717FF7"/>
    <w:rsid w:val="00720ADC"/>
    <w:rsid w:val="00720CA2"/>
    <w:rsid w:val="00721A22"/>
    <w:rsid w:val="00721CEA"/>
    <w:rsid w:val="00722031"/>
    <w:rsid w:val="0072265E"/>
    <w:rsid w:val="00722A10"/>
    <w:rsid w:val="00722C1C"/>
    <w:rsid w:val="007233B1"/>
    <w:rsid w:val="007235F4"/>
    <w:rsid w:val="00723A50"/>
    <w:rsid w:val="00723F2B"/>
    <w:rsid w:val="00724108"/>
    <w:rsid w:val="007241D3"/>
    <w:rsid w:val="00724589"/>
    <w:rsid w:val="007247ED"/>
    <w:rsid w:val="007248BD"/>
    <w:rsid w:val="007260DA"/>
    <w:rsid w:val="00726591"/>
    <w:rsid w:val="00727756"/>
    <w:rsid w:val="00730040"/>
    <w:rsid w:val="007321E2"/>
    <w:rsid w:val="0073242B"/>
    <w:rsid w:val="00732AB8"/>
    <w:rsid w:val="00732D6D"/>
    <w:rsid w:val="00732D82"/>
    <w:rsid w:val="00733446"/>
    <w:rsid w:val="007335A1"/>
    <w:rsid w:val="00733656"/>
    <w:rsid w:val="00733B77"/>
    <w:rsid w:val="007345D3"/>
    <w:rsid w:val="0073473E"/>
    <w:rsid w:val="007347B4"/>
    <w:rsid w:val="0073499B"/>
    <w:rsid w:val="007350B4"/>
    <w:rsid w:val="0073527C"/>
    <w:rsid w:val="0073581C"/>
    <w:rsid w:val="00735F76"/>
    <w:rsid w:val="00736AD5"/>
    <w:rsid w:val="00736D27"/>
    <w:rsid w:val="00736F34"/>
    <w:rsid w:val="007408E2"/>
    <w:rsid w:val="00741412"/>
    <w:rsid w:val="00741BA6"/>
    <w:rsid w:val="007420C6"/>
    <w:rsid w:val="007421F4"/>
    <w:rsid w:val="007434D0"/>
    <w:rsid w:val="00743B56"/>
    <w:rsid w:val="00744082"/>
    <w:rsid w:val="00744229"/>
    <w:rsid w:val="007445C4"/>
    <w:rsid w:val="00744F10"/>
    <w:rsid w:val="00745142"/>
    <w:rsid w:val="00745369"/>
    <w:rsid w:val="007463E2"/>
    <w:rsid w:val="007466A4"/>
    <w:rsid w:val="00746CBC"/>
    <w:rsid w:val="00746EF5"/>
    <w:rsid w:val="00747460"/>
    <w:rsid w:val="007477E5"/>
    <w:rsid w:val="007479EB"/>
    <w:rsid w:val="00747FFA"/>
    <w:rsid w:val="00750252"/>
    <w:rsid w:val="007503D4"/>
    <w:rsid w:val="00751042"/>
    <w:rsid w:val="0075112B"/>
    <w:rsid w:val="007512DF"/>
    <w:rsid w:val="00751CBE"/>
    <w:rsid w:val="00751FBE"/>
    <w:rsid w:val="00752034"/>
    <w:rsid w:val="0075205C"/>
    <w:rsid w:val="00752B94"/>
    <w:rsid w:val="00752D9D"/>
    <w:rsid w:val="0075303E"/>
    <w:rsid w:val="0075306B"/>
    <w:rsid w:val="00754ADC"/>
    <w:rsid w:val="0075517F"/>
    <w:rsid w:val="00756218"/>
    <w:rsid w:val="007574C3"/>
    <w:rsid w:val="00757C76"/>
    <w:rsid w:val="007608E4"/>
    <w:rsid w:val="00760D23"/>
    <w:rsid w:val="00760D4A"/>
    <w:rsid w:val="007615A8"/>
    <w:rsid w:val="00761856"/>
    <w:rsid w:val="00761891"/>
    <w:rsid w:val="0076257F"/>
    <w:rsid w:val="00762D99"/>
    <w:rsid w:val="007634E5"/>
    <w:rsid w:val="0076359C"/>
    <w:rsid w:val="00763A4B"/>
    <w:rsid w:val="00763B4B"/>
    <w:rsid w:val="00764BC5"/>
    <w:rsid w:val="00764E61"/>
    <w:rsid w:val="00764EB7"/>
    <w:rsid w:val="00765008"/>
    <w:rsid w:val="00766ED4"/>
    <w:rsid w:val="007673DB"/>
    <w:rsid w:val="007676ED"/>
    <w:rsid w:val="007679BF"/>
    <w:rsid w:val="00770830"/>
    <w:rsid w:val="0077085A"/>
    <w:rsid w:val="00770CC8"/>
    <w:rsid w:val="00770D40"/>
    <w:rsid w:val="00770EAF"/>
    <w:rsid w:val="00770F0C"/>
    <w:rsid w:val="00771068"/>
    <w:rsid w:val="007711E7"/>
    <w:rsid w:val="007715D6"/>
    <w:rsid w:val="00771E97"/>
    <w:rsid w:val="00772693"/>
    <w:rsid w:val="0077276E"/>
    <w:rsid w:val="007728B8"/>
    <w:rsid w:val="0077356E"/>
    <w:rsid w:val="007738E3"/>
    <w:rsid w:val="007745EB"/>
    <w:rsid w:val="00774E12"/>
    <w:rsid w:val="0077559A"/>
    <w:rsid w:val="00775EFB"/>
    <w:rsid w:val="0077620F"/>
    <w:rsid w:val="00777B5E"/>
    <w:rsid w:val="00777DBE"/>
    <w:rsid w:val="0078015D"/>
    <w:rsid w:val="00781160"/>
    <w:rsid w:val="007811A5"/>
    <w:rsid w:val="007827A3"/>
    <w:rsid w:val="007827DB"/>
    <w:rsid w:val="00782DD2"/>
    <w:rsid w:val="007831BA"/>
    <w:rsid w:val="00783881"/>
    <w:rsid w:val="00783AFD"/>
    <w:rsid w:val="00783DA7"/>
    <w:rsid w:val="00784477"/>
    <w:rsid w:val="00784A19"/>
    <w:rsid w:val="0078506A"/>
    <w:rsid w:val="00785E60"/>
    <w:rsid w:val="00785F3E"/>
    <w:rsid w:val="0078612F"/>
    <w:rsid w:val="007864CA"/>
    <w:rsid w:val="00787028"/>
    <w:rsid w:val="00787733"/>
    <w:rsid w:val="00787B59"/>
    <w:rsid w:val="00787CDE"/>
    <w:rsid w:val="00787FE4"/>
    <w:rsid w:val="00790738"/>
    <w:rsid w:val="00791747"/>
    <w:rsid w:val="00791DA9"/>
    <w:rsid w:val="00791DD7"/>
    <w:rsid w:val="00792108"/>
    <w:rsid w:val="0079311D"/>
    <w:rsid w:val="00794226"/>
    <w:rsid w:val="007947DE"/>
    <w:rsid w:val="00795EC6"/>
    <w:rsid w:val="007968EE"/>
    <w:rsid w:val="007969A4"/>
    <w:rsid w:val="00796EBB"/>
    <w:rsid w:val="00797715"/>
    <w:rsid w:val="00797C89"/>
    <w:rsid w:val="007A00D6"/>
    <w:rsid w:val="007A0776"/>
    <w:rsid w:val="007A07B5"/>
    <w:rsid w:val="007A0CE8"/>
    <w:rsid w:val="007A1067"/>
    <w:rsid w:val="007A1D61"/>
    <w:rsid w:val="007A1E2E"/>
    <w:rsid w:val="007A212A"/>
    <w:rsid w:val="007A3184"/>
    <w:rsid w:val="007A33F8"/>
    <w:rsid w:val="007A3433"/>
    <w:rsid w:val="007A40CB"/>
    <w:rsid w:val="007A4181"/>
    <w:rsid w:val="007A4343"/>
    <w:rsid w:val="007A49AC"/>
    <w:rsid w:val="007A4CFD"/>
    <w:rsid w:val="007A5EE1"/>
    <w:rsid w:val="007A6087"/>
    <w:rsid w:val="007A61F1"/>
    <w:rsid w:val="007A62C3"/>
    <w:rsid w:val="007A6522"/>
    <w:rsid w:val="007A7AA6"/>
    <w:rsid w:val="007A7FE8"/>
    <w:rsid w:val="007B0068"/>
    <w:rsid w:val="007B025E"/>
    <w:rsid w:val="007B0AC3"/>
    <w:rsid w:val="007B1268"/>
    <w:rsid w:val="007B1592"/>
    <w:rsid w:val="007B16A3"/>
    <w:rsid w:val="007B1842"/>
    <w:rsid w:val="007B1ADA"/>
    <w:rsid w:val="007B1ED9"/>
    <w:rsid w:val="007B2006"/>
    <w:rsid w:val="007B294B"/>
    <w:rsid w:val="007B2F85"/>
    <w:rsid w:val="007B4067"/>
    <w:rsid w:val="007B4F0B"/>
    <w:rsid w:val="007B4FD3"/>
    <w:rsid w:val="007B54D6"/>
    <w:rsid w:val="007B5523"/>
    <w:rsid w:val="007B6DFF"/>
    <w:rsid w:val="007B6ED2"/>
    <w:rsid w:val="007B7B53"/>
    <w:rsid w:val="007C099C"/>
    <w:rsid w:val="007C0A10"/>
    <w:rsid w:val="007C2334"/>
    <w:rsid w:val="007C2F65"/>
    <w:rsid w:val="007C3B71"/>
    <w:rsid w:val="007C4C33"/>
    <w:rsid w:val="007C5DF2"/>
    <w:rsid w:val="007C5EB3"/>
    <w:rsid w:val="007C64F7"/>
    <w:rsid w:val="007C6E13"/>
    <w:rsid w:val="007C6E66"/>
    <w:rsid w:val="007C795D"/>
    <w:rsid w:val="007C7B23"/>
    <w:rsid w:val="007C7C9C"/>
    <w:rsid w:val="007D0102"/>
    <w:rsid w:val="007D0ABB"/>
    <w:rsid w:val="007D1696"/>
    <w:rsid w:val="007D16CC"/>
    <w:rsid w:val="007D183F"/>
    <w:rsid w:val="007D1C43"/>
    <w:rsid w:val="007D1F12"/>
    <w:rsid w:val="007D2AEF"/>
    <w:rsid w:val="007D2CE6"/>
    <w:rsid w:val="007D2D7E"/>
    <w:rsid w:val="007D4746"/>
    <w:rsid w:val="007D4FF8"/>
    <w:rsid w:val="007D57E8"/>
    <w:rsid w:val="007D633B"/>
    <w:rsid w:val="007D63B3"/>
    <w:rsid w:val="007D7224"/>
    <w:rsid w:val="007D7D73"/>
    <w:rsid w:val="007E1466"/>
    <w:rsid w:val="007E16E5"/>
    <w:rsid w:val="007E18BB"/>
    <w:rsid w:val="007E1ED6"/>
    <w:rsid w:val="007E2B46"/>
    <w:rsid w:val="007E3211"/>
    <w:rsid w:val="007E33D4"/>
    <w:rsid w:val="007E39E6"/>
    <w:rsid w:val="007E3DCF"/>
    <w:rsid w:val="007E42B5"/>
    <w:rsid w:val="007E444C"/>
    <w:rsid w:val="007E475F"/>
    <w:rsid w:val="007E5285"/>
    <w:rsid w:val="007E6F35"/>
    <w:rsid w:val="007E7340"/>
    <w:rsid w:val="007F0343"/>
    <w:rsid w:val="007F0442"/>
    <w:rsid w:val="007F05F0"/>
    <w:rsid w:val="007F07D4"/>
    <w:rsid w:val="007F11A1"/>
    <w:rsid w:val="007F1856"/>
    <w:rsid w:val="007F1970"/>
    <w:rsid w:val="007F212B"/>
    <w:rsid w:val="007F28A6"/>
    <w:rsid w:val="007F28DF"/>
    <w:rsid w:val="007F3089"/>
    <w:rsid w:val="007F360A"/>
    <w:rsid w:val="007F3864"/>
    <w:rsid w:val="007F43CC"/>
    <w:rsid w:val="007F5225"/>
    <w:rsid w:val="007F5488"/>
    <w:rsid w:val="007F6D99"/>
    <w:rsid w:val="007F6E9E"/>
    <w:rsid w:val="007F77B8"/>
    <w:rsid w:val="007F7831"/>
    <w:rsid w:val="007F7A60"/>
    <w:rsid w:val="007F7C10"/>
    <w:rsid w:val="008004DF"/>
    <w:rsid w:val="00800B5F"/>
    <w:rsid w:val="00800C30"/>
    <w:rsid w:val="00801309"/>
    <w:rsid w:val="008015A0"/>
    <w:rsid w:val="00802421"/>
    <w:rsid w:val="008024B2"/>
    <w:rsid w:val="00802958"/>
    <w:rsid w:val="00802DF4"/>
    <w:rsid w:val="00803358"/>
    <w:rsid w:val="00803C30"/>
    <w:rsid w:val="00803E8D"/>
    <w:rsid w:val="00804D12"/>
    <w:rsid w:val="00804D43"/>
    <w:rsid w:val="00805255"/>
    <w:rsid w:val="00805260"/>
    <w:rsid w:val="008068F9"/>
    <w:rsid w:val="00806AD6"/>
    <w:rsid w:val="00807CF0"/>
    <w:rsid w:val="00810D73"/>
    <w:rsid w:val="00810F87"/>
    <w:rsid w:val="0081176B"/>
    <w:rsid w:val="008118F2"/>
    <w:rsid w:val="008122CC"/>
    <w:rsid w:val="00812582"/>
    <w:rsid w:val="0081259F"/>
    <w:rsid w:val="008125D7"/>
    <w:rsid w:val="008126F5"/>
    <w:rsid w:val="0081359E"/>
    <w:rsid w:val="008136B4"/>
    <w:rsid w:val="00813788"/>
    <w:rsid w:val="00813B8E"/>
    <w:rsid w:val="00814599"/>
    <w:rsid w:val="008145C0"/>
    <w:rsid w:val="008151A6"/>
    <w:rsid w:val="00815376"/>
    <w:rsid w:val="00815EE9"/>
    <w:rsid w:val="008162FD"/>
    <w:rsid w:val="00816B32"/>
    <w:rsid w:val="00816BA4"/>
    <w:rsid w:val="00816EEA"/>
    <w:rsid w:val="00816F2D"/>
    <w:rsid w:val="0082014C"/>
    <w:rsid w:val="0082064B"/>
    <w:rsid w:val="00820E23"/>
    <w:rsid w:val="0082105B"/>
    <w:rsid w:val="008221EB"/>
    <w:rsid w:val="00822220"/>
    <w:rsid w:val="008226CF"/>
    <w:rsid w:val="00822727"/>
    <w:rsid w:val="008233A5"/>
    <w:rsid w:val="00824011"/>
    <w:rsid w:val="008241B9"/>
    <w:rsid w:val="008244EF"/>
    <w:rsid w:val="00824716"/>
    <w:rsid w:val="008248E0"/>
    <w:rsid w:val="00824A47"/>
    <w:rsid w:val="00824DE7"/>
    <w:rsid w:val="0082689E"/>
    <w:rsid w:val="00826E25"/>
    <w:rsid w:val="0082704F"/>
    <w:rsid w:val="00827581"/>
    <w:rsid w:val="00827BBD"/>
    <w:rsid w:val="00827C9A"/>
    <w:rsid w:val="008304E8"/>
    <w:rsid w:val="00830C5F"/>
    <w:rsid w:val="00830C91"/>
    <w:rsid w:val="00830F86"/>
    <w:rsid w:val="00830FBE"/>
    <w:rsid w:val="00831443"/>
    <w:rsid w:val="00831751"/>
    <w:rsid w:val="0083278B"/>
    <w:rsid w:val="0083285E"/>
    <w:rsid w:val="00832E2C"/>
    <w:rsid w:val="00833EC0"/>
    <w:rsid w:val="008343BD"/>
    <w:rsid w:val="0083444D"/>
    <w:rsid w:val="00834BA1"/>
    <w:rsid w:val="00834DFC"/>
    <w:rsid w:val="00834E93"/>
    <w:rsid w:val="00836845"/>
    <w:rsid w:val="0083760A"/>
    <w:rsid w:val="00837612"/>
    <w:rsid w:val="00840A18"/>
    <w:rsid w:val="00840A22"/>
    <w:rsid w:val="00841322"/>
    <w:rsid w:val="00841645"/>
    <w:rsid w:val="008420D9"/>
    <w:rsid w:val="008427C5"/>
    <w:rsid w:val="00842A5C"/>
    <w:rsid w:val="00844689"/>
    <w:rsid w:val="00845545"/>
    <w:rsid w:val="00845551"/>
    <w:rsid w:val="00845EF2"/>
    <w:rsid w:val="00845F35"/>
    <w:rsid w:val="0084685B"/>
    <w:rsid w:val="008469DF"/>
    <w:rsid w:val="008478AF"/>
    <w:rsid w:val="0084795C"/>
    <w:rsid w:val="0085021D"/>
    <w:rsid w:val="008503E1"/>
    <w:rsid w:val="00850412"/>
    <w:rsid w:val="00850C75"/>
    <w:rsid w:val="00851278"/>
    <w:rsid w:val="00851826"/>
    <w:rsid w:val="00852CAD"/>
    <w:rsid w:val="00854146"/>
    <w:rsid w:val="00854A5E"/>
    <w:rsid w:val="00854E5A"/>
    <w:rsid w:val="0085520E"/>
    <w:rsid w:val="00855881"/>
    <w:rsid w:val="00855D5F"/>
    <w:rsid w:val="00855EAC"/>
    <w:rsid w:val="008564FF"/>
    <w:rsid w:val="00856615"/>
    <w:rsid w:val="00856854"/>
    <w:rsid w:val="0085692D"/>
    <w:rsid w:val="00856E42"/>
    <w:rsid w:val="0086033B"/>
    <w:rsid w:val="0086119A"/>
    <w:rsid w:val="00861DE5"/>
    <w:rsid w:val="00864E94"/>
    <w:rsid w:val="008651D4"/>
    <w:rsid w:val="00865D33"/>
    <w:rsid w:val="0086634C"/>
    <w:rsid w:val="00866C27"/>
    <w:rsid w:val="0086703D"/>
    <w:rsid w:val="008674A6"/>
    <w:rsid w:val="00867C62"/>
    <w:rsid w:val="00867EDC"/>
    <w:rsid w:val="00870531"/>
    <w:rsid w:val="00871877"/>
    <w:rsid w:val="00871CAF"/>
    <w:rsid w:val="00872366"/>
    <w:rsid w:val="008726CA"/>
    <w:rsid w:val="008735B6"/>
    <w:rsid w:val="008737EA"/>
    <w:rsid w:val="00873855"/>
    <w:rsid w:val="00873BC6"/>
    <w:rsid w:val="0087411F"/>
    <w:rsid w:val="008744A5"/>
    <w:rsid w:val="008745D3"/>
    <w:rsid w:val="0087489F"/>
    <w:rsid w:val="00874F0C"/>
    <w:rsid w:val="00875044"/>
    <w:rsid w:val="008757B7"/>
    <w:rsid w:val="00875C7F"/>
    <w:rsid w:val="00877163"/>
    <w:rsid w:val="00880E92"/>
    <w:rsid w:val="008815DE"/>
    <w:rsid w:val="0088172D"/>
    <w:rsid w:val="00881778"/>
    <w:rsid w:val="0088182F"/>
    <w:rsid w:val="00882103"/>
    <w:rsid w:val="008824B3"/>
    <w:rsid w:val="00883142"/>
    <w:rsid w:val="00884384"/>
    <w:rsid w:val="00884B2C"/>
    <w:rsid w:val="00884FEB"/>
    <w:rsid w:val="0088510C"/>
    <w:rsid w:val="00885185"/>
    <w:rsid w:val="00885309"/>
    <w:rsid w:val="0088546C"/>
    <w:rsid w:val="0088587E"/>
    <w:rsid w:val="0088630E"/>
    <w:rsid w:val="00887637"/>
    <w:rsid w:val="00887929"/>
    <w:rsid w:val="00887A83"/>
    <w:rsid w:val="0089010B"/>
    <w:rsid w:val="00890856"/>
    <w:rsid w:val="00891B34"/>
    <w:rsid w:val="00892557"/>
    <w:rsid w:val="00892B00"/>
    <w:rsid w:val="00893133"/>
    <w:rsid w:val="008932B5"/>
    <w:rsid w:val="00894221"/>
    <w:rsid w:val="0089429A"/>
    <w:rsid w:val="0089477C"/>
    <w:rsid w:val="008968A4"/>
    <w:rsid w:val="008969D6"/>
    <w:rsid w:val="00897812"/>
    <w:rsid w:val="008A05EC"/>
    <w:rsid w:val="008A0983"/>
    <w:rsid w:val="008A1203"/>
    <w:rsid w:val="008A15A6"/>
    <w:rsid w:val="008A1A1E"/>
    <w:rsid w:val="008A1C51"/>
    <w:rsid w:val="008A222F"/>
    <w:rsid w:val="008A2298"/>
    <w:rsid w:val="008A2BE3"/>
    <w:rsid w:val="008A301C"/>
    <w:rsid w:val="008A3152"/>
    <w:rsid w:val="008A3C66"/>
    <w:rsid w:val="008A3D96"/>
    <w:rsid w:val="008A49E8"/>
    <w:rsid w:val="008A509C"/>
    <w:rsid w:val="008A567A"/>
    <w:rsid w:val="008A591E"/>
    <w:rsid w:val="008A5A9B"/>
    <w:rsid w:val="008A5B8A"/>
    <w:rsid w:val="008A5DBC"/>
    <w:rsid w:val="008A61B3"/>
    <w:rsid w:val="008A77DA"/>
    <w:rsid w:val="008A7A5D"/>
    <w:rsid w:val="008B07CF"/>
    <w:rsid w:val="008B1A0F"/>
    <w:rsid w:val="008B2119"/>
    <w:rsid w:val="008B23C9"/>
    <w:rsid w:val="008B2E48"/>
    <w:rsid w:val="008B2F5E"/>
    <w:rsid w:val="008B304E"/>
    <w:rsid w:val="008B36A6"/>
    <w:rsid w:val="008B37B1"/>
    <w:rsid w:val="008B3A5F"/>
    <w:rsid w:val="008B3E8F"/>
    <w:rsid w:val="008B3F12"/>
    <w:rsid w:val="008B5835"/>
    <w:rsid w:val="008B6066"/>
    <w:rsid w:val="008B66D5"/>
    <w:rsid w:val="008B695F"/>
    <w:rsid w:val="008B6B86"/>
    <w:rsid w:val="008B7267"/>
    <w:rsid w:val="008B73EE"/>
    <w:rsid w:val="008C017D"/>
    <w:rsid w:val="008C09FE"/>
    <w:rsid w:val="008C0C06"/>
    <w:rsid w:val="008C122C"/>
    <w:rsid w:val="008C184C"/>
    <w:rsid w:val="008C2208"/>
    <w:rsid w:val="008C2330"/>
    <w:rsid w:val="008C26F8"/>
    <w:rsid w:val="008C2DC4"/>
    <w:rsid w:val="008C3541"/>
    <w:rsid w:val="008C371D"/>
    <w:rsid w:val="008C3BCD"/>
    <w:rsid w:val="008C51B5"/>
    <w:rsid w:val="008C5233"/>
    <w:rsid w:val="008C5275"/>
    <w:rsid w:val="008C583E"/>
    <w:rsid w:val="008C5886"/>
    <w:rsid w:val="008C624D"/>
    <w:rsid w:val="008C62B1"/>
    <w:rsid w:val="008C66C7"/>
    <w:rsid w:val="008C6A9B"/>
    <w:rsid w:val="008C6E0B"/>
    <w:rsid w:val="008C732E"/>
    <w:rsid w:val="008C77A0"/>
    <w:rsid w:val="008C7981"/>
    <w:rsid w:val="008D0D6A"/>
    <w:rsid w:val="008D0E02"/>
    <w:rsid w:val="008D1D6C"/>
    <w:rsid w:val="008D2210"/>
    <w:rsid w:val="008D230A"/>
    <w:rsid w:val="008D24A6"/>
    <w:rsid w:val="008D274F"/>
    <w:rsid w:val="008D30F0"/>
    <w:rsid w:val="008D43B4"/>
    <w:rsid w:val="008D4535"/>
    <w:rsid w:val="008D53B8"/>
    <w:rsid w:val="008D58AA"/>
    <w:rsid w:val="008D5CA0"/>
    <w:rsid w:val="008D5CDE"/>
    <w:rsid w:val="008D5FA5"/>
    <w:rsid w:val="008D6256"/>
    <w:rsid w:val="008D6581"/>
    <w:rsid w:val="008D696E"/>
    <w:rsid w:val="008D738A"/>
    <w:rsid w:val="008D7D83"/>
    <w:rsid w:val="008E0570"/>
    <w:rsid w:val="008E0688"/>
    <w:rsid w:val="008E0B68"/>
    <w:rsid w:val="008E0E86"/>
    <w:rsid w:val="008E0F08"/>
    <w:rsid w:val="008E10EF"/>
    <w:rsid w:val="008E1237"/>
    <w:rsid w:val="008E20BD"/>
    <w:rsid w:val="008E2AFE"/>
    <w:rsid w:val="008E2FD7"/>
    <w:rsid w:val="008E3142"/>
    <w:rsid w:val="008E38E8"/>
    <w:rsid w:val="008E3AC9"/>
    <w:rsid w:val="008E3C51"/>
    <w:rsid w:val="008E3CA9"/>
    <w:rsid w:val="008E433F"/>
    <w:rsid w:val="008E47D2"/>
    <w:rsid w:val="008E5ADB"/>
    <w:rsid w:val="008E72F7"/>
    <w:rsid w:val="008E74BB"/>
    <w:rsid w:val="008F0BB5"/>
    <w:rsid w:val="008F0CB3"/>
    <w:rsid w:val="008F10C4"/>
    <w:rsid w:val="008F19F0"/>
    <w:rsid w:val="008F1D51"/>
    <w:rsid w:val="008F2C6B"/>
    <w:rsid w:val="008F2D4E"/>
    <w:rsid w:val="008F3052"/>
    <w:rsid w:val="008F38E3"/>
    <w:rsid w:val="008F401A"/>
    <w:rsid w:val="008F42E6"/>
    <w:rsid w:val="008F50DF"/>
    <w:rsid w:val="008F52DB"/>
    <w:rsid w:val="008F54B0"/>
    <w:rsid w:val="008F5BFE"/>
    <w:rsid w:val="008F6C88"/>
    <w:rsid w:val="008F704E"/>
    <w:rsid w:val="008F733D"/>
    <w:rsid w:val="008F7A56"/>
    <w:rsid w:val="008F7C56"/>
    <w:rsid w:val="008F7E0E"/>
    <w:rsid w:val="008F7E1B"/>
    <w:rsid w:val="0090036A"/>
    <w:rsid w:val="00900C1D"/>
    <w:rsid w:val="00901501"/>
    <w:rsid w:val="00902846"/>
    <w:rsid w:val="00902EFC"/>
    <w:rsid w:val="00903E4A"/>
    <w:rsid w:val="00905EA9"/>
    <w:rsid w:val="0090605A"/>
    <w:rsid w:val="009060A5"/>
    <w:rsid w:val="009068C9"/>
    <w:rsid w:val="0090705D"/>
    <w:rsid w:val="00907115"/>
    <w:rsid w:val="00907209"/>
    <w:rsid w:val="00907513"/>
    <w:rsid w:val="00910210"/>
    <w:rsid w:val="009109C8"/>
    <w:rsid w:val="0091141C"/>
    <w:rsid w:val="009118EE"/>
    <w:rsid w:val="00912DF5"/>
    <w:rsid w:val="00912E0A"/>
    <w:rsid w:val="0091342F"/>
    <w:rsid w:val="00913D34"/>
    <w:rsid w:val="00914623"/>
    <w:rsid w:val="00914EA7"/>
    <w:rsid w:val="00916197"/>
    <w:rsid w:val="009165A7"/>
    <w:rsid w:val="00917116"/>
    <w:rsid w:val="00917805"/>
    <w:rsid w:val="00920491"/>
    <w:rsid w:val="00921700"/>
    <w:rsid w:val="0092171E"/>
    <w:rsid w:val="00922141"/>
    <w:rsid w:val="00922B19"/>
    <w:rsid w:val="00922F04"/>
    <w:rsid w:val="009239A1"/>
    <w:rsid w:val="0092451B"/>
    <w:rsid w:val="009247A0"/>
    <w:rsid w:val="00924AF6"/>
    <w:rsid w:val="00924EEF"/>
    <w:rsid w:val="00924FE7"/>
    <w:rsid w:val="009258A2"/>
    <w:rsid w:val="00925CBE"/>
    <w:rsid w:val="009265F9"/>
    <w:rsid w:val="009268E2"/>
    <w:rsid w:val="00926B9A"/>
    <w:rsid w:val="009270FE"/>
    <w:rsid w:val="009271D0"/>
    <w:rsid w:val="00927A7A"/>
    <w:rsid w:val="00927A8B"/>
    <w:rsid w:val="00927B49"/>
    <w:rsid w:val="00927E1D"/>
    <w:rsid w:val="00927F02"/>
    <w:rsid w:val="0093055F"/>
    <w:rsid w:val="00930817"/>
    <w:rsid w:val="009308DB"/>
    <w:rsid w:val="00931528"/>
    <w:rsid w:val="009317AA"/>
    <w:rsid w:val="0093202C"/>
    <w:rsid w:val="009322D9"/>
    <w:rsid w:val="00932867"/>
    <w:rsid w:val="00932E47"/>
    <w:rsid w:val="00933610"/>
    <w:rsid w:val="00933987"/>
    <w:rsid w:val="009339C1"/>
    <w:rsid w:val="00933C24"/>
    <w:rsid w:val="009340A2"/>
    <w:rsid w:val="00934BDB"/>
    <w:rsid w:val="00934F04"/>
    <w:rsid w:val="0093542F"/>
    <w:rsid w:val="00936395"/>
    <w:rsid w:val="00936BB3"/>
    <w:rsid w:val="00936DD1"/>
    <w:rsid w:val="009371BA"/>
    <w:rsid w:val="00937A7D"/>
    <w:rsid w:val="0094162B"/>
    <w:rsid w:val="00941843"/>
    <w:rsid w:val="00941C2D"/>
    <w:rsid w:val="00941F65"/>
    <w:rsid w:val="00942368"/>
    <w:rsid w:val="009430BC"/>
    <w:rsid w:val="00943276"/>
    <w:rsid w:val="009433BC"/>
    <w:rsid w:val="009433C2"/>
    <w:rsid w:val="009436E7"/>
    <w:rsid w:val="0094380A"/>
    <w:rsid w:val="009441C4"/>
    <w:rsid w:val="0094439F"/>
    <w:rsid w:val="00944530"/>
    <w:rsid w:val="00945ED3"/>
    <w:rsid w:val="00947028"/>
    <w:rsid w:val="00947A01"/>
    <w:rsid w:val="00950950"/>
    <w:rsid w:val="00950EE5"/>
    <w:rsid w:val="0095111B"/>
    <w:rsid w:val="00951204"/>
    <w:rsid w:val="00951A7A"/>
    <w:rsid w:val="0095353C"/>
    <w:rsid w:val="00953D16"/>
    <w:rsid w:val="00953FBD"/>
    <w:rsid w:val="00954485"/>
    <w:rsid w:val="009548F5"/>
    <w:rsid w:val="00954A0C"/>
    <w:rsid w:val="00955138"/>
    <w:rsid w:val="00955AA6"/>
    <w:rsid w:val="00955C81"/>
    <w:rsid w:val="00955DE2"/>
    <w:rsid w:val="00955F25"/>
    <w:rsid w:val="00956ECE"/>
    <w:rsid w:val="00960612"/>
    <w:rsid w:val="0096066C"/>
    <w:rsid w:val="00960B47"/>
    <w:rsid w:val="00960B92"/>
    <w:rsid w:val="00961C3F"/>
    <w:rsid w:val="00962601"/>
    <w:rsid w:val="00962BBD"/>
    <w:rsid w:val="00962D2C"/>
    <w:rsid w:val="0096378F"/>
    <w:rsid w:val="00964668"/>
    <w:rsid w:val="00964E1D"/>
    <w:rsid w:val="00964F0A"/>
    <w:rsid w:val="00965272"/>
    <w:rsid w:val="00965D27"/>
    <w:rsid w:val="00966663"/>
    <w:rsid w:val="009669E5"/>
    <w:rsid w:val="00966C7A"/>
    <w:rsid w:val="00967868"/>
    <w:rsid w:val="00967FAE"/>
    <w:rsid w:val="00970366"/>
    <w:rsid w:val="009704C1"/>
    <w:rsid w:val="00971683"/>
    <w:rsid w:val="0097193A"/>
    <w:rsid w:val="00971A2C"/>
    <w:rsid w:val="00971D22"/>
    <w:rsid w:val="009720F9"/>
    <w:rsid w:val="009721E6"/>
    <w:rsid w:val="00972A1C"/>
    <w:rsid w:val="00973383"/>
    <w:rsid w:val="00973707"/>
    <w:rsid w:val="00973785"/>
    <w:rsid w:val="00973973"/>
    <w:rsid w:val="00973B8E"/>
    <w:rsid w:val="00973D2F"/>
    <w:rsid w:val="00974150"/>
    <w:rsid w:val="009742FC"/>
    <w:rsid w:val="00974E3F"/>
    <w:rsid w:val="00974F0C"/>
    <w:rsid w:val="00975344"/>
    <w:rsid w:val="00975CA2"/>
    <w:rsid w:val="00975F7F"/>
    <w:rsid w:val="009766CF"/>
    <w:rsid w:val="009769DE"/>
    <w:rsid w:val="00976BDB"/>
    <w:rsid w:val="009771D1"/>
    <w:rsid w:val="0097764A"/>
    <w:rsid w:val="009807C6"/>
    <w:rsid w:val="00981540"/>
    <w:rsid w:val="0098182F"/>
    <w:rsid w:val="00982452"/>
    <w:rsid w:val="0098245F"/>
    <w:rsid w:val="00984396"/>
    <w:rsid w:val="00984A5C"/>
    <w:rsid w:val="00984ABB"/>
    <w:rsid w:val="00985397"/>
    <w:rsid w:val="00985B99"/>
    <w:rsid w:val="009867CD"/>
    <w:rsid w:val="009868DB"/>
    <w:rsid w:val="00986D41"/>
    <w:rsid w:val="00986FA9"/>
    <w:rsid w:val="0098713F"/>
    <w:rsid w:val="0098757C"/>
    <w:rsid w:val="0098778D"/>
    <w:rsid w:val="00987C20"/>
    <w:rsid w:val="00987E4A"/>
    <w:rsid w:val="00987F52"/>
    <w:rsid w:val="00990757"/>
    <w:rsid w:val="00991026"/>
    <w:rsid w:val="00991C37"/>
    <w:rsid w:val="00991D59"/>
    <w:rsid w:val="00991D8A"/>
    <w:rsid w:val="009921F0"/>
    <w:rsid w:val="0099270E"/>
    <w:rsid w:val="00994E26"/>
    <w:rsid w:val="009959AD"/>
    <w:rsid w:val="00995A7F"/>
    <w:rsid w:val="00995B12"/>
    <w:rsid w:val="009965F1"/>
    <w:rsid w:val="0099694B"/>
    <w:rsid w:val="00996DFF"/>
    <w:rsid w:val="009A0BD7"/>
    <w:rsid w:val="009A0C4E"/>
    <w:rsid w:val="009A0C83"/>
    <w:rsid w:val="009A1317"/>
    <w:rsid w:val="009A1662"/>
    <w:rsid w:val="009A1A9B"/>
    <w:rsid w:val="009A25DE"/>
    <w:rsid w:val="009A2864"/>
    <w:rsid w:val="009A29A0"/>
    <w:rsid w:val="009A2E43"/>
    <w:rsid w:val="009A2EC9"/>
    <w:rsid w:val="009A3874"/>
    <w:rsid w:val="009A4399"/>
    <w:rsid w:val="009A455A"/>
    <w:rsid w:val="009A46D8"/>
    <w:rsid w:val="009A47E2"/>
    <w:rsid w:val="009A4B3E"/>
    <w:rsid w:val="009A6E08"/>
    <w:rsid w:val="009A7A38"/>
    <w:rsid w:val="009A7DA8"/>
    <w:rsid w:val="009A7DF2"/>
    <w:rsid w:val="009B09F5"/>
    <w:rsid w:val="009B0BFE"/>
    <w:rsid w:val="009B0E38"/>
    <w:rsid w:val="009B24A7"/>
    <w:rsid w:val="009B25C7"/>
    <w:rsid w:val="009B2CA6"/>
    <w:rsid w:val="009B355E"/>
    <w:rsid w:val="009B3733"/>
    <w:rsid w:val="009B441C"/>
    <w:rsid w:val="009B4D6A"/>
    <w:rsid w:val="009B511B"/>
    <w:rsid w:val="009B526D"/>
    <w:rsid w:val="009B591B"/>
    <w:rsid w:val="009B5985"/>
    <w:rsid w:val="009B627A"/>
    <w:rsid w:val="009B688D"/>
    <w:rsid w:val="009B6CE4"/>
    <w:rsid w:val="009C001E"/>
    <w:rsid w:val="009C083D"/>
    <w:rsid w:val="009C0EAF"/>
    <w:rsid w:val="009C0FFD"/>
    <w:rsid w:val="009C17A1"/>
    <w:rsid w:val="009C1D1D"/>
    <w:rsid w:val="009C2C58"/>
    <w:rsid w:val="009C3801"/>
    <w:rsid w:val="009C3D16"/>
    <w:rsid w:val="009C3DD6"/>
    <w:rsid w:val="009C40BC"/>
    <w:rsid w:val="009C41F8"/>
    <w:rsid w:val="009C4291"/>
    <w:rsid w:val="009C43C7"/>
    <w:rsid w:val="009C44E7"/>
    <w:rsid w:val="009C4702"/>
    <w:rsid w:val="009C5582"/>
    <w:rsid w:val="009C6159"/>
    <w:rsid w:val="009C621C"/>
    <w:rsid w:val="009C68BF"/>
    <w:rsid w:val="009C7083"/>
    <w:rsid w:val="009C77F5"/>
    <w:rsid w:val="009C7899"/>
    <w:rsid w:val="009C7D6A"/>
    <w:rsid w:val="009D30AF"/>
    <w:rsid w:val="009D3244"/>
    <w:rsid w:val="009D37EA"/>
    <w:rsid w:val="009D3A9B"/>
    <w:rsid w:val="009D4001"/>
    <w:rsid w:val="009D43DF"/>
    <w:rsid w:val="009D50E7"/>
    <w:rsid w:val="009D5501"/>
    <w:rsid w:val="009D5BF9"/>
    <w:rsid w:val="009D5D1A"/>
    <w:rsid w:val="009D680F"/>
    <w:rsid w:val="009D6C50"/>
    <w:rsid w:val="009D6EDB"/>
    <w:rsid w:val="009D74DA"/>
    <w:rsid w:val="009D7989"/>
    <w:rsid w:val="009D7A90"/>
    <w:rsid w:val="009E16C0"/>
    <w:rsid w:val="009E1C5C"/>
    <w:rsid w:val="009E1E65"/>
    <w:rsid w:val="009E2055"/>
    <w:rsid w:val="009E2256"/>
    <w:rsid w:val="009E283E"/>
    <w:rsid w:val="009E2BBD"/>
    <w:rsid w:val="009E3605"/>
    <w:rsid w:val="009E37F8"/>
    <w:rsid w:val="009E42EE"/>
    <w:rsid w:val="009E431C"/>
    <w:rsid w:val="009E4A27"/>
    <w:rsid w:val="009E4FA0"/>
    <w:rsid w:val="009E563E"/>
    <w:rsid w:val="009E5CC6"/>
    <w:rsid w:val="009E5DCC"/>
    <w:rsid w:val="009E64F5"/>
    <w:rsid w:val="009E655E"/>
    <w:rsid w:val="009E718A"/>
    <w:rsid w:val="009E7D0C"/>
    <w:rsid w:val="009E7D4D"/>
    <w:rsid w:val="009E7DDE"/>
    <w:rsid w:val="009E7F67"/>
    <w:rsid w:val="009F0653"/>
    <w:rsid w:val="009F1084"/>
    <w:rsid w:val="009F1550"/>
    <w:rsid w:val="009F19E9"/>
    <w:rsid w:val="009F1F3F"/>
    <w:rsid w:val="009F27F1"/>
    <w:rsid w:val="009F2B54"/>
    <w:rsid w:val="009F2FB6"/>
    <w:rsid w:val="009F3079"/>
    <w:rsid w:val="009F3320"/>
    <w:rsid w:val="009F362C"/>
    <w:rsid w:val="009F3AD0"/>
    <w:rsid w:val="009F3BF5"/>
    <w:rsid w:val="009F3CF4"/>
    <w:rsid w:val="009F3E44"/>
    <w:rsid w:val="009F45B7"/>
    <w:rsid w:val="009F4D25"/>
    <w:rsid w:val="009F5262"/>
    <w:rsid w:val="009F5C0F"/>
    <w:rsid w:val="009F7706"/>
    <w:rsid w:val="009F78B4"/>
    <w:rsid w:val="009F7ABC"/>
    <w:rsid w:val="009F7C08"/>
    <w:rsid w:val="00A01197"/>
    <w:rsid w:val="00A015C8"/>
    <w:rsid w:val="00A01C72"/>
    <w:rsid w:val="00A0239C"/>
    <w:rsid w:val="00A024F7"/>
    <w:rsid w:val="00A026D1"/>
    <w:rsid w:val="00A02850"/>
    <w:rsid w:val="00A03C89"/>
    <w:rsid w:val="00A03DC9"/>
    <w:rsid w:val="00A045D1"/>
    <w:rsid w:val="00A0483F"/>
    <w:rsid w:val="00A04CFA"/>
    <w:rsid w:val="00A0575F"/>
    <w:rsid w:val="00A05C8B"/>
    <w:rsid w:val="00A06927"/>
    <w:rsid w:val="00A07646"/>
    <w:rsid w:val="00A10C90"/>
    <w:rsid w:val="00A114D6"/>
    <w:rsid w:val="00A11C6E"/>
    <w:rsid w:val="00A12B66"/>
    <w:rsid w:val="00A12EBD"/>
    <w:rsid w:val="00A12ECF"/>
    <w:rsid w:val="00A136CD"/>
    <w:rsid w:val="00A13C75"/>
    <w:rsid w:val="00A13D97"/>
    <w:rsid w:val="00A14679"/>
    <w:rsid w:val="00A15371"/>
    <w:rsid w:val="00A15696"/>
    <w:rsid w:val="00A1589A"/>
    <w:rsid w:val="00A159E2"/>
    <w:rsid w:val="00A16FFF"/>
    <w:rsid w:val="00A17954"/>
    <w:rsid w:val="00A17B89"/>
    <w:rsid w:val="00A201CF"/>
    <w:rsid w:val="00A20B73"/>
    <w:rsid w:val="00A2220F"/>
    <w:rsid w:val="00A22433"/>
    <w:rsid w:val="00A232F8"/>
    <w:rsid w:val="00A236A9"/>
    <w:rsid w:val="00A24751"/>
    <w:rsid w:val="00A247B4"/>
    <w:rsid w:val="00A248E2"/>
    <w:rsid w:val="00A25173"/>
    <w:rsid w:val="00A25F2C"/>
    <w:rsid w:val="00A2636C"/>
    <w:rsid w:val="00A26662"/>
    <w:rsid w:val="00A2674E"/>
    <w:rsid w:val="00A2675F"/>
    <w:rsid w:val="00A26B18"/>
    <w:rsid w:val="00A2757B"/>
    <w:rsid w:val="00A27BBC"/>
    <w:rsid w:val="00A30C4C"/>
    <w:rsid w:val="00A30E19"/>
    <w:rsid w:val="00A31125"/>
    <w:rsid w:val="00A320B1"/>
    <w:rsid w:val="00A325F5"/>
    <w:rsid w:val="00A33695"/>
    <w:rsid w:val="00A3376F"/>
    <w:rsid w:val="00A33C55"/>
    <w:rsid w:val="00A34026"/>
    <w:rsid w:val="00A34F6B"/>
    <w:rsid w:val="00A369B8"/>
    <w:rsid w:val="00A369C3"/>
    <w:rsid w:val="00A37988"/>
    <w:rsid w:val="00A379B5"/>
    <w:rsid w:val="00A37A04"/>
    <w:rsid w:val="00A37E54"/>
    <w:rsid w:val="00A402A8"/>
    <w:rsid w:val="00A41661"/>
    <w:rsid w:val="00A4258D"/>
    <w:rsid w:val="00A42617"/>
    <w:rsid w:val="00A4281F"/>
    <w:rsid w:val="00A428AD"/>
    <w:rsid w:val="00A43070"/>
    <w:rsid w:val="00A4309F"/>
    <w:rsid w:val="00A4319E"/>
    <w:rsid w:val="00A4374E"/>
    <w:rsid w:val="00A44410"/>
    <w:rsid w:val="00A4471E"/>
    <w:rsid w:val="00A447A6"/>
    <w:rsid w:val="00A4497F"/>
    <w:rsid w:val="00A44F6A"/>
    <w:rsid w:val="00A45B3E"/>
    <w:rsid w:val="00A47823"/>
    <w:rsid w:val="00A47D7B"/>
    <w:rsid w:val="00A50EB7"/>
    <w:rsid w:val="00A51AA9"/>
    <w:rsid w:val="00A5221E"/>
    <w:rsid w:val="00A53185"/>
    <w:rsid w:val="00A532F5"/>
    <w:rsid w:val="00A53C11"/>
    <w:rsid w:val="00A5427A"/>
    <w:rsid w:val="00A54BF7"/>
    <w:rsid w:val="00A5527A"/>
    <w:rsid w:val="00A55C70"/>
    <w:rsid w:val="00A5627D"/>
    <w:rsid w:val="00A56F0F"/>
    <w:rsid w:val="00A5785B"/>
    <w:rsid w:val="00A60195"/>
    <w:rsid w:val="00A605B3"/>
    <w:rsid w:val="00A61993"/>
    <w:rsid w:val="00A61A64"/>
    <w:rsid w:val="00A62549"/>
    <w:rsid w:val="00A63074"/>
    <w:rsid w:val="00A635D8"/>
    <w:rsid w:val="00A6394C"/>
    <w:rsid w:val="00A64421"/>
    <w:rsid w:val="00A648C2"/>
    <w:rsid w:val="00A65255"/>
    <w:rsid w:val="00A66218"/>
    <w:rsid w:val="00A6683C"/>
    <w:rsid w:val="00A66EC6"/>
    <w:rsid w:val="00A6706B"/>
    <w:rsid w:val="00A672A8"/>
    <w:rsid w:val="00A675D9"/>
    <w:rsid w:val="00A67A08"/>
    <w:rsid w:val="00A67F6E"/>
    <w:rsid w:val="00A700A3"/>
    <w:rsid w:val="00A70159"/>
    <w:rsid w:val="00A70245"/>
    <w:rsid w:val="00A70410"/>
    <w:rsid w:val="00A707F3"/>
    <w:rsid w:val="00A71080"/>
    <w:rsid w:val="00A710EC"/>
    <w:rsid w:val="00A712E1"/>
    <w:rsid w:val="00A71526"/>
    <w:rsid w:val="00A72DF3"/>
    <w:rsid w:val="00A73282"/>
    <w:rsid w:val="00A7376F"/>
    <w:rsid w:val="00A74623"/>
    <w:rsid w:val="00A74B40"/>
    <w:rsid w:val="00A74D8D"/>
    <w:rsid w:val="00A75338"/>
    <w:rsid w:val="00A755F0"/>
    <w:rsid w:val="00A762C2"/>
    <w:rsid w:val="00A76381"/>
    <w:rsid w:val="00A7681F"/>
    <w:rsid w:val="00A77075"/>
    <w:rsid w:val="00A7708A"/>
    <w:rsid w:val="00A772B4"/>
    <w:rsid w:val="00A774C1"/>
    <w:rsid w:val="00A7787F"/>
    <w:rsid w:val="00A779E9"/>
    <w:rsid w:val="00A77DB7"/>
    <w:rsid w:val="00A77DF5"/>
    <w:rsid w:val="00A801A9"/>
    <w:rsid w:val="00A80A02"/>
    <w:rsid w:val="00A80C2E"/>
    <w:rsid w:val="00A80F68"/>
    <w:rsid w:val="00A810D4"/>
    <w:rsid w:val="00A81397"/>
    <w:rsid w:val="00A81DF0"/>
    <w:rsid w:val="00A8223D"/>
    <w:rsid w:val="00A82336"/>
    <w:rsid w:val="00A8273A"/>
    <w:rsid w:val="00A8286E"/>
    <w:rsid w:val="00A82F95"/>
    <w:rsid w:val="00A8318E"/>
    <w:rsid w:val="00A8405E"/>
    <w:rsid w:val="00A840BE"/>
    <w:rsid w:val="00A840D5"/>
    <w:rsid w:val="00A85CE0"/>
    <w:rsid w:val="00A85E91"/>
    <w:rsid w:val="00A86139"/>
    <w:rsid w:val="00A86E60"/>
    <w:rsid w:val="00A86EB4"/>
    <w:rsid w:val="00A87FF1"/>
    <w:rsid w:val="00A9000F"/>
    <w:rsid w:val="00A90BDF"/>
    <w:rsid w:val="00A90EAE"/>
    <w:rsid w:val="00A91267"/>
    <w:rsid w:val="00A92733"/>
    <w:rsid w:val="00A92CFF"/>
    <w:rsid w:val="00A92F0D"/>
    <w:rsid w:val="00A94F5F"/>
    <w:rsid w:val="00A94FBC"/>
    <w:rsid w:val="00A95150"/>
    <w:rsid w:val="00A9559C"/>
    <w:rsid w:val="00A95FD0"/>
    <w:rsid w:val="00A9691F"/>
    <w:rsid w:val="00A97932"/>
    <w:rsid w:val="00A97C62"/>
    <w:rsid w:val="00A97DCA"/>
    <w:rsid w:val="00AA02BE"/>
    <w:rsid w:val="00AA1A18"/>
    <w:rsid w:val="00AA1B66"/>
    <w:rsid w:val="00AA2144"/>
    <w:rsid w:val="00AA3189"/>
    <w:rsid w:val="00AA42A1"/>
    <w:rsid w:val="00AA5019"/>
    <w:rsid w:val="00AA515F"/>
    <w:rsid w:val="00AA54D4"/>
    <w:rsid w:val="00AA5812"/>
    <w:rsid w:val="00AA629F"/>
    <w:rsid w:val="00AA6A66"/>
    <w:rsid w:val="00AA6BC1"/>
    <w:rsid w:val="00AA72D7"/>
    <w:rsid w:val="00AA7658"/>
    <w:rsid w:val="00AB01A1"/>
    <w:rsid w:val="00AB01BE"/>
    <w:rsid w:val="00AB0412"/>
    <w:rsid w:val="00AB0885"/>
    <w:rsid w:val="00AB1C4B"/>
    <w:rsid w:val="00AB2389"/>
    <w:rsid w:val="00AB2C97"/>
    <w:rsid w:val="00AB2F46"/>
    <w:rsid w:val="00AB3069"/>
    <w:rsid w:val="00AB393F"/>
    <w:rsid w:val="00AB3FE1"/>
    <w:rsid w:val="00AB4173"/>
    <w:rsid w:val="00AB4766"/>
    <w:rsid w:val="00AB4E51"/>
    <w:rsid w:val="00AB5C94"/>
    <w:rsid w:val="00AB63E5"/>
    <w:rsid w:val="00AB6610"/>
    <w:rsid w:val="00AB667E"/>
    <w:rsid w:val="00AB67AA"/>
    <w:rsid w:val="00AB6C61"/>
    <w:rsid w:val="00AB70B2"/>
    <w:rsid w:val="00AB7835"/>
    <w:rsid w:val="00AB7B8D"/>
    <w:rsid w:val="00AB7EF6"/>
    <w:rsid w:val="00AC06B8"/>
    <w:rsid w:val="00AC0C9F"/>
    <w:rsid w:val="00AC0D56"/>
    <w:rsid w:val="00AC0F2C"/>
    <w:rsid w:val="00AC14E2"/>
    <w:rsid w:val="00AC1F38"/>
    <w:rsid w:val="00AC279D"/>
    <w:rsid w:val="00AC3054"/>
    <w:rsid w:val="00AC4299"/>
    <w:rsid w:val="00AC4491"/>
    <w:rsid w:val="00AC48EB"/>
    <w:rsid w:val="00AC4B34"/>
    <w:rsid w:val="00AC4E3A"/>
    <w:rsid w:val="00AC4F7C"/>
    <w:rsid w:val="00AC5192"/>
    <w:rsid w:val="00AC5975"/>
    <w:rsid w:val="00AC5D72"/>
    <w:rsid w:val="00AC5F45"/>
    <w:rsid w:val="00AC6255"/>
    <w:rsid w:val="00AC6266"/>
    <w:rsid w:val="00AC654C"/>
    <w:rsid w:val="00AC6570"/>
    <w:rsid w:val="00AC6619"/>
    <w:rsid w:val="00AC6E5A"/>
    <w:rsid w:val="00AC6FE7"/>
    <w:rsid w:val="00AC7107"/>
    <w:rsid w:val="00AD061B"/>
    <w:rsid w:val="00AD0C6F"/>
    <w:rsid w:val="00AD1A08"/>
    <w:rsid w:val="00AD3155"/>
    <w:rsid w:val="00AD34B8"/>
    <w:rsid w:val="00AD4571"/>
    <w:rsid w:val="00AD5D61"/>
    <w:rsid w:val="00AD6772"/>
    <w:rsid w:val="00AD70F1"/>
    <w:rsid w:val="00AD7567"/>
    <w:rsid w:val="00AD7BF3"/>
    <w:rsid w:val="00AE047C"/>
    <w:rsid w:val="00AE04F9"/>
    <w:rsid w:val="00AE0C1B"/>
    <w:rsid w:val="00AE1CD7"/>
    <w:rsid w:val="00AE3D79"/>
    <w:rsid w:val="00AE43DC"/>
    <w:rsid w:val="00AE4D99"/>
    <w:rsid w:val="00AE6F57"/>
    <w:rsid w:val="00AE761E"/>
    <w:rsid w:val="00AE77AA"/>
    <w:rsid w:val="00AE7CD3"/>
    <w:rsid w:val="00AF003B"/>
    <w:rsid w:val="00AF07E2"/>
    <w:rsid w:val="00AF1037"/>
    <w:rsid w:val="00AF11D4"/>
    <w:rsid w:val="00AF195D"/>
    <w:rsid w:val="00AF1E50"/>
    <w:rsid w:val="00AF1F57"/>
    <w:rsid w:val="00AF2910"/>
    <w:rsid w:val="00AF2DE2"/>
    <w:rsid w:val="00AF37E5"/>
    <w:rsid w:val="00AF3C10"/>
    <w:rsid w:val="00AF3C69"/>
    <w:rsid w:val="00AF3D7A"/>
    <w:rsid w:val="00AF46F0"/>
    <w:rsid w:val="00AF473E"/>
    <w:rsid w:val="00AF4ED2"/>
    <w:rsid w:val="00AF540A"/>
    <w:rsid w:val="00AF61D0"/>
    <w:rsid w:val="00AF6219"/>
    <w:rsid w:val="00AF62BC"/>
    <w:rsid w:val="00AF672F"/>
    <w:rsid w:val="00AF6AF4"/>
    <w:rsid w:val="00AF6F2C"/>
    <w:rsid w:val="00AF7FA5"/>
    <w:rsid w:val="00B006E9"/>
    <w:rsid w:val="00B00D0F"/>
    <w:rsid w:val="00B00F74"/>
    <w:rsid w:val="00B01163"/>
    <w:rsid w:val="00B01919"/>
    <w:rsid w:val="00B024AD"/>
    <w:rsid w:val="00B024D7"/>
    <w:rsid w:val="00B0320E"/>
    <w:rsid w:val="00B03CD3"/>
    <w:rsid w:val="00B03D14"/>
    <w:rsid w:val="00B041A5"/>
    <w:rsid w:val="00B048F1"/>
    <w:rsid w:val="00B049B4"/>
    <w:rsid w:val="00B04A18"/>
    <w:rsid w:val="00B04D23"/>
    <w:rsid w:val="00B055FF"/>
    <w:rsid w:val="00B05654"/>
    <w:rsid w:val="00B057CA"/>
    <w:rsid w:val="00B06892"/>
    <w:rsid w:val="00B0698F"/>
    <w:rsid w:val="00B11505"/>
    <w:rsid w:val="00B1153C"/>
    <w:rsid w:val="00B11D0D"/>
    <w:rsid w:val="00B12173"/>
    <w:rsid w:val="00B12E10"/>
    <w:rsid w:val="00B12EA6"/>
    <w:rsid w:val="00B13924"/>
    <w:rsid w:val="00B13F06"/>
    <w:rsid w:val="00B14047"/>
    <w:rsid w:val="00B14253"/>
    <w:rsid w:val="00B145A2"/>
    <w:rsid w:val="00B14895"/>
    <w:rsid w:val="00B15072"/>
    <w:rsid w:val="00B15280"/>
    <w:rsid w:val="00B15569"/>
    <w:rsid w:val="00B15761"/>
    <w:rsid w:val="00B15DB6"/>
    <w:rsid w:val="00B15F2D"/>
    <w:rsid w:val="00B17100"/>
    <w:rsid w:val="00B171C0"/>
    <w:rsid w:val="00B17999"/>
    <w:rsid w:val="00B20317"/>
    <w:rsid w:val="00B203D1"/>
    <w:rsid w:val="00B20B4D"/>
    <w:rsid w:val="00B20E5D"/>
    <w:rsid w:val="00B212C5"/>
    <w:rsid w:val="00B21DE2"/>
    <w:rsid w:val="00B21E50"/>
    <w:rsid w:val="00B22110"/>
    <w:rsid w:val="00B2243E"/>
    <w:rsid w:val="00B22E27"/>
    <w:rsid w:val="00B22EF9"/>
    <w:rsid w:val="00B23005"/>
    <w:rsid w:val="00B23A0D"/>
    <w:rsid w:val="00B246B6"/>
    <w:rsid w:val="00B267A1"/>
    <w:rsid w:val="00B26927"/>
    <w:rsid w:val="00B30046"/>
    <w:rsid w:val="00B31D8A"/>
    <w:rsid w:val="00B32117"/>
    <w:rsid w:val="00B32AFB"/>
    <w:rsid w:val="00B34001"/>
    <w:rsid w:val="00B34B0B"/>
    <w:rsid w:val="00B34B77"/>
    <w:rsid w:val="00B34DD6"/>
    <w:rsid w:val="00B35F80"/>
    <w:rsid w:val="00B3602B"/>
    <w:rsid w:val="00B36BA6"/>
    <w:rsid w:val="00B36EAA"/>
    <w:rsid w:val="00B37876"/>
    <w:rsid w:val="00B4001F"/>
    <w:rsid w:val="00B404F3"/>
    <w:rsid w:val="00B41265"/>
    <w:rsid w:val="00B4177D"/>
    <w:rsid w:val="00B424A7"/>
    <w:rsid w:val="00B431BD"/>
    <w:rsid w:val="00B439B1"/>
    <w:rsid w:val="00B43C2A"/>
    <w:rsid w:val="00B43F29"/>
    <w:rsid w:val="00B4423C"/>
    <w:rsid w:val="00B442BD"/>
    <w:rsid w:val="00B446AF"/>
    <w:rsid w:val="00B44FD0"/>
    <w:rsid w:val="00B45075"/>
    <w:rsid w:val="00B4512A"/>
    <w:rsid w:val="00B45BCF"/>
    <w:rsid w:val="00B45F85"/>
    <w:rsid w:val="00B4613E"/>
    <w:rsid w:val="00B46E78"/>
    <w:rsid w:val="00B47F0C"/>
    <w:rsid w:val="00B50194"/>
    <w:rsid w:val="00B50D11"/>
    <w:rsid w:val="00B51C3F"/>
    <w:rsid w:val="00B51CC6"/>
    <w:rsid w:val="00B51F42"/>
    <w:rsid w:val="00B522A4"/>
    <w:rsid w:val="00B526AB"/>
    <w:rsid w:val="00B52872"/>
    <w:rsid w:val="00B52DE9"/>
    <w:rsid w:val="00B53030"/>
    <w:rsid w:val="00B53847"/>
    <w:rsid w:val="00B53939"/>
    <w:rsid w:val="00B53E7A"/>
    <w:rsid w:val="00B542AB"/>
    <w:rsid w:val="00B55208"/>
    <w:rsid w:val="00B569D1"/>
    <w:rsid w:val="00B57D32"/>
    <w:rsid w:val="00B61601"/>
    <w:rsid w:val="00B62635"/>
    <w:rsid w:val="00B64714"/>
    <w:rsid w:val="00B64EB6"/>
    <w:rsid w:val="00B65598"/>
    <w:rsid w:val="00B65BC1"/>
    <w:rsid w:val="00B65DD6"/>
    <w:rsid w:val="00B66126"/>
    <w:rsid w:val="00B66747"/>
    <w:rsid w:val="00B67F61"/>
    <w:rsid w:val="00B70114"/>
    <w:rsid w:val="00B704AB"/>
    <w:rsid w:val="00B71128"/>
    <w:rsid w:val="00B71CD5"/>
    <w:rsid w:val="00B71DAC"/>
    <w:rsid w:val="00B7281D"/>
    <w:rsid w:val="00B72E87"/>
    <w:rsid w:val="00B730C7"/>
    <w:rsid w:val="00B734C4"/>
    <w:rsid w:val="00B7350E"/>
    <w:rsid w:val="00B7367A"/>
    <w:rsid w:val="00B7446A"/>
    <w:rsid w:val="00B74792"/>
    <w:rsid w:val="00B74803"/>
    <w:rsid w:val="00B74827"/>
    <w:rsid w:val="00B74C75"/>
    <w:rsid w:val="00B74FFF"/>
    <w:rsid w:val="00B75318"/>
    <w:rsid w:val="00B7552A"/>
    <w:rsid w:val="00B7583B"/>
    <w:rsid w:val="00B759BA"/>
    <w:rsid w:val="00B75A69"/>
    <w:rsid w:val="00B764DD"/>
    <w:rsid w:val="00B7664C"/>
    <w:rsid w:val="00B76B08"/>
    <w:rsid w:val="00B76CD4"/>
    <w:rsid w:val="00B7761D"/>
    <w:rsid w:val="00B8057C"/>
    <w:rsid w:val="00B80B56"/>
    <w:rsid w:val="00B811B0"/>
    <w:rsid w:val="00B814CA"/>
    <w:rsid w:val="00B816A3"/>
    <w:rsid w:val="00B822A4"/>
    <w:rsid w:val="00B828CC"/>
    <w:rsid w:val="00B83834"/>
    <w:rsid w:val="00B83CF3"/>
    <w:rsid w:val="00B83D61"/>
    <w:rsid w:val="00B83DDE"/>
    <w:rsid w:val="00B846EC"/>
    <w:rsid w:val="00B8548A"/>
    <w:rsid w:val="00B8560C"/>
    <w:rsid w:val="00B856D5"/>
    <w:rsid w:val="00B8575F"/>
    <w:rsid w:val="00B857B8"/>
    <w:rsid w:val="00B85B8C"/>
    <w:rsid w:val="00B85F75"/>
    <w:rsid w:val="00B86114"/>
    <w:rsid w:val="00B86CA9"/>
    <w:rsid w:val="00B86D0D"/>
    <w:rsid w:val="00B87CDB"/>
    <w:rsid w:val="00B91440"/>
    <w:rsid w:val="00B918B1"/>
    <w:rsid w:val="00B92AAD"/>
    <w:rsid w:val="00B93FA1"/>
    <w:rsid w:val="00B94E68"/>
    <w:rsid w:val="00B94F66"/>
    <w:rsid w:val="00B962E2"/>
    <w:rsid w:val="00B96FBD"/>
    <w:rsid w:val="00B975AC"/>
    <w:rsid w:val="00B976B5"/>
    <w:rsid w:val="00B976CF"/>
    <w:rsid w:val="00B97B3A"/>
    <w:rsid w:val="00B97F1B"/>
    <w:rsid w:val="00BA05FE"/>
    <w:rsid w:val="00BA0E48"/>
    <w:rsid w:val="00BA1BF6"/>
    <w:rsid w:val="00BA1C6C"/>
    <w:rsid w:val="00BA242C"/>
    <w:rsid w:val="00BA2644"/>
    <w:rsid w:val="00BA2863"/>
    <w:rsid w:val="00BA2A4A"/>
    <w:rsid w:val="00BA325A"/>
    <w:rsid w:val="00BA37A9"/>
    <w:rsid w:val="00BA4245"/>
    <w:rsid w:val="00BA4A8E"/>
    <w:rsid w:val="00BA5699"/>
    <w:rsid w:val="00BA58FE"/>
    <w:rsid w:val="00BA5960"/>
    <w:rsid w:val="00BA5C1F"/>
    <w:rsid w:val="00BA6384"/>
    <w:rsid w:val="00BA6E03"/>
    <w:rsid w:val="00BA7CE0"/>
    <w:rsid w:val="00BA7D08"/>
    <w:rsid w:val="00BA7D12"/>
    <w:rsid w:val="00BB0595"/>
    <w:rsid w:val="00BB0C11"/>
    <w:rsid w:val="00BB0C2B"/>
    <w:rsid w:val="00BB0CF4"/>
    <w:rsid w:val="00BB169C"/>
    <w:rsid w:val="00BB1DFE"/>
    <w:rsid w:val="00BB22D4"/>
    <w:rsid w:val="00BB24D6"/>
    <w:rsid w:val="00BB261F"/>
    <w:rsid w:val="00BB38AB"/>
    <w:rsid w:val="00BB3CBE"/>
    <w:rsid w:val="00BB4210"/>
    <w:rsid w:val="00BB459D"/>
    <w:rsid w:val="00BB50BB"/>
    <w:rsid w:val="00BB540F"/>
    <w:rsid w:val="00BB5B5D"/>
    <w:rsid w:val="00BB6397"/>
    <w:rsid w:val="00BB6834"/>
    <w:rsid w:val="00BB6B9C"/>
    <w:rsid w:val="00BB6F28"/>
    <w:rsid w:val="00BB73C8"/>
    <w:rsid w:val="00BB7E19"/>
    <w:rsid w:val="00BC068F"/>
    <w:rsid w:val="00BC0A7F"/>
    <w:rsid w:val="00BC1220"/>
    <w:rsid w:val="00BC136A"/>
    <w:rsid w:val="00BC288D"/>
    <w:rsid w:val="00BC2C58"/>
    <w:rsid w:val="00BC329F"/>
    <w:rsid w:val="00BC3A29"/>
    <w:rsid w:val="00BC3F13"/>
    <w:rsid w:val="00BC4057"/>
    <w:rsid w:val="00BC40B5"/>
    <w:rsid w:val="00BC43FD"/>
    <w:rsid w:val="00BC46B9"/>
    <w:rsid w:val="00BC47BF"/>
    <w:rsid w:val="00BC4A1D"/>
    <w:rsid w:val="00BC4CE8"/>
    <w:rsid w:val="00BC4DB9"/>
    <w:rsid w:val="00BC4F1C"/>
    <w:rsid w:val="00BC51F5"/>
    <w:rsid w:val="00BC604C"/>
    <w:rsid w:val="00BC61CD"/>
    <w:rsid w:val="00BC61F2"/>
    <w:rsid w:val="00BC64E2"/>
    <w:rsid w:val="00BC67C0"/>
    <w:rsid w:val="00BC6D17"/>
    <w:rsid w:val="00BC6F32"/>
    <w:rsid w:val="00BC6F41"/>
    <w:rsid w:val="00BC793E"/>
    <w:rsid w:val="00BC7CDB"/>
    <w:rsid w:val="00BC7E64"/>
    <w:rsid w:val="00BD0EF5"/>
    <w:rsid w:val="00BD1270"/>
    <w:rsid w:val="00BD1379"/>
    <w:rsid w:val="00BD1524"/>
    <w:rsid w:val="00BD1863"/>
    <w:rsid w:val="00BD23E6"/>
    <w:rsid w:val="00BD2FE7"/>
    <w:rsid w:val="00BD34D2"/>
    <w:rsid w:val="00BD36DE"/>
    <w:rsid w:val="00BD3B3B"/>
    <w:rsid w:val="00BD3FFB"/>
    <w:rsid w:val="00BD47F3"/>
    <w:rsid w:val="00BD4E13"/>
    <w:rsid w:val="00BD52C3"/>
    <w:rsid w:val="00BD5485"/>
    <w:rsid w:val="00BD5F43"/>
    <w:rsid w:val="00BD6294"/>
    <w:rsid w:val="00BD661B"/>
    <w:rsid w:val="00BD687C"/>
    <w:rsid w:val="00BD6DB9"/>
    <w:rsid w:val="00BD7419"/>
    <w:rsid w:val="00BD75D1"/>
    <w:rsid w:val="00BE0363"/>
    <w:rsid w:val="00BE03D0"/>
    <w:rsid w:val="00BE08DE"/>
    <w:rsid w:val="00BE0A45"/>
    <w:rsid w:val="00BE1233"/>
    <w:rsid w:val="00BE1277"/>
    <w:rsid w:val="00BE1311"/>
    <w:rsid w:val="00BE18A5"/>
    <w:rsid w:val="00BE19C2"/>
    <w:rsid w:val="00BE2273"/>
    <w:rsid w:val="00BE2659"/>
    <w:rsid w:val="00BE2B26"/>
    <w:rsid w:val="00BE358B"/>
    <w:rsid w:val="00BE4109"/>
    <w:rsid w:val="00BE447B"/>
    <w:rsid w:val="00BE4782"/>
    <w:rsid w:val="00BE47D8"/>
    <w:rsid w:val="00BE48B8"/>
    <w:rsid w:val="00BE4FD9"/>
    <w:rsid w:val="00BE5D73"/>
    <w:rsid w:val="00BE6AEE"/>
    <w:rsid w:val="00BE6C8F"/>
    <w:rsid w:val="00BE6DFE"/>
    <w:rsid w:val="00BE79AB"/>
    <w:rsid w:val="00BE7E1C"/>
    <w:rsid w:val="00BE7F18"/>
    <w:rsid w:val="00BF0637"/>
    <w:rsid w:val="00BF08E5"/>
    <w:rsid w:val="00BF10AC"/>
    <w:rsid w:val="00BF124A"/>
    <w:rsid w:val="00BF250E"/>
    <w:rsid w:val="00BF2A0A"/>
    <w:rsid w:val="00BF37A9"/>
    <w:rsid w:val="00BF3C23"/>
    <w:rsid w:val="00BF4084"/>
    <w:rsid w:val="00BF4770"/>
    <w:rsid w:val="00BF524B"/>
    <w:rsid w:val="00BF540A"/>
    <w:rsid w:val="00BF5777"/>
    <w:rsid w:val="00BF67D7"/>
    <w:rsid w:val="00BF680E"/>
    <w:rsid w:val="00BF6EC1"/>
    <w:rsid w:val="00BF7235"/>
    <w:rsid w:val="00BF7257"/>
    <w:rsid w:val="00BF7347"/>
    <w:rsid w:val="00BF7D6B"/>
    <w:rsid w:val="00C001FC"/>
    <w:rsid w:val="00C00E1F"/>
    <w:rsid w:val="00C01311"/>
    <w:rsid w:val="00C017D1"/>
    <w:rsid w:val="00C01E4F"/>
    <w:rsid w:val="00C02345"/>
    <w:rsid w:val="00C029BC"/>
    <w:rsid w:val="00C03563"/>
    <w:rsid w:val="00C03A98"/>
    <w:rsid w:val="00C043B0"/>
    <w:rsid w:val="00C04798"/>
    <w:rsid w:val="00C04D37"/>
    <w:rsid w:val="00C05941"/>
    <w:rsid w:val="00C06422"/>
    <w:rsid w:val="00C0657C"/>
    <w:rsid w:val="00C074C4"/>
    <w:rsid w:val="00C101C5"/>
    <w:rsid w:val="00C10CD4"/>
    <w:rsid w:val="00C10CEB"/>
    <w:rsid w:val="00C11025"/>
    <w:rsid w:val="00C112F8"/>
    <w:rsid w:val="00C11B8D"/>
    <w:rsid w:val="00C11CC7"/>
    <w:rsid w:val="00C11D7F"/>
    <w:rsid w:val="00C12AE0"/>
    <w:rsid w:val="00C12FEB"/>
    <w:rsid w:val="00C1357C"/>
    <w:rsid w:val="00C140C6"/>
    <w:rsid w:val="00C144EF"/>
    <w:rsid w:val="00C1534E"/>
    <w:rsid w:val="00C15C68"/>
    <w:rsid w:val="00C15EF5"/>
    <w:rsid w:val="00C16D4E"/>
    <w:rsid w:val="00C174D0"/>
    <w:rsid w:val="00C17A59"/>
    <w:rsid w:val="00C17C89"/>
    <w:rsid w:val="00C211DC"/>
    <w:rsid w:val="00C212E1"/>
    <w:rsid w:val="00C2135F"/>
    <w:rsid w:val="00C2149D"/>
    <w:rsid w:val="00C219A5"/>
    <w:rsid w:val="00C221BC"/>
    <w:rsid w:val="00C228BC"/>
    <w:rsid w:val="00C230E3"/>
    <w:rsid w:val="00C2336C"/>
    <w:rsid w:val="00C233C6"/>
    <w:rsid w:val="00C23D4E"/>
    <w:rsid w:val="00C24ED2"/>
    <w:rsid w:val="00C24F3F"/>
    <w:rsid w:val="00C25670"/>
    <w:rsid w:val="00C259E2"/>
    <w:rsid w:val="00C2636B"/>
    <w:rsid w:val="00C26C3A"/>
    <w:rsid w:val="00C277FB"/>
    <w:rsid w:val="00C27B03"/>
    <w:rsid w:val="00C27CEA"/>
    <w:rsid w:val="00C30639"/>
    <w:rsid w:val="00C306B3"/>
    <w:rsid w:val="00C306F6"/>
    <w:rsid w:val="00C3070C"/>
    <w:rsid w:val="00C3072C"/>
    <w:rsid w:val="00C30856"/>
    <w:rsid w:val="00C31777"/>
    <w:rsid w:val="00C3194E"/>
    <w:rsid w:val="00C31BBB"/>
    <w:rsid w:val="00C3220C"/>
    <w:rsid w:val="00C325AD"/>
    <w:rsid w:val="00C32F3B"/>
    <w:rsid w:val="00C33A0C"/>
    <w:rsid w:val="00C345ED"/>
    <w:rsid w:val="00C34837"/>
    <w:rsid w:val="00C348B3"/>
    <w:rsid w:val="00C34F38"/>
    <w:rsid w:val="00C3548F"/>
    <w:rsid w:val="00C356C8"/>
    <w:rsid w:val="00C35EDC"/>
    <w:rsid w:val="00C367B4"/>
    <w:rsid w:val="00C36B07"/>
    <w:rsid w:val="00C36B2D"/>
    <w:rsid w:val="00C37615"/>
    <w:rsid w:val="00C37B29"/>
    <w:rsid w:val="00C40D60"/>
    <w:rsid w:val="00C42089"/>
    <w:rsid w:val="00C42CBA"/>
    <w:rsid w:val="00C437E0"/>
    <w:rsid w:val="00C43A7D"/>
    <w:rsid w:val="00C4425F"/>
    <w:rsid w:val="00C44421"/>
    <w:rsid w:val="00C44A04"/>
    <w:rsid w:val="00C44C83"/>
    <w:rsid w:val="00C453BD"/>
    <w:rsid w:val="00C4623C"/>
    <w:rsid w:val="00C46DB1"/>
    <w:rsid w:val="00C4706F"/>
    <w:rsid w:val="00C4714F"/>
    <w:rsid w:val="00C471D8"/>
    <w:rsid w:val="00C47BD3"/>
    <w:rsid w:val="00C47E57"/>
    <w:rsid w:val="00C504D3"/>
    <w:rsid w:val="00C50D6C"/>
    <w:rsid w:val="00C51947"/>
    <w:rsid w:val="00C52499"/>
    <w:rsid w:val="00C536B3"/>
    <w:rsid w:val="00C53B22"/>
    <w:rsid w:val="00C53C4E"/>
    <w:rsid w:val="00C54012"/>
    <w:rsid w:val="00C54203"/>
    <w:rsid w:val="00C542A9"/>
    <w:rsid w:val="00C54763"/>
    <w:rsid w:val="00C55547"/>
    <w:rsid w:val="00C55649"/>
    <w:rsid w:val="00C563A1"/>
    <w:rsid w:val="00C568E7"/>
    <w:rsid w:val="00C576F8"/>
    <w:rsid w:val="00C57C27"/>
    <w:rsid w:val="00C57F07"/>
    <w:rsid w:val="00C604E5"/>
    <w:rsid w:val="00C604F5"/>
    <w:rsid w:val="00C610D0"/>
    <w:rsid w:val="00C61583"/>
    <w:rsid w:val="00C61F73"/>
    <w:rsid w:val="00C61FF5"/>
    <w:rsid w:val="00C62BD0"/>
    <w:rsid w:val="00C62CD3"/>
    <w:rsid w:val="00C635CF"/>
    <w:rsid w:val="00C635FD"/>
    <w:rsid w:val="00C63CBF"/>
    <w:rsid w:val="00C64027"/>
    <w:rsid w:val="00C66473"/>
    <w:rsid w:val="00C66E89"/>
    <w:rsid w:val="00C67004"/>
    <w:rsid w:val="00C679E4"/>
    <w:rsid w:val="00C7073E"/>
    <w:rsid w:val="00C707EE"/>
    <w:rsid w:val="00C70AA9"/>
    <w:rsid w:val="00C7103D"/>
    <w:rsid w:val="00C717A2"/>
    <w:rsid w:val="00C717C8"/>
    <w:rsid w:val="00C7187C"/>
    <w:rsid w:val="00C71AF2"/>
    <w:rsid w:val="00C71B86"/>
    <w:rsid w:val="00C71D62"/>
    <w:rsid w:val="00C723EA"/>
    <w:rsid w:val="00C72503"/>
    <w:rsid w:val="00C726CA"/>
    <w:rsid w:val="00C72B5D"/>
    <w:rsid w:val="00C731CE"/>
    <w:rsid w:val="00C74B10"/>
    <w:rsid w:val="00C75E70"/>
    <w:rsid w:val="00C766FA"/>
    <w:rsid w:val="00C76804"/>
    <w:rsid w:val="00C76E4A"/>
    <w:rsid w:val="00C76EBB"/>
    <w:rsid w:val="00C77224"/>
    <w:rsid w:val="00C80731"/>
    <w:rsid w:val="00C80791"/>
    <w:rsid w:val="00C80811"/>
    <w:rsid w:val="00C81AF5"/>
    <w:rsid w:val="00C81C8B"/>
    <w:rsid w:val="00C82285"/>
    <w:rsid w:val="00C82F83"/>
    <w:rsid w:val="00C839AF"/>
    <w:rsid w:val="00C84BAF"/>
    <w:rsid w:val="00C84C64"/>
    <w:rsid w:val="00C855E4"/>
    <w:rsid w:val="00C8571F"/>
    <w:rsid w:val="00C85A1E"/>
    <w:rsid w:val="00C85EAB"/>
    <w:rsid w:val="00C87795"/>
    <w:rsid w:val="00C87C55"/>
    <w:rsid w:val="00C87CEE"/>
    <w:rsid w:val="00C87E77"/>
    <w:rsid w:val="00C9009E"/>
    <w:rsid w:val="00C917B0"/>
    <w:rsid w:val="00C91885"/>
    <w:rsid w:val="00C91B75"/>
    <w:rsid w:val="00C91DC9"/>
    <w:rsid w:val="00C92F5E"/>
    <w:rsid w:val="00C9328A"/>
    <w:rsid w:val="00C9332F"/>
    <w:rsid w:val="00C93697"/>
    <w:rsid w:val="00C93FC2"/>
    <w:rsid w:val="00C941FF"/>
    <w:rsid w:val="00C94812"/>
    <w:rsid w:val="00C94AFD"/>
    <w:rsid w:val="00C95414"/>
    <w:rsid w:val="00C95DD7"/>
    <w:rsid w:val="00C95E48"/>
    <w:rsid w:val="00C960CE"/>
    <w:rsid w:val="00C9673B"/>
    <w:rsid w:val="00C973FB"/>
    <w:rsid w:val="00C9764D"/>
    <w:rsid w:val="00C97BF8"/>
    <w:rsid w:val="00CA0293"/>
    <w:rsid w:val="00CA0C40"/>
    <w:rsid w:val="00CA126C"/>
    <w:rsid w:val="00CA13B9"/>
    <w:rsid w:val="00CA21CA"/>
    <w:rsid w:val="00CA236C"/>
    <w:rsid w:val="00CA270D"/>
    <w:rsid w:val="00CA2E80"/>
    <w:rsid w:val="00CA2E92"/>
    <w:rsid w:val="00CA41FF"/>
    <w:rsid w:val="00CA4EB2"/>
    <w:rsid w:val="00CA61EE"/>
    <w:rsid w:val="00CA6F54"/>
    <w:rsid w:val="00CB08BE"/>
    <w:rsid w:val="00CB0A88"/>
    <w:rsid w:val="00CB0BF8"/>
    <w:rsid w:val="00CB1575"/>
    <w:rsid w:val="00CB1CAD"/>
    <w:rsid w:val="00CB1F27"/>
    <w:rsid w:val="00CB1FF6"/>
    <w:rsid w:val="00CB256D"/>
    <w:rsid w:val="00CB27B0"/>
    <w:rsid w:val="00CB3146"/>
    <w:rsid w:val="00CB3376"/>
    <w:rsid w:val="00CB38DD"/>
    <w:rsid w:val="00CB3C8D"/>
    <w:rsid w:val="00CB484B"/>
    <w:rsid w:val="00CB4E0C"/>
    <w:rsid w:val="00CB5059"/>
    <w:rsid w:val="00CB52F6"/>
    <w:rsid w:val="00CB616D"/>
    <w:rsid w:val="00CB6C8D"/>
    <w:rsid w:val="00CB6EE1"/>
    <w:rsid w:val="00CB7E6E"/>
    <w:rsid w:val="00CB7F46"/>
    <w:rsid w:val="00CC09F6"/>
    <w:rsid w:val="00CC112B"/>
    <w:rsid w:val="00CC2508"/>
    <w:rsid w:val="00CC26A6"/>
    <w:rsid w:val="00CC2B5B"/>
    <w:rsid w:val="00CC2F2F"/>
    <w:rsid w:val="00CC36BE"/>
    <w:rsid w:val="00CC47A1"/>
    <w:rsid w:val="00CC47F8"/>
    <w:rsid w:val="00CC4BFF"/>
    <w:rsid w:val="00CC4F4F"/>
    <w:rsid w:val="00CC4F94"/>
    <w:rsid w:val="00CC5DD2"/>
    <w:rsid w:val="00CC5F0A"/>
    <w:rsid w:val="00CC6448"/>
    <w:rsid w:val="00CC6811"/>
    <w:rsid w:val="00CC6A7B"/>
    <w:rsid w:val="00CC7195"/>
    <w:rsid w:val="00CC73DA"/>
    <w:rsid w:val="00CC7A11"/>
    <w:rsid w:val="00CD1325"/>
    <w:rsid w:val="00CD1420"/>
    <w:rsid w:val="00CD1B30"/>
    <w:rsid w:val="00CD2E20"/>
    <w:rsid w:val="00CD34CA"/>
    <w:rsid w:val="00CD35F2"/>
    <w:rsid w:val="00CD385E"/>
    <w:rsid w:val="00CD3F0E"/>
    <w:rsid w:val="00CD4356"/>
    <w:rsid w:val="00CD4364"/>
    <w:rsid w:val="00CD4466"/>
    <w:rsid w:val="00CD48E0"/>
    <w:rsid w:val="00CD6CEB"/>
    <w:rsid w:val="00CD71F1"/>
    <w:rsid w:val="00CD7623"/>
    <w:rsid w:val="00CD7D5B"/>
    <w:rsid w:val="00CD7ED8"/>
    <w:rsid w:val="00CE0141"/>
    <w:rsid w:val="00CE06E9"/>
    <w:rsid w:val="00CE1093"/>
    <w:rsid w:val="00CE2A31"/>
    <w:rsid w:val="00CE2B78"/>
    <w:rsid w:val="00CE31F7"/>
    <w:rsid w:val="00CE4182"/>
    <w:rsid w:val="00CE47AF"/>
    <w:rsid w:val="00CE4BEB"/>
    <w:rsid w:val="00CE4C49"/>
    <w:rsid w:val="00CE5006"/>
    <w:rsid w:val="00CE51FF"/>
    <w:rsid w:val="00CE5491"/>
    <w:rsid w:val="00CE5754"/>
    <w:rsid w:val="00CE5ACF"/>
    <w:rsid w:val="00CE66E5"/>
    <w:rsid w:val="00CE7221"/>
    <w:rsid w:val="00CE797B"/>
    <w:rsid w:val="00CE7F91"/>
    <w:rsid w:val="00CF0568"/>
    <w:rsid w:val="00CF103B"/>
    <w:rsid w:val="00CF1093"/>
    <w:rsid w:val="00CF206F"/>
    <w:rsid w:val="00CF2D64"/>
    <w:rsid w:val="00CF2EC4"/>
    <w:rsid w:val="00CF4AE8"/>
    <w:rsid w:val="00CF4C30"/>
    <w:rsid w:val="00CF5466"/>
    <w:rsid w:val="00CF5957"/>
    <w:rsid w:val="00CF66EB"/>
    <w:rsid w:val="00CF6B09"/>
    <w:rsid w:val="00CF6D85"/>
    <w:rsid w:val="00CF6F63"/>
    <w:rsid w:val="00D002E0"/>
    <w:rsid w:val="00D01445"/>
    <w:rsid w:val="00D01471"/>
    <w:rsid w:val="00D021AF"/>
    <w:rsid w:val="00D024BD"/>
    <w:rsid w:val="00D02770"/>
    <w:rsid w:val="00D02E89"/>
    <w:rsid w:val="00D054C0"/>
    <w:rsid w:val="00D057A6"/>
    <w:rsid w:val="00D05A94"/>
    <w:rsid w:val="00D06F70"/>
    <w:rsid w:val="00D07165"/>
    <w:rsid w:val="00D10012"/>
    <w:rsid w:val="00D10700"/>
    <w:rsid w:val="00D10A47"/>
    <w:rsid w:val="00D10B59"/>
    <w:rsid w:val="00D10D89"/>
    <w:rsid w:val="00D11D41"/>
    <w:rsid w:val="00D11E4C"/>
    <w:rsid w:val="00D1223C"/>
    <w:rsid w:val="00D12640"/>
    <w:rsid w:val="00D13483"/>
    <w:rsid w:val="00D14299"/>
    <w:rsid w:val="00D14A32"/>
    <w:rsid w:val="00D14B6D"/>
    <w:rsid w:val="00D14EE0"/>
    <w:rsid w:val="00D15808"/>
    <w:rsid w:val="00D15A90"/>
    <w:rsid w:val="00D15C7A"/>
    <w:rsid w:val="00D16076"/>
    <w:rsid w:val="00D16330"/>
    <w:rsid w:val="00D16380"/>
    <w:rsid w:val="00D1690D"/>
    <w:rsid w:val="00D16E19"/>
    <w:rsid w:val="00D16FBF"/>
    <w:rsid w:val="00D177A5"/>
    <w:rsid w:val="00D1786A"/>
    <w:rsid w:val="00D2018B"/>
    <w:rsid w:val="00D20799"/>
    <w:rsid w:val="00D209AF"/>
    <w:rsid w:val="00D20C67"/>
    <w:rsid w:val="00D212FE"/>
    <w:rsid w:val="00D21348"/>
    <w:rsid w:val="00D21548"/>
    <w:rsid w:val="00D21B29"/>
    <w:rsid w:val="00D23578"/>
    <w:rsid w:val="00D2428D"/>
    <w:rsid w:val="00D24331"/>
    <w:rsid w:val="00D2506C"/>
    <w:rsid w:val="00D25D8E"/>
    <w:rsid w:val="00D26E90"/>
    <w:rsid w:val="00D27F99"/>
    <w:rsid w:val="00D300D9"/>
    <w:rsid w:val="00D301B7"/>
    <w:rsid w:val="00D30602"/>
    <w:rsid w:val="00D30A68"/>
    <w:rsid w:val="00D30BE6"/>
    <w:rsid w:val="00D30BFD"/>
    <w:rsid w:val="00D30C04"/>
    <w:rsid w:val="00D314D5"/>
    <w:rsid w:val="00D318BC"/>
    <w:rsid w:val="00D31C7A"/>
    <w:rsid w:val="00D32447"/>
    <w:rsid w:val="00D333AC"/>
    <w:rsid w:val="00D33AA1"/>
    <w:rsid w:val="00D3431A"/>
    <w:rsid w:val="00D34F75"/>
    <w:rsid w:val="00D35656"/>
    <w:rsid w:val="00D35BD5"/>
    <w:rsid w:val="00D35C30"/>
    <w:rsid w:val="00D36501"/>
    <w:rsid w:val="00D3686E"/>
    <w:rsid w:val="00D372FF"/>
    <w:rsid w:val="00D4032B"/>
    <w:rsid w:val="00D40429"/>
    <w:rsid w:val="00D4056E"/>
    <w:rsid w:val="00D407ED"/>
    <w:rsid w:val="00D4097F"/>
    <w:rsid w:val="00D412C0"/>
    <w:rsid w:val="00D4194D"/>
    <w:rsid w:val="00D424CA"/>
    <w:rsid w:val="00D4260D"/>
    <w:rsid w:val="00D42942"/>
    <w:rsid w:val="00D42D0A"/>
    <w:rsid w:val="00D42EDE"/>
    <w:rsid w:val="00D4457C"/>
    <w:rsid w:val="00D44C3E"/>
    <w:rsid w:val="00D44F8B"/>
    <w:rsid w:val="00D4503D"/>
    <w:rsid w:val="00D459F5"/>
    <w:rsid w:val="00D45B15"/>
    <w:rsid w:val="00D45CDC"/>
    <w:rsid w:val="00D45E95"/>
    <w:rsid w:val="00D45EC3"/>
    <w:rsid w:val="00D46165"/>
    <w:rsid w:val="00D47551"/>
    <w:rsid w:val="00D47B2A"/>
    <w:rsid w:val="00D47CD7"/>
    <w:rsid w:val="00D501B0"/>
    <w:rsid w:val="00D50B38"/>
    <w:rsid w:val="00D51261"/>
    <w:rsid w:val="00D51A17"/>
    <w:rsid w:val="00D52011"/>
    <w:rsid w:val="00D52387"/>
    <w:rsid w:val="00D5285D"/>
    <w:rsid w:val="00D52A03"/>
    <w:rsid w:val="00D52FC3"/>
    <w:rsid w:val="00D52FEA"/>
    <w:rsid w:val="00D533DD"/>
    <w:rsid w:val="00D53774"/>
    <w:rsid w:val="00D5433B"/>
    <w:rsid w:val="00D548CD"/>
    <w:rsid w:val="00D54B79"/>
    <w:rsid w:val="00D54C42"/>
    <w:rsid w:val="00D550E7"/>
    <w:rsid w:val="00D55777"/>
    <w:rsid w:val="00D55DEC"/>
    <w:rsid w:val="00D56237"/>
    <w:rsid w:val="00D565E5"/>
    <w:rsid w:val="00D5668A"/>
    <w:rsid w:val="00D5689B"/>
    <w:rsid w:val="00D56AF5"/>
    <w:rsid w:val="00D57780"/>
    <w:rsid w:val="00D60004"/>
    <w:rsid w:val="00D6056C"/>
    <w:rsid w:val="00D60795"/>
    <w:rsid w:val="00D60F96"/>
    <w:rsid w:val="00D61651"/>
    <w:rsid w:val="00D61739"/>
    <w:rsid w:val="00D618CD"/>
    <w:rsid w:val="00D61BAA"/>
    <w:rsid w:val="00D61C25"/>
    <w:rsid w:val="00D63375"/>
    <w:rsid w:val="00D634CB"/>
    <w:rsid w:val="00D63744"/>
    <w:rsid w:val="00D63B16"/>
    <w:rsid w:val="00D645B2"/>
    <w:rsid w:val="00D6479D"/>
    <w:rsid w:val="00D6494A"/>
    <w:rsid w:val="00D64ADE"/>
    <w:rsid w:val="00D64B66"/>
    <w:rsid w:val="00D6590F"/>
    <w:rsid w:val="00D6607A"/>
    <w:rsid w:val="00D664B7"/>
    <w:rsid w:val="00D66CAA"/>
    <w:rsid w:val="00D66F87"/>
    <w:rsid w:val="00D67483"/>
    <w:rsid w:val="00D70AD1"/>
    <w:rsid w:val="00D70F07"/>
    <w:rsid w:val="00D71738"/>
    <w:rsid w:val="00D7242F"/>
    <w:rsid w:val="00D73092"/>
    <w:rsid w:val="00D731E3"/>
    <w:rsid w:val="00D73946"/>
    <w:rsid w:val="00D742A8"/>
    <w:rsid w:val="00D74308"/>
    <w:rsid w:val="00D751CD"/>
    <w:rsid w:val="00D7530A"/>
    <w:rsid w:val="00D75438"/>
    <w:rsid w:val="00D768D3"/>
    <w:rsid w:val="00D77799"/>
    <w:rsid w:val="00D8096D"/>
    <w:rsid w:val="00D81422"/>
    <w:rsid w:val="00D81C35"/>
    <w:rsid w:val="00D821E5"/>
    <w:rsid w:val="00D8254C"/>
    <w:rsid w:val="00D826AC"/>
    <w:rsid w:val="00D82913"/>
    <w:rsid w:val="00D82A45"/>
    <w:rsid w:val="00D82B60"/>
    <w:rsid w:val="00D8369E"/>
    <w:rsid w:val="00D8416E"/>
    <w:rsid w:val="00D844E4"/>
    <w:rsid w:val="00D84EB7"/>
    <w:rsid w:val="00D8545A"/>
    <w:rsid w:val="00D85AC7"/>
    <w:rsid w:val="00D8617F"/>
    <w:rsid w:val="00D87007"/>
    <w:rsid w:val="00D87269"/>
    <w:rsid w:val="00D87BAB"/>
    <w:rsid w:val="00D87CDF"/>
    <w:rsid w:val="00D9038C"/>
    <w:rsid w:val="00D90713"/>
    <w:rsid w:val="00D90BFF"/>
    <w:rsid w:val="00D911BE"/>
    <w:rsid w:val="00D91B70"/>
    <w:rsid w:val="00D91EA8"/>
    <w:rsid w:val="00D9233A"/>
    <w:rsid w:val="00D92396"/>
    <w:rsid w:val="00D924A5"/>
    <w:rsid w:val="00D93D51"/>
    <w:rsid w:val="00D9409F"/>
    <w:rsid w:val="00D94673"/>
    <w:rsid w:val="00D946DB"/>
    <w:rsid w:val="00D95045"/>
    <w:rsid w:val="00D95228"/>
    <w:rsid w:val="00D956C2"/>
    <w:rsid w:val="00D959BF"/>
    <w:rsid w:val="00D95B90"/>
    <w:rsid w:val="00D95E54"/>
    <w:rsid w:val="00D96132"/>
    <w:rsid w:val="00D967FA"/>
    <w:rsid w:val="00D96E61"/>
    <w:rsid w:val="00D9735E"/>
    <w:rsid w:val="00DA02FC"/>
    <w:rsid w:val="00DA040A"/>
    <w:rsid w:val="00DA09CD"/>
    <w:rsid w:val="00DA0B84"/>
    <w:rsid w:val="00DA0BDB"/>
    <w:rsid w:val="00DA0D0F"/>
    <w:rsid w:val="00DA0DB4"/>
    <w:rsid w:val="00DA0DD7"/>
    <w:rsid w:val="00DA1253"/>
    <w:rsid w:val="00DA1525"/>
    <w:rsid w:val="00DA1C28"/>
    <w:rsid w:val="00DA3B36"/>
    <w:rsid w:val="00DA3E72"/>
    <w:rsid w:val="00DA3FEB"/>
    <w:rsid w:val="00DA4727"/>
    <w:rsid w:val="00DA488C"/>
    <w:rsid w:val="00DA48F7"/>
    <w:rsid w:val="00DA4A2F"/>
    <w:rsid w:val="00DA4AAA"/>
    <w:rsid w:val="00DA4AAE"/>
    <w:rsid w:val="00DA4D9D"/>
    <w:rsid w:val="00DA5962"/>
    <w:rsid w:val="00DA5BEC"/>
    <w:rsid w:val="00DA6CB8"/>
    <w:rsid w:val="00DA77E1"/>
    <w:rsid w:val="00DA7C34"/>
    <w:rsid w:val="00DA7F01"/>
    <w:rsid w:val="00DB0274"/>
    <w:rsid w:val="00DB0AFB"/>
    <w:rsid w:val="00DB0D22"/>
    <w:rsid w:val="00DB0F07"/>
    <w:rsid w:val="00DB1114"/>
    <w:rsid w:val="00DB1B54"/>
    <w:rsid w:val="00DB2090"/>
    <w:rsid w:val="00DB2706"/>
    <w:rsid w:val="00DB2DD0"/>
    <w:rsid w:val="00DB3A28"/>
    <w:rsid w:val="00DB3A45"/>
    <w:rsid w:val="00DB3B68"/>
    <w:rsid w:val="00DB3EEA"/>
    <w:rsid w:val="00DB40CA"/>
    <w:rsid w:val="00DB4C59"/>
    <w:rsid w:val="00DB5503"/>
    <w:rsid w:val="00DB61BB"/>
    <w:rsid w:val="00DB6293"/>
    <w:rsid w:val="00DB75C7"/>
    <w:rsid w:val="00DC03E0"/>
    <w:rsid w:val="00DC0817"/>
    <w:rsid w:val="00DC09EA"/>
    <w:rsid w:val="00DC0A81"/>
    <w:rsid w:val="00DC1BB9"/>
    <w:rsid w:val="00DC1D19"/>
    <w:rsid w:val="00DC1E40"/>
    <w:rsid w:val="00DC1FD1"/>
    <w:rsid w:val="00DC2D05"/>
    <w:rsid w:val="00DC3A83"/>
    <w:rsid w:val="00DC3B38"/>
    <w:rsid w:val="00DC404F"/>
    <w:rsid w:val="00DC40DA"/>
    <w:rsid w:val="00DC4472"/>
    <w:rsid w:val="00DC4CE4"/>
    <w:rsid w:val="00DC5E8D"/>
    <w:rsid w:val="00DC5F81"/>
    <w:rsid w:val="00DC6048"/>
    <w:rsid w:val="00DC6414"/>
    <w:rsid w:val="00DD00B4"/>
    <w:rsid w:val="00DD077B"/>
    <w:rsid w:val="00DD07FF"/>
    <w:rsid w:val="00DD092D"/>
    <w:rsid w:val="00DD156E"/>
    <w:rsid w:val="00DD1906"/>
    <w:rsid w:val="00DD2C1E"/>
    <w:rsid w:val="00DD2E44"/>
    <w:rsid w:val="00DD3391"/>
    <w:rsid w:val="00DD3FAF"/>
    <w:rsid w:val="00DD41BE"/>
    <w:rsid w:val="00DD4CFC"/>
    <w:rsid w:val="00DD5395"/>
    <w:rsid w:val="00DD58BA"/>
    <w:rsid w:val="00DD5973"/>
    <w:rsid w:val="00DD5F87"/>
    <w:rsid w:val="00DD60DF"/>
    <w:rsid w:val="00DD68D8"/>
    <w:rsid w:val="00DD6D54"/>
    <w:rsid w:val="00DD6F35"/>
    <w:rsid w:val="00DD72AA"/>
    <w:rsid w:val="00DD791B"/>
    <w:rsid w:val="00DD7A1F"/>
    <w:rsid w:val="00DD7CC3"/>
    <w:rsid w:val="00DE0157"/>
    <w:rsid w:val="00DE0745"/>
    <w:rsid w:val="00DE08E6"/>
    <w:rsid w:val="00DE0962"/>
    <w:rsid w:val="00DE0EDA"/>
    <w:rsid w:val="00DE16FE"/>
    <w:rsid w:val="00DE21B5"/>
    <w:rsid w:val="00DE223B"/>
    <w:rsid w:val="00DE230A"/>
    <w:rsid w:val="00DE26F2"/>
    <w:rsid w:val="00DE2741"/>
    <w:rsid w:val="00DE31D8"/>
    <w:rsid w:val="00DE3389"/>
    <w:rsid w:val="00DE4001"/>
    <w:rsid w:val="00DE489B"/>
    <w:rsid w:val="00DE48EF"/>
    <w:rsid w:val="00DE4EF2"/>
    <w:rsid w:val="00DE583B"/>
    <w:rsid w:val="00DE588A"/>
    <w:rsid w:val="00DE5A31"/>
    <w:rsid w:val="00DE5A86"/>
    <w:rsid w:val="00DE64E7"/>
    <w:rsid w:val="00DE65B4"/>
    <w:rsid w:val="00DE6E2A"/>
    <w:rsid w:val="00DE73B4"/>
    <w:rsid w:val="00DE7B41"/>
    <w:rsid w:val="00DE7C81"/>
    <w:rsid w:val="00DF081C"/>
    <w:rsid w:val="00DF0BF5"/>
    <w:rsid w:val="00DF0EF2"/>
    <w:rsid w:val="00DF30EB"/>
    <w:rsid w:val="00DF4267"/>
    <w:rsid w:val="00DF4FF2"/>
    <w:rsid w:val="00DF5065"/>
    <w:rsid w:val="00DF550B"/>
    <w:rsid w:val="00DF5F18"/>
    <w:rsid w:val="00DF6546"/>
    <w:rsid w:val="00DF65DF"/>
    <w:rsid w:val="00DF6F94"/>
    <w:rsid w:val="00DF70AE"/>
    <w:rsid w:val="00DF7382"/>
    <w:rsid w:val="00E01263"/>
    <w:rsid w:val="00E0175F"/>
    <w:rsid w:val="00E01F19"/>
    <w:rsid w:val="00E01F9D"/>
    <w:rsid w:val="00E026FB"/>
    <w:rsid w:val="00E02F76"/>
    <w:rsid w:val="00E03E51"/>
    <w:rsid w:val="00E03E93"/>
    <w:rsid w:val="00E0477A"/>
    <w:rsid w:val="00E050F3"/>
    <w:rsid w:val="00E0513B"/>
    <w:rsid w:val="00E052A9"/>
    <w:rsid w:val="00E0639C"/>
    <w:rsid w:val="00E06587"/>
    <w:rsid w:val="00E06628"/>
    <w:rsid w:val="00E06724"/>
    <w:rsid w:val="00E06809"/>
    <w:rsid w:val="00E06E19"/>
    <w:rsid w:val="00E07495"/>
    <w:rsid w:val="00E07C8E"/>
    <w:rsid w:val="00E10726"/>
    <w:rsid w:val="00E10B85"/>
    <w:rsid w:val="00E114FA"/>
    <w:rsid w:val="00E11633"/>
    <w:rsid w:val="00E11F7B"/>
    <w:rsid w:val="00E120F4"/>
    <w:rsid w:val="00E1421C"/>
    <w:rsid w:val="00E143B8"/>
    <w:rsid w:val="00E143FD"/>
    <w:rsid w:val="00E14B3F"/>
    <w:rsid w:val="00E14C4D"/>
    <w:rsid w:val="00E15595"/>
    <w:rsid w:val="00E156DC"/>
    <w:rsid w:val="00E16498"/>
    <w:rsid w:val="00E1685B"/>
    <w:rsid w:val="00E1696D"/>
    <w:rsid w:val="00E1750A"/>
    <w:rsid w:val="00E202F0"/>
    <w:rsid w:val="00E20853"/>
    <w:rsid w:val="00E209F9"/>
    <w:rsid w:val="00E20F11"/>
    <w:rsid w:val="00E20F29"/>
    <w:rsid w:val="00E20FAC"/>
    <w:rsid w:val="00E2178E"/>
    <w:rsid w:val="00E226C2"/>
    <w:rsid w:val="00E22709"/>
    <w:rsid w:val="00E22CF7"/>
    <w:rsid w:val="00E2326A"/>
    <w:rsid w:val="00E2447E"/>
    <w:rsid w:val="00E249EF"/>
    <w:rsid w:val="00E25749"/>
    <w:rsid w:val="00E25862"/>
    <w:rsid w:val="00E26599"/>
    <w:rsid w:val="00E26CB6"/>
    <w:rsid w:val="00E273D9"/>
    <w:rsid w:val="00E27969"/>
    <w:rsid w:val="00E3011A"/>
    <w:rsid w:val="00E3279F"/>
    <w:rsid w:val="00E32BAE"/>
    <w:rsid w:val="00E32DA2"/>
    <w:rsid w:val="00E33586"/>
    <w:rsid w:val="00E33BF7"/>
    <w:rsid w:val="00E340D7"/>
    <w:rsid w:val="00E34533"/>
    <w:rsid w:val="00E35BF6"/>
    <w:rsid w:val="00E35C39"/>
    <w:rsid w:val="00E3657C"/>
    <w:rsid w:val="00E36B52"/>
    <w:rsid w:val="00E36C1C"/>
    <w:rsid w:val="00E373E2"/>
    <w:rsid w:val="00E40F04"/>
    <w:rsid w:val="00E41025"/>
    <w:rsid w:val="00E4108F"/>
    <w:rsid w:val="00E417D0"/>
    <w:rsid w:val="00E41A58"/>
    <w:rsid w:val="00E41CD8"/>
    <w:rsid w:val="00E41E4F"/>
    <w:rsid w:val="00E42A4D"/>
    <w:rsid w:val="00E435A2"/>
    <w:rsid w:val="00E438EB"/>
    <w:rsid w:val="00E43CD2"/>
    <w:rsid w:val="00E440D2"/>
    <w:rsid w:val="00E45862"/>
    <w:rsid w:val="00E45DF9"/>
    <w:rsid w:val="00E45F52"/>
    <w:rsid w:val="00E45FFE"/>
    <w:rsid w:val="00E46936"/>
    <w:rsid w:val="00E46AC0"/>
    <w:rsid w:val="00E473B0"/>
    <w:rsid w:val="00E47484"/>
    <w:rsid w:val="00E474D5"/>
    <w:rsid w:val="00E47B54"/>
    <w:rsid w:val="00E47CCD"/>
    <w:rsid w:val="00E47EEA"/>
    <w:rsid w:val="00E50750"/>
    <w:rsid w:val="00E509EA"/>
    <w:rsid w:val="00E50E79"/>
    <w:rsid w:val="00E50FA0"/>
    <w:rsid w:val="00E515D5"/>
    <w:rsid w:val="00E52782"/>
    <w:rsid w:val="00E53E55"/>
    <w:rsid w:val="00E5405C"/>
    <w:rsid w:val="00E543B2"/>
    <w:rsid w:val="00E54B05"/>
    <w:rsid w:val="00E556C6"/>
    <w:rsid w:val="00E556F7"/>
    <w:rsid w:val="00E5715E"/>
    <w:rsid w:val="00E57620"/>
    <w:rsid w:val="00E577C7"/>
    <w:rsid w:val="00E57A1F"/>
    <w:rsid w:val="00E57DC0"/>
    <w:rsid w:val="00E6057E"/>
    <w:rsid w:val="00E60B53"/>
    <w:rsid w:val="00E60C82"/>
    <w:rsid w:val="00E614A6"/>
    <w:rsid w:val="00E61840"/>
    <w:rsid w:val="00E61C1C"/>
    <w:rsid w:val="00E62093"/>
    <w:rsid w:val="00E6307E"/>
    <w:rsid w:val="00E6373B"/>
    <w:rsid w:val="00E63DC8"/>
    <w:rsid w:val="00E6450F"/>
    <w:rsid w:val="00E64990"/>
    <w:rsid w:val="00E64BFE"/>
    <w:rsid w:val="00E6521E"/>
    <w:rsid w:val="00E6552D"/>
    <w:rsid w:val="00E6576C"/>
    <w:rsid w:val="00E65E5D"/>
    <w:rsid w:val="00E66040"/>
    <w:rsid w:val="00E6616A"/>
    <w:rsid w:val="00E67399"/>
    <w:rsid w:val="00E674FC"/>
    <w:rsid w:val="00E67B4A"/>
    <w:rsid w:val="00E67F16"/>
    <w:rsid w:val="00E70AB0"/>
    <w:rsid w:val="00E70C45"/>
    <w:rsid w:val="00E70D72"/>
    <w:rsid w:val="00E70F4F"/>
    <w:rsid w:val="00E71171"/>
    <w:rsid w:val="00E7205D"/>
    <w:rsid w:val="00E721D9"/>
    <w:rsid w:val="00E72404"/>
    <w:rsid w:val="00E72888"/>
    <w:rsid w:val="00E73432"/>
    <w:rsid w:val="00E73803"/>
    <w:rsid w:val="00E73F4B"/>
    <w:rsid w:val="00E74C2C"/>
    <w:rsid w:val="00E757FA"/>
    <w:rsid w:val="00E75993"/>
    <w:rsid w:val="00E764E7"/>
    <w:rsid w:val="00E8009B"/>
    <w:rsid w:val="00E80172"/>
    <w:rsid w:val="00E804CC"/>
    <w:rsid w:val="00E8131A"/>
    <w:rsid w:val="00E81DB9"/>
    <w:rsid w:val="00E81F69"/>
    <w:rsid w:val="00E822F7"/>
    <w:rsid w:val="00E8231C"/>
    <w:rsid w:val="00E8262F"/>
    <w:rsid w:val="00E82711"/>
    <w:rsid w:val="00E839B7"/>
    <w:rsid w:val="00E842FB"/>
    <w:rsid w:val="00E84C8E"/>
    <w:rsid w:val="00E852DD"/>
    <w:rsid w:val="00E85358"/>
    <w:rsid w:val="00E85CB9"/>
    <w:rsid w:val="00E863C1"/>
    <w:rsid w:val="00E86638"/>
    <w:rsid w:val="00E868FD"/>
    <w:rsid w:val="00E86B98"/>
    <w:rsid w:val="00E86EF8"/>
    <w:rsid w:val="00E871FE"/>
    <w:rsid w:val="00E872E9"/>
    <w:rsid w:val="00E87925"/>
    <w:rsid w:val="00E87B6C"/>
    <w:rsid w:val="00E91106"/>
    <w:rsid w:val="00E91D1C"/>
    <w:rsid w:val="00E9217C"/>
    <w:rsid w:val="00E921F1"/>
    <w:rsid w:val="00E92C04"/>
    <w:rsid w:val="00E92D51"/>
    <w:rsid w:val="00E92EE4"/>
    <w:rsid w:val="00E9314A"/>
    <w:rsid w:val="00E935D6"/>
    <w:rsid w:val="00E93AB5"/>
    <w:rsid w:val="00E94BAB"/>
    <w:rsid w:val="00E95122"/>
    <w:rsid w:val="00E96511"/>
    <w:rsid w:val="00E96A85"/>
    <w:rsid w:val="00E9758A"/>
    <w:rsid w:val="00E979E9"/>
    <w:rsid w:val="00E97CD2"/>
    <w:rsid w:val="00E97D1D"/>
    <w:rsid w:val="00EA050A"/>
    <w:rsid w:val="00EA06A7"/>
    <w:rsid w:val="00EA0754"/>
    <w:rsid w:val="00EA0BAB"/>
    <w:rsid w:val="00EA0F2F"/>
    <w:rsid w:val="00EA11F0"/>
    <w:rsid w:val="00EA1F5A"/>
    <w:rsid w:val="00EA25A2"/>
    <w:rsid w:val="00EA2AFF"/>
    <w:rsid w:val="00EA3F78"/>
    <w:rsid w:val="00EA3FEF"/>
    <w:rsid w:val="00EA4108"/>
    <w:rsid w:val="00EA419C"/>
    <w:rsid w:val="00EA45F4"/>
    <w:rsid w:val="00EA4968"/>
    <w:rsid w:val="00EA4DA0"/>
    <w:rsid w:val="00EA4F4F"/>
    <w:rsid w:val="00EA56D1"/>
    <w:rsid w:val="00EA6388"/>
    <w:rsid w:val="00EA67CD"/>
    <w:rsid w:val="00EA6BB8"/>
    <w:rsid w:val="00EB154B"/>
    <w:rsid w:val="00EB1DBE"/>
    <w:rsid w:val="00EB1EEE"/>
    <w:rsid w:val="00EB3509"/>
    <w:rsid w:val="00EB3720"/>
    <w:rsid w:val="00EB5013"/>
    <w:rsid w:val="00EB53AD"/>
    <w:rsid w:val="00EB5633"/>
    <w:rsid w:val="00EB5804"/>
    <w:rsid w:val="00EB5C9A"/>
    <w:rsid w:val="00EB6224"/>
    <w:rsid w:val="00EB62C2"/>
    <w:rsid w:val="00EB66E9"/>
    <w:rsid w:val="00EB6DEA"/>
    <w:rsid w:val="00EB6E04"/>
    <w:rsid w:val="00EB6FC2"/>
    <w:rsid w:val="00EB77E4"/>
    <w:rsid w:val="00EC0AAB"/>
    <w:rsid w:val="00EC0B74"/>
    <w:rsid w:val="00EC0C65"/>
    <w:rsid w:val="00EC153B"/>
    <w:rsid w:val="00EC19AE"/>
    <w:rsid w:val="00EC1EA0"/>
    <w:rsid w:val="00EC2230"/>
    <w:rsid w:val="00EC2E9B"/>
    <w:rsid w:val="00EC325E"/>
    <w:rsid w:val="00EC38B2"/>
    <w:rsid w:val="00EC3A97"/>
    <w:rsid w:val="00EC443F"/>
    <w:rsid w:val="00EC4DEF"/>
    <w:rsid w:val="00EC4E70"/>
    <w:rsid w:val="00EC5046"/>
    <w:rsid w:val="00EC53E0"/>
    <w:rsid w:val="00EC57C6"/>
    <w:rsid w:val="00EC5FA2"/>
    <w:rsid w:val="00EC6129"/>
    <w:rsid w:val="00EC61C4"/>
    <w:rsid w:val="00EC6309"/>
    <w:rsid w:val="00EC71C9"/>
    <w:rsid w:val="00EC7AB4"/>
    <w:rsid w:val="00ED048B"/>
    <w:rsid w:val="00ED0DB5"/>
    <w:rsid w:val="00ED1379"/>
    <w:rsid w:val="00ED1956"/>
    <w:rsid w:val="00ED1CF6"/>
    <w:rsid w:val="00ED1D99"/>
    <w:rsid w:val="00ED20CB"/>
    <w:rsid w:val="00ED4629"/>
    <w:rsid w:val="00ED52BC"/>
    <w:rsid w:val="00ED5357"/>
    <w:rsid w:val="00ED55F7"/>
    <w:rsid w:val="00ED56DA"/>
    <w:rsid w:val="00ED5D92"/>
    <w:rsid w:val="00ED6152"/>
    <w:rsid w:val="00ED61BB"/>
    <w:rsid w:val="00ED66A4"/>
    <w:rsid w:val="00ED6D84"/>
    <w:rsid w:val="00ED6FB9"/>
    <w:rsid w:val="00ED78AD"/>
    <w:rsid w:val="00ED7C8E"/>
    <w:rsid w:val="00ED7F35"/>
    <w:rsid w:val="00EE038E"/>
    <w:rsid w:val="00EE079A"/>
    <w:rsid w:val="00EE0B9D"/>
    <w:rsid w:val="00EE2205"/>
    <w:rsid w:val="00EE2BDA"/>
    <w:rsid w:val="00EE2BEA"/>
    <w:rsid w:val="00EE2CD5"/>
    <w:rsid w:val="00EE34F2"/>
    <w:rsid w:val="00EE358F"/>
    <w:rsid w:val="00EE4105"/>
    <w:rsid w:val="00EE5691"/>
    <w:rsid w:val="00EE63B4"/>
    <w:rsid w:val="00EE690D"/>
    <w:rsid w:val="00EE6EBC"/>
    <w:rsid w:val="00EE6F6C"/>
    <w:rsid w:val="00EE72D1"/>
    <w:rsid w:val="00EE7559"/>
    <w:rsid w:val="00EE7C49"/>
    <w:rsid w:val="00EF03E6"/>
    <w:rsid w:val="00EF0C0C"/>
    <w:rsid w:val="00EF0DA4"/>
    <w:rsid w:val="00EF2038"/>
    <w:rsid w:val="00EF21B7"/>
    <w:rsid w:val="00EF2283"/>
    <w:rsid w:val="00EF29A5"/>
    <w:rsid w:val="00EF36D2"/>
    <w:rsid w:val="00EF3DEE"/>
    <w:rsid w:val="00EF3F40"/>
    <w:rsid w:val="00EF4665"/>
    <w:rsid w:val="00EF5243"/>
    <w:rsid w:val="00EF5C5E"/>
    <w:rsid w:val="00EF6357"/>
    <w:rsid w:val="00EF6FD5"/>
    <w:rsid w:val="00EF73E5"/>
    <w:rsid w:val="00F00026"/>
    <w:rsid w:val="00F002F1"/>
    <w:rsid w:val="00F004BA"/>
    <w:rsid w:val="00F006CF"/>
    <w:rsid w:val="00F00A38"/>
    <w:rsid w:val="00F00DBE"/>
    <w:rsid w:val="00F015E6"/>
    <w:rsid w:val="00F02E37"/>
    <w:rsid w:val="00F0322C"/>
    <w:rsid w:val="00F04C31"/>
    <w:rsid w:val="00F051CF"/>
    <w:rsid w:val="00F052D1"/>
    <w:rsid w:val="00F0686F"/>
    <w:rsid w:val="00F101F8"/>
    <w:rsid w:val="00F1041F"/>
    <w:rsid w:val="00F1062E"/>
    <w:rsid w:val="00F110CF"/>
    <w:rsid w:val="00F11185"/>
    <w:rsid w:val="00F114E6"/>
    <w:rsid w:val="00F117D1"/>
    <w:rsid w:val="00F11F30"/>
    <w:rsid w:val="00F12EA3"/>
    <w:rsid w:val="00F13B3B"/>
    <w:rsid w:val="00F13E69"/>
    <w:rsid w:val="00F1455C"/>
    <w:rsid w:val="00F14A2E"/>
    <w:rsid w:val="00F14A91"/>
    <w:rsid w:val="00F14B07"/>
    <w:rsid w:val="00F163FF"/>
    <w:rsid w:val="00F16997"/>
    <w:rsid w:val="00F176BA"/>
    <w:rsid w:val="00F177C6"/>
    <w:rsid w:val="00F17B2E"/>
    <w:rsid w:val="00F206C3"/>
    <w:rsid w:val="00F20B13"/>
    <w:rsid w:val="00F20C33"/>
    <w:rsid w:val="00F21100"/>
    <w:rsid w:val="00F215C7"/>
    <w:rsid w:val="00F21665"/>
    <w:rsid w:val="00F217D5"/>
    <w:rsid w:val="00F219A4"/>
    <w:rsid w:val="00F21B7D"/>
    <w:rsid w:val="00F2228C"/>
    <w:rsid w:val="00F22648"/>
    <w:rsid w:val="00F23247"/>
    <w:rsid w:val="00F23AF0"/>
    <w:rsid w:val="00F23CF0"/>
    <w:rsid w:val="00F245A6"/>
    <w:rsid w:val="00F249CD"/>
    <w:rsid w:val="00F2521E"/>
    <w:rsid w:val="00F26B14"/>
    <w:rsid w:val="00F26CE4"/>
    <w:rsid w:val="00F271B3"/>
    <w:rsid w:val="00F30076"/>
    <w:rsid w:val="00F315FD"/>
    <w:rsid w:val="00F325B9"/>
    <w:rsid w:val="00F32D09"/>
    <w:rsid w:val="00F33ABB"/>
    <w:rsid w:val="00F34382"/>
    <w:rsid w:val="00F348D2"/>
    <w:rsid w:val="00F356CE"/>
    <w:rsid w:val="00F358AF"/>
    <w:rsid w:val="00F36287"/>
    <w:rsid w:val="00F3679A"/>
    <w:rsid w:val="00F36F83"/>
    <w:rsid w:val="00F372AF"/>
    <w:rsid w:val="00F37BEE"/>
    <w:rsid w:val="00F37DF3"/>
    <w:rsid w:val="00F4053A"/>
    <w:rsid w:val="00F41508"/>
    <w:rsid w:val="00F423F0"/>
    <w:rsid w:val="00F42BDF"/>
    <w:rsid w:val="00F42FE9"/>
    <w:rsid w:val="00F4393C"/>
    <w:rsid w:val="00F43E92"/>
    <w:rsid w:val="00F45359"/>
    <w:rsid w:val="00F45413"/>
    <w:rsid w:val="00F45C3B"/>
    <w:rsid w:val="00F46113"/>
    <w:rsid w:val="00F463F5"/>
    <w:rsid w:val="00F46738"/>
    <w:rsid w:val="00F46E63"/>
    <w:rsid w:val="00F46E80"/>
    <w:rsid w:val="00F4734F"/>
    <w:rsid w:val="00F47628"/>
    <w:rsid w:val="00F47A9F"/>
    <w:rsid w:val="00F47CA5"/>
    <w:rsid w:val="00F505B5"/>
    <w:rsid w:val="00F50709"/>
    <w:rsid w:val="00F50C1A"/>
    <w:rsid w:val="00F5132F"/>
    <w:rsid w:val="00F51696"/>
    <w:rsid w:val="00F519A4"/>
    <w:rsid w:val="00F52C93"/>
    <w:rsid w:val="00F52DF6"/>
    <w:rsid w:val="00F52FC6"/>
    <w:rsid w:val="00F530D8"/>
    <w:rsid w:val="00F535E7"/>
    <w:rsid w:val="00F5381F"/>
    <w:rsid w:val="00F5524C"/>
    <w:rsid w:val="00F56522"/>
    <w:rsid w:val="00F56546"/>
    <w:rsid w:val="00F56641"/>
    <w:rsid w:val="00F567F3"/>
    <w:rsid w:val="00F56956"/>
    <w:rsid w:val="00F577A5"/>
    <w:rsid w:val="00F57838"/>
    <w:rsid w:val="00F57A08"/>
    <w:rsid w:val="00F57ED1"/>
    <w:rsid w:val="00F60315"/>
    <w:rsid w:val="00F60A5E"/>
    <w:rsid w:val="00F60F37"/>
    <w:rsid w:val="00F61095"/>
    <w:rsid w:val="00F61AC4"/>
    <w:rsid w:val="00F620A2"/>
    <w:rsid w:val="00F62336"/>
    <w:rsid w:val="00F628DD"/>
    <w:rsid w:val="00F63080"/>
    <w:rsid w:val="00F63AB7"/>
    <w:rsid w:val="00F63BA1"/>
    <w:rsid w:val="00F63BA7"/>
    <w:rsid w:val="00F641BB"/>
    <w:rsid w:val="00F65282"/>
    <w:rsid w:val="00F658CC"/>
    <w:rsid w:val="00F660FC"/>
    <w:rsid w:val="00F66294"/>
    <w:rsid w:val="00F66371"/>
    <w:rsid w:val="00F66830"/>
    <w:rsid w:val="00F66A6C"/>
    <w:rsid w:val="00F66DFB"/>
    <w:rsid w:val="00F67634"/>
    <w:rsid w:val="00F70C26"/>
    <w:rsid w:val="00F71101"/>
    <w:rsid w:val="00F714CC"/>
    <w:rsid w:val="00F719C0"/>
    <w:rsid w:val="00F71DEB"/>
    <w:rsid w:val="00F71DF2"/>
    <w:rsid w:val="00F72086"/>
    <w:rsid w:val="00F735A9"/>
    <w:rsid w:val="00F7490D"/>
    <w:rsid w:val="00F75052"/>
    <w:rsid w:val="00F75233"/>
    <w:rsid w:val="00F75FD2"/>
    <w:rsid w:val="00F762C2"/>
    <w:rsid w:val="00F777C7"/>
    <w:rsid w:val="00F800B6"/>
    <w:rsid w:val="00F80390"/>
    <w:rsid w:val="00F8071F"/>
    <w:rsid w:val="00F811C6"/>
    <w:rsid w:val="00F811F8"/>
    <w:rsid w:val="00F81909"/>
    <w:rsid w:val="00F825C8"/>
    <w:rsid w:val="00F833AF"/>
    <w:rsid w:val="00F834C3"/>
    <w:rsid w:val="00F8411E"/>
    <w:rsid w:val="00F84B2D"/>
    <w:rsid w:val="00F84BC7"/>
    <w:rsid w:val="00F855D5"/>
    <w:rsid w:val="00F85D06"/>
    <w:rsid w:val="00F8644E"/>
    <w:rsid w:val="00F87547"/>
    <w:rsid w:val="00F87C59"/>
    <w:rsid w:val="00F87E46"/>
    <w:rsid w:val="00F901E0"/>
    <w:rsid w:val="00F911DD"/>
    <w:rsid w:val="00F913DC"/>
    <w:rsid w:val="00F9145F"/>
    <w:rsid w:val="00F91E30"/>
    <w:rsid w:val="00F93400"/>
    <w:rsid w:val="00F93458"/>
    <w:rsid w:val="00F937B7"/>
    <w:rsid w:val="00F93B5F"/>
    <w:rsid w:val="00F94069"/>
    <w:rsid w:val="00F94AA1"/>
    <w:rsid w:val="00F9591C"/>
    <w:rsid w:val="00F970EF"/>
    <w:rsid w:val="00F97123"/>
    <w:rsid w:val="00F974FE"/>
    <w:rsid w:val="00F97EE7"/>
    <w:rsid w:val="00F97FBE"/>
    <w:rsid w:val="00FA0576"/>
    <w:rsid w:val="00FA2139"/>
    <w:rsid w:val="00FA373A"/>
    <w:rsid w:val="00FA3858"/>
    <w:rsid w:val="00FA3865"/>
    <w:rsid w:val="00FA39B3"/>
    <w:rsid w:val="00FA46C8"/>
    <w:rsid w:val="00FA4E19"/>
    <w:rsid w:val="00FA5252"/>
    <w:rsid w:val="00FA610E"/>
    <w:rsid w:val="00FA641C"/>
    <w:rsid w:val="00FA67D6"/>
    <w:rsid w:val="00FA69F4"/>
    <w:rsid w:val="00FA6E69"/>
    <w:rsid w:val="00FA77E4"/>
    <w:rsid w:val="00FB03FF"/>
    <w:rsid w:val="00FB04D5"/>
    <w:rsid w:val="00FB109F"/>
    <w:rsid w:val="00FB1578"/>
    <w:rsid w:val="00FB199D"/>
    <w:rsid w:val="00FB1C26"/>
    <w:rsid w:val="00FB1D2A"/>
    <w:rsid w:val="00FB1D44"/>
    <w:rsid w:val="00FB2410"/>
    <w:rsid w:val="00FB25EE"/>
    <w:rsid w:val="00FB2CD7"/>
    <w:rsid w:val="00FB2E7B"/>
    <w:rsid w:val="00FB2F24"/>
    <w:rsid w:val="00FB34F5"/>
    <w:rsid w:val="00FB3DEA"/>
    <w:rsid w:val="00FB4960"/>
    <w:rsid w:val="00FB5258"/>
    <w:rsid w:val="00FB5985"/>
    <w:rsid w:val="00FB5EC5"/>
    <w:rsid w:val="00FB6FD7"/>
    <w:rsid w:val="00FB75AF"/>
    <w:rsid w:val="00FC019F"/>
    <w:rsid w:val="00FC04E6"/>
    <w:rsid w:val="00FC0624"/>
    <w:rsid w:val="00FC0B81"/>
    <w:rsid w:val="00FC1030"/>
    <w:rsid w:val="00FC1715"/>
    <w:rsid w:val="00FC1B34"/>
    <w:rsid w:val="00FC1DD7"/>
    <w:rsid w:val="00FC20DD"/>
    <w:rsid w:val="00FC223C"/>
    <w:rsid w:val="00FC228F"/>
    <w:rsid w:val="00FC26C1"/>
    <w:rsid w:val="00FC371D"/>
    <w:rsid w:val="00FC38C6"/>
    <w:rsid w:val="00FC41EC"/>
    <w:rsid w:val="00FC4A4B"/>
    <w:rsid w:val="00FC4D06"/>
    <w:rsid w:val="00FC508C"/>
    <w:rsid w:val="00FC5515"/>
    <w:rsid w:val="00FC5C92"/>
    <w:rsid w:val="00FC6275"/>
    <w:rsid w:val="00FC6298"/>
    <w:rsid w:val="00FC6D7A"/>
    <w:rsid w:val="00FC70BF"/>
    <w:rsid w:val="00FC7DC2"/>
    <w:rsid w:val="00FD0193"/>
    <w:rsid w:val="00FD0FAA"/>
    <w:rsid w:val="00FD154F"/>
    <w:rsid w:val="00FD16F5"/>
    <w:rsid w:val="00FD1B5F"/>
    <w:rsid w:val="00FD20EE"/>
    <w:rsid w:val="00FD2340"/>
    <w:rsid w:val="00FD239F"/>
    <w:rsid w:val="00FD2882"/>
    <w:rsid w:val="00FD2AE8"/>
    <w:rsid w:val="00FD380B"/>
    <w:rsid w:val="00FD387C"/>
    <w:rsid w:val="00FD3883"/>
    <w:rsid w:val="00FD3894"/>
    <w:rsid w:val="00FD38B8"/>
    <w:rsid w:val="00FD457C"/>
    <w:rsid w:val="00FD5357"/>
    <w:rsid w:val="00FD54FC"/>
    <w:rsid w:val="00FD5ABD"/>
    <w:rsid w:val="00FD6675"/>
    <w:rsid w:val="00FD6CCB"/>
    <w:rsid w:val="00FD6D27"/>
    <w:rsid w:val="00FD6F70"/>
    <w:rsid w:val="00FD7524"/>
    <w:rsid w:val="00FD7683"/>
    <w:rsid w:val="00FD7960"/>
    <w:rsid w:val="00FD797E"/>
    <w:rsid w:val="00FD7CAF"/>
    <w:rsid w:val="00FD7E66"/>
    <w:rsid w:val="00FD7ECC"/>
    <w:rsid w:val="00FD7FB3"/>
    <w:rsid w:val="00FE052A"/>
    <w:rsid w:val="00FE0C81"/>
    <w:rsid w:val="00FE0C97"/>
    <w:rsid w:val="00FE13A1"/>
    <w:rsid w:val="00FE219F"/>
    <w:rsid w:val="00FE21F5"/>
    <w:rsid w:val="00FE22CD"/>
    <w:rsid w:val="00FE2397"/>
    <w:rsid w:val="00FE28F4"/>
    <w:rsid w:val="00FE30C1"/>
    <w:rsid w:val="00FE3BD8"/>
    <w:rsid w:val="00FE43D5"/>
    <w:rsid w:val="00FE4AE0"/>
    <w:rsid w:val="00FE4D22"/>
    <w:rsid w:val="00FE5970"/>
    <w:rsid w:val="00FE6995"/>
    <w:rsid w:val="00FE69AC"/>
    <w:rsid w:val="00FE6CFB"/>
    <w:rsid w:val="00FE773D"/>
    <w:rsid w:val="00FF0040"/>
    <w:rsid w:val="00FF057C"/>
    <w:rsid w:val="00FF1422"/>
    <w:rsid w:val="00FF15C6"/>
    <w:rsid w:val="00FF1617"/>
    <w:rsid w:val="00FF208F"/>
    <w:rsid w:val="00FF2658"/>
    <w:rsid w:val="00FF2818"/>
    <w:rsid w:val="00FF2BC3"/>
    <w:rsid w:val="00FF2D0E"/>
    <w:rsid w:val="00FF36A5"/>
    <w:rsid w:val="00FF3B3B"/>
    <w:rsid w:val="00FF49BE"/>
    <w:rsid w:val="00FF6630"/>
    <w:rsid w:val="00FF6BEE"/>
    <w:rsid w:val="00FF6E0E"/>
    <w:rsid w:val="00FF75CC"/>
    <w:rsid w:val="02309EBD"/>
    <w:rsid w:val="0237285B"/>
    <w:rsid w:val="02723F44"/>
    <w:rsid w:val="03514D62"/>
    <w:rsid w:val="037E7803"/>
    <w:rsid w:val="042D3616"/>
    <w:rsid w:val="0444482E"/>
    <w:rsid w:val="04D0BAF9"/>
    <w:rsid w:val="04DBDEBF"/>
    <w:rsid w:val="04DEA180"/>
    <w:rsid w:val="04F60053"/>
    <w:rsid w:val="05CC924C"/>
    <w:rsid w:val="0699D34C"/>
    <w:rsid w:val="06BBFB04"/>
    <w:rsid w:val="06CF6B0A"/>
    <w:rsid w:val="06F2BCC5"/>
    <w:rsid w:val="06FE2B68"/>
    <w:rsid w:val="0702C96E"/>
    <w:rsid w:val="07379F9A"/>
    <w:rsid w:val="07468457"/>
    <w:rsid w:val="0788E3CA"/>
    <w:rsid w:val="07D9A924"/>
    <w:rsid w:val="07F849EC"/>
    <w:rsid w:val="089744BC"/>
    <w:rsid w:val="08B23445"/>
    <w:rsid w:val="09420986"/>
    <w:rsid w:val="09B0A22D"/>
    <w:rsid w:val="09CDC181"/>
    <w:rsid w:val="09DB346C"/>
    <w:rsid w:val="0A121491"/>
    <w:rsid w:val="0A14C33D"/>
    <w:rsid w:val="0A257479"/>
    <w:rsid w:val="0A45397F"/>
    <w:rsid w:val="0ACE01B8"/>
    <w:rsid w:val="0C3847FB"/>
    <w:rsid w:val="0D2975A4"/>
    <w:rsid w:val="0D882D8A"/>
    <w:rsid w:val="0DD42A94"/>
    <w:rsid w:val="0E2CB0ED"/>
    <w:rsid w:val="0E4AD53D"/>
    <w:rsid w:val="0E56F535"/>
    <w:rsid w:val="0E8378EA"/>
    <w:rsid w:val="0E87869C"/>
    <w:rsid w:val="0EEE5CBC"/>
    <w:rsid w:val="0EF7F914"/>
    <w:rsid w:val="0F6211C9"/>
    <w:rsid w:val="0FE63D9D"/>
    <w:rsid w:val="1005C160"/>
    <w:rsid w:val="102595F2"/>
    <w:rsid w:val="10CB6F53"/>
    <w:rsid w:val="11A3FC2B"/>
    <w:rsid w:val="11E2357F"/>
    <w:rsid w:val="137DC7F1"/>
    <w:rsid w:val="13921ECE"/>
    <w:rsid w:val="13A4D126"/>
    <w:rsid w:val="14218E0B"/>
    <w:rsid w:val="142B8C59"/>
    <w:rsid w:val="142C143C"/>
    <w:rsid w:val="14341747"/>
    <w:rsid w:val="14B09CD1"/>
    <w:rsid w:val="1509AA74"/>
    <w:rsid w:val="150BC3B5"/>
    <w:rsid w:val="1531F662"/>
    <w:rsid w:val="15371CD3"/>
    <w:rsid w:val="1537E5E1"/>
    <w:rsid w:val="1559DEC5"/>
    <w:rsid w:val="15752D12"/>
    <w:rsid w:val="159BC75B"/>
    <w:rsid w:val="15D2F0C3"/>
    <w:rsid w:val="162D6F42"/>
    <w:rsid w:val="16F079DE"/>
    <w:rsid w:val="177AFAA2"/>
    <w:rsid w:val="17BF75F6"/>
    <w:rsid w:val="1807572D"/>
    <w:rsid w:val="18418657"/>
    <w:rsid w:val="18595A6F"/>
    <w:rsid w:val="18651EA8"/>
    <w:rsid w:val="187450D2"/>
    <w:rsid w:val="18C70851"/>
    <w:rsid w:val="19A1C3EF"/>
    <w:rsid w:val="1A2FFEDD"/>
    <w:rsid w:val="1A31741A"/>
    <w:rsid w:val="1AD77E63"/>
    <w:rsid w:val="1AF86075"/>
    <w:rsid w:val="1B184B3D"/>
    <w:rsid w:val="1B943CF9"/>
    <w:rsid w:val="1BA5554B"/>
    <w:rsid w:val="1C0539FB"/>
    <w:rsid w:val="1C17C26A"/>
    <w:rsid w:val="1C24AF63"/>
    <w:rsid w:val="1C3EA164"/>
    <w:rsid w:val="1C59E520"/>
    <w:rsid w:val="1C9C81DC"/>
    <w:rsid w:val="1CA8BDE0"/>
    <w:rsid w:val="1CB4B3BC"/>
    <w:rsid w:val="1CD200D5"/>
    <w:rsid w:val="1CED9C6E"/>
    <w:rsid w:val="1D13131D"/>
    <w:rsid w:val="1DFB13D2"/>
    <w:rsid w:val="1E03A36B"/>
    <w:rsid w:val="1E4FA0F8"/>
    <w:rsid w:val="1E68F6A5"/>
    <w:rsid w:val="1EF31AD6"/>
    <w:rsid w:val="1F1D12E4"/>
    <w:rsid w:val="1F539127"/>
    <w:rsid w:val="1F57C2D5"/>
    <w:rsid w:val="1F88AA73"/>
    <w:rsid w:val="20110DF8"/>
    <w:rsid w:val="20278A27"/>
    <w:rsid w:val="20580FD5"/>
    <w:rsid w:val="20858364"/>
    <w:rsid w:val="2089512C"/>
    <w:rsid w:val="20B3546C"/>
    <w:rsid w:val="20C4730A"/>
    <w:rsid w:val="21F156CF"/>
    <w:rsid w:val="2277E8EF"/>
    <w:rsid w:val="2279B24F"/>
    <w:rsid w:val="237F1463"/>
    <w:rsid w:val="23843E7A"/>
    <w:rsid w:val="24031B71"/>
    <w:rsid w:val="24272526"/>
    <w:rsid w:val="247AA7C0"/>
    <w:rsid w:val="24B43B11"/>
    <w:rsid w:val="24D30C37"/>
    <w:rsid w:val="24FCF2EE"/>
    <w:rsid w:val="25135B98"/>
    <w:rsid w:val="252521C3"/>
    <w:rsid w:val="25F31137"/>
    <w:rsid w:val="26792F13"/>
    <w:rsid w:val="268409C7"/>
    <w:rsid w:val="26852602"/>
    <w:rsid w:val="269CF400"/>
    <w:rsid w:val="26E60C03"/>
    <w:rsid w:val="272CEB35"/>
    <w:rsid w:val="27813520"/>
    <w:rsid w:val="2797DA5B"/>
    <w:rsid w:val="27B0EDE2"/>
    <w:rsid w:val="2816667F"/>
    <w:rsid w:val="282F8CF2"/>
    <w:rsid w:val="2831102B"/>
    <w:rsid w:val="2932A95E"/>
    <w:rsid w:val="2A0D447A"/>
    <w:rsid w:val="2A1C1635"/>
    <w:rsid w:val="2A277C65"/>
    <w:rsid w:val="2B211264"/>
    <w:rsid w:val="2B2E00E1"/>
    <w:rsid w:val="2B758952"/>
    <w:rsid w:val="2BA359C4"/>
    <w:rsid w:val="2BEE1747"/>
    <w:rsid w:val="2C06E713"/>
    <w:rsid w:val="2C66FFCB"/>
    <w:rsid w:val="2C6E6709"/>
    <w:rsid w:val="2C9922A0"/>
    <w:rsid w:val="2CBEDA69"/>
    <w:rsid w:val="2D016623"/>
    <w:rsid w:val="2D2798FB"/>
    <w:rsid w:val="2D3128B4"/>
    <w:rsid w:val="2D69E2DB"/>
    <w:rsid w:val="2E482795"/>
    <w:rsid w:val="2E9A78D1"/>
    <w:rsid w:val="2EA6F3B8"/>
    <w:rsid w:val="2F01A41E"/>
    <w:rsid w:val="2F169F0C"/>
    <w:rsid w:val="2F57BA58"/>
    <w:rsid w:val="2F7A4855"/>
    <w:rsid w:val="2FCF3F67"/>
    <w:rsid w:val="2FF6EF7B"/>
    <w:rsid w:val="30AB35F9"/>
    <w:rsid w:val="30E1FE47"/>
    <w:rsid w:val="30EE9127"/>
    <w:rsid w:val="3144B9A3"/>
    <w:rsid w:val="319E2AC4"/>
    <w:rsid w:val="31CEF5C5"/>
    <w:rsid w:val="31DDF2C1"/>
    <w:rsid w:val="32043AFB"/>
    <w:rsid w:val="324DD009"/>
    <w:rsid w:val="32C8DA91"/>
    <w:rsid w:val="34730F56"/>
    <w:rsid w:val="34D5D8E7"/>
    <w:rsid w:val="3529AFFB"/>
    <w:rsid w:val="36AE4E25"/>
    <w:rsid w:val="36B51687"/>
    <w:rsid w:val="371EB2D4"/>
    <w:rsid w:val="3760EA66"/>
    <w:rsid w:val="379F4A15"/>
    <w:rsid w:val="381BA33C"/>
    <w:rsid w:val="388E5751"/>
    <w:rsid w:val="38A1AC42"/>
    <w:rsid w:val="38BC151B"/>
    <w:rsid w:val="390E8F8F"/>
    <w:rsid w:val="392F8B13"/>
    <w:rsid w:val="3935CBE9"/>
    <w:rsid w:val="393D511B"/>
    <w:rsid w:val="39447F23"/>
    <w:rsid w:val="3975FB3C"/>
    <w:rsid w:val="39769DB9"/>
    <w:rsid w:val="399BB486"/>
    <w:rsid w:val="39E7E149"/>
    <w:rsid w:val="3B14C61E"/>
    <w:rsid w:val="3B1F9EB8"/>
    <w:rsid w:val="3B280A2A"/>
    <w:rsid w:val="3B453BE8"/>
    <w:rsid w:val="3B631292"/>
    <w:rsid w:val="3BC268AF"/>
    <w:rsid w:val="3BCA7359"/>
    <w:rsid w:val="3C7486FA"/>
    <w:rsid w:val="3C7A502E"/>
    <w:rsid w:val="3CCFE629"/>
    <w:rsid w:val="3D23351E"/>
    <w:rsid w:val="3D8E5664"/>
    <w:rsid w:val="3D963089"/>
    <w:rsid w:val="3DC784E1"/>
    <w:rsid w:val="3DDF8F88"/>
    <w:rsid w:val="3E7BBA80"/>
    <w:rsid w:val="3F397E68"/>
    <w:rsid w:val="3F6A6FE9"/>
    <w:rsid w:val="3FBFFC32"/>
    <w:rsid w:val="3FD6DFD2"/>
    <w:rsid w:val="4004B0B9"/>
    <w:rsid w:val="400D5AEE"/>
    <w:rsid w:val="403BC779"/>
    <w:rsid w:val="408C09F2"/>
    <w:rsid w:val="409E2AAF"/>
    <w:rsid w:val="41185088"/>
    <w:rsid w:val="417369C0"/>
    <w:rsid w:val="41889F2A"/>
    <w:rsid w:val="4198C81F"/>
    <w:rsid w:val="41D80B82"/>
    <w:rsid w:val="41D8ED5A"/>
    <w:rsid w:val="4229D95F"/>
    <w:rsid w:val="42342837"/>
    <w:rsid w:val="425AACA1"/>
    <w:rsid w:val="42959010"/>
    <w:rsid w:val="429693C7"/>
    <w:rsid w:val="42E3F3CC"/>
    <w:rsid w:val="436B67E3"/>
    <w:rsid w:val="439A76D2"/>
    <w:rsid w:val="43ED1430"/>
    <w:rsid w:val="446BEEE7"/>
    <w:rsid w:val="44CD98FC"/>
    <w:rsid w:val="44D0244B"/>
    <w:rsid w:val="44E6A001"/>
    <w:rsid w:val="44F3499C"/>
    <w:rsid w:val="4553B2EC"/>
    <w:rsid w:val="457E1458"/>
    <w:rsid w:val="45B6918F"/>
    <w:rsid w:val="463CA73F"/>
    <w:rsid w:val="46C0BA53"/>
    <w:rsid w:val="474D7357"/>
    <w:rsid w:val="47880766"/>
    <w:rsid w:val="479CB788"/>
    <w:rsid w:val="47F594D2"/>
    <w:rsid w:val="48255ADA"/>
    <w:rsid w:val="48A269CD"/>
    <w:rsid w:val="48F1B0E0"/>
    <w:rsid w:val="49B43D34"/>
    <w:rsid w:val="49B4D6AE"/>
    <w:rsid w:val="4A808856"/>
    <w:rsid w:val="4A84F924"/>
    <w:rsid w:val="4A9B6BC2"/>
    <w:rsid w:val="4B2F93A8"/>
    <w:rsid w:val="4BB6DDE0"/>
    <w:rsid w:val="4BBA3AFA"/>
    <w:rsid w:val="4BD4F742"/>
    <w:rsid w:val="4BD79EC7"/>
    <w:rsid w:val="4C033052"/>
    <w:rsid w:val="4CE333C1"/>
    <w:rsid w:val="4CF82B4D"/>
    <w:rsid w:val="4D03D945"/>
    <w:rsid w:val="4D0E9490"/>
    <w:rsid w:val="4D94AC78"/>
    <w:rsid w:val="4D96B97E"/>
    <w:rsid w:val="4DAF20C7"/>
    <w:rsid w:val="4DB5E529"/>
    <w:rsid w:val="4E192A1B"/>
    <w:rsid w:val="4E44E66A"/>
    <w:rsid w:val="4EF61534"/>
    <w:rsid w:val="4F39CF42"/>
    <w:rsid w:val="4FD33F80"/>
    <w:rsid w:val="4FDE97E6"/>
    <w:rsid w:val="4FE9CA36"/>
    <w:rsid w:val="50820D43"/>
    <w:rsid w:val="5098F6C4"/>
    <w:rsid w:val="50DCBEC3"/>
    <w:rsid w:val="5157F2B5"/>
    <w:rsid w:val="51AD1A0E"/>
    <w:rsid w:val="51B9F60C"/>
    <w:rsid w:val="520B763C"/>
    <w:rsid w:val="533E877E"/>
    <w:rsid w:val="537090FD"/>
    <w:rsid w:val="537AE6B5"/>
    <w:rsid w:val="53AD4E1E"/>
    <w:rsid w:val="53BB254A"/>
    <w:rsid w:val="541F6ED0"/>
    <w:rsid w:val="54B80CDE"/>
    <w:rsid w:val="5542AEBF"/>
    <w:rsid w:val="561C62DB"/>
    <w:rsid w:val="56C98DFE"/>
    <w:rsid w:val="5708FF4E"/>
    <w:rsid w:val="57D65A1E"/>
    <w:rsid w:val="57EB9D7F"/>
    <w:rsid w:val="57F9AA62"/>
    <w:rsid w:val="58645171"/>
    <w:rsid w:val="58C7BF53"/>
    <w:rsid w:val="58E1108D"/>
    <w:rsid w:val="5902C506"/>
    <w:rsid w:val="59494B2F"/>
    <w:rsid w:val="5998C029"/>
    <w:rsid w:val="5A0FEEDF"/>
    <w:rsid w:val="5A10B812"/>
    <w:rsid w:val="5A18D454"/>
    <w:rsid w:val="5A9F2316"/>
    <w:rsid w:val="5AB470FE"/>
    <w:rsid w:val="5AD54798"/>
    <w:rsid w:val="5B045A33"/>
    <w:rsid w:val="5B2ABCE6"/>
    <w:rsid w:val="5B898051"/>
    <w:rsid w:val="5BAF5649"/>
    <w:rsid w:val="5BC6731F"/>
    <w:rsid w:val="5C3C7EE2"/>
    <w:rsid w:val="5C7075C4"/>
    <w:rsid w:val="5C9647B4"/>
    <w:rsid w:val="5D0742BA"/>
    <w:rsid w:val="5D2BBB6E"/>
    <w:rsid w:val="5D9564B8"/>
    <w:rsid w:val="5DAECDED"/>
    <w:rsid w:val="5E50A783"/>
    <w:rsid w:val="5F26AB61"/>
    <w:rsid w:val="5F5D92D3"/>
    <w:rsid w:val="5F9750B3"/>
    <w:rsid w:val="5FA42F65"/>
    <w:rsid w:val="5FCB8A86"/>
    <w:rsid w:val="5FF14103"/>
    <w:rsid w:val="60290D1E"/>
    <w:rsid w:val="609C72D8"/>
    <w:rsid w:val="60C43AC3"/>
    <w:rsid w:val="6116CB0F"/>
    <w:rsid w:val="619BBE61"/>
    <w:rsid w:val="61EB4141"/>
    <w:rsid w:val="62624A16"/>
    <w:rsid w:val="627DBBFB"/>
    <w:rsid w:val="628F8154"/>
    <w:rsid w:val="62D561CC"/>
    <w:rsid w:val="634CD558"/>
    <w:rsid w:val="634F01E0"/>
    <w:rsid w:val="635C49C7"/>
    <w:rsid w:val="638DCD7E"/>
    <w:rsid w:val="64035BED"/>
    <w:rsid w:val="641CE264"/>
    <w:rsid w:val="6441E276"/>
    <w:rsid w:val="6541272B"/>
    <w:rsid w:val="6593035A"/>
    <w:rsid w:val="65A7C0F3"/>
    <w:rsid w:val="664597F6"/>
    <w:rsid w:val="6652DCFA"/>
    <w:rsid w:val="66D0BB2D"/>
    <w:rsid w:val="672BF11F"/>
    <w:rsid w:val="6768CBF6"/>
    <w:rsid w:val="677821FD"/>
    <w:rsid w:val="67A0A51B"/>
    <w:rsid w:val="67EA54BC"/>
    <w:rsid w:val="6841FBF8"/>
    <w:rsid w:val="685817AC"/>
    <w:rsid w:val="68D88DC4"/>
    <w:rsid w:val="69723203"/>
    <w:rsid w:val="6989858B"/>
    <w:rsid w:val="69BC16DC"/>
    <w:rsid w:val="6A380B3A"/>
    <w:rsid w:val="6B0CCB32"/>
    <w:rsid w:val="6BCF50DE"/>
    <w:rsid w:val="6BE0925E"/>
    <w:rsid w:val="6C27C9A2"/>
    <w:rsid w:val="6C6184AC"/>
    <w:rsid w:val="6D03AD07"/>
    <w:rsid w:val="6EEBC4DD"/>
    <w:rsid w:val="6F0F1356"/>
    <w:rsid w:val="6F6002EB"/>
    <w:rsid w:val="700C08E5"/>
    <w:rsid w:val="70275E86"/>
    <w:rsid w:val="70D4A5B4"/>
    <w:rsid w:val="70F0AC60"/>
    <w:rsid w:val="714EDA77"/>
    <w:rsid w:val="7179A4B0"/>
    <w:rsid w:val="71A3EE69"/>
    <w:rsid w:val="720CD2E9"/>
    <w:rsid w:val="722C0830"/>
    <w:rsid w:val="7238EA61"/>
    <w:rsid w:val="724E4B82"/>
    <w:rsid w:val="729EAD26"/>
    <w:rsid w:val="72FDE0D4"/>
    <w:rsid w:val="73ADDBC8"/>
    <w:rsid w:val="73D6335A"/>
    <w:rsid w:val="73F24F95"/>
    <w:rsid w:val="740FE54A"/>
    <w:rsid w:val="74B6ACDF"/>
    <w:rsid w:val="74E6CE57"/>
    <w:rsid w:val="7528FBE8"/>
    <w:rsid w:val="752BE16E"/>
    <w:rsid w:val="7594D1D1"/>
    <w:rsid w:val="75974AEC"/>
    <w:rsid w:val="75AB0C62"/>
    <w:rsid w:val="75C15D8B"/>
    <w:rsid w:val="75C5B7AB"/>
    <w:rsid w:val="768DB66C"/>
    <w:rsid w:val="76E57FC5"/>
    <w:rsid w:val="77A381E1"/>
    <w:rsid w:val="784ED688"/>
    <w:rsid w:val="78E3D6FC"/>
    <w:rsid w:val="78EB0283"/>
    <w:rsid w:val="78F0F725"/>
    <w:rsid w:val="7923FCFB"/>
    <w:rsid w:val="79362C7D"/>
    <w:rsid w:val="7945D84D"/>
    <w:rsid w:val="7951ED17"/>
    <w:rsid w:val="79741B5A"/>
    <w:rsid w:val="7A01B51F"/>
    <w:rsid w:val="7A315054"/>
    <w:rsid w:val="7A543C55"/>
    <w:rsid w:val="7A9160D7"/>
    <w:rsid w:val="7A992078"/>
    <w:rsid w:val="7A9D6D7E"/>
    <w:rsid w:val="7AAF25CA"/>
    <w:rsid w:val="7B01A8C4"/>
    <w:rsid w:val="7B5BDB69"/>
    <w:rsid w:val="7B91E3EF"/>
    <w:rsid w:val="7BA2F054"/>
    <w:rsid w:val="7C2DAE58"/>
    <w:rsid w:val="7D0D5A04"/>
    <w:rsid w:val="7D2990A7"/>
    <w:rsid w:val="7D3B95B1"/>
    <w:rsid w:val="7D4C2868"/>
    <w:rsid w:val="7D8217E7"/>
    <w:rsid w:val="7DA12F62"/>
    <w:rsid w:val="7DD8A045"/>
    <w:rsid w:val="7DEC1C53"/>
    <w:rsid w:val="7E40AEEB"/>
    <w:rsid w:val="7E9F2206"/>
    <w:rsid w:val="7ED04B6B"/>
    <w:rsid w:val="7F16269A"/>
    <w:rsid w:val="7FDD36BB"/>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15:docId w15:val="{A9785487-7472-490C-889B-8751B3E4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EB"/>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val="en-US"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val="x-none"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val="x-none"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val="x-none"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val="x-none"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val="x-none"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val="x-non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en-GB"/>
    </w:rPr>
  </w:style>
  <w:style w:type="character" w:customStyle="1" w:styleId="Heading2Char">
    <w:name w:val="Heading 2 Char"/>
    <w:link w:val="Heading2"/>
    <w:uiPriority w:val="99"/>
    <w:locked/>
    <w:rsid w:val="00EC5046"/>
    <w:rPr>
      <w:rFonts w:ascii="Verdana" w:hAnsi="Verdana" w:cs="Times New Roman"/>
      <w:b/>
      <w:sz w:val="24"/>
      <w:szCs w:val="24"/>
      <w:u w:val="single"/>
      <w:lang w:val="en-US"/>
    </w:rPr>
  </w:style>
  <w:style w:type="character" w:customStyle="1" w:styleId="Heading3Char">
    <w:name w:val="Heading 3 Char"/>
    <w:aliases w:val="Title 2 Char"/>
    <w:uiPriority w:val="99"/>
    <w:locked/>
    <w:rsid w:val="00884FEB"/>
    <w:rPr>
      <w:rFonts w:cs="Times New Roman"/>
      <w:sz w:val="24"/>
      <w:szCs w:val="24"/>
      <w:lang w:val="en-US"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val="x-none"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val="x-none"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val="x-none"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971D22"/>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val="x-none"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val="x-none"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val="en-US" w:eastAsia="x-none"/>
    </w:rPr>
  </w:style>
  <w:style w:type="character" w:customStyle="1" w:styleId="CommentTextChar">
    <w:name w:val="Comment Text Char"/>
    <w:link w:val="CommentText"/>
    <w:uiPriority w:val="99"/>
    <w:locked/>
    <w:rsid w:val="00884FEB"/>
    <w:rPr>
      <w:rFonts w:ascii="Verdana" w:hAnsi="Verdana" w:cs="Times New Roman"/>
      <w:sz w:val="20"/>
      <w:szCs w:val="20"/>
      <w:lang w:val="en-US"/>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val="en-US" w:eastAsia="x-none"/>
    </w:rPr>
  </w:style>
  <w:style w:type="character" w:customStyle="1" w:styleId="BalloonTextChar">
    <w:name w:val="Balloon Text Char"/>
    <w:link w:val="BalloonText"/>
    <w:uiPriority w:val="99"/>
    <w:locked/>
    <w:rsid w:val="00884FEB"/>
    <w:rPr>
      <w:rFonts w:ascii="Tahoma" w:hAnsi="Tahoma" w:cs="Tahoma"/>
      <w:sz w:val="16"/>
      <w:szCs w:val="16"/>
      <w:lang w:val="en-US"/>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en-US"/>
    </w:rPr>
  </w:style>
  <w:style w:type="table" w:styleId="TableGrid">
    <w:name w:val="Table Grid"/>
    <w:aliases w:val="Tabla CUADROS"/>
    <w:basedOn w:val="TableNormal"/>
    <w:uiPriority w:val="59"/>
    <w:rsid w:val="00884FEB"/>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val="en-GB"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BD3B3B"/>
    <w:pPr>
      <w:spacing w:before="0"/>
      <w:ind w:left="36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val="es-ES_tradnl" w:eastAsia="es-ES_tradnl"/>
    </w:rPr>
  </w:style>
  <w:style w:type="character" w:customStyle="1" w:styleId="PlainTextChar">
    <w:name w:val="Plain Text Char"/>
    <w:link w:val="PlainText"/>
    <w:uiPriority w:val="99"/>
    <w:locked/>
    <w:rsid w:val="00884FEB"/>
    <w:rPr>
      <w:rFonts w:ascii="Verdana" w:hAnsi="Verdana" w:cs="Times New Roman"/>
      <w:sz w:val="20"/>
      <w:szCs w:val="20"/>
      <w:lang w:val="es-ES_tradnl"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BD3B3B"/>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val="en-US"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en-US"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lang w:val="de-DE"/>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val="en-US" w:eastAsia="x-none"/>
    </w:rPr>
  </w:style>
  <w:style w:type="character" w:customStyle="1" w:styleId="DocumentMapChar">
    <w:name w:val="Document Map Char"/>
    <w:link w:val="DocumentMap"/>
    <w:uiPriority w:val="99"/>
    <w:semiHidden/>
    <w:locked/>
    <w:rsid w:val="0088630E"/>
    <w:rPr>
      <w:rFonts w:ascii="Tahoma" w:hAnsi="Tahoma" w:cs="Tahoma"/>
      <w:sz w:val="16"/>
      <w:szCs w:val="16"/>
      <w:lang w:val="en-US"/>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en-GB"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en-GB"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en-GB"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val="en-US"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val="en-US"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44"/>
      </w:numPr>
    </w:pPr>
  </w:style>
  <w:style w:type="paragraph" w:customStyle="1" w:styleId="Numberedtitlelevel2">
    <w:name w:val="Numbered title level 2"/>
    <w:basedOn w:val="Titlelevel2"/>
    <w:next w:val="body"/>
    <w:qFormat/>
    <w:rsid w:val="00595FAD"/>
    <w:pPr>
      <w:numPr>
        <w:ilvl w:val="1"/>
        <w:numId w:val="44"/>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val="en-US"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val="en-US"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595FAD"/>
    <w:pPr>
      <w:numPr>
        <w:numId w:val="42"/>
      </w:numPr>
    </w:pPr>
    <w:rPr>
      <w:rFonts w:asciiTheme="minorHAnsi" w:eastAsiaTheme="minorEastAsia" w:hAnsiTheme="minorHAnsi" w:cstheme="minorBidi"/>
      <w:sz w:val="22"/>
      <w:szCs w:val="22"/>
      <w:lang w:val="en-US"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val="en-US"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43"/>
      </w:numPr>
      <w:spacing w:before="240" w:after="120"/>
      <w:contextualSpacing/>
    </w:pPr>
    <w:rPr>
      <w:rFonts w:asciiTheme="minorHAnsi" w:eastAsiaTheme="minorEastAsia" w:hAnsiTheme="minorHAnsi" w:cstheme="minorBidi"/>
      <w:sz w:val="22"/>
      <w:szCs w:val="24"/>
      <w:lang w:val="en-US"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val="en-US"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val="en-US"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val="en-US"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val="en-GB"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val="en-US"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val="en-US" w:eastAsia="en-US" w:bidi="ar-SA"/>
    </w:rPr>
  </w:style>
  <w:style w:type="paragraph" w:customStyle="1" w:styleId="bullet1">
    <w:name w:val="bullet 1"/>
    <w:basedOn w:val="body"/>
    <w:next w:val="body"/>
    <w:qFormat/>
    <w:rsid w:val="00595FAD"/>
    <w:pPr>
      <w:numPr>
        <w:numId w:val="40"/>
      </w:numPr>
    </w:pPr>
    <w:rPr>
      <w:szCs w:val="22"/>
    </w:rPr>
  </w:style>
  <w:style w:type="paragraph" w:customStyle="1" w:styleId="bullet2">
    <w:name w:val="bullet 2"/>
    <w:basedOn w:val="body"/>
    <w:qFormat/>
    <w:rsid w:val="00595FAD"/>
    <w:pPr>
      <w:numPr>
        <w:numId w:val="39"/>
      </w:numPr>
    </w:pPr>
    <w:rPr>
      <w:szCs w:val="22"/>
    </w:rPr>
  </w:style>
  <w:style w:type="paragraph" w:customStyle="1" w:styleId="Numberedtitlelevel3">
    <w:name w:val="Numbered title level 3"/>
    <w:basedOn w:val="Titlelevel3"/>
    <w:next w:val="body"/>
    <w:qFormat/>
    <w:rsid w:val="00595FAD"/>
    <w:pPr>
      <w:numPr>
        <w:ilvl w:val="2"/>
        <w:numId w:val="44"/>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val="en-US"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val="en-US"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41"/>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lang w:val="en-US"/>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en-US"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val="en-GB" w:eastAsia="en-GB"/>
    </w:rPr>
  </w:style>
  <w:style w:type="paragraph" w:styleId="ListBullet">
    <w:name w:val="List Bullet"/>
    <w:basedOn w:val="Normal"/>
    <w:semiHidden/>
    <w:qFormat/>
    <w:locked/>
    <w:rsid w:val="00595FAD"/>
    <w:pPr>
      <w:numPr>
        <w:numId w:val="46"/>
      </w:numPr>
      <w:spacing w:before="0" w:after="0"/>
      <w:contextualSpacing/>
      <w:jc w:val="left"/>
    </w:pPr>
    <w:rPr>
      <w:rFonts w:asciiTheme="minorHAnsi" w:eastAsiaTheme="minorEastAsia" w:hAnsiTheme="minorHAnsi" w:cstheme="minorBidi"/>
      <w:sz w:val="22"/>
      <w:lang w:val="en-US"/>
    </w:rPr>
  </w:style>
  <w:style w:type="paragraph" w:customStyle="1" w:styleId="numberedparagraph">
    <w:name w:val="numbered paragraph"/>
    <w:basedOn w:val="body"/>
    <w:qFormat/>
    <w:rsid w:val="00595FAD"/>
    <w:pPr>
      <w:numPr>
        <w:numId w:val="45"/>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47"/>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lang w:val="en-US"/>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val="fr-FR"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val="fr-FR"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val="fr-FR"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val="fr-FR"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Mention">
    <w:name w:val="Mention"/>
    <w:basedOn w:val="DefaultParagraphFont"/>
    <w:uiPriority w:val="99"/>
    <w:unhideWhenUsed/>
    <w:rsid w:val="00181D65"/>
    <w:rPr>
      <w:color w:val="2B579A"/>
      <w:shd w:val="clear" w:color="auto" w:fill="E1DFDD"/>
    </w:rPr>
  </w:style>
  <w:style w:type="paragraph" w:customStyle="1" w:styleId="pf0">
    <w:name w:val="pf0"/>
    <w:basedOn w:val="Normal"/>
    <w:rsid w:val="001A4B4F"/>
    <w:pPr>
      <w:spacing w:before="100" w:beforeAutospacing="1" w:after="100" w:afterAutospacing="1"/>
      <w:jc w:val="left"/>
    </w:pPr>
    <w:rPr>
      <w:rFonts w:ascii="Times New Roman" w:hAnsi="Times New Roman"/>
      <w:sz w:val="24"/>
      <w:lang w:eastAsia="en-GB"/>
    </w:rPr>
  </w:style>
  <w:style w:type="character" w:customStyle="1" w:styleId="ui-provider">
    <w:name w:val="ui-provider"/>
    <w:basedOn w:val="DefaultParagraphFont"/>
    <w:rsid w:val="009F3079"/>
  </w:style>
  <w:style w:type="character" w:customStyle="1" w:styleId="cf01">
    <w:name w:val="cf01"/>
    <w:basedOn w:val="DefaultParagraphFont"/>
    <w:rsid w:val="00ED0DB5"/>
    <w:rPr>
      <w:rFonts w:ascii="Segoe UI" w:hAnsi="Segoe UI" w:cs="Segoe UI" w:hint="default"/>
      <w:sz w:val="18"/>
      <w:szCs w:val="18"/>
    </w:rPr>
  </w:style>
  <w:style w:type="paragraph" w:styleId="BodyText">
    <w:name w:val="Body Text"/>
    <w:basedOn w:val="Normal"/>
    <w:link w:val="BodyTextChar"/>
    <w:locked/>
    <w:rsid w:val="00D01445"/>
    <w:pPr>
      <w:spacing w:before="0" w:after="140" w:line="259" w:lineRule="auto"/>
      <w:jc w:val="left"/>
    </w:pPr>
    <w:rPr>
      <w:rFonts w:ascii="Liberation Serif" w:eastAsia="SimSun" w:hAnsi="Liberation Serif" w:cs="Lucida Sans"/>
      <w:sz w:val="24"/>
      <w:lang w:val="de-DE" w:eastAsia="zh-CN" w:bidi="hi-IN"/>
    </w:rPr>
  </w:style>
  <w:style w:type="character" w:customStyle="1" w:styleId="BodyTextChar">
    <w:name w:val="Body Text Char"/>
    <w:basedOn w:val="DefaultParagraphFont"/>
    <w:link w:val="BodyText"/>
    <w:rsid w:val="00D01445"/>
    <w:rPr>
      <w:rFonts w:ascii="Liberation Serif" w:eastAsia="SimSun" w:hAnsi="Liberation Serif" w:cs="Lucida Sans"/>
      <w:sz w:val="24"/>
      <w:szCs w:val="24"/>
      <w:lang w:val="de-DE" w:eastAsia="zh-CN" w:bidi="hi-IN"/>
    </w:rPr>
  </w:style>
  <w:style w:type="paragraph" w:customStyle="1" w:styleId="Tabelleninhalt">
    <w:name w:val="Tabelleninhalt"/>
    <w:basedOn w:val="Normal"/>
    <w:qFormat/>
    <w:rsid w:val="00272B27"/>
    <w:pPr>
      <w:spacing w:before="0" w:after="0" w:line="259" w:lineRule="auto"/>
      <w:jc w:val="left"/>
    </w:pPr>
    <w:rPr>
      <w:rFonts w:ascii="Liberation Serif" w:eastAsia="SimSun" w:hAnsi="Liberation Serif" w:cs="Lucida Sans"/>
      <w:sz w:val="24"/>
      <w:lang w:val="de-DE" w:eastAsia="zh-CN" w:bidi="hi-IN"/>
    </w:rPr>
  </w:style>
  <w:style w:type="character" w:customStyle="1" w:styleId="cf11">
    <w:name w:val="cf11"/>
    <w:basedOn w:val="DefaultParagraphFont"/>
    <w:rsid w:val="001E1DC8"/>
    <w:rPr>
      <w:rFonts w:ascii="Segoe UI" w:hAnsi="Segoe UI" w:cs="Segoe UI" w:hint="default"/>
      <w:sz w:val="18"/>
      <w:szCs w:val="18"/>
      <w:u w:val="single"/>
    </w:rPr>
  </w:style>
  <w:style w:type="character" w:styleId="UnresolvedMention">
    <w:name w:val="Unresolved Mention"/>
    <w:basedOn w:val="DefaultParagraphFont"/>
    <w:uiPriority w:val="99"/>
    <w:semiHidden/>
    <w:unhideWhenUsed/>
    <w:rsid w:val="00240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697437424">
      <w:bodyDiv w:val="1"/>
      <w:marLeft w:val="0"/>
      <w:marRight w:val="0"/>
      <w:marTop w:val="0"/>
      <w:marBottom w:val="0"/>
      <w:divBdr>
        <w:top w:val="none" w:sz="0" w:space="0" w:color="auto"/>
        <w:left w:val="none" w:sz="0" w:space="0" w:color="auto"/>
        <w:bottom w:val="none" w:sz="0" w:space="0" w:color="auto"/>
        <w:right w:val="none" w:sz="0" w:space="0" w:color="auto"/>
      </w:divBdr>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75638303">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61116503">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247230632">
      <w:bodyDiv w:val="1"/>
      <w:marLeft w:val="0"/>
      <w:marRight w:val="0"/>
      <w:marTop w:val="0"/>
      <w:marBottom w:val="0"/>
      <w:divBdr>
        <w:top w:val="none" w:sz="0" w:space="0" w:color="auto"/>
        <w:left w:val="none" w:sz="0" w:space="0" w:color="auto"/>
        <w:bottom w:val="none" w:sz="0" w:space="0" w:color="auto"/>
        <w:right w:val="none" w:sz="0" w:space="0" w:color="auto"/>
      </w:divBdr>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 w:id="200215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dbab2e-3b56-44de-becc-0ec356b33dff">
      <Terms xmlns="http://schemas.microsoft.com/office/infopath/2007/PartnerControls"/>
    </lcf76f155ced4ddcb4097134ff3c332f>
    <TaxCatchAll xmlns="da0bec91-bd15-486a-844a-39cd7890c3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092A754480E944A1CB10007F634BC1" ma:contentTypeVersion="15" ma:contentTypeDescription="Create a new document." ma:contentTypeScope="" ma:versionID="04fd2bbf83f61cbb7f77305d7d33018e">
  <xsd:schema xmlns:xsd="http://www.w3.org/2001/XMLSchema" xmlns:xs="http://www.w3.org/2001/XMLSchema" xmlns:p="http://schemas.microsoft.com/office/2006/metadata/properties" xmlns:ns2="82dbab2e-3b56-44de-becc-0ec356b33dff" xmlns:ns3="da0bec91-bd15-486a-844a-39cd7890c3eb" targetNamespace="http://schemas.microsoft.com/office/2006/metadata/properties" ma:root="true" ma:fieldsID="9d3dd55a588f94d6839c48f92d239bc8" ns2:_="" ns3:_="">
    <xsd:import namespace="82dbab2e-3b56-44de-becc-0ec356b33dff"/>
    <xsd:import namespace="da0bec91-bd15-486a-844a-39cd7890c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bab2e-3b56-44de-becc-0ec356b33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9ef8c6-609c-46fa-9e5c-e4dc5d0a7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0bec91-bd15-486a-844a-39cd7890c3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1d846e-bdaa-4578-b787-1940367c6c23}" ma:internalName="TaxCatchAll" ma:showField="CatchAllData" ma:web="da0bec91-bd15-486a-844a-39cd7890c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D0F0D9-9BF3-4E33-B3A6-4C1191582AF3}">
  <ds:schemaRefs>
    <ds:schemaRef ds:uri="http://schemas.microsoft.com/office/2006/metadata/properties"/>
    <ds:schemaRef ds:uri="http://schemas.microsoft.com/office/infopath/2007/PartnerControls"/>
    <ds:schemaRef ds:uri="82dbab2e-3b56-44de-becc-0ec356b33dff"/>
    <ds:schemaRef ds:uri="da0bec91-bd15-486a-844a-39cd7890c3eb"/>
  </ds:schemaRefs>
</ds:datastoreItem>
</file>

<file path=customXml/itemProps2.xml><?xml version="1.0" encoding="utf-8"?>
<ds:datastoreItem xmlns:ds="http://schemas.openxmlformats.org/officeDocument/2006/customXml" ds:itemID="{FFA3F6AF-D78C-4318-9936-7FF2FC497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bab2e-3b56-44de-becc-0ec356b33dff"/>
    <ds:schemaRef ds:uri="da0bec91-bd15-486a-844a-39cd7890c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customXml/itemProps4.xml><?xml version="1.0" encoding="utf-8"?>
<ds:datastoreItem xmlns:ds="http://schemas.openxmlformats.org/officeDocument/2006/customXml" ds:itemID="{C9D8732D-68BE-4618-AF70-8C6846EB9E66}">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20</Pages>
  <Words>6250</Words>
  <Characters>35626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cp:revision>
  <dcterms:created xsi:type="dcterms:W3CDTF">2024-06-19T18:18:00Z</dcterms:created>
  <dcterms:modified xsi:type="dcterms:W3CDTF">2024-06-21T12:25:00Z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0x010100AA092A754480E944A1CB10007F634BC1</vt:lpwstr>
  </property>
</Properties>
</file>