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3B806" w14:textId="07000D86" w:rsidR="009E7D0C" w:rsidRDefault="009E7D0C" w:rsidP="00A33695">
      <w:pPr>
        <w:jc w:val="center"/>
        <w:rPr>
          <w:rFonts w:ascii="Times New Roman" w:hAnsi="Times New Roman"/>
          <w:sz w:val="24"/>
        </w:rPr>
      </w:pPr>
      <w:bookmarkStart w:id="0" w:name="_Toc262568021"/>
      <w:bookmarkStart w:id="1" w:name="_Toc295829847"/>
      <w:r>
        <w:rPr>
          <w:rFonts w:ascii="Times New Roman" w:hAnsi="Times New Roman"/>
          <w:sz w:val="24"/>
        </w:rPr>
        <w:t>EN</w:t>
      </w:r>
    </w:p>
    <w:p w14:paraId="2704A83C" w14:textId="77777777" w:rsidR="009E7D0C" w:rsidRDefault="009E7D0C" w:rsidP="00A33695">
      <w:pPr>
        <w:jc w:val="center"/>
        <w:rPr>
          <w:rFonts w:ascii="Times New Roman" w:hAnsi="Times New Roman"/>
          <w:sz w:val="24"/>
        </w:rPr>
      </w:pPr>
    </w:p>
    <w:p w14:paraId="24333E7A" w14:textId="5D6FD9D5" w:rsidR="008D696E" w:rsidRDefault="008D696E" w:rsidP="00A33695">
      <w:pPr>
        <w:jc w:val="center"/>
        <w:rPr>
          <w:rFonts w:ascii="Times New Roman" w:hAnsi="Times New Roman"/>
          <w:sz w:val="24"/>
        </w:rPr>
      </w:pPr>
      <w:r>
        <w:rPr>
          <w:rFonts w:ascii="Times New Roman" w:hAnsi="Times New Roman"/>
          <w:sz w:val="24"/>
        </w:rPr>
        <w:t>ANNEX II</w:t>
      </w:r>
    </w:p>
    <w:p w14:paraId="37362007" w14:textId="6FB5EC15" w:rsidR="002648B0" w:rsidRPr="002A677E" w:rsidRDefault="008D696E" w:rsidP="00A33695">
      <w:pPr>
        <w:jc w:val="center"/>
        <w:rPr>
          <w:rFonts w:ascii="Times New Roman" w:hAnsi="Times New Roman"/>
          <w:sz w:val="24"/>
        </w:rPr>
      </w:pPr>
      <w:r>
        <w:rPr>
          <w:rFonts w:ascii="Times New Roman" w:hAnsi="Times New Roman"/>
          <w:sz w:val="24"/>
        </w:rPr>
        <w:t>‘</w:t>
      </w:r>
      <w:r w:rsidR="002648B0" w:rsidRPr="002A677E">
        <w:rPr>
          <w:rFonts w:ascii="Times New Roman" w:hAnsi="Times New Roman"/>
          <w:sz w:val="24"/>
        </w:rPr>
        <w:t>ANNEX II</w:t>
      </w:r>
    </w:p>
    <w:p w14:paraId="1330A6A8" w14:textId="5D7F4003" w:rsidR="000F1AF3" w:rsidRPr="00D41692" w:rsidRDefault="00D11E4C" w:rsidP="00D41692">
      <w:pPr>
        <w:jc w:val="center"/>
        <w:rPr>
          <w:rFonts w:ascii="Times New Roman" w:hAnsi="Times New Roman"/>
          <w:b/>
          <w:sz w:val="24"/>
          <w:lang w:eastAsia="de-DE"/>
        </w:rPr>
      </w:pPr>
      <w:r w:rsidRPr="002A677E">
        <w:rPr>
          <w:rFonts w:ascii="Times New Roman" w:hAnsi="Times New Roman"/>
          <w:b/>
          <w:sz w:val="24"/>
          <w:lang w:eastAsia="de-DE"/>
        </w:rPr>
        <w:t xml:space="preserve">INSTRUCTIONS FOR </w:t>
      </w:r>
      <w:r w:rsidR="002648B0" w:rsidRPr="002A677E">
        <w:rPr>
          <w:rFonts w:ascii="Times New Roman" w:hAnsi="Times New Roman"/>
          <w:b/>
          <w:sz w:val="24"/>
          <w:lang w:eastAsia="de-DE"/>
        </w:rPr>
        <w:t xml:space="preserve">REPORTING ON </w:t>
      </w:r>
      <w:r w:rsidR="00480A69" w:rsidRPr="002A677E">
        <w:rPr>
          <w:rFonts w:ascii="Times New Roman" w:hAnsi="Times New Roman"/>
          <w:b/>
          <w:sz w:val="24"/>
          <w:lang w:eastAsia="de-DE"/>
        </w:rPr>
        <w:t xml:space="preserve">OWN FUNDS AND </w:t>
      </w:r>
      <w:r w:rsidR="002648B0" w:rsidRPr="002A677E">
        <w:rPr>
          <w:rFonts w:ascii="Times New Roman" w:hAnsi="Times New Roman"/>
          <w:b/>
          <w:sz w:val="24"/>
          <w:lang w:eastAsia="de-DE"/>
        </w:rPr>
        <w:t>OWN FUNDS REQUIREMENTS</w:t>
      </w:r>
      <w:bookmarkStart w:id="2" w:name="_Toc264033192"/>
      <w:bookmarkEnd w:id="2"/>
      <w:bookmarkEnd w:id="0"/>
      <w:bookmarkEnd w:id="1"/>
      <w:r w:rsidR="000F1AF3">
        <w:rPr>
          <w:rFonts w:ascii="Times New Roman" w:hAnsi="Times New Roman"/>
          <w:b/>
          <w:sz w:val="24"/>
          <w:lang w:eastAsia="de-DE"/>
        </w:rPr>
        <w:t xml:space="preserve">  </w:t>
      </w:r>
    </w:p>
    <w:p w14:paraId="4C764596" w14:textId="77777777" w:rsidR="000F1AF3" w:rsidRPr="002A677E" w:rsidRDefault="000F1AF3" w:rsidP="000F1AF3">
      <w:pPr>
        <w:rPr>
          <w:rFonts w:ascii="Times New Roman" w:hAnsi="Times New Roman"/>
          <w:sz w:val="24"/>
        </w:rPr>
      </w:pPr>
    </w:p>
    <w:p w14:paraId="70585B10" w14:textId="77777777" w:rsidR="000F1AF3" w:rsidRDefault="000F1AF3" w:rsidP="000F1AF3">
      <w:pPr>
        <w:pStyle w:val="Heading2"/>
        <w:rPr>
          <w:rFonts w:ascii="Times New Roman" w:hAnsi="Times New Roman"/>
          <w:lang w:val="en-GB"/>
        </w:rPr>
      </w:pPr>
      <w:bookmarkStart w:id="3" w:name="_Toc360188322"/>
      <w:bookmarkStart w:id="4" w:name="_Toc473560870"/>
      <w:bookmarkStart w:id="5" w:name="_Toc151714358"/>
      <w:r w:rsidRPr="002A677E">
        <w:rPr>
          <w:rFonts w:ascii="Times New Roman" w:hAnsi="Times New Roman"/>
          <w:lang w:val="en-GB"/>
        </w:rPr>
        <w:t>PART II: TEMPLATE RELATED INSTRUCTIONS</w:t>
      </w:r>
      <w:bookmarkEnd w:id="3"/>
      <w:bookmarkEnd w:id="4"/>
      <w:bookmarkEnd w:id="5"/>
    </w:p>
    <w:p w14:paraId="08AA7146" w14:textId="77777777" w:rsidR="000F1AF3" w:rsidRDefault="000F1AF3" w:rsidP="000F1AF3">
      <w:pPr>
        <w:rPr>
          <w:lang w:eastAsia="x-none"/>
        </w:rPr>
      </w:pPr>
    </w:p>
    <w:p w14:paraId="0DC832AB" w14:textId="77777777" w:rsidR="000F1AF3" w:rsidRPr="00964546" w:rsidRDefault="000F1AF3" w:rsidP="000F1AF3">
      <w:pPr>
        <w:rPr>
          <w:lang w:eastAsia="x-none"/>
        </w:rPr>
      </w:pPr>
      <w:r>
        <w:rPr>
          <w:lang w:eastAsia="x-none"/>
        </w:rPr>
        <w:t>(…)</w:t>
      </w:r>
    </w:p>
    <w:p w14:paraId="7F7A0FD4" w14:textId="77777777" w:rsidR="00FC6275" w:rsidRPr="002A677E" w:rsidRDefault="00FC6275">
      <w:pPr>
        <w:spacing w:before="0" w:after="0"/>
        <w:jc w:val="left"/>
        <w:rPr>
          <w:rStyle w:val="InstructionsTabelleText"/>
          <w:rFonts w:ascii="Times New Roman" w:hAnsi="Times New Roman"/>
          <w:b/>
          <w:sz w:val="24"/>
        </w:rPr>
      </w:pPr>
    </w:p>
    <w:p w14:paraId="08BE46FC" w14:textId="77777777" w:rsidR="00AC6255" w:rsidRPr="002A677E" w:rsidRDefault="00CE4C49" w:rsidP="0023700C">
      <w:pPr>
        <w:pStyle w:val="Instructionsberschrift2"/>
        <w:numPr>
          <w:ilvl w:val="0"/>
          <w:numId w:val="0"/>
        </w:numPr>
        <w:ind w:left="357" w:hanging="357"/>
        <w:rPr>
          <w:rFonts w:ascii="Times New Roman" w:hAnsi="Times New Roman" w:cs="Times New Roman"/>
          <w:sz w:val="24"/>
          <w:lang w:val="en-GB"/>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2A677E">
        <w:rPr>
          <w:rFonts w:ascii="Times New Roman" w:hAnsi="Times New Roman" w:cs="Times New Roman"/>
          <w:sz w:val="24"/>
          <w:lang w:val="en-GB"/>
        </w:rPr>
        <w:t>4.</w:t>
      </w:r>
      <w:r w:rsidRPr="002A677E">
        <w:rPr>
          <w:rFonts w:ascii="Times New Roman" w:hAnsi="Times New Roman" w:cs="Times New Roman"/>
          <w:sz w:val="24"/>
          <w:lang w:val="en-GB"/>
        </w:rPr>
        <w:tab/>
      </w:r>
      <w:r w:rsidR="00AC6255" w:rsidRPr="002A677E">
        <w:rPr>
          <w:rFonts w:ascii="Times New Roman" w:hAnsi="Times New Roman" w:cs="Times New Roman"/>
          <w:sz w:val="24"/>
          <w:lang w:val="en-GB"/>
        </w:rPr>
        <w:t>Operational Risk Templates</w:t>
      </w:r>
      <w:bookmarkEnd w:id="6"/>
      <w:bookmarkEnd w:id="7"/>
      <w:bookmarkEnd w:id="8"/>
      <w:bookmarkEnd w:id="9"/>
      <w:bookmarkEnd w:id="10"/>
      <w:bookmarkEnd w:id="11"/>
      <w:bookmarkEnd w:id="12"/>
    </w:p>
    <w:bookmarkEnd w:id="13"/>
    <w:bookmarkEnd w:id="14"/>
    <w:bookmarkEnd w:id="15"/>
    <w:bookmarkEnd w:id="16"/>
    <w:bookmarkEnd w:id="17"/>
    <w:p w14:paraId="1DB1CCA4" w14:textId="12DF301B" w:rsidR="00AC6255"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136</w:t>
      </w:r>
      <w:r>
        <w:rPr>
          <w:noProof/>
        </w:rPr>
        <w:fldChar w:fldCharType="end"/>
      </w:r>
      <w:r w:rsidR="006660B9" w:rsidRPr="002A677E">
        <w:t>.</w:t>
      </w:r>
      <w:r w:rsidR="006660B9" w:rsidRPr="002A677E">
        <w:tab/>
      </w:r>
      <w:r w:rsidR="00DB52C6">
        <w:t>[empty]</w:t>
      </w:r>
      <w:r w:rsidR="005C14B0" w:rsidRPr="002A677E">
        <w:t xml:space="preserve"> </w:t>
      </w:r>
    </w:p>
    <w:p w14:paraId="4904781C" w14:textId="02CDAF2E" w:rsidR="00AC6255"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137</w:t>
      </w:r>
      <w:r>
        <w:rPr>
          <w:noProof/>
        </w:rPr>
        <w:fldChar w:fldCharType="end"/>
      </w:r>
      <w:r w:rsidR="00125707" w:rsidRPr="002A677E">
        <w:t>.</w:t>
      </w:r>
      <w:r w:rsidR="005C14B0" w:rsidRPr="002A677E">
        <w:t xml:space="preserve"> </w:t>
      </w:r>
      <w:r w:rsidR="00DB52C6">
        <w:t xml:space="preserve">[empty] </w:t>
      </w:r>
    </w:p>
    <w:p w14:paraId="4B809D6B" w14:textId="0B845704" w:rsidR="00AC6255"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138</w:t>
      </w:r>
      <w:r>
        <w:rPr>
          <w:noProof/>
        </w:rPr>
        <w:fldChar w:fldCharType="end"/>
      </w:r>
      <w:r w:rsidR="00125707" w:rsidRPr="002A677E">
        <w:t>.</w:t>
      </w:r>
      <w:r w:rsidR="00125707" w:rsidRPr="002A677E">
        <w:tab/>
      </w:r>
      <w:r w:rsidR="00DB52C6">
        <w:t xml:space="preserve">[empty] </w:t>
      </w:r>
    </w:p>
    <w:p w14:paraId="2023E425" w14:textId="5437B6F0" w:rsidR="00AC6255"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139</w:t>
      </w:r>
      <w:r>
        <w:rPr>
          <w:noProof/>
        </w:rPr>
        <w:fldChar w:fldCharType="end"/>
      </w:r>
      <w:r w:rsidR="00125707" w:rsidRPr="002A677E">
        <w:t>.</w:t>
      </w:r>
      <w:r w:rsidR="00125707" w:rsidRPr="002A677E">
        <w:tab/>
      </w:r>
      <w:r w:rsidR="00DB52C6">
        <w:t>[empty]</w:t>
      </w:r>
      <w:r w:rsidR="005C14B0" w:rsidRPr="002A677E">
        <w:t xml:space="preserve"> </w:t>
      </w:r>
    </w:p>
    <w:p w14:paraId="1BF423DA" w14:textId="44AC9F92" w:rsidR="00AC6255"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140</w:t>
      </w:r>
      <w:r>
        <w:rPr>
          <w:noProof/>
        </w:rPr>
        <w:fldChar w:fldCharType="end"/>
      </w:r>
      <w:r w:rsidR="00125707" w:rsidRPr="002A677E">
        <w:t>.</w:t>
      </w:r>
      <w:r w:rsidR="00125707" w:rsidRPr="002A677E">
        <w:tab/>
      </w:r>
      <w:r w:rsidR="005C14B0" w:rsidRPr="002A677E">
        <w:t xml:space="preserve"> </w:t>
      </w:r>
      <w:r w:rsidR="00DB52C6">
        <w:t xml:space="preserve">[empty] </w:t>
      </w:r>
    </w:p>
    <w:p w14:paraId="001035D2" w14:textId="1BD5781A" w:rsidR="00AC6255"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141</w:t>
      </w:r>
      <w:r>
        <w:rPr>
          <w:noProof/>
        </w:rPr>
        <w:fldChar w:fldCharType="end"/>
      </w:r>
      <w:r w:rsidR="00125707" w:rsidRPr="002A677E">
        <w:t>.</w:t>
      </w:r>
      <w:r w:rsidR="00125707" w:rsidRPr="002A677E">
        <w:tab/>
      </w:r>
      <w:r w:rsidR="00DB52C6">
        <w:t>[empty]</w:t>
      </w:r>
    </w:p>
    <w:p w14:paraId="23737963" w14:textId="77777777" w:rsidR="0062765D" w:rsidRPr="0062765D" w:rsidRDefault="0062765D" w:rsidP="0062765D">
      <w:pPr>
        <w:keepNext/>
        <w:spacing w:before="240" w:after="240"/>
        <w:ind w:left="357" w:hanging="357"/>
        <w:outlineLvl w:val="1"/>
        <w:rPr>
          <w:rFonts w:ascii="Times New Roman" w:eastAsia="Arial" w:hAnsi="Times New Roman"/>
          <w:sz w:val="24"/>
          <w:u w:val="single"/>
          <w:lang w:eastAsia="x-none"/>
        </w:rPr>
      </w:pPr>
      <w:bookmarkStart w:id="18" w:name="_Toc152862711"/>
      <w:r w:rsidRPr="0062765D">
        <w:rPr>
          <w:rFonts w:ascii="Times New Roman" w:eastAsia="Arial" w:hAnsi="Times New Roman"/>
          <w:sz w:val="24"/>
          <w:lang w:eastAsia="x-none"/>
        </w:rPr>
        <w:t>4.1.</w:t>
      </w:r>
      <w:r w:rsidRPr="0062765D">
        <w:rPr>
          <w:rFonts w:ascii="Times New Roman" w:eastAsia="Arial" w:hAnsi="Times New Roman"/>
          <w:sz w:val="24"/>
          <w:lang w:eastAsia="x-none"/>
        </w:rPr>
        <w:tab/>
      </w:r>
      <w:r w:rsidRPr="0062765D">
        <w:rPr>
          <w:rFonts w:ascii="Times New Roman" w:eastAsia="Arial" w:hAnsi="Times New Roman"/>
          <w:sz w:val="24"/>
          <w:u w:val="single"/>
          <w:lang w:eastAsia="x-none"/>
        </w:rPr>
        <w:t>Reporting of own funds requirements for Operational risk</w:t>
      </w:r>
      <w:bookmarkEnd w:id="18"/>
    </w:p>
    <w:p w14:paraId="200487A9" w14:textId="77777777" w:rsidR="0062765D" w:rsidRPr="0062765D" w:rsidRDefault="0062765D" w:rsidP="0062765D">
      <w:pPr>
        <w:keepNext/>
        <w:spacing w:before="240" w:after="240"/>
        <w:ind w:left="357" w:hanging="357"/>
        <w:outlineLvl w:val="1"/>
        <w:rPr>
          <w:rFonts w:ascii="Times New Roman" w:eastAsia="Arial" w:hAnsi="Times New Roman"/>
          <w:sz w:val="24"/>
          <w:u w:val="single"/>
          <w:lang w:eastAsia="x-none"/>
        </w:rPr>
      </w:pPr>
      <w:bookmarkStart w:id="19" w:name="_Toc152862712"/>
      <w:r w:rsidRPr="0062765D">
        <w:rPr>
          <w:rFonts w:ascii="Times New Roman" w:eastAsia="Arial" w:hAnsi="Times New Roman"/>
          <w:sz w:val="24"/>
          <w:lang w:eastAsia="x-none"/>
        </w:rPr>
        <w:t>4.1.1.</w:t>
      </w:r>
      <w:r w:rsidRPr="0062765D">
        <w:rPr>
          <w:rFonts w:ascii="Times New Roman" w:eastAsia="Arial" w:hAnsi="Times New Roman"/>
          <w:sz w:val="24"/>
          <w:lang w:eastAsia="x-none"/>
        </w:rPr>
        <w:tab/>
      </w:r>
      <w:r w:rsidRPr="0062765D">
        <w:rPr>
          <w:rFonts w:ascii="Times New Roman" w:eastAsia="Arial" w:hAnsi="Times New Roman"/>
          <w:sz w:val="24"/>
          <w:u w:val="single"/>
          <w:lang w:eastAsia="x-none"/>
        </w:rPr>
        <w:t>General Remarks</w:t>
      </w:r>
      <w:bookmarkEnd w:id="19"/>
    </w:p>
    <w:p w14:paraId="60C67A56" w14:textId="5F0C19D1" w:rsidR="0062765D" w:rsidRPr="0062765D" w:rsidRDefault="0062765D" w:rsidP="00855EF0">
      <w:pPr>
        <w:spacing w:before="0" w:after="240"/>
        <w:ind w:left="360" w:hanging="360"/>
        <w:rPr>
          <w:rFonts w:ascii="Times New Roman" w:hAnsi="Times New Roman"/>
          <w:noProof/>
          <w:sz w:val="24"/>
          <w:lang w:eastAsia="de-DE"/>
        </w:rPr>
      </w:pPr>
      <w:r w:rsidRPr="0062765D">
        <w:rPr>
          <w:rFonts w:ascii="Times New Roman" w:hAnsi="Times New Roman"/>
          <w:sz w:val="24"/>
          <w:lang w:eastAsia="de-DE"/>
        </w:rPr>
        <w:t>1</w:t>
      </w:r>
      <w:r w:rsidR="00DB52C6">
        <w:rPr>
          <w:rFonts w:ascii="Times New Roman" w:hAnsi="Times New Roman"/>
          <w:sz w:val="24"/>
          <w:lang w:eastAsia="de-DE"/>
        </w:rPr>
        <w:t>41a</w:t>
      </w:r>
      <w:r w:rsidRPr="0062765D">
        <w:rPr>
          <w:rFonts w:ascii="Times New Roman" w:hAnsi="Times New Roman"/>
          <w:sz w:val="24"/>
          <w:lang w:eastAsia="de-DE"/>
        </w:rPr>
        <w:t xml:space="preserve">. </w:t>
      </w:r>
      <w:r w:rsidRPr="0062765D">
        <w:rPr>
          <w:rFonts w:ascii="Times New Roman" w:hAnsi="Times New Roman"/>
          <w:noProof/>
          <w:sz w:val="24"/>
          <w:lang w:eastAsia="de-DE"/>
        </w:rPr>
        <w:t>Template C 16.01 captures the own funds requirements (OFR) for operational risk under the Business Indicator Component (BIC) and the related Business indicator (BI) in accordance with Article</w:t>
      </w:r>
      <w:r w:rsidR="001B4C43">
        <w:rPr>
          <w:rFonts w:ascii="Times New Roman" w:hAnsi="Times New Roman"/>
          <w:noProof/>
          <w:sz w:val="24"/>
          <w:lang w:eastAsia="de-DE"/>
        </w:rPr>
        <w:t>s</w:t>
      </w:r>
      <w:r w:rsidRPr="0062765D">
        <w:rPr>
          <w:rFonts w:ascii="Times New Roman" w:hAnsi="Times New Roman"/>
          <w:noProof/>
          <w:sz w:val="24"/>
          <w:lang w:eastAsia="de-DE"/>
        </w:rPr>
        <w:t xml:space="preserve"> 312</w:t>
      </w:r>
      <w:r w:rsidR="001B4C43">
        <w:rPr>
          <w:rFonts w:ascii="Times New Roman" w:hAnsi="Times New Roman"/>
          <w:noProof/>
          <w:sz w:val="24"/>
          <w:lang w:eastAsia="de-DE"/>
        </w:rPr>
        <w:t xml:space="preserve"> to </w:t>
      </w:r>
      <w:r w:rsidRPr="0062765D">
        <w:rPr>
          <w:rFonts w:ascii="Times New Roman" w:hAnsi="Times New Roman"/>
          <w:noProof/>
          <w:sz w:val="24"/>
          <w:lang w:eastAsia="de-DE"/>
        </w:rPr>
        <w:t>314 of Regulation (EU) No 575/2013.</w:t>
      </w:r>
    </w:p>
    <w:p w14:paraId="2BDF4A3C" w14:textId="48C88916" w:rsidR="00A85FE5" w:rsidRPr="0062765D" w:rsidRDefault="00DB52C6" w:rsidP="00F72493">
      <w:pPr>
        <w:spacing w:before="0" w:after="240"/>
        <w:ind w:left="360" w:hanging="360"/>
        <w:rPr>
          <w:rFonts w:ascii="Times New Roman" w:hAnsi="Times New Roman"/>
          <w:noProof/>
          <w:sz w:val="24"/>
          <w:lang w:eastAsia="de-DE"/>
        </w:rPr>
      </w:pPr>
      <w:r>
        <w:rPr>
          <w:rFonts w:ascii="Times New Roman" w:hAnsi="Times New Roman"/>
          <w:noProof/>
          <w:sz w:val="24"/>
          <w:lang w:eastAsia="de-DE"/>
        </w:rPr>
        <w:t>141b</w:t>
      </w:r>
      <w:r w:rsidR="0062765D" w:rsidRPr="0062765D">
        <w:rPr>
          <w:rFonts w:ascii="Times New Roman" w:hAnsi="Times New Roman"/>
          <w:noProof/>
          <w:sz w:val="24"/>
          <w:lang w:eastAsia="de-DE"/>
        </w:rPr>
        <w:t xml:space="preserve">. Institutions shall report all amounts based on the accounting framework they use for the reporting of financial information, unless otherwise specified in this Annex. </w:t>
      </w:r>
    </w:p>
    <w:p w14:paraId="3F5B8138" w14:textId="1377326F" w:rsidR="0062765D" w:rsidRPr="0062765D" w:rsidRDefault="00DB52C6" w:rsidP="0062765D">
      <w:pPr>
        <w:spacing w:before="0" w:after="240"/>
        <w:ind w:left="360" w:hanging="360"/>
        <w:rPr>
          <w:rFonts w:ascii="Times New Roman" w:hAnsi="Times New Roman"/>
          <w:noProof/>
          <w:sz w:val="24"/>
          <w:lang w:eastAsia="de-DE"/>
        </w:rPr>
      </w:pPr>
      <w:r>
        <w:rPr>
          <w:rFonts w:ascii="Times New Roman" w:hAnsi="Times New Roman"/>
          <w:noProof/>
          <w:sz w:val="24"/>
          <w:lang w:eastAsia="de-DE"/>
        </w:rPr>
        <w:t>141c</w:t>
      </w:r>
      <w:r w:rsidR="0062765D" w:rsidRPr="0062765D">
        <w:rPr>
          <w:rFonts w:ascii="Times New Roman" w:hAnsi="Times New Roman"/>
          <w:noProof/>
          <w:sz w:val="24"/>
          <w:lang w:eastAsia="de-DE"/>
        </w:rPr>
        <w:t>. Institutions shall calculate their OFR and report information in the templates, based on the information available at the financial year-end. The last three twelve-monthly observations starting from the end of the</w:t>
      </w:r>
      <w:r w:rsidR="00995F08">
        <w:rPr>
          <w:rFonts w:ascii="Times New Roman" w:hAnsi="Times New Roman"/>
          <w:noProof/>
          <w:sz w:val="24"/>
          <w:lang w:eastAsia="de-DE"/>
        </w:rPr>
        <w:t xml:space="preserve"> </w:t>
      </w:r>
      <w:r w:rsidR="00A96300">
        <w:rPr>
          <w:rFonts w:ascii="Times New Roman" w:hAnsi="Times New Roman"/>
          <w:noProof/>
          <w:sz w:val="24"/>
          <w:lang w:eastAsia="de-DE"/>
        </w:rPr>
        <w:t>f</w:t>
      </w:r>
      <w:r w:rsidR="0062765D" w:rsidRPr="0062765D">
        <w:rPr>
          <w:rFonts w:ascii="Times New Roman" w:hAnsi="Times New Roman"/>
          <w:noProof/>
          <w:sz w:val="24"/>
          <w:lang w:eastAsia="de-DE"/>
        </w:rPr>
        <w:t xml:space="preserve">inancial year shall therefore be used (e.g. for reporting </w:t>
      </w:r>
      <w:r w:rsidR="00BC5ECA" w:rsidRPr="0062765D">
        <w:rPr>
          <w:rFonts w:ascii="Times New Roman" w:hAnsi="Times New Roman"/>
          <w:noProof/>
          <w:sz w:val="24"/>
          <w:lang w:eastAsia="de-DE"/>
        </w:rPr>
        <w:t>date</w:t>
      </w:r>
      <w:r w:rsidR="00BC5ECA">
        <w:rPr>
          <w:rFonts w:ascii="Times New Roman" w:hAnsi="Times New Roman"/>
          <w:noProof/>
          <w:sz w:val="24"/>
          <w:lang w:eastAsia="de-DE"/>
        </w:rPr>
        <w:t>s</w:t>
      </w:r>
      <w:r w:rsidR="00BC5ECA" w:rsidRPr="0062765D">
        <w:rPr>
          <w:rFonts w:ascii="Times New Roman" w:hAnsi="Times New Roman"/>
          <w:noProof/>
          <w:sz w:val="24"/>
          <w:lang w:eastAsia="de-DE"/>
        </w:rPr>
        <w:t xml:space="preserve"> “</w:t>
      </w:r>
      <w:r w:rsidR="00BC5ECA">
        <w:rPr>
          <w:rFonts w:ascii="Times New Roman" w:hAnsi="Times New Roman"/>
          <w:noProof/>
          <w:sz w:val="24"/>
          <w:lang w:eastAsia="de-DE"/>
        </w:rPr>
        <w:t xml:space="preserve">December Y-1, </w:t>
      </w:r>
      <w:r w:rsidR="00BC5ECA" w:rsidRPr="0062765D">
        <w:rPr>
          <w:rFonts w:ascii="Times New Roman" w:hAnsi="Times New Roman"/>
          <w:noProof/>
          <w:sz w:val="24"/>
          <w:lang w:eastAsia="de-DE"/>
        </w:rPr>
        <w:t>March</w:t>
      </w:r>
      <w:r w:rsidR="00BC5ECA">
        <w:rPr>
          <w:rFonts w:ascii="Times New Roman" w:hAnsi="Times New Roman"/>
          <w:noProof/>
          <w:sz w:val="24"/>
          <w:lang w:eastAsia="de-DE"/>
        </w:rPr>
        <w:t xml:space="preserve"> Y, June Y, September Y</w:t>
      </w:r>
      <w:r w:rsidR="00BC5ECA" w:rsidRPr="0062765D">
        <w:rPr>
          <w:rFonts w:ascii="Times New Roman" w:hAnsi="Times New Roman"/>
          <w:noProof/>
          <w:sz w:val="24"/>
          <w:lang w:eastAsia="de-DE"/>
        </w:rPr>
        <w:t xml:space="preserve">” </w:t>
      </w:r>
      <w:r w:rsidR="0062765D" w:rsidRPr="0062765D">
        <w:rPr>
          <w:rFonts w:ascii="Times New Roman" w:hAnsi="Times New Roman"/>
          <w:noProof/>
          <w:sz w:val="24"/>
          <w:lang w:eastAsia="de-DE"/>
        </w:rPr>
        <w:t xml:space="preserve">and a financial year – end “December 31”, the calculations shall be based on the financial situation as at “December 31” using the whole financial years Y-1, Y-2 and Y-3).   </w:t>
      </w:r>
    </w:p>
    <w:p w14:paraId="34790AA0" w14:textId="4FE91511" w:rsidR="0062765D" w:rsidRDefault="00DB52C6" w:rsidP="0062765D">
      <w:pPr>
        <w:spacing w:before="0" w:after="240"/>
        <w:ind w:left="360" w:hanging="360"/>
        <w:rPr>
          <w:rFonts w:ascii="Times New Roman" w:hAnsi="Times New Roman"/>
          <w:sz w:val="24"/>
          <w:lang w:eastAsia="de-DE"/>
        </w:rPr>
      </w:pPr>
      <w:r>
        <w:rPr>
          <w:rFonts w:ascii="Times New Roman" w:hAnsi="Times New Roman"/>
          <w:sz w:val="24"/>
          <w:lang w:eastAsia="de-DE"/>
        </w:rPr>
        <w:t>141d</w:t>
      </w:r>
      <w:r w:rsidR="0062765D" w:rsidRPr="0062765D">
        <w:rPr>
          <w:rFonts w:ascii="Times New Roman" w:hAnsi="Times New Roman"/>
          <w:sz w:val="24"/>
          <w:lang w:eastAsia="de-DE"/>
        </w:rPr>
        <w:t xml:space="preserve">. Where audited figures are not available, institutions may use business estimates. Where audited figures are used, institutions shall report the audited figures which are expected to </w:t>
      </w:r>
      <w:r w:rsidR="0062765D" w:rsidRPr="0062765D">
        <w:rPr>
          <w:rFonts w:ascii="Times New Roman" w:hAnsi="Times New Roman"/>
          <w:sz w:val="24"/>
          <w:lang w:eastAsia="de-DE"/>
        </w:rPr>
        <w:lastRenderedPageBreak/>
        <w:t xml:space="preserve">remain unchanged. Deviations from this "unchanged" principle are possible in accordance with Article 315 paragraphs 1 and 2 of Regulation (EU) No 575/2013. </w:t>
      </w:r>
    </w:p>
    <w:p w14:paraId="27F080A5" w14:textId="6DE910D0" w:rsidR="00FA5064" w:rsidRDefault="00DB52C6" w:rsidP="00FA5064">
      <w:pPr>
        <w:spacing w:before="0" w:after="240"/>
        <w:ind w:left="360" w:hanging="360"/>
        <w:rPr>
          <w:rFonts w:ascii="Times New Roman" w:hAnsi="Times New Roman"/>
          <w:sz w:val="24"/>
          <w:lang w:eastAsia="de-DE"/>
        </w:rPr>
      </w:pPr>
      <w:r>
        <w:rPr>
          <w:rFonts w:ascii="Times New Roman" w:hAnsi="Times New Roman"/>
          <w:sz w:val="24"/>
          <w:lang w:eastAsia="de-DE"/>
        </w:rPr>
        <w:t>141e</w:t>
      </w:r>
      <w:r w:rsidR="00FA5064" w:rsidRPr="0062765D">
        <w:rPr>
          <w:rFonts w:ascii="Times New Roman" w:hAnsi="Times New Roman"/>
          <w:sz w:val="24"/>
          <w:lang w:eastAsia="de-DE"/>
        </w:rPr>
        <w:t xml:space="preserve">. Institutions shall not include in reporting any figures </w:t>
      </w:r>
      <w:proofErr w:type="spellStart"/>
      <w:r w:rsidR="00FA5064" w:rsidRPr="0062765D">
        <w:rPr>
          <w:rFonts w:ascii="Times New Roman" w:hAnsi="Times New Roman"/>
          <w:sz w:val="24"/>
          <w:lang w:eastAsia="de-DE"/>
        </w:rPr>
        <w:t>refering</w:t>
      </w:r>
      <w:proofErr w:type="spellEnd"/>
      <w:r w:rsidR="00FA5064" w:rsidRPr="0062765D">
        <w:rPr>
          <w:rFonts w:ascii="Times New Roman" w:hAnsi="Times New Roman"/>
          <w:sz w:val="24"/>
          <w:lang w:eastAsia="de-DE"/>
        </w:rPr>
        <w:t xml:space="preserve"> to items determined in accordance with Article 314(</w:t>
      </w:r>
      <w:r w:rsidR="00FA5064" w:rsidRPr="12C2E25E">
        <w:rPr>
          <w:rFonts w:ascii="Times New Roman" w:hAnsi="Times New Roman"/>
          <w:sz w:val="24"/>
          <w:lang w:eastAsia="de-DE"/>
        </w:rPr>
        <w:t>7</w:t>
      </w:r>
      <w:r w:rsidR="00FA5064" w:rsidRPr="0062765D">
        <w:rPr>
          <w:rFonts w:ascii="Times New Roman" w:hAnsi="Times New Roman"/>
          <w:sz w:val="24"/>
          <w:lang w:eastAsia="de-DE"/>
        </w:rPr>
        <w:t>) of Regulation (EU) No 575/2013 and as further specified in the regulatory technical standard to be developed under Articles 314(</w:t>
      </w:r>
      <w:r w:rsidR="001B4C43">
        <w:rPr>
          <w:rFonts w:ascii="Times New Roman" w:hAnsi="Times New Roman"/>
          <w:sz w:val="24"/>
          <w:lang w:eastAsia="de-DE"/>
        </w:rPr>
        <w:t>9</w:t>
      </w:r>
      <w:r w:rsidR="00FA5064" w:rsidRPr="0062765D">
        <w:rPr>
          <w:rFonts w:ascii="Times New Roman" w:hAnsi="Times New Roman"/>
          <w:sz w:val="24"/>
          <w:lang w:eastAsia="de-DE"/>
        </w:rPr>
        <w:t xml:space="preserve">). </w:t>
      </w:r>
    </w:p>
    <w:p w14:paraId="65A130C3" w14:textId="77777777" w:rsidR="008E3C30" w:rsidRPr="006E49F0" w:rsidRDefault="00DB52C6" w:rsidP="001A7684">
      <w:pPr>
        <w:spacing w:before="0" w:after="240"/>
        <w:ind w:left="360" w:hanging="360"/>
        <w:rPr>
          <w:rFonts w:ascii="Times New Roman" w:hAnsi="Times New Roman"/>
          <w:sz w:val="24"/>
          <w:lang w:eastAsia="de-DE"/>
        </w:rPr>
      </w:pPr>
      <w:r>
        <w:rPr>
          <w:rFonts w:ascii="Times New Roman" w:hAnsi="Times New Roman"/>
          <w:sz w:val="24"/>
          <w:lang w:eastAsia="de-DE"/>
        </w:rPr>
        <w:t>141f</w:t>
      </w:r>
      <w:r w:rsidR="00FA5064" w:rsidRPr="0062765D">
        <w:rPr>
          <w:lang w:eastAsia="de-DE"/>
        </w:rPr>
        <w:t xml:space="preserve">. </w:t>
      </w:r>
      <w:r w:rsidR="00BA118D" w:rsidRPr="006E49F0">
        <w:rPr>
          <w:rFonts w:ascii="Times New Roman" w:hAnsi="Times New Roman"/>
          <w:sz w:val="24"/>
          <w:lang w:eastAsia="de-DE"/>
        </w:rPr>
        <w:t>For the calculation of the BI</w:t>
      </w:r>
      <w:r w:rsidR="001A7684" w:rsidRPr="006E49F0">
        <w:rPr>
          <w:rFonts w:ascii="Times New Roman" w:hAnsi="Times New Roman"/>
          <w:sz w:val="24"/>
          <w:lang w:eastAsia="de-DE"/>
        </w:rPr>
        <w:t xml:space="preserve"> (e.g. in the case of institutions having subsidiaries with a currency other than the reporting currency of the institution) </w:t>
      </w:r>
      <w:r w:rsidR="00BA118D" w:rsidRPr="006E49F0">
        <w:rPr>
          <w:rFonts w:ascii="Times New Roman" w:hAnsi="Times New Roman"/>
          <w:sz w:val="24"/>
          <w:lang w:eastAsia="de-DE"/>
        </w:rPr>
        <w:t>institutions sh</w:t>
      </w:r>
      <w:r w:rsidR="001A7684" w:rsidRPr="006E49F0">
        <w:rPr>
          <w:rFonts w:ascii="Times New Roman" w:hAnsi="Times New Roman"/>
          <w:sz w:val="24"/>
          <w:lang w:eastAsia="de-DE"/>
        </w:rPr>
        <w:t>all</w:t>
      </w:r>
      <w:r w:rsidR="00BA118D" w:rsidRPr="006E49F0">
        <w:rPr>
          <w:rFonts w:ascii="Times New Roman" w:hAnsi="Times New Roman"/>
          <w:sz w:val="24"/>
          <w:lang w:eastAsia="de-DE"/>
        </w:rPr>
        <w:t xml:space="preserve"> apply the relevant </w:t>
      </w:r>
      <w:r w:rsidR="001A7684" w:rsidRPr="006E49F0">
        <w:rPr>
          <w:rFonts w:ascii="Times New Roman" w:hAnsi="Times New Roman"/>
          <w:sz w:val="24"/>
          <w:lang w:eastAsia="de-DE"/>
        </w:rPr>
        <w:t>exchange rate</w:t>
      </w:r>
      <w:r w:rsidR="00BA118D" w:rsidRPr="006E49F0">
        <w:rPr>
          <w:rFonts w:ascii="Times New Roman" w:hAnsi="Times New Roman"/>
          <w:sz w:val="24"/>
          <w:lang w:eastAsia="de-DE"/>
        </w:rPr>
        <w:t xml:space="preserve"> for</w:t>
      </w:r>
      <w:r w:rsidR="00210EEA" w:rsidRPr="006E49F0">
        <w:rPr>
          <w:rFonts w:ascii="Times New Roman" w:hAnsi="Times New Roman"/>
          <w:sz w:val="24"/>
          <w:lang w:eastAsia="de-DE"/>
        </w:rPr>
        <w:t xml:space="preserve"> each of the three years, on which basis the BI is computed,</w:t>
      </w:r>
      <w:r w:rsidR="00BA118D" w:rsidRPr="006E49F0">
        <w:rPr>
          <w:rFonts w:ascii="Times New Roman" w:hAnsi="Times New Roman"/>
          <w:sz w:val="24"/>
          <w:lang w:eastAsia="de-DE"/>
        </w:rPr>
        <w:t xml:space="preserve"> </w:t>
      </w:r>
      <w:r w:rsidR="001A7684" w:rsidRPr="006E49F0">
        <w:rPr>
          <w:rFonts w:ascii="Times New Roman" w:hAnsi="Times New Roman"/>
          <w:sz w:val="24"/>
          <w:lang w:eastAsia="de-DE"/>
        </w:rPr>
        <w:t>in accordance</w:t>
      </w:r>
      <w:r w:rsidR="00BA118D" w:rsidRPr="006E49F0">
        <w:rPr>
          <w:rFonts w:ascii="Times New Roman" w:hAnsi="Times New Roman"/>
          <w:sz w:val="24"/>
          <w:lang w:eastAsia="de-DE"/>
        </w:rPr>
        <w:t xml:space="preserve"> with the applicable accounting framework</w:t>
      </w:r>
      <w:r w:rsidR="001A7684" w:rsidRPr="006E49F0">
        <w:rPr>
          <w:rFonts w:ascii="Times New Roman" w:hAnsi="Times New Roman"/>
          <w:sz w:val="24"/>
          <w:lang w:eastAsia="de-DE"/>
        </w:rPr>
        <w:t>. Thus,</w:t>
      </w:r>
      <w:r w:rsidR="00BA118D" w:rsidRPr="006E49F0">
        <w:rPr>
          <w:rFonts w:ascii="Times New Roman" w:hAnsi="Times New Roman"/>
          <w:sz w:val="24"/>
          <w:lang w:eastAsia="de-DE"/>
        </w:rPr>
        <w:t xml:space="preserve"> the </w:t>
      </w:r>
      <w:r w:rsidR="001A7684" w:rsidRPr="006E49F0">
        <w:rPr>
          <w:rFonts w:ascii="Times New Roman" w:hAnsi="Times New Roman"/>
          <w:sz w:val="24"/>
          <w:lang w:eastAsia="de-DE"/>
        </w:rPr>
        <w:t>exchange rate</w:t>
      </w:r>
      <w:r w:rsidR="00BA118D" w:rsidRPr="006E49F0">
        <w:rPr>
          <w:rFonts w:ascii="Times New Roman" w:hAnsi="Times New Roman"/>
          <w:sz w:val="24"/>
          <w:lang w:eastAsia="de-DE"/>
        </w:rPr>
        <w:t xml:space="preserve"> used in the respective year sh</w:t>
      </w:r>
      <w:r w:rsidR="001A7684" w:rsidRPr="006E49F0">
        <w:rPr>
          <w:rFonts w:ascii="Times New Roman" w:hAnsi="Times New Roman"/>
          <w:sz w:val="24"/>
          <w:lang w:eastAsia="de-DE"/>
        </w:rPr>
        <w:t>all</w:t>
      </w:r>
      <w:r w:rsidR="00BA118D" w:rsidRPr="006E49F0">
        <w:rPr>
          <w:rFonts w:ascii="Times New Roman" w:hAnsi="Times New Roman"/>
          <w:sz w:val="24"/>
          <w:lang w:eastAsia="de-DE"/>
        </w:rPr>
        <w:t xml:space="preserve"> not be updated in every reporting date. </w:t>
      </w:r>
    </w:p>
    <w:p w14:paraId="06A7780A" w14:textId="58C20260" w:rsidR="006E63FF" w:rsidRPr="001A7684" w:rsidRDefault="008E3C30" w:rsidP="001A7684">
      <w:pPr>
        <w:spacing w:before="0" w:after="240"/>
        <w:ind w:left="360" w:hanging="360"/>
        <w:rPr>
          <w:rFonts w:ascii="Calibri" w:eastAsia="MS PGothic" w:hAnsi="Calibri" w:cs="Arial"/>
          <w:sz w:val="22"/>
          <w:lang w:val="en-US" w:bidi="en-GB"/>
        </w:rPr>
      </w:pPr>
      <w:r>
        <w:rPr>
          <w:rFonts w:ascii="Times New Roman" w:hAnsi="Times New Roman"/>
          <w:sz w:val="24"/>
          <w:lang w:val="en-US" w:eastAsia="de-DE"/>
        </w:rPr>
        <w:t>141g.</w:t>
      </w:r>
      <w:r>
        <w:rPr>
          <w:rFonts w:ascii="Calibri" w:eastAsia="MS PGothic" w:hAnsi="Calibri" w:cs="Arial"/>
          <w:sz w:val="22"/>
          <w:lang w:val="en-US" w:bidi="en-GB"/>
        </w:rPr>
        <w:t xml:space="preserve"> </w:t>
      </w:r>
      <w:r w:rsidR="00BA118D" w:rsidRPr="00BA118D">
        <w:rPr>
          <w:rFonts w:ascii="Calibri" w:eastAsia="MS PGothic" w:hAnsi="Calibri" w:cs="Arial"/>
          <w:sz w:val="22"/>
          <w:lang w:val="en-US" w:bidi="en-GB"/>
        </w:rPr>
        <w:t>Regarding the application of the thresholds to compute the BIC</w:t>
      </w:r>
      <w:r w:rsidR="00BA118D">
        <w:rPr>
          <w:rFonts w:ascii="Calibri" w:eastAsia="MS PGothic" w:hAnsi="Calibri" w:cs="Arial"/>
          <w:sz w:val="22"/>
          <w:lang w:val="en-US" w:bidi="en-GB"/>
        </w:rPr>
        <w:t xml:space="preserve"> according to Article 313 of </w:t>
      </w:r>
      <w:r w:rsidR="00BA118D" w:rsidRPr="001A7684">
        <w:rPr>
          <w:rFonts w:ascii="Calibri" w:eastAsia="MS PGothic" w:hAnsi="Calibri" w:cs="Arial"/>
          <w:sz w:val="22"/>
          <w:lang w:val="en-US" w:bidi="en-GB"/>
        </w:rPr>
        <w:t>Regulation (EU) No 575/2013,</w:t>
      </w:r>
      <w:r w:rsidR="00BA118D" w:rsidRPr="00BA118D">
        <w:rPr>
          <w:rFonts w:ascii="Calibri" w:eastAsia="MS PGothic" w:hAnsi="Calibri" w:cs="Arial"/>
          <w:sz w:val="22"/>
          <w:lang w:val="en-US" w:bidi="en-GB"/>
        </w:rPr>
        <w:t xml:space="preserve"> institutions belonging out of the Euro area which report the supervisory information in their local currency, sh</w:t>
      </w:r>
      <w:r w:rsidR="001A7684">
        <w:rPr>
          <w:rFonts w:ascii="Calibri" w:eastAsia="MS PGothic" w:hAnsi="Calibri" w:cs="Arial"/>
          <w:sz w:val="22"/>
          <w:lang w:val="en-US" w:bidi="en-GB"/>
        </w:rPr>
        <w:t>all</w:t>
      </w:r>
      <w:r w:rsidR="00BA118D" w:rsidRPr="00BA118D">
        <w:rPr>
          <w:rFonts w:ascii="Calibri" w:eastAsia="MS PGothic" w:hAnsi="Calibri" w:cs="Arial"/>
          <w:sz w:val="22"/>
          <w:lang w:val="en-US" w:bidi="en-GB"/>
        </w:rPr>
        <w:t xml:space="preserve"> use the average exchange rate for the period for which the BIC is computed</w:t>
      </w:r>
      <w:r w:rsidR="001A7684">
        <w:rPr>
          <w:rFonts w:ascii="Calibri" w:eastAsia="MS PGothic" w:hAnsi="Calibri" w:cs="Arial"/>
          <w:sz w:val="22"/>
          <w:lang w:val="en-US" w:bidi="en-GB"/>
        </w:rPr>
        <w:t xml:space="preserve"> (average for the last three financial years) in accordance with</w:t>
      </w:r>
      <w:r w:rsidR="00BA118D" w:rsidRPr="00BA118D">
        <w:rPr>
          <w:rFonts w:ascii="Calibri" w:eastAsia="MS PGothic" w:hAnsi="Calibri" w:cs="Arial"/>
          <w:sz w:val="22"/>
          <w:lang w:val="en-US" w:bidi="en-GB"/>
        </w:rPr>
        <w:t xml:space="preserve"> the accounting framework</w:t>
      </w:r>
      <w:r w:rsidR="00BA118D" w:rsidRPr="001A7684">
        <w:rPr>
          <w:rFonts w:ascii="Calibri" w:eastAsia="MS PGothic" w:hAnsi="Calibri" w:cs="Arial"/>
          <w:sz w:val="22"/>
          <w:lang w:val="en-US" w:bidi="en-GB"/>
        </w:rPr>
        <w:t xml:space="preserve">, for </w:t>
      </w:r>
      <w:r w:rsidR="00BA118D" w:rsidRPr="00BA118D">
        <w:rPr>
          <w:rFonts w:ascii="Calibri" w:eastAsia="MS PGothic" w:hAnsi="Calibri" w:cs="Arial"/>
          <w:sz w:val="22"/>
          <w:lang w:val="en-US" w:bidi="en-GB"/>
        </w:rPr>
        <w:t>the conversion of the threshold into their local currency.</w:t>
      </w:r>
    </w:p>
    <w:p w14:paraId="031BD6E8" w14:textId="4B566AA7" w:rsidR="008803F1" w:rsidRDefault="0062765D" w:rsidP="008803F1">
      <w:pPr>
        <w:keepNext/>
        <w:spacing w:before="240" w:after="240"/>
        <w:ind w:left="357" w:hanging="357"/>
        <w:outlineLvl w:val="1"/>
        <w:rPr>
          <w:rFonts w:ascii="Times New Roman" w:eastAsia="Arial" w:hAnsi="Times New Roman"/>
          <w:sz w:val="24"/>
          <w:u w:val="single"/>
          <w:lang w:val="en-US" w:eastAsia="x-none"/>
        </w:rPr>
      </w:pPr>
      <w:bookmarkStart w:id="20" w:name="_Toc152862713"/>
      <w:r w:rsidRPr="0062765D">
        <w:rPr>
          <w:rFonts w:ascii="Times New Roman" w:eastAsia="Arial" w:hAnsi="Times New Roman"/>
          <w:sz w:val="24"/>
          <w:u w:val="single"/>
          <w:lang w:eastAsia="x-none"/>
        </w:rPr>
        <w:t>4.1.2.</w:t>
      </w:r>
      <w:r w:rsidRPr="0062765D">
        <w:rPr>
          <w:rFonts w:ascii="Times New Roman" w:eastAsia="Arial" w:hAnsi="Times New Roman"/>
          <w:sz w:val="24"/>
          <w:u w:val="single"/>
          <w:lang w:eastAsia="x-none"/>
        </w:rPr>
        <w:tab/>
      </w:r>
      <w:r w:rsidRPr="0062765D">
        <w:rPr>
          <w:rFonts w:ascii="Times New Roman" w:eastAsia="Arial" w:hAnsi="Times New Roman"/>
          <w:sz w:val="24"/>
          <w:u w:val="single"/>
          <w:lang w:val="en-US" w:eastAsia="x-none"/>
        </w:rPr>
        <w:t>C 16.01 Operational Risk – Own funds requirements (OPR OFR)</w:t>
      </w:r>
      <w:bookmarkEnd w:id="20"/>
    </w:p>
    <w:p w14:paraId="37EA392E" w14:textId="08491DA9" w:rsidR="0060540A" w:rsidRPr="00F83296" w:rsidRDefault="006B71D2" w:rsidP="00F83296">
      <w:pPr>
        <w:spacing w:before="0" w:after="240"/>
        <w:ind w:left="360" w:hanging="360"/>
        <w:rPr>
          <w:rFonts w:ascii="Times New Roman" w:eastAsia="Arial" w:hAnsi="Times New Roman"/>
          <w:sz w:val="24"/>
          <w:u w:val="single"/>
          <w:lang w:val="en-US" w:eastAsia="x-none"/>
        </w:rPr>
      </w:pPr>
      <w:r>
        <w:rPr>
          <w:rFonts w:ascii="Times New Roman" w:hAnsi="Times New Roman"/>
          <w:sz w:val="24"/>
          <w:lang w:eastAsia="de-DE"/>
        </w:rPr>
        <w:t>141</w:t>
      </w:r>
      <w:r w:rsidR="008E3C30">
        <w:rPr>
          <w:rFonts w:ascii="Times New Roman" w:hAnsi="Times New Roman"/>
          <w:sz w:val="24"/>
          <w:lang w:eastAsia="de-DE"/>
        </w:rPr>
        <w:t>h</w:t>
      </w:r>
      <w:r w:rsidR="008803F1" w:rsidRPr="0062765D">
        <w:rPr>
          <w:rFonts w:ascii="Times New Roman" w:hAnsi="Times New Roman"/>
          <w:sz w:val="24"/>
          <w:lang w:eastAsia="de-DE"/>
        </w:rPr>
        <w:t xml:space="preserve">. </w:t>
      </w:r>
      <w:r w:rsidR="007528E5" w:rsidRPr="007528E5">
        <w:rPr>
          <w:rFonts w:ascii="Times New Roman" w:hAnsi="Times New Roman"/>
          <w:sz w:val="24"/>
          <w:lang w:eastAsia="de-DE"/>
        </w:rPr>
        <w:t xml:space="preserve">The information in this template is computed </w:t>
      </w:r>
      <w:proofErr w:type="gramStart"/>
      <w:r w:rsidR="007528E5" w:rsidRPr="007528E5">
        <w:rPr>
          <w:rFonts w:ascii="Times New Roman" w:hAnsi="Times New Roman"/>
          <w:sz w:val="24"/>
          <w:lang w:eastAsia="de-DE"/>
        </w:rPr>
        <w:t>taking into account</w:t>
      </w:r>
      <w:proofErr w:type="gramEnd"/>
      <w:r w:rsidR="007528E5" w:rsidRPr="007528E5">
        <w:rPr>
          <w:rFonts w:ascii="Times New Roman" w:hAnsi="Times New Roman"/>
          <w:sz w:val="24"/>
          <w:lang w:eastAsia="de-DE"/>
        </w:rPr>
        <w:t xml:space="preserve"> the amounts for the last three financial years.</w:t>
      </w:r>
    </w:p>
    <w:p w14:paraId="4A1DC110" w14:textId="03CEE5BE" w:rsidR="0062765D" w:rsidRPr="0062765D" w:rsidRDefault="0062765D" w:rsidP="0062765D">
      <w:pPr>
        <w:spacing w:before="0" w:after="240"/>
        <w:rPr>
          <w:rFonts w:ascii="Times New Roman" w:hAnsi="Times New Roman"/>
          <w:sz w:val="24"/>
          <w:u w:val="single"/>
          <w:lang w:eastAsia="de-DE"/>
        </w:rPr>
      </w:pPr>
      <w:r w:rsidRPr="0062765D">
        <w:rPr>
          <w:rFonts w:ascii="Times New Roman" w:hAnsi="Times New Roman"/>
          <w:sz w:val="24"/>
          <w:u w:val="single"/>
          <w:lang w:eastAsia="de-DE"/>
        </w:rPr>
        <w:t>Instructions concerning specific positions</w:t>
      </w:r>
      <w:r>
        <w:rPr>
          <w:rFonts w:ascii="Times New Roman" w:hAnsi="Times New Roman"/>
          <w:sz w:val="24"/>
          <w:u w:val="single"/>
          <w:lang w:eastAsia="de-DE"/>
        </w:rPr>
        <w:t>:</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62765D" w14:paraId="3FE9FB08" w14:textId="77777777" w:rsidTr="00B9490A">
        <w:trPr>
          <w:trHeight w:val="300"/>
        </w:trPr>
        <w:tc>
          <w:tcPr>
            <w:tcW w:w="1225" w:type="dxa"/>
            <w:shd w:val="clear" w:color="auto" w:fill="BFBFBF" w:themeFill="background1" w:themeFillShade="BF"/>
          </w:tcPr>
          <w:p w14:paraId="72846797" w14:textId="77777777" w:rsidR="0062765D" w:rsidRPr="0062765D" w:rsidRDefault="0062765D" w:rsidP="0062765D">
            <w:pPr>
              <w:spacing w:before="0" w:after="0"/>
              <w:rPr>
                <w:rFonts w:ascii="Times New Roman" w:hAnsi="Times New Roman"/>
                <w:sz w:val="24"/>
                <w:lang w:eastAsia="nl-BE"/>
              </w:rPr>
            </w:pPr>
            <w:r w:rsidRPr="0062765D">
              <w:rPr>
                <w:rFonts w:ascii="Times New Roman" w:hAnsi="Times New Roman"/>
                <w:b/>
                <w:bCs/>
                <w:sz w:val="24"/>
                <w:lang w:eastAsia="nl-BE"/>
              </w:rPr>
              <w:t>Columns</w:t>
            </w:r>
          </w:p>
        </w:tc>
        <w:tc>
          <w:tcPr>
            <w:tcW w:w="7789" w:type="dxa"/>
            <w:shd w:val="clear" w:color="auto" w:fill="BFBFBF" w:themeFill="background1" w:themeFillShade="BF"/>
          </w:tcPr>
          <w:p w14:paraId="5C86F175" w14:textId="77777777" w:rsidR="0062765D" w:rsidRPr="0062765D" w:rsidRDefault="0062765D" w:rsidP="0062765D">
            <w:pPr>
              <w:spacing w:before="0" w:after="0"/>
              <w:jc w:val="left"/>
              <w:rPr>
                <w:rFonts w:ascii="Times New Roman" w:hAnsi="Times New Roman"/>
                <w:b/>
                <w:bCs/>
                <w:sz w:val="24"/>
                <w:u w:val="single"/>
              </w:rPr>
            </w:pPr>
            <w:r w:rsidRPr="0062765D">
              <w:rPr>
                <w:rFonts w:ascii="Times New Roman" w:hAnsi="Times New Roman"/>
                <w:b/>
                <w:bCs/>
                <w:sz w:val="24"/>
                <w:u w:val="single"/>
              </w:rPr>
              <w:t>Legal references and instructions</w:t>
            </w:r>
          </w:p>
        </w:tc>
      </w:tr>
      <w:tr w:rsidR="0062765D" w:rsidRPr="0062765D" w14:paraId="757FFFEF" w14:textId="77777777" w:rsidTr="00B9490A">
        <w:trPr>
          <w:trHeight w:val="300"/>
        </w:trPr>
        <w:tc>
          <w:tcPr>
            <w:tcW w:w="1225" w:type="dxa"/>
          </w:tcPr>
          <w:p w14:paraId="0E504078" w14:textId="77777777" w:rsidR="0062765D" w:rsidRPr="0062765D" w:rsidRDefault="0062765D" w:rsidP="0062765D">
            <w:pPr>
              <w:jc w:val="left"/>
              <w:rPr>
                <w:rFonts w:ascii="Times New Roman" w:hAnsi="Times New Roman"/>
                <w:bCs/>
                <w:sz w:val="24"/>
                <w:u w:val="single"/>
              </w:rPr>
            </w:pPr>
            <w:r w:rsidRPr="0062765D">
              <w:rPr>
                <w:rFonts w:ascii="Times New Roman" w:hAnsi="Times New Roman"/>
                <w:sz w:val="24"/>
                <w:lang w:eastAsia="nl-BE"/>
              </w:rPr>
              <w:t>0010</w:t>
            </w:r>
          </w:p>
        </w:tc>
        <w:tc>
          <w:tcPr>
            <w:tcW w:w="7789" w:type="dxa"/>
          </w:tcPr>
          <w:p w14:paraId="37C5F7E9"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Value</w:t>
            </w:r>
          </w:p>
          <w:p w14:paraId="40C487F3" w14:textId="77777777" w:rsidR="0062765D" w:rsidRDefault="0062765D" w:rsidP="0062765D">
            <w:pPr>
              <w:jc w:val="left"/>
              <w:rPr>
                <w:rFonts w:ascii="Times New Roman" w:hAnsi="Times New Roman"/>
                <w:sz w:val="24"/>
              </w:rPr>
            </w:pPr>
            <w:r w:rsidRPr="0062765D">
              <w:rPr>
                <w:rFonts w:ascii="Times New Roman" w:hAnsi="Times New Roman"/>
                <w:sz w:val="24"/>
              </w:rPr>
              <w:t>The value of the BI and its three components: ILDC, SC and FC.</w:t>
            </w:r>
          </w:p>
          <w:p w14:paraId="4EA05B1B" w14:textId="77777777" w:rsidR="0062765D" w:rsidRPr="0062765D" w:rsidRDefault="0062765D" w:rsidP="0062765D">
            <w:pPr>
              <w:jc w:val="left"/>
              <w:rPr>
                <w:rFonts w:ascii="Times New Roman" w:hAnsi="Times New Roman"/>
                <w:sz w:val="24"/>
              </w:rPr>
            </w:pPr>
            <w:r w:rsidRPr="0062765D">
              <w:rPr>
                <w:rFonts w:ascii="Times New Roman" w:hAnsi="Times New Roman"/>
                <w:sz w:val="24"/>
              </w:rPr>
              <w:t xml:space="preserve">The value includes the adjustments due to the impact of mergers, </w:t>
            </w:r>
            <w:proofErr w:type="gramStart"/>
            <w:r w:rsidRPr="0062765D">
              <w:rPr>
                <w:rFonts w:ascii="Times New Roman" w:hAnsi="Times New Roman"/>
                <w:sz w:val="24"/>
              </w:rPr>
              <w:t>acquisitions</w:t>
            </w:r>
            <w:proofErr w:type="gramEnd"/>
            <w:r w:rsidRPr="0062765D">
              <w:rPr>
                <w:rFonts w:ascii="Times New Roman" w:hAnsi="Times New Roman"/>
                <w:sz w:val="24"/>
              </w:rPr>
              <w:t xml:space="preserve"> and disposals in accordance with Article 315 paragraphs 1 and 2 of Regulation (EU) No 575/2013.</w:t>
            </w:r>
          </w:p>
          <w:p w14:paraId="160B8F2D" w14:textId="61260FD0" w:rsidR="00BC5ECA" w:rsidRDefault="00BC5ECA" w:rsidP="00BC5ECA">
            <w:pPr>
              <w:jc w:val="left"/>
              <w:rPr>
                <w:rFonts w:ascii="Times New Roman" w:hAnsi="Times New Roman"/>
                <w:sz w:val="24"/>
              </w:rPr>
            </w:pPr>
            <w:r w:rsidRPr="0062765D">
              <w:rPr>
                <w:rFonts w:ascii="Times New Roman" w:hAnsi="Times New Roman"/>
                <w:sz w:val="24"/>
              </w:rPr>
              <w:t xml:space="preserve">In the case of the FC the value shall reflect either the accounting value determined using the accounting </w:t>
            </w:r>
            <w:r w:rsidR="0029748B">
              <w:rPr>
                <w:rFonts w:ascii="Times New Roman" w:hAnsi="Times New Roman"/>
                <w:sz w:val="24"/>
              </w:rPr>
              <w:t>approach</w:t>
            </w:r>
            <w:r w:rsidRPr="0062765D">
              <w:rPr>
                <w:rFonts w:ascii="Times New Roman" w:hAnsi="Times New Roman"/>
                <w:sz w:val="24"/>
              </w:rPr>
              <w:t xml:space="preserve"> or </w:t>
            </w:r>
            <w:r w:rsidR="0029748B">
              <w:rPr>
                <w:rFonts w:ascii="Times New Roman" w:hAnsi="Times New Roman"/>
                <w:sz w:val="24"/>
              </w:rPr>
              <w:t xml:space="preserve">accounting value </w:t>
            </w:r>
            <w:r w:rsidRPr="0062765D">
              <w:rPr>
                <w:rFonts w:ascii="Times New Roman" w:hAnsi="Times New Roman"/>
                <w:sz w:val="24"/>
              </w:rPr>
              <w:t xml:space="preserve">using the prudential boundary (Prudential Boundary Approach - PBA) for identifying the items of the trading book and banking book. </w:t>
            </w:r>
            <w:r>
              <w:rPr>
                <w:rFonts w:ascii="Times New Roman" w:hAnsi="Times New Roman"/>
                <w:sz w:val="24"/>
              </w:rPr>
              <w:t>Information on the approach used will be reported in row 0110.</w:t>
            </w:r>
          </w:p>
          <w:p w14:paraId="78D3EEE0" w14:textId="54806951" w:rsidR="00DC6108" w:rsidRPr="0062765D" w:rsidRDefault="00DC6108" w:rsidP="0062765D">
            <w:pPr>
              <w:jc w:val="left"/>
              <w:rPr>
                <w:rFonts w:ascii="Times New Roman" w:hAnsi="Times New Roman"/>
                <w:sz w:val="24"/>
              </w:rPr>
            </w:pPr>
          </w:p>
        </w:tc>
      </w:tr>
      <w:tr w:rsidR="0062765D" w:rsidRPr="0062765D" w14:paraId="7AE3F4FB" w14:textId="77777777" w:rsidTr="00B9490A">
        <w:trPr>
          <w:trHeight w:val="300"/>
        </w:trPr>
        <w:tc>
          <w:tcPr>
            <w:tcW w:w="1225" w:type="dxa"/>
          </w:tcPr>
          <w:p w14:paraId="4A8A57B4" w14:textId="77777777" w:rsidR="0062765D" w:rsidRPr="0062765D" w:rsidRDefault="0062765D" w:rsidP="0062765D">
            <w:pPr>
              <w:rPr>
                <w:rFonts w:ascii="Times New Roman" w:hAnsi="Times New Roman"/>
                <w:sz w:val="24"/>
                <w:lang w:eastAsia="nl-BE"/>
              </w:rPr>
            </w:pPr>
            <w:r w:rsidRPr="0062765D">
              <w:rPr>
                <w:rFonts w:ascii="Times New Roman" w:hAnsi="Times New Roman"/>
                <w:sz w:val="24"/>
                <w:lang w:eastAsia="nl-BE"/>
              </w:rPr>
              <w:t>0020</w:t>
            </w:r>
          </w:p>
        </w:tc>
        <w:tc>
          <w:tcPr>
            <w:tcW w:w="7789" w:type="dxa"/>
          </w:tcPr>
          <w:p w14:paraId="3853732D"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of which:  adjustments due to merge/acquisition of entities or activities</w:t>
            </w:r>
          </w:p>
          <w:p w14:paraId="74765691" w14:textId="77777777" w:rsidR="0062765D" w:rsidRPr="0062765D" w:rsidRDefault="0062765D" w:rsidP="0062765D">
            <w:pPr>
              <w:jc w:val="left"/>
              <w:rPr>
                <w:rFonts w:ascii="Times New Roman" w:hAnsi="Times New Roman"/>
                <w:bCs/>
                <w:sz w:val="24"/>
              </w:rPr>
            </w:pPr>
            <w:r w:rsidRPr="0062765D">
              <w:rPr>
                <w:rFonts w:ascii="Times New Roman" w:hAnsi="Times New Roman"/>
                <w:sz w:val="24"/>
              </w:rPr>
              <w:t xml:space="preserve">The part of the value reported in column 0010 corresponding to the components of the BI that is due to merged or acquired entities or activities in accordance with Article 315(1) </w:t>
            </w:r>
            <w:r w:rsidRPr="0062765D">
              <w:rPr>
                <w:rFonts w:ascii="Times New Roman" w:hAnsi="Times New Roman"/>
                <w:sz w:val="24"/>
                <w:lang w:val="en-US"/>
              </w:rPr>
              <w:t>of Regulation (EU) No 575/2013.</w:t>
            </w:r>
          </w:p>
        </w:tc>
      </w:tr>
      <w:tr w:rsidR="0062765D" w:rsidRPr="0062765D" w14:paraId="6B1C004B" w14:textId="77777777" w:rsidTr="00B9490A">
        <w:trPr>
          <w:trHeight w:val="300"/>
        </w:trPr>
        <w:tc>
          <w:tcPr>
            <w:tcW w:w="1225" w:type="dxa"/>
          </w:tcPr>
          <w:p w14:paraId="163A2836" w14:textId="77777777" w:rsidR="0062765D" w:rsidRPr="0062765D" w:rsidRDefault="0062765D" w:rsidP="0062765D">
            <w:pPr>
              <w:rPr>
                <w:rFonts w:ascii="Times New Roman" w:hAnsi="Times New Roman"/>
                <w:sz w:val="24"/>
                <w:lang w:eastAsia="nl-BE"/>
              </w:rPr>
            </w:pPr>
            <w:r w:rsidRPr="0062765D">
              <w:rPr>
                <w:rFonts w:ascii="Times New Roman" w:hAnsi="Times New Roman"/>
                <w:sz w:val="24"/>
                <w:lang w:eastAsia="nl-BE"/>
              </w:rPr>
              <w:t>0030</w:t>
            </w:r>
          </w:p>
        </w:tc>
        <w:tc>
          <w:tcPr>
            <w:tcW w:w="7789" w:type="dxa"/>
          </w:tcPr>
          <w:p w14:paraId="5025702A"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 xml:space="preserve"> (Adjustments due to disposal of entities or activities)</w:t>
            </w:r>
          </w:p>
          <w:p w14:paraId="474CDF36"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color w:val="000000" w:themeColor="text1"/>
                <w:sz w:val="24"/>
              </w:rPr>
              <w:t xml:space="preserve">The amount excluded from the components of the BI related to disposed entities or activities in accordance with Article 315(2) </w:t>
            </w:r>
            <w:r w:rsidRPr="0062765D">
              <w:rPr>
                <w:rFonts w:ascii="Times New Roman" w:hAnsi="Times New Roman"/>
                <w:color w:val="000000" w:themeColor="text1"/>
                <w:sz w:val="24"/>
                <w:lang w:val="en-US"/>
              </w:rPr>
              <w:t>of Regulation (EU) No 575/2013.</w:t>
            </w:r>
          </w:p>
        </w:tc>
      </w:tr>
      <w:tr w:rsidR="0062765D" w:rsidRPr="0062765D" w14:paraId="29E6E185" w14:textId="77777777" w:rsidTr="00B9490A">
        <w:trPr>
          <w:trHeight w:val="300"/>
        </w:trPr>
        <w:tc>
          <w:tcPr>
            <w:tcW w:w="1225" w:type="dxa"/>
          </w:tcPr>
          <w:p w14:paraId="2C4429BE" w14:textId="77777777" w:rsidR="0062765D" w:rsidRPr="0062765D" w:rsidRDefault="0062765D" w:rsidP="0062765D">
            <w:pPr>
              <w:rPr>
                <w:rFonts w:ascii="Times New Roman" w:hAnsi="Times New Roman"/>
                <w:sz w:val="24"/>
                <w:lang w:eastAsia="nl-BE"/>
              </w:rPr>
            </w:pPr>
            <w:r w:rsidRPr="0062765D">
              <w:rPr>
                <w:rFonts w:ascii="Times New Roman" w:hAnsi="Times New Roman"/>
                <w:sz w:val="24"/>
                <w:lang w:eastAsia="nl-BE"/>
              </w:rPr>
              <w:lastRenderedPageBreak/>
              <w:t>0040</w:t>
            </w:r>
          </w:p>
        </w:tc>
        <w:tc>
          <w:tcPr>
            <w:tcW w:w="7789" w:type="dxa"/>
          </w:tcPr>
          <w:p w14:paraId="4E023876" w14:textId="77777777" w:rsidR="0062765D" w:rsidRPr="0062765D" w:rsidRDefault="0062765D" w:rsidP="0062765D">
            <w:pPr>
              <w:rPr>
                <w:rFonts w:ascii="Times New Roman" w:hAnsi="Times New Roman"/>
                <w:b/>
                <w:bCs/>
                <w:sz w:val="24"/>
                <w:u w:val="single"/>
              </w:rPr>
            </w:pPr>
            <w:r w:rsidRPr="0062765D">
              <w:rPr>
                <w:rFonts w:ascii="Times New Roman" w:hAnsi="Times New Roman"/>
                <w:b/>
                <w:bCs/>
                <w:sz w:val="24"/>
                <w:u w:val="single"/>
              </w:rPr>
              <w:t xml:space="preserve">Own funds requirements </w:t>
            </w:r>
          </w:p>
          <w:p w14:paraId="035197F4" w14:textId="13991B6C" w:rsidR="0062765D" w:rsidRDefault="0062765D" w:rsidP="0062765D">
            <w:pPr>
              <w:rPr>
                <w:rFonts w:ascii="Times New Roman" w:hAnsi="Times New Roman"/>
                <w:sz w:val="24"/>
              </w:rPr>
            </w:pPr>
            <w:r w:rsidRPr="0062765D">
              <w:rPr>
                <w:rFonts w:ascii="Times New Roman" w:hAnsi="Times New Roman"/>
                <w:sz w:val="24"/>
              </w:rPr>
              <w:t>The OFR shall be calculated in accordance with Article</w:t>
            </w:r>
            <w:r w:rsidR="001B4C43">
              <w:rPr>
                <w:rFonts w:ascii="Times New Roman" w:hAnsi="Times New Roman"/>
                <w:sz w:val="24"/>
              </w:rPr>
              <w:t>s</w:t>
            </w:r>
            <w:r w:rsidRPr="0062765D">
              <w:rPr>
                <w:rFonts w:ascii="Times New Roman" w:hAnsi="Times New Roman"/>
                <w:sz w:val="24"/>
              </w:rPr>
              <w:t xml:space="preserve"> 312</w:t>
            </w:r>
            <w:r w:rsidR="001B4C43">
              <w:rPr>
                <w:rFonts w:ascii="Times New Roman" w:hAnsi="Times New Roman"/>
                <w:sz w:val="24"/>
              </w:rPr>
              <w:t xml:space="preserve"> </w:t>
            </w:r>
            <w:proofErr w:type="gramStart"/>
            <w:r w:rsidR="001B4C43">
              <w:rPr>
                <w:rFonts w:ascii="Times New Roman" w:hAnsi="Times New Roman"/>
                <w:sz w:val="24"/>
              </w:rPr>
              <w:t xml:space="preserve">to </w:t>
            </w:r>
            <w:r w:rsidRPr="0062765D">
              <w:rPr>
                <w:rFonts w:ascii="Times New Roman" w:hAnsi="Times New Roman"/>
                <w:sz w:val="24"/>
              </w:rPr>
              <w:t xml:space="preserve"> 31</w:t>
            </w:r>
            <w:r w:rsidR="001B4C43">
              <w:rPr>
                <w:rFonts w:ascii="Times New Roman" w:hAnsi="Times New Roman"/>
                <w:sz w:val="24"/>
              </w:rPr>
              <w:t>4</w:t>
            </w:r>
            <w:proofErr w:type="gramEnd"/>
            <w:r w:rsidRPr="0062765D">
              <w:rPr>
                <w:rFonts w:ascii="Times New Roman" w:hAnsi="Times New Roman"/>
                <w:sz w:val="24"/>
              </w:rPr>
              <w:t xml:space="preserve"> of Regulation (EU) No 575/2013.</w:t>
            </w:r>
            <w:r w:rsidR="00AF4023">
              <w:rPr>
                <w:rFonts w:ascii="Times New Roman" w:hAnsi="Times New Roman"/>
                <w:sz w:val="24"/>
              </w:rPr>
              <w:t xml:space="preserve"> (the BIC)</w:t>
            </w:r>
          </w:p>
          <w:p w14:paraId="459E44D5" w14:textId="36477AA5" w:rsidR="00C44D1A" w:rsidRPr="00C44D1A" w:rsidRDefault="00C44D1A" w:rsidP="00C44D1A">
            <w:pPr>
              <w:rPr>
                <w:rFonts w:ascii="Times New Roman" w:hAnsi="Times New Roman"/>
                <w:sz w:val="24"/>
              </w:rPr>
            </w:pPr>
            <w:r w:rsidRPr="00C44D1A">
              <w:rPr>
                <w:rFonts w:ascii="Times New Roman" w:hAnsi="Times New Roman"/>
                <w:sz w:val="24"/>
              </w:rPr>
              <w:t xml:space="preserve">Where an institution is subject to the derogation referred to in Article 314(4) of Regulation (EU) No 575/2013, the institution shall </w:t>
            </w:r>
            <w:r>
              <w:rPr>
                <w:rFonts w:ascii="Times New Roman" w:hAnsi="Times New Roman"/>
                <w:sz w:val="24"/>
              </w:rPr>
              <w:t xml:space="preserve">add to the own </w:t>
            </w:r>
            <w:proofErr w:type="gramStart"/>
            <w:r>
              <w:rPr>
                <w:rFonts w:ascii="Times New Roman" w:hAnsi="Times New Roman"/>
                <w:sz w:val="24"/>
              </w:rPr>
              <w:t>funds</w:t>
            </w:r>
            <w:proofErr w:type="gramEnd"/>
            <w:r>
              <w:rPr>
                <w:rFonts w:ascii="Times New Roman" w:hAnsi="Times New Roman"/>
                <w:sz w:val="24"/>
              </w:rPr>
              <w:t xml:space="preserve"> requirements</w:t>
            </w:r>
            <w:r w:rsidR="00083FC4">
              <w:rPr>
                <w:rFonts w:ascii="Times New Roman" w:hAnsi="Times New Roman"/>
                <w:sz w:val="24"/>
              </w:rPr>
              <w:t xml:space="preserve"> computed under BIC</w:t>
            </w:r>
            <w:r>
              <w:rPr>
                <w:rFonts w:ascii="Times New Roman" w:hAnsi="Times New Roman"/>
                <w:sz w:val="24"/>
              </w:rPr>
              <w:t>, the own funds requirements computed under ASA for the</w:t>
            </w:r>
            <w:r w:rsidRPr="00C44D1A">
              <w:rPr>
                <w:rFonts w:ascii="Times New Roman" w:hAnsi="Times New Roman"/>
                <w:sz w:val="24"/>
              </w:rPr>
              <w:t xml:space="preserve"> retail banking and/or commercial banking business lines</w:t>
            </w:r>
            <w:r>
              <w:rPr>
                <w:rFonts w:ascii="Times New Roman" w:hAnsi="Times New Roman"/>
                <w:sz w:val="24"/>
              </w:rPr>
              <w:t>, subject to the derogation</w:t>
            </w:r>
            <w:r w:rsidR="001E3986">
              <w:rPr>
                <w:rFonts w:ascii="Times New Roman" w:hAnsi="Times New Roman"/>
                <w:sz w:val="24"/>
              </w:rPr>
              <w:t xml:space="preserve"> (</w:t>
            </w:r>
            <w:r w:rsidR="00083FC4">
              <w:rPr>
                <w:rFonts w:ascii="Times New Roman" w:hAnsi="Times New Roman"/>
                <w:sz w:val="24"/>
              </w:rPr>
              <w:t>as they</w:t>
            </w:r>
            <w:r w:rsidR="001E3986">
              <w:rPr>
                <w:rFonts w:ascii="Times New Roman" w:hAnsi="Times New Roman"/>
                <w:sz w:val="24"/>
              </w:rPr>
              <w:t xml:space="preserve"> shall not be part of the </w:t>
            </w:r>
            <w:r w:rsidR="00083FC4">
              <w:rPr>
                <w:rFonts w:ascii="Times New Roman" w:hAnsi="Times New Roman"/>
                <w:sz w:val="24"/>
              </w:rPr>
              <w:t xml:space="preserve">BIC framework of calculation). </w:t>
            </w:r>
          </w:p>
          <w:p w14:paraId="463CE9EC" w14:textId="2BBB634A" w:rsidR="001D111F" w:rsidRPr="0062765D" w:rsidRDefault="001D111F" w:rsidP="0062765D">
            <w:pPr>
              <w:rPr>
                <w:rFonts w:ascii="Times New Roman" w:hAnsi="Times New Roman"/>
                <w:sz w:val="24"/>
              </w:rPr>
            </w:pPr>
          </w:p>
        </w:tc>
      </w:tr>
      <w:tr w:rsidR="0062765D" w:rsidRPr="0062765D" w14:paraId="11E50E11" w14:textId="77777777" w:rsidTr="00B9490A">
        <w:trPr>
          <w:trHeight w:val="300"/>
        </w:trPr>
        <w:tc>
          <w:tcPr>
            <w:tcW w:w="1225" w:type="dxa"/>
          </w:tcPr>
          <w:p w14:paraId="19667C8B" w14:textId="77777777" w:rsidR="0062765D" w:rsidRPr="0062765D" w:rsidRDefault="0062765D" w:rsidP="0062765D">
            <w:pPr>
              <w:rPr>
                <w:rFonts w:ascii="Times New Roman" w:hAnsi="Times New Roman"/>
                <w:sz w:val="24"/>
                <w:lang w:eastAsia="nl-BE"/>
              </w:rPr>
            </w:pPr>
            <w:r w:rsidRPr="0062765D">
              <w:rPr>
                <w:rFonts w:ascii="Times New Roman" w:hAnsi="Times New Roman"/>
                <w:sz w:val="24"/>
                <w:lang w:eastAsia="nl-BE"/>
              </w:rPr>
              <w:t>0050</w:t>
            </w:r>
          </w:p>
        </w:tc>
        <w:tc>
          <w:tcPr>
            <w:tcW w:w="7789" w:type="dxa"/>
          </w:tcPr>
          <w:p w14:paraId="0BC49014" w14:textId="77777777" w:rsidR="0062765D" w:rsidRPr="0062765D" w:rsidRDefault="0062765D" w:rsidP="0062765D">
            <w:pPr>
              <w:rPr>
                <w:rFonts w:ascii="Times New Roman" w:hAnsi="Times New Roman"/>
                <w:b/>
                <w:bCs/>
                <w:sz w:val="24"/>
                <w:u w:val="single"/>
              </w:rPr>
            </w:pPr>
            <w:r w:rsidRPr="0062765D">
              <w:rPr>
                <w:rFonts w:ascii="Times New Roman" w:hAnsi="Times New Roman"/>
                <w:b/>
                <w:bCs/>
                <w:sz w:val="24"/>
                <w:u w:val="single"/>
              </w:rPr>
              <w:t xml:space="preserve">Risk exposure </w:t>
            </w:r>
            <w:proofErr w:type="gramStart"/>
            <w:r w:rsidRPr="0062765D">
              <w:rPr>
                <w:rFonts w:ascii="Times New Roman" w:hAnsi="Times New Roman"/>
                <w:b/>
                <w:bCs/>
                <w:sz w:val="24"/>
                <w:u w:val="single"/>
              </w:rPr>
              <w:t>amount</w:t>
            </w:r>
            <w:proofErr w:type="gramEnd"/>
          </w:p>
          <w:p w14:paraId="0ED80FDB" w14:textId="77777777" w:rsidR="0062765D" w:rsidRPr="0062765D" w:rsidRDefault="0062765D" w:rsidP="0062765D">
            <w:pPr>
              <w:rPr>
                <w:rFonts w:ascii="Times New Roman" w:hAnsi="Times New Roman"/>
                <w:bCs/>
                <w:sz w:val="24"/>
              </w:rPr>
            </w:pPr>
            <w:r w:rsidRPr="0062765D">
              <w:rPr>
                <w:rFonts w:ascii="Times New Roman" w:hAnsi="Times New Roman"/>
                <w:sz w:val="24"/>
              </w:rPr>
              <w:t>The risk exposure amount (REA) shall be calculated in accordance with Article 92 of Regulation (EU) No 575/2013.</w:t>
            </w:r>
          </w:p>
        </w:tc>
      </w:tr>
    </w:tbl>
    <w:p w14:paraId="1B595CEC" w14:textId="77777777" w:rsidR="0062765D" w:rsidRPr="0062765D" w:rsidRDefault="0062765D" w:rsidP="0062765D">
      <w:pPr>
        <w:spacing w:before="0" w:after="240"/>
        <w:rPr>
          <w:rFonts w:ascii="Times New Roman" w:hAnsi="Times New Roman"/>
          <w:sz w:val="24"/>
          <w:lang w:eastAsia="de-DE"/>
        </w:rPr>
      </w:pPr>
    </w:p>
    <w:p w14:paraId="4E4E8CCB" w14:textId="77777777" w:rsidR="0062765D" w:rsidRPr="0062765D" w:rsidRDefault="0062765D" w:rsidP="0062765D">
      <w:pPr>
        <w:spacing w:before="0" w:after="240"/>
        <w:rPr>
          <w:rFonts w:ascii="Times New Roman" w:hAnsi="Times New Roman"/>
          <w:sz w:val="24"/>
          <w:lang w:eastAsia="de-DE"/>
        </w:rPr>
      </w:pPr>
      <w:r w:rsidRPr="0062765D">
        <w:rPr>
          <w:rFonts w:ascii="Times New Roman" w:hAnsi="Times New Roman"/>
          <w:sz w:val="24"/>
          <w:lang w:eastAsia="de-DE"/>
        </w:rPr>
        <w:t>Instructions by row:</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62765D" w14:paraId="190B07D5" w14:textId="77777777" w:rsidTr="00F26CC7">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62765D" w:rsidRDefault="0062765D" w:rsidP="0062765D">
            <w:pPr>
              <w:spacing w:before="0" w:after="0"/>
              <w:rPr>
                <w:rFonts w:ascii="Times New Roman" w:hAnsi="Times New Roman"/>
                <w:b/>
                <w:bCs/>
                <w:sz w:val="24"/>
                <w:lang w:eastAsia="nl-BE"/>
              </w:rPr>
            </w:pPr>
            <w:r w:rsidRPr="0062765D">
              <w:rPr>
                <w:rFonts w:ascii="Times New Roman" w:hAnsi="Times New Roman"/>
                <w:b/>
                <w:bCs/>
                <w:sz w:val="24"/>
                <w:lang w:eastAsia="nl-BE"/>
              </w:rPr>
              <w:t>Rows</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62765D" w:rsidRDefault="0062765D" w:rsidP="0062765D">
            <w:pPr>
              <w:spacing w:before="0" w:after="0"/>
              <w:jc w:val="left"/>
              <w:rPr>
                <w:rFonts w:ascii="Times New Roman" w:hAnsi="Times New Roman"/>
                <w:sz w:val="24"/>
                <w:lang w:eastAsia="nl-BE"/>
              </w:rPr>
            </w:pPr>
            <w:r w:rsidRPr="0062765D">
              <w:rPr>
                <w:rFonts w:ascii="Times New Roman" w:hAnsi="Times New Roman"/>
                <w:b/>
                <w:bCs/>
                <w:sz w:val="24"/>
                <w:u w:val="single"/>
              </w:rPr>
              <w:t>Legal references and instructions</w:t>
            </w:r>
          </w:p>
        </w:tc>
      </w:tr>
      <w:tr w:rsidR="001E3A3B" w:rsidRPr="0062765D" w14:paraId="14B5E521" w14:textId="77777777" w:rsidTr="00F26CC7">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62765D" w:rsidRDefault="001E3A3B" w:rsidP="0062765D">
            <w:pPr>
              <w:rPr>
                <w:rFonts w:ascii="Times New Roman" w:hAnsi="Times New Roman"/>
                <w:sz w:val="24"/>
              </w:rPr>
            </w:pPr>
            <w:r>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shd w:val="clear" w:color="auto" w:fill="auto"/>
            <w:vAlign w:val="center"/>
          </w:tcPr>
          <w:p w14:paraId="15EE73AF" w14:textId="77777777" w:rsidR="001E3A3B" w:rsidRDefault="00137C27" w:rsidP="0062765D">
            <w:pPr>
              <w:jc w:val="left"/>
              <w:rPr>
                <w:rFonts w:ascii="Times New Roman" w:hAnsi="Times New Roman"/>
                <w:b/>
                <w:bCs/>
                <w:sz w:val="24"/>
                <w:u w:val="single"/>
              </w:rPr>
            </w:pPr>
            <w:r w:rsidRPr="00137C27">
              <w:rPr>
                <w:rFonts w:ascii="Times New Roman" w:hAnsi="Times New Roman"/>
                <w:b/>
                <w:bCs/>
                <w:sz w:val="24"/>
                <w:u w:val="single"/>
              </w:rPr>
              <w:t>Business indicator component and ASA</w:t>
            </w:r>
          </w:p>
          <w:p w14:paraId="66A9A1ED" w14:textId="73BDAEB6" w:rsidR="00137C27" w:rsidRPr="0062765D" w:rsidRDefault="00E0541A" w:rsidP="0062765D">
            <w:pPr>
              <w:jc w:val="left"/>
              <w:rPr>
                <w:rFonts w:ascii="Times New Roman" w:hAnsi="Times New Roman"/>
                <w:b/>
                <w:bCs/>
                <w:sz w:val="24"/>
                <w:u w:val="single"/>
              </w:rPr>
            </w:pPr>
            <w:r w:rsidRPr="00E92741">
              <w:rPr>
                <w:rFonts w:ascii="Times New Roman" w:hAnsi="Times New Roman"/>
                <w:sz w:val="24"/>
              </w:rPr>
              <w:t>Article 31</w:t>
            </w:r>
            <w:r>
              <w:rPr>
                <w:rFonts w:ascii="Times New Roman" w:hAnsi="Times New Roman"/>
                <w:sz w:val="24"/>
              </w:rPr>
              <w:t>3</w:t>
            </w:r>
            <w:r w:rsidRPr="00E92741">
              <w:rPr>
                <w:rFonts w:ascii="Times New Roman" w:hAnsi="Times New Roman"/>
                <w:sz w:val="24"/>
              </w:rPr>
              <w:t xml:space="preserve"> and Article 314(4) of Regulation (EU) No 575/</w:t>
            </w:r>
            <w:r>
              <w:rPr>
                <w:rFonts w:ascii="Times New Roman" w:hAnsi="Times New Roman"/>
                <w:sz w:val="24"/>
              </w:rPr>
              <w:t>2013.</w:t>
            </w:r>
          </w:p>
        </w:tc>
      </w:tr>
      <w:tr w:rsidR="0062765D" w:rsidRPr="0062765D" w14:paraId="3CC09CD7" w14:textId="77777777" w:rsidTr="00F26CC7">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62765D" w:rsidRDefault="0062765D" w:rsidP="0062765D">
            <w:pPr>
              <w:rPr>
                <w:rFonts w:ascii="Times New Roman" w:hAnsi="Times New Roman"/>
                <w:sz w:val="24"/>
              </w:rPr>
            </w:pPr>
            <w:r w:rsidRPr="0062765D">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shd w:val="clear" w:color="auto" w:fill="auto"/>
            <w:vAlign w:val="center"/>
          </w:tcPr>
          <w:p w14:paraId="23C3E48A"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Business indicator</w:t>
            </w:r>
          </w:p>
          <w:p w14:paraId="75392277" w14:textId="77777777" w:rsidR="00A12BD5" w:rsidRDefault="0062765D" w:rsidP="0062765D">
            <w:pPr>
              <w:jc w:val="left"/>
              <w:rPr>
                <w:rFonts w:ascii="Times New Roman" w:hAnsi="Times New Roman"/>
                <w:sz w:val="24"/>
              </w:rPr>
            </w:pPr>
            <w:r w:rsidRPr="0062765D">
              <w:rPr>
                <w:rFonts w:ascii="Times New Roman" w:hAnsi="Times New Roman"/>
                <w:sz w:val="24"/>
              </w:rPr>
              <w:t xml:space="preserve">The value of the BI calculated in accordance with Article 314(1) </w:t>
            </w:r>
            <w:r w:rsidRPr="0062765D">
              <w:rPr>
                <w:rFonts w:ascii="Times New Roman" w:hAnsi="Times New Roman"/>
                <w:color w:val="000000" w:themeColor="text1"/>
                <w:sz w:val="24"/>
                <w:lang w:val="en-US"/>
              </w:rPr>
              <w:t>of Regulation (EU) No 575/2013</w:t>
            </w:r>
            <w:r w:rsidRPr="0062765D">
              <w:rPr>
                <w:rFonts w:ascii="Times New Roman" w:hAnsi="Times New Roman"/>
                <w:sz w:val="24"/>
              </w:rPr>
              <w:t>.</w:t>
            </w:r>
          </w:p>
          <w:p w14:paraId="55A108AA" w14:textId="4A73CF97" w:rsidR="00A55F29" w:rsidRPr="00A55F29" w:rsidRDefault="00A55F29" w:rsidP="00A55F29">
            <w:pPr>
              <w:jc w:val="left"/>
              <w:rPr>
                <w:rFonts w:ascii="Times New Roman" w:hAnsi="Times New Roman"/>
                <w:sz w:val="24"/>
              </w:rPr>
            </w:pPr>
            <w:r w:rsidRPr="00A55F29">
              <w:rPr>
                <w:rFonts w:ascii="Times New Roman" w:hAnsi="Times New Roman"/>
                <w:sz w:val="24"/>
              </w:rPr>
              <w:t>Where an institution is subject to the derogation referred to in Article 314(4) of Regulation (EU) No 575/2013, the institution shall not include any figures from retail banking and/or commercial banking business lines</w:t>
            </w:r>
            <w:r w:rsidR="00F26CC7">
              <w:rPr>
                <w:rFonts w:ascii="Times New Roman" w:hAnsi="Times New Roman"/>
                <w:sz w:val="24"/>
              </w:rPr>
              <w:t xml:space="preserve"> in scope of the derogation</w:t>
            </w:r>
            <w:r w:rsidRPr="00A55F29">
              <w:rPr>
                <w:rFonts w:ascii="Times New Roman" w:hAnsi="Times New Roman"/>
                <w:sz w:val="24"/>
              </w:rPr>
              <w:t xml:space="preserve">.  </w:t>
            </w:r>
          </w:p>
          <w:p w14:paraId="2D2342A6" w14:textId="12FFF9D6" w:rsidR="00A55F29" w:rsidRPr="0062765D" w:rsidRDefault="00A55F29" w:rsidP="0062765D">
            <w:pPr>
              <w:jc w:val="left"/>
              <w:rPr>
                <w:rFonts w:ascii="Times New Roman" w:hAnsi="Times New Roman"/>
                <w:sz w:val="24"/>
              </w:rPr>
            </w:pPr>
          </w:p>
        </w:tc>
      </w:tr>
      <w:tr w:rsidR="0062765D" w:rsidRPr="0062765D" w14:paraId="43DCA039" w14:textId="77777777" w:rsidTr="00F26CC7">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62765D" w:rsidRDefault="0062765D" w:rsidP="0062765D">
            <w:pPr>
              <w:rPr>
                <w:rFonts w:ascii="Times New Roman" w:hAnsi="Times New Roman"/>
                <w:sz w:val="24"/>
              </w:rPr>
            </w:pPr>
            <w:r w:rsidRPr="0062765D">
              <w:rPr>
                <w:rFonts w:ascii="Times New Roman" w:hAnsi="Times New Roman"/>
                <w:sz w:val="24"/>
              </w:rPr>
              <w:t>0030</w:t>
            </w:r>
          </w:p>
        </w:tc>
        <w:tc>
          <w:tcPr>
            <w:tcW w:w="7580" w:type="dxa"/>
            <w:tcBorders>
              <w:top w:val="nil"/>
              <w:left w:val="nil"/>
              <w:bottom w:val="single" w:sz="4" w:space="0" w:color="auto"/>
              <w:right w:val="single" w:sz="4" w:space="0" w:color="auto"/>
            </w:tcBorders>
            <w:shd w:val="clear" w:color="auto" w:fill="auto"/>
            <w:vAlign w:val="center"/>
          </w:tcPr>
          <w:p w14:paraId="7731AAED"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 xml:space="preserve">Interest, </w:t>
            </w:r>
            <w:proofErr w:type="gramStart"/>
            <w:r w:rsidRPr="0062765D">
              <w:rPr>
                <w:rFonts w:ascii="Times New Roman" w:hAnsi="Times New Roman"/>
                <w:b/>
                <w:bCs/>
                <w:sz w:val="24"/>
                <w:u w:val="single"/>
              </w:rPr>
              <w:t>leases</w:t>
            </w:r>
            <w:proofErr w:type="gramEnd"/>
            <w:r w:rsidRPr="0062765D">
              <w:rPr>
                <w:rFonts w:ascii="Times New Roman" w:hAnsi="Times New Roman"/>
                <w:b/>
                <w:bCs/>
                <w:sz w:val="24"/>
                <w:u w:val="single"/>
              </w:rPr>
              <w:t xml:space="preserve"> and dividend component</w:t>
            </w:r>
          </w:p>
          <w:p w14:paraId="47773943" w14:textId="2CF555A2" w:rsidR="0062765D" w:rsidRPr="0062765D" w:rsidRDefault="0062765D" w:rsidP="0062765D">
            <w:pPr>
              <w:jc w:val="left"/>
              <w:rPr>
                <w:rFonts w:ascii="Times New Roman" w:hAnsi="Times New Roman"/>
                <w:b/>
                <w:bCs/>
                <w:sz w:val="24"/>
                <w:u w:val="single"/>
              </w:rPr>
            </w:pPr>
            <w:r w:rsidRPr="0062765D">
              <w:rPr>
                <w:rFonts w:ascii="Times New Roman" w:hAnsi="Times New Roman"/>
                <w:color w:val="000000" w:themeColor="text1"/>
                <w:sz w:val="24"/>
              </w:rPr>
              <w:t xml:space="preserve">The total ILDC shall be calculated in accordance with Article 314(2) </w:t>
            </w:r>
            <w:r w:rsidRPr="0062765D">
              <w:rPr>
                <w:rFonts w:ascii="Times New Roman" w:hAnsi="Times New Roman"/>
                <w:color w:val="000000" w:themeColor="text1"/>
                <w:sz w:val="24"/>
                <w:lang w:val="en-US"/>
              </w:rPr>
              <w:t xml:space="preserve">of Regulation (EU) No 575/2013 and where applicable </w:t>
            </w:r>
            <w:r w:rsidRPr="0062765D">
              <w:rPr>
                <w:rFonts w:ascii="Times New Roman" w:hAnsi="Times New Roman"/>
                <w:color w:val="000000" w:themeColor="text1"/>
                <w:sz w:val="24"/>
              </w:rPr>
              <w:t>Article 314</w:t>
            </w:r>
            <w:r w:rsidR="00757765">
              <w:rPr>
                <w:rFonts w:ascii="Times New Roman" w:hAnsi="Times New Roman"/>
                <w:color w:val="000000" w:themeColor="text1"/>
                <w:sz w:val="24"/>
              </w:rPr>
              <w:t>(3)</w:t>
            </w:r>
            <w:r w:rsidRPr="0062765D">
              <w:rPr>
                <w:rFonts w:ascii="Times New Roman" w:hAnsi="Times New Roman"/>
                <w:color w:val="000000" w:themeColor="text1"/>
                <w:sz w:val="24"/>
              </w:rPr>
              <w:t xml:space="preserve">. </w:t>
            </w:r>
          </w:p>
        </w:tc>
      </w:tr>
      <w:tr w:rsidR="0062765D" w:rsidRPr="0062765D" w14:paraId="77939D32" w14:textId="77777777" w:rsidTr="00F26CC7">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62765D" w:rsidRDefault="0062765D" w:rsidP="0062765D">
            <w:pPr>
              <w:rPr>
                <w:rFonts w:ascii="Times New Roman" w:hAnsi="Times New Roman"/>
                <w:sz w:val="24"/>
              </w:rPr>
            </w:pPr>
            <w:r w:rsidRPr="0062765D">
              <w:rPr>
                <w:rFonts w:ascii="Times New Roman" w:hAnsi="Times New Roman"/>
                <w:sz w:val="24"/>
              </w:rPr>
              <w:t>0040</w:t>
            </w:r>
          </w:p>
        </w:tc>
        <w:tc>
          <w:tcPr>
            <w:tcW w:w="7580" w:type="dxa"/>
            <w:tcBorders>
              <w:top w:val="nil"/>
              <w:left w:val="nil"/>
              <w:bottom w:val="single" w:sz="4" w:space="0" w:color="auto"/>
              <w:right w:val="single" w:sz="4" w:space="0" w:color="auto"/>
            </w:tcBorders>
            <w:shd w:val="clear" w:color="auto" w:fill="auto"/>
            <w:vAlign w:val="center"/>
          </w:tcPr>
          <w:p w14:paraId="284CA9B7" w14:textId="68D87568"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ILDC related to the individual institution / consolidated Group (excluding entities considered by Article 314(</w:t>
            </w:r>
            <w:r w:rsidR="428A35F1" w:rsidRPr="12C2E25E">
              <w:rPr>
                <w:rFonts w:ascii="Times New Roman" w:hAnsi="Times New Roman"/>
                <w:b/>
                <w:bCs/>
                <w:sz w:val="24"/>
                <w:u w:val="single"/>
              </w:rPr>
              <w:t>3</w:t>
            </w:r>
            <w:r w:rsidR="00757765">
              <w:rPr>
                <w:rFonts w:ascii="Times New Roman" w:hAnsi="Times New Roman"/>
                <w:b/>
                <w:bCs/>
                <w:sz w:val="24"/>
                <w:u w:val="single"/>
              </w:rPr>
              <w:t>)</w:t>
            </w:r>
          </w:p>
          <w:p w14:paraId="20179C90" w14:textId="77777777" w:rsidR="0062765D" w:rsidRPr="0062765D" w:rsidRDefault="0062765D" w:rsidP="0062765D">
            <w:pPr>
              <w:jc w:val="left"/>
              <w:rPr>
                <w:rFonts w:ascii="Times New Roman" w:hAnsi="Times New Roman"/>
                <w:color w:val="000000" w:themeColor="text1"/>
                <w:sz w:val="24"/>
                <w:lang w:val="en-US"/>
              </w:rPr>
            </w:pPr>
            <w:r w:rsidRPr="0062765D">
              <w:rPr>
                <w:rFonts w:ascii="Times New Roman" w:hAnsi="Times New Roman"/>
                <w:color w:val="000000" w:themeColor="text1"/>
                <w:sz w:val="24"/>
              </w:rPr>
              <w:t xml:space="preserve">The ILDC shall be calculated in accordance with Article 314(2) </w:t>
            </w:r>
            <w:r w:rsidRPr="0062765D">
              <w:rPr>
                <w:rFonts w:ascii="Times New Roman" w:hAnsi="Times New Roman"/>
                <w:color w:val="000000" w:themeColor="text1"/>
                <w:sz w:val="24"/>
                <w:lang w:val="en-US"/>
              </w:rPr>
              <w:t xml:space="preserve">of Regulation (EU) No 575/2013. </w:t>
            </w:r>
          </w:p>
          <w:p w14:paraId="44DE0AF1" w14:textId="683B00BD" w:rsidR="0062765D" w:rsidRPr="0062765D" w:rsidRDefault="0062765D" w:rsidP="0062765D">
            <w:pPr>
              <w:jc w:val="left"/>
              <w:rPr>
                <w:rFonts w:ascii="Times New Roman" w:hAnsi="Times New Roman"/>
                <w:color w:val="000000" w:themeColor="text1"/>
                <w:sz w:val="24"/>
              </w:rPr>
            </w:pPr>
            <w:r w:rsidRPr="22327785">
              <w:rPr>
                <w:rFonts w:ascii="Times New Roman" w:hAnsi="Times New Roman"/>
                <w:color w:val="000000" w:themeColor="text1"/>
                <w:sz w:val="24"/>
              </w:rPr>
              <w:t>In case of consolidated reporting, where an institution is subject to the derogation referred to in Article 314(</w:t>
            </w:r>
            <w:r w:rsidR="31BE6697" w:rsidRPr="22327785">
              <w:rPr>
                <w:rFonts w:ascii="Times New Roman" w:hAnsi="Times New Roman"/>
                <w:color w:val="000000" w:themeColor="text1"/>
                <w:sz w:val="24"/>
              </w:rPr>
              <w:t>3</w:t>
            </w:r>
            <w:r w:rsidRPr="22327785">
              <w:rPr>
                <w:rFonts w:ascii="Times New Roman" w:hAnsi="Times New Roman"/>
                <w:color w:val="000000" w:themeColor="text1"/>
                <w:sz w:val="24"/>
              </w:rPr>
              <w:t xml:space="preserve">) of Regulation (EU) No 575/2013, the institution shall not include any figures that are part of the computation of the </w:t>
            </w:r>
            <w:r w:rsidRPr="22327785">
              <w:rPr>
                <w:rFonts w:ascii="Times New Roman" w:hAnsi="Times New Roman"/>
                <w:color w:val="000000" w:themeColor="text1"/>
                <w:sz w:val="24"/>
              </w:rPr>
              <w:lastRenderedPageBreak/>
              <w:t xml:space="preserve">ILDC calculated separately for those specific subsidiary institutions. Intercompany balances between the subsidiaries considered by the article and the rest of the group shall be eliminated.  </w:t>
            </w:r>
          </w:p>
          <w:p w14:paraId="15569619" w14:textId="0D6BDA72" w:rsidR="0062765D" w:rsidRPr="0062765D" w:rsidRDefault="0062765D" w:rsidP="0062765D">
            <w:pPr>
              <w:jc w:val="left"/>
              <w:rPr>
                <w:rFonts w:ascii="Times New Roman" w:hAnsi="Times New Roman"/>
                <w:color w:val="000000" w:themeColor="text1"/>
                <w:sz w:val="24"/>
              </w:rPr>
            </w:pPr>
            <w:r w:rsidRPr="22327785">
              <w:rPr>
                <w:rFonts w:ascii="Times New Roman" w:hAnsi="Times New Roman"/>
                <w:color w:val="000000" w:themeColor="text1"/>
                <w:sz w:val="24"/>
              </w:rPr>
              <w:t>Where an institution is subject to the derogation referred to in Article 314(</w:t>
            </w:r>
            <w:r w:rsidR="5DC7392C" w:rsidRPr="22327785">
              <w:rPr>
                <w:rFonts w:ascii="Times New Roman" w:hAnsi="Times New Roman"/>
                <w:color w:val="000000" w:themeColor="text1"/>
                <w:sz w:val="24"/>
              </w:rPr>
              <w:t>4</w:t>
            </w:r>
            <w:r w:rsidRPr="22327785">
              <w:rPr>
                <w:rFonts w:ascii="Times New Roman" w:hAnsi="Times New Roman"/>
                <w:color w:val="000000" w:themeColor="text1"/>
                <w:sz w:val="24"/>
              </w:rPr>
              <w:t>) of Regulation (EU) No 575/2013, the institution shall not include any figures from retail banking and/or commercial banking business lines</w:t>
            </w:r>
            <w:r w:rsidR="00F26CC7">
              <w:rPr>
                <w:rFonts w:ascii="Times New Roman" w:hAnsi="Times New Roman"/>
                <w:color w:val="000000" w:themeColor="text1"/>
                <w:sz w:val="24"/>
              </w:rPr>
              <w:t xml:space="preserve"> in scope of the derogation</w:t>
            </w:r>
            <w:r w:rsidRPr="22327785">
              <w:rPr>
                <w:rFonts w:ascii="Times New Roman" w:hAnsi="Times New Roman"/>
                <w:color w:val="000000" w:themeColor="text1"/>
                <w:sz w:val="24"/>
              </w:rPr>
              <w:t xml:space="preserve">.  </w:t>
            </w:r>
          </w:p>
          <w:p w14:paraId="35C8E8B1" w14:textId="398C1E78" w:rsidR="0062765D" w:rsidRPr="0062765D" w:rsidRDefault="0062765D" w:rsidP="0062765D">
            <w:pPr>
              <w:jc w:val="left"/>
              <w:rPr>
                <w:rFonts w:ascii="Times New Roman" w:hAnsi="Times New Roman"/>
                <w:color w:val="000000" w:themeColor="text1"/>
                <w:sz w:val="24"/>
                <w:lang w:val="en-US"/>
              </w:rPr>
            </w:pPr>
          </w:p>
        </w:tc>
      </w:tr>
      <w:tr w:rsidR="0062765D" w:rsidRPr="0062765D" w14:paraId="10F82FD5" w14:textId="77777777" w:rsidTr="00F26CC7">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62765D" w:rsidRDefault="0062765D" w:rsidP="0062765D">
            <w:pPr>
              <w:rPr>
                <w:rFonts w:ascii="Times New Roman" w:hAnsi="Times New Roman"/>
                <w:sz w:val="24"/>
              </w:rPr>
            </w:pPr>
            <w:r w:rsidRPr="0062765D">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shd w:val="clear" w:color="auto" w:fill="auto"/>
            <w:vAlign w:val="center"/>
          </w:tcPr>
          <w:p w14:paraId="7E99C119" w14:textId="05AFDC00"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ILDC for entities considered by Article 314(</w:t>
            </w:r>
            <w:r w:rsidR="15B77EAB" w:rsidRPr="12C2E25E">
              <w:rPr>
                <w:rFonts w:ascii="Times New Roman" w:hAnsi="Times New Roman"/>
                <w:b/>
                <w:bCs/>
                <w:sz w:val="24"/>
                <w:u w:val="single"/>
              </w:rPr>
              <w:t>3</w:t>
            </w:r>
            <w:r w:rsidRPr="0062765D">
              <w:rPr>
                <w:rFonts w:ascii="Times New Roman" w:hAnsi="Times New Roman"/>
                <w:b/>
                <w:bCs/>
                <w:sz w:val="24"/>
                <w:u w:val="single"/>
              </w:rPr>
              <w:t>)</w:t>
            </w:r>
          </w:p>
          <w:p w14:paraId="574F1C29" w14:textId="4EE469F6" w:rsidR="0062765D" w:rsidRPr="004A5A87" w:rsidRDefault="0062765D" w:rsidP="0062765D">
            <w:pPr>
              <w:jc w:val="left"/>
              <w:rPr>
                <w:rFonts w:ascii="Times New Roman" w:hAnsi="Times New Roman"/>
                <w:color w:val="000000" w:themeColor="text1"/>
                <w:sz w:val="24"/>
                <w:lang w:val="en-US"/>
              </w:rPr>
            </w:pPr>
            <w:r w:rsidRPr="0062765D">
              <w:rPr>
                <w:rFonts w:ascii="Times New Roman" w:hAnsi="Times New Roman"/>
                <w:color w:val="000000" w:themeColor="text1"/>
                <w:sz w:val="24"/>
              </w:rPr>
              <w:t>In case of consolidated reporting, where an institution is subject to the derogation referred to in Article 314(</w:t>
            </w:r>
            <w:r w:rsidR="17DDF4CD" w:rsidRPr="12C2E25E">
              <w:rPr>
                <w:rFonts w:ascii="Times New Roman" w:hAnsi="Times New Roman"/>
                <w:color w:val="000000" w:themeColor="text1"/>
                <w:sz w:val="24"/>
              </w:rPr>
              <w:t>3</w:t>
            </w:r>
            <w:r w:rsidRPr="0062765D">
              <w:rPr>
                <w:rFonts w:ascii="Times New Roman" w:hAnsi="Times New Roman"/>
                <w:color w:val="000000" w:themeColor="text1"/>
                <w:sz w:val="24"/>
              </w:rPr>
              <w:t xml:space="preserve">), it shall report the sum of the ILDC for </w:t>
            </w:r>
            <w:r w:rsidRPr="0062765D">
              <w:rPr>
                <w:rFonts w:ascii="Times New Roman" w:hAnsi="Times New Roman"/>
                <w:color w:val="000000" w:themeColor="text1"/>
                <w:sz w:val="24"/>
                <w:lang w:val="en-US"/>
              </w:rPr>
              <w:t>those specific subsidiary institutions for which a separate ILDC is computed. When calculating the separate ILDC, intercompany balances between the subsidiaries and the rest of the group shall be eliminated.</w:t>
            </w:r>
          </w:p>
        </w:tc>
      </w:tr>
      <w:tr w:rsidR="0062765D" w:rsidRPr="0062765D" w14:paraId="73ACC69C" w14:textId="77777777" w:rsidTr="00F26CC7">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62765D" w:rsidRDefault="0062765D" w:rsidP="0062765D">
            <w:pPr>
              <w:rPr>
                <w:rFonts w:ascii="Times New Roman" w:hAnsi="Times New Roman"/>
                <w:sz w:val="24"/>
              </w:rPr>
            </w:pPr>
            <w:r w:rsidRPr="0062765D">
              <w:rPr>
                <w:rFonts w:ascii="Times New Roman" w:hAnsi="Times New Roman"/>
                <w:sz w:val="24"/>
              </w:rPr>
              <w:t>00</w:t>
            </w:r>
            <w:r w:rsidR="00F86288">
              <w:rPr>
                <w:rFonts w:ascii="Times New Roman" w:hAnsi="Times New Roman"/>
                <w:sz w:val="24"/>
              </w:rPr>
              <w:t>6</w:t>
            </w:r>
            <w:r w:rsidRPr="0062765D">
              <w:rPr>
                <w:rFonts w:ascii="Times New Roman" w:hAnsi="Times New Roman"/>
                <w:sz w:val="24"/>
              </w:rPr>
              <w:t>0</w:t>
            </w:r>
          </w:p>
        </w:tc>
        <w:tc>
          <w:tcPr>
            <w:tcW w:w="7580" w:type="dxa"/>
            <w:tcBorders>
              <w:top w:val="nil"/>
              <w:left w:val="nil"/>
              <w:bottom w:val="single" w:sz="4" w:space="0" w:color="auto"/>
              <w:right w:val="single" w:sz="4" w:space="0" w:color="auto"/>
            </w:tcBorders>
            <w:shd w:val="clear" w:color="auto" w:fill="auto"/>
            <w:vAlign w:val="center"/>
          </w:tcPr>
          <w:p w14:paraId="5F4804A3"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Services component</w:t>
            </w:r>
          </w:p>
          <w:p w14:paraId="68E6D128" w14:textId="742461BD" w:rsidR="0062765D" w:rsidRDefault="0062765D" w:rsidP="0062765D">
            <w:pPr>
              <w:jc w:val="left"/>
              <w:rPr>
                <w:rFonts w:ascii="Times New Roman" w:hAnsi="Times New Roman"/>
                <w:color w:val="000000" w:themeColor="text1"/>
                <w:sz w:val="24"/>
              </w:rPr>
            </w:pPr>
            <w:r w:rsidRPr="0062765D">
              <w:rPr>
                <w:rFonts w:ascii="Times New Roman" w:hAnsi="Times New Roman"/>
                <w:color w:val="000000" w:themeColor="text1"/>
                <w:sz w:val="24"/>
              </w:rPr>
              <w:t>The services component shall be calculated in accordance with Article 314(</w:t>
            </w:r>
            <w:r w:rsidR="08820879" w:rsidRPr="12C2E25E">
              <w:rPr>
                <w:rFonts w:ascii="Times New Roman" w:hAnsi="Times New Roman"/>
                <w:color w:val="000000" w:themeColor="text1"/>
                <w:sz w:val="24"/>
              </w:rPr>
              <w:t>5</w:t>
            </w:r>
            <w:r w:rsidRPr="0062765D">
              <w:rPr>
                <w:rFonts w:ascii="Times New Roman" w:hAnsi="Times New Roman"/>
                <w:color w:val="000000" w:themeColor="text1"/>
                <w:sz w:val="24"/>
              </w:rPr>
              <w:t xml:space="preserve">) </w:t>
            </w:r>
            <w:r w:rsidRPr="0062765D">
              <w:rPr>
                <w:rFonts w:ascii="Times New Roman" w:hAnsi="Times New Roman"/>
                <w:color w:val="000000" w:themeColor="text1"/>
                <w:sz w:val="24"/>
                <w:lang w:val="en-US"/>
              </w:rPr>
              <w:t>of Regulation (EU) No 575/2013</w:t>
            </w:r>
            <w:r w:rsidRPr="0062765D">
              <w:rPr>
                <w:rFonts w:ascii="Times New Roman" w:hAnsi="Times New Roman"/>
                <w:color w:val="000000" w:themeColor="text1"/>
                <w:sz w:val="24"/>
              </w:rPr>
              <w:t>.</w:t>
            </w:r>
          </w:p>
          <w:p w14:paraId="79F2D39A" w14:textId="2F1617D4" w:rsidR="0062765D" w:rsidRPr="004A5A87" w:rsidRDefault="00F26CC7" w:rsidP="0062765D">
            <w:pPr>
              <w:jc w:val="left"/>
              <w:rPr>
                <w:rFonts w:ascii="Times New Roman" w:hAnsi="Times New Roman"/>
                <w:color w:val="000000" w:themeColor="text1"/>
                <w:sz w:val="24"/>
              </w:rPr>
            </w:pPr>
            <w:r w:rsidRPr="00F26CC7">
              <w:rPr>
                <w:rFonts w:ascii="Times New Roman" w:hAnsi="Times New Roman"/>
                <w:color w:val="000000" w:themeColor="text1"/>
                <w:sz w:val="24"/>
              </w:rPr>
              <w:t xml:space="preserve">Where an institution is subject to the derogation referred to in Article 314(4) of Regulation (EU) No 575/2013, the institution shall not include any figures from retail banking and/or commercial banking business lines in scope of the derogation.  </w:t>
            </w:r>
          </w:p>
        </w:tc>
      </w:tr>
      <w:tr w:rsidR="0062765D" w:rsidRPr="0062765D" w14:paraId="6FF92BD0" w14:textId="77777777" w:rsidTr="00F26CC7">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62765D" w:rsidRDefault="0062765D" w:rsidP="0062765D">
            <w:pPr>
              <w:rPr>
                <w:rFonts w:ascii="Times New Roman" w:hAnsi="Times New Roman"/>
                <w:sz w:val="24"/>
              </w:rPr>
            </w:pPr>
            <w:r w:rsidRPr="0062765D">
              <w:rPr>
                <w:rFonts w:ascii="Times New Roman" w:hAnsi="Times New Roman"/>
                <w:sz w:val="24"/>
              </w:rPr>
              <w:t>00</w:t>
            </w:r>
            <w:r w:rsidR="00F86288">
              <w:rPr>
                <w:rFonts w:ascii="Times New Roman" w:hAnsi="Times New Roman"/>
                <w:sz w:val="24"/>
              </w:rPr>
              <w:t>7</w:t>
            </w:r>
            <w:r w:rsidRPr="0062765D">
              <w:rPr>
                <w:rFonts w:ascii="Times New Roman" w:hAnsi="Times New Roman"/>
                <w:sz w:val="24"/>
              </w:rPr>
              <w:t>0</w:t>
            </w:r>
          </w:p>
        </w:tc>
        <w:tc>
          <w:tcPr>
            <w:tcW w:w="7580" w:type="dxa"/>
            <w:tcBorders>
              <w:top w:val="nil"/>
              <w:left w:val="nil"/>
              <w:bottom w:val="single" w:sz="4" w:space="0" w:color="auto"/>
              <w:right w:val="single" w:sz="4" w:space="0" w:color="auto"/>
            </w:tcBorders>
            <w:shd w:val="clear" w:color="auto" w:fill="auto"/>
            <w:vAlign w:val="center"/>
          </w:tcPr>
          <w:p w14:paraId="760DD50E" w14:textId="77777777"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 xml:space="preserve">Financial component </w:t>
            </w:r>
          </w:p>
          <w:p w14:paraId="25D11A82" w14:textId="0487D2A6" w:rsidR="004A5A87" w:rsidRPr="00C2709D" w:rsidRDefault="004A5A87" w:rsidP="0062765D">
            <w:pPr>
              <w:jc w:val="left"/>
              <w:rPr>
                <w:rFonts w:ascii="Times New Roman" w:hAnsi="Times New Roman"/>
                <w:color w:val="000000" w:themeColor="text1"/>
                <w:sz w:val="24"/>
              </w:rPr>
            </w:pPr>
            <w:r w:rsidRPr="0062765D">
              <w:rPr>
                <w:rFonts w:ascii="Times New Roman" w:hAnsi="Times New Roman"/>
                <w:color w:val="000000" w:themeColor="text1"/>
                <w:sz w:val="24"/>
              </w:rPr>
              <w:t>The financial component shall be calculated in accordance with Article 314(</w:t>
            </w:r>
            <w:r w:rsidRPr="12C2E25E">
              <w:rPr>
                <w:rFonts w:ascii="Times New Roman" w:hAnsi="Times New Roman"/>
                <w:color w:val="000000" w:themeColor="text1"/>
                <w:sz w:val="24"/>
              </w:rPr>
              <w:t>6</w:t>
            </w:r>
            <w:r w:rsidRPr="0062765D">
              <w:rPr>
                <w:rFonts w:ascii="Times New Roman" w:hAnsi="Times New Roman"/>
                <w:color w:val="000000" w:themeColor="text1"/>
                <w:sz w:val="24"/>
              </w:rPr>
              <w:t xml:space="preserve">) </w:t>
            </w:r>
            <w:r w:rsidRPr="0062765D">
              <w:rPr>
                <w:rFonts w:ascii="Times New Roman" w:hAnsi="Times New Roman"/>
                <w:color w:val="000000" w:themeColor="text1"/>
                <w:sz w:val="24"/>
                <w:lang w:val="en-US"/>
              </w:rPr>
              <w:t>of Regulation (EU) No 575/2013</w:t>
            </w:r>
            <w:r w:rsidRPr="0062765D">
              <w:rPr>
                <w:rFonts w:ascii="Times New Roman" w:hAnsi="Times New Roman"/>
                <w:color w:val="000000" w:themeColor="text1"/>
                <w:sz w:val="24"/>
              </w:rPr>
              <w:t xml:space="preserve">. </w:t>
            </w:r>
          </w:p>
          <w:p w14:paraId="7BCC8437" w14:textId="4EAEDFEB" w:rsidR="0062765D" w:rsidRPr="0062765D" w:rsidRDefault="00F26CC7" w:rsidP="0062765D">
            <w:pPr>
              <w:jc w:val="left"/>
              <w:rPr>
                <w:rFonts w:ascii="Times New Roman" w:hAnsi="Times New Roman"/>
                <w:color w:val="000000" w:themeColor="text1"/>
                <w:sz w:val="24"/>
                <w:lang w:val="en-US"/>
              </w:rPr>
            </w:pPr>
            <w:r w:rsidRPr="00F26CC7">
              <w:rPr>
                <w:rFonts w:ascii="Times New Roman" w:hAnsi="Times New Roman"/>
                <w:color w:val="000000" w:themeColor="text1"/>
                <w:sz w:val="24"/>
                <w:lang w:val="en-US"/>
              </w:rPr>
              <w:t xml:space="preserve">Where an institution is subject to the derogation referred to in Article 314(4) of Regulation (EU) No 575/2013, the institution shall not include any figures from retail banking and/or commercial banking business lines in scope of the derogation.  </w:t>
            </w:r>
          </w:p>
        </w:tc>
      </w:tr>
      <w:tr w:rsidR="00F86288" w:rsidRPr="0062765D" w14:paraId="62850383" w14:textId="77777777" w:rsidTr="00F26CC7">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62765D" w:rsidRDefault="00F86288" w:rsidP="0062765D">
            <w:pPr>
              <w:rPr>
                <w:rFonts w:ascii="Times New Roman" w:hAnsi="Times New Roman"/>
                <w:sz w:val="24"/>
              </w:rPr>
            </w:pPr>
            <w:r>
              <w:rPr>
                <w:rFonts w:ascii="Times New Roman" w:hAnsi="Times New Roman"/>
                <w:sz w:val="24"/>
              </w:rPr>
              <w:t>0080</w:t>
            </w:r>
          </w:p>
        </w:tc>
        <w:tc>
          <w:tcPr>
            <w:tcW w:w="7580" w:type="dxa"/>
            <w:tcBorders>
              <w:top w:val="nil"/>
              <w:left w:val="nil"/>
              <w:bottom w:val="single" w:sz="4" w:space="0" w:color="auto"/>
              <w:right w:val="single" w:sz="4" w:space="0" w:color="auto"/>
            </w:tcBorders>
            <w:shd w:val="clear" w:color="auto" w:fill="auto"/>
            <w:vAlign w:val="center"/>
          </w:tcPr>
          <w:p w14:paraId="33306558" w14:textId="77777777" w:rsidR="00F86288" w:rsidRDefault="00A8279E" w:rsidP="0062765D">
            <w:pPr>
              <w:jc w:val="left"/>
              <w:rPr>
                <w:rFonts w:ascii="Times New Roman" w:hAnsi="Times New Roman"/>
                <w:b/>
                <w:bCs/>
                <w:sz w:val="24"/>
                <w:u w:val="single"/>
              </w:rPr>
            </w:pPr>
            <w:r w:rsidRPr="00A8279E">
              <w:rPr>
                <w:rFonts w:ascii="Times New Roman" w:hAnsi="Times New Roman"/>
                <w:b/>
                <w:bCs/>
                <w:sz w:val="24"/>
                <w:u w:val="single"/>
              </w:rPr>
              <w:t>ASA under Article 314(4) (Retail banking)</w:t>
            </w:r>
          </w:p>
          <w:p w14:paraId="35824B06" w14:textId="79A2A47B" w:rsidR="00452946" w:rsidRPr="00C2709D" w:rsidRDefault="00452946" w:rsidP="0062765D">
            <w:pPr>
              <w:jc w:val="left"/>
              <w:rPr>
                <w:rFonts w:ascii="Times New Roman" w:hAnsi="Times New Roman"/>
                <w:sz w:val="24"/>
                <w:u w:val="single"/>
              </w:rPr>
            </w:pPr>
            <w:r w:rsidRPr="00C2709D">
              <w:rPr>
                <w:rFonts w:ascii="Times New Roman" w:hAnsi="Times New Roman"/>
                <w:sz w:val="24"/>
                <w:u w:val="single"/>
              </w:rPr>
              <w:t>Article 314(4) for retail banking business line</w:t>
            </w:r>
          </w:p>
        </w:tc>
      </w:tr>
      <w:tr w:rsidR="00F86288" w:rsidRPr="0062765D" w14:paraId="37626D9D" w14:textId="77777777" w:rsidTr="00C2709D">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62765D" w:rsidRDefault="00F86288" w:rsidP="0062765D">
            <w:pPr>
              <w:rPr>
                <w:rFonts w:ascii="Times New Roman" w:hAnsi="Times New Roman"/>
                <w:sz w:val="24"/>
              </w:rPr>
            </w:pPr>
            <w:r>
              <w:rPr>
                <w:rFonts w:ascii="Times New Roman" w:hAnsi="Times New Roman"/>
                <w:sz w:val="24"/>
              </w:rPr>
              <w:t>0090</w:t>
            </w:r>
          </w:p>
        </w:tc>
        <w:tc>
          <w:tcPr>
            <w:tcW w:w="7580" w:type="dxa"/>
            <w:tcBorders>
              <w:top w:val="nil"/>
              <w:left w:val="nil"/>
              <w:bottom w:val="single" w:sz="4" w:space="0" w:color="auto"/>
              <w:right w:val="single" w:sz="4" w:space="0" w:color="auto"/>
            </w:tcBorders>
            <w:shd w:val="clear" w:color="auto" w:fill="auto"/>
            <w:vAlign w:val="center"/>
          </w:tcPr>
          <w:p w14:paraId="53F9CB31" w14:textId="77777777" w:rsidR="00F86288" w:rsidRDefault="00452946" w:rsidP="0062765D">
            <w:pPr>
              <w:jc w:val="left"/>
              <w:rPr>
                <w:rFonts w:ascii="Times New Roman" w:hAnsi="Times New Roman"/>
                <w:b/>
                <w:bCs/>
                <w:sz w:val="24"/>
                <w:u w:val="single"/>
              </w:rPr>
            </w:pPr>
            <w:r w:rsidRPr="00452946">
              <w:rPr>
                <w:rFonts w:ascii="Times New Roman" w:hAnsi="Times New Roman"/>
                <w:b/>
                <w:bCs/>
                <w:sz w:val="24"/>
                <w:u w:val="single"/>
              </w:rPr>
              <w:t>ASA under Article 314(4) (Commercial banking)</w:t>
            </w:r>
          </w:p>
          <w:p w14:paraId="03643C1A" w14:textId="1F6FF309" w:rsidR="00452946" w:rsidRPr="00C2709D" w:rsidRDefault="00452946" w:rsidP="0062765D">
            <w:pPr>
              <w:jc w:val="left"/>
              <w:rPr>
                <w:rFonts w:ascii="Times New Roman" w:hAnsi="Times New Roman"/>
                <w:sz w:val="24"/>
              </w:rPr>
            </w:pPr>
            <w:r w:rsidRPr="00C2709D">
              <w:rPr>
                <w:rFonts w:ascii="Times New Roman" w:hAnsi="Times New Roman"/>
                <w:sz w:val="24"/>
              </w:rPr>
              <w:t>Article 314(4) for commercial banking business line</w:t>
            </w:r>
          </w:p>
        </w:tc>
      </w:tr>
      <w:tr w:rsidR="0062765D" w:rsidRPr="0062765D" w14:paraId="54CEB826" w14:textId="77777777" w:rsidTr="00C2709D">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62765D" w:rsidRDefault="0062765D" w:rsidP="0062765D">
            <w:pPr>
              <w:rPr>
                <w:rFonts w:ascii="Times New Roman" w:hAnsi="Times New Roman"/>
                <w:sz w:val="24"/>
              </w:rPr>
            </w:pPr>
            <w:r w:rsidRPr="0062765D">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shd w:val="clear" w:color="auto" w:fill="auto"/>
            <w:vAlign w:val="center"/>
          </w:tcPr>
          <w:p w14:paraId="793F3DE2" w14:textId="665D7675" w:rsidR="0062765D" w:rsidRPr="0062765D" w:rsidRDefault="0062765D" w:rsidP="0062765D">
            <w:pPr>
              <w:jc w:val="left"/>
              <w:rPr>
                <w:rFonts w:ascii="Times New Roman" w:hAnsi="Times New Roman"/>
                <w:b/>
                <w:bCs/>
                <w:sz w:val="24"/>
                <w:u w:val="single"/>
              </w:rPr>
            </w:pPr>
            <w:r w:rsidRPr="0062765D">
              <w:rPr>
                <w:rFonts w:ascii="Times New Roman" w:hAnsi="Times New Roman"/>
                <w:b/>
                <w:bCs/>
                <w:sz w:val="24"/>
                <w:u w:val="single"/>
              </w:rPr>
              <w:t>Memorandum Item: ILDC related to the individual institution /consolidated Group (including entities considered by Article 314(</w:t>
            </w:r>
            <w:r w:rsidR="2ABD104B" w:rsidRPr="12C2E25E">
              <w:rPr>
                <w:rFonts w:ascii="Times New Roman" w:hAnsi="Times New Roman"/>
                <w:b/>
                <w:bCs/>
                <w:sz w:val="24"/>
                <w:u w:val="single"/>
              </w:rPr>
              <w:t>3</w:t>
            </w:r>
            <w:r w:rsidRPr="0062765D">
              <w:rPr>
                <w:rFonts w:ascii="Times New Roman" w:hAnsi="Times New Roman"/>
                <w:b/>
                <w:bCs/>
                <w:sz w:val="24"/>
                <w:u w:val="single"/>
              </w:rPr>
              <w:t>)</w:t>
            </w:r>
            <w:r w:rsidR="00623144">
              <w:rPr>
                <w:rFonts w:ascii="Times New Roman" w:hAnsi="Times New Roman"/>
                <w:b/>
                <w:bCs/>
                <w:sz w:val="24"/>
                <w:u w:val="single"/>
              </w:rPr>
              <w:t>)</w:t>
            </w:r>
            <w:r w:rsidRPr="0062765D">
              <w:rPr>
                <w:rFonts w:ascii="Times New Roman" w:hAnsi="Times New Roman"/>
                <w:b/>
                <w:bCs/>
                <w:sz w:val="24"/>
                <w:u w:val="single"/>
              </w:rPr>
              <w:t xml:space="preserve"> </w:t>
            </w:r>
          </w:p>
          <w:p w14:paraId="0A3600F0" w14:textId="676E665D" w:rsidR="00623144" w:rsidRPr="00623144" w:rsidRDefault="0062765D" w:rsidP="0062765D">
            <w:pPr>
              <w:jc w:val="left"/>
              <w:rPr>
                <w:rFonts w:ascii="Times New Roman" w:hAnsi="Times New Roman"/>
                <w:bCs/>
                <w:sz w:val="24"/>
              </w:rPr>
            </w:pPr>
            <w:r w:rsidRPr="0062765D">
              <w:rPr>
                <w:rFonts w:ascii="Times New Roman" w:hAnsi="Times New Roman"/>
                <w:sz w:val="24"/>
              </w:rPr>
              <w:t xml:space="preserve">Where an institution is subject to the derogation </w:t>
            </w:r>
            <w:proofErr w:type="spellStart"/>
            <w:r w:rsidRPr="0062765D">
              <w:rPr>
                <w:rFonts w:ascii="Times New Roman" w:hAnsi="Times New Roman"/>
                <w:sz w:val="24"/>
                <w:lang w:val="en-US"/>
              </w:rPr>
              <w:t>refered</w:t>
            </w:r>
            <w:proofErr w:type="spellEnd"/>
            <w:r w:rsidRPr="0062765D">
              <w:rPr>
                <w:rFonts w:ascii="Times New Roman" w:hAnsi="Times New Roman"/>
                <w:sz w:val="24"/>
                <w:lang w:val="en-US"/>
              </w:rPr>
              <w:t xml:space="preserve"> to in Article 314 paragraph </w:t>
            </w:r>
            <w:r w:rsidR="25428D19" w:rsidRPr="12C2E25E">
              <w:rPr>
                <w:rFonts w:ascii="Times New Roman" w:hAnsi="Times New Roman"/>
                <w:sz w:val="24"/>
                <w:lang w:val="en-US"/>
              </w:rPr>
              <w:t>3</w:t>
            </w:r>
            <w:r w:rsidRPr="0062765D">
              <w:rPr>
                <w:rFonts w:ascii="Times New Roman" w:hAnsi="Times New Roman"/>
                <w:sz w:val="24"/>
                <w:lang w:val="en-US"/>
              </w:rPr>
              <w:t xml:space="preserve">, </w:t>
            </w:r>
            <w:r w:rsidRPr="0062765D">
              <w:rPr>
                <w:rFonts w:ascii="Times New Roman" w:hAnsi="Times New Roman"/>
                <w:sz w:val="24"/>
              </w:rPr>
              <w:t>it shall report the theoretical individual or consolidated ILDC calculated in accordance with Article 314(</w:t>
            </w:r>
            <w:r w:rsidR="00030E10">
              <w:rPr>
                <w:rFonts w:ascii="Times New Roman" w:hAnsi="Times New Roman"/>
                <w:sz w:val="24"/>
              </w:rPr>
              <w:t>2</w:t>
            </w:r>
            <w:r w:rsidRPr="0062765D">
              <w:rPr>
                <w:rFonts w:ascii="Times New Roman" w:hAnsi="Times New Roman"/>
                <w:sz w:val="24"/>
              </w:rPr>
              <w:t xml:space="preserve">) </w:t>
            </w:r>
            <w:r w:rsidRPr="0062765D">
              <w:rPr>
                <w:rFonts w:ascii="Times New Roman" w:hAnsi="Times New Roman"/>
                <w:color w:val="000000" w:themeColor="text1"/>
                <w:sz w:val="24"/>
                <w:lang w:val="en-US"/>
              </w:rPr>
              <w:t xml:space="preserve">of Regulation (EU) No 575/2013, as </w:t>
            </w:r>
            <w:r w:rsidRPr="0062765D">
              <w:rPr>
                <w:rFonts w:ascii="Times New Roman" w:hAnsi="Times New Roman"/>
                <w:sz w:val="24"/>
              </w:rPr>
              <w:t>if the institution were not to apply the derogation.</w:t>
            </w:r>
            <w:r w:rsidRPr="0062765D">
              <w:rPr>
                <w:rFonts w:ascii="Times New Roman" w:hAnsi="Times New Roman"/>
                <w:bCs/>
                <w:sz w:val="24"/>
              </w:rPr>
              <w:t xml:space="preserve"> </w:t>
            </w:r>
          </w:p>
        </w:tc>
      </w:tr>
      <w:tr w:rsidR="00502B1A" w:rsidRPr="0062765D" w14:paraId="5FE8A1DE" w14:textId="77777777" w:rsidTr="00C2709D">
        <w:trPr>
          <w:trHeight w:val="504"/>
        </w:trPr>
        <w:tc>
          <w:tcPr>
            <w:tcW w:w="1436"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8DBA2F9" w14:textId="082029B0" w:rsidR="00502B1A" w:rsidRPr="0062765D" w:rsidRDefault="00F43925" w:rsidP="0062765D">
            <w:pPr>
              <w:rPr>
                <w:rFonts w:ascii="Times New Roman" w:hAnsi="Times New Roman"/>
                <w:sz w:val="24"/>
              </w:rPr>
            </w:pPr>
            <w:r>
              <w:rPr>
                <w:rFonts w:ascii="Times New Roman" w:hAnsi="Times New Roman"/>
                <w:sz w:val="24"/>
              </w:rPr>
              <w:t>0110</w:t>
            </w:r>
          </w:p>
        </w:tc>
        <w:tc>
          <w:tcPr>
            <w:tcW w:w="7580" w:type="dxa"/>
            <w:tcBorders>
              <w:top w:val="single" w:sz="4" w:space="0" w:color="auto"/>
              <w:left w:val="nil"/>
              <w:bottom w:val="nil"/>
              <w:right w:val="single" w:sz="4" w:space="0" w:color="auto"/>
            </w:tcBorders>
            <w:shd w:val="clear" w:color="auto" w:fill="auto"/>
            <w:vAlign w:val="center"/>
          </w:tcPr>
          <w:p w14:paraId="0954632F" w14:textId="77777777" w:rsidR="00502B1A" w:rsidRDefault="00F43925" w:rsidP="0062765D">
            <w:pPr>
              <w:jc w:val="left"/>
              <w:rPr>
                <w:rFonts w:ascii="Times New Roman" w:hAnsi="Times New Roman"/>
                <w:b/>
                <w:bCs/>
                <w:sz w:val="24"/>
                <w:u w:val="single"/>
              </w:rPr>
            </w:pPr>
            <w:r>
              <w:rPr>
                <w:rFonts w:ascii="Times New Roman" w:hAnsi="Times New Roman"/>
                <w:b/>
                <w:bCs/>
                <w:sz w:val="24"/>
                <w:u w:val="single"/>
              </w:rPr>
              <w:t xml:space="preserve">Approach used for calculating </w:t>
            </w:r>
            <w:proofErr w:type="gramStart"/>
            <w:r>
              <w:rPr>
                <w:rFonts w:ascii="Times New Roman" w:hAnsi="Times New Roman"/>
                <w:b/>
                <w:bCs/>
                <w:sz w:val="24"/>
                <w:u w:val="single"/>
              </w:rPr>
              <w:t>FC</w:t>
            </w:r>
            <w:proofErr w:type="gramEnd"/>
          </w:p>
          <w:p w14:paraId="446F68C8" w14:textId="2BC1E74C" w:rsidR="009A383C" w:rsidRDefault="0046793D" w:rsidP="009A383C">
            <w:pPr>
              <w:jc w:val="left"/>
              <w:rPr>
                <w:rFonts w:ascii="Times New Roman" w:hAnsi="Times New Roman"/>
                <w:color w:val="000000" w:themeColor="text1"/>
                <w:sz w:val="24"/>
              </w:rPr>
            </w:pPr>
            <w:r>
              <w:rPr>
                <w:rFonts w:ascii="Times New Roman" w:hAnsi="Times New Roman"/>
                <w:color w:val="000000" w:themeColor="text1"/>
                <w:sz w:val="24"/>
              </w:rPr>
              <w:lastRenderedPageBreak/>
              <w:t xml:space="preserve">Institutions shall report which is the approach they have used (the accounting </w:t>
            </w:r>
            <w:r w:rsidR="008E3C30">
              <w:rPr>
                <w:rFonts w:ascii="Times New Roman" w:hAnsi="Times New Roman"/>
                <w:color w:val="000000" w:themeColor="text1"/>
                <w:sz w:val="24"/>
              </w:rPr>
              <w:t>approach</w:t>
            </w:r>
            <w:r>
              <w:rPr>
                <w:rFonts w:ascii="Times New Roman" w:hAnsi="Times New Roman"/>
                <w:color w:val="000000" w:themeColor="text1"/>
                <w:sz w:val="24"/>
              </w:rPr>
              <w:t xml:space="preserve"> or the prudential </w:t>
            </w:r>
            <w:r w:rsidR="003A4E0E">
              <w:rPr>
                <w:rFonts w:ascii="Times New Roman" w:hAnsi="Times New Roman"/>
                <w:color w:val="000000" w:themeColor="text1"/>
                <w:sz w:val="24"/>
              </w:rPr>
              <w:t>boundary) for</w:t>
            </w:r>
            <w:r w:rsidR="009A383C">
              <w:rPr>
                <w:rFonts w:ascii="Times New Roman" w:hAnsi="Times New Roman"/>
                <w:color w:val="000000" w:themeColor="text1"/>
                <w:sz w:val="24"/>
              </w:rPr>
              <w:t xml:space="preserve"> calculating the FC </w:t>
            </w:r>
            <w:r w:rsidR="009A383C" w:rsidRPr="0062765D">
              <w:rPr>
                <w:rFonts w:ascii="Times New Roman" w:hAnsi="Times New Roman"/>
                <w:color w:val="000000" w:themeColor="text1"/>
                <w:sz w:val="24"/>
              </w:rPr>
              <w:t>in accordance with Article 314(</w:t>
            </w:r>
            <w:r w:rsidR="009A383C" w:rsidRPr="12C2E25E">
              <w:rPr>
                <w:rFonts w:ascii="Times New Roman" w:hAnsi="Times New Roman"/>
                <w:color w:val="000000" w:themeColor="text1"/>
                <w:sz w:val="24"/>
              </w:rPr>
              <w:t>6</w:t>
            </w:r>
            <w:r w:rsidR="009A383C" w:rsidRPr="0062765D">
              <w:rPr>
                <w:rFonts w:ascii="Times New Roman" w:hAnsi="Times New Roman"/>
                <w:color w:val="000000" w:themeColor="text1"/>
                <w:sz w:val="24"/>
              </w:rPr>
              <w:t xml:space="preserve">) </w:t>
            </w:r>
            <w:r w:rsidR="009A383C" w:rsidRPr="0062765D">
              <w:rPr>
                <w:rFonts w:ascii="Times New Roman" w:hAnsi="Times New Roman"/>
                <w:color w:val="000000" w:themeColor="text1"/>
                <w:sz w:val="24"/>
                <w:lang w:val="en-US"/>
              </w:rPr>
              <w:t>of Regulation (EU) No 575/2013</w:t>
            </w:r>
          </w:p>
          <w:p w14:paraId="6D07D0F8" w14:textId="41B2F1DC" w:rsidR="009A383C" w:rsidRPr="0062765D" w:rsidRDefault="009A383C" w:rsidP="0062765D">
            <w:pPr>
              <w:jc w:val="left"/>
              <w:rPr>
                <w:rFonts w:ascii="Times New Roman" w:hAnsi="Times New Roman"/>
                <w:b/>
                <w:bCs/>
                <w:sz w:val="24"/>
                <w:u w:val="single"/>
              </w:rPr>
            </w:pPr>
          </w:p>
        </w:tc>
      </w:tr>
      <w:tr w:rsidR="00502B1A" w:rsidRPr="0062765D" w14:paraId="049EAB8B" w14:textId="77777777" w:rsidTr="00F26CC7">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1F49FB" w14:textId="610DDBFD" w:rsidR="00502B1A" w:rsidRPr="0062765D" w:rsidRDefault="00BF7C53" w:rsidP="0062765D">
            <w:pPr>
              <w:rPr>
                <w:rFonts w:ascii="Times New Roman" w:hAnsi="Times New Roman"/>
                <w:sz w:val="24"/>
              </w:rPr>
            </w:pPr>
            <w:r>
              <w:rPr>
                <w:rFonts w:ascii="Times New Roman" w:hAnsi="Times New Roman"/>
                <w:sz w:val="24"/>
              </w:rPr>
              <w:lastRenderedPageBreak/>
              <w:t>0120</w:t>
            </w:r>
          </w:p>
        </w:tc>
        <w:tc>
          <w:tcPr>
            <w:tcW w:w="7580" w:type="dxa"/>
            <w:tcBorders>
              <w:top w:val="nil"/>
              <w:left w:val="nil"/>
              <w:bottom w:val="single" w:sz="4" w:space="0" w:color="auto"/>
              <w:right w:val="single" w:sz="4" w:space="0" w:color="auto"/>
            </w:tcBorders>
            <w:shd w:val="clear" w:color="auto" w:fill="auto"/>
            <w:vAlign w:val="center"/>
          </w:tcPr>
          <w:p w14:paraId="0456F822" w14:textId="77777777" w:rsidR="00502B1A" w:rsidRDefault="00BF7C53" w:rsidP="0062765D">
            <w:pPr>
              <w:jc w:val="left"/>
              <w:rPr>
                <w:rFonts w:ascii="Times New Roman" w:hAnsi="Times New Roman"/>
                <w:b/>
                <w:bCs/>
                <w:sz w:val="24"/>
                <w:u w:val="single"/>
              </w:rPr>
            </w:pPr>
            <w:r>
              <w:rPr>
                <w:rFonts w:ascii="Times New Roman" w:hAnsi="Times New Roman"/>
                <w:b/>
                <w:bCs/>
                <w:sz w:val="24"/>
                <w:u w:val="single"/>
              </w:rPr>
              <w:t xml:space="preserve">Other operating expenses </w:t>
            </w:r>
          </w:p>
          <w:p w14:paraId="7F073DE0" w14:textId="77777777" w:rsidR="00BF7C53" w:rsidRDefault="007E18B7" w:rsidP="0062765D">
            <w:pPr>
              <w:jc w:val="left"/>
              <w:rPr>
                <w:rFonts w:ascii="Times New Roman" w:hAnsi="Times New Roman"/>
                <w:color w:val="000000" w:themeColor="text1"/>
                <w:sz w:val="24"/>
              </w:rPr>
            </w:pPr>
            <w:r>
              <w:rPr>
                <w:rFonts w:ascii="Times New Roman" w:hAnsi="Times New Roman"/>
                <w:color w:val="000000" w:themeColor="text1"/>
                <w:sz w:val="24"/>
              </w:rPr>
              <w:t xml:space="preserve">Other </w:t>
            </w:r>
            <w:r w:rsidR="00C92CA2" w:rsidRPr="003A4E0E">
              <w:rPr>
                <w:rFonts w:ascii="Times New Roman" w:hAnsi="Times New Roman"/>
                <w:color w:val="000000" w:themeColor="text1"/>
                <w:sz w:val="24"/>
              </w:rPr>
              <w:t xml:space="preserve">operating expenses in accordance with </w:t>
            </w:r>
            <w:r w:rsidR="00C92CA2" w:rsidRPr="0062765D">
              <w:rPr>
                <w:rFonts w:ascii="Times New Roman" w:hAnsi="Times New Roman"/>
                <w:color w:val="000000" w:themeColor="text1"/>
                <w:sz w:val="24"/>
              </w:rPr>
              <w:t>Article 314(</w:t>
            </w:r>
            <w:r w:rsidR="00C92CA2" w:rsidRPr="12C2E25E">
              <w:rPr>
                <w:rFonts w:ascii="Times New Roman" w:hAnsi="Times New Roman"/>
                <w:color w:val="000000" w:themeColor="text1"/>
                <w:sz w:val="24"/>
              </w:rPr>
              <w:t>5</w:t>
            </w:r>
            <w:r w:rsidR="00C92CA2" w:rsidRPr="0062765D">
              <w:rPr>
                <w:rFonts w:ascii="Times New Roman" w:hAnsi="Times New Roman"/>
                <w:color w:val="000000" w:themeColor="text1"/>
                <w:sz w:val="24"/>
              </w:rPr>
              <w:t xml:space="preserve">) </w:t>
            </w:r>
            <w:r w:rsidR="00C92CA2" w:rsidRPr="003A4E0E">
              <w:rPr>
                <w:rFonts w:ascii="Times New Roman" w:hAnsi="Times New Roman"/>
                <w:color w:val="000000" w:themeColor="text1"/>
                <w:sz w:val="24"/>
              </w:rPr>
              <w:t>of Regulation (EU) No 575/2013</w:t>
            </w:r>
            <w:r w:rsidR="00C92CA2">
              <w:rPr>
                <w:rFonts w:ascii="Times New Roman" w:hAnsi="Times New Roman"/>
                <w:color w:val="000000" w:themeColor="text1"/>
                <w:sz w:val="24"/>
              </w:rPr>
              <w:t>.</w:t>
            </w:r>
          </w:p>
          <w:p w14:paraId="2B660A1C" w14:textId="344F4D8C" w:rsidR="000B40F9" w:rsidRPr="0062765D" w:rsidRDefault="000B40F9" w:rsidP="000B40F9">
            <w:pPr>
              <w:jc w:val="left"/>
              <w:rPr>
                <w:rFonts w:ascii="Times New Roman" w:hAnsi="Times New Roman"/>
                <w:b/>
                <w:bCs/>
                <w:sz w:val="24"/>
                <w:u w:val="single"/>
              </w:rPr>
            </w:pPr>
          </w:p>
        </w:tc>
      </w:tr>
    </w:tbl>
    <w:p w14:paraId="21F9BF35" w14:textId="469868B6" w:rsidR="007E561D" w:rsidRPr="00934426" w:rsidRDefault="00125707" w:rsidP="008C1630">
      <w:pPr>
        <w:pStyle w:val="Instructionsberschrift2"/>
        <w:numPr>
          <w:ilvl w:val="0"/>
          <w:numId w:val="0"/>
        </w:numPr>
        <w:ind w:left="357" w:hanging="357"/>
        <w:rPr>
          <w:rFonts w:ascii="Times New Roman" w:hAnsi="Times New Roman" w:cs="Times New Roman"/>
          <w:sz w:val="24"/>
          <w:lang w:val="en-GB"/>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934426">
        <w:rPr>
          <w:rFonts w:ascii="Times New Roman" w:hAnsi="Times New Roman" w:cs="Times New Roman"/>
          <w:sz w:val="24"/>
          <w:u w:val="none"/>
          <w:lang w:val="en-GB"/>
        </w:rPr>
        <w:t>4.2.</w:t>
      </w:r>
      <w:r w:rsidRPr="00934426">
        <w:rPr>
          <w:rFonts w:ascii="Times New Roman" w:hAnsi="Times New Roman" w:cs="Times New Roman"/>
          <w:sz w:val="24"/>
          <w:u w:val="none"/>
          <w:lang w:val="en-GB"/>
        </w:rPr>
        <w:tab/>
      </w:r>
      <w:r w:rsidR="00FD54FC" w:rsidRPr="00934426">
        <w:rPr>
          <w:rFonts w:ascii="Times New Roman" w:hAnsi="Times New Roman" w:cs="Times New Roman"/>
          <w:sz w:val="24"/>
          <w:lang w:val="en-GB"/>
        </w:rPr>
        <w:t>Operational Risk: Detailed information on losses in the last year (OPR DETAILS)</w:t>
      </w:r>
      <w:bookmarkEnd w:id="56"/>
      <w:bookmarkEnd w:id="57"/>
    </w:p>
    <w:p w14:paraId="430B891B" w14:textId="77777777" w:rsidR="00FD54FC" w:rsidRPr="00934426" w:rsidRDefault="00125707" w:rsidP="0023700C">
      <w:pPr>
        <w:pStyle w:val="Instructionsberschrift2"/>
        <w:numPr>
          <w:ilvl w:val="0"/>
          <w:numId w:val="0"/>
        </w:numPr>
        <w:ind w:left="357" w:hanging="357"/>
        <w:rPr>
          <w:rFonts w:ascii="Times New Roman" w:hAnsi="Times New Roman" w:cs="Times New Roman"/>
          <w:sz w:val="24"/>
          <w:lang w:val="en-GB"/>
        </w:rPr>
      </w:pPr>
      <w:bookmarkStart w:id="58" w:name="_Toc473561024"/>
      <w:bookmarkStart w:id="59" w:name="_Toc152862718"/>
      <w:r w:rsidRPr="00934426">
        <w:rPr>
          <w:rFonts w:ascii="Times New Roman" w:hAnsi="Times New Roman" w:cs="Times New Roman"/>
          <w:sz w:val="24"/>
          <w:u w:val="none"/>
          <w:lang w:val="en-GB"/>
        </w:rPr>
        <w:t>4.2.1.</w:t>
      </w:r>
      <w:r w:rsidRPr="00934426">
        <w:rPr>
          <w:rFonts w:ascii="Times New Roman" w:hAnsi="Times New Roman" w:cs="Times New Roman"/>
          <w:sz w:val="24"/>
          <w:u w:val="none"/>
          <w:lang w:val="en-GB"/>
        </w:rPr>
        <w:tab/>
      </w:r>
      <w:r w:rsidR="00FD54FC" w:rsidRPr="00934426">
        <w:rPr>
          <w:rFonts w:ascii="Times New Roman" w:hAnsi="Times New Roman" w:cs="Times New Roman"/>
          <w:sz w:val="24"/>
          <w:lang w:val="en-GB"/>
        </w:rPr>
        <w:t>General Remarks</w:t>
      </w:r>
      <w:bookmarkEnd w:id="58"/>
      <w:bookmarkEnd w:id="59"/>
    </w:p>
    <w:p w14:paraId="4AD0CC5E" w14:textId="11470677" w:rsidR="002871CE" w:rsidRDefault="005C14B0" w:rsidP="00A768EA">
      <w:pPr>
        <w:pStyle w:val="InstructionsText2"/>
        <w:numPr>
          <w:ilvl w:val="0"/>
          <w:numId w:val="29"/>
        </w:numPr>
      </w:pPr>
      <w:bookmarkStart w:id="60" w:name="_Hlk152855791"/>
      <w:r w:rsidRPr="002A677E">
        <w:t xml:space="preserve"> </w:t>
      </w:r>
      <w:r w:rsidR="00FD54FC" w:rsidRPr="002A677E">
        <w:t xml:space="preserve">Template C 17.01 (OPR DETAILS 1) summarises the information on the gross losses and loss recoveries registered by an institution in the last year </w:t>
      </w:r>
      <w:r w:rsidR="0023276A" w:rsidRPr="002A677E">
        <w:t>by</w:t>
      </w:r>
      <w:r w:rsidR="00FD54FC" w:rsidRPr="002A677E">
        <w:t xml:space="preserve"> event types and business lines</w:t>
      </w:r>
      <w:r w:rsidR="003B190F">
        <w:t>,</w:t>
      </w:r>
      <w:r w:rsidR="00090A99">
        <w:t xml:space="preserve"> </w:t>
      </w:r>
      <w:r w:rsidR="003B190F">
        <w:t xml:space="preserve">following the definitions in </w:t>
      </w:r>
      <w:r w:rsidR="00090A99">
        <w:t>T</w:t>
      </w:r>
      <w:r w:rsidR="003B190F">
        <w:t>able</w:t>
      </w:r>
      <w:r w:rsidR="00090A99">
        <w:t xml:space="preserve"> </w:t>
      </w:r>
      <w:r w:rsidR="003B190F">
        <w:t xml:space="preserve">1 and </w:t>
      </w:r>
      <w:r w:rsidR="00090A99">
        <w:t>T</w:t>
      </w:r>
      <w:r w:rsidR="003B190F">
        <w:t>able 2 in this section</w:t>
      </w:r>
      <w:r w:rsidR="00FD54FC" w:rsidRPr="002A677E">
        <w:t xml:space="preserve">. Template C 17.02 (OPR DETAILS 2) provides detailed information on the largest loss events in the </w:t>
      </w:r>
      <w:r w:rsidR="001F6487" w:rsidRPr="002A677E">
        <w:t>most recent</w:t>
      </w:r>
      <w:r w:rsidR="00FD54FC" w:rsidRPr="002A677E">
        <w:t xml:space="preserve"> year. </w:t>
      </w:r>
      <w:r w:rsidR="00292CEA" w:rsidRPr="00292CEA">
        <w:t>Only events that result in a loss should be captured</w:t>
      </w:r>
      <w:r w:rsidR="002871CE">
        <w:t xml:space="preserve">. </w:t>
      </w:r>
    </w:p>
    <w:p w14:paraId="2FD685B4" w14:textId="42F38B19" w:rsidR="00C30107" w:rsidRDefault="00C30107" w:rsidP="00E434A1">
      <w:pPr>
        <w:pStyle w:val="InstructionsText2"/>
        <w:numPr>
          <w:ilvl w:val="0"/>
          <w:numId w:val="0"/>
        </w:numPr>
      </w:pPr>
      <w:r>
        <w:t>Table 1:  Event types for operational risk events</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14:paraId="05960DF2" w14:textId="77777777" w:rsidTr="00E62FFE">
        <w:trPr>
          <w:trHeight w:val="300"/>
        </w:trPr>
        <w:tc>
          <w:tcPr>
            <w:tcW w:w="2686" w:type="dxa"/>
            <w:tcMar>
              <w:top w:w="30" w:type="dxa"/>
              <w:left w:w="30" w:type="dxa"/>
              <w:bottom w:w="30" w:type="dxa"/>
              <w:right w:w="30" w:type="dxa"/>
            </w:tcMar>
          </w:tcPr>
          <w:p w14:paraId="12D5C5B7" w14:textId="77777777" w:rsidR="00C30107" w:rsidRPr="001619AF" w:rsidRDefault="00C30107">
            <w:pPr>
              <w:spacing w:before="60" w:after="60"/>
              <w:rPr>
                <w:rFonts w:ascii="Times New Roman" w:hAnsi="Times New Roman"/>
                <w:b/>
                <w:bCs/>
                <w:sz w:val="24"/>
                <w:lang w:eastAsia="de-DE"/>
              </w:rPr>
            </w:pPr>
            <w:r w:rsidRPr="001619AF">
              <w:rPr>
                <w:rFonts w:ascii="Times New Roman" w:hAnsi="Times New Roman"/>
                <w:b/>
                <w:bCs/>
                <w:sz w:val="24"/>
                <w:lang w:eastAsia="de-DE"/>
              </w:rPr>
              <w:t>Event-Type Category</w:t>
            </w:r>
          </w:p>
        </w:tc>
        <w:tc>
          <w:tcPr>
            <w:tcW w:w="6450" w:type="dxa"/>
            <w:tcMar>
              <w:top w:w="30" w:type="dxa"/>
              <w:left w:w="30" w:type="dxa"/>
              <w:bottom w:w="30" w:type="dxa"/>
              <w:right w:w="30" w:type="dxa"/>
            </w:tcMar>
          </w:tcPr>
          <w:p w14:paraId="2E0EB72D" w14:textId="77777777" w:rsidR="00C30107" w:rsidRPr="001619AF" w:rsidRDefault="00C30107">
            <w:pPr>
              <w:spacing w:before="60" w:after="60"/>
              <w:rPr>
                <w:rFonts w:ascii="Times New Roman" w:hAnsi="Times New Roman"/>
                <w:b/>
                <w:bCs/>
                <w:sz w:val="24"/>
                <w:lang w:eastAsia="de-DE"/>
              </w:rPr>
            </w:pPr>
            <w:r w:rsidRPr="001619AF">
              <w:rPr>
                <w:rFonts w:ascii="Times New Roman" w:hAnsi="Times New Roman"/>
                <w:b/>
                <w:bCs/>
                <w:sz w:val="24"/>
                <w:lang w:eastAsia="de-DE"/>
              </w:rPr>
              <w:t>Definition</w:t>
            </w:r>
          </w:p>
        </w:tc>
      </w:tr>
      <w:tr w:rsidR="00C30107" w14:paraId="5ACB2D58" w14:textId="77777777" w:rsidTr="00E62FFE">
        <w:trPr>
          <w:trHeight w:val="300"/>
        </w:trPr>
        <w:tc>
          <w:tcPr>
            <w:tcW w:w="2686" w:type="dxa"/>
            <w:tcMar>
              <w:top w:w="30" w:type="dxa"/>
              <w:left w:w="30" w:type="dxa"/>
              <w:bottom w:w="30" w:type="dxa"/>
              <w:right w:w="30" w:type="dxa"/>
            </w:tcMar>
          </w:tcPr>
          <w:p w14:paraId="68A1B32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Internal fraud</w:t>
            </w:r>
          </w:p>
        </w:tc>
        <w:tc>
          <w:tcPr>
            <w:tcW w:w="6450" w:type="dxa"/>
            <w:tcMar>
              <w:top w:w="30" w:type="dxa"/>
              <w:left w:w="30" w:type="dxa"/>
              <w:bottom w:w="30" w:type="dxa"/>
              <w:right w:w="30" w:type="dxa"/>
            </w:tcMar>
          </w:tcPr>
          <w:p w14:paraId="1E631938"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 xml:space="preserve">Losses due to acts of a type intended to defraud, misappropriate </w:t>
            </w:r>
            <w:proofErr w:type="gramStart"/>
            <w:r w:rsidRPr="001619AF">
              <w:rPr>
                <w:rFonts w:ascii="Times New Roman" w:hAnsi="Times New Roman"/>
                <w:sz w:val="24"/>
                <w:lang w:eastAsia="de-DE"/>
              </w:rPr>
              <w:t>property</w:t>
            </w:r>
            <w:proofErr w:type="gramEnd"/>
            <w:r w:rsidRPr="001619AF">
              <w:rPr>
                <w:rFonts w:ascii="Times New Roman" w:hAnsi="Times New Roman"/>
                <w:sz w:val="24"/>
                <w:lang w:eastAsia="de-DE"/>
              </w:rPr>
              <w:t xml:space="preserve"> or circumvent regulations, the law or company policy, excluding diversity/discrimination events, which involves at least one internal party</w:t>
            </w:r>
          </w:p>
        </w:tc>
      </w:tr>
      <w:tr w:rsidR="00C30107" w14:paraId="37555D1F" w14:textId="77777777" w:rsidTr="00E62FFE">
        <w:trPr>
          <w:trHeight w:val="300"/>
        </w:trPr>
        <w:tc>
          <w:tcPr>
            <w:tcW w:w="2686" w:type="dxa"/>
            <w:tcMar>
              <w:top w:w="30" w:type="dxa"/>
              <w:left w:w="30" w:type="dxa"/>
              <w:bottom w:w="30" w:type="dxa"/>
              <w:right w:w="30" w:type="dxa"/>
            </w:tcMar>
          </w:tcPr>
          <w:p w14:paraId="3F97650E"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External fraud</w:t>
            </w:r>
          </w:p>
        </w:tc>
        <w:tc>
          <w:tcPr>
            <w:tcW w:w="6450" w:type="dxa"/>
            <w:tcMar>
              <w:top w:w="30" w:type="dxa"/>
              <w:left w:w="30" w:type="dxa"/>
              <w:bottom w:w="30" w:type="dxa"/>
              <w:right w:w="30" w:type="dxa"/>
            </w:tcMar>
          </w:tcPr>
          <w:p w14:paraId="2E0CACFE"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 xml:space="preserve">Losses due to acts of a type intended to defraud, misappropriate </w:t>
            </w:r>
            <w:proofErr w:type="gramStart"/>
            <w:r w:rsidRPr="001619AF">
              <w:rPr>
                <w:rFonts w:ascii="Times New Roman" w:hAnsi="Times New Roman"/>
                <w:sz w:val="24"/>
                <w:lang w:eastAsia="de-DE"/>
              </w:rPr>
              <w:t>property</w:t>
            </w:r>
            <w:proofErr w:type="gramEnd"/>
            <w:r w:rsidRPr="001619AF">
              <w:rPr>
                <w:rFonts w:ascii="Times New Roman" w:hAnsi="Times New Roman"/>
                <w:sz w:val="24"/>
                <w:lang w:eastAsia="de-DE"/>
              </w:rPr>
              <w:t xml:space="preserve"> or circumvent the law, by a third party</w:t>
            </w:r>
          </w:p>
        </w:tc>
      </w:tr>
      <w:tr w:rsidR="00C30107" w14:paraId="1CC049D6" w14:textId="77777777" w:rsidTr="00E62FFE">
        <w:trPr>
          <w:trHeight w:val="300"/>
        </w:trPr>
        <w:tc>
          <w:tcPr>
            <w:tcW w:w="2686" w:type="dxa"/>
            <w:tcMar>
              <w:top w:w="30" w:type="dxa"/>
              <w:left w:w="30" w:type="dxa"/>
              <w:bottom w:w="30" w:type="dxa"/>
              <w:right w:w="30" w:type="dxa"/>
            </w:tcMar>
          </w:tcPr>
          <w:p w14:paraId="60E247B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Employment Practices and Workplace Safety</w:t>
            </w:r>
          </w:p>
        </w:tc>
        <w:tc>
          <w:tcPr>
            <w:tcW w:w="6450" w:type="dxa"/>
            <w:tcMar>
              <w:top w:w="30" w:type="dxa"/>
              <w:left w:w="30" w:type="dxa"/>
              <w:bottom w:w="30" w:type="dxa"/>
              <w:right w:w="30" w:type="dxa"/>
            </w:tcMar>
          </w:tcPr>
          <w:p w14:paraId="63E67FC3"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arising from acts inconsistent with employment, health or safety laws or agreements, from payment of personal injury claims, or from diversity/discrimination events</w:t>
            </w:r>
          </w:p>
        </w:tc>
      </w:tr>
      <w:tr w:rsidR="00C30107" w14:paraId="6D787E8A" w14:textId="77777777" w:rsidTr="00E62FFE">
        <w:trPr>
          <w:trHeight w:val="300"/>
        </w:trPr>
        <w:tc>
          <w:tcPr>
            <w:tcW w:w="2686" w:type="dxa"/>
            <w:tcMar>
              <w:top w:w="30" w:type="dxa"/>
              <w:left w:w="30" w:type="dxa"/>
              <w:bottom w:w="30" w:type="dxa"/>
              <w:right w:w="30" w:type="dxa"/>
            </w:tcMar>
          </w:tcPr>
          <w:p w14:paraId="17DD631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Clients, Products &amp; Business Practices</w:t>
            </w:r>
          </w:p>
        </w:tc>
        <w:tc>
          <w:tcPr>
            <w:tcW w:w="6450" w:type="dxa"/>
            <w:tcMar>
              <w:top w:w="30" w:type="dxa"/>
              <w:left w:w="30" w:type="dxa"/>
              <w:bottom w:w="30" w:type="dxa"/>
              <w:right w:w="30" w:type="dxa"/>
            </w:tcMar>
          </w:tcPr>
          <w:p w14:paraId="232F6D15"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arising from an unintentional or negligent failure to meet a professional obligation to specific clients (including fiduciary and suitability requirements), or from the nature or design of a product</w:t>
            </w:r>
          </w:p>
        </w:tc>
      </w:tr>
      <w:tr w:rsidR="00C30107" w14:paraId="06698FCA" w14:textId="77777777" w:rsidTr="00E62FFE">
        <w:trPr>
          <w:trHeight w:val="300"/>
        </w:trPr>
        <w:tc>
          <w:tcPr>
            <w:tcW w:w="2686" w:type="dxa"/>
            <w:tcMar>
              <w:top w:w="30" w:type="dxa"/>
              <w:left w:w="30" w:type="dxa"/>
              <w:bottom w:w="30" w:type="dxa"/>
              <w:right w:w="30" w:type="dxa"/>
            </w:tcMar>
          </w:tcPr>
          <w:p w14:paraId="429B7203"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Damage to Physical Assets</w:t>
            </w:r>
          </w:p>
        </w:tc>
        <w:tc>
          <w:tcPr>
            <w:tcW w:w="6450" w:type="dxa"/>
            <w:tcMar>
              <w:top w:w="30" w:type="dxa"/>
              <w:left w:w="30" w:type="dxa"/>
              <w:bottom w:w="30" w:type="dxa"/>
              <w:right w:w="30" w:type="dxa"/>
            </w:tcMar>
          </w:tcPr>
          <w:p w14:paraId="6071BCEC"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arising from loss or damage to physical assets from natural disaster or other events</w:t>
            </w:r>
          </w:p>
        </w:tc>
      </w:tr>
      <w:tr w:rsidR="00C30107" w14:paraId="54C7B685" w14:textId="77777777" w:rsidTr="00E62FFE">
        <w:trPr>
          <w:trHeight w:val="300"/>
        </w:trPr>
        <w:tc>
          <w:tcPr>
            <w:tcW w:w="2686" w:type="dxa"/>
            <w:tcMar>
              <w:top w:w="30" w:type="dxa"/>
              <w:left w:w="30" w:type="dxa"/>
              <w:bottom w:w="30" w:type="dxa"/>
              <w:right w:w="30" w:type="dxa"/>
            </w:tcMar>
          </w:tcPr>
          <w:p w14:paraId="1ABDFAFF"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Business disruption and system failures</w:t>
            </w:r>
          </w:p>
        </w:tc>
        <w:tc>
          <w:tcPr>
            <w:tcW w:w="6450" w:type="dxa"/>
            <w:tcMar>
              <w:top w:w="30" w:type="dxa"/>
              <w:left w:w="30" w:type="dxa"/>
              <w:bottom w:w="30" w:type="dxa"/>
              <w:right w:w="30" w:type="dxa"/>
            </w:tcMar>
          </w:tcPr>
          <w:p w14:paraId="0552CE7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arising from disruption of business or system failures</w:t>
            </w:r>
          </w:p>
        </w:tc>
      </w:tr>
      <w:tr w:rsidR="00C30107" w14:paraId="649DAAC7" w14:textId="77777777" w:rsidTr="00E62FFE">
        <w:trPr>
          <w:trHeight w:val="300"/>
        </w:trPr>
        <w:tc>
          <w:tcPr>
            <w:tcW w:w="2686" w:type="dxa"/>
            <w:tcMar>
              <w:top w:w="30" w:type="dxa"/>
              <w:left w:w="30" w:type="dxa"/>
              <w:bottom w:w="30" w:type="dxa"/>
              <w:right w:w="30" w:type="dxa"/>
            </w:tcMar>
          </w:tcPr>
          <w:p w14:paraId="0CB1FFDC"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Execution, Delivery &amp; Process Management</w:t>
            </w:r>
          </w:p>
        </w:tc>
        <w:tc>
          <w:tcPr>
            <w:tcW w:w="6450" w:type="dxa"/>
            <w:tcMar>
              <w:top w:w="30" w:type="dxa"/>
              <w:left w:w="30" w:type="dxa"/>
              <w:bottom w:w="30" w:type="dxa"/>
              <w:right w:w="30" w:type="dxa"/>
            </w:tcMar>
          </w:tcPr>
          <w:p w14:paraId="23B151D9" w14:textId="77777777" w:rsidR="00C30107" w:rsidRPr="001619AF" w:rsidRDefault="00C30107">
            <w:pPr>
              <w:spacing w:before="60" w:after="60"/>
              <w:rPr>
                <w:rFonts w:ascii="Times New Roman" w:hAnsi="Times New Roman"/>
                <w:sz w:val="24"/>
                <w:lang w:eastAsia="de-DE"/>
              </w:rPr>
            </w:pPr>
            <w:r w:rsidRPr="001619AF">
              <w:rPr>
                <w:rFonts w:ascii="Times New Roman" w:hAnsi="Times New Roman"/>
                <w:sz w:val="24"/>
                <w:lang w:eastAsia="de-DE"/>
              </w:rPr>
              <w:t>Losses from failed transaction processing or process management, from relations with trade counterparties and vendors</w:t>
            </w:r>
          </w:p>
        </w:tc>
      </w:tr>
    </w:tbl>
    <w:p w14:paraId="18C5F03D" w14:textId="77777777" w:rsidR="00C30107" w:rsidRDefault="00C30107" w:rsidP="00E434A1">
      <w:pPr>
        <w:pStyle w:val="InstructionsText2"/>
        <w:numPr>
          <w:ilvl w:val="0"/>
          <w:numId w:val="0"/>
        </w:numPr>
      </w:pPr>
    </w:p>
    <w:p w14:paraId="38E4F126" w14:textId="7EF0B194" w:rsidR="00C30107" w:rsidRDefault="00C30107" w:rsidP="00E434A1">
      <w:pPr>
        <w:pStyle w:val="InstructionsText2"/>
        <w:numPr>
          <w:ilvl w:val="0"/>
          <w:numId w:val="0"/>
        </w:numPr>
      </w:pPr>
      <w:r>
        <w:lastRenderedPageBreak/>
        <w:t xml:space="preserve">Table 2:  </w:t>
      </w:r>
      <w:r w:rsidR="00105D77">
        <w:t xml:space="preserve">Business lines </w:t>
      </w:r>
    </w:p>
    <w:tbl>
      <w:tblPr>
        <w:tblW w:w="9136" w:type="dxa"/>
        <w:tblLayout w:type="fixed"/>
        <w:tblLook w:val="04A0" w:firstRow="1" w:lastRow="0" w:firstColumn="1" w:lastColumn="0" w:noHBand="0" w:noVBand="1"/>
      </w:tblPr>
      <w:tblGrid>
        <w:gridCol w:w="2400"/>
        <w:gridCol w:w="6736"/>
      </w:tblGrid>
      <w:tr w:rsidR="00105D77"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Default="00105D77">
            <w:pPr>
              <w:spacing w:before="60" w:after="60"/>
              <w:rPr>
                <w:rFonts w:ascii="Times New Roman" w:hAnsi="Times New Roman"/>
                <w:b/>
                <w:bCs/>
                <w:sz w:val="24"/>
              </w:rPr>
            </w:pPr>
            <w:r w:rsidRPr="288775FB">
              <w:rPr>
                <w:rFonts w:ascii="Times New Roman" w:hAnsi="Times New Roman"/>
                <w:b/>
                <w:bCs/>
                <w:sz w:val="24"/>
              </w:rPr>
              <w:t>Business line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Default="00105D77">
            <w:pPr>
              <w:spacing w:before="60" w:after="60"/>
              <w:rPr>
                <w:rFonts w:ascii="Times New Roman" w:hAnsi="Times New Roman"/>
                <w:b/>
                <w:bCs/>
                <w:sz w:val="24"/>
              </w:rPr>
            </w:pPr>
            <w:r w:rsidRPr="288775FB">
              <w:rPr>
                <w:rFonts w:ascii="Times New Roman" w:hAnsi="Times New Roman"/>
                <w:b/>
                <w:bCs/>
                <w:sz w:val="24"/>
              </w:rPr>
              <w:t>List of activities</w:t>
            </w:r>
          </w:p>
        </w:tc>
      </w:tr>
      <w:tr w:rsidR="00105D77"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Default="00105D77">
            <w:pPr>
              <w:spacing w:before="60" w:after="60"/>
              <w:rPr>
                <w:rFonts w:ascii="Times New Roman" w:hAnsi="Times New Roman"/>
                <w:sz w:val="24"/>
              </w:rPr>
            </w:pPr>
            <w:r w:rsidRPr="288775FB">
              <w:rPr>
                <w:rFonts w:ascii="Times New Roman" w:hAnsi="Times New Roman"/>
                <w:sz w:val="24"/>
              </w:rPr>
              <w:t>Corporate finance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Default="00105D77">
            <w:pPr>
              <w:spacing w:before="60" w:after="60"/>
              <w:rPr>
                <w:rFonts w:ascii="Times New Roman" w:hAnsi="Times New Roman"/>
                <w:sz w:val="24"/>
              </w:rPr>
            </w:pPr>
            <w:r w:rsidRPr="288775FB">
              <w:rPr>
                <w:rFonts w:ascii="Times New Roman" w:hAnsi="Times New Roman"/>
                <w:sz w:val="24"/>
              </w:rPr>
              <w:t>Underwriting of financial instruments or placing of financial instruments on a firm commitment basis</w:t>
            </w:r>
          </w:p>
          <w:p w14:paraId="2E81165F" w14:textId="77777777" w:rsidR="00105D77" w:rsidRDefault="00105D77">
            <w:pPr>
              <w:spacing w:before="60" w:after="60"/>
              <w:rPr>
                <w:rFonts w:ascii="Times New Roman" w:hAnsi="Times New Roman"/>
                <w:sz w:val="24"/>
              </w:rPr>
            </w:pPr>
            <w:r w:rsidRPr="288775FB">
              <w:rPr>
                <w:rFonts w:ascii="Times New Roman" w:hAnsi="Times New Roman"/>
                <w:sz w:val="24"/>
              </w:rPr>
              <w:t xml:space="preserve">Services related to </w:t>
            </w:r>
            <w:proofErr w:type="gramStart"/>
            <w:r w:rsidRPr="288775FB">
              <w:rPr>
                <w:rFonts w:ascii="Times New Roman" w:hAnsi="Times New Roman"/>
                <w:sz w:val="24"/>
              </w:rPr>
              <w:t>underwriting</w:t>
            </w:r>
            <w:proofErr w:type="gramEnd"/>
          </w:p>
          <w:p w14:paraId="294412EE" w14:textId="77777777" w:rsidR="00105D77" w:rsidRDefault="00105D77">
            <w:pPr>
              <w:spacing w:before="60" w:after="60"/>
              <w:rPr>
                <w:rFonts w:ascii="Times New Roman" w:hAnsi="Times New Roman"/>
                <w:sz w:val="24"/>
              </w:rPr>
            </w:pPr>
            <w:r w:rsidRPr="288775FB">
              <w:rPr>
                <w:rFonts w:ascii="Times New Roman" w:hAnsi="Times New Roman"/>
                <w:sz w:val="24"/>
              </w:rPr>
              <w:t>Investment advice</w:t>
            </w:r>
          </w:p>
          <w:p w14:paraId="3396F4D3" w14:textId="77777777" w:rsidR="00105D77" w:rsidRDefault="00105D77">
            <w:pPr>
              <w:spacing w:before="60" w:after="60"/>
              <w:rPr>
                <w:rFonts w:ascii="Times New Roman" w:hAnsi="Times New Roman"/>
                <w:sz w:val="24"/>
              </w:rPr>
            </w:pPr>
            <w:r w:rsidRPr="288775FB">
              <w:rPr>
                <w:rFonts w:ascii="Times New Roman" w:hAnsi="Times New Roman"/>
                <w:sz w:val="24"/>
              </w:rPr>
              <w:t xml:space="preserve">Advice to undertakings on capital structure, industrial strategy and related matters and advice and services relating to the mergers and the purchase of </w:t>
            </w:r>
            <w:proofErr w:type="gramStart"/>
            <w:r w:rsidRPr="288775FB">
              <w:rPr>
                <w:rFonts w:ascii="Times New Roman" w:hAnsi="Times New Roman"/>
                <w:sz w:val="24"/>
              </w:rPr>
              <w:t>undertakings</w:t>
            </w:r>
            <w:proofErr w:type="gramEnd"/>
          </w:p>
          <w:p w14:paraId="413B1D9E" w14:textId="77777777" w:rsidR="00105D77" w:rsidRDefault="00105D77">
            <w:pPr>
              <w:spacing w:before="60" w:after="60"/>
              <w:rPr>
                <w:rFonts w:ascii="Times New Roman" w:hAnsi="Times New Roman"/>
                <w:sz w:val="24"/>
              </w:rPr>
            </w:pPr>
            <w:r w:rsidRPr="288775FB">
              <w:rPr>
                <w:rFonts w:ascii="Times New Roman" w:hAnsi="Times New Roman"/>
                <w:sz w:val="24"/>
              </w:rPr>
              <w:t>Investment research and financial analysis and other forms of general recommendation relating to transactions in financial instruments</w:t>
            </w:r>
          </w:p>
        </w:tc>
      </w:tr>
      <w:tr w:rsidR="00105D77"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Default="00105D77">
            <w:pPr>
              <w:spacing w:before="60" w:after="60"/>
              <w:rPr>
                <w:rFonts w:ascii="Times New Roman" w:hAnsi="Times New Roman"/>
                <w:sz w:val="24"/>
              </w:rPr>
            </w:pPr>
            <w:r w:rsidRPr="288775FB">
              <w:rPr>
                <w:rFonts w:ascii="Times New Roman" w:hAnsi="Times New Roman"/>
                <w:sz w:val="24"/>
              </w:rPr>
              <w:t>Trading and sales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Default="00105D77">
            <w:pPr>
              <w:spacing w:before="60" w:after="60"/>
              <w:rPr>
                <w:rFonts w:ascii="Times New Roman" w:hAnsi="Times New Roman"/>
                <w:sz w:val="24"/>
              </w:rPr>
            </w:pPr>
            <w:r w:rsidRPr="288775FB">
              <w:rPr>
                <w:rFonts w:ascii="Times New Roman" w:hAnsi="Times New Roman"/>
                <w:sz w:val="24"/>
              </w:rPr>
              <w:t>Dealing on own account</w:t>
            </w:r>
          </w:p>
          <w:p w14:paraId="2C39E21A" w14:textId="77777777" w:rsidR="00105D77" w:rsidRDefault="00105D77">
            <w:pPr>
              <w:spacing w:before="60" w:after="60"/>
              <w:rPr>
                <w:rFonts w:ascii="Times New Roman" w:hAnsi="Times New Roman"/>
                <w:sz w:val="24"/>
              </w:rPr>
            </w:pPr>
            <w:r w:rsidRPr="288775FB">
              <w:rPr>
                <w:rFonts w:ascii="Times New Roman" w:hAnsi="Times New Roman"/>
                <w:sz w:val="24"/>
              </w:rPr>
              <w:t>Money broking</w:t>
            </w:r>
          </w:p>
          <w:p w14:paraId="43A3C940" w14:textId="77777777" w:rsidR="00105D77" w:rsidRDefault="00105D77">
            <w:pPr>
              <w:spacing w:before="60" w:after="60"/>
              <w:rPr>
                <w:rFonts w:ascii="Times New Roman" w:hAnsi="Times New Roman"/>
                <w:sz w:val="24"/>
              </w:rPr>
            </w:pPr>
            <w:r w:rsidRPr="288775FB">
              <w:rPr>
                <w:rFonts w:ascii="Times New Roman" w:hAnsi="Times New Roman"/>
                <w:sz w:val="24"/>
              </w:rPr>
              <w:t>Reception and transmission of orders in relation to one or more financial instruments</w:t>
            </w:r>
          </w:p>
          <w:p w14:paraId="7D6C72DD" w14:textId="77777777" w:rsidR="00105D77" w:rsidRDefault="00105D77">
            <w:pPr>
              <w:spacing w:before="60" w:after="60"/>
              <w:rPr>
                <w:rFonts w:ascii="Times New Roman" w:hAnsi="Times New Roman"/>
                <w:sz w:val="24"/>
              </w:rPr>
            </w:pPr>
            <w:r w:rsidRPr="288775FB">
              <w:rPr>
                <w:rFonts w:ascii="Times New Roman" w:hAnsi="Times New Roman"/>
                <w:sz w:val="24"/>
              </w:rPr>
              <w:t>Execution of orders on behalf of clients</w:t>
            </w:r>
          </w:p>
          <w:p w14:paraId="447F8797" w14:textId="77777777" w:rsidR="00105D77" w:rsidRDefault="00105D77">
            <w:pPr>
              <w:spacing w:before="60" w:after="60"/>
              <w:rPr>
                <w:rFonts w:ascii="Times New Roman" w:hAnsi="Times New Roman"/>
                <w:sz w:val="24"/>
              </w:rPr>
            </w:pPr>
            <w:r w:rsidRPr="288775FB">
              <w:rPr>
                <w:rFonts w:ascii="Times New Roman" w:hAnsi="Times New Roman"/>
                <w:sz w:val="24"/>
              </w:rPr>
              <w:t>Placing of financial instruments without a firm commitment basis</w:t>
            </w:r>
          </w:p>
          <w:p w14:paraId="6B8176B5" w14:textId="77777777" w:rsidR="00105D77" w:rsidRDefault="00105D77">
            <w:pPr>
              <w:spacing w:before="60" w:after="60"/>
              <w:rPr>
                <w:rFonts w:ascii="Times New Roman" w:hAnsi="Times New Roman"/>
                <w:sz w:val="24"/>
              </w:rPr>
            </w:pPr>
            <w:r w:rsidRPr="288775FB">
              <w:rPr>
                <w:rFonts w:ascii="Times New Roman" w:hAnsi="Times New Roman"/>
                <w:sz w:val="24"/>
              </w:rPr>
              <w:t>Operation of Multilateral Trading Facilities</w:t>
            </w:r>
          </w:p>
        </w:tc>
      </w:tr>
      <w:tr w:rsidR="00105D77"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Default="00105D77">
            <w:pPr>
              <w:spacing w:before="60" w:after="60"/>
              <w:rPr>
                <w:rFonts w:ascii="Times New Roman" w:hAnsi="Times New Roman"/>
                <w:sz w:val="24"/>
              </w:rPr>
            </w:pPr>
            <w:r w:rsidRPr="288775FB">
              <w:rPr>
                <w:rFonts w:ascii="Times New Roman" w:hAnsi="Times New Roman"/>
                <w:sz w:val="24"/>
              </w:rPr>
              <w:t>Retail brokerage</w:t>
            </w:r>
          </w:p>
          <w:p w14:paraId="1644FF45" w14:textId="77777777" w:rsidR="00105D77" w:rsidRDefault="00105D77">
            <w:pPr>
              <w:spacing w:before="60" w:after="60"/>
              <w:rPr>
                <w:rFonts w:ascii="Times New Roman" w:hAnsi="Times New Roman"/>
                <w:sz w:val="24"/>
              </w:rPr>
            </w:pPr>
            <w:r w:rsidRPr="288775FB">
              <w:rPr>
                <w:rFonts w:ascii="Times New Roman" w:hAnsi="Times New Roman"/>
                <w:sz w:val="24"/>
              </w:rPr>
              <w:t>(Activities with natural persons or with SMEs meeting the criteria set out in Article 123 for the retail exposure class)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Default="00105D77">
            <w:pPr>
              <w:spacing w:before="60" w:after="60"/>
              <w:rPr>
                <w:rFonts w:ascii="Times New Roman" w:hAnsi="Times New Roman"/>
                <w:sz w:val="24"/>
              </w:rPr>
            </w:pPr>
            <w:r w:rsidRPr="288775FB">
              <w:rPr>
                <w:rFonts w:ascii="Times New Roman" w:hAnsi="Times New Roman"/>
                <w:sz w:val="24"/>
              </w:rPr>
              <w:t>Reception and transmission of orders in relation to one or more financial instruments</w:t>
            </w:r>
          </w:p>
          <w:p w14:paraId="0A298DA8" w14:textId="77777777" w:rsidR="00105D77" w:rsidRDefault="00105D77">
            <w:pPr>
              <w:spacing w:before="60" w:after="60"/>
              <w:rPr>
                <w:rFonts w:ascii="Times New Roman" w:hAnsi="Times New Roman"/>
                <w:sz w:val="24"/>
              </w:rPr>
            </w:pPr>
            <w:r w:rsidRPr="288775FB">
              <w:rPr>
                <w:rFonts w:ascii="Times New Roman" w:hAnsi="Times New Roman"/>
                <w:sz w:val="24"/>
              </w:rPr>
              <w:t>Execution of orders on behalf of clients</w:t>
            </w:r>
          </w:p>
          <w:p w14:paraId="772C1A67" w14:textId="77777777" w:rsidR="00105D77" w:rsidRDefault="00105D77">
            <w:pPr>
              <w:spacing w:before="60" w:after="60"/>
              <w:rPr>
                <w:rFonts w:ascii="Times New Roman" w:hAnsi="Times New Roman"/>
                <w:sz w:val="24"/>
              </w:rPr>
            </w:pPr>
            <w:r w:rsidRPr="288775FB">
              <w:rPr>
                <w:rFonts w:ascii="Times New Roman" w:hAnsi="Times New Roman"/>
                <w:sz w:val="24"/>
              </w:rPr>
              <w:t>Placing of financial instruments without a firm commitment basis</w:t>
            </w:r>
          </w:p>
        </w:tc>
      </w:tr>
      <w:tr w:rsidR="00105D77"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Default="00105D77">
            <w:pPr>
              <w:spacing w:before="60" w:after="60"/>
              <w:rPr>
                <w:rFonts w:ascii="Times New Roman" w:hAnsi="Times New Roman"/>
                <w:sz w:val="24"/>
              </w:rPr>
            </w:pPr>
            <w:r w:rsidRPr="288775FB">
              <w:rPr>
                <w:rFonts w:ascii="Times New Roman" w:hAnsi="Times New Roman"/>
                <w:sz w:val="24"/>
              </w:rPr>
              <w:t>Commercial banking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Default="00105D77">
            <w:pPr>
              <w:spacing w:before="60" w:after="60"/>
              <w:rPr>
                <w:rFonts w:ascii="Times New Roman" w:hAnsi="Times New Roman"/>
                <w:sz w:val="24"/>
              </w:rPr>
            </w:pPr>
            <w:r w:rsidRPr="288775FB">
              <w:rPr>
                <w:rFonts w:ascii="Times New Roman" w:hAnsi="Times New Roman"/>
                <w:sz w:val="24"/>
              </w:rPr>
              <w:t>Acceptance of deposits and other repayable funds</w:t>
            </w:r>
          </w:p>
          <w:p w14:paraId="76F23BE8" w14:textId="77777777" w:rsidR="00105D77" w:rsidRDefault="00105D77">
            <w:pPr>
              <w:spacing w:before="60" w:after="60"/>
              <w:rPr>
                <w:rFonts w:ascii="Times New Roman" w:hAnsi="Times New Roman"/>
                <w:sz w:val="24"/>
              </w:rPr>
            </w:pPr>
            <w:r w:rsidRPr="288775FB">
              <w:rPr>
                <w:rFonts w:ascii="Times New Roman" w:hAnsi="Times New Roman"/>
                <w:sz w:val="24"/>
              </w:rPr>
              <w:t>Lending</w:t>
            </w:r>
          </w:p>
          <w:p w14:paraId="45F13788" w14:textId="77777777" w:rsidR="00105D77" w:rsidRDefault="00105D77">
            <w:pPr>
              <w:spacing w:before="60" w:after="60"/>
              <w:rPr>
                <w:rFonts w:ascii="Times New Roman" w:hAnsi="Times New Roman"/>
                <w:sz w:val="24"/>
              </w:rPr>
            </w:pPr>
            <w:r w:rsidRPr="288775FB">
              <w:rPr>
                <w:rFonts w:ascii="Times New Roman" w:hAnsi="Times New Roman"/>
                <w:sz w:val="24"/>
              </w:rPr>
              <w:t>Financial leasing</w:t>
            </w:r>
          </w:p>
          <w:p w14:paraId="51EC26CF" w14:textId="77777777" w:rsidR="00105D77" w:rsidRDefault="00105D77">
            <w:pPr>
              <w:spacing w:before="60" w:after="60"/>
              <w:rPr>
                <w:rFonts w:ascii="Times New Roman" w:hAnsi="Times New Roman"/>
                <w:sz w:val="24"/>
              </w:rPr>
            </w:pPr>
            <w:r w:rsidRPr="288775FB">
              <w:rPr>
                <w:rFonts w:ascii="Times New Roman" w:hAnsi="Times New Roman"/>
                <w:sz w:val="24"/>
              </w:rPr>
              <w:t>Guarantees and commitments</w:t>
            </w:r>
          </w:p>
        </w:tc>
      </w:tr>
      <w:tr w:rsidR="00105D77"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Default="00105D77">
            <w:pPr>
              <w:spacing w:before="60" w:after="60"/>
              <w:rPr>
                <w:rFonts w:ascii="Times New Roman" w:hAnsi="Times New Roman"/>
                <w:sz w:val="24"/>
              </w:rPr>
            </w:pPr>
            <w:r w:rsidRPr="288775FB">
              <w:rPr>
                <w:rFonts w:ascii="Times New Roman" w:hAnsi="Times New Roman"/>
                <w:sz w:val="24"/>
              </w:rPr>
              <w:t>Retail banking</w:t>
            </w:r>
          </w:p>
          <w:p w14:paraId="7CAFF922" w14:textId="77777777" w:rsidR="00105D77" w:rsidRDefault="00105D77">
            <w:pPr>
              <w:spacing w:before="60" w:after="60"/>
              <w:rPr>
                <w:rFonts w:ascii="Times New Roman" w:hAnsi="Times New Roman"/>
                <w:sz w:val="24"/>
              </w:rPr>
            </w:pPr>
            <w:r w:rsidRPr="288775FB">
              <w:rPr>
                <w:rFonts w:ascii="Times New Roman" w:hAnsi="Times New Roman"/>
                <w:sz w:val="24"/>
              </w:rPr>
              <w:t>(Activities with natural persons or with SMEs meeting the criteria set out in Article 123 for the retail exposure class)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Default="00105D77">
            <w:pPr>
              <w:spacing w:before="60" w:after="60"/>
              <w:rPr>
                <w:rFonts w:ascii="Times New Roman" w:hAnsi="Times New Roman"/>
                <w:sz w:val="24"/>
              </w:rPr>
            </w:pPr>
            <w:r w:rsidRPr="288775FB">
              <w:rPr>
                <w:rFonts w:ascii="Times New Roman" w:hAnsi="Times New Roman"/>
                <w:sz w:val="24"/>
              </w:rPr>
              <w:t>Acceptance of deposits and other repayable funds</w:t>
            </w:r>
          </w:p>
          <w:p w14:paraId="36AF04A5" w14:textId="77777777" w:rsidR="00105D77" w:rsidRDefault="00105D77">
            <w:pPr>
              <w:spacing w:before="60" w:after="60"/>
              <w:rPr>
                <w:rFonts w:ascii="Times New Roman" w:hAnsi="Times New Roman"/>
                <w:sz w:val="24"/>
              </w:rPr>
            </w:pPr>
            <w:r w:rsidRPr="288775FB">
              <w:rPr>
                <w:rFonts w:ascii="Times New Roman" w:hAnsi="Times New Roman"/>
                <w:sz w:val="24"/>
              </w:rPr>
              <w:t>Lending</w:t>
            </w:r>
          </w:p>
          <w:p w14:paraId="7351F485" w14:textId="77777777" w:rsidR="00105D77" w:rsidRDefault="00105D77">
            <w:pPr>
              <w:spacing w:before="60" w:after="60"/>
              <w:rPr>
                <w:rFonts w:ascii="Times New Roman" w:hAnsi="Times New Roman"/>
                <w:sz w:val="24"/>
              </w:rPr>
            </w:pPr>
            <w:r w:rsidRPr="288775FB">
              <w:rPr>
                <w:rFonts w:ascii="Times New Roman" w:hAnsi="Times New Roman"/>
                <w:sz w:val="24"/>
              </w:rPr>
              <w:t>Financial leasing</w:t>
            </w:r>
          </w:p>
          <w:p w14:paraId="2A1E9691" w14:textId="77777777" w:rsidR="00105D77" w:rsidRDefault="00105D77">
            <w:pPr>
              <w:spacing w:before="60" w:after="60"/>
              <w:rPr>
                <w:rFonts w:ascii="Times New Roman" w:hAnsi="Times New Roman"/>
                <w:sz w:val="24"/>
              </w:rPr>
            </w:pPr>
            <w:r w:rsidRPr="288775FB">
              <w:rPr>
                <w:rFonts w:ascii="Times New Roman" w:hAnsi="Times New Roman"/>
                <w:sz w:val="24"/>
              </w:rPr>
              <w:t>Guarantees and commitments</w:t>
            </w:r>
          </w:p>
        </w:tc>
      </w:tr>
      <w:tr w:rsidR="00105D77"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Default="00105D77">
            <w:pPr>
              <w:spacing w:before="60" w:after="60"/>
              <w:rPr>
                <w:rFonts w:ascii="Times New Roman" w:hAnsi="Times New Roman"/>
                <w:sz w:val="24"/>
              </w:rPr>
            </w:pPr>
            <w:r w:rsidRPr="288775FB">
              <w:rPr>
                <w:rFonts w:ascii="Times New Roman" w:hAnsi="Times New Roman"/>
                <w:sz w:val="24"/>
              </w:rPr>
              <w:t>Payment and settlement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Default="00105D77">
            <w:pPr>
              <w:spacing w:before="60" w:after="60"/>
              <w:rPr>
                <w:rFonts w:ascii="Times New Roman" w:hAnsi="Times New Roman"/>
                <w:sz w:val="24"/>
              </w:rPr>
            </w:pPr>
            <w:r w:rsidRPr="288775FB">
              <w:rPr>
                <w:rFonts w:ascii="Times New Roman" w:hAnsi="Times New Roman"/>
                <w:sz w:val="24"/>
              </w:rPr>
              <w:t>Money transmission services,</w:t>
            </w:r>
          </w:p>
          <w:p w14:paraId="44972E69" w14:textId="77777777" w:rsidR="00105D77" w:rsidRDefault="00105D77">
            <w:pPr>
              <w:spacing w:before="60" w:after="60"/>
              <w:rPr>
                <w:rFonts w:ascii="Times New Roman" w:hAnsi="Times New Roman"/>
                <w:sz w:val="24"/>
              </w:rPr>
            </w:pPr>
            <w:r w:rsidRPr="288775FB">
              <w:rPr>
                <w:rFonts w:ascii="Times New Roman" w:hAnsi="Times New Roman"/>
                <w:sz w:val="24"/>
              </w:rPr>
              <w:t>Issuing and administering means of payment</w:t>
            </w:r>
          </w:p>
        </w:tc>
      </w:tr>
      <w:tr w:rsidR="00105D77"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Default="00105D77">
            <w:pPr>
              <w:spacing w:before="60" w:after="60"/>
              <w:rPr>
                <w:rFonts w:ascii="Times New Roman" w:hAnsi="Times New Roman"/>
                <w:sz w:val="24"/>
              </w:rPr>
            </w:pPr>
            <w:r w:rsidRPr="288775FB">
              <w:rPr>
                <w:rFonts w:ascii="Times New Roman" w:hAnsi="Times New Roman"/>
                <w:sz w:val="24"/>
              </w:rPr>
              <w:lastRenderedPageBreak/>
              <w:t>Agency services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Default="00105D77">
            <w:pPr>
              <w:spacing w:before="60" w:after="60"/>
              <w:rPr>
                <w:rFonts w:ascii="Times New Roman" w:hAnsi="Times New Roman"/>
                <w:sz w:val="24"/>
              </w:rPr>
            </w:pPr>
            <w:r w:rsidRPr="288775FB">
              <w:rPr>
                <w:rFonts w:ascii="Times New Roman" w:hAnsi="Times New Roman"/>
                <w:sz w:val="24"/>
              </w:rPr>
              <w:t>Safekeeping and administration of financial instruments for the account of clients, including custodianship and related services such as cash/collateral management</w:t>
            </w:r>
          </w:p>
        </w:tc>
      </w:tr>
      <w:tr w:rsidR="00105D77"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Default="00105D77">
            <w:pPr>
              <w:spacing w:before="60" w:after="60"/>
              <w:rPr>
                <w:rFonts w:ascii="Times New Roman" w:hAnsi="Times New Roman"/>
                <w:sz w:val="24"/>
              </w:rPr>
            </w:pPr>
            <w:r w:rsidRPr="288775FB">
              <w:rPr>
                <w:rFonts w:ascii="Times New Roman" w:hAnsi="Times New Roman"/>
                <w:sz w:val="24"/>
              </w:rPr>
              <w:t>Asset management</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Default="00105D77">
            <w:pPr>
              <w:spacing w:before="60" w:after="60"/>
              <w:rPr>
                <w:rFonts w:ascii="Times New Roman" w:hAnsi="Times New Roman"/>
                <w:sz w:val="24"/>
              </w:rPr>
            </w:pPr>
            <w:r w:rsidRPr="288775FB">
              <w:rPr>
                <w:rFonts w:ascii="Times New Roman" w:hAnsi="Times New Roman"/>
                <w:sz w:val="24"/>
              </w:rPr>
              <w:t>Portfolio management</w:t>
            </w:r>
          </w:p>
          <w:p w14:paraId="1153DFEB" w14:textId="77777777" w:rsidR="00105D77" w:rsidRDefault="00105D77">
            <w:pPr>
              <w:spacing w:before="60" w:after="60"/>
              <w:rPr>
                <w:rFonts w:ascii="Times New Roman" w:hAnsi="Times New Roman"/>
                <w:sz w:val="24"/>
              </w:rPr>
            </w:pPr>
            <w:r w:rsidRPr="288775FB">
              <w:rPr>
                <w:rFonts w:ascii="Times New Roman" w:hAnsi="Times New Roman"/>
                <w:sz w:val="24"/>
              </w:rPr>
              <w:t>Managing of UCITS</w:t>
            </w:r>
          </w:p>
          <w:p w14:paraId="59C1F470" w14:textId="77777777" w:rsidR="00105D77" w:rsidRDefault="00105D77">
            <w:pPr>
              <w:spacing w:before="60" w:after="60"/>
              <w:rPr>
                <w:rFonts w:ascii="Times New Roman" w:hAnsi="Times New Roman"/>
                <w:sz w:val="24"/>
              </w:rPr>
            </w:pPr>
            <w:r w:rsidRPr="288775FB">
              <w:rPr>
                <w:rFonts w:ascii="Times New Roman" w:hAnsi="Times New Roman"/>
                <w:sz w:val="24"/>
              </w:rPr>
              <w:t>Other forms of asset management</w:t>
            </w:r>
          </w:p>
        </w:tc>
      </w:tr>
      <w:tr w:rsidR="00105D77"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1619AF" w:rsidRDefault="00105D77">
            <w:pPr>
              <w:spacing w:before="60" w:after="60"/>
              <w:rPr>
                <w:rFonts w:ascii="Times New Roman" w:hAnsi="Times New Roman"/>
                <w:color w:val="333333"/>
                <w:sz w:val="24"/>
              </w:rPr>
            </w:pPr>
            <w:r w:rsidRPr="001619AF">
              <w:rPr>
                <w:rFonts w:ascii="Times New Roman" w:hAnsi="Times New Roman"/>
                <w:color w:val="333333"/>
                <w:sz w:val="24"/>
              </w:rPr>
              <w:t>Corporate items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5E013C16" w:rsidR="00105D77" w:rsidRPr="00F5485A" w:rsidRDefault="00105D77">
            <w:pPr>
              <w:spacing w:before="60" w:after="60"/>
              <w:rPr>
                <w:rFonts w:ascii="Times New Roman" w:eastAsia="Verdana" w:hAnsi="Times New Roman"/>
                <w:sz w:val="24"/>
              </w:rPr>
            </w:pPr>
            <w:r w:rsidRPr="001619AF">
              <w:rPr>
                <w:rFonts w:ascii="Times New Roman" w:eastAsia="Verdana" w:hAnsi="Times New Roman"/>
                <w:sz w:val="24"/>
              </w:rPr>
              <w:t xml:space="preserve"> </w:t>
            </w:r>
            <w:r w:rsidRPr="490D644F">
              <w:rPr>
                <w:rFonts w:ascii="Times New Roman" w:hAnsi="Times New Roman"/>
                <w:sz w:val="24"/>
              </w:rPr>
              <w:t>Loss events affecting the entire institution</w:t>
            </w:r>
            <w:r w:rsidRPr="08D2007B">
              <w:rPr>
                <w:rFonts w:ascii="Times New Roman" w:hAnsi="Times New Roman"/>
                <w:sz w:val="24"/>
              </w:rPr>
              <w:t xml:space="preserve"> and are not listed in the categories above. </w:t>
            </w:r>
          </w:p>
        </w:tc>
      </w:tr>
    </w:tbl>
    <w:p w14:paraId="5EFFCA85" w14:textId="77777777" w:rsidR="00C30107" w:rsidRDefault="00C30107" w:rsidP="00E434A1">
      <w:pPr>
        <w:pStyle w:val="InstructionsText2"/>
        <w:numPr>
          <w:ilvl w:val="0"/>
          <w:numId w:val="0"/>
        </w:numPr>
      </w:pPr>
    </w:p>
    <w:p w14:paraId="3089C09D" w14:textId="77777777" w:rsidR="00C30107" w:rsidRPr="002A677E" w:rsidRDefault="00C30107" w:rsidP="00E434A1">
      <w:pPr>
        <w:pStyle w:val="InstructionsText2"/>
        <w:numPr>
          <w:ilvl w:val="0"/>
          <w:numId w:val="0"/>
        </w:numPr>
      </w:pPr>
    </w:p>
    <w:bookmarkEnd w:id="60"/>
    <w:p w14:paraId="504CA18E" w14:textId="0480AAC4" w:rsidR="00FD54FC"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t>143</w:t>
      </w:r>
      <w:r>
        <w:fldChar w:fldCharType="end"/>
      </w:r>
      <w:r w:rsidR="00125707" w:rsidRPr="002A677E">
        <w:t>.</w:t>
      </w:r>
      <w:r w:rsidR="005C14B0" w:rsidRPr="002A677E">
        <w:t xml:space="preserve"> </w:t>
      </w:r>
      <w:r w:rsidR="00FD54FC" w:rsidRPr="002A677E">
        <w:t xml:space="preserve">Operational risk losses </w:t>
      </w:r>
      <w:r w:rsidR="003D3A95" w:rsidRPr="001619AF">
        <w:rPr>
          <w:color w:val="000000" w:themeColor="text1"/>
        </w:rPr>
        <w:t>related to credit risk that are accounted for in the risk weighted exposure amount for credit risk</w:t>
      </w:r>
      <w:r w:rsidR="003D3A95" w:rsidRPr="002A677E" w:rsidDel="003D3A95">
        <w:t xml:space="preserve"> </w:t>
      </w:r>
      <w:r w:rsidR="00FD54FC" w:rsidRPr="002A677E">
        <w:t xml:space="preserve">(boundary credit-related operational risk events) are neither considered in template C 17.01 nor </w:t>
      </w:r>
      <w:r w:rsidR="003D3A95">
        <w:t xml:space="preserve">in </w:t>
      </w:r>
      <w:r w:rsidR="00FD54FC" w:rsidRPr="002A677E">
        <w:t>template C 17.02</w:t>
      </w:r>
      <w:r w:rsidR="00941255">
        <w:t xml:space="preserve"> according to Article 317(5</w:t>
      </w:r>
      <w:r w:rsidR="00E62FFE">
        <w:t>) Regulation</w:t>
      </w:r>
      <w:r w:rsidR="00941255">
        <w:t xml:space="preserve"> (EU) No 575/</w:t>
      </w:r>
      <w:proofErr w:type="gramStart"/>
      <w:r w:rsidR="00941255">
        <w:t>2013.</w:t>
      </w:r>
      <w:r w:rsidR="00FD54FC" w:rsidRPr="002A677E">
        <w:t>.</w:t>
      </w:r>
      <w:proofErr w:type="gramEnd"/>
    </w:p>
    <w:p w14:paraId="26DEA8B1" w14:textId="2FE80D2B" w:rsidR="00FD54FC" w:rsidRPr="002A677E" w:rsidRDefault="008F3052" w:rsidP="00E434A1">
      <w:pPr>
        <w:pStyle w:val="InstructionsText2"/>
        <w:numPr>
          <w:ilvl w:val="0"/>
          <w:numId w:val="0"/>
        </w:numPr>
      </w:pPr>
      <w:r>
        <w:fldChar w:fldCharType="begin"/>
      </w:r>
      <w:r>
        <w:instrText xml:space="preserve"> seq paragraphs </w:instrText>
      </w:r>
      <w:r>
        <w:fldChar w:fldCharType="separate"/>
      </w:r>
      <w:r w:rsidR="00771068" w:rsidRPr="002A677E">
        <w:t>144</w:t>
      </w:r>
      <w:r>
        <w:fldChar w:fldCharType="end"/>
      </w:r>
      <w:r w:rsidR="00125707" w:rsidRPr="002A677E">
        <w:t>.</w:t>
      </w:r>
      <w:r w:rsidR="005C14B0" w:rsidRPr="002A677E">
        <w:t xml:space="preserve"> </w:t>
      </w:r>
      <w:r w:rsidR="006B71D2">
        <w:t xml:space="preserve">[empty] </w:t>
      </w:r>
    </w:p>
    <w:p w14:paraId="46FA5B8D" w14:textId="744E080E"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145</w:t>
      </w:r>
      <w:r>
        <w:rPr>
          <w:noProof/>
        </w:rPr>
        <w:fldChar w:fldCharType="end"/>
      </w:r>
      <w:r w:rsidR="00125707" w:rsidRPr="002A677E">
        <w:t>.</w:t>
      </w:r>
      <w:r w:rsidR="005C14B0" w:rsidRPr="002A677E">
        <w:t xml:space="preserve"> </w:t>
      </w:r>
      <w:r w:rsidR="00FD54FC" w:rsidRPr="002A677E">
        <w:t>“Gross loss” means a loss</w:t>
      </w:r>
      <w:r w:rsidR="0023276A" w:rsidRPr="002A677E">
        <w:t xml:space="preserve"> -</w:t>
      </w:r>
      <w:r w:rsidR="00FD54FC" w:rsidRPr="002A677E">
        <w:t xml:space="preserve"> </w:t>
      </w:r>
      <w:r w:rsidR="0023276A" w:rsidRPr="002A677E">
        <w:t>as referred to</w:t>
      </w:r>
      <w:r w:rsidR="001B4C43">
        <w:t xml:space="preserve"> in</w:t>
      </w:r>
      <w:r w:rsidR="0023276A" w:rsidRPr="002A677E">
        <w:t xml:space="preserve"> </w:t>
      </w:r>
      <w:r w:rsidR="00EE5C67">
        <w:t>Article 318(1)</w:t>
      </w:r>
      <w:r w:rsidR="0062765D">
        <w:t xml:space="preserve"> </w:t>
      </w:r>
      <w:r w:rsidR="0095353C" w:rsidRPr="008C1630">
        <w:rPr>
          <w:lang w:val="en-US"/>
        </w:rPr>
        <w:t>of Regulation (EU) No 575/2013</w:t>
      </w:r>
      <w:r w:rsidR="0023276A" w:rsidRPr="002A677E">
        <w:t xml:space="preserve"> </w:t>
      </w:r>
      <w:r w:rsidR="000D67C6">
        <w:t>–</w:t>
      </w:r>
      <w:r w:rsidR="0023276A" w:rsidRPr="002A677E">
        <w:t xml:space="preserve"> </w:t>
      </w:r>
      <w:r w:rsidR="000D67C6">
        <w:t>linked to an</w:t>
      </w:r>
      <w:r w:rsidR="0062765D">
        <w:t xml:space="preserve"> </w:t>
      </w:r>
      <w:r w:rsidR="00FD54FC" w:rsidRPr="002A677E">
        <w:t>operational risk even</w:t>
      </w:r>
      <w:r w:rsidR="0062765D">
        <w:t xml:space="preserve"> </w:t>
      </w:r>
      <w:r w:rsidR="00FD54FC" w:rsidRPr="002A677E">
        <w:t xml:space="preserve">before recoveries of any </w:t>
      </w:r>
      <w:r w:rsidR="000D67C6">
        <w:t>type</w:t>
      </w:r>
      <w:r w:rsidR="00FD54FC" w:rsidRPr="002A677E">
        <w:t xml:space="preserve">, without prejudice to “rapidly recovered loss events” as defined below. </w:t>
      </w:r>
    </w:p>
    <w:p w14:paraId="0D97147B" w14:textId="62C64B74"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146</w:t>
      </w:r>
      <w:r>
        <w:rPr>
          <w:noProof/>
        </w:rPr>
        <w:fldChar w:fldCharType="end"/>
      </w:r>
      <w:r w:rsidR="00125707" w:rsidRPr="002A677E">
        <w:t>.</w:t>
      </w:r>
      <w:r w:rsidR="005C14B0" w:rsidRPr="002A677E">
        <w:t xml:space="preserve"> </w:t>
      </w:r>
      <w:r w:rsidR="00FD54FC" w:rsidRPr="002A677E">
        <w:t>“Recovery</w:t>
      </w:r>
      <w:r w:rsidR="001F6487" w:rsidRPr="002A677E">
        <w:t>”</w:t>
      </w:r>
      <w:r w:rsidR="00FD54FC" w:rsidRPr="002A677E">
        <w:t xml:space="preserve"> means </w:t>
      </w:r>
      <w:r w:rsidR="00B92F87">
        <w:t>– as referred</w:t>
      </w:r>
      <w:r w:rsidR="001B4C43">
        <w:t xml:space="preserve"> to</w:t>
      </w:r>
      <w:r w:rsidR="00B92F87">
        <w:t xml:space="preserve"> in Article 318(1) </w:t>
      </w:r>
      <w:r w:rsidR="0062765D">
        <w:t>-</w:t>
      </w:r>
      <w:r w:rsidR="00B92F87">
        <w:t xml:space="preserve"> one or multiple independent occurrences, related to the original operational risk event, separated in time, in which funds or inflows of economic benefits are received from a third party.</w:t>
      </w:r>
    </w:p>
    <w:p w14:paraId="77F96781" w14:textId="2DE959F6"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147</w:t>
      </w:r>
      <w:r>
        <w:rPr>
          <w:noProof/>
        </w:rPr>
        <w:fldChar w:fldCharType="end"/>
      </w:r>
      <w:r w:rsidR="00125707" w:rsidRPr="002A677E">
        <w:t>.</w:t>
      </w:r>
      <w:r w:rsidR="00125707" w:rsidRPr="002A677E">
        <w:tab/>
      </w:r>
      <w:r w:rsidR="005C14B0" w:rsidRPr="002A677E">
        <w:t xml:space="preserve"> </w:t>
      </w:r>
      <w:r w:rsidR="00FD54FC" w:rsidRPr="002A677E">
        <w:t>“Rapidly recovered loss events</w:t>
      </w:r>
      <w:r w:rsidR="001F6487" w:rsidRPr="002A677E">
        <w:t>”</w:t>
      </w:r>
      <w:r w:rsidR="00FD54FC" w:rsidRPr="002A677E">
        <w:t xml:space="preserve"> means operational risk events that lead to losses that are partly or fully recovered within five working days. In case of a rapidly recovered loss event, only the part of the loss that is not fully recovered (i.e. the loss net of the partial rapid recovery) shall be included into the gross loss definition. </w:t>
      </w:r>
      <w:proofErr w:type="gramStart"/>
      <w:r w:rsidR="00FD54FC" w:rsidRPr="002A677E">
        <w:t>As a consequence</w:t>
      </w:r>
      <w:proofErr w:type="gramEnd"/>
      <w:r w:rsidR="00FD54FC" w:rsidRPr="002A677E">
        <w:t xml:space="preserve">, loss events that lead to losses that are fully recovered within five working days shall not be included into the gross loss definition, </w:t>
      </w:r>
      <w:r w:rsidR="0023276A" w:rsidRPr="002A677E">
        <w:t>and neither</w:t>
      </w:r>
      <w:r w:rsidR="00FD54FC" w:rsidRPr="002A677E">
        <w:t xml:space="preserve"> into the OPR DETAILS reporting.</w:t>
      </w:r>
    </w:p>
    <w:p w14:paraId="3604C23D" w14:textId="6C498265"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148</w:t>
      </w:r>
      <w:r>
        <w:rPr>
          <w:noProof/>
        </w:rPr>
        <w:fldChar w:fldCharType="end"/>
      </w:r>
      <w:r w:rsidR="00125707" w:rsidRPr="002A677E">
        <w:t>.</w:t>
      </w:r>
      <w:r w:rsidR="00125707" w:rsidRPr="002A677E">
        <w:tab/>
      </w:r>
      <w:r w:rsidR="005C14B0" w:rsidRPr="002A677E">
        <w:t xml:space="preserve"> </w:t>
      </w:r>
      <w:r w:rsidR="00FD54FC" w:rsidRPr="002A677E">
        <w:t>“Date of accounting” means the date when a loss or reserve/provision was first recogni</w:t>
      </w:r>
      <w:r w:rsidR="00C7103D" w:rsidRPr="002A677E">
        <w:t>s</w:t>
      </w:r>
      <w:r w:rsidR="00FD54FC" w:rsidRPr="002A677E">
        <w:t>ed in the Profit and Loss statement, against an operational risk loss</w:t>
      </w:r>
      <w:r w:rsidR="009349EC">
        <w:t>, as referred to in Article 317(4)(a) of Regulation (EU) No 575/2013.</w:t>
      </w:r>
      <w:r w:rsidR="00FD54FC" w:rsidRPr="002A677E">
        <w:t xml:space="preserve"> Th</w:t>
      </w:r>
      <w:r w:rsidR="001F6487" w:rsidRPr="002A677E">
        <w:t>o</w:t>
      </w:r>
      <w:r w:rsidR="00FD54FC" w:rsidRPr="002A677E">
        <w:t>s</w:t>
      </w:r>
      <w:r w:rsidR="001F6487" w:rsidRPr="002A677E">
        <w:t>e</w:t>
      </w:r>
      <w:r w:rsidR="00FD54FC" w:rsidRPr="002A677E">
        <w:t xml:space="preserve"> date logically follow the “Date of occurrence” (i.e. the date when the operational risk event happened or first began) and the “Date of discovery” (i.e. the date on which the institution became aware of the operational risk event). </w:t>
      </w:r>
    </w:p>
    <w:p w14:paraId="6F9C7A18" w14:textId="68D15E32" w:rsidR="00FD54FC"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149</w:t>
      </w:r>
      <w:r>
        <w:rPr>
          <w:noProof/>
        </w:rPr>
        <w:fldChar w:fldCharType="end"/>
      </w:r>
      <w:r w:rsidR="00125707" w:rsidRPr="002A677E">
        <w:t>.</w:t>
      </w:r>
      <w:r w:rsidR="00125707" w:rsidRPr="002A677E">
        <w:tab/>
      </w:r>
      <w:r w:rsidR="005C14B0" w:rsidRPr="002A677E">
        <w:t xml:space="preserve"> </w:t>
      </w:r>
      <w:r w:rsidR="00FD54FC" w:rsidRPr="002A677E">
        <w:t>Losses caused by a common operational risk event or by multiple events linked to an initial operational risk event generating events or losses (‘root-event’)</w:t>
      </w:r>
      <w:r w:rsidR="00FA04B2">
        <w:t xml:space="preserve"> </w:t>
      </w:r>
      <w:r w:rsidR="00EC1707" w:rsidRPr="002A677E">
        <w:t xml:space="preserve">shall </w:t>
      </w:r>
      <w:r w:rsidR="00EC1707" w:rsidRPr="00281598">
        <w:t>be summed up for the purpose of calculating the threshold for reporting</w:t>
      </w:r>
      <w:r w:rsidR="00EC1707" w:rsidRPr="002A677E">
        <w:t>.</w:t>
      </w:r>
      <w:r w:rsidR="00FA04B2">
        <w:t xml:space="preserve"> In the case the total net amount computed for a period of 10 years crosses the threshold, t</w:t>
      </w:r>
      <w:r w:rsidR="00B46F04">
        <w:t>he loss</w:t>
      </w:r>
      <w:r w:rsidR="00DB3F35">
        <w:t>es</w:t>
      </w:r>
      <w:r w:rsidR="00B46F04">
        <w:t xml:space="preserve"> and adjustments</w:t>
      </w:r>
      <w:r w:rsidR="00FD54FC" w:rsidRPr="002A677E">
        <w:t xml:space="preserve"> </w:t>
      </w:r>
      <w:r w:rsidR="00226298">
        <w:t>should be reported</w:t>
      </w:r>
      <w:r w:rsidR="00FA04B2">
        <w:t xml:space="preserve"> </w:t>
      </w:r>
      <w:r w:rsidR="00226298">
        <w:t>following the accounting impact</w:t>
      </w:r>
      <w:r w:rsidR="008E3C30">
        <w:t>,</w:t>
      </w:r>
      <w:r w:rsidR="00226298">
        <w:t xml:space="preserve"> </w:t>
      </w:r>
      <w:r w:rsidR="00CB7D2C">
        <w:t>in accordance with</w:t>
      </w:r>
      <w:r w:rsidR="0062765D">
        <w:t xml:space="preserve"> </w:t>
      </w:r>
      <w:r w:rsidR="00226298">
        <w:t>Article 317(3)(c) and Article 318(1) of Regulation (EU) No 575/2013</w:t>
      </w:r>
      <w:r w:rsidR="00FA04B2">
        <w:t xml:space="preserve">, even though the impact in a particular period may be lower than the threshold. </w:t>
      </w:r>
    </w:p>
    <w:p w14:paraId="6BE2D156" w14:textId="77777777" w:rsidR="00226298" w:rsidRPr="002A677E" w:rsidRDefault="00226298" w:rsidP="00E434A1">
      <w:pPr>
        <w:pStyle w:val="InstructionsText2"/>
        <w:numPr>
          <w:ilvl w:val="0"/>
          <w:numId w:val="0"/>
        </w:numPr>
      </w:pPr>
    </w:p>
    <w:p w14:paraId="13FA59F7" w14:textId="32F079FD"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150</w:t>
      </w:r>
      <w:r>
        <w:rPr>
          <w:noProof/>
        </w:rPr>
        <w:fldChar w:fldCharType="end"/>
      </w:r>
      <w:r w:rsidR="00125707" w:rsidRPr="002A677E">
        <w:t>.</w:t>
      </w:r>
      <w:r w:rsidR="00125707" w:rsidRPr="002A677E">
        <w:tab/>
      </w:r>
      <w:r w:rsidR="005C14B0" w:rsidRPr="002A677E">
        <w:t xml:space="preserve"> </w:t>
      </w:r>
      <w:r w:rsidR="00FD54FC" w:rsidRPr="002A677E">
        <w:t xml:space="preserve">The figures reported in June of the respective year </w:t>
      </w:r>
      <w:r w:rsidR="001F6487" w:rsidRPr="002A677E">
        <w:t>shall be</w:t>
      </w:r>
      <w:r w:rsidR="00FD54FC" w:rsidRPr="002A677E">
        <w:t xml:space="preserve"> interim figures, while the final figures </w:t>
      </w:r>
      <w:r w:rsidR="001F6487" w:rsidRPr="002A677E">
        <w:t>shall be</w:t>
      </w:r>
      <w:r w:rsidR="00FD54FC" w:rsidRPr="002A677E">
        <w:t xml:space="preserve"> reported in December. Therefore</w:t>
      </w:r>
      <w:r w:rsidR="001F6487" w:rsidRPr="002A677E">
        <w:t>,</w:t>
      </w:r>
      <w:r w:rsidR="00FD54FC" w:rsidRPr="002A677E">
        <w:t xml:space="preserve"> the figures in June </w:t>
      </w:r>
      <w:r w:rsidR="001F6487" w:rsidRPr="002A677E">
        <w:t xml:space="preserve">shall </w:t>
      </w:r>
      <w:r w:rsidR="00FD54FC" w:rsidRPr="002A677E">
        <w:t xml:space="preserve">have a six-month reference period (i.e. from 1 January to 30 June of the calendar year) while the figures in December </w:t>
      </w:r>
      <w:r w:rsidR="001F6487" w:rsidRPr="002A677E">
        <w:t xml:space="preserve">shall </w:t>
      </w:r>
      <w:r w:rsidR="00FD54FC" w:rsidRPr="002A677E">
        <w:t xml:space="preserve">have a twelve-month reference period (i.e. from 1 January to 31 December of the calendar year). Both for data reported </w:t>
      </w:r>
      <w:r w:rsidR="0023276A" w:rsidRPr="002A677E">
        <w:t>in</w:t>
      </w:r>
      <w:r w:rsidR="00FD54FC" w:rsidRPr="002A677E">
        <w:t xml:space="preserve"> June and December, “previous reporting reference periods” </w:t>
      </w:r>
      <w:r w:rsidR="001F6487" w:rsidRPr="002A677E">
        <w:t xml:space="preserve">shall </w:t>
      </w:r>
      <w:r w:rsidR="00FD54FC" w:rsidRPr="002A677E">
        <w:t>mean all reporting reference periods until and including the one ending at the preceding calendar year end.</w:t>
      </w:r>
    </w:p>
    <w:p w14:paraId="065A1906" w14:textId="563824E3"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61" w:name="_Toc473561025"/>
      <w:bookmarkStart w:id="62" w:name="_Toc152862719"/>
      <w:r w:rsidRPr="002A677E">
        <w:rPr>
          <w:rFonts w:ascii="Times New Roman" w:hAnsi="Times New Roman" w:cs="Times New Roman"/>
          <w:sz w:val="24"/>
          <w:u w:val="none"/>
          <w:lang w:val="en-GB"/>
        </w:rPr>
        <w:t>4.2.2.</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 xml:space="preserve">C 17.01: Operational risk losses and recoveries by business lines and </w:t>
      </w:r>
      <w:r w:rsidR="00650B6C" w:rsidRPr="002A677E">
        <w:rPr>
          <w:rFonts w:ascii="Times New Roman" w:hAnsi="Times New Roman" w:cs="Times New Roman"/>
          <w:sz w:val="24"/>
          <w:lang w:val="en-GB"/>
        </w:rPr>
        <w:t xml:space="preserve">loss </w:t>
      </w:r>
      <w:r w:rsidR="00FD54FC" w:rsidRPr="002A677E">
        <w:rPr>
          <w:rFonts w:ascii="Times New Roman" w:hAnsi="Times New Roman" w:cs="Times New Roman"/>
          <w:sz w:val="24"/>
          <w:lang w:val="en-GB"/>
        </w:rPr>
        <w:t>event types in the last year (OPR DETAILS 1)</w:t>
      </w:r>
      <w:bookmarkEnd w:id="61"/>
      <w:bookmarkEnd w:id="62"/>
    </w:p>
    <w:p w14:paraId="497EA8D0" w14:textId="77777777"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63" w:name="_Toc473561026"/>
      <w:bookmarkStart w:id="64" w:name="_Toc152862720"/>
      <w:r w:rsidRPr="002A677E">
        <w:rPr>
          <w:rFonts w:ascii="Times New Roman" w:hAnsi="Times New Roman" w:cs="Times New Roman"/>
          <w:sz w:val="24"/>
          <w:u w:val="none"/>
          <w:lang w:val="en-GB"/>
        </w:rPr>
        <w:t>4.2.2.1.</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General Remarks</w:t>
      </w:r>
      <w:bookmarkEnd w:id="63"/>
      <w:bookmarkEnd w:id="64"/>
    </w:p>
    <w:p w14:paraId="1B1EFECB" w14:textId="7B02287D"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151</w:t>
      </w:r>
      <w:r>
        <w:rPr>
          <w:noProof/>
        </w:rPr>
        <w:fldChar w:fldCharType="end"/>
      </w:r>
      <w:r w:rsidR="005C14B0" w:rsidRPr="002A677E">
        <w:t xml:space="preserve"> </w:t>
      </w:r>
      <w:r w:rsidR="00BC41EE">
        <w:t>T</w:t>
      </w:r>
      <w:r w:rsidR="00FD54FC" w:rsidRPr="002A677E">
        <w:t xml:space="preserve">emplate C 17.01, </w:t>
      </w:r>
      <w:r w:rsidR="00DF4F3C">
        <w:t>summarises the</w:t>
      </w:r>
      <w:r w:rsidR="00FD54FC" w:rsidRPr="002A677E">
        <w:t xml:space="preserve"> information </w:t>
      </w:r>
      <w:proofErr w:type="gramStart"/>
      <w:r w:rsidR="00DF4F3C">
        <w:t xml:space="preserve">on  </w:t>
      </w:r>
      <w:r w:rsidR="00FD54FC" w:rsidRPr="002A677E">
        <w:t>losses</w:t>
      </w:r>
      <w:proofErr w:type="gramEnd"/>
      <w:r w:rsidR="00FD54FC" w:rsidRPr="002A677E">
        <w:t xml:space="preserve"> and recoveries above internal thresholds </w:t>
      </w:r>
      <w:r w:rsidR="008218A6">
        <w:t>registered by an institution in the last year</w:t>
      </w:r>
      <w:r w:rsidR="00FD54FC" w:rsidRPr="002A677E">
        <w:t xml:space="preserve"> </w:t>
      </w:r>
      <w:r w:rsidR="00D459E0">
        <w:t xml:space="preserve">by event types and business lines </w:t>
      </w:r>
      <w:r w:rsidR="009016B6">
        <w:t>following the definitions in</w:t>
      </w:r>
      <w:r w:rsidR="00D459E0">
        <w:t xml:space="preserve"> Table 1 and </w:t>
      </w:r>
      <w:r w:rsidR="004F605C">
        <w:t xml:space="preserve">Table </w:t>
      </w:r>
      <w:r w:rsidR="00D459E0">
        <w:t xml:space="preserve">2 </w:t>
      </w:r>
      <w:r w:rsidR="009016B6">
        <w:t xml:space="preserve"> in </w:t>
      </w:r>
      <w:r w:rsidR="004F605C">
        <w:t>this section</w:t>
      </w:r>
      <w:r w:rsidR="00DF1A5D">
        <w:t>.</w:t>
      </w:r>
      <w:r w:rsidR="00D459E0">
        <w:t xml:space="preserve"> </w:t>
      </w:r>
      <w:r w:rsidR="001F6487" w:rsidRPr="002A677E">
        <w:t>It is</w:t>
      </w:r>
      <w:r w:rsidR="00FD54FC" w:rsidRPr="002A677E">
        <w:t xml:space="preserve"> possible that the losses corresponding to one </w:t>
      </w:r>
      <w:r w:rsidR="00650B6C" w:rsidRPr="002A677E">
        <w:t xml:space="preserve">loss </w:t>
      </w:r>
      <w:r w:rsidR="00FD54FC" w:rsidRPr="002A677E">
        <w:t>event are distributed amongst several business lines.</w:t>
      </w:r>
    </w:p>
    <w:p w14:paraId="0F217350" w14:textId="2457BB61"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152</w:t>
      </w:r>
      <w:r>
        <w:rPr>
          <w:noProof/>
        </w:rPr>
        <w:fldChar w:fldCharType="end"/>
      </w:r>
      <w:r w:rsidR="00125707" w:rsidRPr="002A677E">
        <w:t>.</w:t>
      </w:r>
      <w:r w:rsidR="005C14B0" w:rsidRPr="002A677E">
        <w:t xml:space="preserve"> </w:t>
      </w:r>
      <w:r w:rsidR="00FD54FC" w:rsidRPr="002A677E">
        <w:t xml:space="preserve">Columns present the different </w:t>
      </w:r>
      <w:r w:rsidR="00650B6C" w:rsidRPr="002A677E">
        <w:t xml:space="preserve">loss </w:t>
      </w:r>
      <w:r w:rsidR="00FD54FC" w:rsidRPr="002A677E">
        <w:t xml:space="preserve">event types and the totals for each business line, together with a memorandum item that shows the lowest internal threshold applied in the data collection of losses, revealing within each business line the lowest and the highest threshold </w:t>
      </w:r>
      <w:r w:rsidR="001F6487" w:rsidRPr="002A677E">
        <w:t>where</w:t>
      </w:r>
      <w:r w:rsidR="00FD54FC" w:rsidRPr="002A677E">
        <w:t xml:space="preserve"> there is more than one threshold.</w:t>
      </w:r>
    </w:p>
    <w:p w14:paraId="11517512" w14:textId="6BF52C10"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153</w:t>
      </w:r>
      <w:r>
        <w:rPr>
          <w:noProof/>
        </w:rPr>
        <w:fldChar w:fldCharType="end"/>
      </w:r>
      <w:r w:rsidR="00125707" w:rsidRPr="002A677E">
        <w:t>.</w:t>
      </w:r>
      <w:r w:rsidR="00125707" w:rsidRPr="002A677E">
        <w:tab/>
      </w:r>
      <w:r w:rsidR="005C14B0" w:rsidRPr="002A677E">
        <w:t xml:space="preserve"> </w:t>
      </w:r>
      <w:r w:rsidR="00FD54FC" w:rsidRPr="002A677E">
        <w:t xml:space="preserve">Rows present the business lines, and within each business line, information on the number of </w:t>
      </w:r>
      <w:r w:rsidR="00650B6C" w:rsidRPr="002A677E">
        <w:t xml:space="preserve">loss </w:t>
      </w:r>
      <w:r w:rsidR="00FD54FC" w:rsidRPr="002A677E">
        <w:t xml:space="preserve">events (new </w:t>
      </w:r>
      <w:r w:rsidR="00650B6C" w:rsidRPr="002A677E">
        <w:t xml:space="preserve">loss </w:t>
      </w:r>
      <w:r w:rsidR="00FD54FC" w:rsidRPr="002A677E">
        <w:t xml:space="preserve">events), the gross loss amount (new </w:t>
      </w:r>
      <w:r w:rsidR="00650B6C" w:rsidRPr="002A677E">
        <w:t xml:space="preserve">loss </w:t>
      </w:r>
      <w:r w:rsidR="00FD54FC" w:rsidRPr="002A677E">
        <w:t xml:space="preserve">events), the number of </w:t>
      </w:r>
      <w:r w:rsidR="00650B6C" w:rsidRPr="002A677E">
        <w:t xml:space="preserve">loss </w:t>
      </w:r>
      <w:r w:rsidR="00FD54FC" w:rsidRPr="002A677E">
        <w:t>events subject to loss adjustments, the loss adjustments relating to previous reporting periods, the maximum single loss, the sum of the five largest losses and the total loss recoveries (direct loss recoveries as well as recoveries from insurance and other risk transfer mechanisms).</w:t>
      </w:r>
    </w:p>
    <w:p w14:paraId="01C6C8D7" w14:textId="4AC621C4" w:rsidR="008E3F40"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154</w:t>
      </w:r>
      <w:r>
        <w:rPr>
          <w:noProof/>
        </w:rPr>
        <w:fldChar w:fldCharType="end"/>
      </w:r>
      <w:r w:rsidR="00125707" w:rsidRPr="002A677E">
        <w:t>.</w:t>
      </w:r>
      <w:r w:rsidR="005C14B0" w:rsidRPr="002A677E">
        <w:t xml:space="preserve"> </w:t>
      </w:r>
      <w:r w:rsidR="00FD54FC" w:rsidRPr="002A677E">
        <w:t xml:space="preserve">For the total business lines, data on the number of </w:t>
      </w:r>
      <w:r w:rsidR="00650B6C" w:rsidRPr="002A677E">
        <w:t xml:space="preserve">loss </w:t>
      </w:r>
      <w:r w:rsidR="00FD54FC" w:rsidRPr="002A677E">
        <w:t xml:space="preserve">events and the gross loss amount </w:t>
      </w:r>
      <w:r w:rsidR="001F6487" w:rsidRPr="002A677E">
        <w:t>shall</w:t>
      </w:r>
      <w:r w:rsidR="00FD54FC" w:rsidRPr="002A677E">
        <w:t xml:space="preserve"> also</w:t>
      </w:r>
      <w:r w:rsidR="009A1A9B" w:rsidRPr="002A677E">
        <w:t xml:space="preserve"> </w:t>
      </w:r>
      <w:r w:rsidR="001F6487" w:rsidRPr="002A677E">
        <w:t xml:space="preserve">be </w:t>
      </w:r>
      <w:r w:rsidR="009A1A9B" w:rsidRPr="002A677E">
        <w:t>re</w:t>
      </w:r>
      <w:r w:rsidR="00F519A4" w:rsidRPr="002A677E">
        <w:t xml:space="preserve">ported </w:t>
      </w:r>
      <w:r w:rsidR="00FD54FC" w:rsidRPr="002A677E">
        <w:t>for certain ranges based on set thresholds,</w:t>
      </w:r>
      <w:r w:rsidR="001F6487" w:rsidRPr="002A677E">
        <w:t xml:space="preserve"> that is</w:t>
      </w:r>
      <w:r w:rsidR="00FD54FC" w:rsidRPr="002A677E">
        <w:t xml:space="preserve"> 10,000, 20,000, 100,000, and 1,000,000. The thresholds are set in </w:t>
      </w:r>
      <w:r w:rsidR="001F6487" w:rsidRPr="002A677E">
        <w:t>EUR</w:t>
      </w:r>
      <w:r w:rsidR="00FD54FC" w:rsidRPr="002A677E">
        <w:t xml:space="preserve"> and are included for comparability purposes of the reported losses among institutions</w:t>
      </w:r>
      <w:r w:rsidR="001F6487" w:rsidRPr="002A677E">
        <w:t>. Those threshold</w:t>
      </w:r>
      <w:r w:rsidR="00F519A4" w:rsidRPr="002A677E">
        <w:t>s</w:t>
      </w:r>
      <w:r w:rsidR="001F6487" w:rsidRPr="002A677E">
        <w:t xml:space="preserve"> </w:t>
      </w:r>
      <w:r w:rsidR="00FD54FC" w:rsidRPr="002A677E">
        <w:t xml:space="preserve">do </w:t>
      </w:r>
      <w:r w:rsidR="001F6487" w:rsidRPr="002A677E">
        <w:t xml:space="preserve">therefore </w:t>
      </w:r>
      <w:r w:rsidR="00FD54FC" w:rsidRPr="002A677E">
        <w:t xml:space="preserve">not necessarily relate </w:t>
      </w:r>
      <w:r w:rsidR="001F6487" w:rsidRPr="002A677E">
        <w:t>to</w:t>
      </w:r>
      <w:r w:rsidR="00FD54FC" w:rsidRPr="002A677E">
        <w:t xml:space="preserve"> the minimum loss thresholds used for the internal loss data collection, to be reported in another section of the template.</w:t>
      </w:r>
    </w:p>
    <w:p w14:paraId="66F6BC90" w14:textId="74B242EF" w:rsidR="008A1E95" w:rsidRPr="00594639" w:rsidRDefault="006B71D2" w:rsidP="008E3C30">
      <w:pPr>
        <w:pStyle w:val="InstructionsText2"/>
        <w:numPr>
          <w:ilvl w:val="0"/>
          <w:numId w:val="0"/>
        </w:numPr>
      </w:pPr>
      <w:r>
        <w:t xml:space="preserve">154a. </w:t>
      </w:r>
      <w:r w:rsidR="008A1E95" w:rsidRPr="001619AF">
        <w:t xml:space="preserve">Loss recoveries shall be reported with a positive sign. </w:t>
      </w:r>
    </w:p>
    <w:p w14:paraId="31AE8FCD" w14:textId="77777777" w:rsidR="008A1E95" w:rsidRPr="002A677E" w:rsidRDefault="008A1E95" w:rsidP="00E434A1">
      <w:pPr>
        <w:pStyle w:val="InstructionsText2"/>
        <w:numPr>
          <w:ilvl w:val="0"/>
          <w:numId w:val="0"/>
        </w:numPr>
      </w:pPr>
    </w:p>
    <w:p w14:paraId="3EEEA3D5" w14:textId="3049F7A0"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65" w:name="_Toc473561027"/>
      <w:bookmarkStart w:id="66" w:name="_Toc152862721"/>
      <w:r w:rsidRPr="002A677E">
        <w:rPr>
          <w:rFonts w:ascii="Times New Roman" w:hAnsi="Times New Roman" w:cs="Times New Roman"/>
          <w:sz w:val="24"/>
          <w:u w:val="none"/>
          <w:lang w:val="en-GB"/>
        </w:rPr>
        <w:t>4.2.2.2.</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 xml:space="preserve">Instructions concerning specific </w:t>
      </w:r>
      <w:proofErr w:type="gramStart"/>
      <w:r w:rsidR="00FD54FC" w:rsidRPr="002A677E">
        <w:rPr>
          <w:rFonts w:ascii="Times New Roman" w:hAnsi="Times New Roman" w:cs="Times New Roman"/>
          <w:sz w:val="24"/>
          <w:lang w:val="en-GB"/>
        </w:rPr>
        <w:t>positions</w:t>
      </w:r>
      <w:bookmarkEnd w:id="65"/>
      <w:bookmarkEnd w:id="66"/>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2A677E" w14:paraId="5673A92F" w14:textId="77777777" w:rsidTr="00672D2A">
        <w:trPr>
          <w:trHeight w:val="576"/>
        </w:trPr>
        <w:tc>
          <w:tcPr>
            <w:tcW w:w="9180" w:type="dxa"/>
            <w:gridSpan w:val="2"/>
            <w:shd w:val="clear" w:color="auto" w:fill="CCCCCC"/>
          </w:tcPr>
          <w:p w14:paraId="64100A9A" w14:textId="77777777" w:rsidR="00FD54FC" w:rsidRPr="002A677E" w:rsidRDefault="00FD54FC" w:rsidP="00FD54FC">
            <w:pPr>
              <w:autoSpaceDE w:val="0"/>
              <w:autoSpaceDN w:val="0"/>
              <w:adjustRightInd w:val="0"/>
              <w:spacing w:after="0"/>
              <w:rPr>
                <w:rFonts w:ascii="Times New Roman" w:hAnsi="Times New Roman"/>
                <w:b/>
                <w:bCs/>
                <w:sz w:val="24"/>
                <w:lang w:eastAsia="nl-BE"/>
              </w:rPr>
            </w:pPr>
            <w:r w:rsidRPr="002A677E">
              <w:rPr>
                <w:rFonts w:ascii="Times New Roman" w:hAnsi="Times New Roman"/>
                <w:b/>
                <w:bCs/>
                <w:sz w:val="24"/>
                <w:lang w:eastAsia="nl-BE"/>
              </w:rPr>
              <w:t>Columns</w:t>
            </w:r>
          </w:p>
        </w:tc>
      </w:tr>
      <w:tr w:rsidR="00FD54FC" w:rsidRPr="002A677E" w14:paraId="66F8475E" w14:textId="77777777" w:rsidTr="00672D2A">
        <w:tc>
          <w:tcPr>
            <w:tcW w:w="985" w:type="dxa"/>
          </w:tcPr>
          <w:p w14:paraId="2E2E57DA" w14:textId="77777777" w:rsidR="00FD54FC" w:rsidRPr="002A677E" w:rsidRDefault="00C93FC2" w:rsidP="000F70EC">
            <w:pPr>
              <w:autoSpaceDE w:val="0"/>
              <w:autoSpaceDN w:val="0"/>
              <w:adjustRightInd w:val="0"/>
              <w:spacing w:before="0" w:after="0"/>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010-</w:t>
            </w:r>
            <w:r w:rsidRPr="002A677E">
              <w:rPr>
                <w:rFonts w:ascii="Times New Roman" w:hAnsi="Times New Roman"/>
                <w:bCs/>
                <w:sz w:val="24"/>
                <w:lang w:eastAsia="nl-BE"/>
              </w:rPr>
              <w:t>0</w:t>
            </w:r>
            <w:r w:rsidR="00FD54FC" w:rsidRPr="002A677E">
              <w:rPr>
                <w:rFonts w:ascii="Times New Roman" w:hAnsi="Times New Roman"/>
                <w:bCs/>
                <w:sz w:val="24"/>
                <w:lang w:eastAsia="nl-BE"/>
              </w:rPr>
              <w:t>070</w:t>
            </w:r>
          </w:p>
        </w:tc>
        <w:tc>
          <w:tcPr>
            <w:tcW w:w="8195" w:type="dxa"/>
          </w:tcPr>
          <w:p w14:paraId="42ED0FA0" w14:textId="77777777" w:rsidR="00FD54FC" w:rsidRPr="002A677E" w:rsidRDefault="00FD54FC" w:rsidP="00FD54FC">
            <w:pPr>
              <w:autoSpaceDE w:val="0"/>
              <w:autoSpaceDN w:val="0"/>
              <w:adjustRightInd w:val="0"/>
              <w:spacing w:before="0" w:after="0"/>
              <w:rPr>
                <w:rStyle w:val="InstructionsTabelleberschrift"/>
                <w:rFonts w:ascii="Times New Roman" w:hAnsi="Times New Roman"/>
                <w:sz w:val="24"/>
              </w:rPr>
            </w:pPr>
            <w:r w:rsidRPr="002A677E">
              <w:rPr>
                <w:rStyle w:val="InstructionsTabelleberschrift"/>
                <w:rFonts w:ascii="Times New Roman" w:hAnsi="Times New Roman"/>
                <w:sz w:val="24"/>
              </w:rPr>
              <w:t>EVENT TYPES</w:t>
            </w:r>
          </w:p>
          <w:p w14:paraId="77CB6459" w14:textId="34950BD9" w:rsidR="0084728B" w:rsidRPr="002A677E" w:rsidRDefault="00FD54FC" w:rsidP="0084728B">
            <w:pPr>
              <w:rPr>
                <w:rFonts w:ascii="Times New Roman" w:hAnsi="Times New Roman"/>
                <w:sz w:val="24"/>
              </w:rPr>
            </w:pPr>
            <w:r w:rsidRPr="002A677E">
              <w:rPr>
                <w:rFonts w:ascii="Times New Roman" w:hAnsi="Times New Roman"/>
                <w:sz w:val="24"/>
              </w:rPr>
              <w:t xml:space="preserve">Institutions </w:t>
            </w:r>
            <w:r w:rsidR="001F6487" w:rsidRPr="002A677E">
              <w:rPr>
                <w:rFonts w:ascii="Times New Roman" w:hAnsi="Times New Roman"/>
                <w:sz w:val="24"/>
              </w:rPr>
              <w:t xml:space="preserve">shall </w:t>
            </w:r>
            <w:r w:rsidRPr="002A677E">
              <w:rPr>
                <w:rFonts w:ascii="Times New Roman" w:hAnsi="Times New Roman"/>
                <w:sz w:val="24"/>
              </w:rPr>
              <w:t xml:space="preserve">report the losses in the respective columns </w:t>
            </w:r>
            <w:r w:rsidR="00CB3146" w:rsidRPr="002A677E">
              <w:rPr>
                <w:rFonts w:ascii="Times New Roman" w:hAnsi="Times New Roman"/>
                <w:sz w:val="24"/>
              </w:rPr>
              <w:t>0</w:t>
            </w:r>
            <w:r w:rsidRPr="002A677E">
              <w:rPr>
                <w:rFonts w:ascii="Times New Roman" w:hAnsi="Times New Roman"/>
                <w:sz w:val="24"/>
              </w:rPr>
              <w:t xml:space="preserve">010 to </w:t>
            </w:r>
            <w:r w:rsidR="00CB3146" w:rsidRPr="002A677E">
              <w:rPr>
                <w:rFonts w:ascii="Times New Roman" w:hAnsi="Times New Roman"/>
                <w:sz w:val="24"/>
              </w:rPr>
              <w:t>0</w:t>
            </w:r>
            <w:r w:rsidRPr="002A677E">
              <w:rPr>
                <w:rFonts w:ascii="Times New Roman" w:hAnsi="Times New Roman"/>
                <w:sz w:val="24"/>
              </w:rPr>
              <w:t xml:space="preserve">070 </w:t>
            </w:r>
            <w:r w:rsidR="00BB22D4" w:rsidRPr="002A677E">
              <w:rPr>
                <w:rFonts w:ascii="Times New Roman" w:hAnsi="Times New Roman"/>
                <w:sz w:val="24"/>
              </w:rPr>
              <w:t>in accordance with</w:t>
            </w:r>
            <w:r w:rsidRPr="002A677E">
              <w:rPr>
                <w:rFonts w:ascii="Times New Roman" w:hAnsi="Times New Roman"/>
                <w:sz w:val="24"/>
              </w:rPr>
              <w:t xml:space="preserve"> the </w:t>
            </w:r>
            <w:r w:rsidR="00650B6C" w:rsidRPr="002A677E">
              <w:rPr>
                <w:rFonts w:ascii="Times New Roman" w:hAnsi="Times New Roman"/>
                <w:sz w:val="24"/>
              </w:rPr>
              <w:t xml:space="preserve">loss </w:t>
            </w:r>
            <w:r w:rsidRPr="002A677E">
              <w:rPr>
                <w:rFonts w:ascii="Times New Roman" w:hAnsi="Times New Roman"/>
                <w:sz w:val="24"/>
              </w:rPr>
              <w:t>event types</w:t>
            </w:r>
            <w:r w:rsidR="00E62FFE">
              <w:rPr>
                <w:rFonts w:ascii="Times New Roman" w:hAnsi="Times New Roman"/>
                <w:sz w:val="24"/>
              </w:rPr>
              <w:t>.</w:t>
            </w:r>
          </w:p>
          <w:p w14:paraId="3023C2E3" w14:textId="3DB1C18B" w:rsidR="00FD54FC" w:rsidRPr="002A677E" w:rsidRDefault="00FD54FC" w:rsidP="0084728B">
            <w:pPr>
              <w:rPr>
                <w:rFonts w:ascii="Times New Roman" w:hAnsi="Times New Roman"/>
                <w:bCs/>
                <w:sz w:val="24"/>
                <w:lang w:eastAsia="nl-BE"/>
              </w:rPr>
            </w:pPr>
            <w:r w:rsidRPr="002A677E">
              <w:rPr>
                <w:rFonts w:ascii="Times New Roman" w:hAnsi="Times New Roman"/>
                <w:bCs/>
                <w:sz w:val="24"/>
                <w:lang w:eastAsia="nl-BE"/>
              </w:rPr>
              <w:lastRenderedPageBreak/>
              <w:t xml:space="preserve">Institutions </w:t>
            </w:r>
            <w:r w:rsidR="00871877" w:rsidRPr="002A677E">
              <w:rPr>
                <w:rFonts w:ascii="Times New Roman" w:hAnsi="Times New Roman"/>
                <w:bCs/>
                <w:sz w:val="24"/>
                <w:lang w:eastAsia="nl-BE"/>
              </w:rPr>
              <w:t>that calculate</w:t>
            </w:r>
            <w:r w:rsidR="00B320ED">
              <w:rPr>
                <w:rFonts w:ascii="Times New Roman" w:hAnsi="Times New Roman"/>
                <w:bCs/>
                <w:sz w:val="24"/>
                <w:lang w:eastAsia="nl-BE"/>
              </w:rPr>
              <w:t>d</w:t>
            </w:r>
            <w:r w:rsidR="00871877" w:rsidRPr="002A677E">
              <w:rPr>
                <w:rFonts w:ascii="Times New Roman" w:hAnsi="Times New Roman"/>
                <w:bCs/>
                <w:sz w:val="24"/>
                <w:lang w:eastAsia="nl-BE"/>
              </w:rPr>
              <w:t xml:space="preserve"> </w:t>
            </w:r>
            <w:r w:rsidR="00B30A1C">
              <w:rPr>
                <w:rFonts w:ascii="Times New Roman" w:hAnsi="Times New Roman"/>
                <w:sz w:val="24"/>
                <w:lang w:eastAsia="nl-BE"/>
              </w:rPr>
              <w:t xml:space="preserve">in December </w:t>
            </w:r>
            <w:r w:rsidR="00E62FFE">
              <w:rPr>
                <w:rFonts w:ascii="Times New Roman" w:hAnsi="Times New Roman"/>
                <w:sz w:val="24"/>
                <w:lang w:eastAsia="nl-BE"/>
              </w:rPr>
              <w:t>2024 their</w:t>
            </w:r>
            <w:r w:rsidR="00871877" w:rsidRPr="002A677E">
              <w:rPr>
                <w:rFonts w:ascii="Times New Roman" w:hAnsi="Times New Roman"/>
                <w:bCs/>
                <w:sz w:val="24"/>
                <w:lang w:eastAsia="nl-BE"/>
              </w:rPr>
              <w:t xml:space="preserve"> own funds requirement </w:t>
            </w:r>
            <w:r w:rsidR="00BB22D4" w:rsidRPr="002A677E">
              <w:rPr>
                <w:rFonts w:ascii="Times New Roman" w:hAnsi="Times New Roman"/>
                <w:bCs/>
                <w:sz w:val="24"/>
                <w:lang w:eastAsia="nl-BE"/>
              </w:rPr>
              <w:t>in accordance with</w:t>
            </w:r>
            <w:r w:rsidR="00EB6FC2" w:rsidRPr="002A677E">
              <w:rPr>
                <w:rFonts w:ascii="Times New Roman" w:hAnsi="Times New Roman"/>
                <w:bCs/>
                <w:sz w:val="24"/>
                <w:lang w:eastAsia="nl-BE"/>
              </w:rPr>
              <w:t xml:space="preserve"> the</w:t>
            </w:r>
            <w:r w:rsidR="00871877" w:rsidRPr="002A677E">
              <w:rPr>
                <w:rFonts w:ascii="Times New Roman" w:hAnsi="Times New Roman"/>
                <w:bCs/>
                <w:sz w:val="24"/>
                <w:lang w:eastAsia="nl-BE"/>
              </w:rPr>
              <w:t xml:space="preserve"> BIA </w:t>
            </w:r>
            <w:r w:rsidRPr="002A677E">
              <w:rPr>
                <w:rFonts w:ascii="Times New Roman" w:hAnsi="Times New Roman"/>
                <w:bCs/>
                <w:sz w:val="24"/>
                <w:lang w:eastAsia="nl-BE"/>
              </w:rPr>
              <w:t xml:space="preserve">may report those losses for which the </w:t>
            </w:r>
            <w:r w:rsidR="00650B6C" w:rsidRPr="002A677E">
              <w:rPr>
                <w:rFonts w:ascii="Times New Roman" w:hAnsi="Times New Roman"/>
                <w:bCs/>
                <w:sz w:val="24"/>
                <w:lang w:eastAsia="nl-BE"/>
              </w:rPr>
              <w:t xml:space="preserve">loss </w:t>
            </w:r>
            <w:r w:rsidRPr="002A677E">
              <w:rPr>
                <w:rFonts w:ascii="Times New Roman" w:hAnsi="Times New Roman"/>
                <w:bCs/>
                <w:sz w:val="24"/>
                <w:lang w:eastAsia="nl-BE"/>
              </w:rPr>
              <w:t>event type is not identified in column 0</w:t>
            </w:r>
            <w:r w:rsidR="00FD41A1">
              <w:rPr>
                <w:rFonts w:ascii="Times New Roman" w:hAnsi="Times New Roman"/>
                <w:bCs/>
                <w:sz w:val="24"/>
                <w:lang w:eastAsia="nl-BE"/>
              </w:rPr>
              <w:t>0</w:t>
            </w:r>
            <w:r w:rsidRPr="002A677E">
              <w:rPr>
                <w:rFonts w:ascii="Times New Roman" w:hAnsi="Times New Roman"/>
                <w:bCs/>
                <w:sz w:val="24"/>
                <w:lang w:eastAsia="nl-BE"/>
              </w:rPr>
              <w:t>80 only.</w:t>
            </w:r>
          </w:p>
        </w:tc>
      </w:tr>
      <w:tr w:rsidR="00FD54FC" w:rsidRPr="002A677E" w14:paraId="50B8D542" w14:textId="77777777" w:rsidTr="00672D2A">
        <w:tc>
          <w:tcPr>
            <w:tcW w:w="985" w:type="dxa"/>
          </w:tcPr>
          <w:p w14:paraId="5DD6D73C" w14:textId="77777777" w:rsidR="00FD54FC" w:rsidRPr="002A677E" w:rsidRDefault="00C93FC2" w:rsidP="00FD54FC">
            <w:pPr>
              <w:autoSpaceDE w:val="0"/>
              <w:autoSpaceDN w:val="0"/>
              <w:adjustRightInd w:val="0"/>
              <w:spacing w:before="0" w:after="0"/>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080</w:t>
            </w:r>
          </w:p>
        </w:tc>
        <w:tc>
          <w:tcPr>
            <w:tcW w:w="8195" w:type="dxa"/>
          </w:tcPr>
          <w:p w14:paraId="160BFCD4" w14:textId="77777777" w:rsidR="00FD54FC" w:rsidRPr="002A677E" w:rsidRDefault="00FD54FC" w:rsidP="00FD54FC">
            <w:pPr>
              <w:autoSpaceDE w:val="0"/>
              <w:autoSpaceDN w:val="0"/>
              <w:adjustRightInd w:val="0"/>
              <w:spacing w:before="0" w:after="0"/>
              <w:rPr>
                <w:rStyle w:val="InstructionsTabelleberschrift"/>
                <w:rFonts w:ascii="Times New Roman" w:hAnsi="Times New Roman"/>
                <w:sz w:val="24"/>
              </w:rPr>
            </w:pPr>
            <w:r w:rsidRPr="002A677E">
              <w:rPr>
                <w:rStyle w:val="InstructionsTabelleberschrift"/>
                <w:rFonts w:ascii="Times New Roman" w:hAnsi="Times New Roman"/>
                <w:sz w:val="24"/>
              </w:rPr>
              <w:t xml:space="preserve">TOTAL </w:t>
            </w:r>
            <w:r w:rsidR="00650B6C" w:rsidRPr="002A677E">
              <w:rPr>
                <w:rStyle w:val="InstructionsTabelleberschrift"/>
                <w:rFonts w:ascii="Times New Roman" w:hAnsi="Times New Roman"/>
                <w:sz w:val="24"/>
              </w:rPr>
              <w:t xml:space="preserve">LOSS </w:t>
            </w:r>
            <w:r w:rsidRPr="002A677E">
              <w:rPr>
                <w:rStyle w:val="InstructionsTabelleberschrift"/>
                <w:rFonts w:ascii="Times New Roman" w:hAnsi="Times New Roman"/>
                <w:sz w:val="24"/>
              </w:rPr>
              <w:t>EVENT TYPES</w:t>
            </w:r>
          </w:p>
          <w:p w14:paraId="64EF174C" w14:textId="77777777" w:rsidR="008D30F0" w:rsidRPr="002A677E" w:rsidRDefault="00FD54FC" w:rsidP="00FD54FC">
            <w:pPr>
              <w:rPr>
                <w:rStyle w:val="InstructionsTabelleText"/>
                <w:rFonts w:ascii="Times New Roman" w:hAnsi="Times New Roman"/>
                <w:sz w:val="24"/>
              </w:rPr>
            </w:pPr>
            <w:r w:rsidRPr="002A677E">
              <w:rPr>
                <w:rStyle w:val="InstructionsTabelleText"/>
                <w:rFonts w:ascii="Times New Roman" w:hAnsi="Times New Roman"/>
                <w:sz w:val="24"/>
              </w:rPr>
              <w:t xml:space="preserve">In column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080, for each business line, institutions </w:t>
            </w:r>
            <w:r w:rsidR="001F6487" w:rsidRPr="002A677E">
              <w:rPr>
                <w:rStyle w:val="InstructionsTabelleText"/>
                <w:rFonts w:ascii="Times New Roman" w:hAnsi="Times New Roman"/>
                <w:sz w:val="24"/>
              </w:rPr>
              <w:t xml:space="preserve">shall </w:t>
            </w:r>
            <w:r w:rsidRPr="002A677E">
              <w:rPr>
                <w:rStyle w:val="InstructionsTabelleText"/>
                <w:rFonts w:ascii="Times New Roman" w:hAnsi="Times New Roman"/>
                <w:sz w:val="24"/>
              </w:rPr>
              <w:t>report the total ‘number of</w:t>
            </w:r>
            <w:r w:rsidR="00650B6C" w:rsidRPr="002A677E">
              <w:rPr>
                <w:rStyle w:val="InstructionsTabelleText"/>
                <w:rFonts w:ascii="Times New Roman" w:hAnsi="Times New Roman"/>
                <w:sz w:val="24"/>
              </w:rPr>
              <w:t xml:space="preserve"> loss</w:t>
            </w:r>
            <w:r w:rsidRPr="002A677E">
              <w:rPr>
                <w:rStyle w:val="InstructionsTabelleText"/>
                <w:rFonts w:ascii="Times New Roman" w:hAnsi="Times New Roman"/>
                <w:sz w:val="24"/>
              </w:rPr>
              <w:t xml:space="preserve"> events</w:t>
            </w:r>
            <w:r w:rsidR="008D30F0" w:rsidRPr="002A677E">
              <w:rPr>
                <w:rStyle w:val="InstructionsTabelleText"/>
                <w:rFonts w:ascii="Times New Roman" w:hAnsi="Times New Roman"/>
                <w:sz w:val="24"/>
              </w:rPr>
              <w:t xml:space="preserve"> (new </w:t>
            </w:r>
            <w:r w:rsidR="00650B6C" w:rsidRPr="002A677E">
              <w:rPr>
                <w:rStyle w:val="InstructionsTabelleText"/>
                <w:rFonts w:ascii="Times New Roman" w:hAnsi="Times New Roman"/>
                <w:sz w:val="24"/>
              </w:rPr>
              <w:t xml:space="preserve">loss </w:t>
            </w:r>
            <w:r w:rsidR="008D30F0" w:rsidRPr="002A677E">
              <w:rPr>
                <w:rStyle w:val="InstructionsTabelleText"/>
                <w:rFonts w:ascii="Times New Roman" w:hAnsi="Times New Roman"/>
                <w:sz w:val="24"/>
              </w:rPr>
              <w:t>events)</w:t>
            </w:r>
            <w:r w:rsidRPr="002A677E">
              <w:rPr>
                <w:rStyle w:val="InstructionsTabelleText"/>
                <w:rFonts w:ascii="Times New Roman" w:hAnsi="Times New Roman"/>
                <w:sz w:val="24"/>
              </w:rPr>
              <w:t>’, the total of ‘gross loss amount</w:t>
            </w:r>
            <w:r w:rsidR="008D30F0" w:rsidRPr="002A677E">
              <w:rPr>
                <w:rStyle w:val="InstructionsTabelleText"/>
                <w:rFonts w:ascii="Times New Roman" w:hAnsi="Times New Roman"/>
                <w:sz w:val="24"/>
              </w:rPr>
              <w:t xml:space="preserve"> (new</w:t>
            </w:r>
            <w:r w:rsidR="00650B6C" w:rsidRPr="002A677E">
              <w:rPr>
                <w:rStyle w:val="InstructionsTabelleText"/>
                <w:rFonts w:ascii="Times New Roman" w:hAnsi="Times New Roman"/>
                <w:sz w:val="24"/>
              </w:rPr>
              <w:t xml:space="preserve"> loss</w:t>
            </w:r>
            <w:r w:rsidR="008D30F0" w:rsidRPr="002A677E">
              <w:rPr>
                <w:rStyle w:val="InstructionsTabelleText"/>
                <w:rFonts w:ascii="Times New Roman" w:hAnsi="Times New Roman"/>
                <w:sz w:val="24"/>
              </w:rPr>
              <w:t xml:space="preserve"> events)</w:t>
            </w:r>
            <w:r w:rsidRPr="002A677E">
              <w:rPr>
                <w:rStyle w:val="InstructionsTabelleText"/>
                <w:rFonts w:ascii="Times New Roman" w:hAnsi="Times New Roman"/>
                <w:sz w:val="24"/>
              </w:rPr>
              <w:t xml:space="preserve">’, the total ‘number of </w:t>
            </w:r>
            <w:r w:rsidR="00650B6C" w:rsidRPr="002A677E">
              <w:rPr>
                <w:rStyle w:val="InstructionsTabelleText"/>
                <w:rFonts w:ascii="Times New Roman" w:hAnsi="Times New Roman"/>
                <w:sz w:val="24"/>
              </w:rPr>
              <w:t xml:space="preserve">loss </w:t>
            </w:r>
            <w:r w:rsidRPr="002A677E">
              <w:rPr>
                <w:rStyle w:val="InstructionsTabelleText"/>
                <w:rFonts w:ascii="Times New Roman" w:hAnsi="Times New Roman"/>
                <w:sz w:val="24"/>
              </w:rPr>
              <w:t>events subject to loss adjustments’, the total of ‘loss adjustments relating to previous reporting periods’</w:t>
            </w:r>
            <w:r w:rsidR="008D30F0" w:rsidRPr="002A677E">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008D30F0" w:rsidRPr="002A677E">
              <w:rPr>
                <w:rStyle w:val="InstructionsTabelleText"/>
                <w:rFonts w:ascii="Times New Roman" w:hAnsi="Times New Roman"/>
                <w:sz w:val="24"/>
              </w:rPr>
              <w:t xml:space="preserve">the ‘maximum single loss’, the ‘sum of the five largest losses’, </w:t>
            </w:r>
            <w:r w:rsidRPr="002A677E">
              <w:rPr>
                <w:rStyle w:val="InstructionsTabelleText"/>
                <w:rFonts w:ascii="Times New Roman" w:hAnsi="Times New Roman"/>
                <w:sz w:val="24"/>
              </w:rPr>
              <w:t>the total of ‘total direct loss recovery’</w:t>
            </w:r>
            <w:r w:rsidR="008D30F0" w:rsidRPr="002A677E">
              <w:rPr>
                <w:rStyle w:val="InstructionsTabelleText"/>
                <w:rFonts w:ascii="Times New Roman" w:hAnsi="Times New Roman"/>
                <w:sz w:val="24"/>
              </w:rPr>
              <w:t xml:space="preserve"> and</w:t>
            </w:r>
            <w:r w:rsidRPr="002A677E">
              <w:rPr>
                <w:rStyle w:val="InstructionsTabelleText"/>
                <w:rFonts w:ascii="Times New Roman" w:hAnsi="Times New Roman"/>
                <w:sz w:val="24"/>
              </w:rPr>
              <w:t xml:space="preserve"> the total of ‘</w:t>
            </w:r>
            <w:r w:rsidR="008D30F0" w:rsidRPr="002A677E">
              <w:rPr>
                <w:rStyle w:val="InstructionsTabelleText"/>
                <w:rFonts w:ascii="Times New Roman" w:hAnsi="Times New Roman"/>
                <w:sz w:val="24"/>
              </w:rPr>
              <w:t>t</w:t>
            </w:r>
            <w:r w:rsidRPr="002A677E">
              <w:rPr>
                <w:rStyle w:val="InstructionsTabelleText"/>
                <w:rFonts w:ascii="Times New Roman" w:hAnsi="Times New Roman"/>
                <w:sz w:val="24"/>
              </w:rPr>
              <w:t>otal recovery from insurance and other risk transfer mechanisms’.</w:t>
            </w:r>
          </w:p>
          <w:p w14:paraId="435DA6FC" w14:textId="40BFB6DE" w:rsidR="00FD54FC" w:rsidRPr="002A677E" w:rsidRDefault="00FD54FC" w:rsidP="00FD54FC">
            <w:pPr>
              <w:rPr>
                <w:rStyle w:val="InstructionsTabelleText"/>
                <w:rFonts w:ascii="Times New Roman" w:hAnsi="Times New Roman"/>
                <w:sz w:val="24"/>
              </w:rPr>
            </w:pPr>
            <w:r w:rsidRPr="002A677E">
              <w:rPr>
                <w:rStyle w:val="InstructionsTabelleText"/>
                <w:rFonts w:ascii="Times New Roman" w:hAnsi="Times New Roman"/>
                <w:sz w:val="24"/>
              </w:rPr>
              <w:t xml:space="preserve">Provided that the institution has identified the </w:t>
            </w:r>
            <w:r w:rsidR="00650B6C" w:rsidRPr="002A677E">
              <w:rPr>
                <w:rStyle w:val="InstructionsTabelleText"/>
                <w:rFonts w:ascii="Times New Roman" w:hAnsi="Times New Roman"/>
                <w:sz w:val="24"/>
              </w:rPr>
              <w:t xml:space="preserve">loss </w:t>
            </w:r>
            <w:r w:rsidRPr="002A677E">
              <w:rPr>
                <w:rStyle w:val="InstructionsTabelleText"/>
                <w:rFonts w:ascii="Times New Roman" w:hAnsi="Times New Roman"/>
                <w:sz w:val="24"/>
              </w:rPr>
              <w:t xml:space="preserve">event types for all losses, column </w:t>
            </w:r>
            <w:r w:rsidR="00431185">
              <w:rPr>
                <w:rStyle w:val="InstructionsTabelleText"/>
                <w:rFonts w:ascii="Times New Roman" w:hAnsi="Times New Roman"/>
                <w:sz w:val="24"/>
              </w:rPr>
              <w:t>0</w:t>
            </w:r>
            <w:r w:rsidRPr="002A677E">
              <w:rPr>
                <w:rStyle w:val="InstructionsTabelleText"/>
                <w:rFonts w:ascii="Times New Roman" w:hAnsi="Times New Roman"/>
                <w:sz w:val="24"/>
              </w:rPr>
              <w:t xml:space="preserve">080 </w:t>
            </w:r>
            <w:r w:rsidR="001F6487" w:rsidRPr="002A677E">
              <w:rPr>
                <w:rStyle w:val="InstructionsTabelleText"/>
                <w:rFonts w:ascii="Times New Roman" w:hAnsi="Times New Roman"/>
                <w:sz w:val="24"/>
              </w:rPr>
              <w:t xml:space="preserve">shall </w:t>
            </w:r>
            <w:r w:rsidRPr="002A677E">
              <w:rPr>
                <w:rStyle w:val="InstructionsTabelleText"/>
                <w:rFonts w:ascii="Times New Roman" w:hAnsi="Times New Roman"/>
                <w:sz w:val="24"/>
              </w:rPr>
              <w:t xml:space="preserve">show the simple aggregation of the number of loss events, the total gross loss amounts, the total loss recovery amounts and the ‘loss adjustments relating to previous reporting periods’ reported in columns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010 to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070. </w:t>
            </w:r>
          </w:p>
          <w:p w14:paraId="7ADBEC5B" w14:textId="104FB11B" w:rsidR="00FD54FC" w:rsidRPr="002A677E" w:rsidRDefault="00FD54FC" w:rsidP="00FD54FC">
            <w:pPr>
              <w:rPr>
                <w:rStyle w:val="InstructionsTabelleText"/>
                <w:rFonts w:ascii="Times New Roman" w:hAnsi="Times New Roman"/>
                <w:sz w:val="24"/>
              </w:rPr>
            </w:pPr>
            <w:r w:rsidRPr="002A677E">
              <w:rPr>
                <w:rStyle w:val="InstructionsTabelleText"/>
                <w:rFonts w:ascii="Times New Roman" w:hAnsi="Times New Roman"/>
                <w:sz w:val="24"/>
              </w:rPr>
              <w:t xml:space="preserve">The ‘maximum single </w:t>
            </w:r>
            <w:proofErr w:type="gramStart"/>
            <w:r w:rsidRPr="002A677E">
              <w:rPr>
                <w:rStyle w:val="InstructionsTabelleText"/>
                <w:rFonts w:ascii="Times New Roman" w:hAnsi="Times New Roman"/>
                <w:sz w:val="24"/>
              </w:rPr>
              <w:t>loss’</w:t>
            </w:r>
            <w:proofErr w:type="gramEnd"/>
            <w:r w:rsidRPr="002A677E">
              <w:rPr>
                <w:rStyle w:val="InstructionsTabelleText"/>
                <w:rFonts w:ascii="Times New Roman" w:hAnsi="Times New Roman"/>
                <w:sz w:val="24"/>
              </w:rPr>
              <w:t xml:space="preserve"> reported in column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080 </w:t>
            </w:r>
            <w:r w:rsidR="001F6487" w:rsidRPr="002A677E">
              <w:rPr>
                <w:rStyle w:val="InstructionsTabelleText"/>
                <w:rFonts w:ascii="Times New Roman" w:hAnsi="Times New Roman"/>
                <w:sz w:val="24"/>
              </w:rPr>
              <w:t>shall be</w:t>
            </w:r>
            <w:r w:rsidRPr="002A677E">
              <w:rPr>
                <w:rStyle w:val="InstructionsTabelleText"/>
                <w:rFonts w:ascii="Times New Roman" w:hAnsi="Times New Roman"/>
                <w:sz w:val="24"/>
              </w:rPr>
              <w:t xml:space="preserve"> the maximum single loss within a business line and identical to the maximum of the ‘maximum single losses’ reported in columns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010 to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070</w:t>
            </w:r>
            <w:r w:rsidR="00B83DDE">
              <w:rPr>
                <w:rStyle w:val="InstructionsTabelleText"/>
                <w:rFonts w:ascii="Times New Roman" w:hAnsi="Times New Roman"/>
                <w:sz w:val="24"/>
              </w:rPr>
              <w:t>, p</w:t>
            </w:r>
            <w:r w:rsidRPr="002A677E">
              <w:rPr>
                <w:rStyle w:val="InstructionsTabelleText"/>
                <w:rFonts w:ascii="Times New Roman" w:hAnsi="Times New Roman"/>
                <w:sz w:val="24"/>
              </w:rPr>
              <w:t>rovided that the institution has identified the</w:t>
            </w:r>
            <w:r w:rsidR="00650B6C" w:rsidRPr="002A677E">
              <w:rPr>
                <w:rStyle w:val="InstructionsTabelleText"/>
                <w:rFonts w:ascii="Times New Roman" w:hAnsi="Times New Roman"/>
                <w:sz w:val="24"/>
              </w:rPr>
              <w:t xml:space="preserve"> loss</w:t>
            </w:r>
            <w:r w:rsidRPr="002A677E">
              <w:rPr>
                <w:rStyle w:val="InstructionsTabelleText"/>
                <w:rFonts w:ascii="Times New Roman" w:hAnsi="Times New Roman"/>
                <w:sz w:val="24"/>
              </w:rPr>
              <w:t xml:space="preserve"> event types for all losses. </w:t>
            </w:r>
          </w:p>
          <w:p w14:paraId="620764F4" w14:textId="77777777" w:rsidR="00FD54FC" w:rsidRPr="002A677E" w:rsidRDefault="00FD54FC" w:rsidP="00FD54FC">
            <w:pPr>
              <w:rPr>
                <w:rFonts w:ascii="Times New Roman" w:hAnsi="Times New Roman"/>
                <w:bCs/>
                <w:sz w:val="24"/>
                <w:lang w:eastAsia="nl-BE"/>
              </w:rPr>
            </w:pPr>
            <w:r w:rsidRPr="002A677E">
              <w:rPr>
                <w:rStyle w:val="InstructionsTabelleText"/>
                <w:rFonts w:ascii="Times New Roman" w:hAnsi="Times New Roman"/>
                <w:sz w:val="24"/>
              </w:rPr>
              <w:t xml:space="preserve">For the sum of the five largest losses, in column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080 the sum of the five largest losses within one business line </w:t>
            </w:r>
            <w:r w:rsidR="001F6487" w:rsidRPr="002A677E">
              <w:rPr>
                <w:rStyle w:val="InstructionsTabelleText"/>
                <w:rFonts w:ascii="Times New Roman" w:hAnsi="Times New Roman"/>
                <w:sz w:val="24"/>
              </w:rPr>
              <w:t>shall be</w:t>
            </w:r>
            <w:r w:rsidRPr="002A677E">
              <w:rPr>
                <w:rStyle w:val="InstructionsTabelleText"/>
                <w:rFonts w:ascii="Times New Roman" w:hAnsi="Times New Roman"/>
                <w:sz w:val="24"/>
              </w:rPr>
              <w:t xml:space="preserve"> reported.</w:t>
            </w:r>
          </w:p>
        </w:tc>
      </w:tr>
      <w:tr w:rsidR="00FD54FC" w:rsidRPr="002A677E" w14:paraId="4B2FA115" w14:textId="77777777" w:rsidTr="00672D2A">
        <w:tc>
          <w:tcPr>
            <w:tcW w:w="985" w:type="dxa"/>
          </w:tcPr>
          <w:p w14:paraId="5DDA1F0A" w14:textId="77777777" w:rsidR="00FD54FC" w:rsidRPr="002A677E" w:rsidRDefault="00C93FC2" w:rsidP="000F70EC">
            <w:pPr>
              <w:autoSpaceDE w:val="0"/>
              <w:autoSpaceDN w:val="0"/>
              <w:adjustRightInd w:val="0"/>
              <w:spacing w:before="0" w:after="0"/>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090-</w:t>
            </w:r>
            <w:r w:rsidRPr="002A677E">
              <w:rPr>
                <w:rFonts w:ascii="Times New Roman" w:hAnsi="Times New Roman"/>
                <w:bCs/>
                <w:sz w:val="24"/>
                <w:lang w:eastAsia="nl-BE"/>
              </w:rPr>
              <w:t>0</w:t>
            </w:r>
            <w:r w:rsidR="00FD54FC" w:rsidRPr="002A677E">
              <w:rPr>
                <w:rFonts w:ascii="Times New Roman" w:hAnsi="Times New Roman"/>
                <w:bCs/>
                <w:sz w:val="24"/>
                <w:lang w:eastAsia="nl-BE"/>
              </w:rPr>
              <w:t>100</w:t>
            </w:r>
          </w:p>
        </w:tc>
        <w:tc>
          <w:tcPr>
            <w:tcW w:w="8195" w:type="dxa"/>
          </w:tcPr>
          <w:p w14:paraId="13E5A936" w14:textId="77777777" w:rsidR="00FD54FC" w:rsidRPr="002A677E" w:rsidRDefault="00FD54FC" w:rsidP="00FD54FC">
            <w:pPr>
              <w:autoSpaceDE w:val="0"/>
              <w:autoSpaceDN w:val="0"/>
              <w:adjustRightInd w:val="0"/>
              <w:spacing w:before="0" w:after="0"/>
              <w:rPr>
                <w:rFonts w:ascii="Times New Roman" w:hAnsi="Times New Roman"/>
                <w:sz w:val="24"/>
              </w:rPr>
            </w:pPr>
            <w:r w:rsidRPr="002A677E">
              <w:rPr>
                <w:rStyle w:val="InstructionsTabelleberschrift"/>
                <w:rFonts w:ascii="Times New Roman" w:hAnsi="Times New Roman"/>
                <w:sz w:val="24"/>
              </w:rPr>
              <w:t>MEMORANDUM ITEM: THRESHOLD APPLIED IN DATA COLLECTION</w:t>
            </w:r>
          </w:p>
          <w:p w14:paraId="6C9949A4" w14:textId="0EA420E7" w:rsidR="00FD54FC" w:rsidRPr="002A677E" w:rsidRDefault="00FD54FC" w:rsidP="00FD54FC">
            <w:pPr>
              <w:autoSpaceDE w:val="0"/>
              <w:autoSpaceDN w:val="0"/>
              <w:adjustRightInd w:val="0"/>
              <w:spacing w:before="0" w:after="0"/>
              <w:rPr>
                <w:rStyle w:val="InstructionsTabelleText"/>
                <w:rFonts w:ascii="Times New Roman" w:hAnsi="Times New Roman"/>
                <w:sz w:val="24"/>
              </w:rPr>
            </w:pPr>
            <w:r w:rsidRPr="002A677E">
              <w:rPr>
                <w:rStyle w:val="InstructionsTabelleText"/>
                <w:rFonts w:ascii="Times New Roman" w:hAnsi="Times New Roman"/>
                <w:sz w:val="24"/>
              </w:rPr>
              <w:t xml:space="preserve">Institutions </w:t>
            </w:r>
            <w:r w:rsidR="001F6487" w:rsidRPr="002A677E">
              <w:rPr>
                <w:rStyle w:val="InstructionsTabelleText"/>
                <w:rFonts w:ascii="Times New Roman" w:hAnsi="Times New Roman"/>
                <w:sz w:val="24"/>
              </w:rPr>
              <w:t xml:space="preserve">shall </w:t>
            </w:r>
            <w:r w:rsidRPr="002A677E">
              <w:rPr>
                <w:rStyle w:val="InstructionsTabelleText"/>
                <w:rFonts w:ascii="Times New Roman" w:hAnsi="Times New Roman"/>
                <w:sz w:val="24"/>
              </w:rPr>
              <w:t xml:space="preserve">report in columns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090 and </w:t>
            </w:r>
            <w:r w:rsidR="00CB3146" w:rsidRPr="002A677E">
              <w:rPr>
                <w:rStyle w:val="InstructionsTabelleText"/>
                <w:rFonts w:ascii="Times New Roman" w:hAnsi="Times New Roman"/>
                <w:sz w:val="24"/>
              </w:rPr>
              <w:t>0</w:t>
            </w:r>
            <w:r w:rsidRPr="002A677E">
              <w:rPr>
                <w:rStyle w:val="InstructionsTabelleText"/>
                <w:rFonts w:ascii="Times New Roman" w:hAnsi="Times New Roman"/>
                <w:sz w:val="24"/>
              </w:rPr>
              <w:t xml:space="preserve">100 the minimum loss thresholds </w:t>
            </w:r>
            <w:r w:rsidR="000A2694" w:rsidRPr="01913746">
              <w:rPr>
                <w:rStyle w:val="InstructionsTabelleText"/>
                <w:rFonts w:ascii="Times New Roman" w:hAnsi="Times New Roman"/>
                <w:sz w:val="24"/>
              </w:rPr>
              <w:t xml:space="preserve">already defined and </w:t>
            </w:r>
            <w:proofErr w:type="gramStart"/>
            <w:r w:rsidR="000A2694" w:rsidRPr="01913746">
              <w:rPr>
                <w:rStyle w:val="InstructionsTabelleText"/>
                <w:rFonts w:ascii="Times New Roman" w:hAnsi="Times New Roman"/>
                <w:sz w:val="24"/>
              </w:rPr>
              <w:t xml:space="preserve">used </w:t>
            </w:r>
            <w:r w:rsidRPr="002A677E">
              <w:rPr>
                <w:rStyle w:val="InstructionsTabelleText"/>
                <w:rFonts w:ascii="Times New Roman" w:hAnsi="Times New Roman"/>
                <w:sz w:val="24"/>
              </w:rPr>
              <w:t xml:space="preserve"> for</w:t>
            </w:r>
            <w:proofErr w:type="gramEnd"/>
            <w:r w:rsidRPr="002A677E">
              <w:rPr>
                <w:rStyle w:val="InstructionsTabelleText"/>
                <w:rFonts w:ascii="Times New Roman" w:hAnsi="Times New Roman"/>
                <w:sz w:val="24"/>
              </w:rPr>
              <w:t xml:space="preserve"> the internal loss data collection</w:t>
            </w:r>
            <w:r w:rsidR="000A2694">
              <w:rPr>
                <w:rStyle w:val="InstructionsTabelleText"/>
                <w:rFonts w:ascii="Times New Roman" w:hAnsi="Times New Roman"/>
                <w:sz w:val="24"/>
              </w:rPr>
              <w:t>.</w:t>
            </w:r>
            <w:r w:rsidRPr="002A677E">
              <w:rPr>
                <w:rStyle w:val="InstructionsTabelleText"/>
                <w:rFonts w:ascii="Times New Roman" w:hAnsi="Times New Roman"/>
                <w:sz w:val="24"/>
              </w:rPr>
              <w:t xml:space="preserve"> </w:t>
            </w:r>
          </w:p>
          <w:p w14:paraId="4FAB0E4A" w14:textId="77777777" w:rsidR="00FD54FC" w:rsidRPr="002A677E" w:rsidRDefault="001F6487" w:rsidP="00FD54FC">
            <w:pPr>
              <w:autoSpaceDE w:val="0"/>
              <w:autoSpaceDN w:val="0"/>
              <w:adjustRightInd w:val="0"/>
              <w:spacing w:before="0" w:after="0"/>
              <w:rPr>
                <w:rStyle w:val="InstructionsTabelleText"/>
                <w:rFonts w:ascii="Times New Roman" w:hAnsi="Times New Roman"/>
                <w:sz w:val="24"/>
              </w:rPr>
            </w:pPr>
            <w:r w:rsidRPr="002A677E">
              <w:rPr>
                <w:rStyle w:val="InstructionsTabelleText"/>
                <w:rFonts w:ascii="Times New Roman" w:hAnsi="Times New Roman"/>
                <w:sz w:val="24"/>
              </w:rPr>
              <w:t>Where</w:t>
            </w:r>
            <w:r w:rsidR="00FD54FC" w:rsidRPr="002A677E">
              <w:rPr>
                <w:rStyle w:val="InstructionsTabelleText"/>
                <w:rFonts w:ascii="Times New Roman" w:hAnsi="Times New Roman"/>
                <w:sz w:val="24"/>
              </w:rPr>
              <w:t xml:space="preserve"> the institution applies only one threshold for in each business line, only column </w:t>
            </w:r>
            <w:r w:rsidR="00CB3146" w:rsidRPr="002A677E">
              <w:rPr>
                <w:rStyle w:val="InstructionsTabelleText"/>
                <w:rFonts w:ascii="Times New Roman" w:hAnsi="Times New Roman"/>
                <w:sz w:val="24"/>
              </w:rPr>
              <w:t>0</w:t>
            </w:r>
            <w:r w:rsidR="00FD54FC" w:rsidRPr="002A677E">
              <w:rPr>
                <w:rStyle w:val="InstructionsTabelleText"/>
                <w:rFonts w:ascii="Times New Roman" w:hAnsi="Times New Roman"/>
                <w:sz w:val="24"/>
              </w:rPr>
              <w:t xml:space="preserve">090 shall be filled in. </w:t>
            </w:r>
          </w:p>
          <w:p w14:paraId="70501482" w14:textId="498EFA89" w:rsidR="00650B6C" w:rsidRPr="002A677E" w:rsidRDefault="001F6487" w:rsidP="0002267E">
            <w:pPr>
              <w:rPr>
                <w:rStyle w:val="InstructionsTabelleText"/>
                <w:rFonts w:ascii="Times New Roman" w:hAnsi="Times New Roman"/>
                <w:sz w:val="24"/>
              </w:rPr>
            </w:pPr>
            <w:r w:rsidRPr="002A677E">
              <w:rPr>
                <w:rStyle w:val="InstructionsTabelleText"/>
                <w:rFonts w:ascii="Times New Roman" w:hAnsi="Times New Roman"/>
                <w:sz w:val="24"/>
              </w:rPr>
              <w:t>W</w:t>
            </w:r>
            <w:r w:rsidR="00FD54FC" w:rsidRPr="002A677E">
              <w:rPr>
                <w:rStyle w:val="InstructionsTabelleText"/>
                <w:rFonts w:ascii="Times New Roman" w:hAnsi="Times New Roman"/>
                <w:sz w:val="24"/>
              </w:rPr>
              <w:t xml:space="preserve">here there are different thresholds applied within the same business line, the highest applicable threshold (column </w:t>
            </w:r>
            <w:r w:rsidR="00CB3146" w:rsidRPr="002A677E">
              <w:rPr>
                <w:rStyle w:val="InstructionsTabelleText"/>
                <w:rFonts w:ascii="Times New Roman" w:hAnsi="Times New Roman"/>
                <w:sz w:val="24"/>
              </w:rPr>
              <w:t>0</w:t>
            </w:r>
            <w:r w:rsidR="00FD54FC" w:rsidRPr="002A677E">
              <w:rPr>
                <w:rStyle w:val="InstructionsTabelleText"/>
                <w:rFonts w:ascii="Times New Roman" w:hAnsi="Times New Roman"/>
                <w:sz w:val="24"/>
              </w:rPr>
              <w:t>100) shall be filled in as well.</w:t>
            </w:r>
          </w:p>
        </w:tc>
      </w:tr>
    </w:tbl>
    <w:p w14:paraId="7D438528" w14:textId="77777777" w:rsidR="00FD54FC" w:rsidRPr="002A677E" w:rsidRDefault="00FD54FC" w:rsidP="00FD54FC">
      <w:pPr>
        <w:pStyle w:val="PlainText"/>
        <w:jc w:val="both"/>
        <w:rPr>
          <w:rFonts w:ascii="Times New Roman" w:hAnsi="Times New Roman"/>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2A677E" w14:paraId="3025DA90" w14:textId="77777777" w:rsidTr="00672D2A">
        <w:trPr>
          <w:trHeight w:val="504"/>
        </w:trPr>
        <w:tc>
          <w:tcPr>
            <w:tcW w:w="9180" w:type="dxa"/>
            <w:gridSpan w:val="2"/>
            <w:shd w:val="clear" w:color="auto" w:fill="CCCCCC"/>
          </w:tcPr>
          <w:p w14:paraId="22584A44" w14:textId="77777777" w:rsidR="00FD54FC" w:rsidRPr="002A677E" w:rsidRDefault="00FD54FC" w:rsidP="00FD54FC">
            <w:pPr>
              <w:autoSpaceDE w:val="0"/>
              <w:autoSpaceDN w:val="0"/>
              <w:adjustRightInd w:val="0"/>
              <w:spacing w:after="0"/>
              <w:rPr>
                <w:rFonts w:ascii="Times New Roman" w:hAnsi="Times New Roman"/>
                <w:b/>
                <w:bCs/>
                <w:sz w:val="24"/>
                <w:lang w:eastAsia="nl-BE"/>
              </w:rPr>
            </w:pPr>
            <w:r w:rsidRPr="002A677E">
              <w:rPr>
                <w:rFonts w:ascii="Times New Roman" w:hAnsi="Times New Roman"/>
                <w:b/>
                <w:bCs/>
                <w:sz w:val="24"/>
                <w:lang w:eastAsia="nl-BE"/>
              </w:rPr>
              <w:t>Rows</w:t>
            </w:r>
          </w:p>
        </w:tc>
      </w:tr>
      <w:tr w:rsidR="00FD54FC" w:rsidRPr="002A677E" w14:paraId="747AECBF" w14:textId="77777777" w:rsidTr="00672D2A">
        <w:tc>
          <w:tcPr>
            <w:tcW w:w="1101" w:type="dxa"/>
          </w:tcPr>
          <w:p w14:paraId="373E8135" w14:textId="77777777" w:rsidR="00FD54FC" w:rsidRPr="002A677E" w:rsidRDefault="00C93FC2" w:rsidP="000F70EC">
            <w:pPr>
              <w:rPr>
                <w:rFonts w:ascii="Times New Roman" w:hAnsi="Times New Roman"/>
                <w:bCs/>
                <w:sz w:val="24"/>
                <w:lang w:eastAsia="nl-BE"/>
              </w:rPr>
            </w:pPr>
            <w:r w:rsidRPr="002A677E">
              <w:rPr>
                <w:rFonts w:ascii="Times New Roman" w:hAnsi="Times New Roman"/>
                <w:sz w:val="24"/>
                <w:lang w:eastAsia="de-DE"/>
              </w:rPr>
              <w:t>0</w:t>
            </w:r>
            <w:r w:rsidR="00FD54FC" w:rsidRPr="002A677E">
              <w:rPr>
                <w:rFonts w:ascii="Times New Roman" w:hAnsi="Times New Roman"/>
                <w:sz w:val="24"/>
                <w:lang w:eastAsia="de-DE"/>
              </w:rPr>
              <w:t>010</w:t>
            </w:r>
            <w:r w:rsidR="00FD54FC" w:rsidRPr="002A677E">
              <w:rPr>
                <w:rFonts w:ascii="Times New Roman" w:hAnsi="Times New Roman"/>
                <w:bCs/>
                <w:sz w:val="24"/>
                <w:lang w:eastAsia="nl-BE"/>
              </w:rPr>
              <w:t>-</w:t>
            </w:r>
            <w:r w:rsidRPr="002A677E">
              <w:rPr>
                <w:rFonts w:ascii="Times New Roman" w:hAnsi="Times New Roman"/>
                <w:bCs/>
                <w:sz w:val="24"/>
                <w:lang w:eastAsia="nl-BE"/>
              </w:rPr>
              <w:t>0</w:t>
            </w:r>
            <w:r w:rsidR="00FD54FC" w:rsidRPr="002A677E">
              <w:rPr>
                <w:rFonts w:ascii="Times New Roman" w:hAnsi="Times New Roman"/>
                <w:bCs/>
                <w:sz w:val="24"/>
                <w:lang w:eastAsia="nl-BE"/>
              </w:rPr>
              <w:t>880</w:t>
            </w:r>
          </w:p>
        </w:tc>
        <w:tc>
          <w:tcPr>
            <w:tcW w:w="8079" w:type="dxa"/>
          </w:tcPr>
          <w:p w14:paraId="73EF9F40" w14:textId="7C8BD87F"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BUSINESS LINES: CORPORATE FINANCE, TRADING AND SALES, RETAIL BROKERAGE, COMMERCIAL BANKING, RETAIL BANKING, PAYMENT AND SETTLEMENT, AGENCY SERVICES, ASSET MANAGEMENT, CORPORATE ITEMS</w:t>
            </w:r>
          </w:p>
          <w:p w14:paraId="4ABD41A7" w14:textId="4AA98EEC" w:rsidR="00FD54FC" w:rsidRPr="002A677E" w:rsidRDefault="00FD54FC" w:rsidP="00FD54FC">
            <w:pPr>
              <w:pStyle w:val="PlainText"/>
              <w:jc w:val="both"/>
              <w:rPr>
                <w:rFonts w:ascii="Times New Roman" w:hAnsi="Times New Roman"/>
                <w:sz w:val="24"/>
                <w:szCs w:val="24"/>
                <w:lang w:val="en-GB" w:eastAsia="de-DE"/>
              </w:rPr>
            </w:pPr>
            <w:r w:rsidRPr="002A677E">
              <w:rPr>
                <w:rFonts w:ascii="Times New Roman" w:hAnsi="Times New Roman"/>
                <w:sz w:val="24"/>
                <w:szCs w:val="24"/>
                <w:lang w:val="en-GB"/>
              </w:rPr>
              <w:t>For each</w:t>
            </w:r>
            <w:r w:rsidR="00953D93">
              <w:rPr>
                <w:rFonts w:ascii="Times New Roman" w:hAnsi="Times New Roman"/>
                <w:sz w:val="24"/>
                <w:szCs w:val="24"/>
                <w:lang w:val="en-GB"/>
              </w:rPr>
              <w:t xml:space="preserve"> loss event type and</w:t>
            </w:r>
            <w:r w:rsidRPr="002A677E">
              <w:rPr>
                <w:rFonts w:ascii="Times New Roman" w:hAnsi="Times New Roman"/>
                <w:sz w:val="24"/>
                <w:szCs w:val="24"/>
                <w:lang w:val="en-GB"/>
              </w:rPr>
              <w:t xml:space="preserve"> business line </w:t>
            </w:r>
            <w:r w:rsidRPr="002A677E">
              <w:rPr>
                <w:rFonts w:ascii="Times New Roman" w:hAnsi="Times New Roman"/>
                <w:sz w:val="24"/>
                <w:szCs w:val="24"/>
                <w:lang w:val="en-GB" w:eastAsia="de-DE"/>
              </w:rPr>
              <w:t xml:space="preserve">the institution shall report, </w:t>
            </w:r>
            <w:r w:rsidR="00BB22D4" w:rsidRPr="002A677E">
              <w:rPr>
                <w:rFonts w:ascii="Times New Roman" w:hAnsi="Times New Roman"/>
                <w:sz w:val="24"/>
                <w:szCs w:val="24"/>
                <w:lang w:val="en-GB" w:eastAsia="de-DE"/>
              </w:rPr>
              <w:t>in accordance with</w:t>
            </w:r>
            <w:r w:rsidRPr="002A677E">
              <w:rPr>
                <w:rFonts w:ascii="Times New Roman" w:hAnsi="Times New Roman"/>
                <w:sz w:val="24"/>
                <w:szCs w:val="24"/>
                <w:lang w:val="en-GB" w:eastAsia="de-DE"/>
              </w:rPr>
              <w:t xml:space="preserve"> the internal thresholds</w:t>
            </w:r>
            <w:r w:rsidR="001F6487" w:rsidRPr="002A677E">
              <w:rPr>
                <w:rFonts w:ascii="Times New Roman" w:hAnsi="Times New Roman"/>
                <w:sz w:val="24"/>
                <w:szCs w:val="24"/>
                <w:lang w:val="en-GB" w:eastAsia="de-DE"/>
              </w:rPr>
              <w:t>,</w:t>
            </w:r>
            <w:r w:rsidRPr="002A677E">
              <w:rPr>
                <w:rFonts w:ascii="Times New Roman" w:hAnsi="Times New Roman"/>
                <w:sz w:val="24"/>
                <w:szCs w:val="24"/>
                <w:lang w:val="en-GB" w:eastAsia="de-DE"/>
              </w:rPr>
              <w:t xml:space="preserve"> the following information: number of </w:t>
            </w:r>
            <w:r w:rsidR="00650B6C" w:rsidRPr="002A677E">
              <w:rPr>
                <w:rFonts w:ascii="Times New Roman" w:hAnsi="Times New Roman"/>
                <w:sz w:val="24"/>
                <w:szCs w:val="24"/>
                <w:lang w:val="en-GB" w:eastAsia="de-DE"/>
              </w:rPr>
              <w:t xml:space="preserve">loss </w:t>
            </w:r>
            <w:r w:rsidRPr="002A677E">
              <w:rPr>
                <w:rFonts w:ascii="Times New Roman" w:hAnsi="Times New Roman"/>
                <w:sz w:val="24"/>
                <w:szCs w:val="24"/>
                <w:lang w:val="en-GB" w:eastAsia="de-DE"/>
              </w:rPr>
              <w:t>events</w:t>
            </w:r>
            <w:r w:rsidR="00F52FC6" w:rsidRPr="002A677E">
              <w:rPr>
                <w:rFonts w:ascii="Times New Roman" w:hAnsi="Times New Roman"/>
                <w:sz w:val="24"/>
                <w:szCs w:val="24"/>
                <w:lang w:val="en-GB" w:eastAsia="de-DE"/>
              </w:rPr>
              <w:t xml:space="preserve"> (new </w:t>
            </w:r>
            <w:r w:rsidR="00650B6C" w:rsidRPr="002A677E">
              <w:rPr>
                <w:rFonts w:ascii="Times New Roman" w:hAnsi="Times New Roman"/>
                <w:sz w:val="24"/>
                <w:szCs w:val="24"/>
                <w:lang w:val="en-GB" w:eastAsia="de-DE"/>
              </w:rPr>
              <w:t>loss</w:t>
            </w:r>
            <w:r w:rsidR="001F6487" w:rsidRPr="002A677E">
              <w:rPr>
                <w:rFonts w:ascii="Times New Roman" w:hAnsi="Times New Roman"/>
                <w:sz w:val="24"/>
                <w:szCs w:val="24"/>
                <w:lang w:val="en-GB" w:eastAsia="de-DE"/>
              </w:rPr>
              <w:t xml:space="preserve"> </w:t>
            </w:r>
            <w:r w:rsidR="00F52FC6" w:rsidRPr="002A677E">
              <w:rPr>
                <w:rFonts w:ascii="Times New Roman" w:hAnsi="Times New Roman"/>
                <w:sz w:val="24"/>
                <w:szCs w:val="24"/>
                <w:lang w:val="en-GB" w:eastAsia="de-DE"/>
              </w:rPr>
              <w:t>events)</w:t>
            </w:r>
            <w:r w:rsidRPr="002A677E">
              <w:rPr>
                <w:rFonts w:ascii="Times New Roman" w:hAnsi="Times New Roman"/>
                <w:sz w:val="24"/>
                <w:szCs w:val="24"/>
                <w:lang w:val="en-GB" w:eastAsia="de-DE"/>
              </w:rPr>
              <w:t>, gross loss amount</w:t>
            </w:r>
            <w:r w:rsidR="00F52FC6" w:rsidRPr="002A677E">
              <w:rPr>
                <w:rFonts w:ascii="Times New Roman" w:hAnsi="Times New Roman"/>
                <w:sz w:val="24"/>
                <w:szCs w:val="24"/>
                <w:lang w:val="en-GB" w:eastAsia="de-DE"/>
              </w:rPr>
              <w:t xml:space="preserve"> (new </w:t>
            </w:r>
            <w:r w:rsidR="00650B6C" w:rsidRPr="002A677E">
              <w:rPr>
                <w:rFonts w:ascii="Times New Roman" w:hAnsi="Times New Roman"/>
                <w:sz w:val="24"/>
                <w:szCs w:val="24"/>
                <w:lang w:val="en-GB" w:eastAsia="de-DE"/>
              </w:rPr>
              <w:t>loss</w:t>
            </w:r>
            <w:r w:rsidR="001F6487" w:rsidRPr="002A677E">
              <w:rPr>
                <w:rFonts w:ascii="Times New Roman" w:hAnsi="Times New Roman"/>
                <w:sz w:val="24"/>
                <w:szCs w:val="24"/>
                <w:lang w:val="en-GB" w:eastAsia="de-DE"/>
              </w:rPr>
              <w:t xml:space="preserve"> </w:t>
            </w:r>
            <w:r w:rsidR="00F52FC6" w:rsidRPr="002A677E">
              <w:rPr>
                <w:rFonts w:ascii="Times New Roman" w:hAnsi="Times New Roman"/>
                <w:sz w:val="24"/>
                <w:szCs w:val="24"/>
                <w:lang w:val="en-GB" w:eastAsia="de-DE"/>
              </w:rPr>
              <w:t>events)</w:t>
            </w:r>
            <w:r w:rsidRPr="002A677E">
              <w:rPr>
                <w:rFonts w:ascii="Times New Roman" w:hAnsi="Times New Roman"/>
                <w:sz w:val="24"/>
                <w:szCs w:val="24"/>
                <w:lang w:val="en-GB" w:eastAsia="de-DE"/>
              </w:rPr>
              <w:t>, the number of</w:t>
            </w:r>
            <w:r w:rsidR="00650B6C" w:rsidRPr="002A677E">
              <w:rPr>
                <w:rFonts w:ascii="Times New Roman" w:hAnsi="Times New Roman"/>
                <w:sz w:val="24"/>
                <w:szCs w:val="24"/>
                <w:lang w:val="en-GB" w:eastAsia="de-DE"/>
              </w:rPr>
              <w:t xml:space="preserve"> loss</w:t>
            </w:r>
            <w:r w:rsidRPr="002A677E">
              <w:rPr>
                <w:rFonts w:ascii="Times New Roman" w:hAnsi="Times New Roman"/>
                <w:sz w:val="24"/>
                <w:szCs w:val="24"/>
                <w:lang w:val="en-GB" w:eastAsia="de-DE"/>
              </w:rPr>
              <w:t xml:space="preserve"> events subject to loss adjustments, loss adjustments relating to previous reporting periods, maximum single loss, sum of the five largest losses, total direct loss recovery and the total recovery from insurance and other risk transfer mechanisms.</w:t>
            </w:r>
          </w:p>
          <w:p w14:paraId="598C709E"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For a loss event that affects more than one business line the “gross loss amount”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distributed among</w:t>
            </w:r>
            <w:r w:rsidR="005A2C21" w:rsidRPr="002A677E">
              <w:rPr>
                <w:rFonts w:ascii="Times New Roman" w:hAnsi="Times New Roman"/>
                <w:sz w:val="24"/>
                <w:lang w:eastAsia="de-DE"/>
              </w:rPr>
              <w:t>st</w:t>
            </w:r>
            <w:r w:rsidRPr="002A677E">
              <w:rPr>
                <w:rFonts w:ascii="Times New Roman" w:hAnsi="Times New Roman"/>
                <w:sz w:val="24"/>
                <w:lang w:eastAsia="de-DE"/>
              </w:rPr>
              <w:t xml:space="preserve"> all the affected business lines.</w:t>
            </w:r>
          </w:p>
          <w:p w14:paraId="7BC94C24" w14:textId="643D0143" w:rsidR="00FD54FC" w:rsidRPr="002A677E" w:rsidRDefault="00FD54FC" w:rsidP="00FD54FC">
            <w:pPr>
              <w:rPr>
                <w:rFonts w:ascii="Times New Roman" w:hAnsi="Times New Roman"/>
                <w:bCs/>
                <w:sz w:val="24"/>
                <w:lang w:eastAsia="nl-BE"/>
              </w:rPr>
            </w:pPr>
            <w:r w:rsidRPr="002A677E">
              <w:rPr>
                <w:rFonts w:ascii="Times New Roman" w:hAnsi="Times New Roman"/>
                <w:sz w:val="24"/>
                <w:lang w:eastAsia="de-DE"/>
              </w:rPr>
              <w:lastRenderedPageBreak/>
              <w:t>Institutions that calculate</w:t>
            </w:r>
            <w:r w:rsidR="00D57047">
              <w:rPr>
                <w:rFonts w:ascii="Times New Roman" w:hAnsi="Times New Roman"/>
                <w:sz w:val="24"/>
                <w:lang w:eastAsia="de-DE"/>
              </w:rPr>
              <w:t>d</w:t>
            </w:r>
            <w:r w:rsidRPr="002A677E">
              <w:rPr>
                <w:rFonts w:ascii="Times New Roman" w:hAnsi="Times New Roman"/>
                <w:sz w:val="24"/>
                <w:lang w:eastAsia="de-DE"/>
              </w:rPr>
              <w:t xml:space="preserve"> their own funds requirement </w:t>
            </w:r>
            <w:r w:rsidR="00BB22D4" w:rsidRPr="002A677E">
              <w:rPr>
                <w:rFonts w:ascii="Times New Roman" w:hAnsi="Times New Roman"/>
                <w:sz w:val="24"/>
                <w:lang w:eastAsia="de-DE"/>
              </w:rPr>
              <w:t>in</w:t>
            </w:r>
            <w:r w:rsidR="0001698A">
              <w:rPr>
                <w:rFonts w:ascii="Times New Roman" w:hAnsi="Times New Roman"/>
                <w:sz w:val="24"/>
                <w:lang w:eastAsia="de-DE"/>
              </w:rPr>
              <w:t xml:space="preserve"> </w:t>
            </w:r>
            <w:r w:rsidR="0001698A" w:rsidRPr="5405D524">
              <w:rPr>
                <w:rFonts w:ascii="Times New Roman" w:hAnsi="Times New Roman"/>
                <w:sz w:val="24"/>
                <w:lang w:eastAsia="de-DE"/>
              </w:rPr>
              <w:t xml:space="preserve">December </w:t>
            </w:r>
            <w:r w:rsidR="00E62FFE" w:rsidRPr="5405D524">
              <w:rPr>
                <w:rFonts w:ascii="Times New Roman" w:hAnsi="Times New Roman"/>
                <w:sz w:val="24"/>
                <w:lang w:eastAsia="de-DE"/>
              </w:rPr>
              <w:t>2024</w:t>
            </w:r>
            <w:r w:rsidR="00E62FFE">
              <w:rPr>
                <w:rFonts w:ascii="Times New Roman" w:hAnsi="Times New Roman"/>
                <w:sz w:val="24"/>
                <w:lang w:eastAsia="de-DE"/>
              </w:rPr>
              <w:t xml:space="preserve"> in</w:t>
            </w:r>
            <w:r w:rsidR="00E62FFE" w:rsidRPr="5405D524">
              <w:rPr>
                <w:rFonts w:ascii="Times New Roman" w:hAnsi="Times New Roman"/>
                <w:sz w:val="24"/>
                <w:lang w:eastAsia="de-DE"/>
              </w:rPr>
              <w:t xml:space="preserve"> </w:t>
            </w:r>
            <w:r w:rsidR="00E62FFE" w:rsidRPr="002A677E">
              <w:rPr>
                <w:rFonts w:ascii="Times New Roman" w:hAnsi="Times New Roman"/>
                <w:sz w:val="24"/>
                <w:lang w:eastAsia="de-DE"/>
              </w:rPr>
              <w:t>accordance</w:t>
            </w:r>
            <w:r w:rsidR="00BB22D4" w:rsidRPr="002A677E">
              <w:rPr>
                <w:rFonts w:ascii="Times New Roman" w:hAnsi="Times New Roman"/>
                <w:sz w:val="24"/>
                <w:lang w:eastAsia="de-DE"/>
              </w:rPr>
              <w:t xml:space="preserve"> with</w:t>
            </w:r>
            <w:r w:rsidRPr="002A677E">
              <w:rPr>
                <w:rFonts w:ascii="Times New Roman" w:hAnsi="Times New Roman"/>
                <w:sz w:val="24"/>
                <w:lang w:eastAsia="de-DE"/>
              </w:rPr>
              <w:t xml:space="preserve"> </w:t>
            </w:r>
            <w:r w:rsidR="006D7512" w:rsidRPr="002A677E">
              <w:rPr>
                <w:rFonts w:ascii="Times New Roman" w:hAnsi="Times New Roman"/>
                <w:sz w:val="24"/>
                <w:lang w:eastAsia="de-DE"/>
              </w:rPr>
              <w:t xml:space="preserve">the </w:t>
            </w:r>
            <w:r w:rsidRPr="002A677E">
              <w:rPr>
                <w:rFonts w:ascii="Times New Roman" w:hAnsi="Times New Roman"/>
                <w:sz w:val="24"/>
                <w:lang w:eastAsia="de-DE"/>
              </w:rPr>
              <w:t xml:space="preserve">BIA can report those losses for which the business line is not identified in rows </w:t>
            </w:r>
            <w:r w:rsidR="00CB3146" w:rsidRPr="002A677E">
              <w:rPr>
                <w:rFonts w:ascii="Times New Roman" w:hAnsi="Times New Roman"/>
                <w:sz w:val="24"/>
                <w:lang w:eastAsia="de-DE"/>
              </w:rPr>
              <w:t>0</w:t>
            </w:r>
            <w:r w:rsidRPr="002A677E">
              <w:rPr>
                <w:rFonts w:ascii="Times New Roman" w:hAnsi="Times New Roman"/>
                <w:sz w:val="24"/>
                <w:lang w:eastAsia="de-DE"/>
              </w:rPr>
              <w:t>910-</w:t>
            </w:r>
            <w:r w:rsidR="00CB3146" w:rsidRPr="002A677E">
              <w:rPr>
                <w:rFonts w:ascii="Times New Roman" w:hAnsi="Times New Roman"/>
                <w:sz w:val="24"/>
                <w:lang w:eastAsia="de-DE"/>
              </w:rPr>
              <w:t>0</w:t>
            </w:r>
            <w:r w:rsidRPr="002A677E">
              <w:rPr>
                <w:rFonts w:ascii="Times New Roman" w:hAnsi="Times New Roman"/>
                <w:sz w:val="24"/>
                <w:lang w:eastAsia="de-DE"/>
              </w:rPr>
              <w:t>980 only.</w:t>
            </w:r>
          </w:p>
        </w:tc>
      </w:tr>
      <w:tr w:rsidR="00FD54FC" w:rsidRPr="002A677E" w14:paraId="5539CB2D" w14:textId="77777777" w:rsidTr="00672D2A">
        <w:tc>
          <w:tcPr>
            <w:tcW w:w="1101" w:type="dxa"/>
          </w:tcPr>
          <w:p w14:paraId="2AD95C57"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 xml:space="preserve">010,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610,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710, </w:t>
            </w:r>
            <w:r w:rsidRPr="002A677E">
              <w:rPr>
                <w:rFonts w:ascii="Times New Roman" w:hAnsi="Times New Roman"/>
                <w:bCs/>
                <w:sz w:val="24"/>
                <w:lang w:eastAsia="nl-BE"/>
              </w:rPr>
              <w:t>0</w:t>
            </w:r>
            <w:r w:rsidR="00FD54FC" w:rsidRPr="002A677E">
              <w:rPr>
                <w:rFonts w:ascii="Times New Roman" w:hAnsi="Times New Roman"/>
                <w:bCs/>
                <w:sz w:val="24"/>
                <w:lang w:eastAsia="nl-BE"/>
              </w:rPr>
              <w:t>810</w:t>
            </w:r>
          </w:p>
        </w:tc>
        <w:tc>
          <w:tcPr>
            <w:tcW w:w="8079" w:type="dxa"/>
          </w:tcPr>
          <w:p w14:paraId="6FB8404E"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Number of </w:t>
            </w:r>
            <w:r w:rsidR="00650B6C" w:rsidRPr="002A677E">
              <w:rPr>
                <w:rStyle w:val="InstructionsTabelleberschrift"/>
                <w:rFonts w:ascii="Times New Roman" w:hAnsi="Times New Roman"/>
                <w:sz w:val="24"/>
              </w:rPr>
              <w:t xml:space="preserve">loss </w:t>
            </w:r>
            <w:r w:rsidRPr="002A677E">
              <w:rPr>
                <w:rStyle w:val="InstructionsTabelleberschrift"/>
                <w:rFonts w:ascii="Times New Roman" w:hAnsi="Times New Roman"/>
                <w:sz w:val="24"/>
              </w:rPr>
              <w:t xml:space="preserve">events (new </w:t>
            </w:r>
            <w:r w:rsidR="00650B6C" w:rsidRPr="002A677E">
              <w:rPr>
                <w:rStyle w:val="InstructionsTabelleberschrift"/>
                <w:rFonts w:ascii="Times New Roman" w:hAnsi="Times New Roman"/>
                <w:sz w:val="24"/>
              </w:rPr>
              <w:t xml:space="preserve">loss </w:t>
            </w:r>
            <w:r w:rsidRPr="002A677E">
              <w:rPr>
                <w:rStyle w:val="InstructionsTabelleberschrift"/>
                <w:rFonts w:ascii="Times New Roman" w:hAnsi="Times New Roman"/>
                <w:sz w:val="24"/>
              </w:rPr>
              <w:t>events)</w:t>
            </w:r>
          </w:p>
          <w:p w14:paraId="0A87F437"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number of </w:t>
            </w:r>
            <w:r w:rsidR="00650B6C"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is the number of </w:t>
            </w:r>
            <w:r w:rsidR="00650B6C" w:rsidRPr="002A677E">
              <w:rPr>
                <w:rFonts w:ascii="Times New Roman" w:hAnsi="Times New Roman"/>
                <w:sz w:val="24"/>
                <w:lang w:eastAsia="de-DE"/>
              </w:rPr>
              <w:t>loss</w:t>
            </w:r>
            <w:r w:rsidRPr="002A677E">
              <w:rPr>
                <w:rFonts w:ascii="Times New Roman" w:hAnsi="Times New Roman"/>
                <w:sz w:val="24"/>
                <w:lang w:eastAsia="de-DE"/>
              </w:rPr>
              <w:t xml:space="preserve"> events for which gross losses were accounted for within the reporting reference period.</w:t>
            </w:r>
          </w:p>
          <w:p w14:paraId="1CB08978"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number of </w:t>
            </w:r>
            <w:r w:rsidR="00650B6C" w:rsidRPr="002A677E">
              <w:rPr>
                <w:rFonts w:ascii="Times New Roman" w:hAnsi="Times New Roman"/>
                <w:sz w:val="24"/>
                <w:lang w:eastAsia="de-DE"/>
              </w:rPr>
              <w:t xml:space="preserve">loss </w:t>
            </w:r>
            <w:r w:rsidRPr="002A677E">
              <w:rPr>
                <w:rFonts w:ascii="Times New Roman" w:hAnsi="Times New Roman"/>
                <w:sz w:val="24"/>
                <w:lang w:eastAsia="de-DE"/>
              </w:rPr>
              <w:t>events shall refer to “new events”, i.e. operational risk events</w:t>
            </w:r>
            <w:r w:rsidR="001F6487" w:rsidRPr="002A677E">
              <w:rPr>
                <w:rFonts w:ascii="Times New Roman" w:hAnsi="Times New Roman"/>
                <w:sz w:val="24"/>
                <w:lang w:eastAsia="de-DE"/>
              </w:rPr>
              <w:t>:</w:t>
            </w:r>
          </w:p>
          <w:p w14:paraId="3B968FDE" w14:textId="77777777"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w:t>
            </w:r>
            <w:r w:rsidRPr="002A677E">
              <w:rPr>
                <w:rFonts w:ascii="Times New Roman" w:hAnsi="Times New Roman"/>
                <w:sz w:val="24"/>
                <w:lang w:eastAsia="de-DE"/>
              </w:rPr>
              <w:tab/>
              <w:t>“accounted for the first time” within the reporting reference period</w:t>
            </w:r>
            <w:r w:rsidR="001F6487" w:rsidRPr="002A677E">
              <w:rPr>
                <w:rFonts w:ascii="Times New Roman" w:hAnsi="Times New Roman"/>
                <w:sz w:val="24"/>
                <w:lang w:eastAsia="de-DE"/>
              </w:rPr>
              <w:t>;</w:t>
            </w:r>
            <w:r w:rsidRPr="002A677E">
              <w:rPr>
                <w:rFonts w:ascii="Times New Roman" w:hAnsi="Times New Roman"/>
                <w:sz w:val="24"/>
                <w:lang w:eastAsia="de-DE"/>
              </w:rPr>
              <w:t xml:space="preserve"> or</w:t>
            </w:r>
          </w:p>
          <w:p w14:paraId="1A1A183C" w14:textId="13664215"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(ii)</w:t>
            </w:r>
            <w:r w:rsidRPr="002A677E">
              <w:rPr>
                <w:rFonts w:ascii="Times New Roman" w:hAnsi="Times New Roman"/>
                <w:sz w:val="24"/>
                <w:lang w:eastAsia="de-DE"/>
              </w:rPr>
              <w:tab/>
              <w:t xml:space="preserve">“accounted for the first time” within a previous reporting reference period, </w:t>
            </w:r>
            <w:r w:rsidR="001F6487" w:rsidRPr="002A677E">
              <w:rPr>
                <w:rFonts w:ascii="Times New Roman" w:hAnsi="Times New Roman"/>
                <w:sz w:val="24"/>
                <w:lang w:eastAsia="de-DE"/>
              </w:rPr>
              <w:t>where</w:t>
            </w:r>
            <w:r w:rsidRPr="002A677E">
              <w:rPr>
                <w:rFonts w:ascii="Times New Roman" w:hAnsi="Times New Roman"/>
                <w:sz w:val="24"/>
                <w:lang w:eastAsia="de-DE"/>
              </w:rPr>
              <w:t xml:space="preserve"> the </w:t>
            </w:r>
            <w:r w:rsidR="00650B6C" w:rsidRPr="002A677E">
              <w:rPr>
                <w:rFonts w:ascii="Times New Roman" w:hAnsi="Times New Roman"/>
                <w:sz w:val="24"/>
                <w:lang w:eastAsia="de-DE"/>
              </w:rPr>
              <w:t xml:space="preserve">loss </w:t>
            </w:r>
            <w:r w:rsidRPr="002A677E">
              <w:rPr>
                <w:rFonts w:ascii="Times New Roman" w:hAnsi="Times New Roman"/>
                <w:sz w:val="24"/>
                <w:lang w:eastAsia="de-DE"/>
              </w:rPr>
              <w:t xml:space="preserve">event </w:t>
            </w:r>
            <w:r w:rsidR="001F6487" w:rsidRPr="002A677E">
              <w:rPr>
                <w:rFonts w:ascii="Times New Roman" w:hAnsi="Times New Roman"/>
                <w:sz w:val="24"/>
                <w:lang w:eastAsia="de-DE"/>
              </w:rPr>
              <w:t>was</w:t>
            </w:r>
            <w:r w:rsidRPr="002A677E">
              <w:rPr>
                <w:rFonts w:ascii="Times New Roman" w:hAnsi="Times New Roman"/>
                <w:sz w:val="24"/>
                <w:lang w:eastAsia="de-DE"/>
              </w:rPr>
              <w:t xml:space="preserve"> </w:t>
            </w:r>
            <w:r w:rsidR="00650B6C" w:rsidRPr="002A677E">
              <w:rPr>
                <w:rFonts w:ascii="Times New Roman" w:hAnsi="Times New Roman"/>
                <w:sz w:val="24"/>
                <w:lang w:eastAsia="de-DE"/>
              </w:rPr>
              <w:t xml:space="preserve">not </w:t>
            </w:r>
            <w:r w:rsidRPr="002A677E">
              <w:rPr>
                <w:rFonts w:ascii="Times New Roman" w:hAnsi="Times New Roman"/>
                <w:sz w:val="24"/>
                <w:lang w:eastAsia="de-DE"/>
              </w:rPr>
              <w:t>included</w:t>
            </w:r>
            <w:r w:rsidR="00650B6C" w:rsidRPr="002A677E">
              <w:rPr>
                <w:rFonts w:ascii="Times New Roman" w:hAnsi="Times New Roman"/>
                <w:sz w:val="24"/>
                <w:lang w:eastAsia="de-DE"/>
              </w:rPr>
              <w:t xml:space="preserve"> </w:t>
            </w:r>
            <w:r w:rsidRPr="002A677E">
              <w:rPr>
                <w:rFonts w:ascii="Times New Roman" w:hAnsi="Times New Roman"/>
                <w:sz w:val="24"/>
                <w:lang w:eastAsia="de-DE"/>
              </w:rPr>
              <w:t>in any previous supervisory report, e.g. because it was identified as operational risk</w:t>
            </w:r>
            <w:r w:rsidR="005F1EB8"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only in the current reporting reference period or because the </w:t>
            </w:r>
            <w:r w:rsidR="00CB5A21">
              <w:rPr>
                <w:rFonts w:ascii="Times New Roman" w:hAnsi="Times New Roman"/>
                <w:sz w:val="24"/>
                <w:lang w:eastAsia="de-DE"/>
              </w:rPr>
              <w:t>aggregated</w:t>
            </w:r>
            <w:r w:rsidR="00CB5A21" w:rsidRPr="002A677E">
              <w:rPr>
                <w:rFonts w:ascii="Times New Roman" w:hAnsi="Times New Roman"/>
                <w:sz w:val="24"/>
                <w:lang w:eastAsia="de-DE"/>
              </w:rPr>
              <w:t xml:space="preserve"> </w:t>
            </w:r>
            <w:r w:rsidRPr="002A677E">
              <w:rPr>
                <w:rFonts w:ascii="Times New Roman" w:hAnsi="Times New Roman"/>
                <w:sz w:val="24"/>
                <w:lang w:eastAsia="de-DE"/>
              </w:rPr>
              <w:t xml:space="preserve">loss attributable to that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 (i.e. the original loss plus / minus all loss adjustments made in previous reporting reference periods) exceeded the internal data collection threshold only in the current reporting reference period.</w:t>
            </w:r>
          </w:p>
          <w:p w14:paraId="76206E71" w14:textId="77777777" w:rsidR="00FD54FC" w:rsidRPr="002A677E" w:rsidRDefault="00FD54FC" w:rsidP="005F1EB8">
            <w:pPr>
              <w:rPr>
                <w:rStyle w:val="InstructionsTabelleberschrift"/>
                <w:rFonts w:ascii="Times New Roman" w:hAnsi="Times New Roman"/>
                <w:sz w:val="24"/>
              </w:rPr>
            </w:pPr>
            <w:r w:rsidRPr="001235ED">
              <w:rPr>
                <w:rFonts w:ascii="Times New Roman" w:hAnsi="Times New Roman"/>
                <w:sz w:val="24"/>
                <w:lang w:eastAsia="de-DE"/>
              </w:rPr>
              <w:t xml:space="preserve">‘New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do not include </w:t>
            </w:r>
            <w:r w:rsidR="005F1EB8" w:rsidRPr="002A677E">
              <w:rPr>
                <w:rFonts w:ascii="Times New Roman" w:hAnsi="Times New Roman"/>
                <w:sz w:val="24"/>
                <w:lang w:eastAsia="de-DE"/>
              </w:rPr>
              <w:t>loss</w:t>
            </w:r>
            <w:r w:rsidRPr="002A677E">
              <w:rPr>
                <w:rFonts w:ascii="Times New Roman" w:hAnsi="Times New Roman"/>
                <w:sz w:val="24"/>
                <w:lang w:eastAsia="de-DE"/>
              </w:rPr>
              <w:t xml:space="preserve"> events “accounted for the first time” within a previous reporting reference period, which </w:t>
            </w:r>
            <w:r w:rsidR="001F6487" w:rsidRPr="002A677E">
              <w:rPr>
                <w:rFonts w:ascii="Times New Roman" w:hAnsi="Times New Roman"/>
                <w:sz w:val="24"/>
                <w:lang w:eastAsia="de-DE"/>
              </w:rPr>
              <w:t>w</w:t>
            </w:r>
            <w:r w:rsidR="00F519A4" w:rsidRPr="002A677E">
              <w:rPr>
                <w:rFonts w:ascii="Times New Roman" w:hAnsi="Times New Roman"/>
                <w:sz w:val="24"/>
                <w:lang w:eastAsia="de-DE"/>
              </w:rPr>
              <w:t>ere</w:t>
            </w:r>
            <w:r w:rsidR="001F6487" w:rsidRPr="002A677E">
              <w:rPr>
                <w:rFonts w:ascii="Times New Roman" w:hAnsi="Times New Roman"/>
                <w:sz w:val="24"/>
                <w:lang w:eastAsia="de-DE"/>
              </w:rPr>
              <w:t xml:space="preserve"> already </w:t>
            </w:r>
            <w:r w:rsidRPr="002A677E">
              <w:rPr>
                <w:rFonts w:ascii="Times New Roman" w:hAnsi="Times New Roman"/>
                <w:sz w:val="24"/>
                <w:lang w:eastAsia="de-DE"/>
              </w:rPr>
              <w:t>included in previous supervisory reports.</w:t>
            </w:r>
          </w:p>
        </w:tc>
      </w:tr>
      <w:tr w:rsidR="00FD54FC" w:rsidRPr="002A677E" w14:paraId="67B548BF" w14:textId="77777777" w:rsidTr="00672D2A">
        <w:tc>
          <w:tcPr>
            <w:tcW w:w="1101" w:type="dxa"/>
          </w:tcPr>
          <w:p w14:paraId="25346D5E"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620,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720, </w:t>
            </w:r>
            <w:r w:rsidRPr="002A677E">
              <w:rPr>
                <w:rFonts w:ascii="Times New Roman" w:hAnsi="Times New Roman"/>
                <w:bCs/>
                <w:sz w:val="24"/>
                <w:lang w:eastAsia="nl-BE"/>
              </w:rPr>
              <w:t>0</w:t>
            </w:r>
            <w:r w:rsidR="00FD54FC" w:rsidRPr="002A677E">
              <w:rPr>
                <w:rFonts w:ascii="Times New Roman" w:hAnsi="Times New Roman"/>
                <w:bCs/>
                <w:sz w:val="24"/>
                <w:lang w:eastAsia="nl-BE"/>
              </w:rPr>
              <w:t>820</w:t>
            </w:r>
          </w:p>
        </w:tc>
        <w:tc>
          <w:tcPr>
            <w:tcW w:w="8079" w:type="dxa"/>
          </w:tcPr>
          <w:p w14:paraId="675477D4"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 xml:space="preserve">Gross loss </w:t>
            </w:r>
            <w:r w:rsidRPr="002A677E">
              <w:rPr>
                <w:rStyle w:val="InstructionsTabelleberschrift"/>
                <w:rFonts w:ascii="Times New Roman" w:hAnsi="Times New Roman"/>
                <w:sz w:val="24"/>
              </w:rPr>
              <w:t>amount</w:t>
            </w:r>
            <w:r w:rsidRPr="002A677E">
              <w:rPr>
                <w:rStyle w:val="InstructionsTabelleberschrift"/>
                <w:rFonts w:ascii="Times New Roman" w:hAnsi="Times New Roman"/>
                <w:sz w:val="24"/>
                <w:lang w:eastAsia="es-ES_tradnl"/>
              </w:rPr>
              <w:t xml:space="preserve"> (new </w:t>
            </w:r>
            <w:r w:rsidR="005F1EB8" w:rsidRPr="002A677E">
              <w:rPr>
                <w:rStyle w:val="InstructionsTabelleberschrift"/>
                <w:rFonts w:ascii="Times New Roman" w:hAnsi="Times New Roman"/>
                <w:sz w:val="24"/>
                <w:lang w:eastAsia="es-ES_tradnl"/>
              </w:rPr>
              <w:t xml:space="preserve">loss </w:t>
            </w:r>
            <w:r w:rsidRPr="002A677E">
              <w:rPr>
                <w:rStyle w:val="InstructionsTabelleberschrift"/>
                <w:rFonts w:ascii="Times New Roman" w:hAnsi="Times New Roman"/>
                <w:sz w:val="24"/>
                <w:lang w:eastAsia="es-ES_tradnl"/>
              </w:rPr>
              <w:t>events)</w:t>
            </w:r>
          </w:p>
          <w:p w14:paraId="2E85E133" w14:textId="4AF33778"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gross loss amount </w:t>
            </w:r>
            <w:r w:rsidR="001F6487" w:rsidRPr="002A677E">
              <w:rPr>
                <w:rFonts w:ascii="Times New Roman" w:hAnsi="Times New Roman"/>
                <w:sz w:val="24"/>
                <w:lang w:eastAsia="de-DE"/>
              </w:rPr>
              <w:t>shall</w:t>
            </w:r>
            <w:r w:rsidRPr="002A677E">
              <w:rPr>
                <w:rFonts w:ascii="Times New Roman" w:hAnsi="Times New Roman"/>
                <w:sz w:val="24"/>
                <w:lang w:eastAsia="de-DE"/>
              </w:rPr>
              <w:t xml:space="preserve"> </w:t>
            </w:r>
            <w:r w:rsidR="00F519A4" w:rsidRPr="002A677E">
              <w:rPr>
                <w:rFonts w:ascii="Times New Roman" w:hAnsi="Times New Roman"/>
                <w:sz w:val="24"/>
                <w:lang w:eastAsia="de-DE"/>
              </w:rPr>
              <w:t xml:space="preserve">be </w:t>
            </w:r>
            <w:r w:rsidRPr="002A677E">
              <w:rPr>
                <w:rFonts w:ascii="Times New Roman" w:hAnsi="Times New Roman"/>
                <w:sz w:val="24"/>
                <w:lang w:eastAsia="de-DE"/>
              </w:rPr>
              <w:t xml:space="preserve">the gross loss amounts pertinent to operational risk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w:t>
            </w:r>
            <w:r w:rsidR="00E65359">
              <w:rPr>
                <w:rFonts w:ascii="Times New Roman" w:hAnsi="Times New Roman"/>
                <w:sz w:val="24"/>
                <w:lang w:eastAsia="de-DE"/>
              </w:rPr>
              <w:t>in accordance with</w:t>
            </w:r>
            <w:r w:rsidR="00E723F5" w:rsidRPr="01913746">
              <w:rPr>
                <w:rFonts w:ascii="Times New Roman" w:hAnsi="Times New Roman"/>
                <w:sz w:val="24"/>
                <w:lang w:eastAsia="de-DE"/>
              </w:rPr>
              <w:t xml:space="preserve"> Article</w:t>
            </w:r>
            <w:r w:rsidR="00E723F5" w:rsidRPr="3F4AE6CB">
              <w:rPr>
                <w:rFonts w:ascii="Times New Roman" w:hAnsi="Times New Roman"/>
                <w:sz w:val="24"/>
                <w:lang w:eastAsia="de-DE"/>
              </w:rPr>
              <w:t xml:space="preserve"> 318(2) </w:t>
            </w:r>
            <w:r w:rsidR="00E723F5" w:rsidRPr="01913746">
              <w:rPr>
                <w:rFonts w:ascii="Times New Roman" w:hAnsi="Times New Roman"/>
                <w:sz w:val="24"/>
                <w:lang w:eastAsia="de-DE"/>
              </w:rPr>
              <w:t>of Regulation (EU) No 575/2013</w:t>
            </w:r>
            <w:r w:rsidRPr="002A677E">
              <w:rPr>
                <w:rFonts w:ascii="Times New Roman" w:hAnsi="Times New Roman"/>
                <w:sz w:val="24"/>
                <w:lang w:eastAsia="de-DE"/>
              </w:rPr>
              <w:t>All losses related to a single</w:t>
            </w:r>
            <w:r w:rsidR="001F6487" w:rsidRPr="002A677E">
              <w:rPr>
                <w:rFonts w:ascii="Times New Roman" w:hAnsi="Times New Roman"/>
                <w:sz w:val="24"/>
                <w:lang w:eastAsia="de-DE"/>
              </w:rPr>
              <w:t xml:space="preserve"> </w:t>
            </w:r>
            <w:r w:rsidR="005F1EB8" w:rsidRPr="002A677E">
              <w:rPr>
                <w:rFonts w:ascii="Times New Roman" w:hAnsi="Times New Roman"/>
                <w:sz w:val="24"/>
                <w:lang w:eastAsia="de-DE"/>
              </w:rPr>
              <w:t>loss</w:t>
            </w:r>
            <w:r w:rsidRPr="002A677E">
              <w:rPr>
                <w:rFonts w:ascii="Times New Roman" w:hAnsi="Times New Roman"/>
                <w:sz w:val="24"/>
                <w:lang w:eastAsia="de-DE"/>
              </w:rPr>
              <w:t xml:space="preserve"> event which are accounted for within the reporting reference period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summed up and considered as the gross loss for that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 for that reporting reference period.</w:t>
            </w:r>
          </w:p>
          <w:p w14:paraId="611D2B8E"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reported gross loss amount shall refer to “new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as </w:t>
            </w:r>
            <w:r w:rsidR="001F6487" w:rsidRPr="002A677E">
              <w:rPr>
                <w:rFonts w:ascii="Times New Roman" w:hAnsi="Times New Roman"/>
                <w:sz w:val="24"/>
                <w:lang w:eastAsia="de-DE"/>
              </w:rPr>
              <w:t xml:space="preserve">referred to </w:t>
            </w:r>
            <w:r w:rsidRPr="002A677E">
              <w:rPr>
                <w:rFonts w:ascii="Times New Roman" w:hAnsi="Times New Roman"/>
                <w:sz w:val="24"/>
                <w:lang w:eastAsia="de-DE"/>
              </w:rPr>
              <w:t>in the row above</w:t>
            </w:r>
            <w:r w:rsidR="0023276A" w:rsidRPr="002A677E">
              <w:rPr>
                <w:rFonts w:ascii="Times New Roman" w:hAnsi="Times New Roman"/>
                <w:sz w:val="24"/>
                <w:lang w:eastAsia="de-DE"/>
              </w:rPr>
              <w:t xml:space="preserve"> of this table</w:t>
            </w:r>
            <w:r w:rsidRPr="002A677E">
              <w:rPr>
                <w:rFonts w:ascii="Times New Roman" w:hAnsi="Times New Roman"/>
                <w:sz w:val="24"/>
                <w:lang w:eastAsia="de-DE"/>
              </w:rPr>
              <w:t xml:space="preserve">. For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“accounted for the first time” within a previous reporting reference period which </w:t>
            </w:r>
            <w:r w:rsidR="001F6487" w:rsidRPr="002A677E">
              <w:rPr>
                <w:rFonts w:ascii="Times New Roman" w:hAnsi="Times New Roman"/>
                <w:sz w:val="24"/>
                <w:lang w:eastAsia="de-DE"/>
              </w:rPr>
              <w:t>w</w:t>
            </w:r>
            <w:r w:rsidR="00F519A4" w:rsidRPr="002A677E">
              <w:rPr>
                <w:rFonts w:ascii="Times New Roman" w:hAnsi="Times New Roman"/>
                <w:sz w:val="24"/>
                <w:lang w:eastAsia="de-DE"/>
              </w:rPr>
              <w:t>ere</w:t>
            </w:r>
            <w:r w:rsidR="001F6487" w:rsidRPr="002A677E">
              <w:rPr>
                <w:rFonts w:ascii="Times New Roman" w:hAnsi="Times New Roman"/>
                <w:sz w:val="24"/>
                <w:lang w:eastAsia="de-DE"/>
              </w:rPr>
              <w:t xml:space="preserve"> not </w:t>
            </w:r>
            <w:r w:rsidRPr="002A677E">
              <w:rPr>
                <w:rFonts w:ascii="Times New Roman" w:hAnsi="Times New Roman"/>
                <w:sz w:val="24"/>
                <w:lang w:eastAsia="de-DE"/>
              </w:rPr>
              <w:t>included in any previous supervisory report, the total loss accumulated until the reporting reference date (i.e. the original loss plus / minus all loss adjustments made in previous reporting reference periods) shall be reported as the gross loss at the reporting reference date.</w:t>
            </w:r>
          </w:p>
          <w:p w14:paraId="371CD21C" w14:textId="77777777" w:rsidR="00FD54FC" w:rsidRPr="002A677E" w:rsidRDefault="00FD54FC" w:rsidP="00F52FC6">
            <w:pPr>
              <w:rPr>
                <w:rStyle w:val="InstructionsTabelleberschrift"/>
                <w:rFonts w:ascii="Times New Roman" w:hAnsi="Times New Roman"/>
                <w:sz w:val="24"/>
              </w:rPr>
            </w:pPr>
            <w:r w:rsidRPr="001235ED">
              <w:rPr>
                <w:rFonts w:ascii="Times New Roman" w:hAnsi="Times New Roman"/>
                <w:sz w:val="24"/>
                <w:lang w:eastAsia="de-DE"/>
              </w:rPr>
              <w:t xml:space="preserve">The amounts to be reported </w:t>
            </w:r>
            <w:r w:rsidR="001F6487" w:rsidRPr="002A677E">
              <w:rPr>
                <w:rFonts w:ascii="Times New Roman" w:hAnsi="Times New Roman"/>
                <w:sz w:val="24"/>
                <w:lang w:eastAsia="de-DE"/>
              </w:rPr>
              <w:t>shall</w:t>
            </w:r>
            <w:r w:rsidRPr="002A677E">
              <w:rPr>
                <w:rFonts w:ascii="Times New Roman" w:hAnsi="Times New Roman"/>
                <w:sz w:val="24"/>
                <w:lang w:eastAsia="de-DE"/>
              </w:rPr>
              <w:t xml:space="preserve"> not </w:t>
            </w:r>
            <w:proofErr w:type="gramStart"/>
            <w:r w:rsidRPr="002A677E">
              <w:rPr>
                <w:rFonts w:ascii="Times New Roman" w:hAnsi="Times New Roman"/>
                <w:sz w:val="24"/>
                <w:lang w:eastAsia="de-DE"/>
              </w:rPr>
              <w:t>take into account</w:t>
            </w:r>
            <w:proofErr w:type="gramEnd"/>
            <w:r w:rsidRPr="002A677E">
              <w:rPr>
                <w:rFonts w:ascii="Times New Roman" w:hAnsi="Times New Roman"/>
                <w:sz w:val="24"/>
                <w:lang w:eastAsia="de-DE"/>
              </w:rPr>
              <w:t xml:space="preserve"> obtained recoveries.</w:t>
            </w:r>
          </w:p>
        </w:tc>
      </w:tr>
      <w:tr w:rsidR="00FD54FC" w:rsidRPr="002A677E" w14:paraId="35BC8758" w14:textId="77777777" w:rsidTr="00672D2A">
        <w:tc>
          <w:tcPr>
            <w:tcW w:w="1101" w:type="dxa"/>
          </w:tcPr>
          <w:p w14:paraId="30B4B9A7"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630,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730, </w:t>
            </w:r>
            <w:r w:rsidRPr="002A677E">
              <w:rPr>
                <w:rFonts w:ascii="Times New Roman" w:hAnsi="Times New Roman"/>
                <w:bCs/>
                <w:sz w:val="24"/>
                <w:lang w:eastAsia="nl-BE"/>
              </w:rPr>
              <w:t>0</w:t>
            </w:r>
            <w:r w:rsidR="00FD54FC" w:rsidRPr="002A677E">
              <w:rPr>
                <w:rFonts w:ascii="Times New Roman" w:hAnsi="Times New Roman"/>
                <w:bCs/>
                <w:sz w:val="24"/>
                <w:lang w:eastAsia="nl-BE"/>
              </w:rPr>
              <w:t>830</w:t>
            </w:r>
          </w:p>
        </w:tc>
        <w:tc>
          <w:tcPr>
            <w:tcW w:w="8079" w:type="dxa"/>
          </w:tcPr>
          <w:p w14:paraId="20431596"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 xml:space="preserve">Number of </w:t>
            </w:r>
            <w:r w:rsidRPr="002A677E">
              <w:rPr>
                <w:rStyle w:val="InstructionsTabelleberschrift"/>
                <w:rFonts w:ascii="Times New Roman" w:hAnsi="Times New Roman"/>
                <w:sz w:val="24"/>
              </w:rPr>
              <w:t>loss</w:t>
            </w:r>
            <w:r w:rsidRPr="002A677E">
              <w:rPr>
                <w:rStyle w:val="InstructionsTabelleberschrift"/>
                <w:rFonts w:ascii="Times New Roman" w:hAnsi="Times New Roman"/>
                <w:sz w:val="24"/>
                <w:lang w:eastAsia="es-ES_tradnl"/>
              </w:rPr>
              <w:t xml:space="preserve"> events subject to loss adjustments</w:t>
            </w:r>
          </w:p>
          <w:p w14:paraId="489FCDC5"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The number of loss events subject to loss adjustments</w:t>
            </w:r>
            <w:r w:rsidR="001F6487" w:rsidRPr="002A677E">
              <w:rPr>
                <w:rFonts w:ascii="Times New Roman" w:hAnsi="Times New Roman"/>
                <w:sz w:val="24"/>
                <w:lang w:eastAsia="de-DE"/>
              </w:rPr>
              <w:t xml:space="preserve"> shall be</w:t>
            </w:r>
            <w:r w:rsidRPr="002A677E">
              <w:rPr>
                <w:rFonts w:ascii="Times New Roman" w:hAnsi="Times New Roman"/>
                <w:sz w:val="24"/>
                <w:lang w:eastAsia="de-DE"/>
              </w:rPr>
              <w:t xml:space="preserve"> the number of operational risk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“accounted for the first time” in previous reporting reference periods and already included in previous reports, for which loss adjustments were made in the current reporting reference period. </w:t>
            </w:r>
          </w:p>
          <w:p w14:paraId="35A5D3D6" w14:textId="77777777" w:rsidR="00FD54FC" w:rsidRPr="002A677E" w:rsidRDefault="001F6487" w:rsidP="005F1EB8">
            <w:pPr>
              <w:rPr>
                <w:b/>
                <w:sz w:val="24"/>
                <w:lang w:eastAsia="nl-BE"/>
              </w:rPr>
            </w:pPr>
            <w:r w:rsidRPr="002A677E">
              <w:rPr>
                <w:rFonts w:ascii="Times New Roman" w:hAnsi="Times New Roman"/>
                <w:sz w:val="24"/>
                <w:lang w:eastAsia="de-DE"/>
              </w:rPr>
              <w:t>Where</w:t>
            </w:r>
            <w:r w:rsidR="00FD54FC" w:rsidRPr="002A677E">
              <w:rPr>
                <w:rFonts w:ascii="Times New Roman" w:hAnsi="Times New Roman"/>
                <w:sz w:val="24"/>
                <w:lang w:eastAsia="de-DE"/>
              </w:rPr>
              <w:t xml:space="preserve"> more than one loss adjustment was made for a</w:t>
            </w:r>
            <w:r w:rsidR="005F1EB8" w:rsidRPr="002A677E">
              <w:rPr>
                <w:rFonts w:ascii="Times New Roman" w:hAnsi="Times New Roman"/>
                <w:sz w:val="24"/>
                <w:lang w:eastAsia="de-DE"/>
              </w:rPr>
              <w:t xml:space="preserve"> loss</w:t>
            </w:r>
            <w:r w:rsidR="00FD54FC" w:rsidRPr="002A677E">
              <w:rPr>
                <w:rFonts w:ascii="Times New Roman" w:hAnsi="Times New Roman"/>
                <w:sz w:val="24"/>
                <w:lang w:eastAsia="de-DE"/>
              </w:rPr>
              <w:t xml:space="preserve"> event within the reporting reference period, the sum of those loss adjustments shall be counted as one adjustment in the period.</w:t>
            </w:r>
          </w:p>
        </w:tc>
      </w:tr>
      <w:tr w:rsidR="00FD54FC" w:rsidRPr="002A677E" w14:paraId="4897901E" w14:textId="77777777" w:rsidTr="00672D2A">
        <w:tc>
          <w:tcPr>
            <w:tcW w:w="1101" w:type="dxa"/>
          </w:tcPr>
          <w:p w14:paraId="1CA10334"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140, </w:t>
            </w: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 xml:space="preserve">240,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540,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640, </w:t>
            </w:r>
            <w:r w:rsidRPr="002A677E">
              <w:rPr>
                <w:rFonts w:ascii="Times New Roman" w:hAnsi="Times New Roman"/>
                <w:bCs/>
                <w:sz w:val="24"/>
                <w:lang w:eastAsia="nl-BE"/>
              </w:rPr>
              <w:t>0</w:t>
            </w:r>
            <w:r w:rsidR="00FD54FC" w:rsidRPr="002A677E">
              <w:rPr>
                <w:rFonts w:ascii="Times New Roman" w:hAnsi="Times New Roman"/>
                <w:sz w:val="24"/>
                <w:lang w:eastAsia="de-DE"/>
              </w:rPr>
              <w:t>740</w:t>
            </w:r>
            <w:r w:rsidR="00FD54FC" w:rsidRPr="002A677E">
              <w:rPr>
                <w:rFonts w:ascii="Times New Roman" w:hAnsi="Times New Roman"/>
                <w:bCs/>
                <w:sz w:val="24"/>
                <w:lang w:eastAsia="nl-BE"/>
              </w:rPr>
              <w:t xml:space="preserve">, </w:t>
            </w:r>
            <w:r w:rsidRPr="002A677E">
              <w:rPr>
                <w:rFonts w:ascii="Times New Roman" w:hAnsi="Times New Roman"/>
                <w:bCs/>
                <w:sz w:val="24"/>
                <w:lang w:eastAsia="nl-BE"/>
              </w:rPr>
              <w:t>0</w:t>
            </w:r>
            <w:r w:rsidR="00FD54FC" w:rsidRPr="002A677E">
              <w:rPr>
                <w:rFonts w:ascii="Times New Roman" w:hAnsi="Times New Roman"/>
                <w:bCs/>
                <w:sz w:val="24"/>
                <w:lang w:eastAsia="nl-BE"/>
              </w:rPr>
              <w:t>840</w:t>
            </w:r>
          </w:p>
        </w:tc>
        <w:tc>
          <w:tcPr>
            <w:tcW w:w="8079" w:type="dxa"/>
          </w:tcPr>
          <w:p w14:paraId="68049943"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lastRenderedPageBreak/>
              <w:t xml:space="preserve">Loss </w:t>
            </w:r>
            <w:r w:rsidRPr="002A677E">
              <w:rPr>
                <w:rStyle w:val="InstructionsTabelleberschrift"/>
                <w:rFonts w:ascii="Times New Roman" w:hAnsi="Times New Roman"/>
                <w:sz w:val="24"/>
              </w:rPr>
              <w:t>adjustments</w:t>
            </w:r>
            <w:r w:rsidRPr="002A677E">
              <w:rPr>
                <w:rStyle w:val="InstructionsTabelleberschrift"/>
                <w:rFonts w:ascii="Times New Roman" w:hAnsi="Times New Roman"/>
                <w:sz w:val="24"/>
                <w:lang w:eastAsia="es-ES_tradnl"/>
              </w:rPr>
              <w:t xml:space="preserve"> relating to previous reporting </w:t>
            </w:r>
            <w:proofErr w:type="gramStart"/>
            <w:r w:rsidRPr="002A677E">
              <w:rPr>
                <w:rStyle w:val="InstructionsTabelleberschrift"/>
                <w:rFonts w:ascii="Times New Roman" w:hAnsi="Times New Roman"/>
                <w:sz w:val="24"/>
                <w:lang w:eastAsia="es-ES_tradnl"/>
              </w:rPr>
              <w:t>periods</w:t>
            </w:r>
            <w:proofErr w:type="gramEnd"/>
          </w:p>
          <w:p w14:paraId="13788219"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lastRenderedPageBreak/>
              <w:t xml:space="preserve">Loss adjustments relating to previous reporting reference periods </w:t>
            </w:r>
            <w:r w:rsidR="001F6487" w:rsidRPr="002A677E">
              <w:rPr>
                <w:rFonts w:ascii="Times New Roman" w:hAnsi="Times New Roman"/>
                <w:sz w:val="24"/>
                <w:lang w:eastAsia="de-DE"/>
              </w:rPr>
              <w:t>shall</w:t>
            </w:r>
            <w:r w:rsidRPr="002A677E">
              <w:rPr>
                <w:rFonts w:ascii="Times New Roman" w:hAnsi="Times New Roman"/>
                <w:sz w:val="24"/>
                <w:lang w:eastAsia="de-DE"/>
              </w:rPr>
              <w:t xml:space="preserve"> the sum of the following elements (positive or negative):</w:t>
            </w:r>
          </w:p>
          <w:p w14:paraId="1123BBFF" w14:textId="77777777"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w:t>
            </w:r>
            <w:r w:rsidRPr="002A677E">
              <w:rPr>
                <w:rFonts w:ascii="Times New Roman" w:hAnsi="Times New Roman"/>
                <w:sz w:val="24"/>
                <w:lang w:eastAsia="de-DE"/>
              </w:rPr>
              <w:tab/>
              <w:t xml:space="preserve">the gross loss amounts pertinent to positive loss adjustments made within the reporting reference period (e.g. increase of provisions, linked loss events, additional settlements) of operational risk events “accounted for the first time” and reported in previous reporting reference </w:t>
            </w:r>
            <w:proofErr w:type="gramStart"/>
            <w:r w:rsidRPr="002A677E">
              <w:rPr>
                <w:rFonts w:ascii="Times New Roman" w:hAnsi="Times New Roman"/>
                <w:sz w:val="24"/>
                <w:lang w:eastAsia="de-DE"/>
              </w:rPr>
              <w:t>periods;</w:t>
            </w:r>
            <w:proofErr w:type="gramEnd"/>
          </w:p>
          <w:p w14:paraId="22EFE0FB" w14:textId="77777777"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(ii)</w:t>
            </w:r>
            <w:r w:rsidRPr="002A677E">
              <w:rPr>
                <w:rFonts w:ascii="Times New Roman" w:hAnsi="Times New Roman"/>
                <w:sz w:val="24"/>
                <w:lang w:eastAsia="de-DE"/>
              </w:rPr>
              <w:tab/>
              <w:t xml:space="preserve">the gross loss amounts pertinent to negative loss adjustments made within the reporting reference period </w:t>
            </w:r>
            <w:r w:rsidR="00F52FC6" w:rsidRPr="002A677E">
              <w:rPr>
                <w:rFonts w:ascii="Times New Roman" w:hAnsi="Times New Roman"/>
                <w:sz w:val="24"/>
                <w:lang w:eastAsia="de-DE"/>
              </w:rPr>
              <w:t>(</w:t>
            </w:r>
            <w:r w:rsidRPr="002A677E">
              <w:rPr>
                <w:rFonts w:ascii="Times New Roman" w:hAnsi="Times New Roman"/>
                <w:sz w:val="24"/>
                <w:lang w:eastAsia="de-DE"/>
              </w:rPr>
              <w:t>e.g. due to decrease of provisions</w:t>
            </w:r>
            <w:r w:rsidR="00F52FC6" w:rsidRPr="002A677E">
              <w:rPr>
                <w:rFonts w:ascii="Times New Roman" w:hAnsi="Times New Roman"/>
                <w:sz w:val="24"/>
                <w:lang w:eastAsia="de-DE"/>
              </w:rPr>
              <w:t>)</w:t>
            </w:r>
            <w:r w:rsidRPr="002A677E">
              <w:rPr>
                <w:rFonts w:ascii="Times New Roman" w:hAnsi="Times New Roman"/>
                <w:sz w:val="24"/>
                <w:lang w:eastAsia="de-DE"/>
              </w:rPr>
              <w:t xml:space="preserve"> of operational risk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“accounted for the first time” and reported in previous reporting reference periods. </w:t>
            </w:r>
          </w:p>
          <w:p w14:paraId="6796D1A0" w14:textId="77777777" w:rsidR="00FD54FC" w:rsidRPr="002A677E" w:rsidRDefault="001F6487" w:rsidP="00FD54FC">
            <w:pPr>
              <w:rPr>
                <w:rFonts w:ascii="Times New Roman" w:hAnsi="Times New Roman"/>
                <w:sz w:val="24"/>
                <w:lang w:eastAsia="de-DE"/>
              </w:rPr>
            </w:pPr>
            <w:r w:rsidRPr="002A677E">
              <w:rPr>
                <w:rFonts w:ascii="Times New Roman" w:hAnsi="Times New Roman"/>
                <w:sz w:val="24"/>
                <w:lang w:eastAsia="de-DE"/>
              </w:rPr>
              <w:t>Where</w:t>
            </w:r>
            <w:r w:rsidR="00FD54FC" w:rsidRPr="002A677E">
              <w:rPr>
                <w:rFonts w:ascii="Times New Roman" w:hAnsi="Times New Roman"/>
                <w:sz w:val="24"/>
                <w:lang w:eastAsia="de-DE"/>
              </w:rPr>
              <w:t xml:space="preserve"> more than one loss adjustment was made for a</w:t>
            </w:r>
            <w:r w:rsidR="005F1EB8" w:rsidRPr="002A677E">
              <w:rPr>
                <w:rFonts w:ascii="Times New Roman" w:hAnsi="Times New Roman"/>
                <w:sz w:val="24"/>
                <w:lang w:eastAsia="de-DE"/>
              </w:rPr>
              <w:t xml:space="preserve"> loss</w:t>
            </w:r>
            <w:r w:rsidR="00FD54FC" w:rsidRPr="002A677E">
              <w:rPr>
                <w:rFonts w:ascii="Times New Roman" w:hAnsi="Times New Roman"/>
                <w:sz w:val="24"/>
                <w:lang w:eastAsia="de-DE"/>
              </w:rPr>
              <w:t xml:space="preserve"> event within the reporting reference period, the amounts of all those loss adjustments </w:t>
            </w:r>
            <w:r w:rsidRPr="002A677E">
              <w:rPr>
                <w:rFonts w:ascii="Times New Roman" w:hAnsi="Times New Roman"/>
                <w:sz w:val="24"/>
                <w:lang w:eastAsia="de-DE"/>
              </w:rPr>
              <w:t>shall</w:t>
            </w:r>
            <w:r w:rsidR="005A2C21" w:rsidRPr="002A677E">
              <w:rPr>
                <w:rFonts w:ascii="Times New Roman" w:hAnsi="Times New Roman"/>
                <w:sz w:val="24"/>
                <w:lang w:eastAsia="de-DE"/>
              </w:rPr>
              <w:t xml:space="preserve"> be</w:t>
            </w:r>
            <w:r w:rsidR="00FD54FC" w:rsidRPr="002A677E">
              <w:rPr>
                <w:rFonts w:ascii="Times New Roman" w:hAnsi="Times New Roman"/>
                <w:sz w:val="24"/>
                <w:lang w:eastAsia="de-DE"/>
              </w:rPr>
              <w:t xml:space="preserve"> summed up, </w:t>
            </w:r>
            <w:proofErr w:type="gramStart"/>
            <w:r w:rsidR="00FD54FC" w:rsidRPr="002A677E">
              <w:rPr>
                <w:rFonts w:ascii="Times New Roman" w:hAnsi="Times New Roman"/>
                <w:sz w:val="24"/>
                <w:lang w:eastAsia="de-DE"/>
              </w:rPr>
              <w:t>taking into account</w:t>
            </w:r>
            <w:proofErr w:type="gramEnd"/>
            <w:r w:rsidR="00FD54FC" w:rsidRPr="002A677E">
              <w:rPr>
                <w:rFonts w:ascii="Times New Roman" w:hAnsi="Times New Roman"/>
                <w:sz w:val="24"/>
                <w:lang w:eastAsia="de-DE"/>
              </w:rPr>
              <w:t xml:space="preserve"> the sign of the adjustments (positive, negative). Th</w:t>
            </w:r>
            <w:r w:rsidRPr="002A677E">
              <w:rPr>
                <w:rFonts w:ascii="Times New Roman" w:hAnsi="Times New Roman"/>
                <w:sz w:val="24"/>
                <w:lang w:eastAsia="de-DE"/>
              </w:rPr>
              <w:t>at</w:t>
            </w:r>
            <w:r w:rsidR="00FD54FC" w:rsidRPr="002A677E">
              <w:rPr>
                <w:rFonts w:ascii="Times New Roman" w:hAnsi="Times New Roman"/>
                <w:sz w:val="24"/>
                <w:lang w:eastAsia="de-DE"/>
              </w:rPr>
              <w:t xml:space="preserve"> sum </w:t>
            </w:r>
            <w:r w:rsidRPr="002A677E">
              <w:rPr>
                <w:rFonts w:ascii="Times New Roman" w:hAnsi="Times New Roman"/>
                <w:sz w:val="24"/>
                <w:lang w:eastAsia="de-DE"/>
              </w:rPr>
              <w:t>shall be</w:t>
            </w:r>
            <w:r w:rsidR="00FD54FC" w:rsidRPr="002A677E">
              <w:rPr>
                <w:rFonts w:ascii="Times New Roman" w:hAnsi="Times New Roman"/>
                <w:sz w:val="24"/>
                <w:lang w:eastAsia="de-DE"/>
              </w:rPr>
              <w:t xml:space="preserve"> considered as the loss adjustment for that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event for that reporting reference period.</w:t>
            </w:r>
          </w:p>
          <w:p w14:paraId="1FF4DC2A" w14:textId="77777777" w:rsidR="00FD54FC" w:rsidRPr="002A677E" w:rsidRDefault="001F6487" w:rsidP="00FD54FC">
            <w:pPr>
              <w:rPr>
                <w:rFonts w:ascii="Times New Roman" w:hAnsi="Times New Roman"/>
                <w:sz w:val="24"/>
                <w:lang w:eastAsia="de-DE"/>
              </w:rPr>
            </w:pPr>
            <w:r w:rsidRPr="002A677E">
              <w:rPr>
                <w:rFonts w:ascii="Times New Roman" w:hAnsi="Times New Roman"/>
                <w:sz w:val="24"/>
                <w:lang w:eastAsia="de-DE"/>
              </w:rPr>
              <w:t>Where</w:t>
            </w:r>
            <w:r w:rsidR="00FD54FC" w:rsidRPr="002A677E">
              <w:rPr>
                <w:rFonts w:ascii="Times New Roman" w:hAnsi="Times New Roman"/>
                <w:sz w:val="24"/>
                <w:lang w:eastAsia="de-DE"/>
              </w:rPr>
              <w:t>, due to a negative loss adjustment, the adjusted loss amount attributable to a</w:t>
            </w:r>
            <w:r w:rsidR="005F1EB8" w:rsidRPr="002A677E">
              <w:rPr>
                <w:rFonts w:ascii="Times New Roman" w:hAnsi="Times New Roman"/>
                <w:sz w:val="24"/>
                <w:lang w:eastAsia="de-DE"/>
              </w:rPr>
              <w:t xml:space="preserve"> loss</w:t>
            </w:r>
            <w:r w:rsidR="00FD54FC" w:rsidRPr="002A677E">
              <w:rPr>
                <w:rFonts w:ascii="Times New Roman" w:hAnsi="Times New Roman"/>
                <w:sz w:val="24"/>
                <w:lang w:eastAsia="de-DE"/>
              </w:rPr>
              <w:t xml:space="preserve"> event falls below the internal data collection threshold of the institution, the institution shall report the total loss amount for that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 accumulated until the last time when the event was reported </w:t>
            </w:r>
            <w:r w:rsidR="00070AF9" w:rsidRPr="002A677E">
              <w:rPr>
                <w:rFonts w:ascii="Times New Roman" w:hAnsi="Times New Roman"/>
                <w:sz w:val="24"/>
                <w:lang w:eastAsia="de-DE"/>
              </w:rPr>
              <w:t>for</w:t>
            </w:r>
            <w:r w:rsidR="00FD54FC" w:rsidRPr="002A677E">
              <w:rPr>
                <w:rFonts w:ascii="Times New Roman" w:hAnsi="Times New Roman"/>
                <w:sz w:val="24"/>
                <w:lang w:eastAsia="de-DE"/>
              </w:rPr>
              <w:t xml:space="preserve"> a December </w:t>
            </w:r>
            <w:r w:rsidR="00070AF9" w:rsidRPr="002A677E">
              <w:rPr>
                <w:rFonts w:ascii="Times New Roman" w:hAnsi="Times New Roman"/>
                <w:sz w:val="24"/>
                <w:lang w:eastAsia="de-DE"/>
              </w:rPr>
              <w:t>reference date</w:t>
            </w:r>
            <w:r w:rsidR="00FD54FC" w:rsidRPr="002A677E">
              <w:rPr>
                <w:rFonts w:ascii="Times New Roman" w:hAnsi="Times New Roman"/>
                <w:sz w:val="24"/>
                <w:lang w:eastAsia="de-DE"/>
              </w:rPr>
              <w:t xml:space="preserve"> (i.e. the original loss plus / minus all loss adjustments made in previous reporting reference periods) with a negative sign instead of the amount of the negative loss adjustment itself.</w:t>
            </w:r>
          </w:p>
          <w:p w14:paraId="0FAF0676" w14:textId="77777777" w:rsidR="00FD54FC" w:rsidRPr="002A677E" w:rsidRDefault="00FD54FC" w:rsidP="00EB62C2">
            <w:pPr>
              <w:rPr>
                <w:b/>
                <w:sz w:val="24"/>
                <w:lang w:eastAsia="nl-BE"/>
              </w:rPr>
            </w:pPr>
            <w:r w:rsidRPr="002A677E">
              <w:rPr>
                <w:rFonts w:ascii="Times New Roman" w:hAnsi="Times New Roman"/>
                <w:sz w:val="24"/>
                <w:lang w:eastAsia="de-DE"/>
              </w:rPr>
              <w:t xml:space="preserve">The amounts to be reported </w:t>
            </w:r>
            <w:r w:rsidR="001F6487" w:rsidRPr="002A677E">
              <w:rPr>
                <w:rFonts w:ascii="Times New Roman" w:hAnsi="Times New Roman"/>
                <w:sz w:val="24"/>
                <w:lang w:eastAsia="de-DE"/>
              </w:rPr>
              <w:t>shall</w:t>
            </w:r>
            <w:r w:rsidRPr="002A677E">
              <w:rPr>
                <w:rFonts w:ascii="Times New Roman" w:hAnsi="Times New Roman"/>
                <w:sz w:val="24"/>
                <w:lang w:eastAsia="de-DE"/>
              </w:rPr>
              <w:t xml:space="preserve"> not </w:t>
            </w:r>
            <w:proofErr w:type="gramStart"/>
            <w:r w:rsidRPr="002A677E">
              <w:rPr>
                <w:rFonts w:ascii="Times New Roman" w:hAnsi="Times New Roman"/>
                <w:sz w:val="24"/>
                <w:lang w:eastAsia="de-DE"/>
              </w:rPr>
              <w:t>take into account</w:t>
            </w:r>
            <w:proofErr w:type="gramEnd"/>
            <w:r w:rsidRPr="002A677E">
              <w:rPr>
                <w:rFonts w:ascii="Times New Roman" w:hAnsi="Times New Roman"/>
                <w:sz w:val="24"/>
                <w:lang w:eastAsia="de-DE"/>
              </w:rPr>
              <w:t xml:space="preserve"> obtained recoveries.</w:t>
            </w:r>
          </w:p>
        </w:tc>
      </w:tr>
      <w:tr w:rsidR="00FD54FC" w:rsidRPr="002A677E" w14:paraId="03FCD499" w14:textId="77777777" w:rsidTr="00672D2A">
        <w:tc>
          <w:tcPr>
            <w:tcW w:w="1101" w:type="dxa"/>
          </w:tcPr>
          <w:p w14:paraId="7980B206"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 xml:space="preserve">050,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650,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750, </w:t>
            </w:r>
            <w:r w:rsidRPr="002A677E">
              <w:rPr>
                <w:rFonts w:ascii="Times New Roman" w:hAnsi="Times New Roman"/>
                <w:bCs/>
                <w:sz w:val="24"/>
                <w:lang w:eastAsia="nl-BE"/>
              </w:rPr>
              <w:t>0</w:t>
            </w:r>
            <w:r w:rsidR="00FD54FC" w:rsidRPr="002A677E">
              <w:rPr>
                <w:rFonts w:ascii="Times New Roman" w:hAnsi="Times New Roman"/>
                <w:bCs/>
                <w:sz w:val="24"/>
                <w:lang w:eastAsia="nl-BE"/>
              </w:rPr>
              <w:t>850</w:t>
            </w:r>
          </w:p>
        </w:tc>
        <w:tc>
          <w:tcPr>
            <w:tcW w:w="8079" w:type="dxa"/>
          </w:tcPr>
          <w:p w14:paraId="593A9C4B"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 xml:space="preserve">Maximum </w:t>
            </w:r>
            <w:r w:rsidRPr="002A677E">
              <w:rPr>
                <w:rStyle w:val="InstructionsTabelleberschrift"/>
                <w:rFonts w:ascii="Times New Roman" w:hAnsi="Times New Roman"/>
                <w:sz w:val="24"/>
              </w:rPr>
              <w:t>single</w:t>
            </w:r>
            <w:r w:rsidRPr="002A677E">
              <w:rPr>
                <w:rStyle w:val="InstructionsTabelleberschrift"/>
                <w:rFonts w:ascii="Times New Roman" w:hAnsi="Times New Roman"/>
                <w:sz w:val="24"/>
                <w:lang w:eastAsia="es-ES_tradnl"/>
              </w:rPr>
              <w:t xml:space="preserve"> loss</w:t>
            </w:r>
          </w:p>
          <w:p w14:paraId="388ADCDC"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w:t>
            </w:r>
            <w:r w:rsidR="001F6487" w:rsidRPr="002A677E">
              <w:rPr>
                <w:rFonts w:ascii="Times New Roman" w:hAnsi="Times New Roman"/>
                <w:sz w:val="24"/>
                <w:lang w:eastAsia="de-DE"/>
              </w:rPr>
              <w:t>m</w:t>
            </w:r>
            <w:r w:rsidRPr="002A677E">
              <w:rPr>
                <w:rFonts w:ascii="Times New Roman" w:hAnsi="Times New Roman"/>
                <w:sz w:val="24"/>
                <w:lang w:eastAsia="de-DE"/>
              </w:rPr>
              <w:t>aximum single loss is the larger of</w:t>
            </w:r>
            <w:r w:rsidR="001F6487" w:rsidRPr="002A677E">
              <w:rPr>
                <w:rFonts w:ascii="Times New Roman" w:hAnsi="Times New Roman"/>
                <w:sz w:val="24"/>
                <w:lang w:eastAsia="de-DE"/>
              </w:rPr>
              <w:t>:</w:t>
            </w:r>
          </w:p>
          <w:p w14:paraId="4247C82D" w14:textId="77777777"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w:t>
            </w:r>
            <w:r w:rsidRPr="002A677E">
              <w:rPr>
                <w:rFonts w:ascii="Times New Roman" w:hAnsi="Times New Roman"/>
                <w:sz w:val="24"/>
                <w:lang w:eastAsia="de-DE"/>
              </w:rPr>
              <w:tab/>
              <w:t>the largest gross loss amount related to a</w:t>
            </w:r>
            <w:r w:rsidR="005F1EB8"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reported for the first time within the reporting reference period</w:t>
            </w:r>
            <w:r w:rsidR="001F6487" w:rsidRPr="002A677E">
              <w:rPr>
                <w:rFonts w:ascii="Times New Roman" w:hAnsi="Times New Roman"/>
                <w:sz w:val="24"/>
                <w:lang w:eastAsia="de-DE"/>
              </w:rPr>
              <w:t>;</w:t>
            </w:r>
            <w:r w:rsidRPr="002A677E">
              <w:rPr>
                <w:rFonts w:ascii="Times New Roman" w:hAnsi="Times New Roman"/>
                <w:sz w:val="24"/>
                <w:lang w:eastAsia="de-DE"/>
              </w:rPr>
              <w:t xml:space="preserve"> and</w:t>
            </w:r>
          </w:p>
          <w:p w14:paraId="56D74189" w14:textId="77777777"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(ii)</w:t>
            </w:r>
            <w:r w:rsidRPr="002A677E">
              <w:rPr>
                <w:rFonts w:ascii="Times New Roman" w:hAnsi="Times New Roman"/>
                <w:sz w:val="24"/>
                <w:lang w:eastAsia="de-DE"/>
              </w:rPr>
              <w:tab/>
              <w:t>the largest positive loss adjustment amount (</w:t>
            </w:r>
            <w:r w:rsidR="005A2C21" w:rsidRPr="002A677E">
              <w:rPr>
                <w:rFonts w:ascii="Times New Roman" w:hAnsi="Times New Roman"/>
                <w:sz w:val="24"/>
                <w:lang w:eastAsia="de-DE"/>
              </w:rPr>
              <w:t>as referred to in rows 0040, 0140, …, 0840 above</w:t>
            </w:r>
            <w:r w:rsidRPr="002A677E">
              <w:rPr>
                <w:rFonts w:ascii="Times New Roman" w:hAnsi="Times New Roman"/>
                <w:sz w:val="24"/>
                <w:lang w:eastAsia="de-DE"/>
              </w:rPr>
              <w:t>) related to a</w:t>
            </w:r>
            <w:r w:rsidR="005F1EB8"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reported for the first time within a previous reporting reference period.</w:t>
            </w:r>
          </w:p>
          <w:p w14:paraId="1AFA00C9" w14:textId="77777777" w:rsidR="00FD54FC" w:rsidRPr="002A677E" w:rsidRDefault="00FD54FC" w:rsidP="00F52FC6">
            <w:pPr>
              <w:rPr>
                <w:sz w:val="24"/>
                <w:lang w:eastAsia="nl-BE"/>
              </w:rPr>
            </w:pPr>
            <w:r w:rsidRPr="002A677E">
              <w:rPr>
                <w:rFonts w:ascii="Times New Roman" w:hAnsi="Times New Roman"/>
                <w:sz w:val="24"/>
                <w:lang w:eastAsia="de-DE"/>
              </w:rPr>
              <w:t xml:space="preserve">The amounts to be reported </w:t>
            </w:r>
            <w:r w:rsidR="001F6487" w:rsidRPr="002A677E">
              <w:rPr>
                <w:rFonts w:ascii="Times New Roman" w:hAnsi="Times New Roman"/>
                <w:sz w:val="24"/>
                <w:lang w:eastAsia="de-DE"/>
              </w:rPr>
              <w:t>shall</w:t>
            </w:r>
            <w:r w:rsidRPr="002A677E">
              <w:rPr>
                <w:rFonts w:ascii="Times New Roman" w:hAnsi="Times New Roman"/>
                <w:sz w:val="24"/>
                <w:lang w:eastAsia="de-DE"/>
              </w:rPr>
              <w:t xml:space="preserve"> not </w:t>
            </w:r>
            <w:proofErr w:type="gramStart"/>
            <w:r w:rsidRPr="002A677E">
              <w:rPr>
                <w:rFonts w:ascii="Times New Roman" w:hAnsi="Times New Roman"/>
                <w:sz w:val="24"/>
                <w:lang w:eastAsia="de-DE"/>
              </w:rPr>
              <w:t>take into account</w:t>
            </w:r>
            <w:proofErr w:type="gramEnd"/>
            <w:r w:rsidRPr="002A677E">
              <w:rPr>
                <w:rFonts w:ascii="Times New Roman" w:hAnsi="Times New Roman"/>
                <w:sz w:val="24"/>
                <w:lang w:eastAsia="de-DE"/>
              </w:rPr>
              <w:t xml:space="preserve"> obtained recoveries.</w:t>
            </w:r>
          </w:p>
        </w:tc>
      </w:tr>
      <w:tr w:rsidR="00FD54FC" w:rsidRPr="002A677E" w14:paraId="7ED98CBE" w14:textId="77777777" w:rsidTr="00672D2A">
        <w:tc>
          <w:tcPr>
            <w:tcW w:w="1101" w:type="dxa"/>
          </w:tcPr>
          <w:p w14:paraId="1574A031"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660,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760, </w:t>
            </w:r>
            <w:r w:rsidRPr="002A677E">
              <w:rPr>
                <w:rFonts w:ascii="Times New Roman" w:hAnsi="Times New Roman"/>
                <w:bCs/>
                <w:sz w:val="24"/>
                <w:lang w:eastAsia="nl-BE"/>
              </w:rPr>
              <w:t>0</w:t>
            </w:r>
            <w:r w:rsidR="00FD54FC" w:rsidRPr="002A677E">
              <w:rPr>
                <w:rFonts w:ascii="Times New Roman" w:hAnsi="Times New Roman"/>
                <w:bCs/>
                <w:sz w:val="24"/>
                <w:lang w:eastAsia="nl-BE"/>
              </w:rPr>
              <w:t>860</w:t>
            </w:r>
          </w:p>
        </w:tc>
        <w:tc>
          <w:tcPr>
            <w:tcW w:w="8079" w:type="dxa"/>
          </w:tcPr>
          <w:p w14:paraId="36322A87" w14:textId="77777777"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Sum of the five largest losses</w:t>
            </w:r>
          </w:p>
          <w:p w14:paraId="3D9655C2"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sum of the five largest losses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the sum of the five largest amounts among</w:t>
            </w:r>
            <w:r w:rsidR="001F6487" w:rsidRPr="002A677E">
              <w:rPr>
                <w:rFonts w:ascii="Times New Roman" w:hAnsi="Times New Roman"/>
                <w:sz w:val="24"/>
                <w:lang w:eastAsia="de-DE"/>
              </w:rPr>
              <w:t>st:</w:t>
            </w:r>
          </w:p>
          <w:p w14:paraId="4B64CFB7" w14:textId="77777777"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w:t>
            </w:r>
            <w:r w:rsidRPr="002A677E">
              <w:rPr>
                <w:rFonts w:ascii="Times New Roman" w:hAnsi="Times New Roman"/>
                <w:sz w:val="24"/>
                <w:lang w:eastAsia="de-DE"/>
              </w:rPr>
              <w:tab/>
              <w:t xml:space="preserve">the gross loss amounts for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events reported for the first time within the reporting reference period</w:t>
            </w:r>
            <w:r w:rsidR="001F6487" w:rsidRPr="002A677E">
              <w:rPr>
                <w:rFonts w:ascii="Times New Roman" w:hAnsi="Times New Roman"/>
                <w:sz w:val="24"/>
                <w:lang w:eastAsia="de-DE"/>
              </w:rPr>
              <w:t>;</w:t>
            </w:r>
            <w:r w:rsidRPr="002A677E">
              <w:rPr>
                <w:rFonts w:ascii="Times New Roman" w:hAnsi="Times New Roman"/>
                <w:sz w:val="24"/>
                <w:lang w:eastAsia="de-DE"/>
              </w:rPr>
              <w:t xml:space="preserve"> and</w:t>
            </w:r>
          </w:p>
          <w:p w14:paraId="758169F5" w14:textId="77777777" w:rsidR="00FD54FC" w:rsidRPr="002A677E" w:rsidRDefault="00FD54FC" w:rsidP="00FD54FC">
            <w:pPr>
              <w:tabs>
                <w:tab w:val="left" w:pos="459"/>
              </w:tabs>
              <w:ind w:left="459" w:hanging="459"/>
              <w:rPr>
                <w:rFonts w:ascii="Times New Roman" w:hAnsi="Times New Roman"/>
                <w:sz w:val="24"/>
                <w:lang w:eastAsia="de-DE"/>
              </w:rPr>
            </w:pPr>
            <w:r w:rsidRPr="002A677E">
              <w:rPr>
                <w:rFonts w:ascii="Times New Roman" w:hAnsi="Times New Roman"/>
                <w:sz w:val="24"/>
                <w:lang w:eastAsia="de-DE"/>
              </w:rPr>
              <w:t>(ii)</w:t>
            </w:r>
            <w:r w:rsidRPr="002A677E">
              <w:rPr>
                <w:rFonts w:ascii="Times New Roman" w:hAnsi="Times New Roman"/>
                <w:sz w:val="24"/>
                <w:lang w:eastAsia="de-DE"/>
              </w:rPr>
              <w:tab/>
              <w:t xml:space="preserve">the positive loss adjustment amounts </w:t>
            </w:r>
            <w:r w:rsidR="00F52FC6" w:rsidRPr="002A677E">
              <w:rPr>
                <w:rFonts w:ascii="Times New Roman" w:hAnsi="Times New Roman"/>
                <w:sz w:val="24"/>
                <w:lang w:eastAsia="de-DE"/>
              </w:rPr>
              <w:t xml:space="preserve">(as defined for rows </w:t>
            </w:r>
            <w:r w:rsidR="005A2C21" w:rsidRPr="002A677E">
              <w:rPr>
                <w:rFonts w:ascii="Times New Roman" w:hAnsi="Times New Roman"/>
                <w:sz w:val="24"/>
                <w:lang w:eastAsia="de-DE"/>
              </w:rPr>
              <w:t>0</w:t>
            </w:r>
            <w:r w:rsidR="00F52FC6" w:rsidRPr="002A677E">
              <w:rPr>
                <w:rFonts w:ascii="Times New Roman" w:hAnsi="Times New Roman"/>
                <w:sz w:val="24"/>
                <w:lang w:eastAsia="de-DE"/>
              </w:rPr>
              <w:t xml:space="preserve">040, </w:t>
            </w:r>
            <w:r w:rsidR="005A2C21" w:rsidRPr="002A677E">
              <w:rPr>
                <w:rFonts w:ascii="Times New Roman" w:hAnsi="Times New Roman"/>
                <w:sz w:val="24"/>
                <w:lang w:eastAsia="de-DE"/>
              </w:rPr>
              <w:t>0</w:t>
            </w:r>
            <w:r w:rsidR="00F52FC6" w:rsidRPr="002A677E">
              <w:rPr>
                <w:rFonts w:ascii="Times New Roman" w:hAnsi="Times New Roman"/>
                <w:sz w:val="24"/>
                <w:lang w:eastAsia="de-DE"/>
              </w:rPr>
              <w:t xml:space="preserve">140, …, </w:t>
            </w:r>
            <w:r w:rsidR="005A2C21" w:rsidRPr="002A677E">
              <w:rPr>
                <w:rFonts w:ascii="Times New Roman" w:hAnsi="Times New Roman"/>
                <w:sz w:val="24"/>
                <w:lang w:eastAsia="de-DE"/>
              </w:rPr>
              <w:t>0</w:t>
            </w:r>
            <w:r w:rsidR="00F52FC6" w:rsidRPr="002A677E">
              <w:rPr>
                <w:rFonts w:ascii="Times New Roman" w:hAnsi="Times New Roman"/>
                <w:sz w:val="24"/>
                <w:lang w:eastAsia="de-DE"/>
              </w:rPr>
              <w:t xml:space="preserve">840 above) relating to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reported for the first time within a previous reporting reference period. The amount which can qualify as one of the five largest ones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the amount of the loss adjustment itself, not the total loss associated with the respective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 before or after the loss adjustment.</w:t>
            </w:r>
          </w:p>
          <w:p w14:paraId="00CACAFA" w14:textId="77777777" w:rsidR="00FD54FC" w:rsidRPr="002A677E" w:rsidRDefault="00FD54FC" w:rsidP="00F52FC6">
            <w:pPr>
              <w:rPr>
                <w:sz w:val="24"/>
                <w:lang w:eastAsia="nl-BE"/>
              </w:rPr>
            </w:pPr>
            <w:r w:rsidRPr="002A677E">
              <w:rPr>
                <w:rFonts w:ascii="Times New Roman" w:hAnsi="Times New Roman"/>
                <w:sz w:val="24"/>
                <w:lang w:eastAsia="de-DE"/>
              </w:rPr>
              <w:lastRenderedPageBreak/>
              <w:t xml:space="preserve">The amounts to be reported </w:t>
            </w:r>
            <w:r w:rsidR="001F6487" w:rsidRPr="002A677E">
              <w:rPr>
                <w:rFonts w:ascii="Times New Roman" w:hAnsi="Times New Roman"/>
                <w:sz w:val="24"/>
                <w:lang w:eastAsia="de-DE"/>
              </w:rPr>
              <w:t>shall</w:t>
            </w:r>
            <w:r w:rsidRPr="002A677E">
              <w:rPr>
                <w:rFonts w:ascii="Times New Roman" w:hAnsi="Times New Roman"/>
                <w:sz w:val="24"/>
                <w:lang w:eastAsia="de-DE"/>
              </w:rPr>
              <w:t xml:space="preserve"> not </w:t>
            </w:r>
            <w:proofErr w:type="gramStart"/>
            <w:r w:rsidRPr="002A677E">
              <w:rPr>
                <w:rFonts w:ascii="Times New Roman" w:hAnsi="Times New Roman"/>
                <w:sz w:val="24"/>
                <w:lang w:eastAsia="de-DE"/>
              </w:rPr>
              <w:t>take into account</w:t>
            </w:r>
            <w:proofErr w:type="gramEnd"/>
            <w:r w:rsidRPr="002A677E">
              <w:rPr>
                <w:rFonts w:ascii="Times New Roman" w:hAnsi="Times New Roman"/>
                <w:sz w:val="24"/>
                <w:lang w:eastAsia="de-DE"/>
              </w:rPr>
              <w:t xml:space="preserve"> obtained recoveries.</w:t>
            </w:r>
          </w:p>
        </w:tc>
      </w:tr>
      <w:tr w:rsidR="00FD54FC" w:rsidRPr="002A677E" w14:paraId="5406E1EB" w14:textId="77777777" w:rsidTr="00672D2A">
        <w:tc>
          <w:tcPr>
            <w:tcW w:w="1101" w:type="dxa"/>
          </w:tcPr>
          <w:p w14:paraId="7AF95081"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 xml:space="preserve">070,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270,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670,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770, </w:t>
            </w:r>
            <w:r w:rsidRPr="002A677E">
              <w:rPr>
                <w:rFonts w:ascii="Times New Roman" w:hAnsi="Times New Roman"/>
                <w:bCs/>
                <w:sz w:val="24"/>
                <w:lang w:eastAsia="nl-BE"/>
              </w:rPr>
              <w:t>0</w:t>
            </w:r>
            <w:r w:rsidR="00FD54FC" w:rsidRPr="002A677E">
              <w:rPr>
                <w:rFonts w:ascii="Times New Roman" w:hAnsi="Times New Roman"/>
                <w:bCs/>
                <w:sz w:val="24"/>
                <w:lang w:eastAsia="nl-BE"/>
              </w:rPr>
              <w:t>870</w:t>
            </w:r>
          </w:p>
        </w:tc>
        <w:tc>
          <w:tcPr>
            <w:tcW w:w="8079" w:type="dxa"/>
          </w:tcPr>
          <w:p w14:paraId="4992576E" w14:textId="77777777" w:rsidR="00FD54FC" w:rsidRPr="002A677E" w:rsidRDefault="00B34B0B" w:rsidP="00FD54FC">
            <w:pPr>
              <w:rPr>
                <w:sz w:val="24"/>
                <w:lang w:eastAsia="de-DE"/>
              </w:rPr>
            </w:pPr>
            <w:r w:rsidRPr="002A677E">
              <w:rPr>
                <w:rStyle w:val="InstructionsTabelleberschrift"/>
                <w:rFonts w:ascii="Times New Roman" w:hAnsi="Times New Roman"/>
                <w:sz w:val="24"/>
                <w:lang w:eastAsia="es-ES_tradnl"/>
              </w:rPr>
              <w:t>Total d</w:t>
            </w:r>
            <w:r w:rsidR="00FD54FC" w:rsidRPr="002A677E">
              <w:rPr>
                <w:rStyle w:val="InstructionsTabelleberschrift"/>
                <w:rFonts w:ascii="Times New Roman" w:hAnsi="Times New Roman"/>
                <w:sz w:val="24"/>
                <w:lang w:eastAsia="es-ES_tradnl"/>
              </w:rPr>
              <w:t>irect</w:t>
            </w:r>
            <w:r w:rsidRPr="002A677E">
              <w:rPr>
                <w:rStyle w:val="InstructionsTabelleberschrift"/>
                <w:rFonts w:ascii="Times New Roman" w:hAnsi="Times New Roman"/>
                <w:sz w:val="24"/>
                <w:lang w:eastAsia="es-ES_tradnl"/>
              </w:rPr>
              <w:t xml:space="preserve"> loss </w:t>
            </w:r>
            <w:r w:rsidRPr="002A677E">
              <w:rPr>
                <w:rStyle w:val="InstructionsTabelleberschrift"/>
                <w:rFonts w:ascii="Times New Roman" w:hAnsi="Times New Roman"/>
                <w:sz w:val="24"/>
              </w:rPr>
              <w:t>r</w:t>
            </w:r>
            <w:r w:rsidR="00FD54FC" w:rsidRPr="002A677E">
              <w:rPr>
                <w:rStyle w:val="InstructionsTabelleberschrift"/>
                <w:rFonts w:ascii="Times New Roman" w:hAnsi="Times New Roman"/>
                <w:sz w:val="24"/>
              </w:rPr>
              <w:t>ecover</w:t>
            </w:r>
            <w:r w:rsidRPr="002A677E">
              <w:rPr>
                <w:rStyle w:val="InstructionsTabelleberschrift"/>
                <w:rFonts w:ascii="Times New Roman" w:hAnsi="Times New Roman"/>
                <w:sz w:val="24"/>
              </w:rPr>
              <w:t>y</w:t>
            </w:r>
          </w:p>
          <w:p w14:paraId="0E30E677" w14:textId="793292FF"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Direct </w:t>
            </w:r>
            <w:r w:rsidR="001F6487" w:rsidRPr="002A677E">
              <w:rPr>
                <w:rFonts w:ascii="Times New Roman" w:hAnsi="Times New Roman"/>
                <w:sz w:val="24"/>
                <w:lang w:eastAsia="de-DE"/>
              </w:rPr>
              <w:t xml:space="preserve">loss </w:t>
            </w:r>
            <w:r w:rsidRPr="002A677E">
              <w:rPr>
                <w:rFonts w:ascii="Times New Roman" w:hAnsi="Times New Roman"/>
                <w:sz w:val="24"/>
                <w:lang w:eastAsia="de-DE"/>
              </w:rPr>
              <w:t xml:space="preserve">recoveries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w:t>
            </w:r>
            <w:r w:rsidR="005A020C" w:rsidRPr="002A677E">
              <w:rPr>
                <w:rFonts w:ascii="Times New Roman" w:hAnsi="Times New Roman"/>
                <w:sz w:val="24"/>
                <w:lang w:eastAsia="de-DE"/>
              </w:rPr>
              <w:t xml:space="preserve">all </w:t>
            </w:r>
            <w:r w:rsidR="001F6487" w:rsidRPr="002A677E">
              <w:rPr>
                <w:rFonts w:ascii="Times New Roman" w:hAnsi="Times New Roman"/>
                <w:sz w:val="24"/>
                <w:lang w:eastAsia="de-DE"/>
              </w:rPr>
              <w:t xml:space="preserve">loss </w:t>
            </w:r>
            <w:r w:rsidRPr="002A677E">
              <w:rPr>
                <w:rFonts w:ascii="Times New Roman" w:hAnsi="Times New Roman"/>
                <w:sz w:val="24"/>
                <w:lang w:eastAsia="de-DE"/>
              </w:rPr>
              <w:t>recoveries obtained</w:t>
            </w:r>
            <w:r w:rsidR="001F6487" w:rsidRPr="002A677E">
              <w:rPr>
                <w:rFonts w:ascii="Times New Roman" w:hAnsi="Times New Roman"/>
                <w:sz w:val="24"/>
                <w:lang w:eastAsia="de-DE"/>
              </w:rPr>
              <w:t>,</w:t>
            </w:r>
            <w:r w:rsidRPr="002A677E">
              <w:rPr>
                <w:rFonts w:ascii="Times New Roman" w:hAnsi="Times New Roman"/>
                <w:sz w:val="24"/>
                <w:lang w:eastAsia="de-DE"/>
              </w:rPr>
              <w:t xml:space="preserve"> </w:t>
            </w:r>
            <w:r w:rsidR="005A020C" w:rsidRPr="002A677E">
              <w:rPr>
                <w:rFonts w:ascii="Times New Roman" w:hAnsi="Times New Roman"/>
                <w:sz w:val="24"/>
                <w:lang w:eastAsia="de-DE"/>
              </w:rPr>
              <w:t>except those which</w:t>
            </w:r>
            <w:r w:rsidR="00070AF9" w:rsidRPr="002A677E">
              <w:rPr>
                <w:rFonts w:ascii="Times New Roman" w:hAnsi="Times New Roman"/>
                <w:sz w:val="24"/>
                <w:lang w:eastAsia="de-DE"/>
              </w:rPr>
              <w:t xml:space="preserve"> are subject to </w:t>
            </w:r>
            <w:r w:rsidR="00FD17D7">
              <w:rPr>
                <w:rFonts w:ascii="Times New Roman" w:hAnsi="Times New Roman"/>
                <w:sz w:val="24"/>
                <w:lang w:eastAsia="de-DE"/>
              </w:rPr>
              <w:t>insurance</w:t>
            </w:r>
            <w:r w:rsidR="00F52FC6" w:rsidRPr="002A677E">
              <w:rPr>
                <w:rFonts w:ascii="Times New Roman" w:hAnsi="Times New Roman"/>
                <w:sz w:val="24"/>
                <w:lang w:eastAsia="de-DE"/>
              </w:rPr>
              <w:t xml:space="preserve"> as </w:t>
            </w:r>
            <w:r w:rsidR="005F1EB8" w:rsidRPr="002A677E">
              <w:rPr>
                <w:rFonts w:ascii="Times New Roman" w:hAnsi="Times New Roman"/>
                <w:sz w:val="24"/>
                <w:lang w:eastAsia="de-DE"/>
              </w:rPr>
              <w:t xml:space="preserve">referred to </w:t>
            </w:r>
            <w:r w:rsidR="00F52FC6" w:rsidRPr="002A677E">
              <w:rPr>
                <w:rFonts w:ascii="Times New Roman" w:hAnsi="Times New Roman"/>
                <w:sz w:val="24"/>
                <w:lang w:eastAsia="de-DE"/>
              </w:rPr>
              <w:t xml:space="preserve">in the row </w:t>
            </w:r>
            <w:r w:rsidR="0023276A" w:rsidRPr="002A677E">
              <w:rPr>
                <w:rFonts w:ascii="Times New Roman" w:hAnsi="Times New Roman"/>
                <w:sz w:val="24"/>
                <w:lang w:eastAsia="de-DE"/>
              </w:rPr>
              <w:t xml:space="preserve">of this table </w:t>
            </w:r>
            <w:r w:rsidR="00F52FC6" w:rsidRPr="002A677E">
              <w:rPr>
                <w:rFonts w:ascii="Times New Roman" w:hAnsi="Times New Roman"/>
                <w:sz w:val="24"/>
                <w:lang w:eastAsia="de-DE"/>
              </w:rPr>
              <w:t>below</w:t>
            </w:r>
            <w:r w:rsidRPr="002A677E">
              <w:rPr>
                <w:rFonts w:ascii="Times New Roman" w:hAnsi="Times New Roman"/>
                <w:sz w:val="24"/>
                <w:lang w:eastAsia="de-DE"/>
              </w:rPr>
              <w:t xml:space="preserve">. </w:t>
            </w:r>
          </w:p>
          <w:p w14:paraId="49A16F4E" w14:textId="77777777" w:rsidR="00FD54FC" w:rsidRDefault="00FD54FC" w:rsidP="00FD54FC">
            <w:pPr>
              <w:rPr>
                <w:rFonts w:ascii="Times New Roman" w:hAnsi="Times New Roman"/>
                <w:sz w:val="24"/>
                <w:lang w:eastAsia="de-DE"/>
              </w:rPr>
            </w:pPr>
            <w:r w:rsidRPr="002A677E">
              <w:rPr>
                <w:rFonts w:ascii="Times New Roman" w:hAnsi="Times New Roman"/>
                <w:sz w:val="24"/>
                <w:lang w:eastAsia="de-DE"/>
              </w:rPr>
              <w:t xml:space="preserve">The </w:t>
            </w:r>
            <w:r w:rsidR="00F52FC6" w:rsidRPr="002A677E">
              <w:rPr>
                <w:rFonts w:ascii="Times New Roman" w:hAnsi="Times New Roman"/>
                <w:sz w:val="24"/>
                <w:lang w:eastAsia="de-DE"/>
              </w:rPr>
              <w:t>t</w:t>
            </w:r>
            <w:r w:rsidRPr="002A677E">
              <w:rPr>
                <w:rFonts w:ascii="Times New Roman" w:hAnsi="Times New Roman"/>
                <w:sz w:val="24"/>
                <w:lang w:eastAsia="de-DE"/>
              </w:rPr>
              <w:t xml:space="preserve">otal direct loss recovery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the sum of all the direct recoveries and adjustments to direct recoveries accounted for within the reporting period and pertinent to operational risk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events accounted for the first time within the reporting reference period or in previous reporting reference periods.</w:t>
            </w:r>
          </w:p>
          <w:p w14:paraId="05060BFF" w14:textId="77777777" w:rsidR="008A1E95" w:rsidRPr="002A677E" w:rsidRDefault="008A1E95" w:rsidP="00594639">
            <w:pPr>
              <w:spacing w:after="0"/>
              <w:rPr>
                <w:b/>
                <w:sz w:val="24"/>
                <w:lang w:eastAsia="nl-BE"/>
              </w:rPr>
            </w:pPr>
          </w:p>
        </w:tc>
      </w:tr>
      <w:tr w:rsidR="00FD54FC" w:rsidRPr="002A677E" w14:paraId="634FF9D5" w14:textId="77777777" w:rsidTr="00672D2A">
        <w:tc>
          <w:tcPr>
            <w:tcW w:w="1101" w:type="dxa"/>
          </w:tcPr>
          <w:p w14:paraId="2715DBA0" w14:textId="77777777" w:rsidR="00FD54FC" w:rsidRPr="002A677E" w:rsidRDefault="00C93FC2" w:rsidP="00FD54F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080,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180, </w:t>
            </w:r>
            <w:r w:rsidRPr="002A677E">
              <w:rPr>
                <w:rFonts w:ascii="Times New Roman" w:hAnsi="Times New Roman"/>
                <w:bCs/>
                <w:sz w:val="24"/>
                <w:lang w:eastAsia="nl-BE"/>
              </w:rPr>
              <w:t>0</w:t>
            </w:r>
            <w:r w:rsidR="00FD54FC" w:rsidRPr="002A677E">
              <w:rPr>
                <w:rFonts w:ascii="Times New Roman" w:hAnsi="Times New Roman"/>
                <w:sz w:val="24"/>
                <w:lang w:eastAsia="de-DE"/>
              </w:rPr>
              <w:t>280</w:t>
            </w:r>
            <w:r w:rsidR="00FD54FC" w:rsidRPr="002A677E">
              <w:rPr>
                <w:rFonts w:ascii="Times New Roman" w:hAnsi="Times New Roman"/>
                <w:bCs/>
                <w:sz w:val="24"/>
                <w:lang w:eastAsia="nl-BE"/>
              </w:rPr>
              <w:t xml:space="preserve">,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380,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480,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580,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680, </w:t>
            </w:r>
            <w:r w:rsidRPr="002A677E">
              <w:rPr>
                <w:rFonts w:ascii="Times New Roman" w:hAnsi="Times New Roman"/>
                <w:bCs/>
                <w:sz w:val="24"/>
                <w:lang w:eastAsia="nl-BE"/>
              </w:rPr>
              <w:t>0</w:t>
            </w:r>
            <w:r w:rsidR="00FD54FC" w:rsidRPr="002A677E">
              <w:rPr>
                <w:rFonts w:ascii="Times New Roman" w:hAnsi="Times New Roman"/>
                <w:bCs/>
                <w:sz w:val="24"/>
                <w:lang w:eastAsia="nl-BE"/>
              </w:rPr>
              <w:t xml:space="preserve">780, </w:t>
            </w:r>
            <w:r w:rsidRPr="002A677E">
              <w:rPr>
                <w:rFonts w:ascii="Times New Roman" w:hAnsi="Times New Roman"/>
                <w:bCs/>
                <w:sz w:val="24"/>
                <w:lang w:eastAsia="nl-BE"/>
              </w:rPr>
              <w:t>0</w:t>
            </w:r>
            <w:r w:rsidR="00FD54FC" w:rsidRPr="002A677E">
              <w:rPr>
                <w:rFonts w:ascii="Times New Roman" w:hAnsi="Times New Roman"/>
                <w:bCs/>
                <w:sz w:val="24"/>
                <w:lang w:eastAsia="nl-BE"/>
              </w:rPr>
              <w:t>880</w:t>
            </w:r>
          </w:p>
        </w:tc>
        <w:tc>
          <w:tcPr>
            <w:tcW w:w="8079" w:type="dxa"/>
          </w:tcPr>
          <w:p w14:paraId="0C974825" w14:textId="243E2BDC" w:rsidR="00FD54FC" w:rsidRPr="002A677E" w:rsidRDefault="00FD54FC" w:rsidP="00FD54FC">
            <w:pPr>
              <w:rPr>
                <w:rStyle w:val="InstructionsTabelleberschrift"/>
                <w:rFonts w:ascii="Times New Roman" w:hAnsi="Times New Roman"/>
                <w:sz w:val="24"/>
                <w:lang w:eastAsia="es-ES_tradnl"/>
              </w:rPr>
            </w:pPr>
            <w:r w:rsidRPr="002A677E">
              <w:rPr>
                <w:rStyle w:val="InstructionsTabelleberschrift"/>
                <w:rFonts w:ascii="Times New Roman" w:hAnsi="Times New Roman"/>
                <w:sz w:val="24"/>
                <w:lang w:eastAsia="es-ES_tradnl"/>
              </w:rPr>
              <w:t xml:space="preserve">Total </w:t>
            </w:r>
            <w:r w:rsidRPr="002A677E">
              <w:rPr>
                <w:rStyle w:val="InstructionsTabelleberschrift"/>
                <w:rFonts w:ascii="Times New Roman" w:hAnsi="Times New Roman"/>
                <w:sz w:val="24"/>
              </w:rPr>
              <w:t>recovery</w:t>
            </w:r>
            <w:r w:rsidRPr="002A677E">
              <w:rPr>
                <w:rStyle w:val="InstructionsTabelleberschrift"/>
                <w:rFonts w:ascii="Times New Roman" w:hAnsi="Times New Roman"/>
                <w:sz w:val="24"/>
                <w:lang w:eastAsia="es-ES_tradnl"/>
              </w:rPr>
              <w:t xml:space="preserve"> from insurance </w:t>
            </w:r>
          </w:p>
          <w:p w14:paraId="22B75DB4" w14:textId="24AD70C9"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Recoveries from insurance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those recoveries </w:t>
            </w:r>
            <w:r w:rsidR="00831ABE">
              <w:rPr>
                <w:rFonts w:ascii="Times New Roman" w:hAnsi="Times New Roman"/>
                <w:sz w:val="24"/>
                <w:lang w:eastAsia="de-DE"/>
              </w:rPr>
              <w:t>in accordance with</w:t>
            </w:r>
            <w:r w:rsidR="007907BA">
              <w:rPr>
                <w:rFonts w:ascii="Times New Roman" w:hAnsi="Times New Roman"/>
                <w:sz w:val="24"/>
                <w:lang w:eastAsia="de-DE"/>
              </w:rPr>
              <w:t xml:space="preserve"> Article 317(1) and</w:t>
            </w:r>
            <w:r w:rsidR="00070AF9" w:rsidRPr="002A677E">
              <w:rPr>
                <w:rFonts w:ascii="Times New Roman" w:hAnsi="Times New Roman"/>
                <w:sz w:val="24"/>
                <w:lang w:eastAsia="de-DE"/>
              </w:rPr>
              <w:t xml:space="preserve"> </w:t>
            </w:r>
            <w:r w:rsidRPr="002A677E">
              <w:rPr>
                <w:rFonts w:ascii="Times New Roman" w:hAnsi="Times New Roman"/>
                <w:sz w:val="24"/>
                <w:lang w:eastAsia="de-DE"/>
              </w:rPr>
              <w:t>Article 3</w:t>
            </w:r>
            <w:r w:rsidR="00DE0496">
              <w:rPr>
                <w:rFonts w:ascii="Times New Roman" w:hAnsi="Times New Roman"/>
                <w:sz w:val="24"/>
                <w:lang w:eastAsia="de-DE"/>
              </w:rPr>
              <w:t>18</w:t>
            </w:r>
            <w:r w:rsidRPr="002A677E">
              <w:rPr>
                <w:rFonts w:ascii="Times New Roman" w:hAnsi="Times New Roman"/>
                <w:sz w:val="24"/>
                <w:lang w:eastAsia="de-DE"/>
              </w:rPr>
              <w:t xml:space="preserve"> </w:t>
            </w:r>
            <w:r w:rsidR="0095353C" w:rsidRPr="001235ED">
              <w:rPr>
                <w:rFonts w:ascii="Times New Roman" w:hAnsi="Times New Roman"/>
                <w:sz w:val="24"/>
                <w:lang w:val="en-US"/>
              </w:rPr>
              <w:t>of Regulation (EU) No 575/2013</w:t>
            </w:r>
            <w:r w:rsidRPr="002A677E">
              <w:rPr>
                <w:rFonts w:ascii="Times New Roman" w:hAnsi="Times New Roman"/>
                <w:sz w:val="24"/>
                <w:lang w:eastAsia="de-DE"/>
              </w:rPr>
              <w:t xml:space="preserve">. </w:t>
            </w:r>
          </w:p>
          <w:p w14:paraId="6F9286F3" w14:textId="3EB99CA9" w:rsidR="00FD54FC" w:rsidRPr="002A677E" w:rsidRDefault="00FD54FC" w:rsidP="00070AF9">
            <w:pPr>
              <w:rPr>
                <w:sz w:val="24"/>
                <w:lang w:eastAsia="nl-BE"/>
              </w:rPr>
            </w:pPr>
            <w:r w:rsidRPr="002A677E">
              <w:rPr>
                <w:rFonts w:ascii="Times New Roman" w:hAnsi="Times New Roman"/>
                <w:sz w:val="24"/>
                <w:lang w:eastAsia="de-DE"/>
              </w:rPr>
              <w:t xml:space="preserve">The </w:t>
            </w:r>
            <w:r w:rsidR="00070AF9" w:rsidRPr="002A677E">
              <w:rPr>
                <w:rFonts w:ascii="Times New Roman" w:hAnsi="Times New Roman"/>
                <w:sz w:val="24"/>
                <w:lang w:eastAsia="de-DE"/>
              </w:rPr>
              <w:t>t</w:t>
            </w:r>
            <w:r w:rsidRPr="002A677E">
              <w:rPr>
                <w:rFonts w:ascii="Times New Roman" w:hAnsi="Times New Roman"/>
                <w:sz w:val="24"/>
                <w:lang w:eastAsia="de-DE"/>
              </w:rPr>
              <w:t xml:space="preserve">otal recovery from insurance </w:t>
            </w:r>
            <w:r w:rsidR="001F6487" w:rsidRPr="002A677E">
              <w:rPr>
                <w:rFonts w:ascii="Times New Roman" w:hAnsi="Times New Roman"/>
                <w:sz w:val="24"/>
                <w:lang w:eastAsia="de-DE"/>
              </w:rPr>
              <w:t>shall be</w:t>
            </w:r>
            <w:r w:rsidRPr="002A677E">
              <w:rPr>
                <w:rFonts w:ascii="Times New Roman" w:hAnsi="Times New Roman"/>
                <w:sz w:val="24"/>
                <w:lang w:eastAsia="de-DE"/>
              </w:rPr>
              <w:t xml:space="preserve"> the sum of all recoveries from insurance and adjustments to such recoveries accounted </w:t>
            </w:r>
            <w:r w:rsidR="001F6487" w:rsidRPr="002A677E">
              <w:rPr>
                <w:rFonts w:ascii="Times New Roman" w:hAnsi="Times New Roman"/>
                <w:sz w:val="24"/>
                <w:lang w:eastAsia="de-DE"/>
              </w:rPr>
              <w:t xml:space="preserve">for </w:t>
            </w:r>
            <w:r w:rsidRPr="002A677E">
              <w:rPr>
                <w:rFonts w:ascii="Times New Roman" w:hAnsi="Times New Roman"/>
                <w:sz w:val="24"/>
                <w:lang w:eastAsia="de-DE"/>
              </w:rPr>
              <w:t xml:space="preserve">within the reporting reference period and pertinent to operational risk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events accounted for the first time within the reporting reference period or in previous reporting reference periods.</w:t>
            </w:r>
          </w:p>
        </w:tc>
      </w:tr>
      <w:tr w:rsidR="00FD54FC" w:rsidRPr="002A677E" w14:paraId="331252AE" w14:textId="77777777" w:rsidTr="00672D2A">
        <w:tc>
          <w:tcPr>
            <w:tcW w:w="1101" w:type="dxa"/>
          </w:tcPr>
          <w:p w14:paraId="0E304D67" w14:textId="77777777" w:rsidR="00FD54FC" w:rsidRPr="002A677E" w:rsidRDefault="00C93FC2" w:rsidP="000F70EC">
            <w:pPr>
              <w:rPr>
                <w:rFonts w:ascii="Times New Roman" w:hAnsi="Times New Roman"/>
                <w:bCs/>
                <w:sz w:val="24"/>
                <w:lang w:eastAsia="nl-BE"/>
              </w:rPr>
            </w:pPr>
            <w:r w:rsidRPr="002A677E">
              <w:rPr>
                <w:rFonts w:ascii="Times New Roman" w:hAnsi="Times New Roman"/>
                <w:sz w:val="24"/>
                <w:lang w:eastAsia="de-DE"/>
              </w:rPr>
              <w:t>0</w:t>
            </w:r>
            <w:r w:rsidR="00FD54FC" w:rsidRPr="002A677E">
              <w:rPr>
                <w:rFonts w:ascii="Times New Roman" w:hAnsi="Times New Roman"/>
                <w:sz w:val="24"/>
                <w:lang w:eastAsia="de-DE"/>
              </w:rPr>
              <w:t>910</w:t>
            </w:r>
            <w:r w:rsidR="00FD54FC" w:rsidRPr="002A677E">
              <w:rPr>
                <w:rFonts w:ascii="Times New Roman" w:hAnsi="Times New Roman"/>
                <w:bCs/>
                <w:sz w:val="24"/>
                <w:lang w:eastAsia="nl-BE"/>
              </w:rPr>
              <w:t>-</w:t>
            </w:r>
            <w:r w:rsidRPr="002A677E">
              <w:rPr>
                <w:rFonts w:ascii="Times New Roman" w:hAnsi="Times New Roman"/>
                <w:bCs/>
                <w:sz w:val="24"/>
                <w:lang w:eastAsia="nl-BE"/>
              </w:rPr>
              <w:t>0</w:t>
            </w:r>
            <w:r w:rsidR="00FD54FC" w:rsidRPr="002A677E">
              <w:rPr>
                <w:rFonts w:ascii="Times New Roman" w:hAnsi="Times New Roman"/>
                <w:bCs/>
                <w:sz w:val="24"/>
                <w:lang w:eastAsia="nl-BE"/>
              </w:rPr>
              <w:t>980</w:t>
            </w:r>
          </w:p>
        </w:tc>
        <w:tc>
          <w:tcPr>
            <w:tcW w:w="8079" w:type="dxa"/>
          </w:tcPr>
          <w:p w14:paraId="6E1626E8"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TOTAL BUSINESS LINES</w:t>
            </w:r>
          </w:p>
          <w:p w14:paraId="62DF7EDA" w14:textId="77777777" w:rsidR="00FD54FC" w:rsidRPr="002A677E" w:rsidRDefault="00FD54FC" w:rsidP="00F114E6">
            <w:pPr>
              <w:rPr>
                <w:rFonts w:ascii="Times New Roman" w:hAnsi="Times New Roman"/>
                <w:sz w:val="24"/>
                <w:lang w:eastAsia="de-DE"/>
              </w:rPr>
            </w:pPr>
            <w:r w:rsidRPr="002A677E">
              <w:rPr>
                <w:rFonts w:ascii="Times New Roman" w:hAnsi="Times New Roman"/>
                <w:sz w:val="24"/>
                <w:lang w:eastAsia="de-DE"/>
              </w:rPr>
              <w:t xml:space="preserve">For each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 type (column </w:t>
            </w:r>
            <w:r w:rsidR="005A2C21" w:rsidRPr="002A677E">
              <w:rPr>
                <w:rFonts w:ascii="Times New Roman" w:hAnsi="Times New Roman"/>
                <w:sz w:val="24"/>
                <w:lang w:eastAsia="de-DE"/>
              </w:rPr>
              <w:t>0</w:t>
            </w:r>
            <w:r w:rsidRPr="002A677E">
              <w:rPr>
                <w:rFonts w:ascii="Times New Roman" w:hAnsi="Times New Roman"/>
                <w:sz w:val="24"/>
                <w:lang w:eastAsia="de-DE"/>
              </w:rPr>
              <w:t xml:space="preserve">010 to </w:t>
            </w:r>
            <w:r w:rsidR="005A2C21" w:rsidRPr="002A677E">
              <w:rPr>
                <w:rFonts w:ascii="Times New Roman" w:hAnsi="Times New Roman"/>
                <w:sz w:val="24"/>
                <w:lang w:eastAsia="de-DE"/>
              </w:rPr>
              <w:t>0</w:t>
            </w:r>
            <w:r w:rsidRPr="002A677E">
              <w:rPr>
                <w:rFonts w:ascii="Times New Roman" w:hAnsi="Times New Roman"/>
                <w:sz w:val="24"/>
                <w:lang w:eastAsia="de-DE"/>
              </w:rPr>
              <w:t>080), the information</w:t>
            </w:r>
            <w:r w:rsidR="00F114E6" w:rsidRPr="002A677E">
              <w:rPr>
                <w:rFonts w:ascii="Times New Roman" w:hAnsi="Times New Roman"/>
                <w:sz w:val="24"/>
                <w:lang w:eastAsia="de-DE"/>
              </w:rPr>
              <w:t xml:space="preserve"> </w:t>
            </w:r>
            <w:r w:rsidRPr="002A677E">
              <w:rPr>
                <w:rFonts w:ascii="Times New Roman" w:hAnsi="Times New Roman"/>
                <w:sz w:val="24"/>
                <w:lang w:eastAsia="de-DE"/>
              </w:rPr>
              <w:t xml:space="preserve">on total business lines </w:t>
            </w:r>
            <w:proofErr w:type="gramStart"/>
            <w:r w:rsidRPr="002A677E">
              <w:rPr>
                <w:rFonts w:ascii="Times New Roman" w:hAnsi="Times New Roman"/>
                <w:sz w:val="24"/>
                <w:lang w:eastAsia="de-DE"/>
              </w:rPr>
              <w:t>has to</w:t>
            </w:r>
            <w:proofErr w:type="gramEnd"/>
            <w:r w:rsidRPr="002A677E">
              <w:rPr>
                <w:rFonts w:ascii="Times New Roman" w:hAnsi="Times New Roman"/>
                <w:sz w:val="24"/>
                <w:lang w:eastAsia="de-DE"/>
              </w:rPr>
              <w:t xml:space="preserve"> be reported.</w:t>
            </w:r>
          </w:p>
        </w:tc>
      </w:tr>
      <w:tr w:rsidR="00FD54FC" w:rsidRPr="002A677E" w14:paraId="5E001C76" w14:textId="77777777" w:rsidTr="00672D2A">
        <w:tc>
          <w:tcPr>
            <w:tcW w:w="1101" w:type="dxa"/>
          </w:tcPr>
          <w:p w14:paraId="60FA9CC0" w14:textId="77777777" w:rsidR="00FD54FC" w:rsidRPr="002A677E" w:rsidRDefault="00C93FC2" w:rsidP="000F70EC">
            <w:pPr>
              <w:rPr>
                <w:rFonts w:ascii="Times New Roman" w:hAnsi="Times New Roman"/>
                <w:bCs/>
                <w:sz w:val="24"/>
                <w:lang w:eastAsia="nl-BE"/>
              </w:rPr>
            </w:pPr>
            <w:r w:rsidRPr="002A677E">
              <w:rPr>
                <w:rFonts w:ascii="Times New Roman" w:hAnsi="Times New Roman"/>
                <w:bCs/>
                <w:sz w:val="24"/>
                <w:lang w:eastAsia="nl-BE"/>
              </w:rPr>
              <w:t>0</w:t>
            </w:r>
            <w:r w:rsidR="00FD54FC" w:rsidRPr="002A677E">
              <w:rPr>
                <w:rFonts w:ascii="Times New Roman" w:hAnsi="Times New Roman"/>
                <w:bCs/>
                <w:sz w:val="24"/>
                <w:lang w:eastAsia="nl-BE"/>
              </w:rPr>
              <w:t>910-</w:t>
            </w:r>
            <w:r w:rsidRPr="002A677E">
              <w:rPr>
                <w:rFonts w:ascii="Times New Roman" w:hAnsi="Times New Roman"/>
                <w:bCs/>
                <w:sz w:val="24"/>
                <w:lang w:eastAsia="nl-BE"/>
              </w:rPr>
              <w:t>0</w:t>
            </w:r>
            <w:r w:rsidR="00FD54FC" w:rsidRPr="002A677E">
              <w:rPr>
                <w:rFonts w:ascii="Times New Roman" w:hAnsi="Times New Roman"/>
                <w:bCs/>
                <w:sz w:val="24"/>
                <w:lang w:eastAsia="nl-BE"/>
              </w:rPr>
              <w:t>914</w:t>
            </w:r>
          </w:p>
        </w:tc>
        <w:tc>
          <w:tcPr>
            <w:tcW w:w="8079" w:type="dxa"/>
          </w:tcPr>
          <w:p w14:paraId="095C4CCB"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Number of </w:t>
            </w:r>
            <w:r w:rsidR="005F1EB8" w:rsidRPr="002A677E">
              <w:rPr>
                <w:rStyle w:val="InstructionsTabelleberschrift"/>
                <w:rFonts w:ascii="Times New Roman" w:hAnsi="Times New Roman"/>
                <w:sz w:val="24"/>
              </w:rPr>
              <w:t>loss e</w:t>
            </w:r>
            <w:r w:rsidRPr="002A677E">
              <w:rPr>
                <w:rStyle w:val="InstructionsTabelleberschrift"/>
                <w:rFonts w:ascii="Times New Roman" w:hAnsi="Times New Roman"/>
                <w:sz w:val="24"/>
              </w:rPr>
              <w:t>vents</w:t>
            </w:r>
          </w:p>
          <w:p w14:paraId="34FAAF76" w14:textId="71BBD004"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In row </w:t>
            </w:r>
            <w:r w:rsidR="005A2C21" w:rsidRPr="002A677E">
              <w:rPr>
                <w:rFonts w:ascii="Times New Roman" w:hAnsi="Times New Roman"/>
                <w:sz w:val="24"/>
                <w:lang w:eastAsia="de-DE"/>
              </w:rPr>
              <w:t>0</w:t>
            </w:r>
            <w:r w:rsidRPr="002A677E">
              <w:rPr>
                <w:rFonts w:ascii="Times New Roman" w:hAnsi="Times New Roman"/>
                <w:sz w:val="24"/>
                <w:lang w:eastAsia="de-DE"/>
              </w:rPr>
              <w:t xml:space="preserve">910, the number of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above the internal threshold by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 types for the total business lines shall be reported. This figure may be lower than the aggregation of the number of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by business lines since the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events with multiple impacts (impacts in different business lines) shall be considered as one. It may be higher,</w:t>
            </w:r>
            <w:r w:rsidR="001F6487" w:rsidRPr="002A677E">
              <w:rPr>
                <w:rFonts w:ascii="Times New Roman" w:hAnsi="Times New Roman"/>
                <w:sz w:val="24"/>
                <w:lang w:eastAsia="de-DE"/>
              </w:rPr>
              <w:t xml:space="preserve"> where</w:t>
            </w:r>
            <w:r w:rsidRPr="002A677E">
              <w:rPr>
                <w:rFonts w:ascii="Times New Roman" w:hAnsi="Times New Roman"/>
                <w:sz w:val="24"/>
                <w:lang w:eastAsia="de-DE"/>
              </w:rPr>
              <w:t xml:space="preserve"> an institution</w:t>
            </w:r>
            <w:r w:rsidR="003B2C7F">
              <w:rPr>
                <w:rFonts w:ascii="Times New Roman" w:hAnsi="Times New Roman"/>
                <w:sz w:val="24"/>
                <w:lang w:eastAsia="de-DE"/>
              </w:rPr>
              <w:t xml:space="preserve"> that</w:t>
            </w:r>
            <w:r w:rsidRPr="002A677E">
              <w:rPr>
                <w:rFonts w:ascii="Times New Roman" w:hAnsi="Times New Roman"/>
                <w:sz w:val="24"/>
                <w:lang w:eastAsia="de-DE"/>
              </w:rPr>
              <w:t xml:space="preserve"> calculat</w:t>
            </w:r>
            <w:r w:rsidR="003B2C7F">
              <w:rPr>
                <w:rFonts w:ascii="Times New Roman" w:hAnsi="Times New Roman"/>
                <w:sz w:val="24"/>
                <w:lang w:eastAsia="de-DE"/>
              </w:rPr>
              <w:t>ed in December 2024</w:t>
            </w:r>
            <w:r w:rsidRPr="002A677E">
              <w:rPr>
                <w:rFonts w:ascii="Times New Roman" w:hAnsi="Times New Roman"/>
                <w:sz w:val="24"/>
                <w:lang w:eastAsia="de-DE"/>
              </w:rPr>
              <w:t xml:space="preserve"> its own funds requirements </w:t>
            </w:r>
            <w:r w:rsidR="00BB22D4" w:rsidRPr="002A677E">
              <w:rPr>
                <w:rFonts w:ascii="Times New Roman" w:hAnsi="Times New Roman"/>
                <w:sz w:val="24"/>
                <w:lang w:eastAsia="de-DE"/>
              </w:rPr>
              <w:t>in accordance with</w:t>
            </w:r>
            <w:r w:rsidRPr="002A677E">
              <w:rPr>
                <w:rFonts w:ascii="Times New Roman" w:hAnsi="Times New Roman"/>
                <w:sz w:val="24"/>
                <w:lang w:eastAsia="de-DE"/>
              </w:rPr>
              <w:t xml:space="preserve"> </w:t>
            </w:r>
            <w:r w:rsidR="00F114E6" w:rsidRPr="002A677E">
              <w:rPr>
                <w:rFonts w:ascii="Times New Roman" w:hAnsi="Times New Roman"/>
                <w:sz w:val="24"/>
                <w:lang w:eastAsia="de-DE"/>
              </w:rPr>
              <w:t xml:space="preserve">the </w:t>
            </w:r>
            <w:r w:rsidRPr="002A677E">
              <w:rPr>
                <w:rFonts w:ascii="Times New Roman" w:hAnsi="Times New Roman"/>
                <w:sz w:val="24"/>
                <w:lang w:eastAsia="de-DE"/>
              </w:rPr>
              <w:t>BIA</w:t>
            </w:r>
            <w:r w:rsidR="00F03A91">
              <w:rPr>
                <w:rFonts w:ascii="Times New Roman" w:hAnsi="Times New Roman"/>
                <w:sz w:val="24"/>
                <w:lang w:eastAsia="de-DE"/>
              </w:rPr>
              <w:t xml:space="preserve"> </w:t>
            </w:r>
            <w:r w:rsidRPr="002A677E">
              <w:rPr>
                <w:rFonts w:ascii="Times New Roman" w:hAnsi="Times New Roman"/>
                <w:sz w:val="24"/>
                <w:lang w:eastAsia="de-DE"/>
              </w:rPr>
              <w:t>cannot identify the business line(s) affected by the loss in every case.</w:t>
            </w:r>
          </w:p>
          <w:p w14:paraId="1029FFB0"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In rows </w:t>
            </w:r>
            <w:r w:rsidR="00F114E6" w:rsidRPr="002A677E">
              <w:rPr>
                <w:rFonts w:ascii="Times New Roman" w:hAnsi="Times New Roman"/>
                <w:sz w:val="24"/>
                <w:lang w:eastAsia="de-DE"/>
              </w:rPr>
              <w:t>0</w:t>
            </w:r>
            <w:r w:rsidRPr="002A677E">
              <w:rPr>
                <w:rFonts w:ascii="Times New Roman" w:hAnsi="Times New Roman"/>
                <w:sz w:val="24"/>
                <w:lang w:eastAsia="de-DE"/>
              </w:rPr>
              <w:t xml:space="preserve">911 – </w:t>
            </w:r>
            <w:r w:rsidR="00F114E6" w:rsidRPr="002A677E">
              <w:rPr>
                <w:rFonts w:ascii="Times New Roman" w:hAnsi="Times New Roman"/>
                <w:sz w:val="24"/>
                <w:lang w:eastAsia="de-DE"/>
              </w:rPr>
              <w:t>0</w:t>
            </w:r>
            <w:r w:rsidRPr="002A677E">
              <w:rPr>
                <w:rFonts w:ascii="Times New Roman" w:hAnsi="Times New Roman"/>
                <w:sz w:val="24"/>
                <w:lang w:eastAsia="de-DE"/>
              </w:rPr>
              <w:t xml:space="preserve">914, the number of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with a gross loss amount within the ranges defined in the pertinent rows </w:t>
            </w:r>
            <w:r w:rsidR="0023276A" w:rsidRPr="002A677E">
              <w:rPr>
                <w:rFonts w:ascii="Times New Roman" w:hAnsi="Times New Roman"/>
                <w:sz w:val="24"/>
                <w:lang w:eastAsia="de-DE"/>
              </w:rPr>
              <w:t xml:space="preserve">of the template </w:t>
            </w:r>
            <w:r w:rsidRPr="002A677E">
              <w:rPr>
                <w:rFonts w:ascii="Times New Roman" w:hAnsi="Times New Roman"/>
                <w:sz w:val="24"/>
                <w:lang w:eastAsia="de-DE"/>
              </w:rPr>
              <w:t>shall be reported.</w:t>
            </w:r>
          </w:p>
          <w:p w14:paraId="3642B0CB" w14:textId="732C4B5C"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Provided that the institution has assigned all its losses to a business line </w:t>
            </w:r>
            <w:r w:rsidR="00E52782" w:rsidRPr="002A677E">
              <w:rPr>
                <w:rFonts w:ascii="Times New Roman" w:hAnsi="Times New Roman"/>
                <w:sz w:val="24"/>
                <w:lang w:eastAsia="de-DE"/>
              </w:rPr>
              <w:t>or</w:t>
            </w:r>
            <w:r w:rsidR="00402284">
              <w:rPr>
                <w:rFonts w:ascii="Times New Roman" w:hAnsi="Times New Roman"/>
                <w:sz w:val="24"/>
                <w:lang w:eastAsia="de-DE"/>
              </w:rPr>
              <w:t xml:space="preserve"> </w:t>
            </w:r>
            <w:r w:rsidRPr="002A677E">
              <w:rPr>
                <w:rFonts w:ascii="Times New Roman" w:hAnsi="Times New Roman"/>
                <w:sz w:val="24"/>
                <w:lang w:eastAsia="de-DE"/>
              </w:rPr>
              <w:t xml:space="preserve">that it has identified the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 types for all losses, the following shall apply for column </w:t>
            </w:r>
            <w:r w:rsidR="00CB3146" w:rsidRPr="002A677E">
              <w:rPr>
                <w:rFonts w:ascii="Times New Roman" w:hAnsi="Times New Roman"/>
                <w:sz w:val="24"/>
                <w:lang w:eastAsia="de-DE"/>
              </w:rPr>
              <w:t>0</w:t>
            </w:r>
            <w:r w:rsidRPr="002A677E">
              <w:rPr>
                <w:rFonts w:ascii="Times New Roman" w:hAnsi="Times New Roman"/>
                <w:sz w:val="24"/>
                <w:lang w:eastAsia="de-DE"/>
              </w:rPr>
              <w:t>080</w:t>
            </w:r>
            <w:r w:rsidR="00E52782" w:rsidRPr="002A677E">
              <w:rPr>
                <w:rFonts w:ascii="Times New Roman" w:hAnsi="Times New Roman"/>
                <w:sz w:val="24"/>
                <w:lang w:eastAsia="de-DE"/>
              </w:rPr>
              <w:t>, as appropriate</w:t>
            </w:r>
            <w:r w:rsidRPr="002A677E">
              <w:rPr>
                <w:rFonts w:ascii="Times New Roman" w:hAnsi="Times New Roman"/>
                <w:sz w:val="24"/>
                <w:lang w:eastAsia="de-DE"/>
              </w:rPr>
              <w:t>:</w:t>
            </w:r>
          </w:p>
          <w:p w14:paraId="37853BE1" w14:textId="77777777" w:rsidR="00FD54FC" w:rsidRPr="002A677E" w:rsidRDefault="00125707" w:rsidP="0023700C">
            <w:pPr>
              <w:ind w:left="360" w:hanging="360"/>
              <w:rPr>
                <w:rFonts w:ascii="Times New Roman" w:hAnsi="Times New Roman"/>
                <w:sz w:val="24"/>
                <w:lang w:eastAsia="de-DE"/>
              </w:rPr>
            </w:pPr>
            <w:r w:rsidRPr="002A677E">
              <w:rPr>
                <w:rFonts w:ascii="Times New Roman" w:hAnsi="Times New Roman"/>
                <w:sz w:val="24"/>
                <w:lang w:eastAsia="de-DE"/>
              </w:rPr>
              <w:t>-</w:t>
            </w:r>
            <w:r w:rsidRPr="002A677E">
              <w:rPr>
                <w:rFonts w:ascii="Times New Roman" w:hAnsi="Times New Roman"/>
                <w:sz w:val="24"/>
                <w:lang w:eastAsia="de-DE"/>
              </w:rPr>
              <w:tab/>
            </w:r>
            <w:r w:rsidR="00FD54FC" w:rsidRPr="002A677E">
              <w:rPr>
                <w:rFonts w:ascii="Times New Roman" w:hAnsi="Times New Roman"/>
                <w:sz w:val="24"/>
                <w:lang w:eastAsia="de-DE"/>
              </w:rPr>
              <w:t xml:space="preserve">The total number of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events reported in rows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910 to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914 </w:t>
            </w:r>
            <w:r w:rsidR="0029520F" w:rsidRPr="002A677E">
              <w:rPr>
                <w:rFonts w:ascii="Times New Roman" w:hAnsi="Times New Roman"/>
                <w:sz w:val="24"/>
                <w:lang w:eastAsia="de-DE"/>
              </w:rPr>
              <w:t>shall be</w:t>
            </w:r>
            <w:r w:rsidR="00FD54FC" w:rsidRPr="002A677E">
              <w:rPr>
                <w:rFonts w:ascii="Times New Roman" w:hAnsi="Times New Roman"/>
                <w:sz w:val="24"/>
                <w:lang w:eastAsia="de-DE"/>
              </w:rPr>
              <w:t xml:space="preserve"> equal to the horizontal aggregation of the number of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events in the corresponding row, </w:t>
            </w:r>
            <w:r w:rsidR="00F41508" w:rsidRPr="002A677E">
              <w:rPr>
                <w:rFonts w:ascii="Times New Roman" w:hAnsi="Times New Roman"/>
                <w:sz w:val="24"/>
                <w:lang w:eastAsia="de-DE"/>
              </w:rPr>
              <w:t>because</w:t>
            </w:r>
            <w:r w:rsidR="00FD54FC" w:rsidRPr="002A677E">
              <w:rPr>
                <w:rFonts w:ascii="Times New Roman" w:hAnsi="Times New Roman"/>
                <w:sz w:val="24"/>
                <w:lang w:eastAsia="de-DE"/>
              </w:rPr>
              <w:t xml:space="preserve"> in those figures the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events with impacts in different business lines shall </w:t>
            </w:r>
            <w:r w:rsidR="00F41508" w:rsidRPr="002A677E">
              <w:rPr>
                <w:rFonts w:ascii="Times New Roman" w:hAnsi="Times New Roman"/>
                <w:sz w:val="24"/>
                <w:lang w:eastAsia="de-DE"/>
              </w:rPr>
              <w:t xml:space="preserve">already </w:t>
            </w:r>
            <w:r w:rsidR="00FD54FC" w:rsidRPr="002A677E">
              <w:rPr>
                <w:rFonts w:ascii="Times New Roman" w:hAnsi="Times New Roman"/>
                <w:sz w:val="24"/>
                <w:lang w:eastAsia="de-DE"/>
              </w:rPr>
              <w:t xml:space="preserve">have been considered as one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event.</w:t>
            </w:r>
          </w:p>
          <w:p w14:paraId="0D57024E" w14:textId="77777777" w:rsidR="00FD54FC" w:rsidRPr="002A677E" w:rsidRDefault="00125707" w:rsidP="00F41508">
            <w:pPr>
              <w:ind w:left="360" w:hanging="360"/>
              <w:rPr>
                <w:rStyle w:val="InstructionsTabelleberschrift"/>
                <w:rFonts w:ascii="Times New Roman" w:hAnsi="Times New Roman"/>
                <w:b w:val="0"/>
                <w:bCs w:val="0"/>
                <w:sz w:val="24"/>
                <w:u w:val="none"/>
                <w:lang w:eastAsia="de-DE"/>
              </w:rPr>
            </w:pPr>
            <w:r w:rsidRPr="002A677E">
              <w:rPr>
                <w:rStyle w:val="InstructionsTabelleberschrift"/>
                <w:rFonts w:ascii="Times New Roman" w:hAnsi="Times New Roman"/>
                <w:b w:val="0"/>
                <w:bCs w:val="0"/>
                <w:sz w:val="24"/>
                <w:u w:val="none"/>
                <w:lang w:eastAsia="de-DE"/>
              </w:rPr>
              <w:t>-</w:t>
            </w:r>
            <w:r w:rsidRPr="002A677E">
              <w:rPr>
                <w:rStyle w:val="InstructionsTabelleberschrift"/>
                <w:rFonts w:ascii="Times New Roman" w:hAnsi="Times New Roman"/>
                <w:b w:val="0"/>
                <w:bCs w:val="0"/>
                <w:sz w:val="24"/>
                <w:u w:val="none"/>
                <w:lang w:eastAsia="de-DE"/>
              </w:rPr>
              <w:tab/>
            </w:r>
            <w:r w:rsidR="00FD54FC" w:rsidRPr="002A677E">
              <w:rPr>
                <w:rFonts w:ascii="Times New Roman" w:hAnsi="Times New Roman"/>
                <w:sz w:val="24"/>
                <w:lang w:eastAsia="de-DE"/>
              </w:rPr>
              <w:t xml:space="preserve">The figure reported in column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080, row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910 shall not necessarily be equal to the vertical aggregation of the number of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 xml:space="preserve">events which are included in column </w:t>
            </w:r>
            <w:r w:rsidR="00CB3146" w:rsidRPr="002A677E">
              <w:rPr>
                <w:rFonts w:ascii="Times New Roman" w:hAnsi="Times New Roman"/>
                <w:sz w:val="24"/>
                <w:lang w:eastAsia="de-DE"/>
              </w:rPr>
              <w:t>0</w:t>
            </w:r>
            <w:r w:rsidR="00FD54FC" w:rsidRPr="002A677E">
              <w:rPr>
                <w:rFonts w:ascii="Times New Roman" w:hAnsi="Times New Roman"/>
                <w:sz w:val="24"/>
                <w:lang w:eastAsia="de-DE"/>
              </w:rPr>
              <w:t xml:space="preserve">080, </w:t>
            </w:r>
            <w:r w:rsidR="00F41508" w:rsidRPr="002A677E">
              <w:rPr>
                <w:rFonts w:ascii="Times New Roman" w:hAnsi="Times New Roman"/>
                <w:sz w:val="24"/>
                <w:lang w:eastAsia="de-DE"/>
              </w:rPr>
              <w:t>because</w:t>
            </w:r>
            <w:r w:rsidR="00FD54FC" w:rsidRPr="002A677E">
              <w:rPr>
                <w:rFonts w:ascii="Times New Roman" w:hAnsi="Times New Roman"/>
                <w:sz w:val="24"/>
                <w:lang w:eastAsia="de-DE"/>
              </w:rPr>
              <w:t xml:space="preserve"> one </w:t>
            </w:r>
            <w:r w:rsidR="005F1EB8" w:rsidRPr="002A677E">
              <w:rPr>
                <w:rFonts w:ascii="Times New Roman" w:hAnsi="Times New Roman"/>
                <w:sz w:val="24"/>
                <w:lang w:eastAsia="de-DE"/>
              </w:rPr>
              <w:t xml:space="preserve">loss </w:t>
            </w:r>
            <w:r w:rsidR="00FD54FC" w:rsidRPr="002A677E">
              <w:rPr>
                <w:rFonts w:ascii="Times New Roman" w:hAnsi="Times New Roman"/>
                <w:sz w:val="24"/>
                <w:lang w:eastAsia="de-DE"/>
              </w:rPr>
              <w:t>event can have an impact in different business lines simultaneously.</w:t>
            </w:r>
          </w:p>
        </w:tc>
      </w:tr>
      <w:tr w:rsidR="00FD54FC" w:rsidRPr="002A677E" w14:paraId="758B9A40" w14:textId="77777777" w:rsidTr="00672D2A">
        <w:tc>
          <w:tcPr>
            <w:tcW w:w="1101" w:type="dxa"/>
          </w:tcPr>
          <w:p w14:paraId="4550C890" w14:textId="77777777" w:rsidR="00FD54FC" w:rsidRPr="002A677E" w:rsidRDefault="00C93FC2" w:rsidP="000F70EC">
            <w:pPr>
              <w:rPr>
                <w:rFonts w:ascii="Times New Roman" w:hAnsi="Times New Roman"/>
                <w:bCs/>
                <w:sz w:val="24"/>
                <w:lang w:eastAsia="nl-BE"/>
              </w:rPr>
            </w:pPr>
            <w:r w:rsidRPr="002A677E">
              <w:rPr>
                <w:rFonts w:ascii="Times New Roman" w:hAnsi="Times New Roman"/>
                <w:bCs/>
                <w:sz w:val="24"/>
                <w:lang w:eastAsia="nl-BE"/>
              </w:rPr>
              <w:lastRenderedPageBreak/>
              <w:t>0</w:t>
            </w:r>
            <w:r w:rsidR="00FD54FC" w:rsidRPr="002A677E">
              <w:rPr>
                <w:rFonts w:ascii="Times New Roman" w:hAnsi="Times New Roman"/>
                <w:bCs/>
                <w:sz w:val="24"/>
                <w:lang w:eastAsia="nl-BE"/>
              </w:rPr>
              <w:t>920-</w:t>
            </w:r>
            <w:r w:rsidRPr="002A677E">
              <w:rPr>
                <w:rFonts w:ascii="Times New Roman" w:hAnsi="Times New Roman"/>
                <w:bCs/>
                <w:sz w:val="24"/>
                <w:lang w:eastAsia="nl-BE"/>
              </w:rPr>
              <w:t>0</w:t>
            </w:r>
            <w:r w:rsidR="00FD54FC" w:rsidRPr="002A677E">
              <w:rPr>
                <w:rFonts w:ascii="Times New Roman" w:hAnsi="Times New Roman"/>
                <w:bCs/>
                <w:sz w:val="24"/>
                <w:lang w:eastAsia="nl-BE"/>
              </w:rPr>
              <w:t>924</w:t>
            </w:r>
          </w:p>
        </w:tc>
        <w:tc>
          <w:tcPr>
            <w:tcW w:w="8079" w:type="dxa"/>
          </w:tcPr>
          <w:p w14:paraId="472B1327"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Gross loss amount (new </w:t>
            </w:r>
            <w:r w:rsidR="005F1EB8" w:rsidRPr="002A677E">
              <w:rPr>
                <w:rStyle w:val="InstructionsTabelleberschrift"/>
                <w:rFonts w:ascii="Times New Roman" w:hAnsi="Times New Roman"/>
                <w:sz w:val="24"/>
              </w:rPr>
              <w:t xml:space="preserve">loss </w:t>
            </w:r>
            <w:r w:rsidRPr="002A677E">
              <w:rPr>
                <w:rStyle w:val="InstructionsTabelleberschrift"/>
                <w:rFonts w:ascii="Times New Roman" w:hAnsi="Times New Roman"/>
                <w:sz w:val="24"/>
              </w:rPr>
              <w:t>events)</w:t>
            </w:r>
          </w:p>
          <w:p w14:paraId="5A8AAD03" w14:textId="058A16DC"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Provided that the institution has assigned all its losses to a business </w:t>
            </w:r>
            <w:proofErr w:type="gramStart"/>
            <w:r w:rsidRPr="002A677E">
              <w:rPr>
                <w:rFonts w:ascii="Times New Roman" w:hAnsi="Times New Roman"/>
                <w:sz w:val="24"/>
                <w:lang w:eastAsia="de-DE"/>
              </w:rPr>
              <w:t>line</w:t>
            </w:r>
            <w:r w:rsidR="00DA5B75">
              <w:rPr>
                <w:rFonts w:ascii="Times New Roman" w:hAnsi="Times New Roman"/>
                <w:sz w:val="24"/>
                <w:lang w:eastAsia="de-DE"/>
              </w:rPr>
              <w:t xml:space="preserve"> </w:t>
            </w:r>
            <w:r w:rsidRPr="002A677E">
              <w:rPr>
                <w:rFonts w:ascii="Times New Roman" w:hAnsi="Times New Roman"/>
                <w:sz w:val="24"/>
                <w:lang w:eastAsia="de-DE"/>
              </w:rPr>
              <w:t>,</w:t>
            </w:r>
            <w:proofErr w:type="gramEnd"/>
            <w:r w:rsidRPr="002A677E">
              <w:rPr>
                <w:rFonts w:ascii="Times New Roman" w:hAnsi="Times New Roman"/>
                <w:sz w:val="24"/>
                <w:lang w:eastAsia="de-DE"/>
              </w:rPr>
              <w:t xml:space="preserve"> the gross loss amount (new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reported in row </w:t>
            </w:r>
            <w:r w:rsidR="00F114E6" w:rsidRPr="002A677E">
              <w:rPr>
                <w:rFonts w:ascii="Times New Roman" w:hAnsi="Times New Roman"/>
                <w:sz w:val="24"/>
                <w:lang w:eastAsia="de-DE"/>
              </w:rPr>
              <w:t>0</w:t>
            </w:r>
            <w:r w:rsidRPr="002A677E">
              <w:rPr>
                <w:rFonts w:ascii="Times New Roman" w:hAnsi="Times New Roman"/>
                <w:sz w:val="24"/>
                <w:lang w:eastAsia="de-DE"/>
              </w:rPr>
              <w:t xml:space="preserve">920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simple aggregation of the gross loss amounts of new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for each business line. </w:t>
            </w:r>
          </w:p>
          <w:p w14:paraId="151C30DF" w14:textId="77777777" w:rsidR="00FD54FC" w:rsidRPr="002A677E" w:rsidRDefault="00FD54FC" w:rsidP="00FD54FC">
            <w:pPr>
              <w:rPr>
                <w:rStyle w:val="InstructionsTabelleberschrift"/>
                <w:rFonts w:ascii="Times New Roman" w:hAnsi="Times New Roman"/>
                <w:sz w:val="24"/>
              </w:rPr>
            </w:pPr>
            <w:r w:rsidRPr="001235ED">
              <w:rPr>
                <w:rFonts w:ascii="Times New Roman" w:hAnsi="Times New Roman"/>
                <w:sz w:val="24"/>
                <w:lang w:eastAsia="de-DE"/>
              </w:rPr>
              <w:t xml:space="preserve">In rows </w:t>
            </w:r>
            <w:r w:rsidR="00F114E6" w:rsidRPr="002A677E">
              <w:rPr>
                <w:rFonts w:ascii="Times New Roman" w:hAnsi="Times New Roman"/>
                <w:sz w:val="24"/>
                <w:lang w:eastAsia="de-DE"/>
              </w:rPr>
              <w:t>0</w:t>
            </w:r>
            <w:r w:rsidRPr="002A677E">
              <w:rPr>
                <w:rFonts w:ascii="Times New Roman" w:hAnsi="Times New Roman"/>
                <w:sz w:val="24"/>
                <w:lang w:eastAsia="de-DE"/>
              </w:rPr>
              <w:t xml:space="preserve">921 – </w:t>
            </w:r>
            <w:r w:rsidR="00F114E6" w:rsidRPr="002A677E">
              <w:rPr>
                <w:rFonts w:ascii="Times New Roman" w:hAnsi="Times New Roman"/>
                <w:sz w:val="24"/>
                <w:lang w:eastAsia="de-DE"/>
              </w:rPr>
              <w:t>0</w:t>
            </w:r>
            <w:r w:rsidRPr="002A677E">
              <w:rPr>
                <w:rFonts w:ascii="Times New Roman" w:hAnsi="Times New Roman"/>
                <w:sz w:val="24"/>
                <w:lang w:eastAsia="de-DE"/>
              </w:rPr>
              <w:t xml:space="preserve">924, the gross loss amount for </w:t>
            </w:r>
            <w:r w:rsidR="005F1EB8" w:rsidRPr="002A677E">
              <w:rPr>
                <w:rFonts w:ascii="Times New Roman" w:hAnsi="Times New Roman"/>
                <w:sz w:val="24"/>
                <w:lang w:eastAsia="de-DE"/>
              </w:rPr>
              <w:t xml:space="preserve">loss </w:t>
            </w:r>
            <w:r w:rsidRPr="002A677E">
              <w:rPr>
                <w:rFonts w:ascii="Times New Roman" w:hAnsi="Times New Roman"/>
                <w:sz w:val="24"/>
                <w:lang w:eastAsia="de-DE"/>
              </w:rPr>
              <w:t>events with a gross loss amount within the ranges defined in the pertinent rows shall be reported.</w:t>
            </w:r>
          </w:p>
        </w:tc>
      </w:tr>
      <w:tr w:rsidR="00FD54FC" w:rsidRPr="002A677E" w14:paraId="2C2C0351" w14:textId="77777777" w:rsidTr="00672D2A">
        <w:tc>
          <w:tcPr>
            <w:tcW w:w="1101" w:type="dxa"/>
          </w:tcPr>
          <w:p w14:paraId="07A96EC8" w14:textId="77777777" w:rsidR="00FD54FC" w:rsidRPr="002A677E" w:rsidRDefault="00C93FC2" w:rsidP="00FD54FC">
            <w:pPr>
              <w:rPr>
                <w:rFonts w:ascii="Times New Roman" w:hAnsi="Times New Roman"/>
                <w:bCs/>
                <w:sz w:val="24"/>
                <w:lang w:eastAsia="nl-BE"/>
              </w:rPr>
            </w:pPr>
            <w:r w:rsidRPr="002A677E">
              <w:rPr>
                <w:rFonts w:ascii="Times New Roman" w:hAnsi="Times New Roman"/>
                <w:sz w:val="24"/>
                <w:lang w:eastAsia="de-DE"/>
              </w:rPr>
              <w:t>0</w:t>
            </w:r>
            <w:r w:rsidR="00FD54FC" w:rsidRPr="002A677E">
              <w:rPr>
                <w:rFonts w:ascii="Times New Roman" w:hAnsi="Times New Roman"/>
                <w:sz w:val="24"/>
                <w:lang w:eastAsia="de-DE"/>
              </w:rPr>
              <w:t xml:space="preserve">930, </w:t>
            </w:r>
            <w:r w:rsidRPr="002A677E">
              <w:rPr>
                <w:rFonts w:ascii="Times New Roman" w:hAnsi="Times New Roman"/>
                <w:sz w:val="24"/>
                <w:lang w:eastAsia="de-DE"/>
              </w:rPr>
              <w:t>0</w:t>
            </w:r>
            <w:r w:rsidR="00FD54FC" w:rsidRPr="002A677E">
              <w:rPr>
                <w:rFonts w:ascii="Times New Roman" w:hAnsi="Times New Roman"/>
                <w:bCs/>
                <w:sz w:val="24"/>
                <w:lang w:eastAsia="nl-BE"/>
              </w:rPr>
              <w:t xml:space="preserve">935, </w:t>
            </w:r>
            <w:r w:rsidRPr="002A677E">
              <w:rPr>
                <w:rFonts w:ascii="Times New Roman" w:hAnsi="Times New Roman"/>
                <w:bCs/>
                <w:sz w:val="24"/>
                <w:lang w:eastAsia="nl-BE"/>
              </w:rPr>
              <w:t>0</w:t>
            </w:r>
            <w:r w:rsidR="00FD54FC" w:rsidRPr="002A677E">
              <w:rPr>
                <w:rFonts w:ascii="Times New Roman" w:hAnsi="Times New Roman"/>
                <w:bCs/>
                <w:sz w:val="24"/>
                <w:lang w:eastAsia="nl-BE"/>
              </w:rPr>
              <w:t>936</w:t>
            </w:r>
          </w:p>
        </w:tc>
        <w:tc>
          <w:tcPr>
            <w:tcW w:w="8079" w:type="dxa"/>
          </w:tcPr>
          <w:p w14:paraId="0A0BA6EE" w14:textId="77777777" w:rsidR="00FD54FC" w:rsidRPr="002A677E" w:rsidRDefault="00FD54FC" w:rsidP="00FD54FC">
            <w:pPr>
              <w:rPr>
                <w:rFonts w:ascii="Times New Roman" w:hAnsi="Times New Roman"/>
                <w:sz w:val="24"/>
                <w:lang w:eastAsia="de-DE"/>
              </w:rPr>
            </w:pPr>
            <w:r w:rsidRPr="002A677E">
              <w:rPr>
                <w:rStyle w:val="InstructionsTabelleberschrift"/>
                <w:rFonts w:ascii="Times New Roman" w:hAnsi="Times New Roman"/>
                <w:sz w:val="24"/>
              </w:rPr>
              <w:t>Number of loss events subject to loss adjustments</w:t>
            </w:r>
          </w:p>
          <w:p w14:paraId="7C0FBBBE" w14:textId="1D9BA1FB"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In row </w:t>
            </w:r>
            <w:r w:rsidR="00F114E6" w:rsidRPr="002A677E">
              <w:rPr>
                <w:rFonts w:ascii="Times New Roman" w:hAnsi="Times New Roman"/>
                <w:sz w:val="24"/>
                <w:lang w:eastAsia="de-DE"/>
              </w:rPr>
              <w:t>0</w:t>
            </w:r>
            <w:r w:rsidRPr="002A677E">
              <w:rPr>
                <w:rFonts w:ascii="Times New Roman" w:hAnsi="Times New Roman"/>
                <w:sz w:val="24"/>
                <w:lang w:eastAsia="de-DE"/>
              </w:rPr>
              <w:t xml:space="preserve">930, the total of the numbers of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subject to loss adjustments </w:t>
            </w:r>
            <w:r w:rsidR="0023276A" w:rsidRPr="002A677E">
              <w:rPr>
                <w:rFonts w:ascii="Times New Roman" w:hAnsi="Times New Roman"/>
                <w:sz w:val="24"/>
                <w:lang w:eastAsia="de-DE"/>
              </w:rPr>
              <w:t>as reported in</w:t>
            </w:r>
            <w:r w:rsidRPr="002A677E">
              <w:rPr>
                <w:rFonts w:ascii="Times New Roman" w:hAnsi="Times New Roman"/>
                <w:sz w:val="24"/>
                <w:lang w:eastAsia="de-DE"/>
              </w:rPr>
              <w:t xml:space="preserve"> rows </w:t>
            </w:r>
            <w:r w:rsidR="00F114E6" w:rsidRPr="002A677E">
              <w:rPr>
                <w:rFonts w:ascii="Times New Roman" w:hAnsi="Times New Roman"/>
                <w:sz w:val="24"/>
                <w:lang w:eastAsia="de-DE"/>
              </w:rPr>
              <w:t>0</w:t>
            </w:r>
            <w:r w:rsidRPr="002A677E">
              <w:rPr>
                <w:rFonts w:ascii="Times New Roman" w:hAnsi="Times New Roman"/>
                <w:sz w:val="24"/>
                <w:lang w:eastAsia="de-DE"/>
              </w:rPr>
              <w:t xml:space="preserve">030, </w:t>
            </w:r>
            <w:r w:rsidR="00F114E6" w:rsidRPr="002A677E">
              <w:rPr>
                <w:rFonts w:ascii="Times New Roman" w:hAnsi="Times New Roman"/>
                <w:sz w:val="24"/>
                <w:lang w:eastAsia="de-DE"/>
              </w:rPr>
              <w:t>0</w:t>
            </w:r>
            <w:r w:rsidRPr="002A677E">
              <w:rPr>
                <w:rFonts w:ascii="Times New Roman" w:hAnsi="Times New Roman"/>
                <w:sz w:val="24"/>
                <w:lang w:eastAsia="de-DE"/>
              </w:rPr>
              <w:t xml:space="preserve">130, …, </w:t>
            </w:r>
            <w:r w:rsidR="00F114E6" w:rsidRPr="002A677E">
              <w:rPr>
                <w:rFonts w:ascii="Times New Roman" w:hAnsi="Times New Roman"/>
                <w:sz w:val="24"/>
                <w:lang w:eastAsia="de-DE"/>
              </w:rPr>
              <w:t>0</w:t>
            </w:r>
            <w:r w:rsidRPr="002A677E">
              <w:rPr>
                <w:rFonts w:ascii="Times New Roman" w:hAnsi="Times New Roman"/>
                <w:sz w:val="24"/>
                <w:lang w:eastAsia="de-DE"/>
              </w:rPr>
              <w:t>830 shall be reported. Th</w:t>
            </w:r>
            <w:r w:rsidR="00F41508" w:rsidRPr="002A677E">
              <w:rPr>
                <w:rFonts w:ascii="Times New Roman" w:hAnsi="Times New Roman"/>
                <w:sz w:val="24"/>
                <w:lang w:eastAsia="de-DE"/>
              </w:rPr>
              <w:t>at</w:t>
            </w:r>
            <w:r w:rsidRPr="002A677E">
              <w:rPr>
                <w:rFonts w:ascii="Times New Roman" w:hAnsi="Times New Roman"/>
                <w:sz w:val="24"/>
                <w:lang w:eastAsia="de-DE"/>
              </w:rPr>
              <w:t xml:space="preserve"> figure may be lower than the aggregation of the number of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subject to loss adjustments by business lines since </w:t>
            </w:r>
            <w:r w:rsidR="00F114E6"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with multiple impacts (impacts in different business lines) shall be considered as one. It may be higher, </w:t>
            </w:r>
            <w:r w:rsidR="00F41508" w:rsidRPr="002A677E">
              <w:rPr>
                <w:rFonts w:ascii="Times New Roman" w:hAnsi="Times New Roman"/>
                <w:sz w:val="24"/>
                <w:lang w:eastAsia="de-DE"/>
              </w:rPr>
              <w:t>where</w:t>
            </w:r>
            <w:r w:rsidRPr="002A677E">
              <w:rPr>
                <w:rFonts w:ascii="Times New Roman" w:hAnsi="Times New Roman"/>
                <w:sz w:val="24"/>
                <w:lang w:eastAsia="de-DE"/>
              </w:rPr>
              <w:t xml:space="preserve"> an institution calculat</w:t>
            </w:r>
            <w:r w:rsidR="00192A34">
              <w:rPr>
                <w:rFonts w:ascii="Times New Roman" w:hAnsi="Times New Roman"/>
                <w:sz w:val="24"/>
                <w:lang w:eastAsia="de-DE"/>
              </w:rPr>
              <w:t>ed in December 2024</w:t>
            </w:r>
            <w:r w:rsidRPr="002A677E">
              <w:rPr>
                <w:rFonts w:ascii="Times New Roman" w:hAnsi="Times New Roman"/>
                <w:sz w:val="24"/>
                <w:lang w:eastAsia="de-DE"/>
              </w:rPr>
              <w:t xml:space="preserve"> its own funds requirements </w:t>
            </w:r>
            <w:r w:rsidR="00BB22D4" w:rsidRPr="002A677E">
              <w:rPr>
                <w:rFonts w:ascii="Times New Roman" w:hAnsi="Times New Roman"/>
                <w:sz w:val="24"/>
                <w:lang w:eastAsia="de-DE"/>
              </w:rPr>
              <w:t>in accordance with</w:t>
            </w:r>
            <w:r w:rsidRPr="002A677E">
              <w:rPr>
                <w:rFonts w:ascii="Times New Roman" w:hAnsi="Times New Roman"/>
                <w:sz w:val="24"/>
                <w:lang w:eastAsia="de-DE"/>
              </w:rPr>
              <w:t xml:space="preserve"> </w:t>
            </w:r>
            <w:r w:rsidR="00F114E6" w:rsidRPr="002A677E">
              <w:rPr>
                <w:rFonts w:ascii="Times New Roman" w:hAnsi="Times New Roman"/>
                <w:sz w:val="24"/>
                <w:lang w:eastAsia="de-DE"/>
              </w:rPr>
              <w:t xml:space="preserve">the </w:t>
            </w:r>
            <w:r w:rsidRPr="002A677E">
              <w:rPr>
                <w:rFonts w:ascii="Times New Roman" w:hAnsi="Times New Roman"/>
                <w:sz w:val="24"/>
                <w:lang w:eastAsia="de-DE"/>
              </w:rPr>
              <w:t>BIA cannot identify the business line(s) affected by the loss in every case.</w:t>
            </w:r>
          </w:p>
          <w:p w14:paraId="02A26C93" w14:textId="77777777" w:rsidR="00FD54FC" w:rsidRPr="002A677E" w:rsidRDefault="00FD54FC" w:rsidP="00FD54FC">
            <w:pPr>
              <w:rPr>
                <w:rStyle w:val="InstructionsTabelleberschrift"/>
                <w:rFonts w:ascii="Times New Roman" w:hAnsi="Times New Roman"/>
                <w:sz w:val="24"/>
              </w:rPr>
            </w:pPr>
            <w:r w:rsidRPr="001235ED">
              <w:rPr>
                <w:rFonts w:ascii="Times New Roman" w:hAnsi="Times New Roman"/>
                <w:sz w:val="24"/>
                <w:lang w:eastAsia="de-DE"/>
              </w:rPr>
              <w:t xml:space="preserve">The number of loss events subject to loss adjustments shall be broken down into the number of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for which a positive loss adjustment was made within the reporting reference period and the number of </w:t>
            </w:r>
            <w:r w:rsidR="00F114E6" w:rsidRPr="002A677E">
              <w:rPr>
                <w:rFonts w:ascii="Times New Roman" w:hAnsi="Times New Roman"/>
                <w:sz w:val="24"/>
                <w:lang w:eastAsia="de-DE"/>
              </w:rPr>
              <w:t xml:space="preserve">loss </w:t>
            </w:r>
            <w:r w:rsidRPr="002A677E">
              <w:rPr>
                <w:rFonts w:ascii="Times New Roman" w:hAnsi="Times New Roman"/>
                <w:sz w:val="24"/>
                <w:lang w:eastAsia="de-DE"/>
              </w:rPr>
              <w:t>events for which a negative loss adjustment was made within the reporting period (all reported with a positive sign).</w:t>
            </w:r>
          </w:p>
        </w:tc>
      </w:tr>
      <w:tr w:rsidR="00FD54FC" w:rsidRPr="002A677E" w14:paraId="601E5006" w14:textId="77777777" w:rsidTr="00672D2A">
        <w:tc>
          <w:tcPr>
            <w:tcW w:w="1101" w:type="dxa"/>
          </w:tcPr>
          <w:p w14:paraId="2F8811F2"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 xml:space="preserve">940, </w:t>
            </w:r>
            <w:r w:rsidRPr="002A677E">
              <w:rPr>
                <w:rFonts w:ascii="Times New Roman" w:hAnsi="Times New Roman"/>
                <w:sz w:val="24"/>
                <w:lang w:eastAsia="de-DE"/>
              </w:rPr>
              <w:t>0</w:t>
            </w:r>
            <w:r w:rsidR="00FD54FC" w:rsidRPr="002A677E">
              <w:rPr>
                <w:rFonts w:ascii="Times New Roman" w:hAnsi="Times New Roman"/>
                <w:sz w:val="24"/>
                <w:lang w:eastAsia="de-DE"/>
              </w:rPr>
              <w:t xml:space="preserve">945, </w:t>
            </w:r>
            <w:r w:rsidRPr="002A677E">
              <w:rPr>
                <w:rFonts w:ascii="Times New Roman" w:hAnsi="Times New Roman"/>
                <w:sz w:val="24"/>
                <w:lang w:eastAsia="de-DE"/>
              </w:rPr>
              <w:t>0</w:t>
            </w:r>
            <w:r w:rsidR="00FD54FC" w:rsidRPr="002A677E">
              <w:rPr>
                <w:rFonts w:ascii="Times New Roman" w:hAnsi="Times New Roman"/>
                <w:sz w:val="24"/>
                <w:lang w:eastAsia="de-DE"/>
              </w:rPr>
              <w:t>946</w:t>
            </w:r>
          </w:p>
        </w:tc>
        <w:tc>
          <w:tcPr>
            <w:tcW w:w="8079" w:type="dxa"/>
          </w:tcPr>
          <w:p w14:paraId="12254164" w14:textId="77777777" w:rsidR="00FD54FC" w:rsidRPr="002A677E" w:rsidRDefault="00FD54FC" w:rsidP="00FD54FC">
            <w:pPr>
              <w:rPr>
                <w:rFonts w:ascii="Times New Roman" w:hAnsi="Times New Roman"/>
                <w:sz w:val="24"/>
                <w:lang w:eastAsia="de-DE"/>
              </w:rPr>
            </w:pPr>
            <w:r w:rsidRPr="002A677E">
              <w:rPr>
                <w:rStyle w:val="InstructionsTabelleberschrift"/>
                <w:rFonts w:ascii="Times New Roman" w:hAnsi="Times New Roman"/>
                <w:sz w:val="24"/>
              </w:rPr>
              <w:t xml:space="preserve">Loss adjustments relating to previous reporting </w:t>
            </w:r>
            <w:proofErr w:type="gramStart"/>
            <w:r w:rsidRPr="002A677E">
              <w:rPr>
                <w:rStyle w:val="InstructionsTabelleberschrift"/>
                <w:rFonts w:ascii="Times New Roman" w:hAnsi="Times New Roman"/>
                <w:sz w:val="24"/>
              </w:rPr>
              <w:t>periods</w:t>
            </w:r>
            <w:proofErr w:type="gramEnd"/>
          </w:p>
          <w:p w14:paraId="3A4A4FF4" w14:textId="280DCB1D"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In row </w:t>
            </w:r>
            <w:r w:rsidR="00F114E6" w:rsidRPr="002A677E">
              <w:rPr>
                <w:rFonts w:ascii="Times New Roman" w:hAnsi="Times New Roman"/>
                <w:sz w:val="24"/>
                <w:lang w:eastAsia="de-DE"/>
              </w:rPr>
              <w:t>0</w:t>
            </w:r>
            <w:r w:rsidRPr="002A677E">
              <w:rPr>
                <w:rFonts w:ascii="Times New Roman" w:hAnsi="Times New Roman"/>
                <w:sz w:val="24"/>
                <w:lang w:eastAsia="de-DE"/>
              </w:rPr>
              <w:t xml:space="preserve">940, the total of the loss adjustment amounts relating to previous reporting periods per business lines (as </w:t>
            </w:r>
            <w:r w:rsidR="0023276A" w:rsidRPr="002A677E">
              <w:rPr>
                <w:rFonts w:ascii="Times New Roman" w:hAnsi="Times New Roman"/>
                <w:sz w:val="24"/>
                <w:lang w:eastAsia="de-DE"/>
              </w:rPr>
              <w:t>reported in</w:t>
            </w:r>
            <w:r w:rsidRPr="002A677E">
              <w:rPr>
                <w:rFonts w:ascii="Times New Roman" w:hAnsi="Times New Roman"/>
                <w:sz w:val="24"/>
                <w:lang w:eastAsia="de-DE"/>
              </w:rPr>
              <w:t xml:space="preserve"> rows </w:t>
            </w:r>
            <w:r w:rsidR="00F114E6" w:rsidRPr="002A677E">
              <w:rPr>
                <w:rFonts w:ascii="Times New Roman" w:hAnsi="Times New Roman"/>
                <w:sz w:val="24"/>
                <w:lang w:eastAsia="de-DE"/>
              </w:rPr>
              <w:t>0</w:t>
            </w:r>
            <w:r w:rsidRPr="002A677E">
              <w:rPr>
                <w:rFonts w:ascii="Times New Roman" w:hAnsi="Times New Roman"/>
                <w:sz w:val="24"/>
                <w:lang w:eastAsia="de-DE"/>
              </w:rPr>
              <w:t xml:space="preserve">040, </w:t>
            </w:r>
            <w:r w:rsidR="00F114E6" w:rsidRPr="002A677E">
              <w:rPr>
                <w:rFonts w:ascii="Times New Roman" w:hAnsi="Times New Roman"/>
                <w:sz w:val="24"/>
                <w:lang w:eastAsia="de-DE"/>
              </w:rPr>
              <w:t>0</w:t>
            </w:r>
            <w:r w:rsidRPr="002A677E">
              <w:rPr>
                <w:rFonts w:ascii="Times New Roman" w:hAnsi="Times New Roman"/>
                <w:sz w:val="24"/>
                <w:lang w:eastAsia="de-DE"/>
              </w:rPr>
              <w:t xml:space="preserve">140, …, </w:t>
            </w:r>
            <w:r w:rsidR="00F114E6" w:rsidRPr="002A677E">
              <w:rPr>
                <w:rFonts w:ascii="Times New Roman" w:hAnsi="Times New Roman"/>
                <w:sz w:val="24"/>
                <w:lang w:eastAsia="de-DE"/>
              </w:rPr>
              <w:t>0</w:t>
            </w:r>
            <w:r w:rsidRPr="002A677E">
              <w:rPr>
                <w:rFonts w:ascii="Times New Roman" w:hAnsi="Times New Roman"/>
                <w:sz w:val="24"/>
                <w:lang w:eastAsia="de-DE"/>
              </w:rPr>
              <w:t xml:space="preserve">840) shall be reported. Provided that the institution has assigned all its losses to a business line the amount reported in row </w:t>
            </w:r>
            <w:r w:rsidR="00F114E6" w:rsidRPr="002A677E">
              <w:rPr>
                <w:rFonts w:ascii="Times New Roman" w:hAnsi="Times New Roman"/>
                <w:sz w:val="24"/>
                <w:lang w:eastAsia="de-DE"/>
              </w:rPr>
              <w:t>0</w:t>
            </w:r>
            <w:r w:rsidRPr="002A677E">
              <w:rPr>
                <w:rFonts w:ascii="Times New Roman" w:hAnsi="Times New Roman"/>
                <w:sz w:val="24"/>
                <w:lang w:eastAsia="de-DE"/>
              </w:rPr>
              <w:t xml:space="preserve">940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simple aggregation of the loss adjustments relating to previous reporting periods reported for the different business lines.</w:t>
            </w:r>
          </w:p>
          <w:p w14:paraId="4FEA0713" w14:textId="77777777" w:rsidR="00FD54FC" w:rsidRPr="002A677E" w:rsidRDefault="00FD54FC" w:rsidP="00EB6FC2">
            <w:pPr>
              <w:rPr>
                <w:rFonts w:ascii="Times New Roman" w:hAnsi="Times New Roman"/>
                <w:sz w:val="24"/>
                <w:lang w:eastAsia="de-DE"/>
              </w:rPr>
            </w:pPr>
            <w:r w:rsidRPr="002A677E">
              <w:rPr>
                <w:rFonts w:ascii="Times New Roman" w:hAnsi="Times New Roman"/>
                <w:sz w:val="24"/>
                <w:lang w:eastAsia="de-DE"/>
              </w:rPr>
              <w:t xml:space="preserve">The amount of loss adjustments shall be broken down into the amount related to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for which a positive loss adjustment was made in the reporting reference period (row </w:t>
            </w:r>
            <w:r w:rsidR="00F114E6" w:rsidRPr="002A677E">
              <w:rPr>
                <w:rFonts w:ascii="Times New Roman" w:hAnsi="Times New Roman"/>
                <w:sz w:val="24"/>
                <w:lang w:eastAsia="de-DE"/>
              </w:rPr>
              <w:t>0</w:t>
            </w:r>
            <w:r w:rsidRPr="002A677E">
              <w:rPr>
                <w:rFonts w:ascii="Times New Roman" w:hAnsi="Times New Roman"/>
                <w:sz w:val="24"/>
                <w:lang w:eastAsia="de-DE"/>
              </w:rPr>
              <w:t>945, reported with a</w:t>
            </w:r>
            <w:r w:rsidR="00070AF9" w:rsidRPr="002A677E">
              <w:rPr>
                <w:rFonts w:ascii="Times New Roman" w:hAnsi="Times New Roman"/>
                <w:sz w:val="24"/>
                <w:lang w:eastAsia="de-DE"/>
              </w:rPr>
              <w:t>s</w:t>
            </w:r>
            <w:r w:rsidRPr="002A677E">
              <w:rPr>
                <w:rFonts w:ascii="Times New Roman" w:hAnsi="Times New Roman"/>
                <w:sz w:val="24"/>
                <w:lang w:eastAsia="de-DE"/>
              </w:rPr>
              <w:t xml:space="preserve"> positive </w:t>
            </w:r>
            <w:r w:rsidR="00070AF9" w:rsidRPr="002A677E">
              <w:rPr>
                <w:rFonts w:ascii="Times New Roman" w:hAnsi="Times New Roman"/>
                <w:sz w:val="24"/>
                <w:lang w:eastAsia="de-DE"/>
              </w:rPr>
              <w:t>figure</w:t>
            </w:r>
            <w:r w:rsidRPr="002A677E">
              <w:rPr>
                <w:rFonts w:ascii="Times New Roman" w:hAnsi="Times New Roman"/>
                <w:sz w:val="24"/>
                <w:lang w:eastAsia="de-DE"/>
              </w:rPr>
              <w:t xml:space="preserve">) and the amount related to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events for which a negative loss adjustment was made within the reporting period (row </w:t>
            </w:r>
            <w:r w:rsidR="00F114E6" w:rsidRPr="002A677E">
              <w:rPr>
                <w:rFonts w:ascii="Times New Roman" w:hAnsi="Times New Roman"/>
                <w:sz w:val="24"/>
                <w:lang w:eastAsia="de-DE"/>
              </w:rPr>
              <w:t>0</w:t>
            </w:r>
            <w:r w:rsidRPr="002A677E">
              <w:rPr>
                <w:rFonts w:ascii="Times New Roman" w:hAnsi="Times New Roman"/>
                <w:sz w:val="24"/>
                <w:lang w:eastAsia="de-DE"/>
              </w:rPr>
              <w:t>946, reported a</w:t>
            </w:r>
            <w:r w:rsidR="00070AF9" w:rsidRPr="002A677E">
              <w:rPr>
                <w:rFonts w:ascii="Times New Roman" w:hAnsi="Times New Roman"/>
                <w:sz w:val="24"/>
                <w:lang w:eastAsia="de-DE"/>
              </w:rPr>
              <w:t>s</w:t>
            </w:r>
            <w:r w:rsidRPr="002A677E">
              <w:rPr>
                <w:rFonts w:ascii="Times New Roman" w:hAnsi="Times New Roman"/>
                <w:sz w:val="24"/>
                <w:lang w:eastAsia="de-DE"/>
              </w:rPr>
              <w:t xml:space="preserve"> negative </w:t>
            </w:r>
            <w:r w:rsidR="00070AF9" w:rsidRPr="002A677E">
              <w:rPr>
                <w:rFonts w:ascii="Times New Roman" w:hAnsi="Times New Roman"/>
                <w:sz w:val="24"/>
                <w:lang w:eastAsia="de-DE"/>
              </w:rPr>
              <w:t>figure</w:t>
            </w:r>
            <w:r w:rsidRPr="002A677E">
              <w:rPr>
                <w:rFonts w:ascii="Times New Roman" w:hAnsi="Times New Roman"/>
                <w:sz w:val="24"/>
                <w:lang w:eastAsia="de-DE"/>
              </w:rPr>
              <w:t xml:space="preserve">). </w:t>
            </w:r>
            <w:r w:rsidR="00F41508" w:rsidRPr="002A677E">
              <w:rPr>
                <w:rFonts w:ascii="Times New Roman" w:hAnsi="Times New Roman"/>
                <w:sz w:val="24"/>
                <w:lang w:eastAsia="de-DE"/>
              </w:rPr>
              <w:t>Where</w:t>
            </w:r>
            <w:r w:rsidRPr="002A677E">
              <w:rPr>
                <w:rFonts w:ascii="Times New Roman" w:hAnsi="Times New Roman"/>
                <w:sz w:val="24"/>
                <w:lang w:eastAsia="de-DE"/>
              </w:rPr>
              <w:t>, due to a negative loss adjustment, the adjusted loss amount attributable to a</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falls below the internal data collection threshold of the institution, the institution shall report the total loss amount for that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event accumulated until the last time when the</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was reported </w:t>
            </w:r>
            <w:r w:rsidR="00070AF9" w:rsidRPr="002A677E">
              <w:rPr>
                <w:rFonts w:ascii="Times New Roman" w:hAnsi="Times New Roman"/>
                <w:sz w:val="24"/>
                <w:lang w:eastAsia="de-DE"/>
              </w:rPr>
              <w:t xml:space="preserve">for </w:t>
            </w:r>
            <w:r w:rsidRPr="002A677E">
              <w:rPr>
                <w:rFonts w:ascii="Times New Roman" w:hAnsi="Times New Roman"/>
                <w:sz w:val="24"/>
                <w:lang w:eastAsia="de-DE"/>
              </w:rPr>
              <w:t xml:space="preserve">a December </w:t>
            </w:r>
            <w:r w:rsidR="00070AF9" w:rsidRPr="002A677E">
              <w:rPr>
                <w:rFonts w:ascii="Times New Roman" w:hAnsi="Times New Roman"/>
                <w:sz w:val="24"/>
                <w:lang w:eastAsia="de-DE"/>
              </w:rPr>
              <w:t>reference date</w:t>
            </w:r>
            <w:r w:rsidRPr="002A677E">
              <w:rPr>
                <w:rFonts w:ascii="Times New Roman" w:hAnsi="Times New Roman"/>
                <w:sz w:val="24"/>
                <w:lang w:eastAsia="de-DE"/>
              </w:rPr>
              <w:t xml:space="preserve"> (i.e. the original loss plus / minus all loss adjustments made in previous reporting reference periods) with a negative sign in row </w:t>
            </w:r>
            <w:r w:rsidR="00CB3146" w:rsidRPr="002A677E">
              <w:rPr>
                <w:rFonts w:ascii="Times New Roman" w:hAnsi="Times New Roman"/>
                <w:sz w:val="24"/>
                <w:lang w:eastAsia="de-DE"/>
              </w:rPr>
              <w:t>0</w:t>
            </w:r>
            <w:r w:rsidRPr="002A677E">
              <w:rPr>
                <w:rFonts w:ascii="Times New Roman" w:hAnsi="Times New Roman"/>
                <w:sz w:val="24"/>
                <w:lang w:eastAsia="de-DE"/>
              </w:rPr>
              <w:t>946 instead of the amount of the negative loss adjustment itself.</w:t>
            </w:r>
          </w:p>
        </w:tc>
      </w:tr>
      <w:tr w:rsidR="00FD54FC" w:rsidRPr="002A677E" w14:paraId="27DD8D89" w14:textId="77777777" w:rsidTr="00672D2A">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Maximum single loss</w:t>
            </w:r>
          </w:p>
          <w:p w14:paraId="475751C9" w14:textId="4A0524CC"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Provided that the institution has assigned all its losses to a business line listed, the maximum single loss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maximum loss over the internal threshold for each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event type and amongst all business lines. Th</w:t>
            </w:r>
            <w:r w:rsidR="00F41508" w:rsidRPr="002A677E">
              <w:rPr>
                <w:rFonts w:ascii="Times New Roman" w:hAnsi="Times New Roman"/>
                <w:sz w:val="24"/>
                <w:lang w:eastAsia="de-DE"/>
              </w:rPr>
              <w:t>o</w:t>
            </w:r>
            <w:r w:rsidRPr="002A677E">
              <w:rPr>
                <w:rFonts w:ascii="Times New Roman" w:hAnsi="Times New Roman"/>
                <w:sz w:val="24"/>
                <w:lang w:eastAsia="de-DE"/>
              </w:rPr>
              <w:t xml:space="preserve">se figures may be higher </w:t>
            </w:r>
            <w:r w:rsidRPr="002A677E">
              <w:rPr>
                <w:rFonts w:ascii="Times New Roman" w:hAnsi="Times New Roman"/>
                <w:sz w:val="24"/>
                <w:lang w:eastAsia="de-DE"/>
              </w:rPr>
              <w:lastRenderedPageBreak/>
              <w:t xml:space="preserve">than the highest single loss recorded in each business line </w:t>
            </w:r>
            <w:r w:rsidR="00F41508" w:rsidRPr="002A677E">
              <w:rPr>
                <w:rFonts w:ascii="Times New Roman" w:hAnsi="Times New Roman"/>
                <w:sz w:val="24"/>
                <w:lang w:eastAsia="de-DE"/>
              </w:rPr>
              <w:t>where</w:t>
            </w:r>
            <w:r w:rsidRPr="002A677E">
              <w:rPr>
                <w:rFonts w:ascii="Times New Roman" w:hAnsi="Times New Roman"/>
                <w:sz w:val="24"/>
                <w:lang w:eastAsia="de-DE"/>
              </w:rPr>
              <w:t xml:space="preserve"> a</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impacts different business lines.</w:t>
            </w:r>
          </w:p>
          <w:p w14:paraId="7BE96ED9" w14:textId="718AAC52"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Provided that the institution has assigned all its losses to a business line listed that it has identified the</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types for all losses, the following shall apply for column </w:t>
            </w:r>
            <w:r w:rsidR="00F114E6" w:rsidRPr="002A677E">
              <w:rPr>
                <w:rFonts w:ascii="Times New Roman" w:hAnsi="Times New Roman"/>
                <w:sz w:val="24"/>
                <w:lang w:eastAsia="de-DE"/>
              </w:rPr>
              <w:t>0</w:t>
            </w:r>
            <w:r w:rsidRPr="002A677E">
              <w:rPr>
                <w:rFonts w:ascii="Times New Roman" w:hAnsi="Times New Roman"/>
                <w:sz w:val="24"/>
                <w:lang w:eastAsia="de-DE"/>
              </w:rPr>
              <w:t>080:</w:t>
            </w:r>
          </w:p>
          <w:p w14:paraId="454E8214" w14:textId="77777777" w:rsidR="00FD54FC" w:rsidRPr="002A677E" w:rsidRDefault="00125707" w:rsidP="0023700C">
            <w:pPr>
              <w:ind w:left="360" w:hanging="360"/>
              <w:rPr>
                <w:rFonts w:ascii="Times New Roman" w:hAnsi="Times New Roman"/>
                <w:b/>
                <w:bCs/>
                <w:sz w:val="24"/>
                <w:u w:val="single"/>
              </w:rPr>
            </w:pPr>
            <w:r w:rsidRPr="002A677E">
              <w:rPr>
                <w:rFonts w:ascii="Times New Roman" w:hAnsi="Times New Roman"/>
                <w:bCs/>
                <w:sz w:val="24"/>
              </w:rPr>
              <w:t>-</w:t>
            </w:r>
            <w:r w:rsidRPr="002A677E">
              <w:rPr>
                <w:rFonts w:ascii="Times New Roman" w:hAnsi="Times New Roman"/>
                <w:bCs/>
                <w:sz w:val="24"/>
              </w:rPr>
              <w:tab/>
            </w:r>
            <w:r w:rsidR="00FD54FC" w:rsidRPr="002A677E">
              <w:rPr>
                <w:rFonts w:ascii="Times New Roman" w:hAnsi="Times New Roman"/>
                <w:sz w:val="24"/>
                <w:lang w:eastAsia="de-DE"/>
              </w:rPr>
              <w:t xml:space="preserve">The maximum single loss reported shall be equal to the highest of the values reported in columns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010 – </w:t>
            </w:r>
            <w:r w:rsidR="00F114E6" w:rsidRPr="002A677E">
              <w:rPr>
                <w:rFonts w:ascii="Times New Roman" w:hAnsi="Times New Roman"/>
                <w:sz w:val="24"/>
                <w:lang w:eastAsia="de-DE"/>
              </w:rPr>
              <w:t>0</w:t>
            </w:r>
            <w:r w:rsidR="00FD54FC" w:rsidRPr="002A677E">
              <w:rPr>
                <w:rFonts w:ascii="Times New Roman" w:hAnsi="Times New Roman"/>
                <w:sz w:val="24"/>
                <w:lang w:eastAsia="de-DE"/>
              </w:rPr>
              <w:t xml:space="preserve">070 of this </w:t>
            </w:r>
            <w:proofErr w:type="gramStart"/>
            <w:r w:rsidR="00FD54FC" w:rsidRPr="002A677E">
              <w:rPr>
                <w:rFonts w:ascii="Times New Roman" w:hAnsi="Times New Roman"/>
                <w:sz w:val="24"/>
                <w:lang w:eastAsia="de-DE"/>
              </w:rPr>
              <w:t>row</w:t>
            </w:r>
            <w:proofErr w:type="gramEnd"/>
            <w:r w:rsidR="00FD54FC" w:rsidRPr="002A677E">
              <w:rPr>
                <w:rFonts w:ascii="Times New Roman" w:hAnsi="Times New Roman"/>
                <w:sz w:val="24"/>
                <w:lang w:eastAsia="de-DE"/>
              </w:rPr>
              <w:t>.</w:t>
            </w:r>
          </w:p>
          <w:p w14:paraId="6FE10DDB" w14:textId="77777777" w:rsidR="00FD54FC" w:rsidRPr="002A677E" w:rsidRDefault="00125707" w:rsidP="0023700C">
            <w:pPr>
              <w:ind w:left="360" w:hanging="360"/>
              <w:rPr>
                <w:rStyle w:val="InstructionsTabelleberschrift"/>
                <w:rFonts w:ascii="Times New Roman" w:hAnsi="Times New Roman"/>
                <w:bCs w:val="0"/>
                <w:sz w:val="24"/>
                <w:lang w:eastAsia="de-DE"/>
              </w:rPr>
            </w:pPr>
            <w:r w:rsidRPr="002A677E">
              <w:rPr>
                <w:rStyle w:val="InstructionsTabelleberschrift"/>
                <w:rFonts w:ascii="Times New Roman" w:hAnsi="Times New Roman"/>
                <w:b w:val="0"/>
                <w:bCs w:val="0"/>
                <w:sz w:val="24"/>
                <w:u w:val="none"/>
                <w:lang w:eastAsia="de-DE"/>
              </w:rPr>
              <w:t>-</w:t>
            </w:r>
            <w:r w:rsidRPr="002A677E">
              <w:rPr>
                <w:rStyle w:val="InstructionsTabelleberschrift"/>
                <w:rFonts w:ascii="Times New Roman" w:hAnsi="Times New Roman"/>
                <w:b w:val="0"/>
                <w:bCs w:val="0"/>
                <w:sz w:val="24"/>
                <w:u w:val="none"/>
                <w:lang w:eastAsia="de-DE"/>
              </w:rPr>
              <w:tab/>
            </w:r>
            <w:r w:rsidR="00F41508" w:rsidRPr="002A677E">
              <w:rPr>
                <w:rFonts w:ascii="Times New Roman" w:eastAsia="Yu Gothic Light" w:hAnsi="Times New Roman"/>
                <w:sz w:val="24"/>
              </w:rPr>
              <w:t>Where</w:t>
            </w:r>
            <w:r w:rsidR="00FD54FC" w:rsidRPr="002A677E">
              <w:rPr>
                <w:rFonts w:ascii="Times New Roman" w:hAnsi="Times New Roman"/>
                <w:sz w:val="24"/>
                <w:lang w:eastAsia="de-DE"/>
              </w:rPr>
              <w:t xml:space="preserve"> there are </w:t>
            </w:r>
            <w:r w:rsidR="00EB6FC2" w:rsidRPr="002A677E">
              <w:rPr>
                <w:rFonts w:ascii="Times New Roman" w:hAnsi="Times New Roman"/>
                <w:sz w:val="24"/>
                <w:lang w:eastAsia="de-DE"/>
              </w:rPr>
              <w:t xml:space="preserve">loss </w:t>
            </w:r>
            <w:r w:rsidR="00FD54FC" w:rsidRPr="002A677E">
              <w:rPr>
                <w:rFonts w:ascii="Times New Roman" w:hAnsi="Times New Roman"/>
                <w:sz w:val="24"/>
                <w:lang w:eastAsia="de-DE"/>
              </w:rPr>
              <w:t>events having an impact in different business lines, the amount reported in {r</w:t>
            </w:r>
            <w:r w:rsidR="00CB3146" w:rsidRPr="002A677E">
              <w:rPr>
                <w:rFonts w:ascii="Times New Roman" w:hAnsi="Times New Roman"/>
                <w:sz w:val="24"/>
                <w:lang w:eastAsia="de-DE"/>
              </w:rPr>
              <w:t>0</w:t>
            </w:r>
            <w:r w:rsidR="00FD54FC" w:rsidRPr="002A677E">
              <w:rPr>
                <w:rFonts w:ascii="Times New Roman" w:hAnsi="Times New Roman"/>
                <w:sz w:val="24"/>
                <w:lang w:eastAsia="de-DE"/>
              </w:rPr>
              <w:t>950, c</w:t>
            </w:r>
            <w:r w:rsidR="005E7FAD" w:rsidRPr="002A677E">
              <w:rPr>
                <w:rFonts w:ascii="Times New Roman" w:hAnsi="Times New Roman"/>
                <w:sz w:val="24"/>
                <w:lang w:eastAsia="de-DE"/>
              </w:rPr>
              <w:t>0</w:t>
            </w:r>
            <w:r w:rsidR="00FD54FC" w:rsidRPr="002A677E">
              <w:rPr>
                <w:rFonts w:ascii="Times New Roman" w:hAnsi="Times New Roman"/>
                <w:sz w:val="24"/>
                <w:lang w:eastAsia="de-DE"/>
              </w:rPr>
              <w:t xml:space="preserve">080} may be higher than the amounts of “Maximum single loss” per business line reported in other rows of column </w:t>
            </w:r>
            <w:r w:rsidR="005E7FAD" w:rsidRPr="002A677E">
              <w:rPr>
                <w:rFonts w:ascii="Times New Roman" w:hAnsi="Times New Roman"/>
                <w:sz w:val="24"/>
                <w:lang w:eastAsia="de-DE"/>
              </w:rPr>
              <w:t>0</w:t>
            </w:r>
            <w:r w:rsidR="00FD54FC" w:rsidRPr="002A677E">
              <w:rPr>
                <w:rFonts w:ascii="Times New Roman" w:hAnsi="Times New Roman"/>
                <w:sz w:val="24"/>
                <w:lang w:eastAsia="de-DE"/>
              </w:rPr>
              <w:t xml:space="preserve">080. </w:t>
            </w:r>
          </w:p>
        </w:tc>
      </w:tr>
      <w:tr w:rsidR="00FD54FC" w:rsidRPr="002A677E" w14:paraId="1E3DFEBA" w14:textId="77777777" w:rsidTr="00672D2A">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lastRenderedPageBreak/>
              <w:t>0</w:t>
            </w:r>
            <w:r w:rsidR="00FD54FC" w:rsidRPr="002A677E">
              <w:rPr>
                <w:rFonts w:ascii="Times New Roman" w:hAnsi="Times New Roman"/>
                <w:sz w:val="24"/>
                <w:lang w:eastAsia="de-DE"/>
              </w:rPr>
              <w:t>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Sum of the five largest losses</w:t>
            </w:r>
          </w:p>
          <w:p w14:paraId="2EA9E110"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sum of the five largest gross losses for each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 type and amongst all business lines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reported. Th</w:t>
            </w:r>
            <w:r w:rsidR="00F41508" w:rsidRPr="002A677E">
              <w:rPr>
                <w:rFonts w:ascii="Times New Roman" w:hAnsi="Times New Roman"/>
                <w:sz w:val="24"/>
                <w:lang w:eastAsia="de-DE"/>
              </w:rPr>
              <w:t>at</w:t>
            </w:r>
            <w:r w:rsidRPr="002A677E">
              <w:rPr>
                <w:rFonts w:ascii="Times New Roman" w:hAnsi="Times New Roman"/>
                <w:sz w:val="24"/>
                <w:lang w:eastAsia="de-DE"/>
              </w:rPr>
              <w:t xml:space="preserve"> sum may be higher than the highest sum of the five largest losses recorded in each business line. Th</w:t>
            </w:r>
            <w:r w:rsidR="00F41508" w:rsidRPr="002A677E">
              <w:rPr>
                <w:rFonts w:ascii="Times New Roman" w:hAnsi="Times New Roman"/>
                <w:sz w:val="24"/>
                <w:lang w:eastAsia="de-DE"/>
              </w:rPr>
              <w:t>at</w:t>
            </w:r>
            <w:r w:rsidRPr="002A677E">
              <w:rPr>
                <w:rFonts w:ascii="Times New Roman" w:hAnsi="Times New Roman"/>
                <w:sz w:val="24"/>
                <w:lang w:eastAsia="de-DE"/>
              </w:rPr>
              <w:t xml:space="preserve"> sum </w:t>
            </w:r>
            <w:proofErr w:type="gramStart"/>
            <w:r w:rsidRPr="002A677E">
              <w:rPr>
                <w:rFonts w:ascii="Times New Roman" w:hAnsi="Times New Roman"/>
                <w:sz w:val="24"/>
                <w:lang w:eastAsia="de-DE"/>
              </w:rPr>
              <w:t>has to</w:t>
            </w:r>
            <w:proofErr w:type="gramEnd"/>
            <w:r w:rsidRPr="002A677E">
              <w:rPr>
                <w:rFonts w:ascii="Times New Roman" w:hAnsi="Times New Roman"/>
                <w:sz w:val="24"/>
                <w:lang w:eastAsia="de-DE"/>
              </w:rPr>
              <w:t xml:space="preserve"> be reported regardless of the number of losses. </w:t>
            </w:r>
          </w:p>
          <w:p w14:paraId="462BED5E" w14:textId="12CDE9EE" w:rsidR="00FD54FC" w:rsidRPr="002A677E" w:rsidRDefault="00FD54FC" w:rsidP="00AB6610">
            <w:pPr>
              <w:rPr>
                <w:rStyle w:val="InstructionsTabelleberschrift"/>
                <w:rFonts w:ascii="Times New Roman" w:hAnsi="Times New Roman"/>
                <w:sz w:val="24"/>
              </w:rPr>
            </w:pPr>
            <w:r w:rsidRPr="001235ED">
              <w:rPr>
                <w:rFonts w:ascii="Times New Roman" w:hAnsi="Times New Roman"/>
                <w:sz w:val="24"/>
                <w:lang w:eastAsia="de-DE"/>
              </w:rPr>
              <w:t>Provided that the institution has assigned all its losses to a business line listed</w:t>
            </w:r>
            <w:r w:rsidR="00E62FFE">
              <w:rPr>
                <w:rFonts w:ascii="Times New Roman" w:hAnsi="Times New Roman"/>
                <w:sz w:val="24"/>
                <w:lang w:eastAsia="de-DE"/>
              </w:rPr>
              <w:t xml:space="preserve"> </w:t>
            </w:r>
            <w:r w:rsidR="00AB6610" w:rsidRPr="002A677E">
              <w:rPr>
                <w:rFonts w:ascii="Times New Roman" w:hAnsi="Times New Roman"/>
                <w:sz w:val="24"/>
                <w:lang w:eastAsia="de-DE"/>
              </w:rPr>
              <w:t>and</w:t>
            </w:r>
            <w:r w:rsidRPr="002A677E">
              <w:rPr>
                <w:rFonts w:ascii="Times New Roman" w:hAnsi="Times New Roman"/>
                <w:sz w:val="24"/>
                <w:lang w:eastAsia="de-DE"/>
              </w:rPr>
              <w:t xml:space="preserve"> that it has identified the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 types for all losses, for column </w:t>
            </w:r>
            <w:r w:rsidR="00AB6610" w:rsidRPr="002A677E">
              <w:rPr>
                <w:rFonts w:ascii="Times New Roman" w:hAnsi="Times New Roman"/>
                <w:sz w:val="24"/>
                <w:lang w:eastAsia="de-DE"/>
              </w:rPr>
              <w:t>0</w:t>
            </w:r>
            <w:r w:rsidRPr="002A677E">
              <w:rPr>
                <w:rFonts w:ascii="Times New Roman" w:hAnsi="Times New Roman"/>
                <w:sz w:val="24"/>
                <w:lang w:eastAsia="de-DE"/>
              </w:rPr>
              <w:t xml:space="preserve">080, the sum of the five largest losses shall be the sum of the five largest losses in the whole matrix, which means that it </w:t>
            </w:r>
            <w:r w:rsidR="00F41508" w:rsidRPr="002A677E">
              <w:rPr>
                <w:rFonts w:ascii="Times New Roman" w:hAnsi="Times New Roman"/>
                <w:sz w:val="24"/>
                <w:lang w:eastAsia="de-DE"/>
              </w:rPr>
              <w:t xml:space="preserve">is </w:t>
            </w:r>
            <w:r w:rsidRPr="002A677E">
              <w:rPr>
                <w:rFonts w:ascii="Times New Roman" w:hAnsi="Times New Roman"/>
                <w:sz w:val="24"/>
                <w:lang w:eastAsia="de-DE"/>
              </w:rPr>
              <w:t xml:space="preserve">not necessarily equal to either the maximum value of “sum of the five largest losses” in row </w:t>
            </w:r>
            <w:r w:rsidR="00AB6610" w:rsidRPr="002A677E">
              <w:rPr>
                <w:rFonts w:ascii="Times New Roman" w:hAnsi="Times New Roman"/>
                <w:sz w:val="24"/>
                <w:lang w:eastAsia="de-DE"/>
              </w:rPr>
              <w:t>0</w:t>
            </w:r>
            <w:r w:rsidRPr="002A677E">
              <w:rPr>
                <w:rFonts w:ascii="Times New Roman" w:hAnsi="Times New Roman"/>
                <w:sz w:val="24"/>
                <w:lang w:eastAsia="de-DE"/>
              </w:rPr>
              <w:t xml:space="preserve">960 or the maximum value of “sum of the five largest losses” in column </w:t>
            </w:r>
            <w:r w:rsidR="00AB6610" w:rsidRPr="002A677E">
              <w:rPr>
                <w:rFonts w:ascii="Times New Roman" w:hAnsi="Times New Roman"/>
                <w:sz w:val="24"/>
                <w:lang w:eastAsia="de-DE"/>
              </w:rPr>
              <w:t>0</w:t>
            </w:r>
            <w:r w:rsidRPr="002A677E">
              <w:rPr>
                <w:rFonts w:ascii="Times New Roman" w:hAnsi="Times New Roman"/>
                <w:sz w:val="24"/>
                <w:lang w:eastAsia="de-DE"/>
              </w:rPr>
              <w:t>080.</w:t>
            </w:r>
          </w:p>
        </w:tc>
      </w:tr>
      <w:tr w:rsidR="00FD54FC" w:rsidRPr="002A677E" w14:paraId="10A42EB4" w14:textId="77777777" w:rsidTr="00672D2A">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Total direct loss recovery</w:t>
            </w:r>
          </w:p>
          <w:p w14:paraId="651924C3" w14:textId="6F1F830A" w:rsidR="00FD54FC" w:rsidRPr="002A677E" w:rsidRDefault="00FD54FC" w:rsidP="00705025">
            <w:pPr>
              <w:rPr>
                <w:rStyle w:val="InstructionsTabelleberschrift"/>
                <w:rFonts w:ascii="Times New Roman" w:hAnsi="Times New Roman"/>
                <w:sz w:val="24"/>
              </w:rPr>
            </w:pPr>
            <w:r w:rsidRPr="001235ED">
              <w:rPr>
                <w:rFonts w:ascii="Times New Roman" w:hAnsi="Times New Roman"/>
                <w:sz w:val="24"/>
                <w:lang w:eastAsia="de-DE"/>
              </w:rPr>
              <w:t xml:space="preserve">Provided that the institution has assigned all its losses to a business line </w:t>
            </w:r>
            <w:proofErr w:type="gramStart"/>
            <w:r w:rsidRPr="001235ED">
              <w:rPr>
                <w:rFonts w:ascii="Times New Roman" w:hAnsi="Times New Roman"/>
                <w:sz w:val="24"/>
                <w:lang w:eastAsia="de-DE"/>
              </w:rPr>
              <w:t>listed</w:t>
            </w:r>
            <w:r w:rsidR="00E62FFE">
              <w:rPr>
                <w:rFonts w:ascii="Times New Roman" w:hAnsi="Times New Roman"/>
                <w:sz w:val="24"/>
                <w:lang w:eastAsia="de-DE"/>
              </w:rPr>
              <w:t xml:space="preserve"> </w:t>
            </w:r>
            <w:r w:rsidRPr="002A677E">
              <w:rPr>
                <w:rFonts w:ascii="Times New Roman" w:hAnsi="Times New Roman"/>
                <w:sz w:val="24"/>
                <w:lang w:eastAsia="de-DE"/>
              </w:rPr>
              <w:t>,</w:t>
            </w:r>
            <w:proofErr w:type="gramEnd"/>
            <w:r w:rsidRPr="002A677E">
              <w:rPr>
                <w:rFonts w:ascii="Times New Roman" w:hAnsi="Times New Roman"/>
                <w:sz w:val="24"/>
                <w:lang w:eastAsia="de-DE"/>
              </w:rPr>
              <w:t xml:space="preserve"> the total direct loss recovery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simple aggregation of the total direct loss recovery for each business line.</w:t>
            </w:r>
          </w:p>
        </w:tc>
      </w:tr>
      <w:tr w:rsidR="00FD54FC" w:rsidRPr="002A677E" w14:paraId="786617A2" w14:textId="77777777" w:rsidTr="00672D2A">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980</w:t>
            </w:r>
          </w:p>
        </w:tc>
        <w:tc>
          <w:tcPr>
            <w:tcW w:w="8079" w:type="dxa"/>
            <w:tcBorders>
              <w:top w:val="single" w:sz="4" w:space="0" w:color="auto"/>
              <w:left w:val="single" w:sz="4" w:space="0" w:color="auto"/>
              <w:bottom w:val="single" w:sz="4" w:space="0" w:color="auto"/>
              <w:right w:val="single" w:sz="4" w:space="0" w:color="auto"/>
            </w:tcBorders>
          </w:tcPr>
          <w:p w14:paraId="73F81C16" w14:textId="26F31590"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Total recovery from insurance </w:t>
            </w:r>
          </w:p>
          <w:p w14:paraId="105A6F22" w14:textId="54B9A449" w:rsidR="00FD54FC" w:rsidRPr="002A677E" w:rsidRDefault="00FD54FC" w:rsidP="007062FD">
            <w:pPr>
              <w:rPr>
                <w:rFonts w:ascii="Times New Roman" w:hAnsi="Times New Roman"/>
                <w:b/>
                <w:bCs/>
                <w:sz w:val="24"/>
                <w:u w:val="single"/>
              </w:rPr>
            </w:pPr>
            <w:r w:rsidRPr="002A677E">
              <w:rPr>
                <w:rFonts w:ascii="Times New Roman" w:hAnsi="Times New Roman"/>
                <w:sz w:val="24"/>
                <w:lang w:eastAsia="de-DE"/>
              </w:rPr>
              <w:t xml:space="preserve">Provided that the institution has assigned all its losses to a business line listed the total recovery from insurance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simple aggregation of the total loss recovery from insurance for each business line.</w:t>
            </w:r>
          </w:p>
        </w:tc>
      </w:tr>
    </w:tbl>
    <w:p w14:paraId="7FA58919" w14:textId="77777777" w:rsidR="00FD54FC" w:rsidRPr="002A677E" w:rsidRDefault="00FD54FC" w:rsidP="00FD54FC">
      <w:pPr>
        <w:spacing w:before="0" w:after="0"/>
        <w:jc w:val="left"/>
        <w:rPr>
          <w:rStyle w:val="InstructionsTabelleText"/>
          <w:rFonts w:ascii="Times New Roman" w:hAnsi="Times New Roman"/>
          <w:sz w:val="24"/>
        </w:rPr>
      </w:pPr>
    </w:p>
    <w:p w14:paraId="0C898FFA" w14:textId="77777777"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67" w:name="_Toc473561028"/>
      <w:bookmarkStart w:id="68" w:name="_Toc152862722"/>
      <w:r w:rsidRPr="002A677E">
        <w:rPr>
          <w:rFonts w:ascii="Times New Roman" w:hAnsi="Times New Roman" w:cs="Times New Roman"/>
          <w:sz w:val="24"/>
          <w:u w:val="none"/>
          <w:lang w:val="en-GB"/>
        </w:rPr>
        <w:t>4.2.3.</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C 17.02: Operational risk: Detailed information on the largest loss events in the last year (OPR DETAILS 2)</w:t>
      </w:r>
      <w:bookmarkEnd w:id="67"/>
      <w:bookmarkEnd w:id="68"/>
    </w:p>
    <w:p w14:paraId="14652218" w14:textId="77777777"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69" w:name="_Toc473561029"/>
      <w:bookmarkStart w:id="70" w:name="_Toc152862723"/>
      <w:r w:rsidRPr="002A677E">
        <w:rPr>
          <w:rFonts w:ascii="Times New Roman" w:hAnsi="Times New Roman" w:cs="Times New Roman"/>
          <w:sz w:val="24"/>
          <w:u w:val="none"/>
          <w:lang w:val="en-GB"/>
        </w:rPr>
        <w:t>4.2.3.1.</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General Remarks</w:t>
      </w:r>
      <w:bookmarkEnd w:id="69"/>
      <w:bookmarkEnd w:id="70"/>
    </w:p>
    <w:p w14:paraId="06D9B602" w14:textId="53B658AD" w:rsidR="00FD54FC" w:rsidRPr="002A677E" w:rsidRDefault="00457837"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155</w:t>
      </w:r>
      <w:r>
        <w:rPr>
          <w:noProof/>
        </w:rPr>
        <w:fldChar w:fldCharType="end"/>
      </w:r>
      <w:r w:rsidR="00125707" w:rsidRPr="002A677E">
        <w:t>.</w:t>
      </w:r>
      <w:r w:rsidR="005C14B0" w:rsidRPr="002A677E">
        <w:t xml:space="preserve"> </w:t>
      </w:r>
      <w:r w:rsidR="00FD54FC" w:rsidRPr="002A677E">
        <w:t xml:space="preserve">In template C 17.02, information on individual loss events shall be provided (one row per </w:t>
      </w:r>
      <w:r w:rsidR="00EB6FC2" w:rsidRPr="002A677E">
        <w:t xml:space="preserve">loss </w:t>
      </w:r>
      <w:r w:rsidR="00FD54FC" w:rsidRPr="002A677E">
        <w:t>event).</w:t>
      </w:r>
    </w:p>
    <w:p w14:paraId="6928228C" w14:textId="046FA9AB" w:rsidR="00FD54FC"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156</w:t>
      </w:r>
      <w:r>
        <w:rPr>
          <w:noProof/>
        </w:rPr>
        <w:fldChar w:fldCharType="end"/>
      </w:r>
      <w:r w:rsidR="00125707" w:rsidRPr="002A677E">
        <w:t>.</w:t>
      </w:r>
      <w:r w:rsidR="00125707" w:rsidRPr="002A677E">
        <w:tab/>
      </w:r>
      <w:r w:rsidR="005C14B0" w:rsidRPr="002A677E">
        <w:t xml:space="preserve"> </w:t>
      </w:r>
      <w:r w:rsidR="00FD54FC" w:rsidRPr="002A677E">
        <w:t xml:space="preserve">The information reported in this template shall refer to “new </w:t>
      </w:r>
      <w:r w:rsidR="00EB6FC2" w:rsidRPr="002A677E">
        <w:t xml:space="preserve">loss </w:t>
      </w:r>
      <w:r w:rsidR="00FD54FC" w:rsidRPr="002A677E">
        <w:t>events”, i.e. operational risk events</w:t>
      </w:r>
      <w:r w:rsidR="00F41508" w:rsidRPr="002A677E">
        <w:t>:</w:t>
      </w:r>
    </w:p>
    <w:p w14:paraId="43C23B10" w14:textId="77777777" w:rsidR="00FD54FC" w:rsidRPr="002A677E" w:rsidRDefault="00125707" w:rsidP="00E434A1">
      <w:pPr>
        <w:pStyle w:val="InstructionsText2"/>
        <w:numPr>
          <w:ilvl w:val="0"/>
          <w:numId w:val="0"/>
        </w:numPr>
      </w:pPr>
      <w:r w:rsidRPr="002A677E">
        <w:t>(a)</w:t>
      </w:r>
      <w:r w:rsidRPr="002A677E">
        <w:tab/>
      </w:r>
      <w:r w:rsidR="00FD54FC" w:rsidRPr="002A677E">
        <w:t>“accounted for the first time” within the reporting reference period</w:t>
      </w:r>
      <w:r w:rsidR="00F41508" w:rsidRPr="002A677E">
        <w:t>;</w:t>
      </w:r>
      <w:r w:rsidR="00FD54FC" w:rsidRPr="002A677E">
        <w:t xml:space="preserve"> or</w:t>
      </w:r>
    </w:p>
    <w:p w14:paraId="0D60A55D" w14:textId="77777777" w:rsidR="00FD54FC" w:rsidRPr="002A677E" w:rsidRDefault="00125707" w:rsidP="00E434A1">
      <w:pPr>
        <w:pStyle w:val="InstructionsText2"/>
        <w:numPr>
          <w:ilvl w:val="0"/>
          <w:numId w:val="0"/>
        </w:numPr>
      </w:pPr>
      <w:r w:rsidRPr="002A677E">
        <w:lastRenderedPageBreak/>
        <w:t>(b)</w:t>
      </w:r>
      <w:r w:rsidRPr="002A677E">
        <w:tab/>
      </w:r>
      <w:r w:rsidR="00FD54FC" w:rsidRPr="002A677E">
        <w:t xml:space="preserve">“accounted for the first time” within a previous reporting reference period, </w:t>
      </w:r>
      <w:r w:rsidR="00F41508" w:rsidRPr="002A677E">
        <w:t>where</w:t>
      </w:r>
      <w:r w:rsidR="00FD54FC" w:rsidRPr="002A677E">
        <w:t xml:space="preserve"> the </w:t>
      </w:r>
      <w:r w:rsidR="00EB6FC2" w:rsidRPr="002A677E">
        <w:t xml:space="preserve">loss </w:t>
      </w:r>
      <w:r w:rsidR="00FD54FC" w:rsidRPr="002A677E">
        <w:t xml:space="preserve">event </w:t>
      </w:r>
      <w:r w:rsidR="00F41508" w:rsidRPr="002A677E">
        <w:t xml:space="preserve">was </w:t>
      </w:r>
      <w:r w:rsidR="00FD54FC" w:rsidRPr="002A677E">
        <w:t xml:space="preserve">not included in any previous supervisory report, e.g. because it was identified as operational risk </w:t>
      </w:r>
      <w:r w:rsidR="00EB6FC2" w:rsidRPr="002A677E">
        <w:t xml:space="preserve">loss </w:t>
      </w:r>
      <w:r w:rsidR="00FD54FC" w:rsidRPr="002A677E">
        <w:t xml:space="preserve">event only in the current reporting reference period or because the accumulated loss attributable to that </w:t>
      </w:r>
      <w:r w:rsidR="00EB6FC2" w:rsidRPr="002A677E">
        <w:t xml:space="preserve">loss </w:t>
      </w:r>
      <w:r w:rsidR="00FD54FC" w:rsidRPr="002A677E">
        <w:t>event (i.e. the original loss plus / minus all loss adjustments made in previous reporting reference periods) exceeded the internal data collection threshold only in the current reporting reference period.</w:t>
      </w:r>
    </w:p>
    <w:p w14:paraId="4FB49E60" w14:textId="5D0BE6A7" w:rsidR="00F41508" w:rsidRPr="002A677E" w:rsidRDefault="00E434A1" w:rsidP="00E434A1">
      <w:pPr>
        <w:pStyle w:val="InstructionsText2"/>
        <w:numPr>
          <w:ilvl w:val="0"/>
          <w:numId w:val="0"/>
        </w:numPr>
      </w:pPr>
      <w:r>
        <w:fldChar w:fldCharType="begin"/>
      </w:r>
      <w:r>
        <w:instrText xml:space="preserve"> seq paragraphs </w:instrText>
      </w:r>
      <w:r>
        <w:fldChar w:fldCharType="separate"/>
      </w:r>
      <w:r w:rsidR="00771068" w:rsidRPr="002A677E">
        <w:rPr>
          <w:noProof/>
        </w:rPr>
        <w:t>157</w:t>
      </w:r>
      <w:r>
        <w:rPr>
          <w:noProof/>
        </w:rPr>
        <w:fldChar w:fldCharType="end"/>
      </w:r>
      <w:r w:rsidR="00125707" w:rsidRPr="002A677E">
        <w:t>.</w:t>
      </w:r>
      <w:r w:rsidR="005C14B0" w:rsidRPr="002A677E">
        <w:t xml:space="preserve"> </w:t>
      </w:r>
      <w:r w:rsidR="00FD54FC" w:rsidRPr="002A677E">
        <w:t xml:space="preserve">Only </w:t>
      </w:r>
      <w:r w:rsidR="00EB6FC2" w:rsidRPr="002A677E">
        <w:t xml:space="preserve">loss </w:t>
      </w:r>
      <w:r w:rsidR="00FD54FC" w:rsidRPr="002A677E">
        <w:t xml:space="preserve">events entailing a gross loss amount of </w:t>
      </w:r>
      <w:r w:rsidR="008D696E">
        <w:t>EUR</w:t>
      </w:r>
      <w:r w:rsidR="00FD54FC" w:rsidRPr="002A677E">
        <w:t>100,000</w:t>
      </w:r>
      <w:r w:rsidR="00402284">
        <w:t xml:space="preserve"> </w:t>
      </w:r>
      <w:r w:rsidR="00FD54FC" w:rsidRPr="002A677E">
        <w:t xml:space="preserve">or more </w:t>
      </w:r>
      <w:r w:rsidR="00AA6A66" w:rsidRPr="002A677E">
        <w:t>shall be</w:t>
      </w:r>
      <w:r w:rsidR="00FD54FC" w:rsidRPr="002A677E">
        <w:t xml:space="preserve"> reported.</w:t>
      </w:r>
    </w:p>
    <w:p w14:paraId="5F2CAE8D" w14:textId="77777777" w:rsidR="00FD54FC" w:rsidRPr="002A677E" w:rsidRDefault="00FD54FC" w:rsidP="00E434A1">
      <w:pPr>
        <w:pStyle w:val="InstructionsText2"/>
        <w:numPr>
          <w:ilvl w:val="0"/>
          <w:numId w:val="0"/>
        </w:numPr>
      </w:pPr>
      <w:r w:rsidRPr="002A677E">
        <w:t>Subject to that threshold</w:t>
      </w:r>
      <w:r w:rsidR="00F41508" w:rsidRPr="002A677E">
        <w:t>:</w:t>
      </w:r>
    </w:p>
    <w:p w14:paraId="503143B8" w14:textId="1D0A0564" w:rsidR="00FD54FC" w:rsidRPr="002A677E" w:rsidRDefault="00125707" w:rsidP="00E434A1">
      <w:pPr>
        <w:pStyle w:val="InstructionsText2"/>
        <w:numPr>
          <w:ilvl w:val="0"/>
          <w:numId w:val="0"/>
        </w:numPr>
      </w:pPr>
      <w:r w:rsidRPr="002A677E">
        <w:t>(a)</w:t>
      </w:r>
      <w:r w:rsidRPr="002A677E">
        <w:tab/>
      </w:r>
      <w:r w:rsidR="00FD54FC" w:rsidRPr="002A677E">
        <w:t>the largest event for each event type</w:t>
      </w:r>
      <w:r w:rsidR="00B83DDE">
        <w:t>, p</w:t>
      </w:r>
      <w:r w:rsidR="00FD54FC" w:rsidRPr="002A677E">
        <w:t>rovided that the institution has identified the event types for losses</w:t>
      </w:r>
      <w:r w:rsidR="00F41508" w:rsidRPr="002A677E">
        <w:t>;</w:t>
      </w:r>
      <w:r w:rsidR="00FD54FC" w:rsidRPr="002A677E">
        <w:t xml:space="preserve"> and</w:t>
      </w:r>
    </w:p>
    <w:p w14:paraId="0CFFC449" w14:textId="77777777" w:rsidR="00FD54FC" w:rsidRPr="002A677E" w:rsidRDefault="00125707" w:rsidP="00E434A1">
      <w:pPr>
        <w:pStyle w:val="InstructionsText2"/>
        <w:numPr>
          <w:ilvl w:val="0"/>
          <w:numId w:val="0"/>
        </w:numPr>
      </w:pPr>
      <w:r w:rsidRPr="002A677E">
        <w:t>(b)</w:t>
      </w:r>
      <w:r w:rsidRPr="002A677E">
        <w:tab/>
      </w:r>
      <w:r w:rsidR="00AA6A66" w:rsidRPr="002A677E">
        <w:t xml:space="preserve">at least </w:t>
      </w:r>
      <w:r w:rsidR="00FD54FC" w:rsidRPr="002A677E">
        <w:t>the ten largest of the remaining events with or without identified event type by gross loss amount shall be included in the template.</w:t>
      </w:r>
    </w:p>
    <w:p w14:paraId="4B19E136" w14:textId="77777777" w:rsidR="00FD54FC" w:rsidRPr="002A677E" w:rsidRDefault="00125707" w:rsidP="00E434A1">
      <w:pPr>
        <w:pStyle w:val="InstructionsText2"/>
        <w:numPr>
          <w:ilvl w:val="0"/>
          <w:numId w:val="0"/>
        </w:numPr>
      </w:pPr>
      <w:r w:rsidRPr="002A677E">
        <w:t>(c)</w:t>
      </w:r>
      <w:r w:rsidRPr="002A677E">
        <w:tab/>
      </w:r>
      <w:r w:rsidR="00EB6FC2" w:rsidRPr="002A677E">
        <w:t>Loss e</w:t>
      </w:r>
      <w:r w:rsidR="00FD54FC" w:rsidRPr="002A677E">
        <w:t xml:space="preserve">vents </w:t>
      </w:r>
      <w:r w:rsidR="00F41508" w:rsidRPr="002A677E">
        <w:t>shall be</w:t>
      </w:r>
      <w:r w:rsidR="00FD54FC" w:rsidRPr="002A677E">
        <w:t xml:space="preserve"> ranked based on the gross loss attributed to them.</w:t>
      </w:r>
    </w:p>
    <w:p w14:paraId="3AE1B367" w14:textId="77777777" w:rsidR="00FD54FC" w:rsidRPr="002A677E" w:rsidRDefault="00125707" w:rsidP="00E434A1">
      <w:pPr>
        <w:pStyle w:val="InstructionsText2"/>
        <w:numPr>
          <w:ilvl w:val="0"/>
          <w:numId w:val="0"/>
        </w:numPr>
      </w:pPr>
      <w:r w:rsidRPr="002A677E">
        <w:t>(d)</w:t>
      </w:r>
      <w:r w:rsidRPr="002A677E">
        <w:tab/>
      </w:r>
      <w:r w:rsidR="00FD54FC" w:rsidRPr="002A677E">
        <w:t>A</w:t>
      </w:r>
      <w:r w:rsidR="00EB6FC2" w:rsidRPr="002A677E">
        <w:t xml:space="preserve"> loss</w:t>
      </w:r>
      <w:r w:rsidR="00FD54FC" w:rsidRPr="002A677E">
        <w:t xml:space="preserve"> event shall only be considered once.</w:t>
      </w:r>
    </w:p>
    <w:p w14:paraId="7FAC47A3" w14:textId="3107F2F3" w:rsidR="00FD54FC" w:rsidRPr="002A677E" w:rsidRDefault="00125707" w:rsidP="0023700C">
      <w:pPr>
        <w:pStyle w:val="Instructionsberschrift2"/>
        <w:numPr>
          <w:ilvl w:val="0"/>
          <w:numId w:val="0"/>
        </w:numPr>
        <w:ind w:left="357" w:hanging="357"/>
        <w:rPr>
          <w:rFonts w:ascii="Times New Roman" w:hAnsi="Times New Roman" w:cs="Times New Roman"/>
          <w:sz w:val="24"/>
          <w:lang w:val="en-GB"/>
        </w:rPr>
      </w:pPr>
      <w:bookmarkStart w:id="71" w:name="_Toc473561030"/>
      <w:bookmarkStart w:id="72" w:name="_Toc152862724"/>
      <w:r w:rsidRPr="002A677E">
        <w:rPr>
          <w:rFonts w:ascii="Times New Roman" w:hAnsi="Times New Roman" w:cs="Times New Roman"/>
          <w:sz w:val="24"/>
          <w:u w:val="none"/>
          <w:lang w:val="en-GB"/>
        </w:rPr>
        <w:t>4.2.3.2.</w:t>
      </w:r>
      <w:r w:rsidRPr="002A677E">
        <w:rPr>
          <w:rFonts w:ascii="Times New Roman" w:hAnsi="Times New Roman" w:cs="Times New Roman"/>
          <w:sz w:val="24"/>
          <w:u w:val="none"/>
          <w:lang w:val="en-GB"/>
        </w:rPr>
        <w:tab/>
      </w:r>
      <w:r w:rsidR="00FD54FC" w:rsidRPr="002A677E">
        <w:rPr>
          <w:rFonts w:ascii="Times New Roman" w:hAnsi="Times New Roman" w:cs="Times New Roman"/>
          <w:sz w:val="24"/>
          <w:lang w:val="en-GB"/>
        </w:rPr>
        <w:t xml:space="preserve">Instructions concerning specific </w:t>
      </w:r>
      <w:proofErr w:type="gramStart"/>
      <w:r w:rsidR="00FD54FC" w:rsidRPr="002A677E">
        <w:rPr>
          <w:rFonts w:ascii="Times New Roman" w:hAnsi="Times New Roman" w:cs="Times New Roman"/>
          <w:sz w:val="24"/>
          <w:lang w:val="en-GB"/>
        </w:rPr>
        <w:t>positions</w:t>
      </w:r>
      <w:bookmarkEnd w:id="71"/>
      <w:bookmarkEnd w:id="72"/>
      <w:proofErr w:type="gramEnd"/>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2A677E" w14:paraId="6CFCB957" w14:textId="77777777" w:rsidTr="006418A0">
        <w:tc>
          <w:tcPr>
            <w:tcW w:w="9062" w:type="dxa"/>
            <w:gridSpan w:val="2"/>
            <w:shd w:val="clear" w:color="auto" w:fill="BFBFBF"/>
          </w:tcPr>
          <w:p w14:paraId="0F453486" w14:textId="77777777" w:rsidR="00FD54FC" w:rsidRPr="002A677E" w:rsidRDefault="00FD54FC" w:rsidP="00FD54FC">
            <w:pPr>
              <w:rPr>
                <w:rFonts w:ascii="Times New Roman" w:hAnsi="Times New Roman"/>
                <w:sz w:val="24"/>
              </w:rPr>
            </w:pPr>
            <w:r w:rsidRPr="002A677E">
              <w:rPr>
                <w:rFonts w:ascii="Times New Roman" w:hAnsi="Times New Roman"/>
                <w:b/>
                <w:bCs/>
                <w:sz w:val="24"/>
                <w:lang w:eastAsia="nl-BE"/>
              </w:rPr>
              <w:t>Columns</w:t>
            </w:r>
          </w:p>
        </w:tc>
      </w:tr>
      <w:tr w:rsidR="00FD54FC" w:rsidRPr="002A677E" w14:paraId="49D115B7" w14:textId="77777777" w:rsidTr="006418A0">
        <w:tc>
          <w:tcPr>
            <w:tcW w:w="951" w:type="dxa"/>
            <w:shd w:val="clear" w:color="auto" w:fill="auto"/>
          </w:tcPr>
          <w:p w14:paraId="365F3571"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010</w:t>
            </w:r>
          </w:p>
        </w:tc>
        <w:tc>
          <w:tcPr>
            <w:tcW w:w="8111" w:type="dxa"/>
            <w:shd w:val="clear" w:color="auto" w:fill="auto"/>
          </w:tcPr>
          <w:p w14:paraId="7D920D2F" w14:textId="77777777" w:rsidR="00FD54FC" w:rsidRPr="002A677E" w:rsidRDefault="00FD54FC" w:rsidP="00FD54FC">
            <w:pPr>
              <w:rPr>
                <w:rFonts w:ascii="Times New Roman" w:hAnsi="Times New Roman"/>
                <w:sz w:val="24"/>
                <w:lang w:eastAsia="de-DE"/>
              </w:rPr>
            </w:pPr>
            <w:r w:rsidRPr="002A677E">
              <w:rPr>
                <w:rStyle w:val="InstructionsTabelleberschrift"/>
                <w:rFonts w:ascii="Times New Roman" w:hAnsi="Times New Roman"/>
                <w:sz w:val="24"/>
              </w:rPr>
              <w:t>Event ID</w:t>
            </w:r>
          </w:p>
          <w:p w14:paraId="6710BBCF"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The event ID is a row identifier and shall be unique for each row in the </w:t>
            </w:r>
            <w:r w:rsidR="00133396" w:rsidRPr="002A677E">
              <w:rPr>
                <w:rFonts w:ascii="Times New Roman" w:hAnsi="Times New Roman"/>
                <w:sz w:val="24"/>
                <w:lang w:eastAsia="de-DE"/>
              </w:rPr>
              <w:t>template</w:t>
            </w:r>
            <w:r w:rsidRPr="002A677E">
              <w:rPr>
                <w:rFonts w:ascii="Times New Roman" w:hAnsi="Times New Roman"/>
                <w:sz w:val="24"/>
                <w:lang w:eastAsia="de-DE"/>
              </w:rPr>
              <w:t xml:space="preserve">. </w:t>
            </w:r>
          </w:p>
          <w:p w14:paraId="0801D83B"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Where an internal ID is available, institutions shall provide the internal ID. Otherwise, the reported ID shall follow the numerical order 1, 2, 3, etc.</w:t>
            </w:r>
          </w:p>
        </w:tc>
      </w:tr>
      <w:tr w:rsidR="00FD54FC" w:rsidRPr="002A677E" w14:paraId="2576979E" w14:textId="77777777" w:rsidTr="006418A0">
        <w:tc>
          <w:tcPr>
            <w:tcW w:w="951" w:type="dxa"/>
            <w:shd w:val="clear" w:color="auto" w:fill="auto"/>
          </w:tcPr>
          <w:p w14:paraId="753AF5DA"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020</w:t>
            </w:r>
          </w:p>
        </w:tc>
        <w:tc>
          <w:tcPr>
            <w:tcW w:w="8111" w:type="dxa"/>
            <w:shd w:val="clear" w:color="auto" w:fill="auto"/>
          </w:tcPr>
          <w:p w14:paraId="71F6AD5E"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Date of Accounting</w:t>
            </w:r>
          </w:p>
          <w:p w14:paraId="1F65F50C" w14:textId="77777777" w:rsidR="00FD54FC" w:rsidRPr="002A677E" w:rsidRDefault="00FD54FC" w:rsidP="00C7103D">
            <w:pPr>
              <w:rPr>
                <w:rFonts w:ascii="Times New Roman" w:hAnsi="Times New Roman"/>
                <w:sz w:val="24"/>
                <w:lang w:eastAsia="de-DE"/>
              </w:rPr>
            </w:pPr>
            <w:r w:rsidRPr="002A677E">
              <w:rPr>
                <w:rFonts w:ascii="Times New Roman" w:hAnsi="Times New Roman"/>
                <w:sz w:val="24"/>
                <w:lang w:eastAsia="de-DE"/>
              </w:rPr>
              <w:t>Date of accounting means the date whe</w:t>
            </w:r>
            <w:r w:rsidR="00F41508" w:rsidRPr="002A677E">
              <w:rPr>
                <w:rFonts w:ascii="Times New Roman" w:hAnsi="Times New Roman"/>
                <w:sz w:val="24"/>
                <w:lang w:eastAsia="de-DE"/>
              </w:rPr>
              <w:t>re</w:t>
            </w:r>
            <w:r w:rsidRPr="002A677E">
              <w:rPr>
                <w:rFonts w:ascii="Times New Roman" w:hAnsi="Times New Roman"/>
                <w:sz w:val="24"/>
                <w:lang w:eastAsia="de-DE"/>
              </w:rPr>
              <w:t xml:space="preserve"> a loss or reserve / provision against an operational risk loss was first recogni</w:t>
            </w:r>
            <w:r w:rsidR="00C7103D" w:rsidRPr="002A677E">
              <w:rPr>
                <w:rFonts w:ascii="Times New Roman" w:hAnsi="Times New Roman"/>
                <w:sz w:val="24"/>
                <w:lang w:eastAsia="de-DE"/>
              </w:rPr>
              <w:t>s</w:t>
            </w:r>
            <w:r w:rsidRPr="002A677E">
              <w:rPr>
                <w:rFonts w:ascii="Times New Roman" w:hAnsi="Times New Roman"/>
                <w:sz w:val="24"/>
                <w:lang w:eastAsia="de-DE"/>
              </w:rPr>
              <w:t xml:space="preserve">ed in the Profit and Loss statement. </w:t>
            </w:r>
          </w:p>
        </w:tc>
      </w:tr>
      <w:tr w:rsidR="00FD54FC" w:rsidRPr="002A677E" w14:paraId="58A95795" w14:textId="77777777" w:rsidTr="006418A0">
        <w:tc>
          <w:tcPr>
            <w:tcW w:w="951" w:type="dxa"/>
            <w:shd w:val="clear" w:color="auto" w:fill="auto"/>
          </w:tcPr>
          <w:p w14:paraId="51A33C19"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030</w:t>
            </w:r>
          </w:p>
        </w:tc>
        <w:tc>
          <w:tcPr>
            <w:tcW w:w="8111" w:type="dxa"/>
            <w:shd w:val="clear" w:color="auto" w:fill="auto"/>
          </w:tcPr>
          <w:p w14:paraId="7E4571A8"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Date of occurrence</w:t>
            </w:r>
          </w:p>
          <w:p w14:paraId="49262D6C" w14:textId="77777777" w:rsidR="00FD54FC" w:rsidRPr="002A677E" w:rsidRDefault="00FD54FC" w:rsidP="00871877">
            <w:pPr>
              <w:rPr>
                <w:rFonts w:ascii="Times New Roman" w:hAnsi="Times New Roman"/>
                <w:sz w:val="24"/>
                <w:lang w:eastAsia="de-DE"/>
              </w:rPr>
            </w:pPr>
            <w:r w:rsidRPr="002A677E">
              <w:rPr>
                <w:rFonts w:ascii="Times New Roman" w:hAnsi="Times New Roman"/>
                <w:sz w:val="24"/>
                <w:lang w:eastAsia="de-DE"/>
              </w:rPr>
              <w:t xml:space="preserve">Date of occurrence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date when the operational risk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event happened or first began.</w:t>
            </w:r>
          </w:p>
        </w:tc>
      </w:tr>
      <w:tr w:rsidR="00FD54FC" w:rsidRPr="002A677E" w14:paraId="1D001D6C" w14:textId="77777777" w:rsidTr="006418A0">
        <w:tc>
          <w:tcPr>
            <w:tcW w:w="951" w:type="dxa"/>
            <w:shd w:val="clear" w:color="auto" w:fill="auto"/>
          </w:tcPr>
          <w:p w14:paraId="7391D6AD"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040</w:t>
            </w:r>
          </w:p>
        </w:tc>
        <w:tc>
          <w:tcPr>
            <w:tcW w:w="8111" w:type="dxa"/>
            <w:shd w:val="clear" w:color="auto" w:fill="auto"/>
          </w:tcPr>
          <w:p w14:paraId="3CE5AC19"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Date of discovery</w:t>
            </w:r>
          </w:p>
          <w:p w14:paraId="520821A8"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Date of discovery </w:t>
            </w:r>
            <w:r w:rsidR="00F41508" w:rsidRPr="002A677E">
              <w:rPr>
                <w:rFonts w:ascii="Times New Roman" w:hAnsi="Times New Roman"/>
                <w:sz w:val="24"/>
                <w:lang w:eastAsia="de-DE"/>
              </w:rPr>
              <w:t>shall be</w:t>
            </w:r>
            <w:r w:rsidRPr="002A677E">
              <w:rPr>
                <w:rFonts w:ascii="Times New Roman" w:hAnsi="Times New Roman"/>
                <w:sz w:val="24"/>
                <w:lang w:eastAsia="de-DE"/>
              </w:rPr>
              <w:t xml:space="preserve"> the date on which the institution became aware of the operational risk</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w:t>
            </w:r>
          </w:p>
        </w:tc>
      </w:tr>
      <w:tr w:rsidR="00FD54FC" w:rsidRPr="002A677E" w14:paraId="76851195" w14:textId="77777777" w:rsidTr="006418A0">
        <w:tc>
          <w:tcPr>
            <w:tcW w:w="951" w:type="dxa"/>
            <w:shd w:val="clear" w:color="auto" w:fill="auto"/>
          </w:tcPr>
          <w:p w14:paraId="28758796"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050</w:t>
            </w:r>
          </w:p>
        </w:tc>
        <w:tc>
          <w:tcPr>
            <w:tcW w:w="8111" w:type="dxa"/>
            <w:shd w:val="clear" w:color="auto" w:fill="auto"/>
          </w:tcPr>
          <w:p w14:paraId="3FDF46AE" w14:textId="77777777" w:rsidR="00FD54FC" w:rsidRPr="002A677E" w:rsidRDefault="00F41508" w:rsidP="00FD54FC">
            <w:pPr>
              <w:rPr>
                <w:rStyle w:val="InstructionsTabelleberschrift"/>
                <w:rFonts w:ascii="Times New Roman" w:hAnsi="Times New Roman"/>
                <w:sz w:val="24"/>
              </w:rPr>
            </w:pPr>
            <w:r w:rsidRPr="002A677E">
              <w:rPr>
                <w:rStyle w:val="InstructionsTabelleberschrift"/>
                <w:rFonts w:ascii="Times New Roman" w:hAnsi="Times New Roman"/>
                <w:sz w:val="24"/>
              </w:rPr>
              <w:t xml:space="preserve">Loss </w:t>
            </w:r>
            <w:r w:rsidR="00EB6FC2" w:rsidRPr="002A677E">
              <w:rPr>
                <w:rStyle w:val="InstructionsTabelleberschrift"/>
                <w:rFonts w:ascii="Times New Roman" w:hAnsi="Times New Roman"/>
                <w:sz w:val="24"/>
              </w:rPr>
              <w:t>e</w:t>
            </w:r>
            <w:r w:rsidR="00FD54FC" w:rsidRPr="002A677E">
              <w:rPr>
                <w:rStyle w:val="InstructionsTabelleberschrift"/>
                <w:rFonts w:ascii="Times New Roman" w:hAnsi="Times New Roman"/>
                <w:sz w:val="24"/>
              </w:rPr>
              <w:t xml:space="preserve">vent </w:t>
            </w:r>
            <w:r w:rsidR="00AB6610" w:rsidRPr="002A677E">
              <w:rPr>
                <w:rStyle w:val="InstructionsTabelleberschrift"/>
                <w:rFonts w:ascii="Times New Roman" w:hAnsi="Times New Roman"/>
                <w:sz w:val="24"/>
              </w:rPr>
              <w:t>t</w:t>
            </w:r>
            <w:r w:rsidR="00FD54FC" w:rsidRPr="002A677E">
              <w:rPr>
                <w:rStyle w:val="InstructionsTabelleberschrift"/>
                <w:rFonts w:ascii="Times New Roman" w:hAnsi="Times New Roman"/>
                <w:sz w:val="24"/>
              </w:rPr>
              <w:t>ype</w:t>
            </w:r>
          </w:p>
          <w:p w14:paraId="73A75C19" w14:textId="1C0C4757" w:rsidR="00FD54FC" w:rsidRPr="002A677E" w:rsidRDefault="00F41508" w:rsidP="00EB6FC2">
            <w:pPr>
              <w:rPr>
                <w:rFonts w:ascii="Times New Roman" w:hAnsi="Times New Roman"/>
                <w:sz w:val="24"/>
                <w:lang w:eastAsia="de-DE"/>
              </w:rPr>
            </w:pPr>
            <w:r w:rsidRPr="002A677E">
              <w:rPr>
                <w:rFonts w:ascii="Times New Roman" w:hAnsi="Times New Roman"/>
                <w:sz w:val="24"/>
                <w:lang w:eastAsia="de-DE"/>
              </w:rPr>
              <w:t xml:space="preserve">Loss </w:t>
            </w:r>
            <w:r w:rsidR="00EB6FC2" w:rsidRPr="002A677E">
              <w:rPr>
                <w:rFonts w:ascii="Times New Roman" w:hAnsi="Times New Roman"/>
                <w:sz w:val="24"/>
                <w:lang w:eastAsia="de-DE"/>
              </w:rPr>
              <w:t>e</w:t>
            </w:r>
            <w:r w:rsidR="00FD54FC" w:rsidRPr="002A677E">
              <w:rPr>
                <w:rFonts w:ascii="Times New Roman" w:hAnsi="Times New Roman"/>
                <w:sz w:val="24"/>
                <w:lang w:eastAsia="de-DE"/>
              </w:rPr>
              <w:t xml:space="preserve">vent types as </w:t>
            </w:r>
            <w:r w:rsidR="00696D33">
              <w:rPr>
                <w:rFonts w:ascii="Times New Roman" w:hAnsi="Times New Roman"/>
                <w:sz w:val="24"/>
                <w:lang w:eastAsia="de-DE"/>
              </w:rPr>
              <w:t xml:space="preserve">defined </w:t>
            </w:r>
            <w:r w:rsidR="00182DC9" w:rsidRPr="01913746">
              <w:rPr>
                <w:rFonts w:ascii="Times New Roman" w:hAnsi="Times New Roman"/>
                <w:sz w:val="24"/>
                <w:lang w:eastAsia="de-DE"/>
              </w:rPr>
              <w:t xml:space="preserve">in Table </w:t>
            </w:r>
            <w:r w:rsidR="00182DC9">
              <w:rPr>
                <w:rFonts w:ascii="Times New Roman" w:hAnsi="Times New Roman"/>
                <w:sz w:val="24"/>
                <w:lang w:eastAsia="de-DE"/>
              </w:rPr>
              <w:t>1</w:t>
            </w:r>
            <w:r w:rsidR="00182DC9" w:rsidRPr="01913746">
              <w:rPr>
                <w:rFonts w:ascii="Times New Roman" w:hAnsi="Times New Roman"/>
                <w:sz w:val="24"/>
                <w:lang w:eastAsia="de-DE"/>
              </w:rPr>
              <w:t xml:space="preserve"> of this Annex</w:t>
            </w:r>
            <w:r w:rsidR="00182DC9">
              <w:rPr>
                <w:rFonts w:ascii="Times New Roman" w:hAnsi="Times New Roman"/>
                <w:sz w:val="24"/>
                <w:lang w:eastAsia="de-DE"/>
              </w:rPr>
              <w:t>, section 4.2.</w:t>
            </w:r>
            <w:r w:rsidR="00B571F5">
              <w:rPr>
                <w:rFonts w:ascii="Times New Roman" w:hAnsi="Times New Roman"/>
                <w:sz w:val="24"/>
                <w:lang w:eastAsia="de-DE"/>
              </w:rPr>
              <w:t>1</w:t>
            </w:r>
            <w:r w:rsidR="00182DC9">
              <w:rPr>
                <w:rFonts w:ascii="Times New Roman" w:hAnsi="Times New Roman"/>
                <w:sz w:val="24"/>
                <w:lang w:eastAsia="de-DE"/>
              </w:rPr>
              <w:t>.</w:t>
            </w:r>
            <w:r w:rsidR="00FD54FC" w:rsidRPr="002A677E">
              <w:rPr>
                <w:rFonts w:ascii="Times New Roman" w:hAnsi="Times New Roman"/>
                <w:sz w:val="24"/>
                <w:lang w:eastAsia="de-DE"/>
              </w:rPr>
              <w:t xml:space="preserve"> </w:t>
            </w:r>
          </w:p>
        </w:tc>
      </w:tr>
      <w:tr w:rsidR="00FD54FC" w:rsidRPr="002A677E" w14:paraId="69DCDE9E" w14:textId="77777777" w:rsidTr="006418A0">
        <w:tc>
          <w:tcPr>
            <w:tcW w:w="951" w:type="dxa"/>
            <w:shd w:val="clear" w:color="auto" w:fill="auto"/>
          </w:tcPr>
          <w:p w14:paraId="6A006D8C"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060</w:t>
            </w:r>
          </w:p>
        </w:tc>
        <w:tc>
          <w:tcPr>
            <w:tcW w:w="8111" w:type="dxa"/>
            <w:shd w:val="clear" w:color="auto" w:fill="auto"/>
          </w:tcPr>
          <w:p w14:paraId="2D778DC5"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Gross loss</w:t>
            </w:r>
          </w:p>
          <w:p w14:paraId="5E868659" w14:textId="77777777" w:rsidR="00FD54FC" w:rsidRPr="002A677E" w:rsidRDefault="00FD54FC" w:rsidP="0023276A">
            <w:pPr>
              <w:rPr>
                <w:rFonts w:ascii="Times New Roman" w:hAnsi="Times New Roman"/>
                <w:sz w:val="24"/>
                <w:lang w:eastAsia="de-DE"/>
              </w:rPr>
            </w:pPr>
            <w:r w:rsidRPr="002A677E">
              <w:rPr>
                <w:rFonts w:ascii="Times New Roman" w:hAnsi="Times New Roman"/>
                <w:sz w:val="24"/>
                <w:lang w:eastAsia="de-DE"/>
              </w:rPr>
              <w:t xml:space="preserve">Gross loss related to the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 </w:t>
            </w:r>
            <w:r w:rsidR="0023276A" w:rsidRPr="002A677E">
              <w:rPr>
                <w:rFonts w:ascii="Times New Roman" w:hAnsi="Times New Roman"/>
                <w:sz w:val="24"/>
                <w:lang w:eastAsia="de-DE"/>
              </w:rPr>
              <w:t>reported in</w:t>
            </w:r>
            <w:r w:rsidRPr="002A677E">
              <w:rPr>
                <w:rFonts w:ascii="Times New Roman" w:hAnsi="Times New Roman"/>
                <w:sz w:val="24"/>
                <w:lang w:eastAsia="de-DE"/>
              </w:rPr>
              <w:t xml:space="preserve"> rows </w:t>
            </w:r>
            <w:r w:rsidR="00AB6610" w:rsidRPr="002A677E">
              <w:rPr>
                <w:rFonts w:ascii="Times New Roman" w:hAnsi="Times New Roman"/>
                <w:sz w:val="24"/>
                <w:lang w:eastAsia="de-DE"/>
              </w:rPr>
              <w:t>0</w:t>
            </w:r>
            <w:r w:rsidRPr="002A677E">
              <w:rPr>
                <w:rFonts w:ascii="Times New Roman" w:hAnsi="Times New Roman"/>
                <w:sz w:val="24"/>
                <w:lang w:eastAsia="de-DE"/>
              </w:rPr>
              <w:t xml:space="preserve">020, </w:t>
            </w:r>
            <w:r w:rsidR="00AB6610" w:rsidRPr="002A677E">
              <w:rPr>
                <w:rFonts w:ascii="Times New Roman" w:hAnsi="Times New Roman"/>
                <w:sz w:val="24"/>
                <w:lang w:eastAsia="de-DE"/>
              </w:rPr>
              <w:t>0</w:t>
            </w:r>
            <w:r w:rsidRPr="002A677E">
              <w:rPr>
                <w:rFonts w:ascii="Times New Roman" w:hAnsi="Times New Roman"/>
                <w:sz w:val="24"/>
                <w:lang w:eastAsia="de-DE"/>
              </w:rPr>
              <w:t>120 etc. of template C 17.01</w:t>
            </w:r>
          </w:p>
        </w:tc>
      </w:tr>
      <w:tr w:rsidR="00FD54FC" w:rsidRPr="002A677E" w14:paraId="0E4E70D6" w14:textId="77777777" w:rsidTr="006418A0">
        <w:tc>
          <w:tcPr>
            <w:tcW w:w="951" w:type="dxa"/>
            <w:shd w:val="clear" w:color="auto" w:fill="auto"/>
          </w:tcPr>
          <w:p w14:paraId="59554EE1"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lastRenderedPageBreak/>
              <w:t>0</w:t>
            </w:r>
            <w:r w:rsidR="00FD54FC" w:rsidRPr="002A677E">
              <w:rPr>
                <w:rFonts w:ascii="Times New Roman" w:hAnsi="Times New Roman"/>
                <w:sz w:val="24"/>
                <w:lang w:eastAsia="de-DE"/>
              </w:rPr>
              <w:t>070</w:t>
            </w:r>
          </w:p>
        </w:tc>
        <w:tc>
          <w:tcPr>
            <w:tcW w:w="8111" w:type="dxa"/>
            <w:shd w:val="clear" w:color="auto" w:fill="auto"/>
          </w:tcPr>
          <w:p w14:paraId="38BFF4C4"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Gross loss net of direct recoveries</w:t>
            </w:r>
          </w:p>
          <w:p w14:paraId="371DD3AD" w14:textId="77777777" w:rsidR="00FD54FC" w:rsidRPr="002A677E" w:rsidRDefault="00FD54FC" w:rsidP="0023276A">
            <w:pPr>
              <w:rPr>
                <w:rFonts w:ascii="Times New Roman" w:hAnsi="Times New Roman"/>
                <w:sz w:val="24"/>
                <w:lang w:eastAsia="de-DE"/>
              </w:rPr>
            </w:pPr>
            <w:r w:rsidRPr="002A677E">
              <w:rPr>
                <w:rFonts w:ascii="Times New Roman" w:hAnsi="Times New Roman"/>
                <w:sz w:val="24"/>
                <w:lang w:eastAsia="de-DE"/>
              </w:rPr>
              <w:t xml:space="preserve">Gross loss related to the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 xml:space="preserve">event </w:t>
            </w:r>
            <w:r w:rsidR="0023276A" w:rsidRPr="002A677E">
              <w:rPr>
                <w:rFonts w:ascii="Times New Roman" w:hAnsi="Times New Roman"/>
                <w:sz w:val="24"/>
                <w:lang w:eastAsia="de-DE"/>
              </w:rPr>
              <w:t>reported in</w:t>
            </w:r>
            <w:r w:rsidRPr="002A677E">
              <w:rPr>
                <w:rFonts w:ascii="Times New Roman" w:hAnsi="Times New Roman"/>
                <w:sz w:val="24"/>
                <w:lang w:eastAsia="de-DE"/>
              </w:rPr>
              <w:t xml:space="preserve"> rows </w:t>
            </w:r>
            <w:r w:rsidR="00AB6610" w:rsidRPr="002A677E">
              <w:rPr>
                <w:rFonts w:ascii="Times New Roman" w:hAnsi="Times New Roman"/>
                <w:sz w:val="24"/>
                <w:lang w:eastAsia="de-DE"/>
              </w:rPr>
              <w:t>0</w:t>
            </w:r>
            <w:r w:rsidRPr="002A677E">
              <w:rPr>
                <w:rFonts w:ascii="Times New Roman" w:hAnsi="Times New Roman"/>
                <w:sz w:val="24"/>
                <w:lang w:eastAsia="de-DE"/>
              </w:rPr>
              <w:t xml:space="preserve">020, </w:t>
            </w:r>
            <w:r w:rsidR="00AB6610" w:rsidRPr="002A677E">
              <w:rPr>
                <w:rFonts w:ascii="Times New Roman" w:hAnsi="Times New Roman"/>
                <w:sz w:val="24"/>
                <w:lang w:eastAsia="de-DE"/>
              </w:rPr>
              <w:t>0</w:t>
            </w:r>
            <w:r w:rsidRPr="002A677E">
              <w:rPr>
                <w:rFonts w:ascii="Times New Roman" w:hAnsi="Times New Roman"/>
                <w:sz w:val="24"/>
                <w:lang w:eastAsia="de-DE"/>
              </w:rPr>
              <w:t>120 etc. of template C 17.01</w:t>
            </w:r>
            <w:r w:rsidR="00F41508" w:rsidRPr="002A677E">
              <w:rPr>
                <w:rFonts w:ascii="Times New Roman" w:hAnsi="Times New Roman"/>
                <w:sz w:val="24"/>
                <w:lang w:eastAsia="de-DE"/>
              </w:rPr>
              <w:t>,</w:t>
            </w:r>
            <w:r w:rsidRPr="002A677E">
              <w:rPr>
                <w:rFonts w:ascii="Times New Roman" w:hAnsi="Times New Roman"/>
                <w:sz w:val="24"/>
                <w:lang w:eastAsia="de-DE"/>
              </w:rPr>
              <w:t xml:space="preserve"> net of direct recoveries pertinent to that loss event</w:t>
            </w:r>
          </w:p>
        </w:tc>
      </w:tr>
      <w:tr w:rsidR="00FD54FC" w:rsidRPr="002A677E" w14:paraId="00E3E0C2" w14:textId="77777777" w:rsidTr="006418A0">
        <w:tc>
          <w:tcPr>
            <w:tcW w:w="951" w:type="dxa"/>
            <w:shd w:val="clear" w:color="auto" w:fill="auto"/>
          </w:tcPr>
          <w:p w14:paraId="724B852D"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 xml:space="preserve">080 - </w:t>
            </w:r>
            <w:r w:rsidRPr="002A677E">
              <w:rPr>
                <w:rFonts w:ascii="Times New Roman" w:hAnsi="Times New Roman"/>
                <w:sz w:val="24"/>
                <w:lang w:eastAsia="de-DE"/>
              </w:rPr>
              <w:t>0</w:t>
            </w:r>
            <w:r w:rsidR="00FD54FC" w:rsidRPr="002A677E">
              <w:rPr>
                <w:rFonts w:ascii="Times New Roman" w:hAnsi="Times New Roman"/>
                <w:sz w:val="24"/>
                <w:lang w:eastAsia="de-DE"/>
              </w:rPr>
              <w:t>160</w:t>
            </w:r>
          </w:p>
        </w:tc>
        <w:tc>
          <w:tcPr>
            <w:tcW w:w="8111" w:type="dxa"/>
            <w:shd w:val="clear" w:color="auto" w:fill="auto"/>
          </w:tcPr>
          <w:p w14:paraId="5640FB78"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Gross loss by business line</w:t>
            </w:r>
          </w:p>
          <w:p w14:paraId="15FC08A2" w14:textId="6BE4BE54" w:rsidR="00FD54FC" w:rsidRPr="002A677E" w:rsidRDefault="00FD54FC" w:rsidP="007062FD">
            <w:pPr>
              <w:rPr>
                <w:rFonts w:ascii="Times New Roman" w:hAnsi="Times New Roman"/>
                <w:sz w:val="24"/>
                <w:lang w:eastAsia="de-DE"/>
              </w:rPr>
            </w:pPr>
            <w:r w:rsidRPr="002A677E">
              <w:rPr>
                <w:rFonts w:ascii="Times New Roman" w:hAnsi="Times New Roman"/>
                <w:sz w:val="24"/>
                <w:lang w:eastAsia="de-DE"/>
              </w:rPr>
              <w:t xml:space="preserve">The gross loss as reported in column </w:t>
            </w:r>
            <w:r w:rsidR="00AB6610" w:rsidRPr="002A677E">
              <w:rPr>
                <w:rFonts w:ascii="Times New Roman" w:hAnsi="Times New Roman"/>
                <w:sz w:val="24"/>
                <w:lang w:eastAsia="de-DE"/>
              </w:rPr>
              <w:t>0</w:t>
            </w:r>
            <w:r w:rsidRPr="002A677E">
              <w:rPr>
                <w:rFonts w:ascii="Times New Roman" w:hAnsi="Times New Roman"/>
                <w:sz w:val="24"/>
                <w:lang w:eastAsia="de-DE"/>
              </w:rPr>
              <w:t xml:space="preserve">060 shall be allocated to the relevant business lines </w:t>
            </w:r>
            <w:r w:rsidR="001B4C43">
              <w:rPr>
                <w:rFonts w:ascii="Times New Roman" w:hAnsi="Times New Roman"/>
                <w:sz w:val="24"/>
                <w:lang w:val="en-US"/>
              </w:rPr>
              <w:t xml:space="preserve">referred to in </w:t>
            </w:r>
            <w:r w:rsidR="00346234" w:rsidRPr="01913746">
              <w:rPr>
                <w:rFonts w:ascii="Times New Roman" w:hAnsi="Times New Roman"/>
                <w:sz w:val="24"/>
                <w:lang w:val="en-US"/>
              </w:rPr>
              <w:t>Table 2</w:t>
            </w:r>
            <w:r w:rsidR="00762178">
              <w:rPr>
                <w:rFonts w:ascii="Times New Roman" w:hAnsi="Times New Roman"/>
                <w:sz w:val="24"/>
                <w:lang w:val="en-US"/>
              </w:rPr>
              <w:t xml:space="preserve">, </w:t>
            </w:r>
            <w:r w:rsidR="00346234">
              <w:rPr>
                <w:rFonts w:ascii="Times New Roman" w:hAnsi="Times New Roman"/>
                <w:sz w:val="24"/>
                <w:lang w:val="en-US"/>
              </w:rPr>
              <w:t>section 4.2.</w:t>
            </w:r>
            <w:r w:rsidR="00B571F5">
              <w:rPr>
                <w:rFonts w:ascii="Times New Roman" w:hAnsi="Times New Roman"/>
                <w:sz w:val="24"/>
                <w:lang w:val="en-US"/>
              </w:rPr>
              <w:t>1</w:t>
            </w:r>
            <w:r w:rsidR="00346234">
              <w:rPr>
                <w:rFonts w:ascii="Times New Roman" w:hAnsi="Times New Roman"/>
                <w:sz w:val="24"/>
                <w:lang w:val="en-US"/>
              </w:rPr>
              <w:t xml:space="preserve">. </w:t>
            </w:r>
          </w:p>
        </w:tc>
      </w:tr>
      <w:tr w:rsidR="00FD54FC" w:rsidRPr="002A677E" w14:paraId="557602BD" w14:textId="77777777" w:rsidTr="006418A0">
        <w:tc>
          <w:tcPr>
            <w:tcW w:w="951" w:type="dxa"/>
            <w:shd w:val="clear" w:color="auto" w:fill="auto"/>
          </w:tcPr>
          <w:p w14:paraId="413224E7"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170</w:t>
            </w:r>
          </w:p>
        </w:tc>
        <w:tc>
          <w:tcPr>
            <w:tcW w:w="8111" w:type="dxa"/>
            <w:shd w:val="clear" w:color="auto" w:fill="auto"/>
          </w:tcPr>
          <w:p w14:paraId="3BBE9520"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Legal Entity name</w:t>
            </w:r>
          </w:p>
          <w:p w14:paraId="196BBE73" w14:textId="7342A18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 xml:space="preserve">Name of the legal entity as reported in column </w:t>
            </w:r>
            <w:r w:rsidR="00CB3146" w:rsidRPr="002A677E">
              <w:rPr>
                <w:rFonts w:ascii="Times New Roman" w:hAnsi="Times New Roman"/>
                <w:sz w:val="24"/>
                <w:lang w:eastAsia="de-DE"/>
              </w:rPr>
              <w:t>0</w:t>
            </w:r>
            <w:r w:rsidRPr="002A677E">
              <w:rPr>
                <w:rFonts w:ascii="Times New Roman" w:hAnsi="Times New Roman"/>
                <w:sz w:val="24"/>
                <w:lang w:eastAsia="de-DE"/>
              </w:rPr>
              <w:t>01</w:t>
            </w:r>
            <w:r w:rsidR="0062362F">
              <w:rPr>
                <w:rFonts w:ascii="Times New Roman" w:hAnsi="Times New Roman"/>
                <w:sz w:val="24"/>
                <w:lang w:eastAsia="de-DE"/>
              </w:rPr>
              <w:t>1</w:t>
            </w:r>
            <w:r w:rsidRPr="002A677E">
              <w:rPr>
                <w:rFonts w:ascii="Times New Roman" w:hAnsi="Times New Roman"/>
                <w:sz w:val="24"/>
                <w:lang w:eastAsia="de-DE"/>
              </w:rPr>
              <w:t xml:space="preserve"> of C 06.02 where the loss – or the greatest share of the </w:t>
            </w:r>
            <w:proofErr w:type="gramStart"/>
            <w:r w:rsidRPr="002A677E">
              <w:rPr>
                <w:rFonts w:ascii="Times New Roman" w:hAnsi="Times New Roman"/>
                <w:sz w:val="24"/>
                <w:lang w:eastAsia="de-DE"/>
              </w:rPr>
              <w:t>loss, if</w:t>
            </w:r>
            <w:proofErr w:type="gramEnd"/>
            <w:r w:rsidRPr="002A677E">
              <w:rPr>
                <w:rFonts w:ascii="Times New Roman" w:hAnsi="Times New Roman"/>
                <w:sz w:val="24"/>
                <w:lang w:eastAsia="de-DE"/>
              </w:rPr>
              <w:t xml:space="preserve"> several entities were affected – occurred.</w:t>
            </w:r>
          </w:p>
        </w:tc>
      </w:tr>
      <w:tr w:rsidR="00FD54FC" w:rsidRPr="002A677E" w14:paraId="65061E2E" w14:textId="77777777" w:rsidTr="006418A0">
        <w:tc>
          <w:tcPr>
            <w:tcW w:w="951" w:type="dxa"/>
            <w:shd w:val="clear" w:color="auto" w:fill="auto"/>
          </w:tcPr>
          <w:p w14:paraId="2B53F902" w14:textId="5E3BBEFD"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18</w:t>
            </w:r>
            <w:r w:rsidR="0062362F">
              <w:rPr>
                <w:rFonts w:ascii="Times New Roman" w:hAnsi="Times New Roman"/>
                <w:sz w:val="24"/>
                <w:lang w:eastAsia="de-DE"/>
              </w:rPr>
              <w:t>1</w:t>
            </w:r>
          </w:p>
        </w:tc>
        <w:tc>
          <w:tcPr>
            <w:tcW w:w="8111" w:type="dxa"/>
            <w:shd w:val="clear" w:color="auto" w:fill="auto"/>
          </w:tcPr>
          <w:p w14:paraId="4F848E3A" w14:textId="77777777" w:rsidR="00FD54FC" w:rsidRPr="002A677E" w:rsidRDefault="00105A75" w:rsidP="00FD54FC">
            <w:pPr>
              <w:rPr>
                <w:rStyle w:val="InstructionsTabelleberschrift"/>
                <w:rFonts w:ascii="Times New Roman" w:hAnsi="Times New Roman"/>
                <w:sz w:val="24"/>
              </w:rPr>
            </w:pPr>
            <w:r w:rsidRPr="002A677E">
              <w:rPr>
                <w:rStyle w:val="InstructionsTabelleberschrift"/>
                <w:rFonts w:ascii="Times New Roman" w:hAnsi="Times New Roman"/>
                <w:sz w:val="24"/>
              </w:rPr>
              <w:t>Code</w:t>
            </w:r>
          </w:p>
          <w:p w14:paraId="2B51325F" w14:textId="351ACEFF" w:rsidR="000D0A23" w:rsidRPr="002A677E" w:rsidRDefault="0062362F" w:rsidP="009B627A">
            <w:pPr>
              <w:rPr>
                <w:rFonts w:ascii="Times New Roman" w:hAnsi="Times New Roman"/>
                <w:sz w:val="24"/>
                <w:lang w:eastAsia="de-DE"/>
              </w:rPr>
            </w:pPr>
            <w:r>
              <w:rPr>
                <w:rFonts w:ascii="Times New Roman" w:hAnsi="Times New Roman"/>
                <w:sz w:val="24"/>
                <w:lang w:eastAsia="de-DE"/>
              </w:rPr>
              <w:t>C</w:t>
            </w:r>
            <w:r w:rsidR="00FD54FC" w:rsidRPr="002A677E">
              <w:rPr>
                <w:rFonts w:ascii="Times New Roman" w:hAnsi="Times New Roman"/>
                <w:sz w:val="24"/>
                <w:lang w:eastAsia="de-DE"/>
              </w:rPr>
              <w:t xml:space="preserve">ode of the legal entity as reported in column </w:t>
            </w:r>
            <w:r w:rsidR="00CB3146" w:rsidRPr="002A677E">
              <w:rPr>
                <w:rFonts w:ascii="Times New Roman" w:hAnsi="Times New Roman"/>
                <w:sz w:val="24"/>
                <w:lang w:eastAsia="de-DE"/>
              </w:rPr>
              <w:t>0</w:t>
            </w:r>
            <w:r w:rsidR="00FD54FC" w:rsidRPr="002A677E">
              <w:rPr>
                <w:rFonts w:ascii="Times New Roman" w:hAnsi="Times New Roman"/>
                <w:sz w:val="24"/>
                <w:lang w:eastAsia="de-DE"/>
              </w:rPr>
              <w:t>02</w:t>
            </w:r>
            <w:r w:rsidR="000D0A23" w:rsidRPr="002A677E">
              <w:rPr>
                <w:rFonts w:ascii="Times New Roman" w:hAnsi="Times New Roman"/>
                <w:sz w:val="24"/>
                <w:lang w:eastAsia="de-DE"/>
              </w:rPr>
              <w:t>1</w:t>
            </w:r>
            <w:r w:rsidR="00FD54FC" w:rsidRPr="002A677E">
              <w:rPr>
                <w:rFonts w:ascii="Times New Roman" w:hAnsi="Times New Roman"/>
                <w:sz w:val="24"/>
                <w:lang w:eastAsia="de-DE"/>
              </w:rPr>
              <w:t xml:space="preserve"> of C 06.02 where the loss – or the greatest share of the </w:t>
            </w:r>
            <w:proofErr w:type="gramStart"/>
            <w:r w:rsidR="00FD54FC" w:rsidRPr="002A677E">
              <w:rPr>
                <w:rFonts w:ascii="Times New Roman" w:hAnsi="Times New Roman"/>
                <w:sz w:val="24"/>
                <w:lang w:eastAsia="de-DE"/>
              </w:rPr>
              <w:t>loss, if</w:t>
            </w:r>
            <w:proofErr w:type="gramEnd"/>
            <w:r w:rsidR="00FD54FC" w:rsidRPr="002A677E">
              <w:rPr>
                <w:rFonts w:ascii="Times New Roman" w:hAnsi="Times New Roman"/>
                <w:sz w:val="24"/>
                <w:lang w:eastAsia="de-DE"/>
              </w:rPr>
              <w:t xml:space="preserve"> several entities were affected – occurred.</w:t>
            </w:r>
          </w:p>
        </w:tc>
      </w:tr>
      <w:tr w:rsidR="000D0A23" w:rsidRPr="002A677E" w14:paraId="78136DE9" w14:textId="77777777" w:rsidTr="00127FEA">
        <w:tc>
          <w:tcPr>
            <w:tcW w:w="951" w:type="dxa"/>
            <w:shd w:val="clear" w:color="auto" w:fill="auto"/>
          </w:tcPr>
          <w:p w14:paraId="36C0C957" w14:textId="1C3F9210" w:rsidR="000D0A23" w:rsidRPr="002A677E" w:rsidRDefault="000D0A23" w:rsidP="00071D95">
            <w:pPr>
              <w:rPr>
                <w:rStyle w:val="InstructionsTabelleText"/>
                <w:rFonts w:ascii="Times New Roman" w:hAnsi="Times New Roman"/>
                <w:sz w:val="24"/>
              </w:rPr>
            </w:pPr>
            <w:r w:rsidRPr="002A677E">
              <w:rPr>
                <w:rStyle w:val="InstructionsTabelleText"/>
                <w:rFonts w:ascii="Times New Roman" w:hAnsi="Times New Roman"/>
                <w:sz w:val="24"/>
              </w:rPr>
              <w:t>01</w:t>
            </w:r>
            <w:r w:rsidR="00071D95" w:rsidRPr="002A677E">
              <w:rPr>
                <w:rStyle w:val="InstructionsTabelleText"/>
                <w:rFonts w:ascii="Times New Roman" w:hAnsi="Times New Roman"/>
                <w:sz w:val="24"/>
              </w:rPr>
              <w:t>85</w:t>
            </w:r>
          </w:p>
        </w:tc>
        <w:tc>
          <w:tcPr>
            <w:tcW w:w="8111" w:type="dxa"/>
            <w:shd w:val="clear" w:color="auto" w:fill="auto"/>
          </w:tcPr>
          <w:p w14:paraId="1CF8E766" w14:textId="77777777" w:rsidR="000D0A23" w:rsidRPr="002A677E" w:rsidRDefault="000D0A23" w:rsidP="00127FEA">
            <w:pPr>
              <w:rPr>
                <w:rStyle w:val="InstructionsTabelleberschrift"/>
                <w:rFonts w:ascii="Times New Roman" w:hAnsi="Times New Roman"/>
                <w:sz w:val="24"/>
              </w:rPr>
            </w:pPr>
            <w:r w:rsidRPr="002A677E">
              <w:rPr>
                <w:rStyle w:val="InstructionsTabelleberschrift"/>
                <w:rFonts w:ascii="Times New Roman" w:hAnsi="Times New Roman"/>
                <w:sz w:val="24"/>
              </w:rPr>
              <w:t>TYPE OF CODE</w:t>
            </w:r>
          </w:p>
          <w:p w14:paraId="13D1F0E6" w14:textId="5C3CE252" w:rsidR="000D0A23" w:rsidRPr="002A677E" w:rsidRDefault="000D0A23" w:rsidP="009B627A">
            <w:pPr>
              <w:rPr>
                <w:rStyle w:val="InstructionsTabelleberschrift"/>
                <w:rFonts w:ascii="Times New Roman" w:hAnsi="Times New Roman"/>
                <w:sz w:val="24"/>
              </w:rPr>
            </w:pPr>
            <w:r w:rsidRPr="002A677E">
              <w:rPr>
                <w:rStyle w:val="InstructionsTabelleText"/>
                <w:rFonts w:ascii="Times New Roman" w:hAnsi="Times New Roman"/>
                <w:sz w:val="24"/>
              </w:rPr>
              <w:t xml:space="preserve">The institutions shall identify the type of code reported in </w:t>
            </w:r>
            <w:r w:rsidRPr="002A677E">
              <w:rPr>
                <w:rStyle w:val="FormatvorlageInstructionsTabelleText"/>
                <w:rFonts w:ascii="Times New Roman" w:hAnsi="Times New Roman"/>
                <w:sz w:val="24"/>
                <w:lang w:eastAsia="de-DE"/>
              </w:rPr>
              <w:t>column 018</w:t>
            </w:r>
            <w:r w:rsidR="0062362F">
              <w:rPr>
                <w:rStyle w:val="FormatvorlageInstructionsTabelleText"/>
                <w:rFonts w:ascii="Times New Roman" w:hAnsi="Times New Roman"/>
                <w:sz w:val="24"/>
                <w:lang w:eastAsia="de-DE"/>
              </w:rPr>
              <w:t>1</w:t>
            </w:r>
            <w:r w:rsidRPr="002A677E">
              <w:rPr>
                <w:rStyle w:val="FormatvorlageInstructionsTabelleText"/>
                <w:rFonts w:ascii="Times New Roman" w:hAnsi="Times New Roman"/>
                <w:sz w:val="24"/>
                <w:lang w:eastAsia="de-DE"/>
              </w:rPr>
              <w:t xml:space="preserve"> as a ‘LEI code’</w:t>
            </w:r>
            <w:r w:rsidR="0062362F">
              <w:rPr>
                <w:rStyle w:val="FormatvorlageInstructionsTabelleText"/>
                <w:rFonts w:ascii="Times New Roman" w:hAnsi="Times New Roman"/>
                <w:sz w:val="24"/>
                <w:lang w:eastAsia="de-DE"/>
              </w:rPr>
              <w:t xml:space="preserve"> or ‘</w:t>
            </w:r>
            <w:proofErr w:type="gramStart"/>
            <w:r w:rsidR="0062362F">
              <w:rPr>
                <w:rStyle w:val="FormatvorlageInstructionsTabelleText"/>
                <w:rFonts w:ascii="Times New Roman" w:hAnsi="Times New Roman"/>
                <w:sz w:val="24"/>
                <w:lang w:eastAsia="de-DE"/>
              </w:rPr>
              <w:t>Non-LEI</w:t>
            </w:r>
            <w:proofErr w:type="gramEnd"/>
            <w:r w:rsidR="0062362F">
              <w:rPr>
                <w:rStyle w:val="FormatvorlageInstructionsTabelleText"/>
                <w:rFonts w:ascii="Times New Roman" w:hAnsi="Times New Roman"/>
                <w:sz w:val="24"/>
                <w:lang w:eastAsia="de-DE"/>
              </w:rPr>
              <w:t xml:space="preserve"> code’ also in line with column 0026 of C 06.02</w:t>
            </w:r>
            <w:r w:rsidR="00402284">
              <w:rPr>
                <w:rStyle w:val="FormatvorlageInstructionsTabelleText"/>
                <w:rFonts w:ascii="Times New Roman" w:hAnsi="Times New Roman"/>
                <w:sz w:val="24"/>
                <w:lang w:eastAsia="de-DE"/>
              </w:rPr>
              <w:t xml:space="preserve"> </w:t>
            </w:r>
            <w:r w:rsidRPr="002A677E">
              <w:rPr>
                <w:rStyle w:val="FormatvorlageInstructionsTabelleText"/>
                <w:rFonts w:ascii="Times New Roman" w:hAnsi="Times New Roman"/>
                <w:sz w:val="24"/>
                <w:lang w:eastAsia="de-DE"/>
              </w:rPr>
              <w:t>The type of code shall always be reported.</w:t>
            </w:r>
          </w:p>
        </w:tc>
      </w:tr>
      <w:tr w:rsidR="00FD54FC" w:rsidRPr="002A677E" w14:paraId="79A2ACFE" w14:textId="77777777" w:rsidTr="006418A0">
        <w:tc>
          <w:tcPr>
            <w:tcW w:w="951" w:type="dxa"/>
            <w:shd w:val="clear" w:color="auto" w:fill="auto"/>
          </w:tcPr>
          <w:p w14:paraId="1C6C72FE"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190</w:t>
            </w:r>
          </w:p>
        </w:tc>
        <w:tc>
          <w:tcPr>
            <w:tcW w:w="8111" w:type="dxa"/>
            <w:shd w:val="clear" w:color="auto" w:fill="auto"/>
          </w:tcPr>
          <w:p w14:paraId="07842AC1"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Business Unit</w:t>
            </w:r>
          </w:p>
          <w:p w14:paraId="7468F598" w14:textId="77777777" w:rsidR="00FD54FC" w:rsidRPr="002A677E" w:rsidRDefault="00FD54FC" w:rsidP="00FD54FC">
            <w:pPr>
              <w:rPr>
                <w:rFonts w:ascii="Times New Roman" w:hAnsi="Times New Roman"/>
                <w:sz w:val="24"/>
                <w:lang w:eastAsia="de-DE"/>
              </w:rPr>
            </w:pPr>
            <w:r w:rsidRPr="002A677E">
              <w:rPr>
                <w:rFonts w:ascii="Times New Roman" w:hAnsi="Times New Roman"/>
                <w:sz w:val="24"/>
                <w:lang w:eastAsia="de-DE"/>
              </w:rPr>
              <w:t>Business unit or corporate division of the institution where the loss – or the greatest share of the loss if several business units or corporate divisions were affected – occurred.</w:t>
            </w:r>
          </w:p>
        </w:tc>
      </w:tr>
      <w:tr w:rsidR="00FD54FC" w:rsidRPr="002A677E" w14:paraId="47FF13C8" w14:textId="77777777" w:rsidTr="006418A0">
        <w:tc>
          <w:tcPr>
            <w:tcW w:w="951" w:type="dxa"/>
            <w:shd w:val="clear" w:color="auto" w:fill="auto"/>
          </w:tcPr>
          <w:p w14:paraId="70D39850" w14:textId="77777777" w:rsidR="00FD54FC" w:rsidRPr="002A677E" w:rsidRDefault="00C93FC2" w:rsidP="00FD54FC">
            <w:pPr>
              <w:rPr>
                <w:rFonts w:ascii="Times New Roman" w:hAnsi="Times New Roman"/>
                <w:sz w:val="24"/>
                <w:lang w:eastAsia="de-DE"/>
              </w:rPr>
            </w:pPr>
            <w:r w:rsidRPr="002A677E">
              <w:rPr>
                <w:rFonts w:ascii="Times New Roman" w:hAnsi="Times New Roman"/>
                <w:sz w:val="24"/>
                <w:lang w:eastAsia="de-DE"/>
              </w:rPr>
              <w:t>0</w:t>
            </w:r>
            <w:r w:rsidR="00FD54FC" w:rsidRPr="002A677E">
              <w:rPr>
                <w:rFonts w:ascii="Times New Roman" w:hAnsi="Times New Roman"/>
                <w:sz w:val="24"/>
                <w:lang w:eastAsia="de-DE"/>
              </w:rPr>
              <w:t>200</w:t>
            </w:r>
          </w:p>
        </w:tc>
        <w:tc>
          <w:tcPr>
            <w:tcW w:w="8111" w:type="dxa"/>
            <w:shd w:val="clear" w:color="auto" w:fill="auto"/>
          </w:tcPr>
          <w:p w14:paraId="008721A3" w14:textId="77777777" w:rsidR="00FD54FC" w:rsidRPr="002A677E" w:rsidRDefault="00FD54FC" w:rsidP="00FD54FC">
            <w:pPr>
              <w:rPr>
                <w:rStyle w:val="InstructionsTabelleberschrift"/>
                <w:rFonts w:ascii="Times New Roman" w:hAnsi="Times New Roman"/>
                <w:sz w:val="24"/>
              </w:rPr>
            </w:pPr>
            <w:r w:rsidRPr="002A677E">
              <w:rPr>
                <w:rStyle w:val="InstructionsTabelleberschrift"/>
                <w:rFonts w:ascii="Times New Roman" w:hAnsi="Times New Roman"/>
                <w:sz w:val="24"/>
              </w:rPr>
              <w:t>Description</w:t>
            </w:r>
          </w:p>
          <w:p w14:paraId="5B222555" w14:textId="77777777" w:rsidR="00FD54FC" w:rsidRPr="002A677E" w:rsidRDefault="00FD54FC" w:rsidP="00FD239F">
            <w:pPr>
              <w:rPr>
                <w:rFonts w:ascii="Times New Roman" w:hAnsi="Times New Roman"/>
                <w:sz w:val="24"/>
                <w:lang w:eastAsia="de-DE"/>
              </w:rPr>
            </w:pPr>
            <w:r w:rsidRPr="002A677E">
              <w:rPr>
                <w:rFonts w:ascii="Times New Roman" w:hAnsi="Times New Roman"/>
                <w:sz w:val="24"/>
                <w:lang w:eastAsia="de-DE"/>
              </w:rPr>
              <w:t>Narrative description of the</w:t>
            </w:r>
            <w:r w:rsidR="00EB6FC2" w:rsidRPr="002A677E">
              <w:rPr>
                <w:rFonts w:ascii="Times New Roman" w:hAnsi="Times New Roman"/>
                <w:sz w:val="24"/>
                <w:lang w:eastAsia="de-DE"/>
              </w:rPr>
              <w:t xml:space="preserve"> loss</w:t>
            </w:r>
            <w:r w:rsidRPr="002A677E">
              <w:rPr>
                <w:rFonts w:ascii="Times New Roman" w:hAnsi="Times New Roman"/>
                <w:sz w:val="24"/>
                <w:lang w:eastAsia="de-DE"/>
              </w:rPr>
              <w:t xml:space="preserve"> event, where necessary in a generalised or anonymised manner, which</w:t>
            </w:r>
            <w:r w:rsidR="009A1A9B" w:rsidRPr="002A677E">
              <w:rPr>
                <w:rFonts w:ascii="Times New Roman" w:hAnsi="Times New Roman"/>
                <w:sz w:val="24"/>
                <w:lang w:eastAsia="de-DE"/>
              </w:rPr>
              <w:t xml:space="preserve"> shall </w:t>
            </w:r>
            <w:r w:rsidRPr="002A677E">
              <w:rPr>
                <w:rFonts w:ascii="Times New Roman" w:hAnsi="Times New Roman"/>
                <w:sz w:val="24"/>
                <w:lang w:eastAsia="de-DE"/>
              </w:rPr>
              <w:t xml:space="preserve">comprise at least information about the event itself and information about the drivers or causes of the </w:t>
            </w:r>
            <w:r w:rsidR="00EB6FC2" w:rsidRPr="002A677E">
              <w:rPr>
                <w:rFonts w:ascii="Times New Roman" w:hAnsi="Times New Roman"/>
                <w:sz w:val="24"/>
                <w:lang w:eastAsia="de-DE"/>
              </w:rPr>
              <w:t xml:space="preserve">loss </w:t>
            </w:r>
            <w:r w:rsidRPr="002A677E">
              <w:rPr>
                <w:rFonts w:ascii="Times New Roman" w:hAnsi="Times New Roman"/>
                <w:sz w:val="24"/>
                <w:lang w:eastAsia="de-DE"/>
              </w:rPr>
              <w:t>event, where known.</w:t>
            </w:r>
          </w:p>
        </w:tc>
      </w:tr>
    </w:tbl>
    <w:p w14:paraId="1FA6C629" w14:textId="77777777" w:rsidR="00FD54FC" w:rsidRPr="002A677E" w:rsidRDefault="00FD54FC" w:rsidP="00AC6255">
      <w:pPr>
        <w:spacing w:after="0"/>
        <w:rPr>
          <w:rFonts w:ascii="Times New Roman" w:hAnsi="Times New Roman"/>
          <w:sz w:val="24"/>
        </w:rPr>
      </w:pPr>
    </w:p>
    <w:p w14:paraId="5C0CD8F3" w14:textId="59F5D27A" w:rsidR="00AC6255" w:rsidRPr="002A677E" w:rsidRDefault="00AC6255">
      <w:pPr>
        <w:spacing w:before="0" w:after="0"/>
        <w:jc w:val="left"/>
        <w:rPr>
          <w:rStyle w:val="InstructionsTabelleText"/>
          <w:rFonts w:ascii="Times New Roman" w:hAnsi="Times New Roman"/>
          <w:sz w:val="24"/>
        </w:rPr>
      </w:pPr>
    </w:p>
    <w:sectPr w:rsidR="00AC6255" w:rsidRPr="002A677E"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A6513" w14:textId="77777777" w:rsidR="002B2328" w:rsidRDefault="002B2328" w:rsidP="00D946DB">
      <w:pPr>
        <w:spacing w:before="0" w:after="0"/>
      </w:pPr>
      <w:r>
        <w:separator/>
      </w:r>
    </w:p>
  </w:endnote>
  <w:endnote w:type="continuationSeparator" w:id="0">
    <w:p w14:paraId="45A2C991" w14:textId="77777777" w:rsidR="002B2328" w:rsidRDefault="002B2328" w:rsidP="00D946DB">
      <w:pPr>
        <w:spacing w:before="0" w:after="0"/>
      </w:pPr>
      <w:r>
        <w:continuationSeparator/>
      </w:r>
    </w:p>
  </w:endnote>
  <w:endnote w:type="continuationNotice" w:id="1">
    <w:p w14:paraId="6CF9964F" w14:textId="77777777" w:rsidR="002B2328" w:rsidRDefault="002B23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charset w:val="00"/>
    <w:family w:val="auto"/>
    <w:pitch w:val="variable"/>
    <w:sig w:usb0="800002EF" w:usb1="1000E0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7E4A5" w14:textId="77777777" w:rsidR="00C3070C" w:rsidRDefault="00C3070C">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14:paraId="468B5799" w14:textId="77777777" w:rsidR="00C3070C" w:rsidRDefault="00C30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5885" w14:textId="71A1082C" w:rsidR="00C3070C" w:rsidRPr="00ED1956" w:rsidRDefault="00C3070C">
    <w:pPr>
      <w:pStyle w:val="Footer"/>
      <w:jc w:val="right"/>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8F3052">
      <w:rPr>
        <w:rFonts w:ascii="Times New Roman" w:hAnsi="Times New Roman"/>
        <w:noProof/>
        <w:sz w:val="20"/>
        <w:szCs w:val="20"/>
      </w:rPr>
      <w:t>42</w:t>
    </w:r>
    <w:r w:rsidRPr="00ED1956">
      <w:rPr>
        <w:rFonts w:ascii="Times New Roman" w:hAnsi="Times New Roman"/>
        <w:sz w:val="20"/>
        <w:szCs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E079A" w14:textId="77777777" w:rsidR="002B2328" w:rsidRDefault="002B2328" w:rsidP="00D946DB">
      <w:pPr>
        <w:spacing w:before="0" w:after="0"/>
      </w:pPr>
      <w:r>
        <w:separator/>
      </w:r>
    </w:p>
  </w:footnote>
  <w:footnote w:type="continuationSeparator" w:id="0">
    <w:p w14:paraId="3F249D92" w14:textId="77777777" w:rsidR="002B2328" w:rsidRDefault="002B2328" w:rsidP="00D946DB">
      <w:pPr>
        <w:spacing w:before="0" w:after="0"/>
      </w:pPr>
      <w:r>
        <w:continuationSeparator/>
      </w:r>
    </w:p>
  </w:footnote>
  <w:footnote w:type="continuationNotice" w:id="1">
    <w:p w14:paraId="5EBCAD24" w14:textId="77777777" w:rsidR="002B2328" w:rsidRDefault="002B23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A98C1" w14:textId="7C971337" w:rsidR="00C3070C" w:rsidRDefault="00C3070C">
    <w:pPr>
      <w:pStyle w:val="Header"/>
    </w:pPr>
    <w:r>
      <w:rPr>
        <w:noProof/>
        <w:lang w:val="en-GB" w:eastAsia="en-GB"/>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BBC0" w14:textId="5C594065" w:rsidR="00C3070C" w:rsidRDefault="00C3070C">
    <w:pPr>
      <w:pStyle w:val="Header"/>
    </w:pPr>
    <w:r>
      <w:rPr>
        <w:noProof/>
        <w:lang w:val="en-GB" w:eastAsia="en-GB"/>
      </w:rPr>
      <mc:AlternateContent>
        <mc:Choice Requires="wps">
          <w:drawing>
            <wp:anchor distT="0" distB="0" distL="0" distR="0" simplePos="0" relativeHeight="251658243"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6EFF338" w14:textId="5E52624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755F" w14:textId="0211D059" w:rsidR="00C3070C" w:rsidRDefault="00C3070C">
    <w:pPr>
      <w:rPr>
        <w:rFonts w:ascii="Arial" w:hAnsi="Arial" w:cs="Arial"/>
      </w:rPr>
    </w:pPr>
    <w:r>
      <w:rPr>
        <w:rFonts w:ascii="Arial" w:hAnsi="Arial" w:cs="Arial"/>
        <w:noProof/>
        <w:lang w:eastAsia="en-GB"/>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F7D7F02"/>
    <w:multiLevelType w:val="multilevel"/>
    <w:tmpl w:val="0407001D"/>
    <w:numStyleLink w:val="Formatvorlage3"/>
  </w:abstractNum>
  <w:abstractNum w:abstractNumId="9"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0"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0"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5"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16cid:durableId="1781338356">
    <w:abstractNumId w:val="3"/>
  </w:num>
  <w:num w:numId="2" w16cid:durableId="183522244">
    <w:abstractNumId w:val="20"/>
  </w:num>
  <w:num w:numId="3" w16cid:durableId="1448502459">
    <w:abstractNumId w:val="28"/>
  </w:num>
  <w:num w:numId="4" w16cid:durableId="889880339">
    <w:abstractNumId w:val="15"/>
  </w:num>
  <w:num w:numId="5" w16cid:durableId="1701934099">
    <w:abstractNumId w:val="23"/>
  </w:num>
  <w:num w:numId="6" w16cid:durableId="1184323459">
    <w:abstractNumId w:val="12"/>
  </w:num>
  <w:num w:numId="7" w16cid:durableId="1581868774">
    <w:abstractNumId w:val="27"/>
  </w:num>
  <w:num w:numId="8" w16cid:durableId="2051303454">
    <w:abstractNumId w:val="5"/>
  </w:num>
  <w:num w:numId="9" w16cid:durableId="1143890874">
    <w:abstractNumId w:val="21"/>
  </w:num>
  <w:num w:numId="10" w16cid:durableId="1965963049">
    <w:abstractNumId w:val="10"/>
  </w:num>
  <w:num w:numId="11" w16cid:durableId="1458716913">
    <w:abstractNumId w:val="17"/>
  </w:num>
  <w:num w:numId="12" w16cid:durableId="177084388">
    <w:abstractNumId w:val="6"/>
  </w:num>
  <w:num w:numId="13" w16cid:durableId="1790856664">
    <w:abstractNumId w:val="22"/>
  </w:num>
  <w:num w:numId="14" w16cid:durableId="1769737822">
    <w:abstractNumId w:val="19"/>
  </w:num>
  <w:num w:numId="15" w16cid:durableId="1279684757">
    <w:abstractNumId w:val="9"/>
  </w:num>
  <w:num w:numId="16" w16cid:durableId="950014290">
    <w:abstractNumId w:val="16"/>
  </w:num>
  <w:num w:numId="17" w16cid:durableId="2020161557">
    <w:abstractNumId w:val="8"/>
  </w:num>
  <w:num w:numId="18" w16cid:durableId="201554976">
    <w:abstractNumId w:val="24"/>
  </w:num>
  <w:num w:numId="19" w16cid:durableId="177550538">
    <w:abstractNumId w:val="4"/>
  </w:num>
  <w:num w:numId="20" w16cid:durableId="353461949">
    <w:abstractNumId w:val="13"/>
  </w:num>
  <w:num w:numId="21" w16cid:durableId="2063013796">
    <w:abstractNumId w:val="2"/>
  </w:num>
  <w:num w:numId="22" w16cid:durableId="762845825">
    <w:abstractNumId w:val="11"/>
  </w:num>
  <w:num w:numId="23" w16cid:durableId="1041706266">
    <w:abstractNumId w:val="26"/>
  </w:num>
  <w:num w:numId="24" w16cid:durableId="659577669">
    <w:abstractNumId w:val="1"/>
  </w:num>
  <w:num w:numId="25" w16cid:durableId="386492986">
    <w:abstractNumId w:val="25"/>
  </w:num>
  <w:num w:numId="26" w16cid:durableId="978190496">
    <w:abstractNumId w:val="18"/>
  </w:num>
  <w:num w:numId="27" w16cid:durableId="162478141">
    <w:abstractNumId w:val="0"/>
  </w:num>
  <w:num w:numId="28" w16cid:durableId="1430082906">
    <w:abstractNumId w:val="7"/>
  </w:num>
  <w:num w:numId="29" w16cid:durableId="132974650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activeWritingStyle w:appName="MSWord" w:lang="es-ES_tradnl"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E14"/>
    <w:rsid w:val="00004478"/>
    <w:rsid w:val="000044B7"/>
    <w:rsid w:val="00004978"/>
    <w:rsid w:val="00004D21"/>
    <w:rsid w:val="00004FE8"/>
    <w:rsid w:val="00005078"/>
    <w:rsid w:val="00005765"/>
    <w:rsid w:val="00005FFC"/>
    <w:rsid w:val="000066C0"/>
    <w:rsid w:val="00007147"/>
    <w:rsid w:val="00007605"/>
    <w:rsid w:val="00007D0D"/>
    <w:rsid w:val="00010124"/>
    <w:rsid w:val="00011AFA"/>
    <w:rsid w:val="00011BD0"/>
    <w:rsid w:val="000120EB"/>
    <w:rsid w:val="0001224D"/>
    <w:rsid w:val="0001435A"/>
    <w:rsid w:val="00014890"/>
    <w:rsid w:val="00014DC3"/>
    <w:rsid w:val="00015850"/>
    <w:rsid w:val="0001693F"/>
    <w:rsid w:val="0001698A"/>
    <w:rsid w:val="00020200"/>
    <w:rsid w:val="00020516"/>
    <w:rsid w:val="00020857"/>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FA5"/>
    <w:rsid w:val="000326C1"/>
    <w:rsid w:val="00033B7C"/>
    <w:rsid w:val="00033C55"/>
    <w:rsid w:val="00034431"/>
    <w:rsid w:val="000346A9"/>
    <w:rsid w:val="00034834"/>
    <w:rsid w:val="000359E1"/>
    <w:rsid w:val="00035DCC"/>
    <w:rsid w:val="000364CE"/>
    <w:rsid w:val="00036BB2"/>
    <w:rsid w:val="00037093"/>
    <w:rsid w:val="000377CC"/>
    <w:rsid w:val="00037BAE"/>
    <w:rsid w:val="00037FCC"/>
    <w:rsid w:val="00041451"/>
    <w:rsid w:val="00041480"/>
    <w:rsid w:val="000433C4"/>
    <w:rsid w:val="00045036"/>
    <w:rsid w:val="0004590F"/>
    <w:rsid w:val="00046966"/>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62"/>
    <w:rsid w:val="00061C24"/>
    <w:rsid w:val="00061C5F"/>
    <w:rsid w:val="00061E48"/>
    <w:rsid w:val="00062837"/>
    <w:rsid w:val="00062A1F"/>
    <w:rsid w:val="00063085"/>
    <w:rsid w:val="00063B3F"/>
    <w:rsid w:val="00064158"/>
    <w:rsid w:val="0006666B"/>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2265"/>
    <w:rsid w:val="000828C6"/>
    <w:rsid w:val="00083FC4"/>
    <w:rsid w:val="000843B3"/>
    <w:rsid w:val="00084591"/>
    <w:rsid w:val="00084A4D"/>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86D"/>
    <w:rsid w:val="00094D25"/>
    <w:rsid w:val="00095191"/>
    <w:rsid w:val="00096566"/>
    <w:rsid w:val="00096876"/>
    <w:rsid w:val="0009761E"/>
    <w:rsid w:val="00097A17"/>
    <w:rsid w:val="00097C81"/>
    <w:rsid w:val="00097E91"/>
    <w:rsid w:val="000A0FC4"/>
    <w:rsid w:val="000A1955"/>
    <w:rsid w:val="000A2694"/>
    <w:rsid w:val="000A2A46"/>
    <w:rsid w:val="000A368E"/>
    <w:rsid w:val="000A3B1A"/>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6A14"/>
    <w:rsid w:val="000B70E1"/>
    <w:rsid w:val="000B73C4"/>
    <w:rsid w:val="000C0127"/>
    <w:rsid w:val="000C0413"/>
    <w:rsid w:val="000C0A34"/>
    <w:rsid w:val="000C2455"/>
    <w:rsid w:val="000C24B5"/>
    <w:rsid w:val="000C30A6"/>
    <w:rsid w:val="000C40CD"/>
    <w:rsid w:val="000C49A6"/>
    <w:rsid w:val="000C4A6C"/>
    <w:rsid w:val="000C5A1A"/>
    <w:rsid w:val="000C5EA7"/>
    <w:rsid w:val="000C6938"/>
    <w:rsid w:val="000C7632"/>
    <w:rsid w:val="000C78D9"/>
    <w:rsid w:val="000C7EAA"/>
    <w:rsid w:val="000D04B6"/>
    <w:rsid w:val="000D0826"/>
    <w:rsid w:val="000D0A23"/>
    <w:rsid w:val="000D129C"/>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2774"/>
    <w:rsid w:val="000E29C9"/>
    <w:rsid w:val="000E3F99"/>
    <w:rsid w:val="000E40DD"/>
    <w:rsid w:val="000E6835"/>
    <w:rsid w:val="000E77F4"/>
    <w:rsid w:val="000E7971"/>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605A"/>
    <w:rsid w:val="00106FC5"/>
    <w:rsid w:val="001102E5"/>
    <w:rsid w:val="00110F40"/>
    <w:rsid w:val="00113E45"/>
    <w:rsid w:val="00113EA5"/>
    <w:rsid w:val="00114B5B"/>
    <w:rsid w:val="001151C1"/>
    <w:rsid w:val="0011539B"/>
    <w:rsid w:val="00115685"/>
    <w:rsid w:val="00116018"/>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402DB"/>
    <w:rsid w:val="00140571"/>
    <w:rsid w:val="001409D9"/>
    <w:rsid w:val="00140F6E"/>
    <w:rsid w:val="00141DD1"/>
    <w:rsid w:val="0014209A"/>
    <w:rsid w:val="0014210E"/>
    <w:rsid w:val="00142631"/>
    <w:rsid w:val="00142917"/>
    <w:rsid w:val="001432EE"/>
    <w:rsid w:val="00144F03"/>
    <w:rsid w:val="001452FC"/>
    <w:rsid w:val="0014657C"/>
    <w:rsid w:val="00146C6B"/>
    <w:rsid w:val="00146D50"/>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7602"/>
    <w:rsid w:val="00167619"/>
    <w:rsid w:val="00167E59"/>
    <w:rsid w:val="001721BD"/>
    <w:rsid w:val="001734AB"/>
    <w:rsid w:val="0017374F"/>
    <w:rsid w:val="0017440D"/>
    <w:rsid w:val="00174DF3"/>
    <w:rsid w:val="00175957"/>
    <w:rsid w:val="001762E4"/>
    <w:rsid w:val="00176495"/>
    <w:rsid w:val="00176BFB"/>
    <w:rsid w:val="001771A4"/>
    <w:rsid w:val="00181010"/>
    <w:rsid w:val="00181174"/>
    <w:rsid w:val="00181888"/>
    <w:rsid w:val="00181AC7"/>
    <w:rsid w:val="001822DF"/>
    <w:rsid w:val="00182DC9"/>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9EF"/>
    <w:rsid w:val="00195AF0"/>
    <w:rsid w:val="00195FDC"/>
    <w:rsid w:val="0019727D"/>
    <w:rsid w:val="00197C28"/>
    <w:rsid w:val="001A0143"/>
    <w:rsid w:val="001A0FAB"/>
    <w:rsid w:val="001A2115"/>
    <w:rsid w:val="001A217F"/>
    <w:rsid w:val="001A370B"/>
    <w:rsid w:val="001A3980"/>
    <w:rsid w:val="001A40DB"/>
    <w:rsid w:val="001A44B3"/>
    <w:rsid w:val="001A523B"/>
    <w:rsid w:val="001A531E"/>
    <w:rsid w:val="001A55C6"/>
    <w:rsid w:val="001A627D"/>
    <w:rsid w:val="001A66F0"/>
    <w:rsid w:val="001A741B"/>
    <w:rsid w:val="001A7684"/>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99"/>
    <w:rsid w:val="001B5725"/>
    <w:rsid w:val="001B6114"/>
    <w:rsid w:val="001B6D4D"/>
    <w:rsid w:val="001B717F"/>
    <w:rsid w:val="001B74B4"/>
    <w:rsid w:val="001B7D0F"/>
    <w:rsid w:val="001B7F1A"/>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111F"/>
    <w:rsid w:val="001D1D37"/>
    <w:rsid w:val="001D1F64"/>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8FD"/>
    <w:rsid w:val="001E3986"/>
    <w:rsid w:val="001E39E5"/>
    <w:rsid w:val="001E3A3B"/>
    <w:rsid w:val="001E3EF1"/>
    <w:rsid w:val="001E5A75"/>
    <w:rsid w:val="001E6127"/>
    <w:rsid w:val="001E6B9D"/>
    <w:rsid w:val="001E71B5"/>
    <w:rsid w:val="001E71D0"/>
    <w:rsid w:val="001E7AE4"/>
    <w:rsid w:val="001E7EA7"/>
    <w:rsid w:val="001F0111"/>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4016"/>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E21"/>
    <w:rsid w:val="00233577"/>
    <w:rsid w:val="002339F2"/>
    <w:rsid w:val="00234499"/>
    <w:rsid w:val="0023488F"/>
    <w:rsid w:val="00234E7D"/>
    <w:rsid w:val="0023524A"/>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50176"/>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519C"/>
    <w:rsid w:val="00285314"/>
    <w:rsid w:val="00285E2F"/>
    <w:rsid w:val="0028628A"/>
    <w:rsid w:val="0028689C"/>
    <w:rsid w:val="002871CE"/>
    <w:rsid w:val="00287B41"/>
    <w:rsid w:val="00290CAD"/>
    <w:rsid w:val="002917CA"/>
    <w:rsid w:val="002920FF"/>
    <w:rsid w:val="00292409"/>
    <w:rsid w:val="00292A20"/>
    <w:rsid w:val="00292CEA"/>
    <w:rsid w:val="00294B07"/>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E36"/>
    <w:rsid w:val="002B4667"/>
    <w:rsid w:val="002B5403"/>
    <w:rsid w:val="002B5492"/>
    <w:rsid w:val="002B5B2F"/>
    <w:rsid w:val="002B5B50"/>
    <w:rsid w:val="002B5CD1"/>
    <w:rsid w:val="002B5F2D"/>
    <w:rsid w:val="002B66BD"/>
    <w:rsid w:val="002B6E63"/>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D2C75"/>
    <w:rsid w:val="002D3156"/>
    <w:rsid w:val="002D318D"/>
    <w:rsid w:val="002D31E5"/>
    <w:rsid w:val="002D3982"/>
    <w:rsid w:val="002D4561"/>
    <w:rsid w:val="002D4E10"/>
    <w:rsid w:val="002D4F6A"/>
    <w:rsid w:val="002D6B9E"/>
    <w:rsid w:val="002D7779"/>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224"/>
    <w:rsid w:val="00302C3F"/>
    <w:rsid w:val="00303974"/>
    <w:rsid w:val="00303EDA"/>
    <w:rsid w:val="00304CA5"/>
    <w:rsid w:val="0030572F"/>
    <w:rsid w:val="00306163"/>
    <w:rsid w:val="00306AD1"/>
    <w:rsid w:val="00306F71"/>
    <w:rsid w:val="00306F8E"/>
    <w:rsid w:val="003073B2"/>
    <w:rsid w:val="00307737"/>
    <w:rsid w:val="0031001C"/>
    <w:rsid w:val="003105C6"/>
    <w:rsid w:val="00310F05"/>
    <w:rsid w:val="00310F96"/>
    <w:rsid w:val="00311119"/>
    <w:rsid w:val="00311B2D"/>
    <w:rsid w:val="00312BA3"/>
    <w:rsid w:val="00313274"/>
    <w:rsid w:val="003132E6"/>
    <w:rsid w:val="00313359"/>
    <w:rsid w:val="003137B9"/>
    <w:rsid w:val="00313D20"/>
    <w:rsid w:val="003141F6"/>
    <w:rsid w:val="003150E6"/>
    <w:rsid w:val="00315835"/>
    <w:rsid w:val="003172C8"/>
    <w:rsid w:val="003175FE"/>
    <w:rsid w:val="00320974"/>
    <w:rsid w:val="00320BB4"/>
    <w:rsid w:val="00321526"/>
    <w:rsid w:val="00321A3B"/>
    <w:rsid w:val="003220BD"/>
    <w:rsid w:val="003228D5"/>
    <w:rsid w:val="003232D5"/>
    <w:rsid w:val="00324D71"/>
    <w:rsid w:val="00325654"/>
    <w:rsid w:val="003259DA"/>
    <w:rsid w:val="0032601D"/>
    <w:rsid w:val="0032635E"/>
    <w:rsid w:val="00326A21"/>
    <w:rsid w:val="0032755B"/>
    <w:rsid w:val="003277BF"/>
    <w:rsid w:val="003300FF"/>
    <w:rsid w:val="00330199"/>
    <w:rsid w:val="003303D9"/>
    <w:rsid w:val="00330896"/>
    <w:rsid w:val="00330AE5"/>
    <w:rsid w:val="00331FE6"/>
    <w:rsid w:val="0033399F"/>
    <w:rsid w:val="00333A44"/>
    <w:rsid w:val="00333AB1"/>
    <w:rsid w:val="00334093"/>
    <w:rsid w:val="00334179"/>
    <w:rsid w:val="0033476C"/>
    <w:rsid w:val="00335A1B"/>
    <w:rsid w:val="003374C1"/>
    <w:rsid w:val="003377B9"/>
    <w:rsid w:val="00337849"/>
    <w:rsid w:val="00337BEA"/>
    <w:rsid w:val="00340094"/>
    <w:rsid w:val="003400BB"/>
    <w:rsid w:val="00342261"/>
    <w:rsid w:val="00342B6A"/>
    <w:rsid w:val="00342C4B"/>
    <w:rsid w:val="003438E8"/>
    <w:rsid w:val="003459F8"/>
    <w:rsid w:val="00345A82"/>
    <w:rsid w:val="00345E53"/>
    <w:rsid w:val="00345F96"/>
    <w:rsid w:val="00346234"/>
    <w:rsid w:val="00346C65"/>
    <w:rsid w:val="00346DCF"/>
    <w:rsid w:val="0034786E"/>
    <w:rsid w:val="00347FF9"/>
    <w:rsid w:val="00350AC4"/>
    <w:rsid w:val="00350DDB"/>
    <w:rsid w:val="00351984"/>
    <w:rsid w:val="00352A45"/>
    <w:rsid w:val="00352C6E"/>
    <w:rsid w:val="00352FB3"/>
    <w:rsid w:val="00353D40"/>
    <w:rsid w:val="0035403D"/>
    <w:rsid w:val="003541BA"/>
    <w:rsid w:val="003556A3"/>
    <w:rsid w:val="00356773"/>
    <w:rsid w:val="00357CD1"/>
    <w:rsid w:val="00357E3F"/>
    <w:rsid w:val="00357F63"/>
    <w:rsid w:val="0036030B"/>
    <w:rsid w:val="00360518"/>
    <w:rsid w:val="00360825"/>
    <w:rsid w:val="00360B05"/>
    <w:rsid w:val="003616A1"/>
    <w:rsid w:val="00361D60"/>
    <w:rsid w:val="00362A09"/>
    <w:rsid w:val="00363505"/>
    <w:rsid w:val="00363969"/>
    <w:rsid w:val="00364120"/>
    <w:rsid w:val="0036415F"/>
    <w:rsid w:val="00364DA1"/>
    <w:rsid w:val="00364EBB"/>
    <w:rsid w:val="00366794"/>
    <w:rsid w:val="00366CAF"/>
    <w:rsid w:val="00367DCB"/>
    <w:rsid w:val="00370576"/>
    <w:rsid w:val="0037077A"/>
    <w:rsid w:val="00370D79"/>
    <w:rsid w:val="00371593"/>
    <w:rsid w:val="00371653"/>
    <w:rsid w:val="00372C61"/>
    <w:rsid w:val="00373E3E"/>
    <w:rsid w:val="00374A5E"/>
    <w:rsid w:val="003757FD"/>
    <w:rsid w:val="00375C47"/>
    <w:rsid w:val="00380D47"/>
    <w:rsid w:val="003812AC"/>
    <w:rsid w:val="003813DF"/>
    <w:rsid w:val="0038147E"/>
    <w:rsid w:val="00381685"/>
    <w:rsid w:val="00381F65"/>
    <w:rsid w:val="003826D9"/>
    <w:rsid w:val="00383D4B"/>
    <w:rsid w:val="00383FF2"/>
    <w:rsid w:val="00384177"/>
    <w:rsid w:val="00384770"/>
    <w:rsid w:val="00386492"/>
    <w:rsid w:val="00386C00"/>
    <w:rsid w:val="0038731C"/>
    <w:rsid w:val="00387641"/>
    <w:rsid w:val="00387E40"/>
    <w:rsid w:val="003908C5"/>
    <w:rsid w:val="00390DDA"/>
    <w:rsid w:val="00391315"/>
    <w:rsid w:val="00391406"/>
    <w:rsid w:val="0039163C"/>
    <w:rsid w:val="00391D92"/>
    <w:rsid w:val="003927BE"/>
    <w:rsid w:val="00392C11"/>
    <w:rsid w:val="00392FFD"/>
    <w:rsid w:val="0039346B"/>
    <w:rsid w:val="00393539"/>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47C5"/>
    <w:rsid w:val="003E4EF2"/>
    <w:rsid w:val="003E5145"/>
    <w:rsid w:val="003E52DA"/>
    <w:rsid w:val="003E5B8C"/>
    <w:rsid w:val="003E71B6"/>
    <w:rsid w:val="003E7891"/>
    <w:rsid w:val="003E7AEC"/>
    <w:rsid w:val="003F0298"/>
    <w:rsid w:val="003F05A0"/>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B20"/>
    <w:rsid w:val="00412D44"/>
    <w:rsid w:val="004133D9"/>
    <w:rsid w:val="004134E6"/>
    <w:rsid w:val="004157CC"/>
    <w:rsid w:val="00415A1B"/>
    <w:rsid w:val="00417984"/>
    <w:rsid w:val="00422449"/>
    <w:rsid w:val="00422B88"/>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B81"/>
    <w:rsid w:val="00435E72"/>
    <w:rsid w:val="00436204"/>
    <w:rsid w:val="00436490"/>
    <w:rsid w:val="004367D6"/>
    <w:rsid w:val="00436929"/>
    <w:rsid w:val="00436A46"/>
    <w:rsid w:val="00436BBC"/>
    <w:rsid w:val="00437432"/>
    <w:rsid w:val="004377DA"/>
    <w:rsid w:val="004377E2"/>
    <w:rsid w:val="004408E7"/>
    <w:rsid w:val="004415C8"/>
    <w:rsid w:val="00441F78"/>
    <w:rsid w:val="00442EA5"/>
    <w:rsid w:val="00443003"/>
    <w:rsid w:val="00443DD0"/>
    <w:rsid w:val="004448A6"/>
    <w:rsid w:val="0044539D"/>
    <w:rsid w:val="00445C46"/>
    <w:rsid w:val="00445E06"/>
    <w:rsid w:val="0044639C"/>
    <w:rsid w:val="004504E2"/>
    <w:rsid w:val="0045099E"/>
    <w:rsid w:val="00450A2E"/>
    <w:rsid w:val="00451220"/>
    <w:rsid w:val="00451B63"/>
    <w:rsid w:val="00452946"/>
    <w:rsid w:val="00452A34"/>
    <w:rsid w:val="00452FEF"/>
    <w:rsid w:val="00453999"/>
    <w:rsid w:val="00454026"/>
    <w:rsid w:val="00454082"/>
    <w:rsid w:val="00454139"/>
    <w:rsid w:val="0045494E"/>
    <w:rsid w:val="00454CFC"/>
    <w:rsid w:val="00455364"/>
    <w:rsid w:val="00455B49"/>
    <w:rsid w:val="00456366"/>
    <w:rsid w:val="004575F1"/>
    <w:rsid w:val="00457837"/>
    <w:rsid w:val="004600E4"/>
    <w:rsid w:val="004603C7"/>
    <w:rsid w:val="00460458"/>
    <w:rsid w:val="00460A9C"/>
    <w:rsid w:val="00461A5A"/>
    <w:rsid w:val="0046202C"/>
    <w:rsid w:val="00462588"/>
    <w:rsid w:val="004629A2"/>
    <w:rsid w:val="00462BAB"/>
    <w:rsid w:val="00463F88"/>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93D"/>
    <w:rsid w:val="00476B52"/>
    <w:rsid w:val="004773AB"/>
    <w:rsid w:val="00477C45"/>
    <w:rsid w:val="00477CB6"/>
    <w:rsid w:val="00477D2F"/>
    <w:rsid w:val="00480072"/>
    <w:rsid w:val="0048053B"/>
    <w:rsid w:val="00480A69"/>
    <w:rsid w:val="00480F48"/>
    <w:rsid w:val="0048116C"/>
    <w:rsid w:val="0048143B"/>
    <w:rsid w:val="0048345E"/>
    <w:rsid w:val="00483FC9"/>
    <w:rsid w:val="00484DDA"/>
    <w:rsid w:val="004852B9"/>
    <w:rsid w:val="00485CBD"/>
    <w:rsid w:val="0048684A"/>
    <w:rsid w:val="00486DA5"/>
    <w:rsid w:val="00487597"/>
    <w:rsid w:val="004876F5"/>
    <w:rsid w:val="00487A02"/>
    <w:rsid w:val="004901BE"/>
    <w:rsid w:val="0049092A"/>
    <w:rsid w:val="004913CE"/>
    <w:rsid w:val="00491609"/>
    <w:rsid w:val="00491819"/>
    <w:rsid w:val="00491F4D"/>
    <w:rsid w:val="004928AC"/>
    <w:rsid w:val="00492D77"/>
    <w:rsid w:val="00493D5E"/>
    <w:rsid w:val="00494606"/>
    <w:rsid w:val="00495221"/>
    <w:rsid w:val="00495A17"/>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A17"/>
    <w:rsid w:val="004B38D3"/>
    <w:rsid w:val="004B38D7"/>
    <w:rsid w:val="004B3B58"/>
    <w:rsid w:val="004B4DF9"/>
    <w:rsid w:val="004B572C"/>
    <w:rsid w:val="004B584D"/>
    <w:rsid w:val="004B5870"/>
    <w:rsid w:val="004B67ED"/>
    <w:rsid w:val="004B6F60"/>
    <w:rsid w:val="004B7F4A"/>
    <w:rsid w:val="004C03BC"/>
    <w:rsid w:val="004C0508"/>
    <w:rsid w:val="004C15A0"/>
    <w:rsid w:val="004C1ACF"/>
    <w:rsid w:val="004C4478"/>
    <w:rsid w:val="004C5778"/>
    <w:rsid w:val="004C6663"/>
    <w:rsid w:val="004C6E6F"/>
    <w:rsid w:val="004C74EC"/>
    <w:rsid w:val="004D09D7"/>
    <w:rsid w:val="004D0C15"/>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3C7"/>
    <w:rsid w:val="0050148F"/>
    <w:rsid w:val="00502363"/>
    <w:rsid w:val="00502B1A"/>
    <w:rsid w:val="00502FC6"/>
    <w:rsid w:val="0050394C"/>
    <w:rsid w:val="0050396E"/>
    <w:rsid w:val="0050399F"/>
    <w:rsid w:val="00503EA2"/>
    <w:rsid w:val="00503F93"/>
    <w:rsid w:val="00504A16"/>
    <w:rsid w:val="005050CE"/>
    <w:rsid w:val="00505B5C"/>
    <w:rsid w:val="005067A1"/>
    <w:rsid w:val="0050699D"/>
    <w:rsid w:val="005074D9"/>
    <w:rsid w:val="005124C4"/>
    <w:rsid w:val="00512CC7"/>
    <w:rsid w:val="005130D9"/>
    <w:rsid w:val="005135D6"/>
    <w:rsid w:val="00513822"/>
    <w:rsid w:val="00514158"/>
    <w:rsid w:val="00514783"/>
    <w:rsid w:val="00514EB7"/>
    <w:rsid w:val="00517EE9"/>
    <w:rsid w:val="005208AB"/>
    <w:rsid w:val="00520B00"/>
    <w:rsid w:val="00521476"/>
    <w:rsid w:val="00521D56"/>
    <w:rsid w:val="00522F33"/>
    <w:rsid w:val="0052356D"/>
    <w:rsid w:val="0052367C"/>
    <w:rsid w:val="00523DD6"/>
    <w:rsid w:val="0052490C"/>
    <w:rsid w:val="00524F06"/>
    <w:rsid w:val="0052508A"/>
    <w:rsid w:val="005278A0"/>
    <w:rsid w:val="005303F8"/>
    <w:rsid w:val="0053078D"/>
    <w:rsid w:val="00530BA1"/>
    <w:rsid w:val="00530FC7"/>
    <w:rsid w:val="005314AD"/>
    <w:rsid w:val="00531C29"/>
    <w:rsid w:val="00531FC9"/>
    <w:rsid w:val="00532026"/>
    <w:rsid w:val="00532673"/>
    <w:rsid w:val="00532DD4"/>
    <w:rsid w:val="0053327A"/>
    <w:rsid w:val="00533D6A"/>
    <w:rsid w:val="00533D84"/>
    <w:rsid w:val="00533E53"/>
    <w:rsid w:val="00533F71"/>
    <w:rsid w:val="005342A5"/>
    <w:rsid w:val="00534771"/>
    <w:rsid w:val="0053499D"/>
    <w:rsid w:val="00535350"/>
    <w:rsid w:val="00535792"/>
    <w:rsid w:val="00535A98"/>
    <w:rsid w:val="00536B6D"/>
    <w:rsid w:val="0053702D"/>
    <w:rsid w:val="00537CB0"/>
    <w:rsid w:val="0054122B"/>
    <w:rsid w:val="005429A0"/>
    <w:rsid w:val="00542C33"/>
    <w:rsid w:val="00542EAE"/>
    <w:rsid w:val="00543964"/>
    <w:rsid w:val="00543C1E"/>
    <w:rsid w:val="00543DBD"/>
    <w:rsid w:val="005447B5"/>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2FDC"/>
    <w:rsid w:val="005B321D"/>
    <w:rsid w:val="005B3AEF"/>
    <w:rsid w:val="005B3B7C"/>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5136"/>
    <w:rsid w:val="005C517E"/>
    <w:rsid w:val="005C6CF7"/>
    <w:rsid w:val="005C6DEB"/>
    <w:rsid w:val="005C7542"/>
    <w:rsid w:val="005C7A65"/>
    <w:rsid w:val="005C7A91"/>
    <w:rsid w:val="005C7BB4"/>
    <w:rsid w:val="005D0B5D"/>
    <w:rsid w:val="005D0E97"/>
    <w:rsid w:val="005D129B"/>
    <w:rsid w:val="005D2F62"/>
    <w:rsid w:val="005D3034"/>
    <w:rsid w:val="005D3318"/>
    <w:rsid w:val="005D35A0"/>
    <w:rsid w:val="005D3DD9"/>
    <w:rsid w:val="005D3E00"/>
    <w:rsid w:val="005D40D9"/>
    <w:rsid w:val="005D46B2"/>
    <w:rsid w:val="005D479B"/>
    <w:rsid w:val="005D4C3D"/>
    <w:rsid w:val="005D4E3E"/>
    <w:rsid w:val="005D5914"/>
    <w:rsid w:val="005D7B1F"/>
    <w:rsid w:val="005E0301"/>
    <w:rsid w:val="005E03B8"/>
    <w:rsid w:val="005E0917"/>
    <w:rsid w:val="005E1B10"/>
    <w:rsid w:val="005E3471"/>
    <w:rsid w:val="005E4BEC"/>
    <w:rsid w:val="005E5070"/>
    <w:rsid w:val="005E53C2"/>
    <w:rsid w:val="005E59EB"/>
    <w:rsid w:val="005E61A3"/>
    <w:rsid w:val="005E7377"/>
    <w:rsid w:val="005E7DF2"/>
    <w:rsid w:val="005E7FAD"/>
    <w:rsid w:val="005F05ED"/>
    <w:rsid w:val="005F1095"/>
    <w:rsid w:val="005F12F9"/>
    <w:rsid w:val="005F1957"/>
    <w:rsid w:val="005F1E8A"/>
    <w:rsid w:val="005F1EB8"/>
    <w:rsid w:val="005F3409"/>
    <w:rsid w:val="005F3BBE"/>
    <w:rsid w:val="005F4C2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20AB3"/>
    <w:rsid w:val="00620D4E"/>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7143"/>
    <w:rsid w:val="0062765D"/>
    <w:rsid w:val="006302FD"/>
    <w:rsid w:val="00630711"/>
    <w:rsid w:val="00630F9D"/>
    <w:rsid w:val="00631405"/>
    <w:rsid w:val="00631573"/>
    <w:rsid w:val="006317A9"/>
    <w:rsid w:val="0063337F"/>
    <w:rsid w:val="00633D3C"/>
    <w:rsid w:val="00633DEB"/>
    <w:rsid w:val="0063493E"/>
    <w:rsid w:val="00634953"/>
    <w:rsid w:val="00634EC4"/>
    <w:rsid w:val="00635440"/>
    <w:rsid w:val="006364E5"/>
    <w:rsid w:val="00636E68"/>
    <w:rsid w:val="006373B2"/>
    <w:rsid w:val="0063773C"/>
    <w:rsid w:val="00640475"/>
    <w:rsid w:val="006418A0"/>
    <w:rsid w:val="00643011"/>
    <w:rsid w:val="00643362"/>
    <w:rsid w:val="00643457"/>
    <w:rsid w:val="00643B18"/>
    <w:rsid w:val="0064497A"/>
    <w:rsid w:val="006452A4"/>
    <w:rsid w:val="00645573"/>
    <w:rsid w:val="006455B0"/>
    <w:rsid w:val="00645C35"/>
    <w:rsid w:val="00646287"/>
    <w:rsid w:val="00646D1B"/>
    <w:rsid w:val="006477B8"/>
    <w:rsid w:val="006479E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20A0"/>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C9D"/>
    <w:rsid w:val="006B2F88"/>
    <w:rsid w:val="006B36C2"/>
    <w:rsid w:val="006B3BAE"/>
    <w:rsid w:val="006B4156"/>
    <w:rsid w:val="006B42A7"/>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503D"/>
    <w:rsid w:val="006F53D7"/>
    <w:rsid w:val="006F57E9"/>
    <w:rsid w:val="006F7C5C"/>
    <w:rsid w:val="00700DE8"/>
    <w:rsid w:val="00700DFD"/>
    <w:rsid w:val="0070368E"/>
    <w:rsid w:val="007038D5"/>
    <w:rsid w:val="00703905"/>
    <w:rsid w:val="00703C87"/>
    <w:rsid w:val="007047A5"/>
    <w:rsid w:val="00705025"/>
    <w:rsid w:val="007062FD"/>
    <w:rsid w:val="007063EE"/>
    <w:rsid w:val="007065FE"/>
    <w:rsid w:val="00706D25"/>
    <w:rsid w:val="0070781A"/>
    <w:rsid w:val="007079CE"/>
    <w:rsid w:val="007106FB"/>
    <w:rsid w:val="007111B3"/>
    <w:rsid w:val="00711BCF"/>
    <w:rsid w:val="00711F3A"/>
    <w:rsid w:val="007121C9"/>
    <w:rsid w:val="00712B6C"/>
    <w:rsid w:val="00712C8C"/>
    <w:rsid w:val="00712DE1"/>
    <w:rsid w:val="00712F56"/>
    <w:rsid w:val="0071322C"/>
    <w:rsid w:val="0071377A"/>
    <w:rsid w:val="00713E91"/>
    <w:rsid w:val="00714E47"/>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8E4"/>
    <w:rsid w:val="00760D4A"/>
    <w:rsid w:val="007615A8"/>
    <w:rsid w:val="00761856"/>
    <w:rsid w:val="00761891"/>
    <w:rsid w:val="00762178"/>
    <w:rsid w:val="0076257F"/>
    <w:rsid w:val="00763A4B"/>
    <w:rsid w:val="00763B4B"/>
    <w:rsid w:val="00764BC5"/>
    <w:rsid w:val="00764E61"/>
    <w:rsid w:val="00765008"/>
    <w:rsid w:val="00766BA5"/>
    <w:rsid w:val="007676ED"/>
    <w:rsid w:val="007679BF"/>
    <w:rsid w:val="00770830"/>
    <w:rsid w:val="0077085A"/>
    <w:rsid w:val="00770C81"/>
    <w:rsid w:val="00770D40"/>
    <w:rsid w:val="00770EAF"/>
    <w:rsid w:val="00770F0C"/>
    <w:rsid w:val="00771068"/>
    <w:rsid w:val="007711E7"/>
    <w:rsid w:val="007715D6"/>
    <w:rsid w:val="00771841"/>
    <w:rsid w:val="00771E97"/>
    <w:rsid w:val="0077276E"/>
    <w:rsid w:val="007745EB"/>
    <w:rsid w:val="007749CC"/>
    <w:rsid w:val="00775210"/>
    <w:rsid w:val="0077559A"/>
    <w:rsid w:val="0078015D"/>
    <w:rsid w:val="00780DE5"/>
    <w:rsid w:val="00781160"/>
    <w:rsid w:val="00781E90"/>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4CA"/>
    <w:rsid w:val="00787028"/>
    <w:rsid w:val="00787733"/>
    <w:rsid w:val="00787CDE"/>
    <w:rsid w:val="00790738"/>
    <w:rsid w:val="007907BA"/>
    <w:rsid w:val="00791DA9"/>
    <w:rsid w:val="0079311D"/>
    <w:rsid w:val="00793EAF"/>
    <w:rsid w:val="00795E09"/>
    <w:rsid w:val="00795EC6"/>
    <w:rsid w:val="007968EE"/>
    <w:rsid w:val="007969A4"/>
    <w:rsid w:val="00796EBB"/>
    <w:rsid w:val="00797715"/>
    <w:rsid w:val="00797C89"/>
    <w:rsid w:val="007A00D6"/>
    <w:rsid w:val="007A0CE8"/>
    <w:rsid w:val="007A1067"/>
    <w:rsid w:val="007A1969"/>
    <w:rsid w:val="007A1D61"/>
    <w:rsid w:val="007A1E2E"/>
    <w:rsid w:val="007A212A"/>
    <w:rsid w:val="007A3184"/>
    <w:rsid w:val="007A40CB"/>
    <w:rsid w:val="007A49AC"/>
    <w:rsid w:val="007A4CFD"/>
    <w:rsid w:val="007A59A1"/>
    <w:rsid w:val="007B0068"/>
    <w:rsid w:val="007B025E"/>
    <w:rsid w:val="007B0721"/>
    <w:rsid w:val="007B094B"/>
    <w:rsid w:val="007B0AC3"/>
    <w:rsid w:val="007B16A3"/>
    <w:rsid w:val="007B2006"/>
    <w:rsid w:val="007B23C6"/>
    <w:rsid w:val="007B2F85"/>
    <w:rsid w:val="007B4067"/>
    <w:rsid w:val="007B42A2"/>
    <w:rsid w:val="007B45DE"/>
    <w:rsid w:val="007B4F0B"/>
    <w:rsid w:val="007B4FD3"/>
    <w:rsid w:val="007B54D6"/>
    <w:rsid w:val="007B5523"/>
    <w:rsid w:val="007C099C"/>
    <w:rsid w:val="007C2334"/>
    <w:rsid w:val="007C2F65"/>
    <w:rsid w:val="007C3753"/>
    <w:rsid w:val="007C3B71"/>
    <w:rsid w:val="007C3C26"/>
    <w:rsid w:val="007C4917"/>
    <w:rsid w:val="007C4C33"/>
    <w:rsid w:val="007C5DF2"/>
    <w:rsid w:val="007C634D"/>
    <w:rsid w:val="007C64F7"/>
    <w:rsid w:val="007C6E13"/>
    <w:rsid w:val="007C6E66"/>
    <w:rsid w:val="007C7012"/>
    <w:rsid w:val="007C795D"/>
    <w:rsid w:val="007C7C9C"/>
    <w:rsid w:val="007D0ABB"/>
    <w:rsid w:val="007D1696"/>
    <w:rsid w:val="007D183F"/>
    <w:rsid w:val="007D1F12"/>
    <w:rsid w:val="007D2AEF"/>
    <w:rsid w:val="007D2CE6"/>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121"/>
    <w:rsid w:val="007F5225"/>
    <w:rsid w:val="007F5488"/>
    <w:rsid w:val="007F61D6"/>
    <w:rsid w:val="007F6D99"/>
    <w:rsid w:val="007F6E9E"/>
    <w:rsid w:val="007F7794"/>
    <w:rsid w:val="007F7831"/>
    <w:rsid w:val="007F7A60"/>
    <w:rsid w:val="008004DF"/>
    <w:rsid w:val="008015A0"/>
    <w:rsid w:val="0080161E"/>
    <w:rsid w:val="00802421"/>
    <w:rsid w:val="008024B2"/>
    <w:rsid w:val="00802958"/>
    <w:rsid w:val="00803C30"/>
    <w:rsid w:val="00804478"/>
    <w:rsid w:val="00804D12"/>
    <w:rsid w:val="00804D43"/>
    <w:rsid w:val="00804E37"/>
    <w:rsid w:val="00805255"/>
    <w:rsid w:val="008054BD"/>
    <w:rsid w:val="0080570B"/>
    <w:rsid w:val="00805773"/>
    <w:rsid w:val="00810586"/>
    <w:rsid w:val="00810D73"/>
    <w:rsid w:val="00810F87"/>
    <w:rsid w:val="0081176B"/>
    <w:rsid w:val="008122CC"/>
    <w:rsid w:val="00812582"/>
    <w:rsid w:val="008125D7"/>
    <w:rsid w:val="008125DC"/>
    <w:rsid w:val="008126F5"/>
    <w:rsid w:val="008136B4"/>
    <w:rsid w:val="00813B8E"/>
    <w:rsid w:val="008145C0"/>
    <w:rsid w:val="008151A6"/>
    <w:rsid w:val="00815EE9"/>
    <w:rsid w:val="00816B32"/>
    <w:rsid w:val="00816F2D"/>
    <w:rsid w:val="0082014C"/>
    <w:rsid w:val="00820BEF"/>
    <w:rsid w:val="00820E23"/>
    <w:rsid w:val="0082105B"/>
    <w:rsid w:val="008218A6"/>
    <w:rsid w:val="00821924"/>
    <w:rsid w:val="008221EB"/>
    <w:rsid w:val="008226CF"/>
    <w:rsid w:val="00822727"/>
    <w:rsid w:val="008241B9"/>
    <w:rsid w:val="008245CD"/>
    <w:rsid w:val="008248E0"/>
    <w:rsid w:val="00825F19"/>
    <w:rsid w:val="00826E25"/>
    <w:rsid w:val="00827BBD"/>
    <w:rsid w:val="00827C9A"/>
    <w:rsid w:val="008304E8"/>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4146"/>
    <w:rsid w:val="0085432E"/>
    <w:rsid w:val="008549C7"/>
    <w:rsid w:val="00854E5A"/>
    <w:rsid w:val="0085520E"/>
    <w:rsid w:val="00855D5F"/>
    <w:rsid w:val="00855E9C"/>
    <w:rsid w:val="00855EAC"/>
    <w:rsid w:val="00855EF0"/>
    <w:rsid w:val="008564FF"/>
    <w:rsid w:val="00856854"/>
    <w:rsid w:val="0085692D"/>
    <w:rsid w:val="00856E42"/>
    <w:rsid w:val="0086119A"/>
    <w:rsid w:val="00863003"/>
    <w:rsid w:val="00864235"/>
    <w:rsid w:val="0086427F"/>
    <w:rsid w:val="008644AC"/>
    <w:rsid w:val="00864AE7"/>
    <w:rsid w:val="00865AC9"/>
    <w:rsid w:val="0086634C"/>
    <w:rsid w:val="008663AF"/>
    <w:rsid w:val="00866C27"/>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1BDF"/>
    <w:rsid w:val="00892B2B"/>
    <w:rsid w:val="00892D29"/>
    <w:rsid w:val="00893133"/>
    <w:rsid w:val="008932B5"/>
    <w:rsid w:val="00894221"/>
    <w:rsid w:val="008957C5"/>
    <w:rsid w:val="008968A4"/>
    <w:rsid w:val="00896AD0"/>
    <w:rsid w:val="00897812"/>
    <w:rsid w:val="008A05EC"/>
    <w:rsid w:val="008A0983"/>
    <w:rsid w:val="008A1203"/>
    <w:rsid w:val="008A15A6"/>
    <w:rsid w:val="008A1A1E"/>
    <w:rsid w:val="008A1C51"/>
    <w:rsid w:val="008A1E95"/>
    <w:rsid w:val="008A301C"/>
    <w:rsid w:val="008A3152"/>
    <w:rsid w:val="008A3D96"/>
    <w:rsid w:val="008A4007"/>
    <w:rsid w:val="008A49E8"/>
    <w:rsid w:val="008A509C"/>
    <w:rsid w:val="008A57FE"/>
    <w:rsid w:val="008A5DBC"/>
    <w:rsid w:val="008A61B3"/>
    <w:rsid w:val="008A7A5D"/>
    <w:rsid w:val="008B03CF"/>
    <w:rsid w:val="008B18D4"/>
    <w:rsid w:val="008B1A0F"/>
    <w:rsid w:val="008B1D49"/>
    <w:rsid w:val="008B2119"/>
    <w:rsid w:val="008B23C9"/>
    <w:rsid w:val="008B2F5E"/>
    <w:rsid w:val="008B37B1"/>
    <w:rsid w:val="008B3A5F"/>
    <w:rsid w:val="008B3CFF"/>
    <w:rsid w:val="008B3E8F"/>
    <w:rsid w:val="008B6066"/>
    <w:rsid w:val="008B695F"/>
    <w:rsid w:val="008B6B86"/>
    <w:rsid w:val="008B7267"/>
    <w:rsid w:val="008B73EE"/>
    <w:rsid w:val="008C017D"/>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D6A"/>
    <w:rsid w:val="008D1A82"/>
    <w:rsid w:val="008D1D6C"/>
    <w:rsid w:val="008D2210"/>
    <w:rsid w:val="008D230A"/>
    <w:rsid w:val="008D24A6"/>
    <w:rsid w:val="008D274F"/>
    <w:rsid w:val="008D30F0"/>
    <w:rsid w:val="008D39DC"/>
    <w:rsid w:val="008D3F1E"/>
    <w:rsid w:val="008D4535"/>
    <w:rsid w:val="008D53B8"/>
    <w:rsid w:val="008D545F"/>
    <w:rsid w:val="008D5CDE"/>
    <w:rsid w:val="008D6256"/>
    <w:rsid w:val="008D62E0"/>
    <w:rsid w:val="008D6581"/>
    <w:rsid w:val="008D6707"/>
    <w:rsid w:val="008D696E"/>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2EFC"/>
    <w:rsid w:val="00905EA9"/>
    <w:rsid w:val="009068C9"/>
    <w:rsid w:val="00907115"/>
    <w:rsid w:val="00907513"/>
    <w:rsid w:val="00910210"/>
    <w:rsid w:val="009109C8"/>
    <w:rsid w:val="009118EE"/>
    <w:rsid w:val="00912DF5"/>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4485"/>
    <w:rsid w:val="009544BB"/>
    <w:rsid w:val="00954A0C"/>
    <w:rsid w:val="009552F3"/>
    <w:rsid w:val="00955AA6"/>
    <w:rsid w:val="00955C81"/>
    <w:rsid w:val="00955F25"/>
    <w:rsid w:val="00957CEF"/>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9DE"/>
    <w:rsid w:val="00976BA2"/>
    <w:rsid w:val="00977321"/>
    <w:rsid w:val="00980330"/>
    <w:rsid w:val="009807C6"/>
    <w:rsid w:val="00980D92"/>
    <w:rsid w:val="009812DE"/>
    <w:rsid w:val="00981540"/>
    <w:rsid w:val="0098182F"/>
    <w:rsid w:val="0098245F"/>
    <w:rsid w:val="00984A5C"/>
    <w:rsid w:val="00984C90"/>
    <w:rsid w:val="00985397"/>
    <w:rsid w:val="00985B99"/>
    <w:rsid w:val="0098605E"/>
    <w:rsid w:val="00986D41"/>
    <w:rsid w:val="00986FA9"/>
    <w:rsid w:val="0098757C"/>
    <w:rsid w:val="0098778D"/>
    <w:rsid w:val="00987BED"/>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7899"/>
    <w:rsid w:val="009C7D6A"/>
    <w:rsid w:val="009D30AF"/>
    <w:rsid w:val="009D3244"/>
    <w:rsid w:val="009D35F8"/>
    <w:rsid w:val="009D433D"/>
    <w:rsid w:val="009D50E7"/>
    <w:rsid w:val="009D54C4"/>
    <w:rsid w:val="009D5501"/>
    <w:rsid w:val="009D5D1A"/>
    <w:rsid w:val="009D6EDB"/>
    <w:rsid w:val="009D7A90"/>
    <w:rsid w:val="009E0E82"/>
    <w:rsid w:val="009E283E"/>
    <w:rsid w:val="009E2BBD"/>
    <w:rsid w:val="009E34EB"/>
    <w:rsid w:val="009E402A"/>
    <w:rsid w:val="009E42EE"/>
    <w:rsid w:val="009E4A27"/>
    <w:rsid w:val="009E4FA0"/>
    <w:rsid w:val="009E563E"/>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6A9"/>
    <w:rsid w:val="009F6C1E"/>
    <w:rsid w:val="009F78B4"/>
    <w:rsid w:val="009F7C08"/>
    <w:rsid w:val="009F7E97"/>
    <w:rsid w:val="009F7EB0"/>
    <w:rsid w:val="00A00A5D"/>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74E7"/>
    <w:rsid w:val="00A2757B"/>
    <w:rsid w:val="00A27943"/>
    <w:rsid w:val="00A27BBC"/>
    <w:rsid w:val="00A3095B"/>
    <w:rsid w:val="00A30C4C"/>
    <w:rsid w:val="00A31125"/>
    <w:rsid w:val="00A320B1"/>
    <w:rsid w:val="00A325F5"/>
    <w:rsid w:val="00A33695"/>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410"/>
    <w:rsid w:val="00A46C33"/>
    <w:rsid w:val="00A47285"/>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E5"/>
    <w:rsid w:val="00A86139"/>
    <w:rsid w:val="00A86EB4"/>
    <w:rsid w:val="00A90BDF"/>
    <w:rsid w:val="00A92BF8"/>
    <w:rsid w:val="00A92CFF"/>
    <w:rsid w:val="00A92F0D"/>
    <w:rsid w:val="00A94F5F"/>
    <w:rsid w:val="00A94FBC"/>
    <w:rsid w:val="00A95150"/>
    <w:rsid w:val="00A9559C"/>
    <w:rsid w:val="00A95FD0"/>
    <w:rsid w:val="00A96300"/>
    <w:rsid w:val="00A9676E"/>
    <w:rsid w:val="00A9797B"/>
    <w:rsid w:val="00A97C62"/>
    <w:rsid w:val="00A97DCA"/>
    <w:rsid w:val="00AA02BE"/>
    <w:rsid w:val="00AA0F32"/>
    <w:rsid w:val="00AA1619"/>
    <w:rsid w:val="00AA1B66"/>
    <w:rsid w:val="00AA3189"/>
    <w:rsid w:val="00AA36EB"/>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54C"/>
    <w:rsid w:val="00AC6570"/>
    <w:rsid w:val="00AC6619"/>
    <w:rsid w:val="00AC7107"/>
    <w:rsid w:val="00AD005D"/>
    <w:rsid w:val="00AD061B"/>
    <w:rsid w:val="00AD07FC"/>
    <w:rsid w:val="00AD0B59"/>
    <w:rsid w:val="00AD0C6F"/>
    <w:rsid w:val="00AD12C5"/>
    <w:rsid w:val="00AD1A08"/>
    <w:rsid w:val="00AD2B53"/>
    <w:rsid w:val="00AD3710"/>
    <w:rsid w:val="00AD4571"/>
    <w:rsid w:val="00AD70F1"/>
    <w:rsid w:val="00AD71C5"/>
    <w:rsid w:val="00AD7567"/>
    <w:rsid w:val="00AD7970"/>
    <w:rsid w:val="00AE0C1B"/>
    <w:rsid w:val="00AE141F"/>
    <w:rsid w:val="00AE1CD7"/>
    <w:rsid w:val="00AE247D"/>
    <w:rsid w:val="00AE3D79"/>
    <w:rsid w:val="00AE4020"/>
    <w:rsid w:val="00AE79F2"/>
    <w:rsid w:val="00AE7CD3"/>
    <w:rsid w:val="00AF003B"/>
    <w:rsid w:val="00AF07E2"/>
    <w:rsid w:val="00AF1037"/>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B0B"/>
    <w:rsid w:val="00B34B77"/>
    <w:rsid w:val="00B34DD6"/>
    <w:rsid w:val="00B35F80"/>
    <w:rsid w:val="00B3602B"/>
    <w:rsid w:val="00B36BA6"/>
    <w:rsid w:val="00B36EAA"/>
    <w:rsid w:val="00B4162D"/>
    <w:rsid w:val="00B4177D"/>
    <w:rsid w:val="00B42941"/>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614BF"/>
    <w:rsid w:val="00B62635"/>
    <w:rsid w:val="00B64EB6"/>
    <w:rsid w:val="00B65598"/>
    <w:rsid w:val="00B704AB"/>
    <w:rsid w:val="00B712EE"/>
    <w:rsid w:val="00B71CD5"/>
    <w:rsid w:val="00B71DAC"/>
    <w:rsid w:val="00B72E87"/>
    <w:rsid w:val="00B72E9F"/>
    <w:rsid w:val="00B730C7"/>
    <w:rsid w:val="00B734C4"/>
    <w:rsid w:val="00B7350E"/>
    <w:rsid w:val="00B746CC"/>
    <w:rsid w:val="00B74792"/>
    <w:rsid w:val="00B74827"/>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BA9"/>
    <w:rsid w:val="00BA7CE0"/>
    <w:rsid w:val="00BB0C1F"/>
    <w:rsid w:val="00BB169C"/>
    <w:rsid w:val="00BB1DFE"/>
    <w:rsid w:val="00BB20A0"/>
    <w:rsid w:val="00BB22D4"/>
    <w:rsid w:val="00BB3AFC"/>
    <w:rsid w:val="00BB3CBE"/>
    <w:rsid w:val="00BB4174"/>
    <w:rsid w:val="00BB50BB"/>
    <w:rsid w:val="00BB568E"/>
    <w:rsid w:val="00BB5AB0"/>
    <w:rsid w:val="00BB5B5D"/>
    <w:rsid w:val="00BB6397"/>
    <w:rsid w:val="00BB6B9C"/>
    <w:rsid w:val="00BB6CDC"/>
    <w:rsid w:val="00BB7260"/>
    <w:rsid w:val="00BB73C8"/>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DB9"/>
    <w:rsid w:val="00BD75D1"/>
    <w:rsid w:val="00BE0363"/>
    <w:rsid w:val="00BE0A45"/>
    <w:rsid w:val="00BE1233"/>
    <w:rsid w:val="00BE1277"/>
    <w:rsid w:val="00BE1311"/>
    <w:rsid w:val="00BE19C2"/>
    <w:rsid w:val="00BE358B"/>
    <w:rsid w:val="00BE4109"/>
    <w:rsid w:val="00BE447B"/>
    <w:rsid w:val="00BE4569"/>
    <w:rsid w:val="00BE4782"/>
    <w:rsid w:val="00BE47D8"/>
    <w:rsid w:val="00BE4FD9"/>
    <w:rsid w:val="00BE57DA"/>
    <w:rsid w:val="00BE5D73"/>
    <w:rsid w:val="00BE6DFE"/>
    <w:rsid w:val="00BE79AB"/>
    <w:rsid w:val="00BF0637"/>
    <w:rsid w:val="00BF124A"/>
    <w:rsid w:val="00BF160C"/>
    <w:rsid w:val="00BF1D5A"/>
    <w:rsid w:val="00BF37A9"/>
    <w:rsid w:val="00BF3C23"/>
    <w:rsid w:val="00BF4770"/>
    <w:rsid w:val="00BF513A"/>
    <w:rsid w:val="00BF540A"/>
    <w:rsid w:val="00BF6036"/>
    <w:rsid w:val="00BF67D7"/>
    <w:rsid w:val="00BF69D2"/>
    <w:rsid w:val="00BF6EB4"/>
    <w:rsid w:val="00BF6EC1"/>
    <w:rsid w:val="00BF7257"/>
    <w:rsid w:val="00BF7347"/>
    <w:rsid w:val="00BF7B94"/>
    <w:rsid w:val="00BF7C53"/>
    <w:rsid w:val="00C017D1"/>
    <w:rsid w:val="00C029BC"/>
    <w:rsid w:val="00C030A6"/>
    <w:rsid w:val="00C047D7"/>
    <w:rsid w:val="00C04D37"/>
    <w:rsid w:val="00C05941"/>
    <w:rsid w:val="00C0657C"/>
    <w:rsid w:val="00C074C4"/>
    <w:rsid w:val="00C079F5"/>
    <w:rsid w:val="00C10CD4"/>
    <w:rsid w:val="00C11B8D"/>
    <w:rsid w:val="00C125B0"/>
    <w:rsid w:val="00C12AE0"/>
    <w:rsid w:val="00C12F2A"/>
    <w:rsid w:val="00C12FEB"/>
    <w:rsid w:val="00C1357C"/>
    <w:rsid w:val="00C14093"/>
    <w:rsid w:val="00C140C6"/>
    <w:rsid w:val="00C144EF"/>
    <w:rsid w:val="00C1534E"/>
    <w:rsid w:val="00C20927"/>
    <w:rsid w:val="00C211DC"/>
    <w:rsid w:val="00C2135F"/>
    <w:rsid w:val="00C21AAB"/>
    <w:rsid w:val="00C233C6"/>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45ED"/>
    <w:rsid w:val="00C34837"/>
    <w:rsid w:val="00C348B3"/>
    <w:rsid w:val="00C34F38"/>
    <w:rsid w:val="00C3548F"/>
    <w:rsid w:val="00C356C8"/>
    <w:rsid w:val="00C367B4"/>
    <w:rsid w:val="00C36956"/>
    <w:rsid w:val="00C36B2D"/>
    <w:rsid w:val="00C37197"/>
    <w:rsid w:val="00C37615"/>
    <w:rsid w:val="00C37B29"/>
    <w:rsid w:val="00C37CB7"/>
    <w:rsid w:val="00C40D60"/>
    <w:rsid w:val="00C43A7D"/>
    <w:rsid w:val="00C4425F"/>
    <w:rsid w:val="00C44320"/>
    <w:rsid w:val="00C44421"/>
    <w:rsid w:val="00C44A04"/>
    <w:rsid w:val="00C44C83"/>
    <w:rsid w:val="00C44D1A"/>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547"/>
    <w:rsid w:val="00C55649"/>
    <w:rsid w:val="00C563A1"/>
    <w:rsid w:val="00C56DBA"/>
    <w:rsid w:val="00C576F8"/>
    <w:rsid w:val="00C57A57"/>
    <w:rsid w:val="00C57F07"/>
    <w:rsid w:val="00C604F5"/>
    <w:rsid w:val="00C61336"/>
    <w:rsid w:val="00C61583"/>
    <w:rsid w:val="00C61FF5"/>
    <w:rsid w:val="00C6238A"/>
    <w:rsid w:val="00C62CD3"/>
    <w:rsid w:val="00C62DC8"/>
    <w:rsid w:val="00C635CF"/>
    <w:rsid w:val="00C635FD"/>
    <w:rsid w:val="00C64027"/>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BAF"/>
    <w:rsid w:val="00C84C64"/>
    <w:rsid w:val="00C8571F"/>
    <w:rsid w:val="00C85EAB"/>
    <w:rsid w:val="00C863A3"/>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4EB2"/>
    <w:rsid w:val="00CA6135"/>
    <w:rsid w:val="00CA61EE"/>
    <w:rsid w:val="00CA6F54"/>
    <w:rsid w:val="00CB08DF"/>
    <w:rsid w:val="00CB1734"/>
    <w:rsid w:val="00CB17C4"/>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A6"/>
    <w:rsid w:val="00CC2B5B"/>
    <w:rsid w:val="00CC2F2F"/>
    <w:rsid w:val="00CC47A1"/>
    <w:rsid w:val="00CC4F4F"/>
    <w:rsid w:val="00CC4F94"/>
    <w:rsid w:val="00CC59CD"/>
    <w:rsid w:val="00CC6811"/>
    <w:rsid w:val="00CC6A7B"/>
    <w:rsid w:val="00CC7195"/>
    <w:rsid w:val="00CC73DA"/>
    <w:rsid w:val="00CD0F76"/>
    <w:rsid w:val="00CD1420"/>
    <w:rsid w:val="00CD1B30"/>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A31"/>
    <w:rsid w:val="00CE2B78"/>
    <w:rsid w:val="00CE31F7"/>
    <w:rsid w:val="00CE3EDA"/>
    <w:rsid w:val="00CE47AF"/>
    <w:rsid w:val="00CE4BEB"/>
    <w:rsid w:val="00CE4C49"/>
    <w:rsid w:val="00CE5173"/>
    <w:rsid w:val="00CE51FF"/>
    <w:rsid w:val="00CE5491"/>
    <w:rsid w:val="00CE561A"/>
    <w:rsid w:val="00CE5754"/>
    <w:rsid w:val="00CE5ACF"/>
    <w:rsid w:val="00CE6C28"/>
    <w:rsid w:val="00CE71C8"/>
    <w:rsid w:val="00CE7221"/>
    <w:rsid w:val="00CE797B"/>
    <w:rsid w:val="00CE7F91"/>
    <w:rsid w:val="00CF0568"/>
    <w:rsid w:val="00CF1093"/>
    <w:rsid w:val="00CF156A"/>
    <w:rsid w:val="00CF206F"/>
    <w:rsid w:val="00CF2532"/>
    <w:rsid w:val="00CF2D64"/>
    <w:rsid w:val="00CF3F9C"/>
    <w:rsid w:val="00CF4C30"/>
    <w:rsid w:val="00CF5466"/>
    <w:rsid w:val="00CF5957"/>
    <w:rsid w:val="00CF65FD"/>
    <w:rsid w:val="00CF67A9"/>
    <w:rsid w:val="00CF6B09"/>
    <w:rsid w:val="00CF6D85"/>
    <w:rsid w:val="00CF6F63"/>
    <w:rsid w:val="00D021AF"/>
    <w:rsid w:val="00D02486"/>
    <w:rsid w:val="00D024BD"/>
    <w:rsid w:val="00D02770"/>
    <w:rsid w:val="00D02E89"/>
    <w:rsid w:val="00D054C0"/>
    <w:rsid w:val="00D057A6"/>
    <w:rsid w:val="00D05A94"/>
    <w:rsid w:val="00D05C59"/>
    <w:rsid w:val="00D06F70"/>
    <w:rsid w:val="00D07EE2"/>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799"/>
    <w:rsid w:val="00D209AF"/>
    <w:rsid w:val="00D20C67"/>
    <w:rsid w:val="00D212FE"/>
    <w:rsid w:val="00D21548"/>
    <w:rsid w:val="00D217D6"/>
    <w:rsid w:val="00D21A7C"/>
    <w:rsid w:val="00D21B29"/>
    <w:rsid w:val="00D229AC"/>
    <w:rsid w:val="00D2428D"/>
    <w:rsid w:val="00D24331"/>
    <w:rsid w:val="00D244BF"/>
    <w:rsid w:val="00D2506C"/>
    <w:rsid w:val="00D25ABC"/>
    <w:rsid w:val="00D25B2D"/>
    <w:rsid w:val="00D27F99"/>
    <w:rsid w:val="00D300D9"/>
    <w:rsid w:val="00D30A68"/>
    <w:rsid w:val="00D30BE6"/>
    <w:rsid w:val="00D30C04"/>
    <w:rsid w:val="00D3128F"/>
    <w:rsid w:val="00D314D5"/>
    <w:rsid w:val="00D318BC"/>
    <w:rsid w:val="00D31AC6"/>
    <w:rsid w:val="00D31C7A"/>
    <w:rsid w:val="00D32447"/>
    <w:rsid w:val="00D33AA1"/>
    <w:rsid w:val="00D33C40"/>
    <w:rsid w:val="00D3441D"/>
    <w:rsid w:val="00D34F75"/>
    <w:rsid w:val="00D35BD5"/>
    <w:rsid w:val="00D35C30"/>
    <w:rsid w:val="00D36501"/>
    <w:rsid w:val="00D3686E"/>
    <w:rsid w:val="00D36C9B"/>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AD1"/>
    <w:rsid w:val="00D70F07"/>
    <w:rsid w:val="00D71194"/>
    <w:rsid w:val="00D71995"/>
    <w:rsid w:val="00D7242F"/>
    <w:rsid w:val="00D731E3"/>
    <w:rsid w:val="00D73EEE"/>
    <w:rsid w:val="00D742A8"/>
    <w:rsid w:val="00D74308"/>
    <w:rsid w:val="00D75438"/>
    <w:rsid w:val="00D768D3"/>
    <w:rsid w:val="00D77799"/>
    <w:rsid w:val="00D8096D"/>
    <w:rsid w:val="00D81422"/>
    <w:rsid w:val="00D81C35"/>
    <w:rsid w:val="00D8254C"/>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3B36"/>
    <w:rsid w:val="00DA3E72"/>
    <w:rsid w:val="00DA3FEB"/>
    <w:rsid w:val="00DA4727"/>
    <w:rsid w:val="00DA4A2F"/>
    <w:rsid w:val="00DA4AAA"/>
    <w:rsid w:val="00DA4AAE"/>
    <w:rsid w:val="00DA4D9D"/>
    <w:rsid w:val="00DA5B75"/>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E40"/>
    <w:rsid w:val="00DC1FD1"/>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4F3C"/>
    <w:rsid w:val="00DF4FF2"/>
    <w:rsid w:val="00DF65DF"/>
    <w:rsid w:val="00DF70AE"/>
    <w:rsid w:val="00DF7382"/>
    <w:rsid w:val="00E00116"/>
    <w:rsid w:val="00E0175F"/>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B38"/>
    <w:rsid w:val="00E13203"/>
    <w:rsid w:val="00E1366E"/>
    <w:rsid w:val="00E1421C"/>
    <w:rsid w:val="00E143FD"/>
    <w:rsid w:val="00E14C4D"/>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7761"/>
    <w:rsid w:val="00E37AFF"/>
    <w:rsid w:val="00E41A58"/>
    <w:rsid w:val="00E41E4F"/>
    <w:rsid w:val="00E41E9E"/>
    <w:rsid w:val="00E42A4D"/>
    <w:rsid w:val="00E434A1"/>
    <w:rsid w:val="00E43CD2"/>
    <w:rsid w:val="00E440D2"/>
    <w:rsid w:val="00E44D8A"/>
    <w:rsid w:val="00E4528E"/>
    <w:rsid w:val="00E4580E"/>
    <w:rsid w:val="00E45F52"/>
    <w:rsid w:val="00E46508"/>
    <w:rsid w:val="00E46936"/>
    <w:rsid w:val="00E46AC0"/>
    <w:rsid w:val="00E46B6F"/>
    <w:rsid w:val="00E473B0"/>
    <w:rsid w:val="00E47B54"/>
    <w:rsid w:val="00E47CCD"/>
    <w:rsid w:val="00E50750"/>
    <w:rsid w:val="00E509EA"/>
    <w:rsid w:val="00E50E79"/>
    <w:rsid w:val="00E50FA0"/>
    <w:rsid w:val="00E515D5"/>
    <w:rsid w:val="00E519AF"/>
    <w:rsid w:val="00E52003"/>
    <w:rsid w:val="00E5209B"/>
    <w:rsid w:val="00E52782"/>
    <w:rsid w:val="00E53E55"/>
    <w:rsid w:val="00E543B2"/>
    <w:rsid w:val="00E54B05"/>
    <w:rsid w:val="00E5715E"/>
    <w:rsid w:val="00E609F9"/>
    <w:rsid w:val="00E60B53"/>
    <w:rsid w:val="00E60C82"/>
    <w:rsid w:val="00E61840"/>
    <w:rsid w:val="00E62B44"/>
    <w:rsid w:val="00E62FFE"/>
    <w:rsid w:val="00E6373B"/>
    <w:rsid w:val="00E63DC8"/>
    <w:rsid w:val="00E64990"/>
    <w:rsid w:val="00E64BFE"/>
    <w:rsid w:val="00E65359"/>
    <w:rsid w:val="00E66040"/>
    <w:rsid w:val="00E6616A"/>
    <w:rsid w:val="00E67B4A"/>
    <w:rsid w:val="00E67F16"/>
    <w:rsid w:val="00E70AB0"/>
    <w:rsid w:val="00E71171"/>
    <w:rsid w:val="00E71F27"/>
    <w:rsid w:val="00E7205D"/>
    <w:rsid w:val="00E721D9"/>
    <w:rsid w:val="00E723F5"/>
    <w:rsid w:val="00E72403"/>
    <w:rsid w:val="00E72404"/>
    <w:rsid w:val="00E72D68"/>
    <w:rsid w:val="00E73F4B"/>
    <w:rsid w:val="00E74C2C"/>
    <w:rsid w:val="00E75655"/>
    <w:rsid w:val="00E75993"/>
    <w:rsid w:val="00E75BCB"/>
    <w:rsid w:val="00E7631C"/>
    <w:rsid w:val="00E764E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B5"/>
    <w:rsid w:val="00E93F76"/>
    <w:rsid w:val="00E96511"/>
    <w:rsid w:val="00E96A85"/>
    <w:rsid w:val="00E9758A"/>
    <w:rsid w:val="00E979E9"/>
    <w:rsid w:val="00E97CD2"/>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5013"/>
    <w:rsid w:val="00EB50C9"/>
    <w:rsid w:val="00EB53AD"/>
    <w:rsid w:val="00EB5804"/>
    <w:rsid w:val="00EB5C9A"/>
    <w:rsid w:val="00EB6224"/>
    <w:rsid w:val="00EB62C2"/>
    <w:rsid w:val="00EB6DEA"/>
    <w:rsid w:val="00EB6E04"/>
    <w:rsid w:val="00EB6FC2"/>
    <w:rsid w:val="00EC0AAB"/>
    <w:rsid w:val="00EC0AF4"/>
    <w:rsid w:val="00EC0B74"/>
    <w:rsid w:val="00EC153B"/>
    <w:rsid w:val="00EC1703"/>
    <w:rsid w:val="00EC1707"/>
    <w:rsid w:val="00EC19AE"/>
    <w:rsid w:val="00EC1EA0"/>
    <w:rsid w:val="00EC2E9B"/>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40"/>
    <w:rsid w:val="00EF3FFE"/>
    <w:rsid w:val="00EF57B0"/>
    <w:rsid w:val="00EF6F9D"/>
    <w:rsid w:val="00EF6FD5"/>
    <w:rsid w:val="00EF7386"/>
    <w:rsid w:val="00F004BA"/>
    <w:rsid w:val="00F006CF"/>
    <w:rsid w:val="00F00A38"/>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2A95"/>
    <w:rsid w:val="00F12EA3"/>
    <w:rsid w:val="00F13526"/>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9B6"/>
    <w:rsid w:val="00F26B14"/>
    <w:rsid w:val="00F26CC7"/>
    <w:rsid w:val="00F26CE4"/>
    <w:rsid w:val="00F271B3"/>
    <w:rsid w:val="00F30076"/>
    <w:rsid w:val="00F315FD"/>
    <w:rsid w:val="00F32496"/>
    <w:rsid w:val="00F325B9"/>
    <w:rsid w:val="00F32D09"/>
    <w:rsid w:val="00F33ABB"/>
    <w:rsid w:val="00F34382"/>
    <w:rsid w:val="00F34525"/>
    <w:rsid w:val="00F348D2"/>
    <w:rsid w:val="00F356CE"/>
    <w:rsid w:val="00F358AF"/>
    <w:rsid w:val="00F35C54"/>
    <w:rsid w:val="00F36287"/>
    <w:rsid w:val="00F362B4"/>
    <w:rsid w:val="00F3670A"/>
    <w:rsid w:val="00F372AF"/>
    <w:rsid w:val="00F37847"/>
    <w:rsid w:val="00F37BEE"/>
    <w:rsid w:val="00F37C9B"/>
    <w:rsid w:val="00F40211"/>
    <w:rsid w:val="00F41508"/>
    <w:rsid w:val="00F423F0"/>
    <w:rsid w:val="00F42FE9"/>
    <w:rsid w:val="00F430B2"/>
    <w:rsid w:val="00F43925"/>
    <w:rsid w:val="00F4393C"/>
    <w:rsid w:val="00F45359"/>
    <w:rsid w:val="00F45413"/>
    <w:rsid w:val="00F46113"/>
    <w:rsid w:val="00F463F5"/>
    <w:rsid w:val="00F47564"/>
    <w:rsid w:val="00F47628"/>
    <w:rsid w:val="00F47A9F"/>
    <w:rsid w:val="00F47CA5"/>
    <w:rsid w:val="00F50709"/>
    <w:rsid w:val="00F5103B"/>
    <w:rsid w:val="00F5132F"/>
    <w:rsid w:val="00F519A4"/>
    <w:rsid w:val="00F527CB"/>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DE7"/>
    <w:rsid w:val="00F63080"/>
    <w:rsid w:val="00F63AB7"/>
    <w:rsid w:val="00F63BA7"/>
    <w:rsid w:val="00F63E8D"/>
    <w:rsid w:val="00F64898"/>
    <w:rsid w:val="00F65282"/>
    <w:rsid w:val="00F65399"/>
    <w:rsid w:val="00F65E76"/>
    <w:rsid w:val="00F66294"/>
    <w:rsid w:val="00F66371"/>
    <w:rsid w:val="00F66830"/>
    <w:rsid w:val="00F66DFB"/>
    <w:rsid w:val="00F67634"/>
    <w:rsid w:val="00F71DF2"/>
    <w:rsid w:val="00F71FB1"/>
    <w:rsid w:val="00F72493"/>
    <w:rsid w:val="00F72A56"/>
    <w:rsid w:val="00F74018"/>
    <w:rsid w:val="00F75233"/>
    <w:rsid w:val="00F75FD2"/>
    <w:rsid w:val="00F7604E"/>
    <w:rsid w:val="00F7616B"/>
    <w:rsid w:val="00F765F7"/>
    <w:rsid w:val="00F76AE1"/>
    <w:rsid w:val="00F777C7"/>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3DC"/>
    <w:rsid w:val="00F9145F"/>
    <w:rsid w:val="00F91E30"/>
    <w:rsid w:val="00F926F0"/>
    <w:rsid w:val="00F92B41"/>
    <w:rsid w:val="00F92BFE"/>
    <w:rsid w:val="00F93228"/>
    <w:rsid w:val="00F93400"/>
    <w:rsid w:val="00F9356C"/>
    <w:rsid w:val="00F93B5F"/>
    <w:rsid w:val="00F9591C"/>
    <w:rsid w:val="00F96DEE"/>
    <w:rsid w:val="00F9775A"/>
    <w:rsid w:val="00F97A85"/>
    <w:rsid w:val="00F97A95"/>
    <w:rsid w:val="00FA04B2"/>
    <w:rsid w:val="00FA3252"/>
    <w:rsid w:val="00FA3858"/>
    <w:rsid w:val="00FA3865"/>
    <w:rsid w:val="00FA46C8"/>
    <w:rsid w:val="00FA4E19"/>
    <w:rsid w:val="00FA5064"/>
    <w:rsid w:val="00FA5561"/>
    <w:rsid w:val="00FA610E"/>
    <w:rsid w:val="00FA641C"/>
    <w:rsid w:val="00FA66D0"/>
    <w:rsid w:val="00FA67D6"/>
    <w:rsid w:val="00FA6E69"/>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C019F"/>
    <w:rsid w:val="00FC04E6"/>
    <w:rsid w:val="00FC0624"/>
    <w:rsid w:val="00FC0B81"/>
    <w:rsid w:val="00FC1030"/>
    <w:rsid w:val="00FC1715"/>
    <w:rsid w:val="00FC20DD"/>
    <w:rsid w:val="00FC223C"/>
    <w:rsid w:val="00FC25E9"/>
    <w:rsid w:val="00FC371D"/>
    <w:rsid w:val="00FC41EC"/>
    <w:rsid w:val="00FC4A4B"/>
    <w:rsid w:val="00FC4D06"/>
    <w:rsid w:val="00FC5515"/>
    <w:rsid w:val="00FC60C0"/>
    <w:rsid w:val="00FC6275"/>
    <w:rsid w:val="00FC6589"/>
    <w:rsid w:val="00FC6D7A"/>
    <w:rsid w:val="00FC70BF"/>
    <w:rsid w:val="00FD0193"/>
    <w:rsid w:val="00FD0FAA"/>
    <w:rsid w:val="00FD12BF"/>
    <w:rsid w:val="00FD16F5"/>
    <w:rsid w:val="00FD17D7"/>
    <w:rsid w:val="00FD239F"/>
    <w:rsid w:val="00FD2AE8"/>
    <w:rsid w:val="00FD32FA"/>
    <w:rsid w:val="00FD380B"/>
    <w:rsid w:val="00FD3883"/>
    <w:rsid w:val="00FD38B8"/>
    <w:rsid w:val="00FD41A1"/>
    <w:rsid w:val="00FD457C"/>
    <w:rsid w:val="00FD54FC"/>
    <w:rsid w:val="00FD5ABD"/>
    <w:rsid w:val="00FD6675"/>
    <w:rsid w:val="00FD6CCB"/>
    <w:rsid w:val="00FD6D27"/>
    <w:rsid w:val="00FD6F00"/>
    <w:rsid w:val="00FD7524"/>
    <w:rsid w:val="00FD7960"/>
    <w:rsid w:val="00FD7CAF"/>
    <w:rsid w:val="00FD7E66"/>
    <w:rsid w:val="00FD7FB3"/>
    <w:rsid w:val="00FE052A"/>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325F"/>
    <w:rsid w:val="00FF36A5"/>
    <w:rsid w:val="00FF3B3B"/>
    <w:rsid w:val="00FF75CC"/>
    <w:rsid w:val="00FF7726"/>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ABD104B"/>
    <w:rsid w:val="2D122AE6"/>
    <w:rsid w:val="2D21CA2C"/>
    <w:rsid w:val="2D98B88B"/>
    <w:rsid w:val="2E857C8B"/>
    <w:rsid w:val="31BE6697"/>
    <w:rsid w:val="378DED4E"/>
    <w:rsid w:val="3D78150B"/>
    <w:rsid w:val="3F1498B8"/>
    <w:rsid w:val="3F7C7D5F"/>
    <w:rsid w:val="40D94743"/>
    <w:rsid w:val="428A35F1"/>
    <w:rsid w:val="4299D1CC"/>
    <w:rsid w:val="4575962E"/>
    <w:rsid w:val="4857B5BD"/>
    <w:rsid w:val="48DC92B9"/>
    <w:rsid w:val="49A4947D"/>
    <w:rsid w:val="4A9A1919"/>
    <w:rsid w:val="4E6F56B7"/>
    <w:rsid w:val="4F3669E2"/>
    <w:rsid w:val="4F39E5C2"/>
    <w:rsid w:val="4F57E5F1"/>
    <w:rsid w:val="516FDE54"/>
    <w:rsid w:val="54AB2CC8"/>
    <w:rsid w:val="5854A793"/>
    <w:rsid w:val="5AACF0D6"/>
    <w:rsid w:val="5AD645FD"/>
    <w:rsid w:val="5C7A0CE7"/>
    <w:rsid w:val="5DC7392C"/>
    <w:rsid w:val="5EE9B972"/>
    <w:rsid w:val="614C6E3B"/>
    <w:rsid w:val="6203A814"/>
    <w:rsid w:val="6662F08F"/>
    <w:rsid w:val="66C0A222"/>
    <w:rsid w:val="69C460C0"/>
    <w:rsid w:val="6FE85455"/>
    <w:rsid w:val="73236262"/>
    <w:rsid w:val="73D1159F"/>
    <w:rsid w:val="7488CB44"/>
    <w:rsid w:val="76BC035D"/>
    <w:rsid w:val="7C204B97"/>
    <w:rsid w:val="7D3B748B"/>
    <w:rsid w:val="7D6C4627"/>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aliases w:val="Title 2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val="en-US"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val="en-US"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val="en-US"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val="en-US"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val="en-US"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val="en-US"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val="en-US"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val="en-US"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val="en-US"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val="en-US"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val="en-US"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lang w:val="en-US"/>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n-US"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val="en-GB"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lang w:val="en-US"/>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56DE3-E858-4CD4-BDC8-7E7EC5FAD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0EF42-07C8-483B-ADF2-5CE5C94869C9}">
  <ds:schemaRefs>
    <ds:schemaRef ds:uri="http://schemas.microsoft.com/sharepoint/v3/contenttype/forms"/>
  </ds:schemaRefs>
</ds:datastoreItem>
</file>

<file path=customXml/itemProps3.xml><?xml version="1.0" encoding="utf-8"?>
<ds:datastoreItem xmlns:ds="http://schemas.openxmlformats.org/officeDocument/2006/customXml" ds:itemID="{5B8F6CBB-1F32-476C-9177-F6161B7D0999}">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5981</Words>
  <Characters>32117</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38022</CharactersWithSpaces>
  <SharedDoc>false</SharedDoc>
  <HLinks>
    <vt:vector size="1110" baseType="variant">
      <vt:variant>
        <vt:i4>1376257</vt:i4>
      </vt:variant>
      <vt:variant>
        <vt:i4>1479</vt:i4>
      </vt:variant>
      <vt:variant>
        <vt:i4>0</vt:i4>
      </vt:variant>
      <vt:variant>
        <vt:i4>5</vt:i4>
      </vt:variant>
      <vt:variant>
        <vt:lpwstr>https://www.iso.org/iso-4217-currency-codes.html</vt:lpwstr>
      </vt:variant>
      <vt:variant>
        <vt:lpwstr/>
      </vt:variant>
      <vt:variant>
        <vt:i4>1376257</vt:i4>
      </vt:variant>
      <vt:variant>
        <vt:i4>1476</vt:i4>
      </vt:variant>
      <vt:variant>
        <vt:i4>0</vt:i4>
      </vt:variant>
      <vt:variant>
        <vt:i4>5</vt:i4>
      </vt:variant>
      <vt:variant>
        <vt:lpwstr>https://www.iso.org/iso-4217-currency-codes.html</vt:lpwstr>
      </vt:variant>
      <vt:variant>
        <vt:lpwstr/>
      </vt:variant>
      <vt:variant>
        <vt:i4>2031666</vt:i4>
      </vt:variant>
      <vt:variant>
        <vt:i4>1094</vt:i4>
      </vt:variant>
      <vt:variant>
        <vt:i4>0</vt:i4>
      </vt:variant>
      <vt:variant>
        <vt:i4>5</vt:i4>
      </vt:variant>
      <vt:variant>
        <vt:lpwstr/>
      </vt:variant>
      <vt:variant>
        <vt:lpwstr>_Toc152862773</vt:lpwstr>
      </vt:variant>
      <vt:variant>
        <vt:i4>2031666</vt:i4>
      </vt:variant>
      <vt:variant>
        <vt:i4>1088</vt:i4>
      </vt:variant>
      <vt:variant>
        <vt:i4>0</vt:i4>
      </vt:variant>
      <vt:variant>
        <vt:i4>5</vt:i4>
      </vt:variant>
      <vt:variant>
        <vt:lpwstr/>
      </vt:variant>
      <vt:variant>
        <vt:lpwstr>_Toc152862772</vt:lpwstr>
      </vt:variant>
      <vt:variant>
        <vt:i4>2031666</vt:i4>
      </vt:variant>
      <vt:variant>
        <vt:i4>1082</vt:i4>
      </vt:variant>
      <vt:variant>
        <vt:i4>0</vt:i4>
      </vt:variant>
      <vt:variant>
        <vt:i4>5</vt:i4>
      </vt:variant>
      <vt:variant>
        <vt:lpwstr/>
      </vt:variant>
      <vt:variant>
        <vt:lpwstr>_Toc152862771</vt:lpwstr>
      </vt:variant>
      <vt:variant>
        <vt:i4>2031666</vt:i4>
      </vt:variant>
      <vt:variant>
        <vt:i4>1076</vt:i4>
      </vt:variant>
      <vt:variant>
        <vt:i4>0</vt:i4>
      </vt:variant>
      <vt:variant>
        <vt:i4>5</vt:i4>
      </vt:variant>
      <vt:variant>
        <vt:lpwstr/>
      </vt:variant>
      <vt:variant>
        <vt:lpwstr>_Toc152862770</vt:lpwstr>
      </vt:variant>
      <vt:variant>
        <vt:i4>1966130</vt:i4>
      </vt:variant>
      <vt:variant>
        <vt:i4>1070</vt:i4>
      </vt:variant>
      <vt:variant>
        <vt:i4>0</vt:i4>
      </vt:variant>
      <vt:variant>
        <vt:i4>5</vt:i4>
      </vt:variant>
      <vt:variant>
        <vt:lpwstr/>
      </vt:variant>
      <vt:variant>
        <vt:lpwstr>_Toc152862769</vt:lpwstr>
      </vt:variant>
      <vt:variant>
        <vt:i4>1966130</vt:i4>
      </vt:variant>
      <vt:variant>
        <vt:i4>1064</vt:i4>
      </vt:variant>
      <vt:variant>
        <vt:i4>0</vt:i4>
      </vt:variant>
      <vt:variant>
        <vt:i4>5</vt:i4>
      </vt:variant>
      <vt:variant>
        <vt:lpwstr/>
      </vt:variant>
      <vt:variant>
        <vt:lpwstr>_Toc152862768</vt:lpwstr>
      </vt:variant>
      <vt:variant>
        <vt:i4>1966130</vt:i4>
      </vt:variant>
      <vt:variant>
        <vt:i4>1058</vt:i4>
      </vt:variant>
      <vt:variant>
        <vt:i4>0</vt:i4>
      </vt:variant>
      <vt:variant>
        <vt:i4>5</vt:i4>
      </vt:variant>
      <vt:variant>
        <vt:lpwstr/>
      </vt:variant>
      <vt:variant>
        <vt:lpwstr>_Toc152862767</vt:lpwstr>
      </vt:variant>
      <vt:variant>
        <vt:i4>1966130</vt:i4>
      </vt:variant>
      <vt:variant>
        <vt:i4>1052</vt:i4>
      </vt:variant>
      <vt:variant>
        <vt:i4>0</vt:i4>
      </vt:variant>
      <vt:variant>
        <vt:i4>5</vt:i4>
      </vt:variant>
      <vt:variant>
        <vt:lpwstr/>
      </vt:variant>
      <vt:variant>
        <vt:lpwstr>_Toc152862766</vt:lpwstr>
      </vt:variant>
      <vt:variant>
        <vt:i4>1966130</vt:i4>
      </vt:variant>
      <vt:variant>
        <vt:i4>1046</vt:i4>
      </vt:variant>
      <vt:variant>
        <vt:i4>0</vt:i4>
      </vt:variant>
      <vt:variant>
        <vt:i4>5</vt:i4>
      </vt:variant>
      <vt:variant>
        <vt:lpwstr/>
      </vt:variant>
      <vt:variant>
        <vt:lpwstr>_Toc152862765</vt:lpwstr>
      </vt:variant>
      <vt:variant>
        <vt:i4>1966130</vt:i4>
      </vt:variant>
      <vt:variant>
        <vt:i4>1040</vt:i4>
      </vt:variant>
      <vt:variant>
        <vt:i4>0</vt:i4>
      </vt:variant>
      <vt:variant>
        <vt:i4>5</vt:i4>
      </vt:variant>
      <vt:variant>
        <vt:lpwstr/>
      </vt:variant>
      <vt:variant>
        <vt:lpwstr>_Toc152862764</vt:lpwstr>
      </vt:variant>
      <vt:variant>
        <vt:i4>1966130</vt:i4>
      </vt:variant>
      <vt:variant>
        <vt:i4>1034</vt:i4>
      </vt:variant>
      <vt:variant>
        <vt:i4>0</vt:i4>
      </vt:variant>
      <vt:variant>
        <vt:i4>5</vt:i4>
      </vt:variant>
      <vt:variant>
        <vt:lpwstr/>
      </vt:variant>
      <vt:variant>
        <vt:lpwstr>_Toc152862763</vt:lpwstr>
      </vt:variant>
      <vt:variant>
        <vt:i4>1966130</vt:i4>
      </vt:variant>
      <vt:variant>
        <vt:i4>1028</vt:i4>
      </vt:variant>
      <vt:variant>
        <vt:i4>0</vt:i4>
      </vt:variant>
      <vt:variant>
        <vt:i4>5</vt:i4>
      </vt:variant>
      <vt:variant>
        <vt:lpwstr/>
      </vt:variant>
      <vt:variant>
        <vt:lpwstr>_Toc152862762</vt:lpwstr>
      </vt:variant>
      <vt:variant>
        <vt:i4>1966130</vt:i4>
      </vt:variant>
      <vt:variant>
        <vt:i4>1022</vt:i4>
      </vt:variant>
      <vt:variant>
        <vt:i4>0</vt:i4>
      </vt:variant>
      <vt:variant>
        <vt:i4>5</vt:i4>
      </vt:variant>
      <vt:variant>
        <vt:lpwstr/>
      </vt:variant>
      <vt:variant>
        <vt:lpwstr>_Toc152862761</vt:lpwstr>
      </vt:variant>
      <vt:variant>
        <vt:i4>1966130</vt:i4>
      </vt:variant>
      <vt:variant>
        <vt:i4>1016</vt:i4>
      </vt:variant>
      <vt:variant>
        <vt:i4>0</vt:i4>
      </vt:variant>
      <vt:variant>
        <vt:i4>5</vt:i4>
      </vt:variant>
      <vt:variant>
        <vt:lpwstr/>
      </vt:variant>
      <vt:variant>
        <vt:lpwstr>_Toc152862760</vt:lpwstr>
      </vt:variant>
      <vt:variant>
        <vt:i4>1900594</vt:i4>
      </vt:variant>
      <vt:variant>
        <vt:i4>1010</vt:i4>
      </vt:variant>
      <vt:variant>
        <vt:i4>0</vt:i4>
      </vt:variant>
      <vt:variant>
        <vt:i4>5</vt:i4>
      </vt:variant>
      <vt:variant>
        <vt:lpwstr/>
      </vt:variant>
      <vt:variant>
        <vt:lpwstr>_Toc152862759</vt:lpwstr>
      </vt:variant>
      <vt:variant>
        <vt:i4>1900594</vt:i4>
      </vt:variant>
      <vt:variant>
        <vt:i4>1004</vt:i4>
      </vt:variant>
      <vt:variant>
        <vt:i4>0</vt:i4>
      </vt:variant>
      <vt:variant>
        <vt:i4>5</vt:i4>
      </vt:variant>
      <vt:variant>
        <vt:lpwstr/>
      </vt:variant>
      <vt:variant>
        <vt:lpwstr>_Toc152862758</vt:lpwstr>
      </vt:variant>
      <vt:variant>
        <vt:i4>1900594</vt:i4>
      </vt:variant>
      <vt:variant>
        <vt:i4>998</vt:i4>
      </vt:variant>
      <vt:variant>
        <vt:i4>0</vt:i4>
      </vt:variant>
      <vt:variant>
        <vt:i4>5</vt:i4>
      </vt:variant>
      <vt:variant>
        <vt:lpwstr/>
      </vt:variant>
      <vt:variant>
        <vt:lpwstr>_Toc152862757</vt:lpwstr>
      </vt:variant>
      <vt:variant>
        <vt:i4>1900594</vt:i4>
      </vt:variant>
      <vt:variant>
        <vt:i4>992</vt:i4>
      </vt:variant>
      <vt:variant>
        <vt:i4>0</vt:i4>
      </vt:variant>
      <vt:variant>
        <vt:i4>5</vt:i4>
      </vt:variant>
      <vt:variant>
        <vt:lpwstr/>
      </vt:variant>
      <vt:variant>
        <vt:lpwstr>_Toc152862756</vt:lpwstr>
      </vt:variant>
      <vt:variant>
        <vt:i4>1900594</vt:i4>
      </vt:variant>
      <vt:variant>
        <vt:i4>986</vt:i4>
      </vt:variant>
      <vt:variant>
        <vt:i4>0</vt:i4>
      </vt:variant>
      <vt:variant>
        <vt:i4>5</vt:i4>
      </vt:variant>
      <vt:variant>
        <vt:lpwstr/>
      </vt:variant>
      <vt:variant>
        <vt:lpwstr>_Toc152862755</vt:lpwstr>
      </vt:variant>
      <vt:variant>
        <vt:i4>1900594</vt:i4>
      </vt:variant>
      <vt:variant>
        <vt:i4>980</vt:i4>
      </vt:variant>
      <vt:variant>
        <vt:i4>0</vt:i4>
      </vt:variant>
      <vt:variant>
        <vt:i4>5</vt:i4>
      </vt:variant>
      <vt:variant>
        <vt:lpwstr/>
      </vt:variant>
      <vt:variant>
        <vt:lpwstr>_Toc152862754</vt:lpwstr>
      </vt:variant>
      <vt:variant>
        <vt:i4>1900594</vt:i4>
      </vt:variant>
      <vt:variant>
        <vt:i4>974</vt:i4>
      </vt:variant>
      <vt:variant>
        <vt:i4>0</vt:i4>
      </vt:variant>
      <vt:variant>
        <vt:i4>5</vt:i4>
      </vt:variant>
      <vt:variant>
        <vt:lpwstr/>
      </vt:variant>
      <vt:variant>
        <vt:lpwstr>_Toc152862753</vt:lpwstr>
      </vt:variant>
      <vt:variant>
        <vt:i4>1900594</vt:i4>
      </vt:variant>
      <vt:variant>
        <vt:i4>968</vt:i4>
      </vt:variant>
      <vt:variant>
        <vt:i4>0</vt:i4>
      </vt:variant>
      <vt:variant>
        <vt:i4>5</vt:i4>
      </vt:variant>
      <vt:variant>
        <vt:lpwstr/>
      </vt:variant>
      <vt:variant>
        <vt:lpwstr>_Toc152862752</vt:lpwstr>
      </vt:variant>
      <vt:variant>
        <vt:i4>1900594</vt:i4>
      </vt:variant>
      <vt:variant>
        <vt:i4>962</vt:i4>
      </vt:variant>
      <vt:variant>
        <vt:i4>0</vt:i4>
      </vt:variant>
      <vt:variant>
        <vt:i4>5</vt:i4>
      </vt:variant>
      <vt:variant>
        <vt:lpwstr/>
      </vt:variant>
      <vt:variant>
        <vt:lpwstr>_Toc152862751</vt:lpwstr>
      </vt:variant>
      <vt:variant>
        <vt:i4>1900594</vt:i4>
      </vt:variant>
      <vt:variant>
        <vt:i4>956</vt:i4>
      </vt:variant>
      <vt:variant>
        <vt:i4>0</vt:i4>
      </vt:variant>
      <vt:variant>
        <vt:i4>5</vt:i4>
      </vt:variant>
      <vt:variant>
        <vt:lpwstr/>
      </vt:variant>
      <vt:variant>
        <vt:lpwstr>_Toc152862750</vt:lpwstr>
      </vt:variant>
      <vt:variant>
        <vt:i4>1835058</vt:i4>
      </vt:variant>
      <vt:variant>
        <vt:i4>950</vt:i4>
      </vt:variant>
      <vt:variant>
        <vt:i4>0</vt:i4>
      </vt:variant>
      <vt:variant>
        <vt:i4>5</vt:i4>
      </vt:variant>
      <vt:variant>
        <vt:lpwstr/>
      </vt:variant>
      <vt:variant>
        <vt:lpwstr>_Toc152862749</vt:lpwstr>
      </vt:variant>
      <vt:variant>
        <vt:i4>1835058</vt:i4>
      </vt:variant>
      <vt:variant>
        <vt:i4>944</vt:i4>
      </vt:variant>
      <vt:variant>
        <vt:i4>0</vt:i4>
      </vt:variant>
      <vt:variant>
        <vt:i4>5</vt:i4>
      </vt:variant>
      <vt:variant>
        <vt:lpwstr/>
      </vt:variant>
      <vt:variant>
        <vt:lpwstr>_Toc152862748</vt:lpwstr>
      </vt:variant>
      <vt:variant>
        <vt:i4>1835058</vt:i4>
      </vt:variant>
      <vt:variant>
        <vt:i4>938</vt:i4>
      </vt:variant>
      <vt:variant>
        <vt:i4>0</vt:i4>
      </vt:variant>
      <vt:variant>
        <vt:i4>5</vt:i4>
      </vt:variant>
      <vt:variant>
        <vt:lpwstr/>
      </vt:variant>
      <vt:variant>
        <vt:lpwstr>_Toc152862747</vt:lpwstr>
      </vt:variant>
      <vt:variant>
        <vt:i4>1835058</vt:i4>
      </vt:variant>
      <vt:variant>
        <vt:i4>932</vt:i4>
      </vt:variant>
      <vt:variant>
        <vt:i4>0</vt:i4>
      </vt:variant>
      <vt:variant>
        <vt:i4>5</vt:i4>
      </vt:variant>
      <vt:variant>
        <vt:lpwstr/>
      </vt:variant>
      <vt:variant>
        <vt:lpwstr>_Toc152862746</vt:lpwstr>
      </vt:variant>
      <vt:variant>
        <vt:i4>1835058</vt:i4>
      </vt:variant>
      <vt:variant>
        <vt:i4>926</vt:i4>
      </vt:variant>
      <vt:variant>
        <vt:i4>0</vt:i4>
      </vt:variant>
      <vt:variant>
        <vt:i4>5</vt:i4>
      </vt:variant>
      <vt:variant>
        <vt:lpwstr/>
      </vt:variant>
      <vt:variant>
        <vt:lpwstr>_Toc152862745</vt:lpwstr>
      </vt:variant>
      <vt:variant>
        <vt:i4>1835058</vt:i4>
      </vt:variant>
      <vt:variant>
        <vt:i4>920</vt:i4>
      </vt:variant>
      <vt:variant>
        <vt:i4>0</vt:i4>
      </vt:variant>
      <vt:variant>
        <vt:i4>5</vt:i4>
      </vt:variant>
      <vt:variant>
        <vt:lpwstr/>
      </vt:variant>
      <vt:variant>
        <vt:lpwstr>_Toc152862744</vt:lpwstr>
      </vt:variant>
      <vt:variant>
        <vt:i4>1835058</vt:i4>
      </vt:variant>
      <vt:variant>
        <vt:i4>914</vt:i4>
      </vt:variant>
      <vt:variant>
        <vt:i4>0</vt:i4>
      </vt:variant>
      <vt:variant>
        <vt:i4>5</vt:i4>
      </vt:variant>
      <vt:variant>
        <vt:lpwstr/>
      </vt:variant>
      <vt:variant>
        <vt:lpwstr>_Toc152862743</vt:lpwstr>
      </vt:variant>
      <vt:variant>
        <vt:i4>1835058</vt:i4>
      </vt:variant>
      <vt:variant>
        <vt:i4>908</vt:i4>
      </vt:variant>
      <vt:variant>
        <vt:i4>0</vt:i4>
      </vt:variant>
      <vt:variant>
        <vt:i4>5</vt:i4>
      </vt:variant>
      <vt:variant>
        <vt:lpwstr/>
      </vt:variant>
      <vt:variant>
        <vt:lpwstr>_Toc152862742</vt:lpwstr>
      </vt:variant>
      <vt:variant>
        <vt:i4>1835058</vt:i4>
      </vt:variant>
      <vt:variant>
        <vt:i4>902</vt:i4>
      </vt:variant>
      <vt:variant>
        <vt:i4>0</vt:i4>
      </vt:variant>
      <vt:variant>
        <vt:i4>5</vt:i4>
      </vt:variant>
      <vt:variant>
        <vt:lpwstr/>
      </vt:variant>
      <vt:variant>
        <vt:lpwstr>_Toc152862741</vt:lpwstr>
      </vt:variant>
      <vt:variant>
        <vt:i4>1835058</vt:i4>
      </vt:variant>
      <vt:variant>
        <vt:i4>896</vt:i4>
      </vt:variant>
      <vt:variant>
        <vt:i4>0</vt:i4>
      </vt:variant>
      <vt:variant>
        <vt:i4>5</vt:i4>
      </vt:variant>
      <vt:variant>
        <vt:lpwstr/>
      </vt:variant>
      <vt:variant>
        <vt:lpwstr>_Toc152862740</vt:lpwstr>
      </vt:variant>
      <vt:variant>
        <vt:i4>1769522</vt:i4>
      </vt:variant>
      <vt:variant>
        <vt:i4>890</vt:i4>
      </vt:variant>
      <vt:variant>
        <vt:i4>0</vt:i4>
      </vt:variant>
      <vt:variant>
        <vt:i4>5</vt:i4>
      </vt:variant>
      <vt:variant>
        <vt:lpwstr/>
      </vt:variant>
      <vt:variant>
        <vt:lpwstr>_Toc152862739</vt:lpwstr>
      </vt:variant>
      <vt:variant>
        <vt:i4>1769522</vt:i4>
      </vt:variant>
      <vt:variant>
        <vt:i4>884</vt:i4>
      </vt:variant>
      <vt:variant>
        <vt:i4>0</vt:i4>
      </vt:variant>
      <vt:variant>
        <vt:i4>5</vt:i4>
      </vt:variant>
      <vt:variant>
        <vt:lpwstr/>
      </vt:variant>
      <vt:variant>
        <vt:lpwstr>_Toc152862738</vt:lpwstr>
      </vt:variant>
      <vt:variant>
        <vt:i4>1769522</vt:i4>
      </vt:variant>
      <vt:variant>
        <vt:i4>878</vt:i4>
      </vt:variant>
      <vt:variant>
        <vt:i4>0</vt:i4>
      </vt:variant>
      <vt:variant>
        <vt:i4>5</vt:i4>
      </vt:variant>
      <vt:variant>
        <vt:lpwstr/>
      </vt:variant>
      <vt:variant>
        <vt:lpwstr>_Toc152862737</vt:lpwstr>
      </vt:variant>
      <vt:variant>
        <vt:i4>1769522</vt:i4>
      </vt:variant>
      <vt:variant>
        <vt:i4>872</vt:i4>
      </vt:variant>
      <vt:variant>
        <vt:i4>0</vt:i4>
      </vt:variant>
      <vt:variant>
        <vt:i4>5</vt:i4>
      </vt:variant>
      <vt:variant>
        <vt:lpwstr/>
      </vt:variant>
      <vt:variant>
        <vt:lpwstr>_Toc152862736</vt:lpwstr>
      </vt:variant>
      <vt:variant>
        <vt:i4>1769522</vt:i4>
      </vt:variant>
      <vt:variant>
        <vt:i4>866</vt:i4>
      </vt:variant>
      <vt:variant>
        <vt:i4>0</vt:i4>
      </vt:variant>
      <vt:variant>
        <vt:i4>5</vt:i4>
      </vt:variant>
      <vt:variant>
        <vt:lpwstr/>
      </vt:variant>
      <vt:variant>
        <vt:lpwstr>_Toc152862735</vt:lpwstr>
      </vt:variant>
      <vt:variant>
        <vt:i4>1769522</vt:i4>
      </vt:variant>
      <vt:variant>
        <vt:i4>860</vt:i4>
      </vt:variant>
      <vt:variant>
        <vt:i4>0</vt:i4>
      </vt:variant>
      <vt:variant>
        <vt:i4>5</vt:i4>
      </vt:variant>
      <vt:variant>
        <vt:lpwstr/>
      </vt:variant>
      <vt:variant>
        <vt:lpwstr>_Toc152862734</vt:lpwstr>
      </vt:variant>
      <vt:variant>
        <vt:i4>1769522</vt:i4>
      </vt:variant>
      <vt:variant>
        <vt:i4>854</vt:i4>
      </vt:variant>
      <vt:variant>
        <vt:i4>0</vt:i4>
      </vt:variant>
      <vt:variant>
        <vt:i4>5</vt:i4>
      </vt:variant>
      <vt:variant>
        <vt:lpwstr/>
      </vt:variant>
      <vt:variant>
        <vt:lpwstr>_Toc152862733</vt:lpwstr>
      </vt:variant>
      <vt:variant>
        <vt:i4>1769522</vt:i4>
      </vt:variant>
      <vt:variant>
        <vt:i4>848</vt:i4>
      </vt:variant>
      <vt:variant>
        <vt:i4>0</vt:i4>
      </vt:variant>
      <vt:variant>
        <vt:i4>5</vt:i4>
      </vt:variant>
      <vt:variant>
        <vt:lpwstr/>
      </vt:variant>
      <vt:variant>
        <vt:lpwstr>_Toc152862732</vt:lpwstr>
      </vt:variant>
      <vt:variant>
        <vt:i4>1769522</vt:i4>
      </vt:variant>
      <vt:variant>
        <vt:i4>842</vt:i4>
      </vt:variant>
      <vt:variant>
        <vt:i4>0</vt:i4>
      </vt:variant>
      <vt:variant>
        <vt:i4>5</vt:i4>
      </vt:variant>
      <vt:variant>
        <vt:lpwstr/>
      </vt:variant>
      <vt:variant>
        <vt:lpwstr>_Toc152862731</vt:lpwstr>
      </vt:variant>
      <vt:variant>
        <vt:i4>1769522</vt:i4>
      </vt:variant>
      <vt:variant>
        <vt:i4>836</vt:i4>
      </vt:variant>
      <vt:variant>
        <vt:i4>0</vt:i4>
      </vt:variant>
      <vt:variant>
        <vt:i4>5</vt:i4>
      </vt:variant>
      <vt:variant>
        <vt:lpwstr/>
      </vt:variant>
      <vt:variant>
        <vt:lpwstr>_Toc152862730</vt:lpwstr>
      </vt:variant>
      <vt:variant>
        <vt:i4>1703986</vt:i4>
      </vt:variant>
      <vt:variant>
        <vt:i4>830</vt:i4>
      </vt:variant>
      <vt:variant>
        <vt:i4>0</vt:i4>
      </vt:variant>
      <vt:variant>
        <vt:i4>5</vt:i4>
      </vt:variant>
      <vt:variant>
        <vt:lpwstr/>
      </vt:variant>
      <vt:variant>
        <vt:lpwstr>_Toc152862729</vt:lpwstr>
      </vt:variant>
      <vt:variant>
        <vt:i4>1703986</vt:i4>
      </vt:variant>
      <vt:variant>
        <vt:i4>824</vt:i4>
      </vt:variant>
      <vt:variant>
        <vt:i4>0</vt:i4>
      </vt:variant>
      <vt:variant>
        <vt:i4>5</vt:i4>
      </vt:variant>
      <vt:variant>
        <vt:lpwstr/>
      </vt:variant>
      <vt:variant>
        <vt:lpwstr>_Toc152862728</vt:lpwstr>
      </vt:variant>
      <vt:variant>
        <vt:i4>1703986</vt:i4>
      </vt:variant>
      <vt:variant>
        <vt:i4>818</vt:i4>
      </vt:variant>
      <vt:variant>
        <vt:i4>0</vt:i4>
      </vt:variant>
      <vt:variant>
        <vt:i4>5</vt:i4>
      </vt:variant>
      <vt:variant>
        <vt:lpwstr/>
      </vt:variant>
      <vt:variant>
        <vt:lpwstr>_Toc152862727</vt:lpwstr>
      </vt:variant>
      <vt:variant>
        <vt:i4>1703986</vt:i4>
      </vt:variant>
      <vt:variant>
        <vt:i4>812</vt:i4>
      </vt:variant>
      <vt:variant>
        <vt:i4>0</vt:i4>
      </vt:variant>
      <vt:variant>
        <vt:i4>5</vt:i4>
      </vt:variant>
      <vt:variant>
        <vt:lpwstr/>
      </vt:variant>
      <vt:variant>
        <vt:lpwstr>_Toc152862726</vt:lpwstr>
      </vt:variant>
      <vt:variant>
        <vt:i4>1703986</vt:i4>
      </vt:variant>
      <vt:variant>
        <vt:i4>806</vt:i4>
      </vt:variant>
      <vt:variant>
        <vt:i4>0</vt:i4>
      </vt:variant>
      <vt:variant>
        <vt:i4>5</vt:i4>
      </vt:variant>
      <vt:variant>
        <vt:lpwstr/>
      </vt:variant>
      <vt:variant>
        <vt:lpwstr>_Toc152862725</vt:lpwstr>
      </vt:variant>
      <vt:variant>
        <vt:i4>1703986</vt:i4>
      </vt:variant>
      <vt:variant>
        <vt:i4>800</vt:i4>
      </vt:variant>
      <vt:variant>
        <vt:i4>0</vt:i4>
      </vt:variant>
      <vt:variant>
        <vt:i4>5</vt:i4>
      </vt:variant>
      <vt:variant>
        <vt:lpwstr/>
      </vt:variant>
      <vt:variant>
        <vt:lpwstr>_Toc152862724</vt:lpwstr>
      </vt:variant>
      <vt:variant>
        <vt:i4>1703986</vt:i4>
      </vt:variant>
      <vt:variant>
        <vt:i4>794</vt:i4>
      </vt:variant>
      <vt:variant>
        <vt:i4>0</vt:i4>
      </vt:variant>
      <vt:variant>
        <vt:i4>5</vt:i4>
      </vt:variant>
      <vt:variant>
        <vt:lpwstr/>
      </vt:variant>
      <vt:variant>
        <vt:lpwstr>_Toc152862723</vt:lpwstr>
      </vt:variant>
      <vt:variant>
        <vt:i4>1703986</vt:i4>
      </vt:variant>
      <vt:variant>
        <vt:i4>788</vt:i4>
      </vt:variant>
      <vt:variant>
        <vt:i4>0</vt:i4>
      </vt:variant>
      <vt:variant>
        <vt:i4>5</vt:i4>
      </vt:variant>
      <vt:variant>
        <vt:lpwstr/>
      </vt:variant>
      <vt:variant>
        <vt:lpwstr>_Toc152862722</vt:lpwstr>
      </vt:variant>
      <vt:variant>
        <vt:i4>1703986</vt:i4>
      </vt:variant>
      <vt:variant>
        <vt:i4>782</vt:i4>
      </vt:variant>
      <vt:variant>
        <vt:i4>0</vt:i4>
      </vt:variant>
      <vt:variant>
        <vt:i4>5</vt:i4>
      </vt:variant>
      <vt:variant>
        <vt:lpwstr/>
      </vt:variant>
      <vt:variant>
        <vt:lpwstr>_Toc152862721</vt:lpwstr>
      </vt:variant>
      <vt:variant>
        <vt:i4>1703986</vt:i4>
      </vt:variant>
      <vt:variant>
        <vt:i4>776</vt:i4>
      </vt:variant>
      <vt:variant>
        <vt:i4>0</vt:i4>
      </vt:variant>
      <vt:variant>
        <vt:i4>5</vt:i4>
      </vt:variant>
      <vt:variant>
        <vt:lpwstr/>
      </vt:variant>
      <vt:variant>
        <vt:lpwstr>_Toc152862720</vt:lpwstr>
      </vt:variant>
      <vt:variant>
        <vt:i4>1638450</vt:i4>
      </vt:variant>
      <vt:variant>
        <vt:i4>770</vt:i4>
      </vt:variant>
      <vt:variant>
        <vt:i4>0</vt:i4>
      </vt:variant>
      <vt:variant>
        <vt:i4>5</vt:i4>
      </vt:variant>
      <vt:variant>
        <vt:lpwstr/>
      </vt:variant>
      <vt:variant>
        <vt:lpwstr>_Toc152862719</vt:lpwstr>
      </vt:variant>
      <vt:variant>
        <vt:i4>1638450</vt:i4>
      </vt:variant>
      <vt:variant>
        <vt:i4>764</vt:i4>
      </vt:variant>
      <vt:variant>
        <vt:i4>0</vt:i4>
      </vt:variant>
      <vt:variant>
        <vt:i4>5</vt:i4>
      </vt:variant>
      <vt:variant>
        <vt:lpwstr/>
      </vt:variant>
      <vt:variant>
        <vt:lpwstr>_Toc152862718</vt:lpwstr>
      </vt:variant>
      <vt:variant>
        <vt:i4>1638450</vt:i4>
      </vt:variant>
      <vt:variant>
        <vt:i4>758</vt:i4>
      </vt:variant>
      <vt:variant>
        <vt:i4>0</vt:i4>
      </vt:variant>
      <vt:variant>
        <vt:i4>5</vt:i4>
      </vt:variant>
      <vt:variant>
        <vt:lpwstr/>
      </vt:variant>
      <vt:variant>
        <vt:lpwstr>_Toc152862717</vt:lpwstr>
      </vt:variant>
      <vt:variant>
        <vt:i4>1638450</vt:i4>
      </vt:variant>
      <vt:variant>
        <vt:i4>752</vt:i4>
      </vt:variant>
      <vt:variant>
        <vt:i4>0</vt:i4>
      </vt:variant>
      <vt:variant>
        <vt:i4>5</vt:i4>
      </vt:variant>
      <vt:variant>
        <vt:lpwstr/>
      </vt:variant>
      <vt:variant>
        <vt:lpwstr>_Toc152862716</vt:lpwstr>
      </vt:variant>
      <vt:variant>
        <vt:i4>1638450</vt:i4>
      </vt:variant>
      <vt:variant>
        <vt:i4>746</vt:i4>
      </vt:variant>
      <vt:variant>
        <vt:i4>0</vt:i4>
      </vt:variant>
      <vt:variant>
        <vt:i4>5</vt:i4>
      </vt:variant>
      <vt:variant>
        <vt:lpwstr/>
      </vt:variant>
      <vt:variant>
        <vt:lpwstr>_Toc152862715</vt:lpwstr>
      </vt:variant>
      <vt:variant>
        <vt:i4>1638450</vt:i4>
      </vt:variant>
      <vt:variant>
        <vt:i4>740</vt:i4>
      </vt:variant>
      <vt:variant>
        <vt:i4>0</vt:i4>
      </vt:variant>
      <vt:variant>
        <vt:i4>5</vt:i4>
      </vt:variant>
      <vt:variant>
        <vt:lpwstr/>
      </vt:variant>
      <vt:variant>
        <vt:lpwstr>_Toc152862714</vt:lpwstr>
      </vt:variant>
      <vt:variant>
        <vt:i4>1638450</vt:i4>
      </vt:variant>
      <vt:variant>
        <vt:i4>734</vt:i4>
      </vt:variant>
      <vt:variant>
        <vt:i4>0</vt:i4>
      </vt:variant>
      <vt:variant>
        <vt:i4>5</vt:i4>
      </vt:variant>
      <vt:variant>
        <vt:lpwstr/>
      </vt:variant>
      <vt:variant>
        <vt:lpwstr>_Toc152862713</vt:lpwstr>
      </vt:variant>
      <vt:variant>
        <vt:i4>1638450</vt:i4>
      </vt:variant>
      <vt:variant>
        <vt:i4>728</vt:i4>
      </vt:variant>
      <vt:variant>
        <vt:i4>0</vt:i4>
      </vt:variant>
      <vt:variant>
        <vt:i4>5</vt:i4>
      </vt:variant>
      <vt:variant>
        <vt:lpwstr/>
      </vt:variant>
      <vt:variant>
        <vt:lpwstr>_Toc152862712</vt:lpwstr>
      </vt:variant>
      <vt:variant>
        <vt:i4>1638450</vt:i4>
      </vt:variant>
      <vt:variant>
        <vt:i4>722</vt:i4>
      </vt:variant>
      <vt:variant>
        <vt:i4>0</vt:i4>
      </vt:variant>
      <vt:variant>
        <vt:i4>5</vt:i4>
      </vt:variant>
      <vt:variant>
        <vt:lpwstr/>
      </vt:variant>
      <vt:variant>
        <vt:lpwstr>_Toc152862711</vt:lpwstr>
      </vt:variant>
      <vt:variant>
        <vt:i4>1638450</vt:i4>
      </vt:variant>
      <vt:variant>
        <vt:i4>716</vt:i4>
      </vt:variant>
      <vt:variant>
        <vt:i4>0</vt:i4>
      </vt:variant>
      <vt:variant>
        <vt:i4>5</vt:i4>
      </vt:variant>
      <vt:variant>
        <vt:lpwstr/>
      </vt:variant>
      <vt:variant>
        <vt:lpwstr>_Toc152862710</vt:lpwstr>
      </vt:variant>
      <vt:variant>
        <vt:i4>1572914</vt:i4>
      </vt:variant>
      <vt:variant>
        <vt:i4>710</vt:i4>
      </vt:variant>
      <vt:variant>
        <vt:i4>0</vt:i4>
      </vt:variant>
      <vt:variant>
        <vt:i4>5</vt:i4>
      </vt:variant>
      <vt:variant>
        <vt:lpwstr/>
      </vt:variant>
      <vt:variant>
        <vt:lpwstr>_Toc152862709</vt:lpwstr>
      </vt:variant>
      <vt:variant>
        <vt:i4>1572914</vt:i4>
      </vt:variant>
      <vt:variant>
        <vt:i4>704</vt:i4>
      </vt:variant>
      <vt:variant>
        <vt:i4>0</vt:i4>
      </vt:variant>
      <vt:variant>
        <vt:i4>5</vt:i4>
      </vt:variant>
      <vt:variant>
        <vt:lpwstr/>
      </vt:variant>
      <vt:variant>
        <vt:lpwstr>_Toc152862708</vt:lpwstr>
      </vt:variant>
      <vt:variant>
        <vt:i4>1572914</vt:i4>
      </vt:variant>
      <vt:variant>
        <vt:i4>698</vt:i4>
      </vt:variant>
      <vt:variant>
        <vt:i4>0</vt:i4>
      </vt:variant>
      <vt:variant>
        <vt:i4>5</vt:i4>
      </vt:variant>
      <vt:variant>
        <vt:lpwstr/>
      </vt:variant>
      <vt:variant>
        <vt:lpwstr>_Toc152862707</vt:lpwstr>
      </vt:variant>
      <vt:variant>
        <vt:i4>1572914</vt:i4>
      </vt:variant>
      <vt:variant>
        <vt:i4>692</vt:i4>
      </vt:variant>
      <vt:variant>
        <vt:i4>0</vt:i4>
      </vt:variant>
      <vt:variant>
        <vt:i4>5</vt:i4>
      </vt:variant>
      <vt:variant>
        <vt:lpwstr/>
      </vt:variant>
      <vt:variant>
        <vt:lpwstr>_Toc152862706</vt:lpwstr>
      </vt:variant>
      <vt:variant>
        <vt:i4>1572914</vt:i4>
      </vt:variant>
      <vt:variant>
        <vt:i4>686</vt:i4>
      </vt:variant>
      <vt:variant>
        <vt:i4>0</vt:i4>
      </vt:variant>
      <vt:variant>
        <vt:i4>5</vt:i4>
      </vt:variant>
      <vt:variant>
        <vt:lpwstr/>
      </vt:variant>
      <vt:variant>
        <vt:lpwstr>_Toc152862705</vt:lpwstr>
      </vt:variant>
      <vt:variant>
        <vt:i4>1572914</vt:i4>
      </vt:variant>
      <vt:variant>
        <vt:i4>680</vt:i4>
      </vt:variant>
      <vt:variant>
        <vt:i4>0</vt:i4>
      </vt:variant>
      <vt:variant>
        <vt:i4>5</vt:i4>
      </vt:variant>
      <vt:variant>
        <vt:lpwstr/>
      </vt:variant>
      <vt:variant>
        <vt:lpwstr>_Toc152862704</vt:lpwstr>
      </vt:variant>
      <vt:variant>
        <vt:i4>1572914</vt:i4>
      </vt:variant>
      <vt:variant>
        <vt:i4>674</vt:i4>
      </vt:variant>
      <vt:variant>
        <vt:i4>0</vt:i4>
      </vt:variant>
      <vt:variant>
        <vt:i4>5</vt:i4>
      </vt:variant>
      <vt:variant>
        <vt:lpwstr/>
      </vt:variant>
      <vt:variant>
        <vt:lpwstr>_Toc152862703</vt:lpwstr>
      </vt:variant>
      <vt:variant>
        <vt:i4>1572914</vt:i4>
      </vt:variant>
      <vt:variant>
        <vt:i4>668</vt:i4>
      </vt:variant>
      <vt:variant>
        <vt:i4>0</vt:i4>
      </vt:variant>
      <vt:variant>
        <vt:i4>5</vt:i4>
      </vt:variant>
      <vt:variant>
        <vt:lpwstr/>
      </vt:variant>
      <vt:variant>
        <vt:lpwstr>_Toc152862702</vt:lpwstr>
      </vt:variant>
      <vt:variant>
        <vt:i4>1572914</vt:i4>
      </vt:variant>
      <vt:variant>
        <vt:i4>662</vt:i4>
      </vt:variant>
      <vt:variant>
        <vt:i4>0</vt:i4>
      </vt:variant>
      <vt:variant>
        <vt:i4>5</vt:i4>
      </vt:variant>
      <vt:variant>
        <vt:lpwstr/>
      </vt:variant>
      <vt:variant>
        <vt:lpwstr>_Toc152862701</vt:lpwstr>
      </vt:variant>
      <vt:variant>
        <vt:i4>1572914</vt:i4>
      </vt:variant>
      <vt:variant>
        <vt:i4>656</vt:i4>
      </vt:variant>
      <vt:variant>
        <vt:i4>0</vt:i4>
      </vt:variant>
      <vt:variant>
        <vt:i4>5</vt:i4>
      </vt:variant>
      <vt:variant>
        <vt:lpwstr/>
      </vt:variant>
      <vt:variant>
        <vt:lpwstr>_Toc152862700</vt:lpwstr>
      </vt:variant>
      <vt:variant>
        <vt:i4>1114163</vt:i4>
      </vt:variant>
      <vt:variant>
        <vt:i4>650</vt:i4>
      </vt:variant>
      <vt:variant>
        <vt:i4>0</vt:i4>
      </vt:variant>
      <vt:variant>
        <vt:i4>5</vt:i4>
      </vt:variant>
      <vt:variant>
        <vt:lpwstr/>
      </vt:variant>
      <vt:variant>
        <vt:lpwstr>_Toc152862699</vt:lpwstr>
      </vt:variant>
      <vt:variant>
        <vt:i4>1114163</vt:i4>
      </vt:variant>
      <vt:variant>
        <vt:i4>644</vt:i4>
      </vt:variant>
      <vt:variant>
        <vt:i4>0</vt:i4>
      </vt:variant>
      <vt:variant>
        <vt:i4>5</vt:i4>
      </vt:variant>
      <vt:variant>
        <vt:lpwstr/>
      </vt:variant>
      <vt:variant>
        <vt:lpwstr>_Toc152862698</vt:lpwstr>
      </vt:variant>
      <vt:variant>
        <vt:i4>1114163</vt:i4>
      </vt:variant>
      <vt:variant>
        <vt:i4>638</vt:i4>
      </vt:variant>
      <vt:variant>
        <vt:i4>0</vt:i4>
      </vt:variant>
      <vt:variant>
        <vt:i4>5</vt:i4>
      </vt:variant>
      <vt:variant>
        <vt:lpwstr/>
      </vt:variant>
      <vt:variant>
        <vt:lpwstr>_Toc152862697</vt:lpwstr>
      </vt:variant>
      <vt:variant>
        <vt:i4>1114163</vt:i4>
      </vt:variant>
      <vt:variant>
        <vt:i4>632</vt:i4>
      </vt:variant>
      <vt:variant>
        <vt:i4>0</vt:i4>
      </vt:variant>
      <vt:variant>
        <vt:i4>5</vt:i4>
      </vt:variant>
      <vt:variant>
        <vt:lpwstr/>
      </vt:variant>
      <vt:variant>
        <vt:lpwstr>_Toc152862696</vt:lpwstr>
      </vt:variant>
      <vt:variant>
        <vt:i4>1114163</vt:i4>
      </vt:variant>
      <vt:variant>
        <vt:i4>626</vt:i4>
      </vt:variant>
      <vt:variant>
        <vt:i4>0</vt:i4>
      </vt:variant>
      <vt:variant>
        <vt:i4>5</vt:i4>
      </vt:variant>
      <vt:variant>
        <vt:lpwstr/>
      </vt:variant>
      <vt:variant>
        <vt:lpwstr>_Toc152862695</vt:lpwstr>
      </vt:variant>
      <vt:variant>
        <vt:i4>1114163</vt:i4>
      </vt:variant>
      <vt:variant>
        <vt:i4>620</vt:i4>
      </vt:variant>
      <vt:variant>
        <vt:i4>0</vt:i4>
      </vt:variant>
      <vt:variant>
        <vt:i4>5</vt:i4>
      </vt:variant>
      <vt:variant>
        <vt:lpwstr/>
      </vt:variant>
      <vt:variant>
        <vt:lpwstr>_Toc152862694</vt:lpwstr>
      </vt:variant>
      <vt:variant>
        <vt:i4>1114163</vt:i4>
      </vt:variant>
      <vt:variant>
        <vt:i4>614</vt:i4>
      </vt:variant>
      <vt:variant>
        <vt:i4>0</vt:i4>
      </vt:variant>
      <vt:variant>
        <vt:i4>5</vt:i4>
      </vt:variant>
      <vt:variant>
        <vt:lpwstr/>
      </vt:variant>
      <vt:variant>
        <vt:lpwstr>_Toc152862693</vt:lpwstr>
      </vt:variant>
      <vt:variant>
        <vt:i4>1114163</vt:i4>
      </vt:variant>
      <vt:variant>
        <vt:i4>608</vt:i4>
      </vt:variant>
      <vt:variant>
        <vt:i4>0</vt:i4>
      </vt:variant>
      <vt:variant>
        <vt:i4>5</vt:i4>
      </vt:variant>
      <vt:variant>
        <vt:lpwstr/>
      </vt:variant>
      <vt:variant>
        <vt:lpwstr>_Toc152862692</vt:lpwstr>
      </vt:variant>
      <vt:variant>
        <vt:i4>1114163</vt:i4>
      </vt:variant>
      <vt:variant>
        <vt:i4>602</vt:i4>
      </vt:variant>
      <vt:variant>
        <vt:i4>0</vt:i4>
      </vt:variant>
      <vt:variant>
        <vt:i4>5</vt:i4>
      </vt:variant>
      <vt:variant>
        <vt:lpwstr/>
      </vt:variant>
      <vt:variant>
        <vt:lpwstr>_Toc152862691</vt:lpwstr>
      </vt:variant>
      <vt:variant>
        <vt:i4>1114163</vt:i4>
      </vt:variant>
      <vt:variant>
        <vt:i4>596</vt:i4>
      </vt:variant>
      <vt:variant>
        <vt:i4>0</vt:i4>
      </vt:variant>
      <vt:variant>
        <vt:i4>5</vt:i4>
      </vt:variant>
      <vt:variant>
        <vt:lpwstr/>
      </vt:variant>
      <vt:variant>
        <vt:lpwstr>_Toc152862690</vt:lpwstr>
      </vt:variant>
      <vt:variant>
        <vt:i4>1048627</vt:i4>
      </vt:variant>
      <vt:variant>
        <vt:i4>590</vt:i4>
      </vt:variant>
      <vt:variant>
        <vt:i4>0</vt:i4>
      </vt:variant>
      <vt:variant>
        <vt:i4>5</vt:i4>
      </vt:variant>
      <vt:variant>
        <vt:lpwstr/>
      </vt:variant>
      <vt:variant>
        <vt:lpwstr>_Toc152862689</vt:lpwstr>
      </vt:variant>
      <vt:variant>
        <vt:i4>1048627</vt:i4>
      </vt:variant>
      <vt:variant>
        <vt:i4>584</vt:i4>
      </vt:variant>
      <vt:variant>
        <vt:i4>0</vt:i4>
      </vt:variant>
      <vt:variant>
        <vt:i4>5</vt:i4>
      </vt:variant>
      <vt:variant>
        <vt:lpwstr/>
      </vt:variant>
      <vt:variant>
        <vt:lpwstr>_Toc152862688</vt:lpwstr>
      </vt:variant>
      <vt:variant>
        <vt:i4>1048627</vt:i4>
      </vt:variant>
      <vt:variant>
        <vt:i4>578</vt:i4>
      </vt:variant>
      <vt:variant>
        <vt:i4>0</vt:i4>
      </vt:variant>
      <vt:variant>
        <vt:i4>5</vt:i4>
      </vt:variant>
      <vt:variant>
        <vt:lpwstr/>
      </vt:variant>
      <vt:variant>
        <vt:lpwstr>_Toc152862687</vt:lpwstr>
      </vt:variant>
      <vt:variant>
        <vt:i4>1048627</vt:i4>
      </vt:variant>
      <vt:variant>
        <vt:i4>572</vt:i4>
      </vt:variant>
      <vt:variant>
        <vt:i4>0</vt:i4>
      </vt:variant>
      <vt:variant>
        <vt:i4>5</vt:i4>
      </vt:variant>
      <vt:variant>
        <vt:lpwstr/>
      </vt:variant>
      <vt:variant>
        <vt:lpwstr>_Toc152862686</vt:lpwstr>
      </vt:variant>
      <vt:variant>
        <vt:i4>1048627</vt:i4>
      </vt:variant>
      <vt:variant>
        <vt:i4>566</vt:i4>
      </vt:variant>
      <vt:variant>
        <vt:i4>0</vt:i4>
      </vt:variant>
      <vt:variant>
        <vt:i4>5</vt:i4>
      </vt:variant>
      <vt:variant>
        <vt:lpwstr/>
      </vt:variant>
      <vt:variant>
        <vt:lpwstr>_Toc152862685</vt:lpwstr>
      </vt:variant>
      <vt:variant>
        <vt:i4>1048627</vt:i4>
      </vt:variant>
      <vt:variant>
        <vt:i4>560</vt:i4>
      </vt:variant>
      <vt:variant>
        <vt:i4>0</vt:i4>
      </vt:variant>
      <vt:variant>
        <vt:i4>5</vt:i4>
      </vt:variant>
      <vt:variant>
        <vt:lpwstr/>
      </vt:variant>
      <vt:variant>
        <vt:lpwstr>_Toc152862684</vt:lpwstr>
      </vt:variant>
      <vt:variant>
        <vt:i4>1048627</vt:i4>
      </vt:variant>
      <vt:variant>
        <vt:i4>554</vt:i4>
      </vt:variant>
      <vt:variant>
        <vt:i4>0</vt:i4>
      </vt:variant>
      <vt:variant>
        <vt:i4>5</vt:i4>
      </vt:variant>
      <vt:variant>
        <vt:lpwstr/>
      </vt:variant>
      <vt:variant>
        <vt:lpwstr>_Toc152862683</vt:lpwstr>
      </vt:variant>
      <vt:variant>
        <vt:i4>1048627</vt:i4>
      </vt:variant>
      <vt:variant>
        <vt:i4>548</vt:i4>
      </vt:variant>
      <vt:variant>
        <vt:i4>0</vt:i4>
      </vt:variant>
      <vt:variant>
        <vt:i4>5</vt:i4>
      </vt:variant>
      <vt:variant>
        <vt:lpwstr/>
      </vt:variant>
      <vt:variant>
        <vt:lpwstr>_Toc152862682</vt:lpwstr>
      </vt:variant>
      <vt:variant>
        <vt:i4>1048627</vt:i4>
      </vt:variant>
      <vt:variant>
        <vt:i4>542</vt:i4>
      </vt:variant>
      <vt:variant>
        <vt:i4>0</vt:i4>
      </vt:variant>
      <vt:variant>
        <vt:i4>5</vt:i4>
      </vt:variant>
      <vt:variant>
        <vt:lpwstr/>
      </vt:variant>
      <vt:variant>
        <vt:lpwstr>_Toc152862681</vt:lpwstr>
      </vt:variant>
      <vt:variant>
        <vt:i4>1048627</vt:i4>
      </vt:variant>
      <vt:variant>
        <vt:i4>536</vt:i4>
      </vt:variant>
      <vt:variant>
        <vt:i4>0</vt:i4>
      </vt:variant>
      <vt:variant>
        <vt:i4>5</vt:i4>
      </vt:variant>
      <vt:variant>
        <vt:lpwstr/>
      </vt:variant>
      <vt:variant>
        <vt:lpwstr>_Toc152862680</vt:lpwstr>
      </vt:variant>
      <vt:variant>
        <vt:i4>2031667</vt:i4>
      </vt:variant>
      <vt:variant>
        <vt:i4>530</vt:i4>
      </vt:variant>
      <vt:variant>
        <vt:i4>0</vt:i4>
      </vt:variant>
      <vt:variant>
        <vt:i4>5</vt:i4>
      </vt:variant>
      <vt:variant>
        <vt:lpwstr/>
      </vt:variant>
      <vt:variant>
        <vt:lpwstr>_Toc152862679</vt:lpwstr>
      </vt:variant>
      <vt:variant>
        <vt:i4>2031667</vt:i4>
      </vt:variant>
      <vt:variant>
        <vt:i4>524</vt:i4>
      </vt:variant>
      <vt:variant>
        <vt:i4>0</vt:i4>
      </vt:variant>
      <vt:variant>
        <vt:i4>5</vt:i4>
      </vt:variant>
      <vt:variant>
        <vt:lpwstr/>
      </vt:variant>
      <vt:variant>
        <vt:lpwstr>_Toc152862678</vt:lpwstr>
      </vt:variant>
      <vt:variant>
        <vt:i4>2031667</vt:i4>
      </vt:variant>
      <vt:variant>
        <vt:i4>518</vt:i4>
      </vt:variant>
      <vt:variant>
        <vt:i4>0</vt:i4>
      </vt:variant>
      <vt:variant>
        <vt:i4>5</vt:i4>
      </vt:variant>
      <vt:variant>
        <vt:lpwstr/>
      </vt:variant>
      <vt:variant>
        <vt:lpwstr>_Toc152862677</vt:lpwstr>
      </vt:variant>
      <vt:variant>
        <vt:i4>2031667</vt:i4>
      </vt:variant>
      <vt:variant>
        <vt:i4>512</vt:i4>
      </vt:variant>
      <vt:variant>
        <vt:i4>0</vt:i4>
      </vt:variant>
      <vt:variant>
        <vt:i4>5</vt:i4>
      </vt:variant>
      <vt:variant>
        <vt:lpwstr/>
      </vt:variant>
      <vt:variant>
        <vt:lpwstr>_Toc152862676</vt:lpwstr>
      </vt:variant>
      <vt:variant>
        <vt:i4>2031667</vt:i4>
      </vt:variant>
      <vt:variant>
        <vt:i4>506</vt:i4>
      </vt:variant>
      <vt:variant>
        <vt:i4>0</vt:i4>
      </vt:variant>
      <vt:variant>
        <vt:i4>5</vt:i4>
      </vt:variant>
      <vt:variant>
        <vt:lpwstr/>
      </vt:variant>
      <vt:variant>
        <vt:lpwstr>_Toc152862675</vt:lpwstr>
      </vt:variant>
      <vt:variant>
        <vt:i4>2031667</vt:i4>
      </vt:variant>
      <vt:variant>
        <vt:i4>500</vt:i4>
      </vt:variant>
      <vt:variant>
        <vt:i4>0</vt:i4>
      </vt:variant>
      <vt:variant>
        <vt:i4>5</vt:i4>
      </vt:variant>
      <vt:variant>
        <vt:lpwstr/>
      </vt:variant>
      <vt:variant>
        <vt:lpwstr>_Toc152862674</vt:lpwstr>
      </vt:variant>
      <vt:variant>
        <vt:i4>2031667</vt:i4>
      </vt:variant>
      <vt:variant>
        <vt:i4>494</vt:i4>
      </vt:variant>
      <vt:variant>
        <vt:i4>0</vt:i4>
      </vt:variant>
      <vt:variant>
        <vt:i4>5</vt:i4>
      </vt:variant>
      <vt:variant>
        <vt:lpwstr/>
      </vt:variant>
      <vt:variant>
        <vt:lpwstr>_Toc152862673</vt:lpwstr>
      </vt:variant>
      <vt:variant>
        <vt:i4>2031667</vt:i4>
      </vt:variant>
      <vt:variant>
        <vt:i4>488</vt:i4>
      </vt:variant>
      <vt:variant>
        <vt:i4>0</vt:i4>
      </vt:variant>
      <vt:variant>
        <vt:i4>5</vt:i4>
      </vt:variant>
      <vt:variant>
        <vt:lpwstr/>
      </vt:variant>
      <vt:variant>
        <vt:lpwstr>_Toc152862672</vt:lpwstr>
      </vt:variant>
      <vt:variant>
        <vt:i4>2031667</vt:i4>
      </vt:variant>
      <vt:variant>
        <vt:i4>482</vt:i4>
      </vt:variant>
      <vt:variant>
        <vt:i4>0</vt:i4>
      </vt:variant>
      <vt:variant>
        <vt:i4>5</vt:i4>
      </vt:variant>
      <vt:variant>
        <vt:lpwstr/>
      </vt:variant>
      <vt:variant>
        <vt:lpwstr>_Toc152862671</vt:lpwstr>
      </vt:variant>
      <vt:variant>
        <vt:i4>2031667</vt:i4>
      </vt:variant>
      <vt:variant>
        <vt:i4>476</vt:i4>
      </vt:variant>
      <vt:variant>
        <vt:i4>0</vt:i4>
      </vt:variant>
      <vt:variant>
        <vt:i4>5</vt:i4>
      </vt:variant>
      <vt:variant>
        <vt:lpwstr/>
      </vt:variant>
      <vt:variant>
        <vt:lpwstr>_Toc152862670</vt:lpwstr>
      </vt:variant>
      <vt:variant>
        <vt:i4>1966131</vt:i4>
      </vt:variant>
      <vt:variant>
        <vt:i4>470</vt:i4>
      </vt:variant>
      <vt:variant>
        <vt:i4>0</vt:i4>
      </vt:variant>
      <vt:variant>
        <vt:i4>5</vt:i4>
      </vt:variant>
      <vt:variant>
        <vt:lpwstr/>
      </vt:variant>
      <vt:variant>
        <vt:lpwstr>_Toc152862669</vt:lpwstr>
      </vt:variant>
      <vt:variant>
        <vt:i4>1966131</vt:i4>
      </vt:variant>
      <vt:variant>
        <vt:i4>464</vt:i4>
      </vt:variant>
      <vt:variant>
        <vt:i4>0</vt:i4>
      </vt:variant>
      <vt:variant>
        <vt:i4>5</vt:i4>
      </vt:variant>
      <vt:variant>
        <vt:lpwstr/>
      </vt:variant>
      <vt:variant>
        <vt:lpwstr>_Toc152862668</vt:lpwstr>
      </vt:variant>
      <vt:variant>
        <vt:i4>1966131</vt:i4>
      </vt:variant>
      <vt:variant>
        <vt:i4>458</vt:i4>
      </vt:variant>
      <vt:variant>
        <vt:i4>0</vt:i4>
      </vt:variant>
      <vt:variant>
        <vt:i4>5</vt:i4>
      </vt:variant>
      <vt:variant>
        <vt:lpwstr/>
      </vt:variant>
      <vt:variant>
        <vt:lpwstr>_Toc152862667</vt:lpwstr>
      </vt:variant>
      <vt:variant>
        <vt:i4>1966131</vt:i4>
      </vt:variant>
      <vt:variant>
        <vt:i4>452</vt:i4>
      </vt:variant>
      <vt:variant>
        <vt:i4>0</vt:i4>
      </vt:variant>
      <vt:variant>
        <vt:i4>5</vt:i4>
      </vt:variant>
      <vt:variant>
        <vt:lpwstr/>
      </vt:variant>
      <vt:variant>
        <vt:lpwstr>_Toc152862666</vt:lpwstr>
      </vt:variant>
      <vt:variant>
        <vt:i4>1966131</vt:i4>
      </vt:variant>
      <vt:variant>
        <vt:i4>446</vt:i4>
      </vt:variant>
      <vt:variant>
        <vt:i4>0</vt:i4>
      </vt:variant>
      <vt:variant>
        <vt:i4>5</vt:i4>
      </vt:variant>
      <vt:variant>
        <vt:lpwstr/>
      </vt:variant>
      <vt:variant>
        <vt:lpwstr>_Toc152862665</vt:lpwstr>
      </vt:variant>
      <vt:variant>
        <vt:i4>1966131</vt:i4>
      </vt:variant>
      <vt:variant>
        <vt:i4>440</vt:i4>
      </vt:variant>
      <vt:variant>
        <vt:i4>0</vt:i4>
      </vt:variant>
      <vt:variant>
        <vt:i4>5</vt:i4>
      </vt:variant>
      <vt:variant>
        <vt:lpwstr/>
      </vt:variant>
      <vt:variant>
        <vt:lpwstr>_Toc152862664</vt:lpwstr>
      </vt:variant>
      <vt:variant>
        <vt:i4>1966131</vt:i4>
      </vt:variant>
      <vt:variant>
        <vt:i4>434</vt:i4>
      </vt:variant>
      <vt:variant>
        <vt:i4>0</vt:i4>
      </vt:variant>
      <vt:variant>
        <vt:i4>5</vt:i4>
      </vt:variant>
      <vt:variant>
        <vt:lpwstr/>
      </vt:variant>
      <vt:variant>
        <vt:lpwstr>_Toc152862663</vt:lpwstr>
      </vt:variant>
      <vt:variant>
        <vt:i4>1966131</vt:i4>
      </vt:variant>
      <vt:variant>
        <vt:i4>428</vt:i4>
      </vt:variant>
      <vt:variant>
        <vt:i4>0</vt:i4>
      </vt:variant>
      <vt:variant>
        <vt:i4>5</vt:i4>
      </vt:variant>
      <vt:variant>
        <vt:lpwstr/>
      </vt:variant>
      <vt:variant>
        <vt:lpwstr>_Toc152862662</vt:lpwstr>
      </vt:variant>
      <vt:variant>
        <vt:i4>1966131</vt:i4>
      </vt:variant>
      <vt:variant>
        <vt:i4>422</vt:i4>
      </vt:variant>
      <vt:variant>
        <vt:i4>0</vt:i4>
      </vt:variant>
      <vt:variant>
        <vt:i4>5</vt:i4>
      </vt:variant>
      <vt:variant>
        <vt:lpwstr/>
      </vt:variant>
      <vt:variant>
        <vt:lpwstr>_Toc152862661</vt:lpwstr>
      </vt:variant>
      <vt:variant>
        <vt:i4>1966131</vt:i4>
      </vt:variant>
      <vt:variant>
        <vt:i4>416</vt:i4>
      </vt:variant>
      <vt:variant>
        <vt:i4>0</vt:i4>
      </vt:variant>
      <vt:variant>
        <vt:i4>5</vt:i4>
      </vt:variant>
      <vt:variant>
        <vt:lpwstr/>
      </vt:variant>
      <vt:variant>
        <vt:lpwstr>_Toc152862660</vt:lpwstr>
      </vt:variant>
      <vt:variant>
        <vt:i4>1900595</vt:i4>
      </vt:variant>
      <vt:variant>
        <vt:i4>410</vt:i4>
      </vt:variant>
      <vt:variant>
        <vt:i4>0</vt:i4>
      </vt:variant>
      <vt:variant>
        <vt:i4>5</vt:i4>
      </vt:variant>
      <vt:variant>
        <vt:lpwstr/>
      </vt:variant>
      <vt:variant>
        <vt:lpwstr>_Toc152862659</vt:lpwstr>
      </vt:variant>
      <vt:variant>
        <vt:i4>1900595</vt:i4>
      </vt:variant>
      <vt:variant>
        <vt:i4>404</vt:i4>
      </vt:variant>
      <vt:variant>
        <vt:i4>0</vt:i4>
      </vt:variant>
      <vt:variant>
        <vt:i4>5</vt:i4>
      </vt:variant>
      <vt:variant>
        <vt:lpwstr/>
      </vt:variant>
      <vt:variant>
        <vt:lpwstr>_Toc152862658</vt:lpwstr>
      </vt:variant>
      <vt:variant>
        <vt:i4>1900595</vt:i4>
      </vt:variant>
      <vt:variant>
        <vt:i4>398</vt:i4>
      </vt:variant>
      <vt:variant>
        <vt:i4>0</vt:i4>
      </vt:variant>
      <vt:variant>
        <vt:i4>5</vt:i4>
      </vt:variant>
      <vt:variant>
        <vt:lpwstr/>
      </vt:variant>
      <vt:variant>
        <vt:lpwstr>_Toc152862657</vt:lpwstr>
      </vt:variant>
      <vt:variant>
        <vt:i4>1900595</vt:i4>
      </vt:variant>
      <vt:variant>
        <vt:i4>392</vt:i4>
      </vt:variant>
      <vt:variant>
        <vt:i4>0</vt:i4>
      </vt:variant>
      <vt:variant>
        <vt:i4>5</vt:i4>
      </vt:variant>
      <vt:variant>
        <vt:lpwstr/>
      </vt:variant>
      <vt:variant>
        <vt:lpwstr>_Toc152862656</vt:lpwstr>
      </vt:variant>
      <vt:variant>
        <vt:i4>1900595</vt:i4>
      </vt:variant>
      <vt:variant>
        <vt:i4>386</vt:i4>
      </vt:variant>
      <vt:variant>
        <vt:i4>0</vt:i4>
      </vt:variant>
      <vt:variant>
        <vt:i4>5</vt:i4>
      </vt:variant>
      <vt:variant>
        <vt:lpwstr/>
      </vt:variant>
      <vt:variant>
        <vt:lpwstr>_Toc152862655</vt:lpwstr>
      </vt:variant>
      <vt:variant>
        <vt:i4>1900595</vt:i4>
      </vt:variant>
      <vt:variant>
        <vt:i4>380</vt:i4>
      </vt:variant>
      <vt:variant>
        <vt:i4>0</vt:i4>
      </vt:variant>
      <vt:variant>
        <vt:i4>5</vt:i4>
      </vt:variant>
      <vt:variant>
        <vt:lpwstr/>
      </vt:variant>
      <vt:variant>
        <vt:lpwstr>_Toc152862654</vt:lpwstr>
      </vt:variant>
      <vt:variant>
        <vt:i4>1900595</vt:i4>
      </vt:variant>
      <vt:variant>
        <vt:i4>374</vt:i4>
      </vt:variant>
      <vt:variant>
        <vt:i4>0</vt:i4>
      </vt:variant>
      <vt:variant>
        <vt:i4>5</vt:i4>
      </vt:variant>
      <vt:variant>
        <vt:lpwstr/>
      </vt:variant>
      <vt:variant>
        <vt:lpwstr>_Toc152862653</vt:lpwstr>
      </vt:variant>
      <vt:variant>
        <vt:i4>1900595</vt:i4>
      </vt:variant>
      <vt:variant>
        <vt:i4>368</vt:i4>
      </vt:variant>
      <vt:variant>
        <vt:i4>0</vt:i4>
      </vt:variant>
      <vt:variant>
        <vt:i4>5</vt:i4>
      </vt:variant>
      <vt:variant>
        <vt:lpwstr/>
      </vt:variant>
      <vt:variant>
        <vt:lpwstr>_Toc152862652</vt:lpwstr>
      </vt:variant>
      <vt:variant>
        <vt:i4>1900595</vt:i4>
      </vt:variant>
      <vt:variant>
        <vt:i4>362</vt:i4>
      </vt:variant>
      <vt:variant>
        <vt:i4>0</vt:i4>
      </vt:variant>
      <vt:variant>
        <vt:i4>5</vt:i4>
      </vt:variant>
      <vt:variant>
        <vt:lpwstr/>
      </vt:variant>
      <vt:variant>
        <vt:lpwstr>_Toc152862651</vt:lpwstr>
      </vt:variant>
      <vt:variant>
        <vt:i4>1900595</vt:i4>
      </vt:variant>
      <vt:variant>
        <vt:i4>356</vt:i4>
      </vt:variant>
      <vt:variant>
        <vt:i4>0</vt:i4>
      </vt:variant>
      <vt:variant>
        <vt:i4>5</vt:i4>
      </vt:variant>
      <vt:variant>
        <vt:lpwstr/>
      </vt:variant>
      <vt:variant>
        <vt:lpwstr>_Toc152862650</vt:lpwstr>
      </vt:variant>
      <vt:variant>
        <vt:i4>1835059</vt:i4>
      </vt:variant>
      <vt:variant>
        <vt:i4>350</vt:i4>
      </vt:variant>
      <vt:variant>
        <vt:i4>0</vt:i4>
      </vt:variant>
      <vt:variant>
        <vt:i4>5</vt:i4>
      </vt:variant>
      <vt:variant>
        <vt:lpwstr/>
      </vt:variant>
      <vt:variant>
        <vt:lpwstr>_Toc152862649</vt:lpwstr>
      </vt:variant>
      <vt:variant>
        <vt:i4>1835059</vt:i4>
      </vt:variant>
      <vt:variant>
        <vt:i4>344</vt:i4>
      </vt:variant>
      <vt:variant>
        <vt:i4>0</vt:i4>
      </vt:variant>
      <vt:variant>
        <vt:i4>5</vt:i4>
      </vt:variant>
      <vt:variant>
        <vt:lpwstr/>
      </vt:variant>
      <vt:variant>
        <vt:lpwstr>_Toc152862648</vt:lpwstr>
      </vt:variant>
      <vt:variant>
        <vt:i4>1835059</vt:i4>
      </vt:variant>
      <vt:variant>
        <vt:i4>338</vt:i4>
      </vt:variant>
      <vt:variant>
        <vt:i4>0</vt:i4>
      </vt:variant>
      <vt:variant>
        <vt:i4>5</vt:i4>
      </vt:variant>
      <vt:variant>
        <vt:lpwstr/>
      </vt:variant>
      <vt:variant>
        <vt:lpwstr>_Toc152862647</vt:lpwstr>
      </vt:variant>
      <vt:variant>
        <vt:i4>1835059</vt:i4>
      </vt:variant>
      <vt:variant>
        <vt:i4>332</vt:i4>
      </vt:variant>
      <vt:variant>
        <vt:i4>0</vt:i4>
      </vt:variant>
      <vt:variant>
        <vt:i4>5</vt:i4>
      </vt:variant>
      <vt:variant>
        <vt:lpwstr/>
      </vt:variant>
      <vt:variant>
        <vt:lpwstr>_Toc152862646</vt:lpwstr>
      </vt:variant>
      <vt:variant>
        <vt:i4>1835059</vt:i4>
      </vt:variant>
      <vt:variant>
        <vt:i4>326</vt:i4>
      </vt:variant>
      <vt:variant>
        <vt:i4>0</vt:i4>
      </vt:variant>
      <vt:variant>
        <vt:i4>5</vt:i4>
      </vt:variant>
      <vt:variant>
        <vt:lpwstr/>
      </vt:variant>
      <vt:variant>
        <vt:lpwstr>_Toc152862645</vt:lpwstr>
      </vt:variant>
      <vt:variant>
        <vt:i4>1835059</vt:i4>
      </vt:variant>
      <vt:variant>
        <vt:i4>320</vt:i4>
      </vt:variant>
      <vt:variant>
        <vt:i4>0</vt:i4>
      </vt:variant>
      <vt:variant>
        <vt:i4>5</vt:i4>
      </vt:variant>
      <vt:variant>
        <vt:lpwstr/>
      </vt:variant>
      <vt:variant>
        <vt:lpwstr>_Toc152862644</vt:lpwstr>
      </vt:variant>
      <vt:variant>
        <vt:i4>1835059</vt:i4>
      </vt:variant>
      <vt:variant>
        <vt:i4>314</vt:i4>
      </vt:variant>
      <vt:variant>
        <vt:i4>0</vt:i4>
      </vt:variant>
      <vt:variant>
        <vt:i4>5</vt:i4>
      </vt:variant>
      <vt:variant>
        <vt:lpwstr/>
      </vt:variant>
      <vt:variant>
        <vt:lpwstr>_Toc152862643</vt:lpwstr>
      </vt:variant>
      <vt:variant>
        <vt:i4>1835059</vt:i4>
      </vt:variant>
      <vt:variant>
        <vt:i4>308</vt:i4>
      </vt:variant>
      <vt:variant>
        <vt:i4>0</vt:i4>
      </vt:variant>
      <vt:variant>
        <vt:i4>5</vt:i4>
      </vt:variant>
      <vt:variant>
        <vt:lpwstr/>
      </vt:variant>
      <vt:variant>
        <vt:lpwstr>_Toc152862642</vt:lpwstr>
      </vt:variant>
      <vt:variant>
        <vt:i4>1835059</vt:i4>
      </vt:variant>
      <vt:variant>
        <vt:i4>302</vt:i4>
      </vt:variant>
      <vt:variant>
        <vt:i4>0</vt:i4>
      </vt:variant>
      <vt:variant>
        <vt:i4>5</vt:i4>
      </vt:variant>
      <vt:variant>
        <vt:lpwstr/>
      </vt:variant>
      <vt:variant>
        <vt:lpwstr>_Toc152862641</vt:lpwstr>
      </vt:variant>
      <vt:variant>
        <vt:i4>1835059</vt:i4>
      </vt:variant>
      <vt:variant>
        <vt:i4>296</vt:i4>
      </vt:variant>
      <vt:variant>
        <vt:i4>0</vt:i4>
      </vt:variant>
      <vt:variant>
        <vt:i4>5</vt:i4>
      </vt:variant>
      <vt:variant>
        <vt:lpwstr/>
      </vt:variant>
      <vt:variant>
        <vt:lpwstr>_Toc152862640</vt:lpwstr>
      </vt:variant>
      <vt:variant>
        <vt:i4>1769523</vt:i4>
      </vt:variant>
      <vt:variant>
        <vt:i4>290</vt:i4>
      </vt:variant>
      <vt:variant>
        <vt:i4>0</vt:i4>
      </vt:variant>
      <vt:variant>
        <vt:i4>5</vt:i4>
      </vt:variant>
      <vt:variant>
        <vt:lpwstr/>
      </vt:variant>
      <vt:variant>
        <vt:lpwstr>_Toc152862639</vt:lpwstr>
      </vt:variant>
      <vt:variant>
        <vt:i4>1769523</vt:i4>
      </vt:variant>
      <vt:variant>
        <vt:i4>284</vt:i4>
      </vt:variant>
      <vt:variant>
        <vt:i4>0</vt:i4>
      </vt:variant>
      <vt:variant>
        <vt:i4>5</vt:i4>
      </vt:variant>
      <vt:variant>
        <vt:lpwstr/>
      </vt:variant>
      <vt:variant>
        <vt:lpwstr>_Toc152862638</vt:lpwstr>
      </vt:variant>
      <vt:variant>
        <vt:i4>1769523</vt:i4>
      </vt:variant>
      <vt:variant>
        <vt:i4>278</vt:i4>
      </vt:variant>
      <vt:variant>
        <vt:i4>0</vt:i4>
      </vt:variant>
      <vt:variant>
        <vt:i4>5</vt:i4>
      </vt:variant>
      <vt:variant>
        <vt:lpwstr/>
      </vt:variant>
      <vt:variant>
        <vt:lpwstr>_Toc152862637</vt:lpwstr>
      </vt:variant>
      <vt:variant>
        <vt:i4>1769523</vt:i4>
      </vt:variant>
      <vt:variant>
        <vt:i4>272</vt:i4>
      </vt:variant>
      <vt:variant>
        <vt:i4>0</vt:i4>
      </vt:variant>
      <vt:variant>
        <vt:i4>5</vt:i4>
      </vt:variant>
      <vt:variant>
        <vt:lpwstr/>
      </vt:variant>
      <vt:variant>
        <vt:lpwstr>_Toc152862636</vt:lpwstr>
      </vt:variant>
      <vt:variant>
        <vt:i4>1769523</vt:i4>
      </vt:variant>
      <vt:variant>
        <vt:i4>266</vt:i4>
      </vt:variant>
      <vt:variant>
        <vt:i4>0</vt:i4>
      </vt:variant>
      <vt:variant>
        <vt:i4>5</vt:i4>
      </vt:variant>
      <vt:variant>
        <vt:lpwstr/>
      </vt:variant>
      <vt:variant>
        <vt:lpwstr>_Toc152862635</vt:lpwstr>
      </vt:variant>
      <vt:variant>
        <vt:i4>1769523</vt:i4>
      </vt:variant>
      <vt:variant>
        <vt:i4>260</vt:i4>
      </vt:variant>
      <vt:variant>
        <vt:i4>0</vt:i4>
      </vt:variant>
      <vt:variant>
        <vt:i4>5</vt:i4>
      </vt:variant>
      <vt:variant>
        <vt:lpwstr/>
      </vt:variant>
      <vt:variant>
        <vt:lpwstr>_Toc152862634</vt:lpwstr>
      </vt:variant>
      <vt:variant>
        <vt:i4>1769523</vt:i4>
      </vt:variant>
      <vt:variant>
        <vt:i4>254</vt:i4>
      </vt:variant>
      <vt:variant>
        <vt:i4>0</vt:i4>
      </vt:variant>
      <vt:variant>
        <vt:i4>5</vt:i4>
      </vt:variant>
      <vt:variant>
        <vt:lpwstr/>
      </vt:variant>
      <vt:variant>
        <vt:lpwstr>_Toc152862633</vt:lpwstr>
      </vt:variant>
      <vt:variant>
        <vt:i4>1769523</vt:i4>
      </vt:variant>
      <vt:variant>
        <vt:i4>248</vt:i4>
      </vt:variant>
      <vt:variant>
        <vt:i4>0</vt:i4>
      </vt:variant>
      <vt:variant>
        <vt:i4>5</vt:i4>
      </vt:variant>
      <vt:variant>
        <vt:lpwstr/>
      </vt:variant>
      <vt:variant>
        <vt:lpwstr>_Toc152862632</vt:lpwstr>
      </vt:variant>
      <vt:variant>
        <vt:i4>1769523</vt:i4>
      </vt:variant>
      <vt:variant>
        <vt:i4>242</vt:i4>
      </vt:variant>
      <vt:variant>
        <vt:i4>0</vt:i4>
      </vt:variant>
      <vt:variant>
        <vt:i4>5</vt:i4>
      </vt:variant>
      <vt:variant>
        <vt:lpwstr/>
      </vt:variant>
      <vt:variant>
        <vt:lpwstr>_Toc152862631</vt:lpwstr>
      </vt:variant>
      <vt:variant>
        <vt:i4>1769523</vt:i4>
      </vt:variant>
      <vt:variant>
        <vt:i4>236</vt:i4>
      </vt:variant>
      <vt:variant>
        <vt:i4>0</vt:i4>
      </vt:variant>
      <vt:variant>
        <vt:i4>5</vt:i4>
      </vt:variant>
      <vt:variant>
        <vt:lpwstr/>
      </vt:variant>
      <vt:variant>
        <vt:lpwstr>_Toc152862630</vt:lpwstr>
      </vt:variant>
      <vt:variant>
        <vt:i4>1703987</vt:i4>
      </vt:variant>
      <vt:variant>
        <vt:i4>230</vt:i4>
      </vt:variant>
      <vt:variant>
        <vt:i4>0</vt:i4>
      </vt:variant>
      <vt:variant>
        <vt:i4>5</vt:i4>
      </vt:variant>
      <vt:variant>
        <vt:lpwstr/>
      </vt:variant>
      <vt:variant>
        <vt:lpwstr>_Toc152862629</vt:lpwstr>
      </vt:variant>
      <vt:variant>
        <vt:i4>1703987</vt:i4>
      </vt:variant>
      <vt:variant>
        <vt:i4>224</vt:i4>
      </vt:variant>
      <vt:variant>
        <vt:i4>0</vt:i4>
      </vt:variant>
      <vt:variant>
        <vt:i4>5</vt:i4>
      </vt:variant>
      <vt:variant>
        <vt:lpwstr/>
      </vt:variant>
      <vt:variant>
        <vt:lpwstr>_Toc152862628</vt:lpwstr>
      </vt:variant>
      <vt:variant>
        <vt:i4>1703987</vt:i4>
      </vt:variant>
      <vt:variant>
        <vt:i4>218</vt:i4>
      </vt:variant>
      <vt:variant>
        <vt:i4>0</vt:i4>
      </vt:variant>
      <vt:variant>
        <vt:i4>5</vt:i4>
      </vt:variant>
      <vt:variant>
        <vt:lpwstr/>
      </vt:variant>
      <vt:variant>
        <vt:lpwstr>_Toc152862627</vt:lpwstr>
      </vt:variant>
      <vt:variant>
        <vt:i4>1703987</vt:i4>
      </vt:variant>
      <vt:variant>
        <vt:i4>212</vt:i4>
      </vt:variant>
      <vt:variant>
        <vt:i4>0</vt:i4>
      </vt:variant>
      <vt:variant>
        <vt:i4>5</vt:i4>
      </vt:variant>
      <vt:variant>
        <vt:lpwstr/>
      </vt:variant>
      <vt:variant>
        <vt:lpwstr>_Toc152862626</vt:lpwstr>
      </vt:variant>
      <vt:variant>
        <vt:i4>1703987</vt:i4>
      </vt:variant>
      <vt:variant>
        <vt:i4>206</vt:i4>
      </vt:variant>
      <vt:variant>
        <vt:i4>0</vt:i4>
      </vt:variant>
      <vt:variant>
        <vt:i4>5</vt:i4>
      </vt:variant>
      <vt:variant>
        <vt:lpwstr/>
      </vt:variant>
      <vt:variant>
        <vt:lpwstr>_Toc152862625</vt:lpwstr>
      </vt:variant>
      <vt:variant>
        <vt:i4>1703987</vt:i4>
      </vt:variant>
      <vt:variant>
        <vt:i4>200</vt:i4>
      </vt:variant>
      <vt:variant>
        <vt:i4>0</vt:i4>
      </vt:variant>
      <vt:variant>
        <vt:i4>5</vt:i4>
      </vt:variant>
      <vt:variant>
        <vt:lpwstr/>
      </vt:variant>
      <vt:variant>
        <vt:lpwstr>_Toc152862624</vt:lpwstr>
      </vt:variant>
      <vt:variant>
        <vt:i4>1703987</vt:i4>
      </vt:variant>
      <vt:variant>
        <vt:i4>194</vt:i4>
      </vt:variant>
      <vt:variant>
        <vt:i4>0</vt:i4>
      </vt:variant>
      <vt:variant>
        <vt:i4>5</vt:i4>
      </vt:variant>
      <vt:variant>
        <vt:lpwstr/>
      </vt:variant>
      <vt:variant>
        <vt:lpwstr>_Toc152862623</vt:lpwstr>
      </vt:variant>
      <vt:variant>
        <vt:i4>1703987</vt:i4>
      </vt:variant>
      <vt:variant>
        <vt:i4>188</vt:i4>
      </vt:variant>
      <vt:variant>
        <vt:i4>0</vt:i4>
      </vt:variant>
      <vt:variant>
        <vt:i4>5</vt:i4>
      </vt:variant>
      <vt:variant>
        <vt:lpwstr/>
      </vt:variant>
      <vt:variant>
        <vt:lpwstr>_Toc152862622</vt:lpwstr>
      </vt:variant>
      <vt:variant>
        <vt:i4>1703987</vt:i4>
      </vt:variant>
      <vt:variant>
        <vt:i4>182</vt:i4>
      </vt:variant>
      <vt:variant>
        <vt:i4>0</vt:i4>
      </vt:variant>
      <vt:variant>
        <vt:i4>5</vt:i4>
      </vt:variant>
      <vt:variant>
        <vt:lpwstr/>
      </vt:variant>
      <vt:variant>
        <vt:lpwstr>_Toc152862621</vt:lpwstr>
      </vt:variant>
      <vt:variant>
        <vt:i4>1703987</vt:i4>
      </vt:variant>
      <vt:variant>
        <vt:i4>176</vt:i4>
      </vt:variant>
      <vt:variant>
        <vt:i4>0</vt:i4>
      </vt:variant>
      <vt:variant>
        <vt:i4>5</vt:i4>
      </vt:variant>
      <vt:variant>
        <vt:lpwstr/>
      </vt:variant>
      <vt:variant>
        <vt:lpwstr>_Toc152862620</vt:lpwstr>
      </vt:variant>
      <vt:variant>
        <vt:i4>1638451</vt:i4>
      </vt:variant>
      <vt:variant>
        <vt:i4>170</vt:i4>
      </vt:variant>
      <vt:variant>
        <vt:i4>0</vt:i4>
      </vt:variant>
      <vt:variant>
        <vt:i4>5</vt:i4>
      </vt:variant>
      <vt:variant>
        <vt:lpwstr/>
      </vt:variant>
      <vt:variant>
        <vt:lpwstr>_Toc152862619</vt:lpwstr>
      </vt:variant>
      <vt:variant>
        <vt:i4>1638451</vt:i4>
      </vt:variant>
      <vt:variant>
        <vt:i4>164</vt:i4>
      </vt:variant>
      <vt:variant>
        <vt:i4>0</vt:i4>
      </vt:variant>
      <vt:variant>
        <vt:i4>5</vt:i4>
      </vt:variant>
      <vt:variant>
        <vt:lpwstr/>
      </vt:variant>
      <vt:variant>
        <vt:lpwstr>_Toc152862618</vt:lpwstr>
      </vt:variant>
      <vt:variant>
        <vt:i4>1638451</vt:i4>
      </vt:variant>
      <vt:variant>
        <vt:i4>158</vt:i4>
      </vt:variant>
      <vt:variant>
        <vt:i4>0</vt:i4>
      </vt:variant>
      <vt:variant>
        <vt:i4>5</vt:i4>
      </vt:variant>
      <vt:variant>
        <vt:lpwstr/>
      </vt:variant>
      <vt:variant>
        <vt:lpwstr>_Toc152862617</vt:lpwstr>
      </vt:variant>
      <vt:variant>
        <vt:i4>1638451</vt:i4>
      </vt:variant>
      <vt:variant>
        <vt:i4>152</vt:i4>
      </vt:variant>
      <vt:variant>
        <vt:i4>0</vt:i4>
      </vt:variant>
      <vt:variant>
        <vt:i4>5</vt:i4>
      </vt:variant>
      <vt:variant>
        <vt:lpwstr/>
      </vt:variant>
      <vt:variant>
        <vt:lpwstr>_Toc152862616</vt:lpwstr>
      </vt:variant>
      <vt:variant>
        <vt:i4>1638451</vt:i4>
      </vt:variant>
      <vt:variant>
        <vt:i4>146</vt:i4>
      </vt:variant>
      <vt:variant>
        <vt:i4>0</vt:i4>
      </vt:variant>
      <vt:variant>
        <vt:i4>5</vt:i4>
      </vt:variant>
      <vt:variant>
        <vt:lpwstr/>
      </vt:variant>
      <vt:variant>
        <vt:lpwstr>_Toc152862615</vt:lpwstr>
      </vt:variant>
      <vt:variant>
        <vt:i4>1638451</vt:i4>
      </vt:variant>
      <vt:variant>
        <vt:i4>140</vt:i4>
      </vt:variant>
      <vt:variant>
        <vt:i4>0</vt:i4>
      </vt:variant>
      <vt:variant>
        <vt:i4>5</vt:i4>
      </vt:variant>
      <vt:variant>
        <vt:lpwstr/>
      </vt:variant>
      <vt:variant>
        <vt:lpwstr>_Toc152862614</vt:lpwstr>
      </vt:variant>
      <vt:variant>
        <vt:i4>1638451</vt:i4>
      </vt:variant>
      <vt:variant>
        <vt:i4>134</vt:i4>
      </vt:variant>
      <vt:variant>
        <vt:i4>0</vt:i4>
      </vt:variant>
      <vt:variant>
        <vt:i4>5</vt:i4>
      </vt:variant>
      <vt:variant>
        <vt:lpwstr/>
      </vt:variant>
      <vt:variant>
        <vt:lpwstr>_Toc152862613</vt:lpwstr>
      </vt:variant>
      <vt:variant>
        <vt:i4>1638451</vt:i4>
      </vt:variant>
      <vt:variant>
        <vt:i4>128</vt:i4>
      </vt:variant>
      <vt:variant>
        <vt:i4>0</vt:i4>
      </vt:variant>
      <vt:variant>
        <vt:i4>5</vt:i4>
      </vt:variant>
      <vt:variant>
        <vt:lpwstr/>
      </vt:variant>
      <vt:variant>
        <vt:lpwstr>_Toc152862612</vt:lpwstr>
      </vt:variant>
      <vt:variant>
        <vt:i4>1638451</vt:i4>
      </vt:variant>
      <vt:variant>
        <vt:i4>122</vt:i4>
      </vt:variant>
      <vt:variant>
        <vt:i4>0</vt:i4>
      </vt:variant>
      <vt:variant>
        <vt:i4>5</vt:i4>
      </vt:variant>
      <vt:variant>
        <vt:lpwstr/>
      </vt:variant>
      <vt:variant>
        <vt:lpwstr>_Toc152862611</vt:lpwstr>
      </vt:variant>
      <vt:variant>
        <vt:i4>1638451</vt:i4>
      </vt:variant>
      <vt:variant>
        <vt:i4>116</vt:i4>
      </vt:variant>
      <vt:variant>
        <vt:i4>0</vt:i4>
      </vt:variant>
      <vt:variant>
        <vt:i4>5</vt:i4>
      </vt:variant>
      <vt:variant>
        <vt:lpwstr/>
      </vt:variant>
      <vt:variant>
        <vt:lpwstr>_Toc152862610</vt:lpwstr>
      </vt:variant>
      <vt:variant>
        <vt:i4>1572915</vt:i4>
      </vt:variant>
      <vt:variant>
        <vt:i4>110</vt:i4>
      </vt:variant>
      <vt:variant>
        <vt:i4>0</vt:i4>
      </vt:variant>
      <vt:variant>
        <vt:i4>5</vt:i4>
      </vt:variant>
      <vt:variant>
        <vt:lpwstr/>
      </vt:variant>
      <vt:variant>
        <vt:lpwstr>_Toc152862609</vt:lpwstr>
      </vt:variant>
      <vt:variant>
        <vt:i4>1572915</vt:i4>
      </vt:variant>
      <vt:variant>
        <vt:i4>104</vt:i4>
      </vt:variant>
      <vt:variant>
        <vt:i4>0</vt:i4>
      </vt:variant>
      <vt:variant>
        <vt:i4>5</vt:i4>
      </vt:variant>
      <vt:variant>
        <vt:lpwstr/>
      </vt:variant>
      <vt:variant>
        <vt:lpwstr>_Toc152862608</vt:lpwstr>
      </vt:variant>
      <vt:variant>
        <vt:i4>1572915</vt:i4>
      </vt:variant>
      <vt:variant>
        <vt:i4>98</vt:i4>
      </vt:variant>
      <vt:variant>
        <vt:i4>0</vt:i4>
      </vt:variant>
      <vt:variant>
        <vt:i4>5</vt:i4>
      </vt:variant>
      <vt:variant>
        <vt:lpwstr/>
      </vt:variant>
      <vt:variant>
        <vt:lpwstr>_Toc152862607</vt:lpwstr>
      </vt:variant>
      <vt:variant>
        <vt:i4>1572915</vt:i4>
      </vt:variant>
      <vt:variant>
        <vt:i4>92</vt:i4>
      </vt:variant>
      <vt:variant>
        <vt:i4>0</vt:i4>
      </vt:variant>
      <vt:variant>
        <vt:i4>5</vt:i4>
      </vt:variant>
      <vt:variant>
        <vt:lpwstr/>
      </vt:variant>
      <vt:variant>
        <vt:lpwstr>_Toc152862606</vt:lpwstr>
      </vt:variant>
      <vt:variant>
        <vt:i4>1572915</vt:i4>
      </vt:variant>
      <vt:variant>
        <vt:i4>86</vt:i4>
      </vt:variant>
      <vt:variant>
        <vt:i4>0</vt:i4>
      </vt:variant>
      <vt:variant>
        <vt:i4>5</vt:i4>
      </vt:variant>
      <vt:variant>
        <vt:lpwstr/>
      </vt:variant>
      <vt:variant>
        <vt:lpwstr>_Toc152862605</vt:lpwstr>
      </vt:variant>
      <vt:variant>
        <vt:i4>1572915</vt:i4>
      </vt:variant>
      <vt:variant>
        <vt:i4>80</vt:i4>
      </vt:variant>
      <vt:variant>
        <vt:i4>0</vt:i4>
      </vt:variant>
      <vt:variant>
        <vt:i4>5</vt:i4>
      </vt:variant>
      <vt:variant>
        <vt:lpwstr/>
      </vt:variant>
      <vt:variant>
        <vt:lpwstr>_Toc152862604</vt:lpwstr>
      </vt:variant>
      <vt:variant>
        <vt:i4>1572915</vt:i4>
      </vt:variant>
      <vt:variant>
        <vt:i4>74</vt:i4>
      </vt:variant>
      <vt:variant>
        <vt:i4>0</vt:i4>
      </vt:variant>
      <vt:variant>
        <vt:i4>5</vt:i4>
      </vt:variant>
      <vt:variant>
        <vt:lpwstr/>
      </vt:variant>
      <vt:variant>
        <vt:lpwstr>_Toc152862603</vt:lpwstr>
      </vt:variant>
      <vt:variant>
        <vt:i4>1572915</vt:i4>
      </vt:variant>
      <vt:variant>
        <vt:i4>68</vt:i4>
      </vt:variant>
      <vt:variant>
        <vt:i4>0</vt:i4>
      </vt:variant>
      <vt:variant>
        <vt:i4>5</vt:i4>
      </vt:variant>
      <vt:variant>
        <vt:lpwstr/>
      </vt:variant>
      <vt:variant>
        <vt:lpwstr>_Toc152862602</vt:lpwstr>
      </vt:variant>
      <vt:variant>
        <vt:i4>1572915</vt:i4>
      </vt:variant>
      <vt:variant>
        <vt:i4>62</vt:i4>
      </vt:variant>
      <vt:variant>
        <vt:i4>0</vt:i4>
      </vt:variant>
      <vt:variant>
        <vt:i4>5</vt:i4>
      </vt:variant>
      <vt:variant>
        <vt:lpwstr/>
      </vt:variant>
      <vt:variant>
        <vt:lpwstr>_Toc152862601</vt:lpwstr>
      </vt:variant>
      <vt:variant>
        <vt:i4>1572915</vt:i4>
      </vt:variant>
      <vt:variant>
        <vt:i4>56</vt:i4>
      </vt:variant>
      <vt:variant>
        <vt:i4>0</vt:i4>
      </vt:variant>
      <vt:variant>
        <vt:i4>5</vt:i4>
      </vt:variant>
      <vt:variant>
        <vt:lpwstr/>
      </vt:variant>
      <vt:variant>
        <vt:lpwstr>_Toc152862600</vt:lpwstr>
      </vt:variant>
      <vt:variant>
        <vt:i4>1114160</vt:i4>
      </vt:variant>
      <vt:variant>
        <vt:i4>50</vt:i4>
      </vt:variant>
      <vt:variant>
        <vt:i4>0</vt:i4>
      </vt:variant>
      <vt:variant>
        <vt:i4>5</vt:i4>
      </vt:variant>
      <vt:variant>
        <vt:lpwstr/>
      </vt:variant>
      <vt:variant>
        <vt:lpwstr>_Toc152862599</vt:lpwstr>
      </vt:variant>
      <vt:variant>
        <vt:i4>1114160</vt:i4>
      </vt:variant>
      <vt:variant>
        <vt:i4>44</vt:i4>
      </vt:variant>
      <vt:variant>
        <vt:i4>0</vt:i4>
      </vt:variant>
      <vt:variant>
        <vt:i4>5</vt:i4>
      </vt:variant>
      <vt:variant>
        <vt:lpwstr/>
      </vt:variant>
      <vt:variant>
        <vt:lpwstr>_Toc152862598</vt:lpwstr>
      </vt:variant>
      <vt:variant>
        <vt:i4>1114160</vt:i4>
      </vt:variant>
      <vt:variant>
        <vt:i4>38</vt:i4>
      </vt:variant>
      <vt:variant>
        <vt:i4>0</vt:i4>
      </vt:variant>
      <vt:variant>
        <vt:i4>5</vt:i4>
      </vt:variant>
      <vt:variant>
        <vt:lpwstr/>
      </vt:variant>
      <vt:variant>
        <vt:lpwstr>_Toc152862597</vt:lpwstr>
      </vt:variant>
      <vt:variant>
        <vt:i4>1114160</vt:i4>
      </vt:variant>
      <vt:variant>
        <vt:i4>32</vt:i4>
      </vt:variant>
      <vt:variant>
        <vt:i4>0</vt:i4>
      </vt:variant>
      <vt:variant>
        <vt:i4>5</vt:i4>
      </vt:variant>
      <vt:variant>
        <vt:lpwstr/>
      </vt:variant>
      <vt:variant>
        <vt:lpwstr>_Toc152862596</vt:lpwstr>
      </vt:variant>
      <vt:variant>
        <vt:i4>1114160</vt:i4>
      </vt:variant>
      <vt:variant>
        <vt:i4>26</vt:i4>
      </vt:variant>
      <vt:variant>
        <vt:i4>0</vt:i4>
      </vt:variant>
      <vt:variant>
        <vt:i4>5</vt:i4>
      </vt:variant>
      <vt:variant>
        <vt:lpwstr/>
      </vt:variant>
      <vt:variant>
        <vt:lpwstr>_Toc152862595</vt:lpwstr>
      </vt:variant>
      <vt:variant>
        <vt:i4>1114160</vt:i4>
      </vt:variant>
      <vt:variant>
        <vt:i4>20</vt:i4>
      </vt:variant>
      <vt:variant>
        <vt:i4>0</vt:i4>
      </vt:variant>
      <vt:variant>
        <vt:i4>5</vt:i4>
      </vt:variant>
      <vt:variant>
        <vt:lpwstr/>
      </vt:variant>
      <vt:variant>
        <vt:lpwstr>_Toc152862594</vt:lpwstr>
      </vt:variant>
      <vt:variant>
        <vt:i4>1114160</vt:i4>
      </vt:variant>
      <vt:variant>
        <vt:i4>14</vt:i4>
      </vt:variant>
      <vt:variant>
        <vt:i4>0</vt:i4>
      </vt:variant>
      <vt:variant>
        <vt:i4>5</vt:i4>
      </vt:variant>
      <vt:variant>
        <vt:lpwstr/>
      </vt:variant>
      <vt:variant>
        <vt:lpwstr>_Toc152862593</vt:lpwstr>
      </vt:variant>
      <vt:variant>
        <vt:i4>1114160</vt:i4>
      </vt:variant>
      <vt:variant>
        <vt:i4>8</vt:i4>
      </vt:variant>
      <vt:variant>
        <vt:i4>0</vt:i4>
      </vt:variant>
      <vt:variant>
        <vt:i4>5</vt:i4>
      </vt:variant>
      <vt:variant>
        <vt:lpwstr/>
      </vt:variant>
      <vt:variant>
        <vt:lpwstr>_Toc152862592</vt:lpwstr>
      </vt:variant>
      <vt:variant>
        <vt:i4>1114160</vt:i4>
      </vt:variant>
      <vt:variant>
        <vt:i4>2</vt:i4>
      </vt:variant>
      <vt:variant>
        <vt:i4>0</vt:i4>
      </vt:variant>
      <vt:variant>
        <vt:i4>5</vt:i4>
      </vt:variant>
      <vt:variant>
        <vt:lpwstr/>
      </vt:variant>
      <vt:variant>
        <vt:lpwstr>_Toc152862591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2024-06-19T18:08:00Z</dcterms:created>
  <dcterms:modified xsi:type="dcterms:W3CDTF">2024-07-05T07:59:00Z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ies>
</file>