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 xml:space="preserve">X PIELIKUMS – Norādījumi informācijas atklāšanai par </w:t>
      </w:r>
      <w:proofErr w:type="spellStart"/>
      <w:r>
        <w:t>pretcikliskajām</w:t>
      </w:r>
      <w:proofErr w:type="spellEnd"/>
      <w:r>
        <w:t xml:space="preserve"> kapitāla rezervēm</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Veidne EU CCyB1 – </w:t>
      </w:r>
      <w:proofErr w:type="spellStart"/>
      <w:r>
        <w:rPr>
          <w:rFonts w:ascii="Times New Roman" w:hAnsi="Times New Roman"/>
          <w:b/>
          <w:sz w:val="24"/>
        </w:rPr>
        <w:t>Pretciklisko</w:t>
      </w:r>
      <w:proofErr w:type="spellEnd"/>
      <w:r>
        <w:rPr>
          <w:rFonts w:ascii="Times New Roman" w:hAnsi="Times New Roman"/>
          <w:b/>
          <w:sz w:val="24"/>
        </w:rPr>
        <w:t xml:space="preserve"> kapitāla rezervju aprēķināšanai nozīmīgo kredītriska darījumu ģeogrāfiskais sadalījums. </w:t>
      </w:r>
      <w:r>
        <w:rPr>
          <w:rFonts w:ascii="Times New Roman" w:hAnsi="Times New Roman"/>
          <w:sz w:val="24"/>
        </w:rPr>
        <w:t xml:space="preserve">Fiksēts formāts ailēm, elastīgs formāts rindām.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Iestādes atklāj Regulas (ES) Nr. 575/2013</w:t>
      </w:r>
      <w:r w:rsidRPr="007F4CC8">
        <w:rPr>
          <w:rStyle w:val="FootnoteReference"/>
        </w:rPr>
        <w:footnoteReference w:id="1"/>
      </w:r>
      <w:r>
        <w:rPr>
          <w:rFonts w:ascii="Times New Roman" w:hAnsi="Times New Roman"/>
          <w:sz w:val="24"/>
        </w:rPr>
        <w:t xml:space="preserve"> (“</w:t>
      </w:r>
      <w:r>
        <w:rPr>
          <w:rFonts w:ascii="Times New Roman" w:hAnsi="Times New Roman"/>
          <w:i/>
          <w:sz w:val="24"/>
        </w:rPr>
        <w:t>CRR</w:t>
      </w:r>
      <w:r>
        <w:rPr>
          <w:rFonts w:ascii="Times New Roman" w:hAnsi="Times New Roman"/>
          <w:sz w:val="24"/>
        </w:rPr>
        <w:t xml:space="preserve">”) 440. panta a) punktā minēto informāciju, ievērojot turpmāk šajā pielikumā sniegtos norādījumus, lai aizpildītu EBI IT risinājumu IX pielikumā ietverto veidni EU CCyB1.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Veidne EU CCyB1 attiecas tikai uz kredītriska darījumiem, kas ir nozīmīgi </w:t>
      </w:r>
      <w:proofErr w:type="spellStart"/>
      <w:r>
        <w:rPr>
          <w:rFonts w:ascii="Times New Roman" w:hAnsi="Times New Roman"/>
          <w:sz w:val="24"/>
        </w:rPr>
        <w:t>pretciklisko</w:t>
      </w:r>
      <w:proofErr w:type="spellEnd"/>
      <w:r>
        <w:rPr>
          <w:rFonts w:ascii="Times New Roman" w:hAnsi="Times New Roman"/>
          <w:sz w:val="24"/>
        </w:rPr>
        <w:t xml:space="preserve"> kapitāla rezervju aprēķināšanai saskaņā ar Direktīvas 2013/36/ES</w:t>
      </w:r>
      <w:r w:rsidRPr="007F4CC8">
        <w:rPr>
          <w:rStyle w:val="FootnoteReference"/>
          <w:rFonts w:eastAsia="Times New Roman"/>
        </w:rPr>
        <w:footnoteReference w:id="2"/>
      </w:r>
      <w:r>
        <w:rPr>
          <w:rFonts w:ascii="Times New Roman" w:hAnsi="Times New Roman"/>
          <w:sz w:val="24"/>
        </w:rPr>
        <w:t xml:space="preserve"> (“</w:t>
      </w:r>
      <w:r>
        <w:rPr>
          <w:rFonts w:ascii="Times New Roman" w:hAnsi="Times New Roman"/>
          <w:i/>
          <w:sz w:val="24"/>
        </w:rPr>
        <w:t>CRD</w:t>
      </w:r>
      <w:r>
        <w:rPr>
          <w:rFonts w:ascii="Times New Roman" w:hAnsi="Times New Roman"/>
          <w:sz w:val="24"/>
        </w:rPr>
        <w:t>”) 140. panta 4. 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Atsauces uz tiesību aktiem un norādījumi</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Sadalījums pa valstīm</w:t>
            </w:r>
          </w:p>
          <w:p w14:paraId="2DDAA49A" w14:textId="77777777" w:rsidR="00455D0D" w:rsidRPr="007F4CC8" w:rsidRDefault="00455D0D" w:rsidP="00D819DE">
            <w:pPr>
              <w:pStyle w:val="Applicationdirecte"/>
              <w:spacing w:before="120"/>
            </w:pPr>
            <w:r>
              <w:t xml:space="preserve">To valstu saraksts, kurās iestādei ir kredītriska darījumi, kas ir nozīmīgi iestādes specifisko </w:t>
            </w:r>
            <w:proofErr w:type="spellStart"/>
            <w:r>
              <w:t>pretciklisko</w:t>
            </w:r>
            <w:proofErr w:type="spellEnd"/>
            <w:r>
              <w:t xml:space="preserve"> rezervju aprēķināšanai saskaņā ar Komisijas Deleģēto regulu (ES) Nr. 1152/2014</w:t>
            </w:r>
            <w:r w:rsidRPr="007F4CC8">
              <w:rPr>
                <w:rStyle w:val="FootnoteReference"/>
              </w:rPr>
              <w:footnoteReference w:id="3"/>
            </w:r>
            <w:r>
              <w:t>.</w:t>
            </w:r>
          </w:p>
          <w:p w14:paraId="37E96D2E" w14:textId="77777777" w:rsidR="00455D0D" w:rsidRPr="007F4CC8" w:rsidRDefault="00455D0D" w:rsidP="00D819DE">
            <w:pPr>
              <w:pStyle w:val="Fait"/>
              <w:spacing w:after="120"/>
            </w:pPr>
            <w:r>
              <w:t xml:space="preserve">Rindu skaits var atšķirties atkarībā no to valstu skaita, kurās iestādei ir </w:t>
            </w:r>
            <w:proofErr w:type="spellStart"/>
            <w:r>
              <w:t>pretciklisko</w:t>
            </w:r>
            <w:proofErr w:type="spellEnd"/>
            <w:r>
              <w:t xml:space="preserve"> rezervju aprēķināšanai nozīmīgie kredītriska darījumi. Iestādes secīgi sanumurē rindas par katru valsti, sākot ar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Saskaņā ar Komisijas Deleģēto regulu (ES) Nr. 1152/2014, ja iestādes tirdzniecības portfeļa riska darījumi vai ārvalstu kredītriska darījumi veido mazāk nekā 2 % no tās riska darījumu riska svērtās kopsummas, iestāde var izvēlēties šos riska darījumus attiecināt uz iestādes atrašanās vietu (t. i., iestādes piederības dalībvalsti). Ja riska darījumi, kas tiek atklāti attiecībā uz iestādes atrašanās vietu, ietver riska darījumus no citām valstīm, tos skaidri norāda informācijas atklāšanas veidnes zemsvītras piezīmēs.</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Kopā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Vērtība, kas aprakstīta saskaņā ar paskaidrojumiem par šīs veidnes a–m aili.</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Atsauces uz tiesību aktiem un norādījumi</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Paskaidrojums</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lastRenderedPageBreak/>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To vispārīgo kredītriska darījumu vērtība, kuriem piemēro standartizēto pieeju</w:t>
            </w:r>
          </w:p>
          <w:p w14:paraId="217A6855" w14:textId="77777777" w:rsidR="00455D0D" w:rsidRPr="007F4CC8" w:rsidRDefault="00455D0D" w:rsidP="00D819DE">
            <w:pPr>
              <w:pStyle w:val="Fait"/>
              <w:spacing w:after="120"/>
            </w:pPr>
            <w:r>
              <w:t xml:space="preserve">Attiecīgo kredītriska darījumu vērtība, kas noteikta saskaņā ar </w:t>
            </w:r>
            <w:r>
              <w:rPr>
                <w:i/>
              </w:rPr>
              <w:t>CRD</w:t>
            </w:r>
            <w:r>
              <w:t xml:space="preserve"> 140. panta 4. punkta a) apakšpunktu un </w:t>
            </w:r>
            <w:r>
              <w:rPr>
                <w:i/>
              </w:rPr>
              <w:t>CRR</w:t>
            </w:r>
            <w:r>
              <w:t xml:space="preserve"> 111. pantu.</w:t>
            </w:r>
          </w:p>
          <w:p w14:paraId="7001526D" w14:textId="77777777" w:rsidR="00455D0D" w:rsidRPr="007F4CC8" w:rsidRDefault="00455D0D" w:rsidP="00D819DE">
            <w:pPr>
              <w:pStyle w:val="Fait"/>
              <w:spacing w:after="120"/>
            </w:pPr>
            <w:r>
              <w:t xml:space="preserve">Attiecīgo kredītriska darījumu vērtību, kas noteikta saskaņā ar </w:t>
            </w:r>
            <w:r>
              <w:rPr>
                <w:i/>
              </w:rPr>
              <w:t>CRD</w:t>
            </w:r>
            <w:r>
              <w:t xml:space="preserve"> 140. panta 4. punkta c) apakšpunktu un </w:t>
            </w:r>
            <w:r>
              <w:rPr>
                <w:i/>
              </w:rPr>
              <w:t>CRR</w:t>
            </w:r>
            <w:r>
              <w:t xml:space="preserve"> 248. panta a) un c) punktu, neiekļauj šeit, bet iekļauj šīs veidnes e ailē.</w:t>
            </w:r>
          </w:p>
          <w:p w14:paraId="7DC41FB9" w14:textId="77777777" w:rsidR="00455D0D" w:rsidRPr="007F4CC8" w:rsidRDefault="00455D0D" w:rsidP="00D819DE">
            <w:pPr>
              <w:pStyle w:val="Fait"/>
              <w:spacing w:after="120"/>
            </w:pPr>
            <w:r>
              <w:t xml:space="preserve">Ģeogrāfisko sadalījumu veic saskaņā ar Komisijas Deleģēto regulu (ES) Nr. 1152/2014. </w:t>
            </w:r>
          </w:p>
          <w:p w14:paraId="6801ED6C" w14:textId="77777777" w:rsidR="00455D0D" w:rsidRPr="007F4CC8" w:rsidRDefault="00455D0D" w:rsidP="00D819DE">
            <w:pPr>
              <w:pStyle w:val="Fait"/>
              <w:spacing w:after="120"/>
            </w:pPr>
            <w:r>
              <w:t xml:space="preserve">Rinda 020 (Kopā): visu attiecīgo kredītriska darījumu summu nosaka saskaņā ar </w:t>
            </w:r>
            <w:r>
              <w:rPr>
                <w:i/>
              </w:rPr>
              <w:t>CRD</w:t>
            </w:r>
            <w:r>
              <w:t xml:space="preserve"> 140. panta 4. punkta a) apakšpunktu un </w:t>
            </w:r>
            <w:r>
              <w:rPr>
                <w:i/>
              </w:rPr>
              <w:t>CRR</w:t>
            </w:r>
            <w:r>
              <w:t xml:space="preserve"> 111. pantu.</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To vispārīgo kredītriska darījumu vērtība, kuriem piemēro </w:t>
            </w:r>
            <w:r>
              <w:rPr>
                <w:rFonts w:ascii="Times New Roman" w:hAnsi="Times New Roman"/>
                <w:b/>
                <w:i/>
                <w:sz w:val="24"/>
              </w:rPr>
              <w:t>IRB</w:t>
            </w:r>
            <w:r>
              <w:rPr>
                <w:rFonts w:ascii="Times New Roman" w:hAnsi="Times New Roman"/>
                <w:b/>
                <w:sz w:val="24"/>
              </w:rPr>
              <w:t xml:space="preserve"> pieeju</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Attiecīgo kredītriska darījumu vērtība, kas noteikta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166., 167. un 168. pantu.</w:t>
            </w:r>
          </w:p>
          <w:p w14:paraId="4BAA504B" w14:textId="77777777" w:rsidR="00455D0D" w:rsidRPr="007F4CC8" w:rsidRDefault="00455D0D" w:rsidP="00D819DE">
            <w:pPr>
              <w:pStyle w:val="Fait"/>
              <w:spacing w:after="120"/>
            </w:pPr>
            <w:r>
              <w:t xml:space="preserve">Attiecīgo kredītriska darījumu vērtību, kas noteikta saskaņā ar </w:t>
            </w:r>
            <w:r>
              <w:rPr>
                <w:i/>
              </w:rPr>
              <w:t>CRD</w:t>
            </w:r>
            <w:r>
              <w:t xml:space="preserve"> 140. panta 4. punkta c) apakšpunktu un </w:t>
            </w:r>
            <w:r>
              <w:rPr>
                <w:i/>
              </w:rPr>
              <w:t>CRR</w:t>
            </w:r>
            <w:r>
              <w:t xml:space="preserve"> 248. panta a) un c) punktu, neiekļauj šeit, bet iekļauj šīs veidnes e ailē.</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166., 167. un 168. pantu.</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Tirdzniecības portfeļa riska darījumu garo un īso pozīciju summa standartizētām pieejām</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CRD</w:t>
            </w:r>
            <w:r>
              <w:rPr>
                <w:rFonts w:ascii="Times New Roman" w:hAnsi="Times New Roman"/>
                <w:sz w:val="24"/>
              </w:rPr>
              <w:t xml:space="preserve"> 140. panta 4. punkta b) apakšpunktu noteikto attiecīgo kredītriska darījumu garo un īso pozīciju summa, kas aprēķināta kā saskaņā ar </w:t>
            </w:r>
            <w:r>
              <w:rPr>
                <w:rFonts w:ascii="Times New Roman" w:hAnsi="Times New Roman"/>
                <w:i/>
                <w:sz w:val="24"/>
              </w:rPr>
              <w:t>CRR</w:t>
            </w:r>
            <w:r>
              <w:rPr>
                <w:rFonts w:ascii="Times New Roman" w:hAnsi="Times New Roman"/>
                <w:sz w:val="24"/>
              </w:rPr>
              <w:t xml:space="preserve"> 327. pantu noteikto garo un īso pozīciju summa.</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garo un īso pozīciju summu nosaka saskaņā ar </w:t>
            </w:r>
            <w:r>
              <w:rPr>
                <w:rFonts w:ascii="Times New Roman" w:hAnsi="Times New Roman"/>
                <w:i/>
                <w:sz w:val="24"/>
              </w:rPr>
              <w:t>CRD</w:t>
            </w:r>
            <w:r>
              <w:rPr>
                <w:rFonts w:ascii="Times New Roman" w:hAnsi="Times New Roman"/>
                <w:sz w:val="24"/>
              </w:rPr>
              <w:t xml:space="preserve"> 140. panta 4. punkta b) apakšpunktu un aprēķina kā saskaņā ar </w:t>
            </w:r>
            <w:r>
              <w:rPr>
                <w:rFonts w:ascii="Times New Roman" w:hAnsi="Times New Roman"/>
                <w:i/>
                <w:sz w:val="24"/>
              </w:rPr>
              <w:t>CRR</w:t>
            </w:r>
            <w:r>
              <w:rPr>
                <w:rFonts w:ascii="Times New Roman" w:hAnsi="Times New Roman"/>
                <w:sz w:val="24"/>
              </w:rPr>
              <w:t xml:space="preserve"> 327. pantu noteikto garo un īso pozīciju summu.</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Tirdzniecības portfeļa riska darījumu vērtība iekšējiem modeļiem</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Šādu posteņu kopsumma:</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 xml:space="preserve">to naudas pozīciju patiesā vērtība, kuras veido attiecīgos kredītriska darījumus, kā noteikts saskaņā ar </w:t>
            </w:r>
            <w:r>
              <w:rPr>
                <w:rFonts w:ascii="Times New Roman" w:hAnsi="Times New Roman"/>
                <w:i/>
                <w:sz w:val="24"/>
              </w:rPr>
              <w:t>CRD</w:t>
            </w:r>
            <w:r>
              <w:rPr>
                <w:rFonts w:ascii="Times New Roman" w:hAnsi="Times New Roman"/>
                <w:sz w:val="24"/>
              </w:rPr>
              <w:t xml:space="preserve"> 140. panta 4. punkta b) apakšpunktu un </w:t>
            </w:r>
            <w:r>
              <w:rPr>
                <w:rFonts w:ascii="Times New Roman" w:hAnsi="Times New Roman"/>
                <w:i/>
                <w:sz w:val="24"/>
              </w:rPr>
              <w:t>CRR</w:t>
            </w:r>
            <w:r>
              <w:rPr>
                <w:rFonts w:ascii="Times New Roman" w:hAnsi="Times New Roman"/>
                <w:sz w:val="24"/>
              </w:rPr>
              <w:t xml:space="preserve"> 104. pantu,</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 xml:space="preserve">to atvasināto instrumentu nosacītā vērtība, kuri veido attiecīgos kredītriska darījumus, kā noteikts saskaņā ar </w:t>
            </w:r>
            <w:r>
              <w:rPr>
                <w:rFonts w:ascii="Times New Roman" w:hAnsi="Times New Roman"/>
                <w:i/>
                <w:sz w:val="24"/>
              </w:rPr>
              <w:t>CRD</w:t>
            </w:r>
            <w:r>
              <w:rPr>
                <w:rFonts w:ascii="Times New Roman" w:hAnsi="Times New Roman"/>
                <w:sz w:val="24"/>
              </w:rPr>
              <w:t xml:space="preserve"> 140. panta 4. punkta b) apakšpunktu.</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Ģeogrāfisko sadalījumu veic saskaņā ar Komisijas Deleģēto regulu (ES) Nr. 1152/2014.</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summu visu to naudas pozīciju patiesajai vērtībai, kuras veido attiecīgos kredītriska darījumus, nosaka saskaņā ar </w:t>
            </w:r>
            <w:r>
              <w:rPr>
                <w:rFonts w:ascii="Times New Roman" w:hAnsi="Times New Roman"/>
                <w:i/>
                <w:sz w:val="24"/>
              </w:rPr>
              <w:t>CRD</w:t>
            </w:r>
            <w:r>
              <w:rPr>
                <w:rFonts w:ascii="Times New Roman" w:hAnsi="Times New Roman"/>
                <w:sz w:val="24"/>
              </w:rPr>
              <w:t xml:space="preserve"> 140. panta 4. punkta b) apakšpunktu un </w:t>
            </w:r>
            <w:r>
              <w:rPr>
                <w:rFonts w:ascii="Times New Roman" w:hAnsi="Times New Roman"/>
                <w:i/>
                <w:sz w:val="24"/>
              </w:rPr>
              <w:t>CRR</w:t>
            </w:r>
            <w:r>
              <w:rPr>
                <w:rFonts w:ascii="Times New Roman" w:hAnsi="Times New Roman"/>
                <w:sz w:val="24"/>
              </w:rPr>
              <w:t xml:space="preserve"> 104. pantu, un summu visu to atvasināto instrumentu nosacītajai vērtībai, kuri veido attiecīgos kredītriska darījumus, nosaka saskaņā ar </w:t>
            </w:r>
            <w:r>
              <w:rPr>
                <w:rFonts w:ascii="Times New Roman" w:hAnsi="Times New Roman"/>
                <w:i/>
                <w:sz w:val="24"/>
              </w:rPr>
              <w:t>CRD</w:t>
            </w:r>
            <w:r>
              <w:rPr>
                <w:rFonts w:ascii="Times New Roman" w:hAnsi="Times New Roman"/>
                <w:sz w:val="24"/>
              </w:rPr>
              <w:t xml:space="preserve"> 140. panta 4. punkta b) apakšpunktu.</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Vērtspapīrošanas</w:t>
            </w:r>
            <w:proofErr w:type="spellEnd"/>
            <w:r>
              <w:rPr>
                <w:rFonts w:ascii="Times New Roman" w:hAnsi="Times New Roman"/>
                <w:b/>
                <w:sz w:val="24"/>
              </w:rPr>
              <w:t xml:space="preserve"> riska darījumu vērtība </w:t>
            </w:r>
            <w:proofErr w:type="spellStart"/>
            <w:r>
              <w:rPr>
                <w:rFonts w:ascii="Times New Roman" w:hAnsi="Times New Roman"/>
                <w:b/>
                <w:sz w:val="24"/>
              </w:rPr>
              <w:t>netirdzniecības</w:t>
            </w:r>
            <w:proofErr w:type="spellEnd"/>
            <w:r>
              <w:rPr>
                <w:rFonts w:ascii="Times New Roman" w:hAnsi="Times New Roman"/>
                <w:b/>
                <w:sz w:val="24"/>
              </w:rPr>
              <w:t xml:space="preserve"> portfelim</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Attiecīgo kredītriska darījumu vērtību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248. panta a) un c) punktu.</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248. panta a) un c) punktu.</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Kopējā riska darījumu vērtība</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Šīs veidnes a, b, c, d un e ailēs norādīto vērtību summa.</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punktu.</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Pašu kapitāla prasības – Attiecīgie kredītriska darījumi – Kredītrisks</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Pašu kapitāla prasības attiecīgajiem kredītriska darījumiem attiecīgajā valstī, kas noteiktas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trešās daļas II daļu un ņemot vērā pašu kapitāla prasības, kuras saistītas ar valstu specifiskām korekcijām riska pakāpēs, kas noteiktas saskaņā ar </w:t>
            </w:r>
            <w:r>
              <w:rPr>
                <w:rFonts w:ascii="Times New Roman" w:hAnsi="Times New Roman"/>
                <w:i/>
                <w:sz w:val="24"/>
              </w:rPr>
              <w:t>CRR</w:t>
            </w:r>
            <w:r>
              <w:rPr>
                <w:rFonts w:ascii="Times New Roman" w:hAnsi="Times New Roman"/>
                <w:sz w:val="24"/>
              </w:rPr>
              <w:t xml:space="preserve"> 458. pantu.</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trešās daļas II sadaļu.</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Pašu kapitāla prasības – Attiecīgie kredītriska darījumi – Tirgus risks </w:t>
            </w:r>
          </w:p>
          <w:p w14:paraId="01D71615" w14:textId="77777777" w:rsidR="00455D0D" w:rsidRPr="007F4CC8" w:rsidRDefault="00455D0D" w:rsidP="00D819DE">
            <w:pPr>
              <w:pStyle w:val="Fait"/>
              <w:spacing w:after="120"/>
            </w:pPr>
            <w:r>
              <w:t xml:space="preserve">Pašu kapitāla prasības attiecīgajiem kredītriska darījumiem attiecīgajā valstī, kas noteiktas saskaņā ar </w:t>
            </w:r>
            <w:r>
              <w:rPr>
                <w:i/>
              </w:rPr>
              <w:t>CRD</w:t>
            </w:r>
            <w:r>
              <w:t xml:space="preserve"> 140. panta 4. punkta b) punktu un </w:t>
            </w:r>
            <w:r>
              <w:rPr>
                <w:i/>
              </w:rPr>
              <w:t>CRR</w:t>
            </w:r>
            <w:r>
              <w:t xml:space="preserve"> trešās daļas IV sadaļas 2. nodaļu specifiskam riskam vai saskaņā ar </w:t>
            </w:r>
            <w:r>
              <w:rPr>
                <w:i/>
              </w:rPr>
              <w:t>CRR</w:t>
            </w:r>
            <w:r>
              <w:t xml:space="preserve"> trešās daļas IV sadaļas 5. nodaļu inkrementālajam saistību nepildīšanas un migrācijas riskam.</w:t>
            </w:r>
          </w:p>
          <w:p w14:paraId="3376CF2A" w14:textId="77777777" w:rsidR="00455D0D" w:rsidRPr="007F4CC8" w:rsidRDefault="00455D0D" w:rsidP="00D819DE">
            <w:pPr>
              <w:pStyle w:val="Fait"/>
              <w:spacing w:after="120"/>
            </w:pPr>
            <w:r>
              <w:t xml:space="preserve">Rinda 020 (Kopā): visu pašu kapitāla prasību summu attiecīgajiem kredītriska darījumiem nosaka saskaņā ar </w:t>
            </w:r>
            <w:r>
              <w:rPr>
                <w:i/>
              </w:rPr>
              <w:t>CRD</w:t>
            </w:r>
            <w:r>
              <w:t xml:space="preserve"> 140. panta 4. punkta b) apakšpunktu un </w:t>
            </w:r>
            <w:r>
              <w:rPr>
                <w:i/>
              </w:rPr>
              <w:t>CRR</w:t>
            </w:r>
            <w:r>
              <w:t xml:space="preserve"> trešās daļas IV sadaļas 2. nodaļu specifiskajam riskam vai </w:t>
            </w:r>
            <w:r>
              <w:rPr>
                <w:i/>
              </w:rPr>
              <w:t>CRR</w:t>
            </w:r>
            <w:r>
              <w:t xml:space="preserve"> trešās daļas IV sadaļas 5. nodaļu inkrementālajam saistību nepildīšanas un migrācijas riskam.</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Pašu kapitāla prasības – Attiecīgie kredītriska darījumi – </w:t>
            </w:r>
            <w:proofErr w:type="spellStart"/>
            <w:r>
              <w:rPr>
                <w:rFonts w:ascii="Times New Roman" w:hAnsi="Times New Roman"/>
                <w:b/>
                <w:sz w:val="24"/>
              </w:rPr>
              <w:t>Vērtspapīrošanas</w:t>
            </w:r>
            <w:proofErr w:type="spellEnd"/>
            <w:r>
              <w:rPr>
                <w:rFonts w:ascii="Times New Roman" w:hAnsi="Times New Roman"/>
                <w:b/>
                <w:sz w:val="24"/>
              </w:rPr>
              <w:t xml:space="preserve"> pozīcijas </w:t>
            </w:r>
            <w:proofErr w:type="spellStart"/>
            <w:r>
              <w:rPr>
                <w:rFonts w:ascii="Times New Roman" w:hAnsi="Times New Roman"/>
                <w:b/>
                <w:sz w:val="24"/>
              </w:rPr>
              <w:t>netirdzniecības</w:t>
            </w:r>
            <w:proofErr w:type="spellEnd"/>
            <w:r>
              <w:rPr>
                <w:rFonts w:ascii="Times New Roman" w:hAnsi="Times New Roman"/>
                <w:b/>
                <w:sz w:val="24"/>
              </w:rPr>
              <w:t xml:space="preserve"> portfelī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 xml:space="preserve">Pašu kapitāla prasības attiecīgajiem kredītriska darījumiem attiecīgajā valstī, kas noteiktas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trešās daļas II sadaļas 5. nodaļu.</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trešās daļas II sadaļas 5. nodaļu.</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Pašu kapitāla prasības – Kopā</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Šīs veidnes g, h un i ailē norādīto vērtību summa.</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punktu.</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Riska darījumu riska svērtās vērtības</w:t>
            </w:r>
          </w:p>
          <w:p w14:paraId="314E7BF8" w14:textId="05F4A401"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Riska darījumu riska svērtās vērtības attiecīgajiem kredītriska darījumiem, kas noteiktas saskaņā ar </w:t>
            </w:r>
            <w:r>
              <w:rPr>
                <w:rFonts w:ascii="Times New Roman" w:hAnsi="Times New Roman"/>
                <w:i/>
                <w:sz w:val="24"/>
              </w:rPr>
              <w:t>CRD</w:t>
            </w:r>
            <w:r>
              <w:rPr>
                <w:rFonts w:ascii="Times New Roman" w:hAnsi="Times New Roman"/>
                <w:sz w:val="24"/>
              </w:rPr>
              <w:t xml:space="preserve"> 140. panta 4. punktu, sadalījumā pa valstīm un ņemot vērā valstu specifiskas korekcijas riska pak</w:t>
            </w:r>
            <w:r w:rsidR="005D01C0">
              <w:rPr>
                <w:rFonts w:ascii="Times New Roman" w:hAnsi="Times New Roman"/>
                <w:sz w:val="24"/>
              </w:rPr>
              <w:t>ā</w:t>
            </w:r>
            <w:r>
              <w:rPr>
                <w:rFonts w:ascii="Times New Roman" w:hAnsi="Times New Roman"/>
                <w:sz w:val="24"/>
              </w:rPr>
              <w:t xml:space="preserve">pēs, kuras noteiktas saskaņā ar </w:t>
            </w:r>
            <w:r>
              <w:rPr>
                <w:rFonts w:ascii="Times New Roman" w:hAnsi="Times New Roman"/>
                <w:i/>
                <w:sz w:val="24"/>
              </w:rPr>
              <w:t>CRR</w:t>
            </w:r>
            <w:r>
              <w:rPr>
                <w:rFonts w:ascii="Times New Roman" w:hAnsi="Times New Roman"/>
                <w:sz w:val="24"/>
              </w:rPr>
              <w:t xml:space="preserve"> 458. pantu.</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riska svērto riska darījumu vērtību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punktu.</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Pašu kapitāla prasību svērumi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Attiecībā uz katru attiecīgo valsti piemērotais </w:t>
            </w:r>
            <w:proofErr w:type="spellStart"/>
            <w:r>
              <w:rPr>
                <w:rFonts w:ascii="Times New Roman" w:hAnsi="Times New Roman"/>
                <w:sz w:val="24"/>
              </w:rPr>
              <w:t>pretciklisko</w:t>
            </w:r>
            <w:proofErr w:type="spellEnd"/>
            <w:r>
              <w:rPr>
                <w:rFonts w:ascii="Times New Roman" w:hAnsi="Times New Roman"/>
                <w:sz w:val="24"/>
              </w:rPr>
              <w:t xml:space="preserve"> rezervju normas svērums, ko aprēķina kā pašu kapitāla prasību kopsummu, kura attiecas uz attiecīgajiem kredītriska darījumiem attiecīgajā valstī (šīs veidnes 01X rinda, j aile), kas dalīta ar pašu kapitāla prasību kopsummu, kas attiecas uz visiem kredītriska darījumiem, kuri ir nozīmīgi </w:t>
            </w:r>
            <w:proofErr w:type="spellStart"/>
            <w:r>
              <w:rPr>
                <w:rFonts w:ascii="Times New Roman" w:hAnsi="Times New Roman"/>
                <w:sz w:val="24"/>
              </w:rPr>
              <w:t>pretciklisko</w:t>
            </w:r>
            <w:proofErr w:type="spellEnd"/>
            <w:r>
              <w:rPr>
                <w:rFonts w:ascii="Times New Roman" w:hAnsi="Times New Roman"/>
                <w:sz w:val="24"/>
              </w:rPr>
              <w:t xml:space="preserve"> rezervju aprēķināšanai saskaņā ar </w:t>
            </w:r>
            <w:r>
              <w:rPr>
                <w:rFonts w:ascii="Times New Roman" w:hAnsi="Times New Roman"/>
                <w:i/>
                <w:sz w:val="24"/>
              </w:rPr>
              <w:t>CRD</w:t>
            </w:r>
            <w:r>
              <w:rPr>
                <w:rFonts w:ascii="Times New Roman" w:hAnsi="Times New Roman"/>
                <w:sz w:val="24"/>
              </w:rPr>
              <w:t xml:space="preserve"> 140. panta 4. punktu (šīs veidnes 020. rinda, j aile).</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Šo vērtību atspoguļo procentuālā izteiksmē ar 2 decimālcipariem.</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proofErr w:type="spellStart"/>
            <w:r>
              <w:rPr>
                <w:rFonts w:ascii="Times New Roman" w:hAnsi="Times New Roman"/>
                <w:b/>
                <w:sz w:val="24"/>
              </w:rPr>
              <w:t>Pretciklisko</w:t>
            </w:r>
            <w:proofErr w:type="spellEnd"/>
            <w:r>
              <w:rPr>
                <w:rFonts w:ascii="Times New Roman" w:hAnsi="Times New Roman"/>
                <w:b/>
                <w:sz w:val="24"/>
              </w:rPr>
              <w:t xml:space="preserve"> kapitāla rezervju norma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proofErr w:type="spellStart"/>
            <w:r>
              <w:rPr>
                <w:rFonts w:ascii="Times New Roman" w:hAnsi="Times New Roman"/>
                <w:sz w:val="24"/>
              </w:rPr>
              <w:t>Pretciklisko</w:t>
            </w:r>
            <w:proofErr w:type="spellEnd"/>
            <w:r>
              <w:rPr>
                <w:rFonts w:ascii="Times New Roman" w:hAnsi="Times New Roman"/>
                <w:sz w:val="24"/>
              </w:rPr>
              <w:t xml:space="preserve"> kapitāla rezervju norma, ko piemēro attiecīgajā valstī un ko nosaka saskaņā ar </w:t>
            </w:r>
            <w:r>
              <w:rPr>
                <w:rFonts w:ascii="Times New Roman" w:hAnsi="Times New Roman"/>
                <w:i/>
                <w:sz w:val="24"/>
              </w:rPr>
              <w:t>CRD</w:t>
            </w:r>
            <w:r>
              <w:rPr>
                <w:rFonts w:ascii="Times New Roman" w:hAnsi="Times New Roman"/>
                <w:sz w:val="24"/>
              </w:rPr>
              <w:t xml:space="preserve"> 136., 137., 138. un 139. pantu.</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Šajā ailē neiekļauj </w:t>
            </w:r>
            <w:proofErr w:type="spellStart"/>
            <w:r>
              <w:rPr>
                <w:rFonts w:ascii="Times New Roman" w:hAnsi="Times New Roman"/>
                <w:sz w:val="24"/>
              </w:rPr>
              <w:t>pretciklisko</w:t>
            </w:r>
            <w:proofErr w:type="spellEnd"/>
            <w:r>
              <w:rPr>
                <w:rFonts w:ascii="Times New Roman" w:hAnsi="Times New Roman"/>
                <w:sz w:val="24"/>
              </w:rPr>
              <w:t xml:space="preserve"> kapitāla rezervju normas, kas tika noteiktas, bet vēl nav piemērojamas brīdī, kad tiek aprēķinātas iestādes specifiskās </w:t>
            </w:r>
            <w:proofErr w:type="spellStart"/>
            <w:r>
              <w:rPr>
                <w:rFonts w:ascii="Times New Roman" w:hAnsi="Times New Roman"/>
                <w:sz w:val="24"/>
              </w:rPr>
              <w:t>pretcikliskās</w:t>
            </w:r>
            <w:proofErr w:type="spellEnd"/>
            <w:r>
              <w:rPr>
                <w:rFonts w:ascii="Times New Roman" w:hAnsi="Times New Roman"/>
                <w:sz w:val="24"/>
              </w:rPr>
              <w:t xml:space="preserve"> kapitāla rezerves, uz kurām attiecas atklātā informācija.</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Šo vērtību atspoguļo procentuālā izteiksmē ar tādu pašu decimālciparu skaitu, kāds noteikts saskaņā ar </w:t>
            </w:r>
            <w:r>
              <w:rPr>
                <w:rFonts w:ascii="Times New Roman" w:hAnsi="Times New Roman"/>
                <w:i/>
                <w:sz w:val="24"/>
              </w:rPr>
              <w:t>CRD</w:t>
            </w:r>
            <w:r>
              <w:rPr>
                <w:rFonts w:ascii="Times New Roman" w:hAnsi="Times New Roman"/>
                <w:sz w:val="24"/>
              </w:rPr>
              <w:t xml:space="preserve"> 136., 137., 138. un 139. pantu.</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 xml:space="preserve">Veidne EU CCyB2 – 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apjoms.</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sz w:val="24"/>
        </w:rPr>
        <w:t>CRR</w:t>
      </w:r>
      <w:r>
        <w:rPr>
          <w:rFonts w:ascii="Times New Roman" w:hAnsi="Times New Roman"/>
          <w:sz w:val="24"/>
        </w:rPr>
        <w:t xml:space="preserve"> 440. panta b) punktā minēto informāciju, ievērojot turpmāk šajā pielikumā sniegtos norādījumus, lai aizpildītu šīs īstenošanas regulas IX pielikumā ietverto veidni EU 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Atsauces uz tiesību aktiem un norādījumi</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lastRenderedPageBreak/>
              <w:t>Rindas numurs</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Paskaidrojums</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Kopējā riska darījumu vērtība</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 xml:space="preserve">Kopējā riska darījumu vērtība, kas aprēķināta saskaņā ar </w:t>
            </w:r>
            <w:r>
              <w:rPr>
                <w:rFonts w:ascii="Times New Roman" w:hAnsi="Times New Roman"/>
                <w:i/>
                <w:sz w:val="24"/>
              </w:rPr>
              <w:t>CRR</w:t>
            </w:r>
            <w:r>
              <w:rPr>
                <w:rFonts w:ascii="Times New Roman" w:hAnsi="Times New Roman"/>
                <w:sz w:val="24"/>
              </w:rPr>
              <w:t xml:space="preserve"> 92. panta 3. punktu.</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norma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norma, ko nosaka saskaņā ar </w:t>
            </w:r>
            <w:r>
              <w:rPr>
                <w:rFonts w:ascii="Times New Roman" w:hAnsi="Times New Roman"/>
                <w:i/>
                <w:sz w:val="24"/>
              </w:rPr>
              <w:t>CRD</w:t>
            </w:r>
            <w:r>
              <w:rPr>
                <w:rFonts w:ascii="Times New Roman" w:hAnsi="Times New Roman"/>
                <w:sz w:val="24"/>
              </w:rPr>
              <w:t xml:space="preserve"> 140. panta 1. punktu.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normu aprēķina kā to </w:t>
            </w:r>
            <w:proofErr w:type="spellStart"/>
            <w:r>
              <w:rPr>
                <w:rFonts w:ascii="Times New Roman" w:hAnsi="Times New Roman"/>
                <w:sz w:val="24"/>
              </w:rPr>
              <w:t>pretciklisko</w:t>
            </w:r>
            <w:proofErr w:type="spellEnd"/>
            <w:r>
              <w:rPr>
                <w:rFonts w:ascii="Times New Roman" w:hAnsi="Times New Roman"/>
                <w:sz w:val="24"/>
              </w:rPr>
              <w:t xml:space="preserve"> rezervju normu vidējo svērto lielumu, kuras attiecas uz valstīm, kurās ir izvietoti iestādes attiecīgie kredītriska darījumi, kas atspoguļoti veidnes EU CCyB1 m ailes 010.1.–010.X rindā.</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Katrā valstī </w:t>
            </w:r>
            <w:proofErr w:type="spellStart"/>
            <w:r>
              <w:rPr>
                <w:rFonts w:ascii="Times New Roman" w:hAnsi="Times New Roman"/>
                <w:sz w:val="24"/>
              </w:rPr>
              <w:t>pretciklisko</w:t>
            </w:r>
            <w:proofErr w:type="spellEnd"/>
            <w:r>
              <w:rPr>
                <w:rFonts w:ascii="Times New Roman" w:hAnsi="Times New Roman"/>
                <w:sz w:val="24"/>
              </w:rPr>
              <w:t xml:space="preserve"> rezervju normai piemērotais svērums ir pašu kapitāla prasību īpatsvars kopējā pašu kapitāla prasībās, un to uzrāda veidnes EU CCyB1 l. ailē.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Šo vērtību atspoguļo procentuālā izteiksmē ar 2 decimālcipariem.</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prasības</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prasība, ko aprēķina kā šīs veidnes 2. rindā atspoguļoto iestādes specifisko </w:t>
            </w:r>
            <w:proofErr w:type="spellStart"/>
            <w:r>
              <w:rPr>
                <w:rFonts w:ascii="Times New Roman" w:hAnsi="Times New Roman"/>
                <w:sz w:val="24"/>
              </w:rPr>
              <w:t>pretciklisko</w:t>
            </w:r>
            <w:proofErr w:type="spellEnd"/>
            <w:r>
              <w:rPr>
                <w:rFonts w:ascii="Times New Roman" w:hAnsi="Times New Roman"/>
                <w:sz w:val="24"/>
              </w:rPr>
              <w:t xml:space="preserve"> rezervju normu, kura tiek piemērota riska darījumu kopsummai, kas atklāta šīs veidnes 1. rindā.</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Atsauces uz tiesību aktiem un norādījumi</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Paskaidrojums</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Vērtība, kas aprakstīta saskaņā ar paskaidrojumiem par šīs veidnes 1.–3. rindu.</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Eiropas Parlamenta un Padomes Regula (ES) Nr. 575/2013 (2013. gada 26. jūnijs) par </w:t>
      </w:r>
      <w:proofErr w:type="spellStart"/>
      <w:r>
        <w:t>prudenciālajām</w:t>
      </w:r>
      <w:proofErr w:type="spellEnd"/>
      <w:r>
        <w:t xml:space="preserve">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w:t>
        </w:r>
        <w:proofErr w:type="spellStart"/>
        <w:r>
          <w:rPr>
            <w:rStyle w:val="Hyperlink"/>
          </w:rPr>
          <w:t>Lex</w:t>
        </w:r>
        <w:proofErr w:type="spellEnd"/>
        <w:r>
          <w:rPr>
            <w:rStyle w:val="Hyperlink"/>
          </w:rPr>
          <w:t xml:space="preserve">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Eiropas Parlamenta un Padomes Direktīva 2013/36/ES (2013. gada 26. jūnijs) par piekļuvi kredītiestāžu darbībai un kredītiestāžu </w:t>
      </w:r>
      <w:proofErr w:type="spellStart"/>
      <w:r>
        <w:t>prudenciālo</w:t>
      </w:r>
      <w:proofErr w:type="spellEnd"/>
      <w:r>
        <w:t xml:space="preserve"> uzraudzību, ar ko groza Direktīvu 2002/87/EK un atceļ Direktīvas 2006/48/EK un 2006/49/EK</w:t>
      </w:r>
      <w:r>
        <w:rPr>
          <w:rFonts w:ascii="Roboto" w:hAnsi="Roboto"/>
          <w:b/>
          <w:color w:val="333333"/>
          <w:sz w:val="21"/>
          <w:shd w:val="clear" w:color="auto" w:fill="FFFFFF"/>
        </w:rPr>
        <w:t xml:space="preserve"> </w:t>
      </w:r>
      <w:r>
        <w:t>(OV L 176, 27.6.2013., 338. lpp.).</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KOMISIJAS DELEĢĒTĀ REGULA (ES) Nr. 1152/2014 (2014. gada 4. jūnijs), ar ko papildina Eiropas Parlamenta un Padomes Direktīvu 2013/36/ES attiecībā uz regulatīvajiem tehniskajiem standartiem par attiecīgo kredītriska darījumu ģeogrāfiskās atrašanās vietas noteikšanu iestādes specifisko </w:t>
      </w:r>
      <w:proofErr w:type="spellStart"/>
      <w:r>
        <w:t>pretciklisko</w:t>
      </w:r>
      <w:proofErr w:type="spellEnd"/>
      <w:r>
        <w:t xml:space="preserve"> kapitāla rezervju aprēķināšanai (OV L 309, 30.10.2014., 5.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5D01C0"/>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2BA583-9B4C-4E60-A23F-1D26B4AD5AC7}"/>
</file>

<file path=customXml/itemProps2.xml><?xml version="1.0" encoding="utf-8"?>
<ds:datastoreItem xmlns:ds="http://schemas.openxmlformats.org/officeDocument/2006/customXml" ds:itemID="{B4719FAC-C0EA-4CBB-B3F6-C14A3822C673}"/>
</file>

<file path=customXml/itemProps3.xml><?xml version="1.0" encoding="utf-8"?>
<ds:datastoreItem xmlns:ds="http://schemas.openxmlformats.org/officeDocument/2006/customXml" ds:itemID="{A5B449D9-D12A-473D-8F97-67D7436F904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1462</Words>
  <Characters>8792</Characters>
  <Application>Microsoft Office Word</Application>
  <DocSecurity>0</DocSecurity>
  <Lines>209</Lines>
  <Paragraphs>119</Paragraphs>
  <ScaleCrop>false</ScaleCrop>
  <Company>XXXXXXX</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5</cp:revision>
  <dcterms:created xsi:type="dcterms:W3CDTF">2021-03-11T11:56:00Z</dcterms:created>
  <dcterms:modified xsi:type="dcterms:W3CDTF">2024-10-18T11:49:00Z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