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EF4D" w14:textId="2FB4D780" w:rsidR="00E114F3" w:rsidRPr="008D71E9" w:rsidRDefault="00E114F3" w:rsidP="00370155">
      <w:pPr>
        <w:pStyle w:val="Annexetitre"/>
        <w:spacing w:before="0"/>
        <w:ind w:firstLine="720"/>
        <w:jc w:val="left"/>
      </w:pPr>
      <w:r>
        <w:t xml:space="preserve">ANNESS XXXII – Struzzjonijiet għall-mudelli ta’ divulgazzjoni tar-riskju operazzjonali</w:t>
      </w:r>
    </w:p>
    <w:p w14:paraId="672A6659" w14:textId="77777777" w:rsidR="00E114F3" w:rsidRPr="008D71E9" w:rsidRDefault="00E114F3" w:rsidP="00E114F3">
      <w:pPr>
        <w:spacing w:after="120"/>
        <w:jc w:val="both"/>
        <w:rPr>
          <w:rFonts w:ascii="Times New Roman" w:hAnsi="Times New Roman"/>
          <w:b/>
          <w:bCs/>
          <w:sz w:val="24"/>
        </w:rPr>
      </w:pPr>
    </w:p>
    <w:p w14:paraId="384DD143" w14:textId="77777777" w:rsidR="00E114F3" w:rsidRPr="008D71E9" w:rsidRDefault="00E114F3" w:rsidP="00E114F3">
      <w:pPr>
        <w:spacing w:after="120"/>
        <w:rPr>
          <w:bCs/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Tabella EU ORA - Informazzjoni kwalitattiva dwar ir-riskju operazzjonali.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Tabella flessibbli</w:t>
      </w:r>
    </w:p>
    <w:p w14:paraId="2E1E5572" w14:textId="6D56D6EF" w:rsidR="00E114F3" w:rsidRPr="008D71E9" w:rsidRDefault="2A1FD4BE" w:rsidP="44B77564">
      <w:pPr>
        <w:numPr>
          <w:ilvl w:val="0"/>
          <w:numId w:val="1"/>
        </w:numPr>
        <w:spacing w:after="120"/>
        <w:jc w:val="both"/>
        <w:rPr>
          <w:color w:val="000000"/>
          <w:rFonts w:ascii="Calibri" w:eastAsia="Times New Roman" w:hAnsi="Calibri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inkluża f’din it-tabella b’applikazzjoni tal-Artikoli 435(1), 446(1), il-punt a) tar-Regolament (UE) 575/2013</w:t>
      </w:r>
      <w:r w:rsidR="00E114F3" w:rsidRPr="008D71E9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728254AD" w14:textId="52B3E768" w:rsidR="00E114F3" w:rsidRPr="008D71E9" w:rsidRDefault="00E114F3" w:rsidP="00E114F3">
      <w:pPr>
        <w:numPr>
          <w:ilvl w:val="0"/>
          <w:numId w:val="1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japplikaw l-istruzzjonijiet ipprovduti hawn taħt f’dan l-Anness sabiex jimlew it-tabella tad-divulgazzjoni tar-Riskju Operazzjonali EU ORA kif ippreżentata fl-Anness XXXI tas-soluzzjonijiet tal-IT tal-EBA.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E114F3" w:rsidRPr="008D71E9" w14:paraId="4FA5DD43" w14:textId="77777777" w:rsidTr="44B7756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879875" w14:textId="77777777" w:rsidR="00E114F3" w:rsidRPr="008D71E9" w:rsidRDefault="00E114F3">
            <w:pPr>
              <w:spacing w:after="120"/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E114F3" w:rsidRPr="008D71E9" w14:paraId="0BB6A5B1" w14:textId="77777777" w:rsidTr="44B7756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22B50" w14:textId="77777777" w:rsidR="00E114F3" w:rsidRPr="008D71E9" w:rsidRDefault="00E114F3">
            <w:pPr>
              <w:spacing w:after="120"/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04D8" w14:textId="77777777" w:rsidR="00E114F3" w:rsidRPr="008D71E9" w:rsidRDefault="00E114F3">
            <w:pPr>
              <w:spacing w:after="120"/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E114F3" w:rsidRPr="008D71E9" w14:paraId="70735BA0" w14:textId="77777777" w:rsidTr="00A31C3A">
        <w:trPr>
          <w:trHeight w:val="17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523" w14:textId="77777777" w:rsidR="00E114F3" w:rsidRPr="008D71E9" w:rsidRDefault="00E114F3">
            <w:pPr>
              <w:spacing w:after="120"/>
              <w:jc w:val="center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(a)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E5B9" w14:textId="77777777" w:rsidR="00E114F3" w:rsidRPr="008D71E9" w:rsidRDefault="00E114F3">
            <w:pPr>
              <w:spacing w:after="120"/>
              <w:jc w:val="both"/>
              <w:rPr>
                <w:b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Divulgazzjoni tal-objettivi u l-politiki tal-ġestjoni tar-riskju</w:t>
            </w:r>
          </w:p>
          <w:p w14:paraId="65684A44" w14:textId="7101D8E2" w:rsidR="00E114F3" w:rsidRPr="008D71E9" w:rsidRDefault="2A1FD4BE">
            <w:pPr>
              <w:spacing w:after="120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F’konformità mal-Artikolu 435(1), il-punt (a)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, l-istituzzjonijiet għandhom jiddivulgaw l-objettivi, il-politiki, l-oqfsa u l-linji gwida tagħhom għall-ġestjoni tar-riskju operazzjonali, inklużi l-istrateġiji u l-proċessi għall-ġestjoni ta’ dak ir-riskju.</w:t>
            </w:r>
            <w:r>
              <w:br/>
            </w:r>
          </w:p>
        </w:tc>
      </w:tr>
      <w:tr w:rsidR="00E114F3" w:rsidRPr="008D71E9" w14:paraId="37A6A0B3" w14:textId="77777777" w:rsidTr="00A31C3A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78CA" w14:textId="2DA3AF49" w:rsidR="00E114F3" w:rsidRPr="008D71E9" w:rsidRDefault="00E114F3">
            <w:pPr>
              <w:spacing w:after="120"/>
              <w:jc w:val="center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(b)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32F9" w14:textId="77777777" w:rsidR="00885AC5" w:rsidRPr="008D71E9" w:rsidRDefault="00885AC5" w:rsidP="00885AC5">
            <w:pPr>
              <w:spacing w:before="120" w:after="120"/>
              <w:jc w:val="both"/>
              <w:rPr>
                <w:b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Divulgazzjoni tal-istruttura u l-organizzazzjoni tal-funzjoni tal-ġestjoni tar-riskju operazzjonali</w:t>
            </w:r>
          </w:p>
          <w:p w14:paraId="739779F0" w14:textId="092C61F0" w:rsidR="00E114F3" w:rsidRPr="008D71E9" w:rsidRDefault="00885AC5">
            <w:pPr>
              <w:spacing w:after="120"/>
              <w:jc w:val="both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F’konformità mal-Artikolu 435(1), il-punt (b)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, l-istituzzjonijiet għandhom jiddivulgaw l-istruttura u l-organizzazzjoni tal-funzjoni tal-ġestjoni tar-riskju rilevanti inkluż l-informazzjoni fuq il-bażi tal-awtorità tagħha, is-setgħat u r-responsabbiltà tagħha f’konformità mad-dokumenti ta' inkorporazzjoni u regolazzjoni tal-istituzzjoni, u l-funzjoni ta’ kontroll.</w:t>
            </w:r>
          </w:p>
        </w:tc>
      </w:tr>
      <w:tr w:rsidR="00E114F3" w:rsidRPr="008D71E9" w14:paraId="30DA08C8" w14:textId="77777777" w:rsidTr="00A31C3A">
        <w:trPr>
          <w:trHeight w:val="1403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AF50" w14:textId="6B123167" w:rsidR="00E114F3" w:rsidRPr="008D71E9" w:rsidRDefault="00E114F3">
            <w:pPr>
              <w:spacing w:after="120"/>
              <w:jc w:val="center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D347" w14:textId="77777777" w:rsidR="005129A3" w:rsidRPr="008D71E9" w:rsidRDefault="005129A3" w:rsidP="005129A3">
            <w:pPr>
              <w:spacing w:before="120" w:after="120"/>
              <w:jc w:val="both"/>
              <w:rPr>
                <w:b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Deskrizzjoni tal-kamp ta’ applikazzjoni u n-natura tas-sistema ta’ kejl</w:t>
            </w:r>
          </w:p>
          <w:p w14:paraId="2426746E" w14:textId="37F86BBD" w:rsidR="00E114F3" w:rsidRPr="008D71E9" w:rsidRDefault="005129A3">
            <w:pPr>
              <w:spacing w:after="120"/>
              <w:jc w:val="both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F’konformità mal-Artikolu 435(1), il-punt (c)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, l-istituzzjonijiet għandhom jiddivulgaw il-kamp ta’ applikazzjoni u n-natura tas-sistema tal-kejl tar-riskju operazzjonali (jiġifieri s-sistemi u d-</w:t>
            </w:r>
            <w:r>
              <w:rPr>
                <w:sz w:val="24"/>
                <w:color w:val="000000" w:themeColor="text1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 użati għall-kejl tar-riskju operazzjonali sabiex tiġi stmata l-imposta fuq il-kapital tar-riskju operazzjonali).</w:t>
            </w:r>
          </w:p>
        </w:tc>
      </w:tr>
      <w:tr w:rsidR="00E114F3" w:rsidRPr="008D71E9" w14:paraId="530FAA18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C3DB" w14:textId="0C63D270" w:rsidR="00E114F3" w:rsidRPr="008D71E9" w:rsidRDefault="00E114F3">
            <w:pPr>
              <w:spacing w:after="120"/>
              <w:jc w:val="center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CC0D" w14:textId="77777777" w:rsidR="005D02AE" w:rsidRPr="008D71E9" w:rsidRDefault="005D02AE" w:rsidP="005D02AE">
            <w:pPr>
              <w:spacing w:before="120" w:after="120"/>
              <w:jc w:val="both"/>
              <w:rPr>
                <w:b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 w:themeColor="text1"/>
                <w:sz w:val="24"/>
                <w:rFonts w:ascii="Times New Roman" w:hAnsi="Times New Roman"/>
              </w:rPr>
              <w:t xml:space="preserve">Deskrizzjoni tal-kamp ta’ applikazzjoni u n-natura tal-qafas tar-rapportar tar-riskju operazzjonali</w:t>
            </w:r>
          </w:p>
          <w:p w14:paraId="1EE9A69D" w14:textId="3E92FDF7" w:rsidR="00E114F3" w:rsidRPr="008D71E9" w:rsidRDefault="005D02AE">
            <w:pPr>
              <w:spacing w:after="120"/>
              <w:jc w:val="both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F’konformità mal-Artikolu 435(1), il-punt (c)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, l-istituzzjonijiet għandhom jiddivulgaw il-kamp ta’ applikazzjoni u n-natura tal-qafas tar-rapportar tar-riskju operazzjonali lill-maniġment eżekuttiv u lill-Bord tad-Diretturi.</w:t>
            </w:r>
          </w:p>
        </w:tc>
      </w:tr>
      <w:tr w:rsidR="00E5460F" w:rsidRPr="008D71E9" w14:paraId="1120D006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99FF" w14:textId="263ED99A" w:rsidR="00E5460F" w:rsidRPr="008D71E9" w:rsidRDefault="00E5460F">
            <w:pPr>
              <w:spacing w:after="120"/>
              <w:jc w:val="center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9C5" w14:textId="77777777" w:rsidR="00E25C0C" w:rsidRPr="008D71E9" w:rsidRDefault="00E25C0C" w:rsidP="00E25C0C">
            <w:pPr>
              <w:spacing w:before="120" w:after="120"/>
              <w:jc w:val="both"/>
              <w:rPr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 w:themeColor="text1"/>
                <w:sz w:val="24"/>
                <w:rFonts w:ascii="Times New Roman" w:hAnsi="Times New Roman"/>
              </w:rPr>
              <w:t xml:space="preserve">Deskrizzjoni tal-politiki u l-istrateġiji tal-mitigazzjoni tar-riskju u tal-ħeġġ tar-riskju</w:t>
            </w:r>
          </w:p>
          <w:p w14:paraId="443DC7A5" w14:textId="704D717D" w:rsidR="00E5460F" w:rsidRPr="008D71E9" w:rsidDel="009A4E43" w:rsidRDefault="00E25C0C" w:rsidP="00E25C0C">
            <w:pPr>
              <w:spacing w:after="120"/>
              <w:jc w:val="both"/>
              <w:rPr>
                <w:b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t xml:space="preserve"> 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F’konformità mal-Artikolu 435(1), il-punt (d)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, l-istituzzjonijiet għandhom jiddivulgaw il-politiki u l-istrateġiji tagħhom tal-mitigazzjoni tar-riskju u tal-ħeġġ tar-riskju użati fil-ġestjoni tar-riskju operazzjonali, inkluż meta l-mitigazzjoni tar-riskju operazzjonali tinkiseb permezz ta’ politika (f’liema każ għandhom jiddivulgaw il-politiki dwar il-kultura tar-riskju, il-predispożizzjoni għar-riskju u l-esternalizzazzjoni), jew meta tinkiseb permezz ta’ żvestiment minn negozji b’riskju għoli jew permezz tal-istabbiliment ta’ kontrolli.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 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L-istituzzjonijiet għandhom jiddivulgaw ukoll l-iskoperturi li jifdal li jiġu assorbiti mill-istituzzjonijiet infushom jew, fejn applikabbli, l-iskoperturi li jifdal li jiġu ttrasferiti b’diversi modi, inkluż permezz tal-assigurazzjoni.</w:t>
            </w:r>
          </w:p>
        </w:tc>
      </w:tr>
    </w:tbl>
    <w:p w14:paraId="0A37501D" w14:textId="77777777" w:rsidR="00E114F3" w:rsidRPr="008D71E9" w:rsidRDefault="00E114F3" w:rsidP="00E114F3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</w:p>
    <w:p w14:paraId="73228265" w14:textId="2825D40F" w:rsidR="00E114F3" w:rsidRPr="008D71E9" w:rsidRDefault="00E114F3" w:rsidP="00E114F3">
      <w:pPr>
        <w:spacing w:after="120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OR1 - Telf mir-riskju operazzjonali.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Mudell fiss</w:t>
      </w:r>
    </w:p>
    <w:p w14:paraId="70B287DB" w14:textId="2D9C856F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inkluża fil-mudell EU OR1 b’applikazzjoni tal-Artikolu 446(2), il-punti a) u b) tar-Regolament (UE)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jipprovdi informazzjoni dwar it-telf annwali mir-riskju operazzjonali mġarrab matul l-aħħar 10 snin, abbażi tad-data kontabilistika tat-telf imġarrab.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it-telf annwali mir-riskju operazzjonali se jiġi kkalkolat f’konformità mal-Artikolu 316(1) tar-Regolament (UE) Nru 575/2013 u jinkludi, f’konformità mal-Artikolu 317(2) tar-Regolament (UE) Nru 575/2013, it-telf kollu li jirriżulta mill-entitajiet kollha li huma parti mill-ambitu tal-konsolidazzjoni inkluż it-telf minn negozji fużi/akkwiżiti (skont l-Artikolu 321(1) tar-Regolament (UE) Nru 575/2013).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Din l-informazzjoni għandha tiġi pprovduta sa fejn tkun disponibbli u fuq bażi tal-aħjar sforz, sakemm ikunu applikabbli l-Artikoli 316 (3), 317 (9), 320 (3) u 321 (2) tar-Regolament (UE) Nru 575/2013.</w:t>
      </w:r>
      <w:r>
        <w:rPr>
          <w:sz w:val="24"/>
          <w:rFonts w:ascii="Times New Roman" w:hAnsi="Times New Roman"/>
        </w:rPr>
        <w:t xml:space="preserve"> </w:t>
      </w:r>
    </w:p>
    <w:p w14:paraId="0C12CA7B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47EE9624" w14:textId="6B6996E8" w:rsidR="00D740B8" w:rsidRPr="008D71E9" w:rsidRDefault="00D740B8" w:rsidP="00D740B8">
      <w:pPr>
        <w:numPr>
          <w:ilvl w:val="0"/>
          <w:numId w:val="1"/>
        </w:numPr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jiddivulgaw, għal kull waħda mill-aħħar 10 snin, 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dwar l-għadd ta’ telf mir-riskju operazzjonali u l-għadd ta’ telf mir-riskju operazzjonali eskluż, l-ammont totali ta’ telf mir-riskju operazzjonali nett mill-irkupri u l-ammont totali ta’ telf mir-riskju operazzjonali nett mill-irkupri u nett mit-telf eskluż.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L-ammont annwali totali ta’ telf mir-riskju operazzjonali se jiġi kkalkolat bħala s-somma tat-telf nett kollu fuq sena finanzjarja partikolari, ikkalkolat f’konformità mal-Artikolu 318(1) tar-Regolament (UE) Nru 575/2013, li huwa daqs jew jaqbeż il-limiti tad-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dwar it-telf stabbiliti fl-Artikolu 319(1) jew (2), rispettivament ta’ dak ir-Regolament (jiġifieri EUR 20,000 u EUR 100,000).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Madankollu, telf ikkawżat minn event ta’ riskju operazzjonali komuni jew minn eventi multipli marbuta mal-istess event ta’ riskju operazzjonali (“event ewlieni”), li huwa rikonoxxut fi snin kontabilistiċi differenti għandu jingħadd għall-aħħar 10 snin għall-fini li jiġi ddeterminat jekk il-limitu għad-divulgazzjoni jinqabiżx jew le.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It-telf u l-aġġustamenti għandhom jiġu żvelati skont id-dispożizzjonijiet skont l-Artikolu 317(3)(c) u l-Artikolu 318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l-ammonti għandhom jiġu divulgati fis-sena li fiha jkunu ġew irreġistrati fir-rapporti finanzjarji.</w:t>
      </w:r>
    </w:p>
    <w:p w14:paraId="2702CB88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146DBD3" w14:textId="6BB979B1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Fin-narrattiva ta’ akkumpanjament, l-istituzzjonijiet għandhom jiddivulgaw il-ġustifikazzjonijiet b’mod aggregat għall-eventi ta’ riskju operazzjonali eċċezzjonali li ġew esklużi mill-kalkolu tat-telf annwali mir-riskju operazzjonali, f’konformità mal-Artikolu 446(2), il-punt b) tar-Regolament (UE) Nru 575/2013.</w:t>
      </w:r>
      <w:r>
        <w:rPr>
          <w:sz w:val="24"/>
          <w:rFonts w:ascii="Times New Roman" w:hAnsi="Times New Roman"/>
        </w:rPr>
        <w:t xml:space="preserve"> </w:t>
      </w:r>
    </w:p>
    <w:p w14:paraId="066C0912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79A49BBA" w14:textId="5D2F1C9E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jiddivulgaw ukoll, b’mod aggregat, kwalunkwe informazzjoni materjali li tista’ tgħin lill-utenti jifhmu t-telf storiku, l-irkupri u r-riżervi legali tal-istituzzjonijiet, bl-eċċezzjoni ta’ informazzjoni kunfidenzjali u proprjetarja.</w:t>
      </w:r>
    </w:p>
    <w:p w14:paraId="3AF72482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6406578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745"/>
      </w:tblGrid>
      <w:tr w:rsidR="00D740B8" w:rsidRPr="008D71E9" w14:paraId="7E388732" w14:textId="77777777">
        <w:tc>
          <w:tcPr>
            <w:tcW w:w="1271" w:type="dxa"/>
            <w:shd w:val="clear" w:color="auto" w:fill="BFBFBF" w:themeFill="background1" w:themeFillShade="BF"/>
          </w:tcPr>
          <w:p w14:paraId="5F81890E" w14:textId="77777777" w:rsidR="00D740B8" w:rsidRPr="008D71E9" w:rsidRDefault="00D740B8">
            <w:pPr>
              <w:autoSpaceDE w:val="0"/>
              <w:autoSpaceDN w:val="0"/>
              <w:adjustRightInd w:val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745" w:type="dxa"/>
            <w:shd w:val="clear" w:color="auto" w:fill="BFBFBF" w:themeFill="background1" w:themeFillShade="BF"/>
          </w:tcPr>
          <w:p w14:paraId="0773BD79" w14:textId="77777777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D740B8" w:rsidRPr="008D71E9" w14:paraId="4A7B0862" w14:textId="77777777">
        <w:tc>
          <w:tcPr>
            <w:tcW w:w="1271" w:type="dxa"/>
          </w:tcPr>
          <w:p w14:paraId="59A78ADD" w14:textId="77777777" w:rsidR="00D740B8" w:rsidRPr="008D71E9" w:rsidRDefault="00D740B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sa j</w:t>
            </w:r>
          </w:p>
        </w:tc>
        <w:tc>
          <w:tcPr>
            <w:tcW w:w="7745" w:type="dxa"/>
          </w:tcPr>
          <w:p w14:paraId="0B872A50" w14:textId="77777777" w:rsidR="00D740B8" w:rsidRPr="002755E0" w:rsidRDefault="00D740B8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Sena (T, T-1, T-2, T-3, T-4, T-5, T-6, T-7, T-8, T-9)</w:t>
            </w:r>
          </w:p>
          <w:p w14:paraId="5B6EF35C" w14:textId="3033D1CC" w:rsidR="00D740B8" w:rsidRPr="008D71E9" w:rsidRDefault="00D740B8">
            <w:pPr>
              <w:spacing w:before="120"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indikat mir-ringiela korrispondenti, għall-aħħar 10 snin finanzjarji.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D740B8" w:rsidRPr="008D71E9" w14:paraId="7D63969A" w14:textId="77777777">
        <w:tc>
          <w:tcPr>
            <w:tcW w:w="1271" w:type="dxa"/>
          </w:tcPr>
          <w:p w14:paraId="6CFD6A05" w14:textId="77777777" w:rsidR="00D740B8" w:rsidRPr="008D71E9" w:rsidRDefault="00D740B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745" w:type="dxa"/>
          </w:tcPr>
          <w:p w14:paraId="50D93A86" w14:textId="7777777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Medja ta’ 10 snin</w:t>
            </w:r>
          </w:p>
          <w:p w14:paraId="38A7187F" w14:textId="0CB464F2" w:rsidR="00D740B8" w:rsidRPr="008D71E9" w:rsidRDefault="00D740B8">
            <w:pPr>
              <w:spacing w:before="120" w:after="12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tal-valuri indikati mir-ringiela korrispondenti matul l-aħħar 10 snin.</w:t>
            </w:r>
          </w:p>
        </w:tc>
      </w:tr>
    </w:tbl>
    <w:p w14:paraId="7095834F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2DB6729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2611544E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8D71E9" w14:paraId="75D1924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C07F6" w14:textId="77777777" w:rsidR="00D740B8" w:rsidRPr="008D71E9" w:rsidRDefault="00D740B8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2A10C0" w14:textId="77777777" w:rsidR="00D740B8" w:rsidRPr="008D71E9" w:rsidRDefault="00D740B8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D740B8" w:rsidRPr="008D71E9" w14:paraId="5B97976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5C0BB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F810E" w14:textId="221857B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totali ta’ telf mir-riskju operazzjonali nett mill-irkupri (l-ebda esklużjoni)</w:t>
            </w:r>
          </w:p>
          <w:p w14:paraId="73A6B59F" w14:textId="42A729DD" w:rsidR="00D740B8" w:rsidRPr="008D71E9" w:rsidRDefault="00D740B8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446(2), il-punt a) u l-Artikolu 316(1) tar-Regolament (UE) 575/2013.</w:t>
            </w:r>
          </w:p>
          <w:p w14:paraId="5D929629" w14:textId="149BDB35" w:rsidR="00D740B8" w:rsidRPr="008D71E9" w:rsidRDefault="002B0785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għandha tiddivulga l-ammont totali ta’ telf nett mill-irkupri li jirriżultaw minn eventi ta’ telf ogħla mil-limitu ta’ event ta’ telf ta’ EUR 20,000 għal kull wieħed mill-aħħar 10 perjodi ta’ rapportar, inkluż telf minn fużjonijiet u akkwiżizzjonijiet.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Telf ikkawżat minn event ta’ riskju operazzjonali komuni, jew minn eventi multipli marbuta mal-istess event ta’ riskju operazzjonali, li huwa rikonoxxut fi snin kontabilistiċi differenti għandu jingħadd għall-aħħar 10 snin għall-fini li jiġi ddeterminat jekk il-limitu għad-divulgazzjoni jinqabiżx jew 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Eventi ta’ riskju operazzjonali eċċezzjonali tas-sena li ma għadhomx rilevanti għall-profil tar-riskju tal-istituzzjoni li għalihom l-istituzzjoni ngħatat permess mill-Awtorità Kompetenti sabiex teskludihom mit-telf annwali mir-riskju operazzjonali tal-istituzzjoni, f’konformità mal-Artikolu 320(1) tar-Regolament (UE) Nru 575/2013, xorta għandhom jitqiesu fil-kalkolu tal-entrata għal din ir-ringiela.</w:t>
            </w:r>
          </w:p>
        </w:tc>
      </w:tr>
      <w:tr w:rsidR="00D740B8" w:rsidRPr="008D71E9" w14:paraId="1A3189B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85BED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B8990" w14:textId="7777777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Għadd totali ta’ telf mir-riskju operazzjonali</w:t>
            </w:r>
          </w:p>
          <w:p w14:paraId="2EA91375" w14:textId="28AF0058" w:rsidR="00D740B8" w:rsidRPr="008D71E9" w:rsidRDefault="00D740B8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446(2), il-punt a) u l-Artikolu 316(1) tar-Regolament (UE) 575/2013.</w:t>
            </w:r>
          </w:p>
          <w:p w14:paraId="275C478C" w14:textId="69738AFF" w:rsidR="00D740B8" w:rsidRPr="008D71E9" w:rsidRDefault="00471410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totali ta’ telf mir-riskju operazzjonali ogħla mil-livell limitu tal-event ta’ telf ta’ EUR 20,000.</w:t>
            </w:r>
          </w:p>
        </w:tc>
      </w:tr>
      <w:tr w:rsidR="00D740B8" w:rsidRPr="008D71E9" w14:paraId="30368E0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E2D97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7E573" w14:textId="7777777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totali ta’ telf mir-riskju operazzjonali eskluż</w:t>
            </w:r>
          </w:p>
          <w:p w14:paraId="5C1A66AF" w14:textId="5CAD041D" w:rsidR="00D740B8" w:rsidRPr="008D71E9" w:rsidRDefault="00D740B8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446(2), il-punt b) u l-Artikolu 320(1) tar-Regolament (UE) 575/2013.</w:t>
            </w:r>
          </w:p>
          <w:p w14:paraId="7BE235CA" w14:textId="7483A5B2" w:rsidR="00D740B8" w:rsidRPr="008D71E9" w:rsidRDefault="002B0785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ta’ telf nett totali ogħla mil-livell limitu ta’ telf ta’ EUR 20,000 li ġew esklużi f’konformità mal-Artikolu 320(1) tar-Regolament (UE) Nru 575/2013, għal kull wieħed mill-aħħar 10 perjodi ta’ rapportar.</w:t>
            </w:r>
          </w:p>
        </w:tc>
      </w:tr>
      <w:tr w:rsidR="00D740B8" w:rsidRPr="008D71E9" w14:paraId="2771244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28D8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BA990" w14:textId="77777777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Għadd totali ta’ eventi ta’ riskju operazzjonali esklużi</w:t>
            </w:r>
          </w:p>
          <w:p w14:paraId="7914E462" w14:textId="7978A3B5" w:rsidR="00D740B8" w:rsidRPr="008D71E9" w:rsidRDefault="00D740B8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446(2), il-punt b) u l-Artikolu 320(1) tar-Regolament (UE) 575/2013.</w:t>
            </w:r>
          </w:p>
          <w:p w14:paraId="318A732C" w14:textId="242D554F" w:rsidR="00D740B8" w:rsidRPr="008D71E9" w:rsidRDefault="009D4A12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totali ta’ eventi ta’ riskju operazzjonali eċċezzjonali ogħla mil-livell limitu ta’ event ta’ telf ta’ EUR 20,000 li ġew esklużi f’konformità mal-Artikolu 320(1) tar-Regolament (UE) Nru 575/2013 għal kull wieħed mill-aħħar 10 perjodi ta’ 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D740B8" w:rsidRPr="008D71E9" w14:paraId="155A14DC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A2BC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D9B80" w14:textId="218BBE7C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Ammont totali ta’ telf mir-riskju operazzjonali nett mill-irkupri u nett mit-telf eskluż</w:t>
            </w:r>
          </w:p>
          <w:p w14:paraId="4203582A" w14:textId="6CAD1497" w:rsidR="00D740B8" w:rsidRPr="008D71E9" w:rsidRDefault="002B0785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telf mir-riskju operazzjonali, li minnu jitnaqqas l-ammont ta’ rkupri divulgati fir-ringiela 1, u li minnu jitnaqqas it-telf eskluż divulgat fir-ringiela 3.</w:t>
            </w:r>
          </w:p>
        </w:tc>
      </w:tr>
      <w:tr w:rsidR="00D740B8" w:rsidRPr="008D71E9" w14:paraId="533A412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EE7FB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65A87" w14:textId="409B91B6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totali ta’ telf mir-riskju operazzjonali nett mill-irkupri (l-ebda esklużjoni)</w:t>
            </w:r>
          </w:p>
          <w:p w14:paraId="647BDEC8" w14:textId="66617A83" w:rsidR="00D740B8" w:rsidRPr="008D71E9" w:rsidRDefault="00D740B8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446(2), il-punt a) u l-Artikolu 316(1) tar-Regolament (UE) 575/2013.</w:t>
            </w:r>
          </w:p>
          <w:p w14:paraId="7F1E94AA" w14:textId="28CE55AE" w:rsidR="00D740B8" w:rsidRPr="008D71E9" w:rsidRDefault="003D54AC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telf mir-riskju operazzjonali, li minnu jitnaqqas l-ammont ta’ rkupri, li jirriżulta minn eventi ta’ telf ogħla mil-livell limitu ta’ event ta’ telf ta’ EUR 100,000 għal kull wieħed mill-aħħar 10 perjodi ta’ rapportar, inkluż telf minn fużjonijiet u akkwiżizzjonijiet.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Telf ikkawżat minn event ta’ riskju operazzjonali komuni, jew minn eventi multipli marbuta mal-istess event ta’ riskju operazzjonali, li huwa rikonoxxut fi snin kontabilistiċi differenti għandu jingħadd għall-aħħar 10 snin għall-fini li jiġi ddeterminat jekk il-limitu għad-divulgazzjoni jinqabiżx jew 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Eventi ta’ riskju operazzjonali eċċezzjonali tas-sena li ma għadhomx rilevanti għall-profil tar-riskju tal-istituzzjoni li għalihom l-istituzzjoni ngħatat permess mill-Awtorità Kompetenti sabiex teskludihom mit-telf annwali mir-riskju operazzjonali tal-istituzzjoni, f’konformità mal-Artikolu 320(1) tar-Regolament (UE) Nru 575/2013, xorta għandhom jitqiesu fil-kalkolu tal-entrata għal din ir-ringiela.</w:t>
            </w:r>
            <w:r>
              <w:rPr>
                <w:sz w:val="24"/>
                <w:rFonts w:ascii="Times New Roman" w:hAnsi="Times New Roman"/>
              </w:rPr>
              <w:t xml:space="preserve">   </w:t>
            </w:r>
          </w:p>
        </w:tc>
      </w:tr>
      <w:tr w:rsidR="00D740B8" w:rsidRPr="008D71E9" w14:paraId="55F7B96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372A0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15A10" w14:textId="7777777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Għadd totali ta’ telf mir-riskju operazzjonali</w:t>
            </w:r>
          </w:p>
          <w:p w14:paraId="7AD8EE0D" w14:textId="092E19E2" w:rsidR="00D740B8" w:rsidRPr="008D71E9" w:rsidRDefault="00D740B8">
            <w:pPr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446(2), il-punt a) u l-Artikolu 316(1) tar-Regolament (UE) 575/2013.</w:t>
            </w:r>
          </w:p>
          <w:p w14:paraId="6F316B8B" w14:textId="6ABB567B" w:rsidR="00D740B8" w:rsidRPr="008D71E9" w:rsidRDefault="00471410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totali ta’ telf mir-riskju operazzjonali ogħla mil-livell limitu tal-event ta’ telf ta’ EUR 100,000.</w:t>
            </w:r>
          </w:p>
        </w:tc>
      </w:tr>
      <w:tr w:rsidR="00D740B8" w:rsidRPr="008D71E9" w14:paraId="774B79F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021F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31AFB" w14:textId="77777777" w:rsidR="00D740B8" w:rsidRPr="008D71E9" w:rsidRDefault="00D740B8">
            <w:pPr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totali ta’ telf mir-riskju operazzjonali eskluż</w:t>
            </w:r>
          </w:p>
          <w:p w14:paraId="71DECF65" w14:textId="48A395A5" w:rsidR="00D740B8" w:rsidRPr="008D71E9" w:rsidRDefault="00D740B8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446(2), il-punt b) u l-Artikolu 320(1) tar-Regolament (UE) 575/2013.</w:t>
            </w:r>
          </w:p>
          <w:p w14:paraId="0BC74916" w14:textId="396B699A" w:rsidR="00D740B8" w:rsidRPr="008D71E9" w:rsidRDefault="003D54AC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telf nett ogħla mil-livell limitu ta’ event ta’ telf ta’ EUR 100,000, eskluż f’konformità mal-Artikolu 320(1) tar-Regolament (UE) Nru 575/2013, għal kull wieħed mill-aħħar 10 perjodi ta’ rapportar.</w:t>
            </w:r>
          </w:p>
        </w:tc>
      </w:tr>
      <w:tr w:rsidR="00D740B8" w:rsidRPr="008D71E9" w14:paraId="33C9C19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35360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23E8D" w14:textId="77777777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Għadd totali ta’ eventi ta’ riskju operazzjonali esklużi</w:t>
            </w:r>
          </w:p>
          <w:p w14:paraId="2B56754D" w14:textId="46B0AAAA" w:rsidR="00D740B8" w:rsidRPr="008D71E9" w:rsidRDefault="00D740B8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446(2), il-punt b) u l-Artikolu 320(1) tar-Regolament (UE) 575/2013.</w:t>
            </w:r>
          </w:p>
          <w:p w14:paraId="2EDEC8CA" w14:textId="02901FCB" w:rsidR="00D740B8" w:rsidRPr="008D71E9" w:rsidRDefault="00471410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totali ta’ eventi ta’ riskju operazzjonali eċċezzjonali ogħla mil-livell limitu ta’ event ta’ telf ta’ EUR 100,000 li ġew esklużi f’konformità mal-Artikolu 320(1) tar-Regolament (UE) Nru 575/2013, għal kull wieħed mill-aħħar 10 perjodi ta’ rapportar.</w:t>
            </w:r>
          </w:p>
        </w:tc>
      </w:tr>
      <w:tr w:rsidR="00D740B8" w:rsidRPr="008D71E9" w14:paraId="01B8CA90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51114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D07D3" w14:textId="0C81ABEB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Ammont totali ta’ telf mir-riskju operazzjonali nett mill-irkupri u nett mit-telf eskluż</w:t>
            </w:r>
          </w:p>
          <w:p w14:paraId="65622881" w14:textId="32C07686" w:rsidR="00D740B8" w:rsidRPr="008D71E9" w:rsidRDefault="006943D3">
            <w:pPr>
              <w:spacing w:before="12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għandha tiddivulga l-ammont totali ta’ telf mir-riskju operazzjonali li minnu jitnaqqas l-ammont ta’ rkupri divulgati fir-ringiela 6, li minnu jitnaqqas l-ammont ta’ telf eskluż divulgat fir-ringiela 8.</w:t>
            </w:r>
          </w:p>
        </w:tc>
      </w:tr>
      <w:tr w:rsidR="00D740B8" w:rsidRPr="008D71E9" w14:paraId="1DE089DB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3FA6CB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813C" w14:textId="77777777" w:rsidR="00D740B8" w:rsidRPr="008D71E9" w:rsidRDefault="00D740B8">
            <w:pPr>
              <w:autoSpaceDE w:val="0"/>
              <w:autoSpaceDN w:val="0"/>
              <w:adjustRightInd w:val="0"/>
              <w:spacing w:before="120" w:after="120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applikabbli.</w:t>
            </w:r>
          </w:p>
        </w:tc>
      </w:tr>
      <w:tr w:rsidR="00D740B8" w:rsidRPr="008D71E9" w14:paraId="23D23702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54CBB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D8849" w14:textId="77777777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Mhux applikabbli.</w:t>
            </w:r>
          </w:p>
        </w:tc>
      </w:tr>
      <w:tr w:rsidR="00D740B8" w:rsidRPr="008D71E9" w14:paraId="5EEF83F8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4FD1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DA855" w14:textId="77777777" w:rsidR="00D740B8" w:rsidRPr="008D71E9" w:rsidRDefault="00D740B8">
            <w:pPr>
              <w:spacing w:before="12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Mhux applikabbli.</w:t>
            </w:r>
          </w:p>
        </w:tc>
      </w:tr>
    </w:tbl>
    <w:p w14:paraId="25A698B0" w14:textId="77777777" w:rsidR="00D740B8" w:rsidRPr="008D71E9" w:rsidRDefault="00D740B8" w:rsidP="00D740B8">
      <w:pPr>
        <w:pStyle w:val="InstructionsText2"/>
        <w:numPr>
          <w:ilvl w:val="0"/>
          <w:numId w:val="0"/>
        </w:numPr>
        <w:ind w:left="360"/>
        <w:rPr>
          <w:lang w:val="en-US"/>
        </w:rPr>
      </w:pPr>
    </w:p>
    <w:p w14:paraId="033C5861" w14:textId="77777777" w:rsidR="00D740B8" w:rsidRPr="008D71E9" w:rsidRDefault="00D740B8" w:rsidP="00D740B8">
      <w:p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OR2 – Indikatur tan-Negozju, komponenti u subkomponenti.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Mudell fiss</w:t>
      </w:r>
    </w:p>
    <w:p w14:paraId="3D173CCF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F849430" w14:textId="6876B822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inkluża fil-mudell EU OR2 b’applikazzjoni tal-Artikoli 446(1), il-punti c) u d)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jipprovdi informazzjoni dwar il-kalkolu tal-Komponent tal-Indikatur tan-Negozju (BIC), f’konformità mal-Artikolu 313 tar-Regolament (UE) Nru 575/2013, u dwar il-kalkolu tal-Indikatur tan-Negozju (BI), il-komponenti u s-subkomponenti, f’konformità mal-Artikolu 314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Barra minn hekk, dan il-mudell jipprovdi wkoll informazzjoni dwar l-ammonti esklużi mill-indikatur tan-negozju relatati ma’ entitajiet jew ma’ attivitajiet disposti, f’konformità mal-Artikolu 315(2).</w:t>
      </w:r>
      <w:r>
        <w:rPr>
          <w:sz w:val="24"/>
          <w:rFonts w:ascii="Times New Roman" w:hAnsi="Times New Roman"/>
        </w:rPr>
        <w:t xml:space="preserve">  </w:t>
      </w:r>
    </w:p>
    <w:p w14:paraId="5C35CEC0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1749895F" w14:textId="07869965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għall-aħħar tliet snin finanzjarji dwar l-ammont tal-lista rilevanti ta’ entrati li huma meħtieġa għall-kalkolu tas-subkomponenti tal-BI li jikkontribwixxu għall-kalkolu tar-rekwiżiti ta’ fondi proprji għar-Riskju Operazzjonali.</w:t>
      </w:r>
    </w:p>
    <w:p w14:paraId="7B27D162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41988E91" w14:textId="2D82E22B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F’konformità mal-Artikolu 314(8) tar-Regolament (UE) Nru 575/2013, meta ma tkun disponibbli l-ebda 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storika, l-istituzzjonijiet għandhom jirrapportaw l-istimi tan-negozju li jħarsu ’l quddiem.</w:t>
      </w:r>
      <w:r>
        <w:rPr>
          <w:sz w:val="24"/>
          <w:rFonts w:ascii="Times New Roman" w:hAnsi="Times New Roman"/>
        </w:rPr>
        <w:t xml:space="preserve"> </w:t>
      </w:r>
    </w:p>
    <w:p w14:paraId="14A23528" w14:textId="485ED75C" w:rsidR="00D740B8" w:rsidRPr="008D71E9" w:rsidRDefault="00D740B8" w:rsidP="00D740B8">
      <w:pPr>
        <w:pStyle w:val="numberedparagraph"/>
        <w:numPr>
          <w:ilvl w:val="0"/>
          <w:numId w:val="1"/>
        </w:numPr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Meta l-istituzzjonijiet ikollhom inqas minn 3 snin ta’ 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disponibbli relatata mal-entrati dettaljati li jidħlu fil-komponenti tal-BI, id-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storika disponibbli għandha tiġi assenjata skont il-prijorità lill-kolonni korrispondenti fil-mudell.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l-istituzzjonijiet ikollhom biss 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storika relatata mal-komponenti tal-BI disponibbli għal informazzjoni ta’ sena waħda, din id-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għandha tiġi rrapportata fil-kolonna li tikkorrispondi għall-aktar sena reċenti (eż. “l-aħħar sena”).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jidher raġonevoli, l-istimi li jħarsu ’l quddiem għandhom jiġu inklużi fis-Sena -1 u s-Sena -2 rispettivament sakemm din id-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ssir disponibbli.</w:t>
      </w:r>
    </w:p>
    <w:p w14:paraId="2DDE0943" w14:textId="7978B770" w:rsidR="00D740B8" w:rsidRPr="008D71E9" w:rsidRDefault="00D740B8" w:rsidP="00D740B8">
      <w:pPr>
        <w:pStyle w:val="numberedparagraph"/>
        <w:numPr>
          <w:ilvl w:val="0"/>
          <w:numId w:val="1"/>
        </w:numPr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ma għandhomx jinkludu fis-subentrati li huma parti mill-kalkolu tal-komponent tal-imgħax, tal-lokazzjoni u tad-dividendi (ILDC) kwalunkwe ċifra relatata ma’ dawk l-istituzzjonijiet sussidjarji speċifiċi li l-ILDC tagħhom għandu jiġi kkalkolat separatament f’konformità mal-Artikolu 314(3) tar-Regolament (UE) Nru 575/2013.</w:t>
      </w:r>
      <w:r>
        <w:rPr>
          <w:sz w:val="24"/>
          <w:rFonts w:ascii="Times New Roman" w:hAnsi="Times New Roman"/>
        </w:rPr>
        <w:t xml:space="preserve"> </w:t>
      </w:r>
    </w:p>
    <w:p w14:paraId="3512454B" w14:textId="27224DC8" w:rsidR="00841A0D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ma għandhomx jinkludu fis-subentrati li huma parti mill-kalkolu tal-komponent tal-imgħax, tal-lokazzjoni u tad-dividendi (ILDC) kwalunkwe ċifra minn linji operatorji tas-servizzi bankarji fil-livell tal-konsumatur u/jew tas-servizzi bankarji kummerċjali f’dawk il-każijiet meta l-istituzzjoni tkun irċeviet il-permess li tapplika l-Artikolu 314(4) tar-Regolament (UE) Nru 575/2013.</w:t>
      </w:r>
    </w:p>
    <w:p w14:paraId="22AE3E22" w14:textId="77777777" w:rsidR="00841A0D" w:rsidRPr="008D71E9" w:rsidRDefault="00841A0D" w:rsidP="00841A0D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A161EFD" w14:textId="51A72F8E" w:rsidR="00D740B8" w:rsidRPr="008D71E9" w:rsidRDefault="003826D3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Madankollu, l-istituzzjonijiet għandhom jirrapportaw fir-ringiela 1 l-ammont totali tal-ILDC inklużi l-ammonti kkalkolati f’konformità mal-Artikolu 314(3</w:t>
      </w:r>
      <w:r>
        <w:rPr>
          <w:sz w:val="24"/>
          <w:color w:val="000000" w:themeColor="text1"/>
          <w:rFonts w:ascii="Times New Roman" w:hAnsi="Times New Roman"/>
        </w:rPr>
        <w:t xml:space="preserve">)</w:t>
      </w:r>
      <w:r>
        <w:rPr>
          <w:sz w:val="24"/>
          <w:rFonts w:ascii="Times New Roman" w:hAnsi="Times New Roman"/>
        </w:rPr>
        <w:t xml:space="preserve">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Għandhom jirrapportaw ukoll, fir-ringiela EU 1, l-ILDC esklużi l-entitajiet ikkunsidrati mill-Artikolu 314(3).</w:t>
      </w:r>
      <w:r>
        <w:rPr>
          <w:sz w:val="24"/>
          <w:rFonts w:ascii="Times New Roman" w:hAnsi="Times New Roman"/>
        </w:rPr>
        <w:t xml:space="preserve"> </w:t>
      </w:r>
    </w:p>
    <w:p w14:paraId="7DAFACF8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578B96DC" w14:textId="15D840A4" w:rsidR="00D740B8" w:rsidRPr="008D71E9" w:rsidRDefault="00D740B8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Fin-narrattiva ta’ akkumpanjament, f’konformità mal-Artikolu 446(1) tar-Regolament (UE) Nru 575/2013, l-istituzzjonijiet għandhom jiddivulgaw il-ġustifikazzjonijiet għal kull esklużjoni mill-indikatur tan-negozju bl-eċċezzjoni tal-esklużjoni tal-linji operatorji tan-negozju bl-imnut u dak kummerċjali kkunsidrati skont l-Artikolu 314(4).</w:t>
      </w:r>
      <w:r>
        <w:rPr>
          <w:sz w:val="24"/>
          <w:rFonts w:ascii="Times New Roman" w:hAnsi="Times New Roman"/>
        </w:rPr>
        <w:t xml:space="preserve"> </w:t>
      </w:r>
    </w:p>
    <w:p w14:paraId="22C673C4" w14:textId="77777777" w:rsidR="00393FEF" w:rsidRPr="008D71E9" w:rsidRDefault="00393FEF" w:rsidP="00532CFA">
      <w:pPr>
        <w:pStyle w:val="ListParagraph"/>
        <w:rPr>
          <w:rFonts w:ascii="Times New Roman" w:hAnsi="Times New Roman"/>
          <w:bCs/>
          <w:sz w:val="24"/>
        </w:rPr>
      </w:pPr>
    </w:p>
    <w:p w14:paraId="7DD11602" w14:textId="59AE982B" w:rsidR="00393FEF" w:rsidRPr="008D71E9" w:rsidRDefault="006020C0" w:rsidP="00D740B8">
      <w:pPr>
        <w:numPr>
          <w:ilvl w:val="0"/>
          <w:numId w:val="1"/>
        </w:num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Minħabba r-rabta mill-qrib bejn ir-rekwiżiti ta’ divulgazzjoni tar-riskju operazzjonali u r-rapporti finanzjarji tal-istituzzjoni, ir-referenzi għar-rekwiżiti ta’ rapportar riflessi fl-Anness V tar-Regolament ta’ Implimentazzjoni (UE) 2021/451 (FINREP) ġew riflessi fl-istruzzjonijiet kollha.</w:t>
      </w:r>
    </w:p>
    <w:p w14:paraId="21275E00" w14:textId="77777777" w:rsidR="00D740B8" w:rsidRPr="008D71E9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756"/>
      </w:tblGrid>
      <w:tr w:rsidR="00D740B8" w:rsidRPr="008D71E9" w14:paraId="069EA903" w14:textId="77777777">
        <w:trPr>
          <w:trHeight w:val="300"/>
        </w:trPr>
        <w:tc>
          <w:tcPr>
            <w:tcW w:w="1260" w:type="dxa"/>
            <w:shd w:val="clear" w:color="auto" w:fill="BFBFBF" w:themeFill="background1" w:themeFillShade="BF"/>
          </w:tcPr>
          <w:p w14:paraId="7E4DE4F0" w14:textId="77777777" w:rsidR="00D740B8" w:rsidRPr="008D71E9" w:rsidRDefault="00D740B8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756" w:type="dxa"/>
            <w:shd w:val="clear" w:color="auto" w:fill="BFBFBF" w:themeFill="background1" w:themeFillShade="BF"/>
          </w:tcPr>
          <w:p w14:paraId="0D54BB35" w14:textId="77777777" w:rsidR="00D740B8" w:rsidRPr="008D71E9" w:rsidDel="00B46ADB" w:rsidRDefault="00D740B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D740B8" w:rsidRPr="008D71E9" w14:paraId="7AE7216D" w14:textId="77777777">
        <w:trPr>
          <w:trHeight w:val="300"/>
        </w:trPr>
        <w:tc>
          <w:tcPr>
            <w:tcW w:w="1260" w:type="dxa"/>
          </w:tcPr>
          <w:p w14:paraId="0FC699E1" w14:textId="0D76C831" w:rsidR="00D740B8" w:rsidRPr="008D71E9" w:rsidRDefault="00D740B8" w:rsidP="00165B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a, b, c</w:t>
            </w:r>
          </w:p>
        </w:tc>
        <w:tc>
          <w:tcPr>
            <w:tcW w:w="7756" w:type="dxa"/>
          </w:tcPr>
          <w:p w14:paraId="510A12A5" w14:textId="77777777" w:rsidR="00D740B8" w:rsidRPr="008D71E9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Valur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0A7A2FD7" w14:textId="77777777" w:rsidR="00D740B8" w:rsidRPr="008D71E9" w:rsidRDefault="00D740B8">
            <w:pPr>
              <w:rPr>
                <w:rFonts w:ascii="Times New Roman" w:hAnsi="Times New Roman"/>
                <w:sz w:val="24"/>
                <w:lang w:eastAsia="de-DE"/>
              </w:rPr>
            </w:pPr>
          </w:p>
          <w:p w14:paraId="0C8A142A" w14:textId="4CAB13C5" w:rsidR="00D740B8" w:rsidRPr="008D71E9" w:rsidRDefault="00D740B8">
            <w:pPr>
              <w:autoSpaceDE w:val="0"/>
              <w:autoSpaceDN w:val="0"/>
              <w:adjustRightInd w:val="0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446(1), il-punt d) u l-Artikolu 314(1) tar-Regolament (UE) Nru 575/2013.</w:t>
            </w:r>
          </w:p>
          <w:p w14:paraId="7883915F" w14:textId="77777777" w:rsidR="00D740B8" w:rsidRPr="008D71E9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558CD9DA" w14:textId="53976B55" w:rsidR="00EA10B1" w:rsidRPr="008D71E9" w:rsidRDefault="002F3CFA">
            <w:pPr>
              <w:pStyle w:val="paragraph"/>
              <w:spacing w:before="0" w:beforeAutospacing="0" w:after="0" w:afterAutospacing="0"/>
              <w:textAlignment w:val="baseline"/>
            </w:pPr>
            <w:r>
              <w:t xml:space="preserve">Il-valur għal-lista ta’ entrati li huma parti mill-kalkolu tal-BI u l-komponenti tiegħu (il-kalkolu tal-ILDC, tal-Komponent tas-Servizz (SC) u tal-Komponent Finanzjarju (FC)) skont l-istandards tal-kontabbiltà applikabbli għal kull waħda mill-aħħar tliet snin finanzjarji.</w:t>
            </w:r>
            <w:r>
              <w:t xml:space="preserve"> </w:t>
            </w:r>
          </w:p>
          <w:p w14:paraId="3414DDFE" w14:textId="77777777" w:rsidR="007B3E62" w:rsidRPr="008D71E9" w:rsidRDefault="007B3E62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374E1BCA" w14:textId="3DACCC5D" w:rsidR="007B3E62" w:rsidRPr="008D71E9" w:rsidRDefault="00B76B25">
            <w:pPr>
              <w:pStyle w:val="paragraph"/>
              <w:spacing w:before="0" w:beforeAutospacing="0" w:after="0" w:afterAutospacing="0"/>
              <w:textAlignment w:val="baseline"/>
            </w:pPr>
            <w:r>
              <w:t xml:space="preserve">L-ammonti għandhom jiġu rrapportati wara l-applikazzjoni tal-aġġustamenti relatati ma’ fużjonijiet/akkwiżizzjonijiet u attivitajiet żvestiti.</w:t>
            </w:r>
            <w:r>
              <w:t xml:space="preserve"> </w:t>
            </w:r>
          </w:p>
          <w:p w14:paraId="00BACA37" w14:textId="77777777" w:rsidR="00EA10B1" w:rsidRPr="008D71E9" w:rsidRDefault="00EA10B1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21635601" w14:textId="10729BA3" w:rsidR="00D740B8" w:rsidRPr="008D71E9" w:rsidRDefault="00D740B8" w:rsidP="000F6C61">
            <w:pPr>
              <w:pStyle w:val="paragraph"/>
              <w:spacing w:before="0" w:beforeAutospacing="0" w:after="0" w:afterAutospacing="0"/>
              <w:textAlignment w:val="baseline"/>
            </w:pPr>
            <w:r>
              <w:t xml:space="preserve">Għall-FC, il-valuri li għandhom jiġu divulgati se jirriflettu l-valuri kontabilistiċi ddeterminati bl-użu tal-limitu kontabilistiku jew il-limitu prudenzjali (PBA) biex jiġu identifikati l-entrati tal-portafoll tan-negozjar u tal-portafoll bankarju </w:t>
            </w:r>
            <w:r>
              <w:rPr>
                <w:rStyle w:val="normaltextrun"/>
              </w:rPr>
              <w:t xml:space="preserve">għal kull waħda mill-aħħar 3 snin finanzjarji f’konformità mal-Artikolu 314(6) tar-Regolament (UE) Nru 575/2013</w:t>
            </w:r>
            <w:r>
              <w:t xml:space="preserve">.</w:t>
            </w:r>
          </w:p>
        </w:tc>
      </w:tr>
      <w:tr w:rsidR="00D740B8" w:rsidRPr="008D71E9" w14:paraId="3103AD05" w14:textId="77777777">
        <w:trPr>
          <w:trHeight w:val="300"/>
        </w:trPr>
        <w:tc>
          <w:tcPr>
            <w:tcW w:w="1260" w:type="dxa"/>
          </w:tcPr>
          <w:p w14:paraId="0FFA543A" w14:textId="77777777" w:rsidR="00D740B8" w:rsidRPr="008D71E9" w:rsidRDefault="00D740B8" w:rsidP="00165B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756" w:type="dxa"/>
          </w:tcPr>
          <w:p w14:paraId="117DF1D7" w14:textId="77777777" w:rsidR="00D740B8" w:rsidRPr="008D71E9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Valuri medji</w:t>
            </w:r>
          </w:p>
          <w:p w14:paraId="27B3847F" w14:textId="77777777" w:rsidR="00D740B8" w:rsidRPr="008D71E9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de-DE"/>
              </w:rPr>
            </w:pPr>
          </w:p>
          <w:p w14:paraId="2CEEC93D" w14:textId="277817D6" w:rsidR="00D740B8" w:rsidRPr="008D71E9" w:rsidRDefault="00D740B8">
            <w:pPr>
              <w:autoSpaceDE w:val="0"/>
              <w:autoSpaceDN w:val="0"/>
              <w:adjustRightInd w:val="0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314(2), (5) u (6) tar-Regolament (UE) Nru 575/2013.</w:t>
            </w:r>
          </w:p>
          <w:p w14:paraId="5FAAFF7A" w14:textId="77777777" w:rsidR="00D740B8" w:rsidRPr="008D71E9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3E17CEC0" w14:textId="0641F513" w:rsidR="00D740B8" w:rsidRPr="008D71E9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 xml:space="preserve">Il-valuri kkalkolati tal-komponenti ILDC, SC u FC u l-valur medju tas-subkomponenti tagħhom, ikkalkolati matul l-aħħar tliet snin finanzjarji, inkluża s-sena T.</w:t>
            </w:r>
            <w:r>
              <w:rPr>
                <w:rStyle w:val="normaltextrun"/>
              </w:rPr>
              <w:t xml:space="preserve"> </w:t>
            </w:r>
          </w:p>
          <w:p w14:paraId="32637704" w14:textId="35682543" w:rsidR="00D740B8" w:rsidRPr="008D71E9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  <w:p w14:paraId="6C270BFC" w14:textId="453723AA" w:rsidR="00D740B8" w:rsidRPr="008D71E9" w:rsidRDefault="00D740B8" w:rsidP="008006BD">
            <w:pPr>
              <w:pStyle w:val="paragraph"/>
              <w:spacing w:before="0" w:beforeAutospacing="0" w:after="0" w:afterAutospacing="0"/>
              <w:textAlignment w:val="baseline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normaltextrun"/>
              </w:rPr>
              <w:t xml:space="preserve">Il-medja tiġi kkalkolata billi jitqiesu l-valuri kontabilistiċi għal kull waħda mill-aħħar 3 snin.</w:t>
            </w:r>
            <w:r>
              <w:rPr>
                <w:rStyle w:val="normaltextrun"/>
              </w:rPr>
              <w:t xml:space="preserve"> </w:t>
            </w:r>
          </w:p>
        </w:tc>
      </w:tr>
    </w:tbl>
    <w:p w14:paraId="75117700" w14:textId="77777777" w:rsidR="00D740B8" w:rsidRPr="008D71E9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Style w:val="InstructionsTabelleberschrif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8D71E9" w14:paraId="60D9E4A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F2134" w14:textId="77777777" w:rsidR="00D740B8" w:rsidRPr="008D71E9" w:rsidRDefault="00D740B8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99870" w14:textId="77777777" w:rsidR="00D740B8" w:rsidRPr="008D71E9" w:rsidRDefault="00D740B8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D740B8" w:rsidRPr="008D71E9" w14:paraId="1AE63B2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54D68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762DB" w14:textId="77777777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Komponent tal-imgħax, tal-lokazzjoni u tad-dividendi (ILDC)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8381763" w14:textId="2625CE0B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tal-Imgħax, tal-Lokazzjoni u tad-Dividendi (ILDC) jiġi kkalkolat f’konformità mal-Artikolu 314(2) tar-Regolament (UE) Nru 575/2013 inkluż, fejn applikabbli, l-ammonti kkalkolati f’konformità mal-Artikolu 314(3)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314(4) tar-Regolament (UE) Nru 575/2013, l-istituzzjoni ma għandha tinkludi l-ebda ċifra minn linji operatorji ta’ operazzjonijiet bankarji fil-livell tal-konsumatur u operazzjonijiet bankarji kummerċjali.</w:t>
            </w:r>
          </w:p>
        </w:tc>
      </w:tr>
      <w:tr w:rsidR="00456F97" w:rsidRPr="008D71E9" w14:paraId="2142E78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0228B" w14:textId="2F42AD3B" w:rsidR="00456F97" w:rsidRPr="008D71E9" w:rsidRDefault="00E03FA1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D9357" w14:textId="2BE8631A" w:rsidR="00456F97" w:rsidRPr="008D71E9" w:rsidRDefault="00E2624F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ILDC relatat mal-istituzzjoni individwali/Grupp konsolidat (esklużi l-entitajiet ikkunsidrati mill-Artikolu 314(3))</w:t>
            </w:r>
          </w:p>
          <w:p w14:paraId="3B4A0231" w14:textId="6A33703B" w:rsidR="00E2624F" w:rsidRPr="008D71E9" w:rsidRDefault="00E2624F" w:rsidP="00413B96">
            <w:pPr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tal-Imgħax, tal-Lokazzjoni u tad-Dividendi (ILDC) ikkalkolat f’konformità mal-Artikolu 314(2) tar-Regolament (UE) Nru 575/2013, mingħajr ma tiġi inkluża l-ebda ċifra li hija parti mill-kalkolu tal-ILDC 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f’dawk il-każijiet meta l-istituzzjoni tapplika d-deroga f’konformità mal-Artikolu 314(3) tar-Regolament (UE) Nru 575/2013.</w:t>
            </w:r>
          </w:p>
        </w:tc>
      </w:tr>
      <w:tr w:rsidR="00D740B8" w:rsidRPr="008D71E9" w14:paraId="687AA3E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75F19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7EA18" w14:textId="77777777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Introjtu mill-imgħax u mil-lokazzjoni</w:t>
            </w:r>
          </w:p>
          <w:p w14:paraId="742C7468" w14:textId="52553B06" w:rsidR="00D740B8" w:rsidRPr="008D71E9" w:rsidRDefault="00D740B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tal-introjtu mill-imgħax mill-assi finanzjarji kollha, ta’ introjtu ieħor minn assi ta’ lokazzjoni u ta’ profitti minn assi ta’ lokazzjoni, f’konformità mal-Anness V tar-Regolament ta’ Implimentazzjoni (UE) 2021/451 inkluż, fejn applikabbli, l-ammonti kkalkolati f’konformità mal-Artikolu 314(3)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D740B8" w:rsidRPr="008D71E9" w14:paraId="07825B9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DD05F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F99FE" w14:textId="77777777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Spiża tal-imgħax u tal-lokazzjoni</w:t>
            </w:r>
          </w:p>
          <w:p w14:paraId="0FA351B6" w14:textId="0A358A40" w:rsidR="00D740B8" w:rsidRPr="008D71E9" w:rsidRDefault="00D740B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tal-ispejjeż tal-imgħax mill-obbligazzjonijiet finanzjarji kollha, spejjeż oħrajn, spejjeż minn assi ta’ lokazzjoni, telf, deprezzament u indeboliment ta’ assi ta’ lokazzjoni, kif imsemmi fl-Anness V tar-Regolament ta’ Implimentazzjoni tal-Kummissjoni (UE) 2021/451 inkluż, fejn applikabbli, l-ammonti kkalkolati f’konformità mal-Artikolu 314(3)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D740B8" w:rsidRPr="008D71E9" w14:paraId="49B58D8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019E7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E844B" w14:textId="4DD74F59" w:rsidR="00D740B8" w:rsidRPr="008D71E9" w:rsidRDefault="00B76736">
            <w:pPr>
              <w:spacing w:before="60" w:after="120"/>
              <w:jc w:val="both"/>
              <w:rPr>
                <w:rStyle w:val="InstructionsTabelleberschrift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Total ta’ Assi/Komponent ta’ assi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15501679" w14:textId="5BCDFDC6" w:rsidR="00D740B8" w:rsidRPr="008D71E9" w:rsidRDefault="00B7673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Fil-kolonna d), il-komponent tal-assi kif ikkalkolat f’konformità mal-Artikolu 314(2)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FF56C9" w14:textId="3B0DD3E9" w:rsidR="004E3E86" w:rsidRPr="008D71E9" w:rsidRDefault="003E3201" w:rsidP="00373F9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Fil-kolonni l-oħra, l-assi totali għandhom jikkorrispondu għas-somma tal-ammont riportat gross tal-bilanċi tal-flus fil-banek ċentrali u depożiti ta’ domanda, titoli ta’ dejn, self u avvanzi oħrajn kif ukoll l-ammont riportat ta’ derivattivi (ħeġġijiet kummerċjali u ekonomiċi u kontabbiltà għall-iħħeġġjar) u assi soġġetti għal lokazzjonijiet (assi tanġibbli u intanġibbli).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l-entrati għandhom jirreferu għall-Anness V tar-Regolament ta’ Implimentazzjoni tal-Kummissjoni (UE) 2021/451 inkluż, fejn applikabbli, l-ammonti kkalkolati f’konformità mal-Artikolu 314(3)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  </w:t>
            </w:r>
          </w:p>
          <w:p w14:paraId="2655EEC4" w14:textId="6116BB66" w:rsidR="00BC1F18" w:rsidRPr="008D71E9" w:rsidRDefault="00BC1F18" w:rsidP="00BC1F18">
            <w:pPr>
              <w:rPr>
                <w:rFonts w:ascii="Times New Roman" w:hAnsi="Times New Roman"/>
                <w:sz w:val="24"/>
              </w:rPr>
            </w:pPr>
          </w:p>
        </w:tc>
      </w:tr>
      <w:tr w:rsidR="00D740B8" w:rsidRPr="008D71E9" w14:paraId="431D95B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4247A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83663" w14:textId="03959A67" w:rsidR="00D740B8" w:rsidRPr="008D71E9" w:rsidRDefault="00B76736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Introjtu mid-dividend/Komponent ta’ Dividend</w:t>
            </w:r>
          </w:p>
          <w:p w14:paraId="1A066B7B" w14:textId="7F67417D" w:rsidR="00D740B8" w:rsidRPr="008D71E9" w:rsidRDefault="00B76736" w:rsidP="004E3E8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Taħt il-kolonna d), il-komponent tad-dividend kif ikkalkolat f’konformità mal-Artikolu 314(2)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F4B342E" w14:textId="6E4867AC" w:rsidR="004E3E86" w:rsidRPr="008D71E9" w:rsidRDefault="004E3E86" w:rsidP="004E3E86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l-introjtu mid-dividend f’konformità mal-Anness V tar-Regolament ta’ Implimentazzjoni tal-Kummissjoni (UE) 2021/451 inkluż, fejn applikabbli, l-ammonti kkalkolati f’konformità mal-Artikolu 314(3)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3826D3" w:rsidRPr="008D71E9" w14:paraId="3A9CE2B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64302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58B47" w14:textId="77777777" w:rsidR="003826D3" w:rsidRPr="008D71E9" w:rsidRDefault="003826D3" w:rsidP="003826D3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Komponent tas-Servizz (SC)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EFCFDAF" w14:textId="1BEFB0FF" w:rsidR="003826D3" w:rsidRPr="008D71E9" w:rsidRDefault="005E7C4C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tas-Servizz (SC) għandu jiġi kkalkolat f’konformità mal-Artikolu 314(5)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314(4) tar-Regolament (UE) Nru 575/2013, l-istituzzjoni ma għandha tinkludi l-ebda ċifra minn linji operatorji ta’ operazzjonijiet bankarji fil-livell tal-konsumatur u operazzjonijiet bankarji kummerċjali.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3826D3" w:rsidRPr="008D71E9" w14:paraId="74CC77A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24C8A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F1D9A" w14:textId="77777777" w:rsidR="003826D3" w:rsidRPr="008D71E9" w:rsidRDefault="003826D3" w:rsidP="003826D3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Introjtu minn tariffi u minn kummissjonijiet</w:t>
            </w:r>
          </w:p>
          <w:p w14:paraId="388F841F" w14:textId="399AB0C3" w:rsidR="003826D3" w:rsidRPr="008D71E9" w:rsidRDefault="009816D6" w:rsidP="003826D3">
            <w:pPr>
              <w:spacing w:before="60" w:after="120"/>
              <w:jc w:val="both"/>
              <w:rPr>
                <w:rStyle w:val="InstructionsTabelleberschrift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L-introjtu mit-tariffi u mill-kummissjonijiet imsemmi fl-Anness V tar-Regolament ta’ Implimentazzjoni tal-Kummissjoni (UE) 2021/451 u kkalkolat f’konformità mal-Artikolu 314(5) tar-Regolament (UE) Nru 575/2013.</w:t>
            </w:r>
          </w:p>
        </w:tc>
      </w:tr>
      <w:tr w:rsidR="003826D3" w:rsidRPr="008D71E9" w14:paraId="2067785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7D63A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259B2" w14:textId="77777777" w:rsidR="003826D3" w:rsidRPr="008D71E9" w:rsidRDefault="003826D3" w:rsidP="003826D3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Spejjeż ta’ tariffi u ta’ kummissjonijiet</w:t>
            </w:r>
          </w:p>
          <w:p w14:paraId="37B7C759" w14:textId="77939277" w:rsidR="003826D3" w:rsidRPr="008D71E9" w:rsidRDefault="009816D6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L-ispejjeż tat-tariffi u tal-kummissjonijiet imsemmija fl-Anness V tar-Regolament ta’ Implimentazzjoni tal-Kummissjoni (UE) 2021/451 u kkalkolati f’konformità mal-Artikolu 314(5) tar-Regolament (UE) Nru 575/2013.</w:t>
            </w:r>
          </w:p>
        </w:tc>
      </w:tr>
      <w:tr w:rsidR="003826D3" w:rsidRPr="008D71E9" w14:paraId="56FE999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FDD92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40694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Introjtu operatorju ieħor</w:t>
            </w:r>
          </w:p>
          <w:p w14:paraId="035A399D" w14:textId="748A9DAE" w:rsidR="00671F1C" w:rsidRPr="008D71E9" w:rsidRDefault="009816D6" w:rsidP="003826D3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Introjtu operatorju ieħor li jinkludi: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qligħ 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minn assi mhux kurrenti u gruppi ta’ disponiment ikklassifikati bħala miżmuma għall-bejgħ li ma jikkwalifikawx bħala operazzjonijiet li ma tkomplewx (f’każ ta’ telf, il-valuri għandhom jiġu ttrattati bħala żero) u introjtu operatorju ieħor kif imsemmi</w:t>
            </w:r>
            <w:r>
              <w:rPr>
                <w:sz w:val="24"/>
                <w:rFonts w:ascii="Times New Roman" w:hAnsi="Times New Roman"/>
              </w:rPr>
              <w:t xml:space="preserve"> fl-Anness V tar-Regolament ta’ Implimentazzjoni tal-Kummissjoni (UE) 2021/451, iżda eskluż l-introjtu minn lokazzjonijiet operatorji u kwalunkwe entrata ddeterminata skont l-Artikolu 314(7) tar-Regolament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5D1BC1" w14:textId="3C43FE42" w:rsidR="003826D3" w:rsidRPr="008D71E9" w:rsidRDefault="00DE3384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f’din ir-ringiela għandu jiġi kkalkolat f’konformità mal-Artikolu 314(5) tar-Regolament (UE) Nru 575/2013.</w:t>
            </w:r>
          </w:p>
        </w:tc>
      </w:tr>
      <w:tr w:rsidR="003826D3" w:rsidRPr="008D71E9" w14:paraId="278E4D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75E4C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949AD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Spejjeż operatorji oħra</w:t>
            </w:r>
          </w:p>
          <w:p w14:paraId="4E633503" w14:textId="666616FA" w:rsidR="00543CE4" w:rsidRPr="008D71E9" w:rsidRDefault="009816D6" w:rsidP="003826D3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Spejjeż operatorji oħra li jinkludu: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telf minn assi mhux kurrenti u gruppi ta’ disponiment ikklassifikati bħala miżmuma għall-bejgħ li ma jikkwalifikawx bħala operazzjonijiet li ma tkomplewx (fil-każ ta’ qligħ, il-valur għandu jiġi ttrattat bħala żero);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it-telf, l-ispejjeż, il-provvedimenti u impatti finanzjarji oħra kollha relatati ma’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eventi ta’ riskju operazzjonali u spejjeż operatorji oħra kif imsemmi fl-Anness V tar-Regolament ta’ Implimentazzjoni tal-Kummissjoni (UE) 2021/451, bl-esklużjoni ta’ dawk l-entrati li diġà huma divulgati f’partijiet oħra ta’ dan il-mudell, b’mod partikolari kwalunkwe spiża fuq lokazzjonijiet operatorji u entrati ddeterminati skont l-Artikolu 314(7)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1C30F0" w14:textId="6B1C9DD9" w:rsidR="003826D3" w:rsidRPr="008D71E9" w:rsidRDefault="00DE3384" w:rsidP="003826D3">
            <w:pPr>
              <w:spacing w:before="60" w:after="120"/>
              <w:jc w:val="both"/>
              <w:rPr>
                <w:rStyle w:val="InstructionsTabelleberschrift"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f’din ir-ringiela għandu jiġi kkalkolat f’konformità mal-Artikolu 314(5) tar-Regolament (UE) Nru 575/2013.</w:t>
            </w:r>
          </w:p>
        </w:tc>
      </w:tr>
      <w:tr w:rsidR="003826D3" w:rsidRPr="008D71E9" w14:paraId="7FA7A9F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87AB3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7EDDC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Komponent Finanzjarju (FC)</w:t>
            </w:r>
          </w:p>
          <w:p w14:paraId="1C2CD9AE" w14:textId="16B8F7FC" w:rsidR="003826D3" w:rsidRPr="008D71E9" w:rsidRDefault="00DE3384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Il-Komponent Finanzjarju (FC) għandu jiġi kkalkolat f’konformità mal-Artikolu 314(6) tar-Regolament (UE) Nru 575/2013.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314(4) tar-Regolament (UE) Nru 575/2013, l-istituzzjoni ma għandha tinkludi l-ebda ċifra minn linji operatorji ta’ operazzjonijiet bankarji fil-livell tal-konsumatur u operazzjonijiet bankarji kummerċjali.</w:t>
            </w:r>
          </w:p>
        </w:tc>
      </w:tr>
      <w:tr w:rsidR="003826D3" w:rsidRPr="008D71E9" w14:paraId="2B14924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87E8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7BB41" w14:textId="6F0E6551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Profitt jew telf nett applikabbli għall-portafoll tan-negozjar (TB)</w:t>
            </w:r>
          </w:p>
          <w:p w14:paraId="4E177CA3" w14:textId="3117C8C9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Il-profitt jew telf nett applikabbli għall-portafoll tan-negozjar ikkalkolat fuq il-bażi tal-entrati inklużi fil-Mudell F 02.00 “Rapport tal-profitt jew telf” tal-Anness IV tar-Regolament ta’ Implimentazzjoni tal-Kummissjoni (UE) 2021/451.</w:t>
            </w:r>
          </w:p>
          <w:p w14:paraId="761552C0" w14:textId="787E8881" w:rsidR="001E5563" w:rsidRPr="008D71E9" w:rsidRDefault="001E5563" w:rsidP="00C65626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>
              <w:t xml:space="preserve">Il-valuri li għandhom jiġu divulgati se jirriflettu l-valuri kontabilistiċi ddeterminati bl-użu tal-limitu kontabilistiku jew il-limitu prudenzjali (PBA) biex jiġu identifikati l-entrati tal-portafoll tan-negozjar u tal-portafoll bankarju </w:t>
            </w:r>
            <w:r>
              <w:rPr>
                <w:rStyle w:val="normaltextrun"/>
              </w:rPr>
              <w:t xml:space="preserve">għal kull waħda mill-aħħar 3 snin finanzjarji f’konformità mal-Artikolu 314(6) tar-Regolament (UE) Nru 575/2013.</w:t>
            </w:r>
            <w:r>
              <w:rPr>
                <w:rStyle w:val="normaltextrun"/>
              </w:rPr>
              <w:t xml:space="preserve"> </w:t>
            </w:r>
            <w:r>
              <w:t xml:space="preserve"> </w:t>
            </w:r>
          </w:p>
        </w:tc>
      </w:tr>
      <w:tr w:rsidR="003826D3" w:rsidRPr="008D71E9" w14:paraId="769832B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C7174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949CD" w14:textId="505506A8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Profitt jew telf nett applikabbli għall-portafoll bankarju (BB)</w:t>
            </w:r>
          </w:p>
          <w:p w14:paraId="16F13570" w14:textId="2B0892A5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Il-profitt jew telf nett applikabbli għall-portafoll bankarju kkalkolat fuq il-bażi tal-entrati inklużi fil-Mudell F 02.00 “Rapport tal-profitt jew telf” tal-Anness IV tar-Regolament ta’ Implimentazzjoni tal-Kummissjoni (UE) 2021/451.</w:t>
            </w:r>
          </w:p>
          <w:p w14:paraId="3E9BB5BF" w14:textId="02EE9697" w:rsidR="003826D3" w:rsidRPr="008D71E9" w:rsidRDefault="001E5563" w:rsidP="003826D3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>
              <w:t xml:space="preserve">Il-valuri li għandhom jiġu divulgati se jirriflettu l-valuri kontabilistiċi ddeterminati bl-użu tal-limitu kontabilistiku jew il-limitu prudenzjali (PBA) biex jiġu identifikati l-entrati tal-portafoll tan-negozjar u tal-portafoll bankarju </w:t>
            </w:r>
            <w:r>
              <w:rPr>
                <w:rStyle w:val="normaltextrun"/>
              </w:rPr>
              <w:t xml:space="preserve">għal kull waħda mill-aħħar 3 snin finanzjarji f’konformità mal-Artikolu 314(6) tar-Regolament (UE) Nru 575/2013.</w:t>
            </w:r>
          </w:p>
        </w:tc>
      </w:tr>
      <w:tr w:rsidR="003826D3" w:rsidRPr="008D71E9" w14:paraId="4C01E0E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F21AD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EU 3c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BB97F" w14:textId="198C3BBA" w:rsidR="003826D3" w:rsidRPr="008D71E9" w:rsidRDefault="008C3E6A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Approċċ segwit biex jiġi ddeterminat il-limitu TB/BB (PBA jew approċċ tal-kontabbiltà)</w:t>
            </w:r>
          </w:p>
          <w:p w14:paraId="00A81A34" w14:textId="0A7D6D1A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L-approċċ segwit fid-data ta’ referenza għad-determinazzjoni tal-FC: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klassifikazzjoni kontabilistika jew prudenzjali (PBA).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L-approċċ għandu jintuża b’mod konsistenti għall-ammonti divulgati għal kull waħda mill-aħħar tliet snin finanzjarji.</w:t>
            </w:r>
          </w:p>
        </w:tc>
      </w:tr>
      <w:tr w:rsidR="003826D3" w:rsidRPr="008D71E9" w14:paraId="130758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EF276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882AA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Indikatur tan-Negozju (BI)</w:t>
            </w:r>
          </w:p>
          <w:p w14:paraId="35C99FE1" w14:textId="0AFECB29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Il-BI, ikkalkolat f’konformità mal-Artikolu 314(1)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li huwa s-somma tat-tliet komponenti: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ILDC, SC u FC.</w:t>
            </w:r>
          </w:p>
        </w:tc>
      </w:tr>
      <w:tr w:rsidR="003826D3" w:rsidRPr="008D71E9" w14:paraId="45662CD2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9C54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3F910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Komponent tal-Indikatur tan-Negozju (BIC)</w:t>
            </w:r>
          </w:p>
          <w:p w14:paraId="4AC6BDA5" w14:textId="5507A684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Il-BIC ikkalkolat </w:t>
            </w:r>
            <w:r>
              <w:rPr>
                <w:sz w:val="24"/>
                <w:rFonts w:ascii="Times New Roman" w:hAnsi="Times New Roman"/>
              </w:rPr>
              <w:t xml:space="preserve">f’konformità mal-Artikolu 313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3826D3" w:rsidRPr="008D71E9" w14:paraId="246D346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251DF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6a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BD331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BI gross tal-attivitajiet żvestiti esklużi</w:t>
            </w:r>
          </w:p>
          <w:p w14:paraId="4B01F051" w14:textId="6AEF7EE6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L-ammont ta’ BI inklużi l-attivitajiet żvestiti esklużi f’konformità mal-Artikolu 315(2) tar-Regolament (UE) Nru 575/2013</w:t>
            </w:r>
            <w:r>
              <w:rPr>
                <w:sz w:val="24"/>
                <w:b/>
                <w:color w:val="000000" w:themeColor="text1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3826D3" w:rsidRPr="008D71E9" w14:paraId="6ADC8B4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F6F18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6b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96E1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Tnaqqis fil-BI minħabba attivitajiet żvestiti esklużi</w:t>
            </w:r>
          </w:p>
          <w:p w14:paraId="100A0132" w14:textId="636B5EF6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Id-differenza bejn il-BI gross ta’ attivitajiet żvestiti (ringiela 6a) u l-BI totali (ringiela 4).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3826D3" w:rsidRPr="008D71E9" w14:paraId="66494CD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7A112" w14:textId="77777777" w:rsidR="003826D3" w:rsidRPr="008D71E9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EU 6c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B02A2" w14:textId="77777777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Impatt fil-BI ta’ fużjonijiet/akkwiżizzjonijiet</w:t>
            </w:r>
          </w:p>
          <w:p w14:paraId="68B0EB8C" w14:textId="39D74825" w:rsidR="003826D3" w:rsidRPr="008D71E9" w:rsidRDefault="003826D3" w:rsidP="003826D3">
            <w:pPr>
              <w:spacing w:before="60" w:after="120"/>
              <w:jc w:val="both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L-ammont inkluż fil-BI li jikkorrispondi għall-komponenti tal-BI li huma dovuti għal entitajiet jew attivitajiet fużi jew akkwiżiti kkalkolat kif imsemmi fl-Artikolu 315(1) tar-Regolament (UE) Nru 575/2013.</w:t>
            </w:r>
          </w:p>
        </w:tc>
      </w:tr>
    </w:tbl>
    <w:p w14:paraId="2517003F" w14:textId="77777777" w:rsidR="00D740B8" w:rsidRPr="008D71E9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Fonts w:ascii="Times New Roman" w:eastAsia="Arial" w:hAnsi="Times New Roman" w:cs="Times New Roman"/>
          <w:sz w:val="24"/>
        </w:rPr>
      </w:pPr>
    </w:p>
    <w:p w14:paraId="7E7146AD" w14:textId="1649FBD5" w:rsidR="00D740B8" w:rsidRPr="008D71E9" w:rsidRDefault="00D740B8" w:rsidP="00D740B8">
      <w:pPr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OR3 - Rekwiżiti ta’ fondi proprji għar-riskju operazzjonali u ammonti tal-iskopertura għar-riskju.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Mudell fiss</w:t>
      </w:r>
    </w:p>
    <w:p w14:paraId="5AB15A39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60DF34D1" w14:textId="5D91AE75" w:rsidR="00D740B8" w:rsidRPr="008D71E9" w:rsidRDefault="00D740B8" w:rsidP="00D740B8">
      <w:pPr>
        <w:numPr>
          <w:ilvl w:val="0"/>
          <w:numId w:val="1"/>
        </w:numPr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inkluża fil-mudell EU OR3 b’applikazzjoni tal-Artikoli 446(1), il-punt b)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jipprovdi informazzjoni dwar il-kalkolu tar-rekwiżiti ta’ fondi proprji għar-riskju operazzjonali f’konformità mal-Artikoli 312 sa 315 tar-Regolament (UE) Nru 575/2013.</w:t>
      </w:r>
      <w:r>
        <w:rPr>
          <w:sz w:val="24"/>
          <w:rFonts w:ascii="Times New Roman" w:hAnsi="Times New Roman"/>
        </w:rPr>
        <w:t xml:space="preserve"> </w:t>
      </w:r>
    </w:p>
    <w:p w14:paraId="6DFA1648" w14:textId="77777777" w:rsidR="00D740B8" w:rsidRPr="008D71E9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2E35B8A0" w14:textId="77777777" w:rsidR="00D740B8" w:rsidRPr="008D71E9" w:rsidRDefault="00D740B8" w:rsidP="00D740B8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8D71E9" w14:paraId="6F42A4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89E53" w14:textId="77777777" w:rsidR="00D740B8" w:rsidRPr="008D71E9" w:rsidRDefault="00D740B8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ECBF1" w14:textId="77777777" w:rsidR="00D740B8" w:rsidRPr="008D71E9" w:rsidRDefault="00D740B8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D740B8" w:rsidRPr="008D71E9" w14:paraId="6BF3BB0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58A85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FF758" w14:textId="77777777" w:rsidR="00D740B8" w:rsidRPr="008D71E9" w:rsidRDefault="00D740B8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Komponent tal-Indikatur tan-Negozju (BIC)</w:t>
            </w:r>
          </w:p>
          <w:p w14:paraId="1B10BB72" w14:textId="77777777" w:rsidR="00D740B8" w:rsidRPr="008D71E9" w:rsidRDefault="00D740B8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tippreżenta l-Komponent tal-Indikatur tan-Negozju li għandu jiġi kkalkolat f’konformità mal-Artikolu 313 tar-Regolament (UE) Nru 575/2013.</w:t>
            </w:r>
          </w:p>
        </w:tc>
      </w:tr>
      <w:tr w:rsidR="00CA794A" w:rsidRPr="008D71E9" w14:paraId="2713AC1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606E2" w14:textId="48C6967A" w:rsidR="00CA794A" w:rsidRPr="008D71E9" w:rsidRDefault="004A58B5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97C95" w14:textId="1613DFBF" w:rsidR="00CA794A" w:rsidRPr="008D71E9" w:rsidRDefault="004A58B5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(OROF) skont l-Approċċ Alternattiv Standardizzat (ASA) skont l-Artikolu 314(4)</w:t>
            </w:r>
          </w:p>
          <w:p w14:paraId="7762DF0B" w14:textId="6E2ACCB9" w:rsidR="004A58B5" w:rsidRPr="008D71E9" w:rsidRDefault="005B4907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tinkludi r-rekwiżiti ta’ fondi proprji għal-linji operatorji kkunsidrati skont l-Artikolu 314(4), fejn applikabbli, sal-31 ta’ Diċembru 2027 jew sakemm is-superviżur konsolidanti jagħti permess f’konformità mal-Artikolu 314(3), skont liema jiġi l-ewwel.</w:t>
            </w:r>
          </w:p>
        </w:tc>
      </w:tr>
      <w:tr w:rsidR="00D740B8" w:rsidRPr="008D71E9" w14:paraId="362D8FB9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5B321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0B1B93" w14:textId="4FC21868" w:rsidR="00D740B8" w:rsidRPr="00A90BF1" w:rsidRDefault="001918A2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D740B8" w:rsidRPr="008D71E9" w14:paraId="779D05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F8453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42F01" w14:textId="77777777" w:rsidR="00D740B8" w:rsidRPr="008D71E9" w:rsidRDefault="00D740B8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Rekwiżiti ta’ Fondi Proprji (OROF) Minimi Meħtieġa għar-Riskju Operazzjonali</w:t>
            </w:r>
          </w:p>
          <w:p w14:paraId="2A7C24D0" w14:textId="54D9C5FF" w:rsidR="00D740B8" w:rsidRPr="008D71E9" w:rsidRDefault="00977842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Il-kumpens finanzjarju għandu jiġi kkalkolat f’konformità mal-Artikolu 312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ir-ringiela għandha tippreżenta r-Rekwiżiti tal-Fondi Proprji għar-Riskju Operazzjonali li jikkoinċidu mas-somma tal-BIC u r-rekwiżiti ta’ fondi proprji għal-linji operatorji kkunsidrati mill-Artikolu 314(4), fejn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D740B8" w:rsidRPr="00CF1BAE" w14:paraId="078B572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C3902" w14:textId="77777777" w:rsidR="00D740B8" w:rsidRPr="008D71E9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3DB44" w14:textId="00766941" w:rsidR="00D740B8" w:rsidRPr="008D71E9" w:rsidRDefault="00D740B8">
            <w:pPr>
              <w:spacing w:before="60" w:after="120"/>
              <w:jc w:val="both"/>
              <w:rPr>
                <w:rStyle w:val="InstructionsTabelleberschrift"/>
                <w:bCs w:val="0"/>
                <w:sz w:val="24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Ammonti tal-Iskopertura għar-Riskju Operazzjonali (REA)</w:t>
            </w:r>
          </w:p>
          <w:p w14:paraId="317F9BDE" w14:textId="77777777" w:rsidR="00D740B8" w:rsidRPr="00CF1BAE" w:rsidRDefault="00D740B8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Abbażi tal-Artikolu 92(3), il-punt e) u 92 (4) tar-Regolament (UE) Nru 575/2013, din ir-ringiela għandha tiddivulga r-rekwiżiti ta’ fondi proprji fir-ringiela (1) multiplikati bi 12,5.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079B8CA0" w14:textId="77777777" w:rsidR="00D740B8" w:rsidRPr="00CF1BAE" w:rsidRDefault="00D740B8" w:rsidP="00D740B8">
      <w:pPr>
        <w:rPr>
          <w:rFonts w:ascii="Times New Roman" w:hAnsi="Times New Roman" w:cs="Times New Roman"/>
          <w:sz w:val="24"/>
        </w:rPr>
      </w:pPr>
    </w:p>
    <w:p w14:paraId="41C8F396" w14:textId="77777777" w:rsidR="002C1404" w:rsidRDefault="002C1404"/>
    <w:sectPr w:rsidR="002C140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C32A" w14:textId="77777777" w:rsidR="00356B96" w:rsidRDefault="00356B96" w:rsidP="00E114F3">
      <w:r>
        <w:separator/>
      </w:r>
    </w:p>
  </w:endnote>
  <w:endnote w:type="continuationSeparator" w:id="0">
    <w:p w14:paraId="52BFC17B" w14:textId="77777777" w:rsidR="00356B96" w:rsidRDefault="00356B96" w:rsidP="00E114F3">
      <w:r>
        <w:continuationSeparator/>
      </w:r>
    </w:p>
  </w:endnote>
  <w:endnote w:type="continuationNotice" w:id="1">
    <w:p w14:paraId="2613B681" w14:textId="77777777" w:rsidR="00356B96" w:rsidRDefault="00356B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6783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D22A9" w14:textId="77777777" w:rsidR="00E114F3" w:rsidRDefault="00E114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155">
          <w:t>1</w:t>
        </w:r>
        <w:r>
          <w:fldChar w:fldCharType="end"/>
        </w:r>
      </w:p>
    </w:sdtContent>
  </w:sdt>
  <w:p w14:paraId="049F31CB" w14:textId="77777777" w:rsidR="00E114F3" w:rsidRDefault="00E1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BAC8" w14:textId="77777777" w:rsidR="00356B96" w:rsidRDefault="00356B96" w:rsidP="00E114F3">
      <w:r>
        <w:separator/>
      </w:r>
    </w:p>
  </w:footnote>
  <w:footnote w:type="continuationSeparator" w:id="0">
    <w:p w14:paraId="3CF2CA43" w14:textId="77777777" w:rsidR="00356B96" w:rsidRDefault="00356B96" w:rsidP="00E114F3">
      <w:r>
        <w:continuationSeparator/>
      </w:r>
    </w:p>
  </w:footnote>
  <w:footnote w:type="continuationNotice" w:id="1">
    <w:p w14:paraId="25D17D79" w14:textId="77777777" w:rsidR="00356B96" w:rsidRDefault="00356B96"/>
  </w:footnote>
  <w:footnote w:id="2">
    <w:p w14:paraId="3798489D" w14:textId="4B9D2ACC" w:rsidR="00E114F3" w:rsidRPr="008D71E9" w:rsidRDefault="00E114F3" w:rsidP="003D3122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Regolament - UE - 2024/1623 - MT - EUR-Lex (europa.eu)</w:t>
        </w:r>
      </w:hyperlink>
      <w:r>
        <w:t xml:space="preserve">).</w:t>
      </w:r>
    </w:p>
    <w:p w14:paraId="45FB0818" w14:textId="77777777" w:rsidR="00E114F3" w:rsidRPr="008D71E9" w:rsidRDefault="00E114F3" w:rsidP="003D312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1615A102" w:rsidR="00E114F3" w:rsidRDefault="00864ECA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56CE9015" wp14:editId="3A1C732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5" name="Text Box 5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807B26" w14:textId="3B0140B7" w:rsidR="00864ECA" w:rsidRPr="00864ECA" w:rsidRDefault="00864ECA" w:rsidP="00864EC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6CE90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Title:  - Description: Użu Regolari tal-EB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6B807B26" w14:textId="3B0140B7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1028A940" w:rsidR="00E114F3" w:rsidRDefault="00864ECA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02F1B75F" wp14:editId="3120E37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6" name="Text Box 6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2808C3" w14:textId="14E505EC" w:rsidR="00864ECA" w:rsidRPr="00864ECA" w:rsidRDefault="00864ECA" w:rsidP="00864EC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2F1B75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Title:  - Description: Użu Regolari tal-EB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22808C3" w14:textId="14E505EC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505DD969" w:rsidR="00E114F3" w:rsidRDefault="00864ECA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3B6A7D7E" wp14:editId="55F0D6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52C3BA" w14:textId="4F2B949B" w:rsidR="00864ECA" w:rsidRPr="00864ECA" w:rsidRDefault="00864ECA" w:rsidP="00864EC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B6A7D7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152C3BA" w14:textId="4F2B949B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749A0"/>
    <w:multiLevelType w:val="hybridMultilevel"/>
    <w:tmpl w:val="FFFFFFFF"/>
    <w:lvl w:ilvl="0" w:tplc="0CD0E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8B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4D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8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6B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26D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4D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AB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04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27369"/>
    <w:multiLevelType w:val="hybridMultilevel"/>
    <w:tmpl w:val="D17E5BA0"/>
    <w:lvl w:ilvl="0" w:tplc="FFFFFFFF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bullet"/>
      <w:lvlText w:val="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1479303020">
    <w:abstractNumId w:val="7"/>
  </w:num>
  <w:num w:numId="2" w16cid:durableId="1266694335">
    <w:abstractNumId w:val="5"/>
  </w:num>
  <w:num w:numId="3" w16cid:durableId="1815637054">
    <w:abstractNumId w:val="0"/>
  </w:num>
  <w:num w:numId="4" w16cid:durableId="956064537">
    <w:abstractNumId w:val="2"/>
  </w:num>
  <w:num w:numId="5" w16cid:durableId="37778419">
    <w:abstractNumId w:val="3"/>
  </w:num>
  <w:num w:numId="6" w16cid:durableId="803155118">
    <w:abstractNumId w:val="1"/>
  </w:num>
  <w:num w:numId="7" w16cid:durableId="1073312597">
    <w:abstractNumId w:val="6"/>
  </w:num>
  <w:num w:numId="8" w16cid:durableId="896935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D049F"/>
    <w:rsid w:val="00011939"/>
    <w:rsid w:val="00012A75"/>
    <w:rsid w:val="0001405C"/>
    <w:rsid w:val="0001650F"/>
    <w:rsid w:val="00024346"/>
    <w:rsid w:val="00025F22"/>
    <w:rsid w:val="000272B2"/>
    <w:rsid w:val="00030D74"/>
    <w:rsid w:val="0004584F"/>
    <w:rsid w:val="00045858"/>
    <w:rsid w:val="00046439"/>
    <w:rsid w:val="000465B3"/>
    <w:rsid w:val="000576E8"/>
    <w:rsid w:val="0006502A"/>
    <w:rsid w:val="000664FC"/>
    <w:rsid w:val="000665BE"/>
    <w:rsid w:val="00066F9F"/>
    <w:rsid w:val="0006789F"/>
    <w:rsid w:val="00073105"/>
    <w:rsid w:val="000746E8"/>
    <w:rsid w:val="00074F00"/>
    <w:rsid w:val="00075D8B"/>
    <w:rsid w:val="00076263"/>
    <w:rsid w:val="00087F79"/>
    <w:rsid w:val="00090561"/>
    <w:rsid w:val="00095D07"/>
    <w:rsid w:val="00096102"/>
    <w:rsid w:val="000A0D62"/>
    <w:rsid w:val="000A12B5"/>
    <w:rsid w:val="000B16B1"/>
    <w:rsid w:val="000B2704"/>
    <w:rsid w:val="000B2D8F"/>
    <w:rsid w:val="000C1526"/>
    <w:rsid w:val="000C3EAE"/>
    <w:rsid w:val="000C4618"/>
    <w:rsid w:val="000C77E0"/>
    <w:rsid w:val="000D0723"/>
    <w:rsid w:val="000D0DBB"/>
    <w:rsid w:val="000D3111"/>
    <w:rsid w:val="000D4A72"/>
    <w:rsid w:val="000D6DA0"/>
    <w:rsid w:val="000E3AB0"/>
    <w:rsid w:val="000E696C"/>
    <w:rsid w:val="000F08DF"/>
    <w:rsid w:val="000F1044"/>
    <w:rsid w:val="000F2921"/>
    <w:rsid w:val="000F375E"/>
    <w:rsid w:val="000F5C83"/>
    <w:rsid w:val="000F5FED"/>
    <w:rsid w:val="000F6C61"/>
    <w:rsid w:val="00103ABA"/>
    <w:rsid w:val="00105E35"/>
    <w:rsid w:val="0011472E"/>
    <w:rsid w:val="001220D8"/>
    <w:rsid w:val="00127955"/>
    <w:rsid w:val="00131C22"/>
    <w:rsid w:val="00134D05"/>
    <w:rsid w:val="00135C50"/>
    <w:rsid w:val="00136AE4"/>
    <w:rsid w:val="00141217"/>
    <w:rsid w:val="001420EB"/>
    <w:rsid w:val="00142276"/>
    <w:rsid w:val="00142D89"/>
    <w:rsid w:val="001449CE"/>
    <w:rsid w:val="001452C3"/>
    <w:rsid w:val="0015285C"/>
    <w:rsid w:val="00161A8E"/>
    <w:rsid w:val="00162183"/>
    <w:rsid w:val="00165BEF"/>
    <w:rsid w:val="001756BE"/>
    <w:rsid w:val="0017572D"/>
    <w:rsid w:val="00177229"/>
    <w:rsid w:val="001830A3"/>
    <w:rsid w:val="001871DA"/>
    <w:rsid w:val="001918A2"/>
    <w:rsid w:val="00196907"/>
    <w:rsid w:val="001A2C2E"/>
    <w:rsid w:val="001B03D9"/>
    <w:rsid w:val="001B0A1D"/>
    <w:rsid w:val="001B2292"/>
    <w:rsid w:val="001B291D"/>
    <w:rsid w:val="001B3BC1"/>
    <w:rsid w:val="001B500A"/>
    <w:rsid w:val="001B58F8"/>
    <w:rsid w:val="001B6C85"/>
    <w:rsid w:val="001C2B75"/>
    <w:rsid w:val="001C4677"/>
    <w:rsid w:val="001C6CDD"/>
    <w:rsid w:val="001D080D"/>
    <w:rsid w:val="001D11E0"/>
    <w:rsid w:val="001D782E"/>
    <w:rsid w:val="001E1503"/>
    <w:rsid w:val="001E5563"/>
    <w:rsid w:val="001F1176"/>
    <w:rsid w:val="001F7ED3"/>
    <w:rsid w:val="00201011"/>
    <w:rsid w:val="002026B4"/>
    <w:rsid w:val="002026D9"/>
    <w:rsid w:val="002054FC"/>
    <w:rsid w:val="002075AA"/>
    <w:rsid w:val="00211970"/>
    <w:rsid w:val="00216C79"/>
    <w:rsid w:val="002208D1"/>
    <w:rsid w:val="00223530"/>
    <w:rsid w:val="00226DD0"/>
    <w:rsid w:val="00230607"/>
    <w:rsid w:val="00230F64"/>
    <w:rsid w:val="002322F4"/>
    <w:rsid w:val="002354DB"/>
    <w:rsid w:val="00236174"/>
    <w:rsid w:val="0024083E"/>
    <w:rsid w:val="00241FEC"/>
    <w:rsid w:val="00242E08"/>
    <w:rsid w:val="002455B5"/>
    <w:rsid w:val="002457F5"/>
    <w:rsid w:val="00250A53"/>
    <w:rsid w:val="00253C3A"/>
    <w:rsid w:val="00253CF4"/>
    <w:rsid w:val="002558AA"/>
    <w:rsid w:val="00257387"/>
    <w:rsid w:val="0026154A"/>
    <w:rsid w:val="00267B03"/>
    <w:rsid w:val="00270E06"/>
    <w:rsid w:val="00272014"/>
    <w:rsid w:val="0027387E"/>
    <w:rsid w:val="00273B65"/>
    <w:rsid w:val="002755E0"/>
    <w:rsid w:val="00275651"/>
    <w:rsid w:val="00277197"/>
    <w:rsid w:val="002774FB"/>
    <w:rsid w:val="00277E2E"/>
    <w:rsid w:val="002854BD"/>
    <w:rsid w:val="0028730E"/>
    <w:rsid w:val="00287A78"/>
    <w:rsid w:val="002912CA"/>
    <w:rsid w:val="002919DB"/>
    <w:rsid w:val="002A02D1"/>
    <w:rsid w:val="002A213A"/>
    <w:rsid w:val="002A2633"/>
    <w:rsid w:val="002A4A49"/>
    <w:rsid w:val="002A55B5"/>
    <w:rsid w:val="002A7A1C"/>
    <w:rsid w:val="002B0785"/>
    <w:rsid w:val="002B20D8"/>
    <w:rsid w:val="002B2993"/>
    <w:rsid w:val="002B2F6C"/>
    <w:rsid w:val="002B708C"/>
    <w:rsid w:val="002B7BCC"/>
    <w:rsid w:val="002C1404"/>
    <w:rsid w:val="002D0EA4"/>
    <w:rsid w:val="002D5C08"/>
    <w:rsid w:val="002E1556"/>
    <w:rsid w:val="002E28B0"/>
    <w:rsid w:val="002F3CFA"/>
    <w:rsid w:val="002F733A"/>
    <w:rsid w:val="00306E05"/>
    <w:rsid w:val="003134EA"/>
    <w:rsid w:val="00313B19"/>
    <w:rsid w:val="00313BE5"/>
    <w:rsid w:val="003140BC"/>
    <w:rsid w:val="00322C5B"/>
    <w:rsid w:val="0032312B"/>
    <w:rsid w:val="0032508D"/>
    <w:rsid w:val="00325595"/>
    <w:rsid w:val="003260B9"/>
    <w:rsid w:val="00331494"/>
    <w:rsid w:val="00332B2B"/>
    <w:rsid w:val="00340DA2"/>
    <w:rsid w:val="00340F5A"/>
    <w:rsid w:val="0034291F"/>
    <w:rsid w:val="0034713B"/>
    <w:rsid w:val="00350F3E"/>
    <w:rsid w:val="00352E37"/>
    <w:rsid w:val="00352E7B"/>
    <w:rsid w:val="00353854"/>
    <w:rsid w:val="00356B96"/>
    <w:rsid w:val="00356C56"/>
    <w:rsid w:val="0036264E"/>
    <w:rsid w:val="00366387"/>
    <w:rsid w:val="00370155"/>
    <w:rsid w:val="00371504"/>
    <w:rsid w:val="00373F9D"/>
    <w:rsid w:val="0037691C"/>
    <w:rsid w:val="003826D3"/>
    <w:rsid w:val="003858A3"/>
    <w:rsid w:val="00390609"/>
    <w:rsid w:val="003930C3"/>
    <w:rsid w:val="00393427"/>
    <w:rsid w:val="00393FEF"/>
    <w:rsid w:val="00394AE0"/>
    <w:rsid w:val="003A11C2"/>
    <w:rsid w:val="003A134B"/>
    <w:rsid w:val="003A1367"/>
    <w:rsid w:val="003A3338"/>
    <w:rsid w:val="003A752D"/>
    <w:rsid w:val="003B0795"/>
    <w:rsid w:val="003B12FB"/>
    <w:rsid w:val="003B40C6"/>
    <w:rsid w:val="003C0178"/>
    <w:rsid w:val="003C7646"/>
    <w:rsid w:val="003D3122"/>
    <w:rsid w:val="003D36FD"/>
    <w:rsid w:val="003D49FC"/>
    <w:rsid w:val="003D54AC"/>
    <w:rsid w:val="003D5875"/>
    <w:rsid w:val="003E1A11"/>
    <w:rsid w:val="003E207A"/>
    <w:rsid w:val="003E3201"/>
    <w:rsid w:val="003E7CB0"/>
    <w:rsid w:val="003F52CD"/>
    <w:rsid w:val="003F5CE4"/>
    <w:rsid w:val="00403F5F"/>
    <w:rsid w:val="00404BBB"/>
    <w:rsid w:val="00405D1E"/>
    <w:rsid w:val="0041073A"/>
    <w:rsid w:val="004129ED"/>
    <w:rsid w:val="00413B96"/>
    <w:rsid w:val="0042443A"/>
    <w:rsid w:val="00425384"/>
    <w:rsid w:val="00430F3A"/>
    <w:rsid w:val="00443CBC"/>
    <w:rsid w:val="00445677"/>
    <w:rsid w:val="004509B7"/>
    <w:rsid w:val="004544AD"/>
    <w:rsid w:val="00456F97"/>
    <w:rsid w:val="00457089"/>
    <w:rsid w:val="00460310"/>
    <w:rsid w:val="004618A3"/>
    <w:rsid w:val="0046389C"/>
    <w:rsid w:val="00471410"/>
    <w:rsid w:val="004714CE"/>
    <w:rsid w:val="004744D1"/>
    <w:rsid w:val="004849ED"/>
    <w:rsid w:val="00486925"/>
    <w:rsid w:val="00487314"/>
    <w:rsid w:val="0049000A"/>
    <w:rsid w:val="00492339"/>
    <w:rsid w:val="00496389"/>
    <w:rsid w:val="00496A9E"/>
    <w:rsid w:val="004A0952"/>
    <w:rsid w:val="004A18F4"/>
    <w:rsid w:val="004A4A2C"/>
    <w:rsid w:val="004A58B5"/>
    <w:rsid w:val="004A62B8"/>
    <w:rsid w:val="004A7915"/>
    <w:rsid w:val="004B0B6E"/>
    <w:rsid w:val="004B0FCE"/>
    <w:rsid w:val="004B1D55"/>
    <w:rsid w:val="004B6D23"/>
    <w:rsid w:val="004C06C0"/>
    <w:rsid w:val="004C08C6"/>
    <w:rsid w:val="004C2C33"/>
    <w:rsid w:val="004C3206"/>
    <w:rsid w:val="004D442B"/>
    <w:rsid w:val="004D7AAC"/>
    <w:rsid w:val="004E0A33"/>
    <w:rsid w:val="004E2BF2"/>
    <w:rsid w:val="004E3E86"/>
    <w:rsid w:val="004E41F1"/>
    <w:rsid w:val="004E5F6E"/>
    <w:rsid w:val="004E67D0"/>
    <w:rsid w:val="004E7E6A"/>
    <w:rsid w:val="004F22BD"/>
    <w:rsid w:val="004F6309"/>
    <w:rsid w:val="004F7296"/>
    <w:rsid w:val="00501D3A"/>
    <w:rsid w:val="00502CBE"/>
    <w:rsid w:val="005129A3"/>
    <w:rsid w:val="00513E9E"/>
    <w:rsid w:val="005201AB"/>
    <w:rsid w:val="00520A67"/>
    <w:rsid w:val="00521787"/>
    <w:rsid w:val="005227BF"/>
    <w:rsid w:val="005244B2"/>
    <w:rsid w:val="00525D0C"/>
    <w:rsid w:val="00531A16"/>
    <w:rsid w:val="0053230B"/>
    <w:rsid w:val="005323E0"/>
    <w:rsid w:val="00532CFA"/>
    <w:rsid w:val="00533587"/>
    <w:rsid w:val="005346B6"/>
    <w:rsid w:val="00542C4F"/>
    <w:rsid w:val="00543CE4"/>
    <w:rsid w:val="00545C2E"/>
    <w:rsid w:val="005511B4"/>
    <w:rsid w:val="00552616"/>
    <w:rsid w:val="00555026"/>
    <w:rsid w:val="00557E87"/>
    <w:rsid w:val="005644FD"/>
    <w:rsid w:val="00573755"/>
    <w:rsid w:val="0058077D"/>
    <w:rsid w:val="00581EE7"/>
    <w:rsid w:val="00585FE7"/>
    <w:rsid w:val="00594DEA"/>
    <w:rsid w:val="00597741"/>
    <w:rsid w:val="005A0E65"/>
    <w:rsid w:val="005A1D73"/>
    <w:rsid w:val="005A28B3"/>
    <w:rsid w:val="005A56B5"/>
    <w:rsid w:val="005A6F28"/>
    <w:rsid w:val="005B1A6A"/>
    <w:rsid w:val="005B2681"/>
    <w:rsid w:val="005B35FE"/>
    <w:rsid w:val="005B36AF"/>
    <w:rsid w:val="005B4907"/>
    <w:rsid w:val="005B5827"/>
    <w:rsid w:val="005B6691"/>
    <w:rsid w:val="005B76B3"/>
    <w:rsid w:val="005C0169"/>
    <w:rsid w:val="005C361B"/>
    <w:rsid w:val="005C4785"/>
    <w:rsid w:val="005C5685"/>
    <w:rsid w:val="005C7DD8"/>
    <w:rsid w:val="005D02AE"/>
    <w:rsid w:val="005D3B7F"/>
    <w:rsid w:val="005D484F"/>
    <w:rsid w:val="005D78BA"/>
    <w:rsid w:val="005E0DB5"/>
    <w:rsid w:val="005E1172"/>
    <w:rsid w:val="005E426C"/>
    <w:rsid w:val="005E5C07"/>
    <w:rsid w:val="005E651B"/>
    <w:rsid w:val="005E6595"/>
    <w:rsid w:val="005E7C4C"/>
    <w:rsid w:val="005F2270"/>
    <w:rsid w:val="006010B7"/>
    <w:rsid w:val="006020C0"/>
    <w:rsid w:val="00605946"/>
    <w:rsid w:val="00611A03"/>
    <w:rsid w:val="00615045"/>
    <w:rsid w:val="006175E8"/>
    <w:rsid w:val="00617849"/>
    <w:rsid w:val="00620C52"/>
    <w:rsid w:val="006276CF"/>
    <w:rsid w:val="00631769"/>
    <w:rsid w:val="00632F0C"/>
    <w:rsid w:val="00634105"/>
    <w:rsid w:val="006423F0"/>
    <w:rsid w:val="006467E0"/>
    <w:rsid w:val="006515E3"/>
    <w:rsid w:val="00651CFD"/>
    <w:rsid w:val="00654641"/>
    <w:rsid w:val="00663EA2"/>
    <w:rsid w:val="00665EDF"/>
    <w:rsid w:val="00666BFE"/>
    <w:rsid w:val="006671B4"/>
    <w:rsid w:val="00670D9B"/>
    <w:rsid w:val="006710C9"/>
    <w:rsid w:val="00671F1C"/>
    <w:rsid w:val="00672648"/>
    <w:rsid w:val="00672FCF"/>
    <w:rsid w:val="006734FF"/>
    <w:rsid w:val="0067596F"/>
    <w:rsid w:val="00675FB5"/>
    <w:rsid w:val="006825A4"/>
    <w:rsid w:val="006832AC"/>
    <w:rsid w:val="0068676B"/>
    <w:rsid w:val="006943D3"/>
    <w:rsid w:val="006956F2"/>
    <w:rsid w:val="00695DBE"/>
    <w:rsid w:val="006A3134"/>
    <w:rsid w:val="006A3C03"/>
    <w:rsid w:val="006A6B36"/>
    <w:rsid w:val="006B1B9D"/>
    <w:rsid w:val="006B7E63"/>
    <w:rsid w:val="006C306E"/>
    <w:rsid w:val="006C331E"/>
    <w:rsid w:val="006C62E5"/>
    <w:rsid w:val="006D3272"/>
    <w:rsid w:val="006D3A51"/>
    <w:rsid w:val="006D58A9"/>
    <w:rsid w:val="006D76F7"/>
    <w:rsid w:val="006E0F5F"/>
    <w:rsid w:val="006E1A81"/>
    <w:rsid w:val="006E2DDE"/>
    <w:rsid w:val="006E3051"/>
    <w:rsid w:val="006F4C95"/>
    <w:rsid w:val="006F5677"/>
    <w:rsid w:val="00701AB8"/>
    <w:rsid w:val="0070389C"/>
    <w:rsid w:val="00705C67"/>
    <w:rsid w:val="007146FC"/>
    <w:rsid w:val="0071476F"/>
    <w:rsid w:val="00716B43"/>
    <w:rsid w:val="007212B1"/>
    <w:rsid w:val="00721E9C"/>
    <w:rsid w:val="007227C1"/>
    <w:rsid w:val="00725562"/>
    <w:rsid w:val="00727D92"/>
    <w:rsid w:val="0073744A"/>
    <w:rsid w:val="00742D4E"/>
    <w:rsid w:val="00752BA7"/>
    <w:rsid w:val="00753C8F"/>
    <w:rsid w:val="007561ED"/>
    <w:rsid w:val="00756B6D"/>
    <w:rsid w:val="007572BA"/>
    <w:rsid w:val="00757EE7"/>
    <w:rsid w:val="00760B2D"/>
    <w:rsid w:val="00761A99"/>
    <w:rsid w:val="00764F56"/>
    <w:rsid w:val="00765CB0"/>
    <w:rsid w:val="00775BD9"/>
    <w:rsid w:val="00780966"/>
    <w:rsid w:val="00787341"/>
    <w:rsid w:val="007912F6"/>
    <w:rsid w:val="00793C82"/>
    <w:rsid w:val="0079404E"/>
    <w:rsid w:val="00794EEA"/>
    <w:rsid w:val="00795D11"/>
    <w:rsid w:val="007A244C"/>
    <w:rsid w:val="007A7D9C"/>
    <w:rsid w:val="007B0E7E"/>
    <w:rsid w:val="007B37CA"/>
    <w:rsid w:val="007B3E62"/>
    <w:rsid w:val="007B4F63"/>
    <w:rsid w:val="007B716B"/>
    <w:rsid w:val="007B759C"/>
    <w:rsid w:val="007C45A4"/>
    <w:rsid w:val="007C4795"/>
    <w:rsid w:val="007C6DDA"/>
    <w:rsid w:val="007D1B69"/>
    <w:rsid w:val="007D47E8"/>
    <w:rsid w:val="007F107B"/>
    <w:rsid w:val="007F3294"/>
    <w:rsid w:val="007F35C2"/>
    <w:rsid w:val="007F5FB7"/>
    <w:rsid w:val="007F79D0"/>
    <w:rsid w:val="008006BD"/>
    <w:rsid w:val="00800DA8"/>
    <w:rsid w:val="00804617"/>
    <w:rsid w:val="0080619E"/>
    <w:rsid w:val="008064B3"/>
    <w:rsid w:val="00806C37"/>
    <w:rsid w:val="00806D63"/>
    <w:rsid w:val="008073CE"/>
    <w:rsid w:val="008126E2"/>
    <w:rsid w:val="00815D64"/>
    <w:rsid w:val="00820A89"/>
    <w:rsid w:val="008224E4"/>
    <w:rsid w:val="00823C1A"/>
    <w:rsid w:val="008340AA"/>
    <w:rsid w:val="008408B7"/>
    <w:rsid w:val="00841A0D"/>
    <w:rsid w:val="008447E9"/>
    <w:rsid w:val="00853F81"/>
    <w:rsid w:val="00856A58"/>
    <w:rsid w:val="00856FD6"/>
    <w:rsid w:val="008606AB"/>
    <w:rsid w:val="00860C4A"/>
    <w:rsid w:val="00864ECA"/>
    <w:rsid w:val="00864F98"/>
    <w:rsid w:val="008703CB"/>
    <w:rsid w:val="00871AC0"/>
    <w:rsid w:val="008726D2"/>
    <w:rsid w:val="00873664"/>
    <w:rsid w:val="00876FEE"/>
    <w:rsid w:val="00877D06"/>
    <w:rsid w:val="00881740"/>
    <w:rsid w:val="00882C01"/>
    <w:rsid w:val="0088515A"/>
    <w:rsid w:val="00885AC5"/>
    <w:rsid w:val="00891AE6"/>
    <w:rsid w:val="00892FC4"/>
    <w:rsid w:val="008A1C9E"/>
    <w:rsid w:val="008A4CE3"/>
    <w:rsid w:val="008A6B9E"/>
    <w:rsid w:val="008A789A"/>
    <w:rsid w:val="008A7B63"/>
    <w:rsid w:val="008B015F"/>
    <w:rsid w:val="008B71AE"/>
    <w:rsid w:val="008C3E6A"/>
    <w:rsid w:val="008C599A"/>
    <w:rsid w:val="008D0DA3"/>
    <w:rsid w:val="008D220D"/>
    <w:rsid w:val="008D6AE8"/>
    <w:rsid w:val="008D71E9"/>
    <w:rsid w:val="008D73D0"/>
    <w:rsid w:val="008E0228"/>
    <w:rsid w:val="008E4C2C"/>
    <w:rsid w:val="008E7892"/>
    <w:rsid w:val="008F6903"/>
    <w:rsid w:val="00902E47"/>
    <w:rsid w:val="009046C7"/>
    <w:rsid w:val="00907148"/>
    <w:rsid w:val="00911DED"/>
    <w:rsid w:val="00912473"/>
    <w:rsid w:val="009126FD"/>
    <w:rsid w:val="00915138"/>
    <w:rsid w:val="00922520"/>
    <w:rsid w:val="0092318D"/>
    <w:rsid w:val="00926593"/>
    <w:rsid w:val="0093286E"/>
    <w:rsid w:val="00933E3B"/>
    <w:rsid w:val="009361B2"/>
    <w:rsid w:val="009365C9"/>
    <w:rsid w:val="0094124B"/>
    <w:rsid w:val="009419C5"/>
    <w:rsid w:val="00954121"/>
    <w:rsid w:val="00954FB2"/>
    <w:rsid w:val="00956CFD"/>
    <w:rsid w:val="009614D5"/>
    <w:rsid w:val="00962EA7"/>
    <w:rsid w:val="00965CF0"/>
    <w:rsid w:val="009757A9"/>
    <w:rsid w:val="0097685A"/>
    <w:rsid w:val="00977842"/>
    <w:rsid w:val="009816D6"/>
    <w:rsid w:val="00982018"/>
    <w:rsid w:val="00983339"/>
    <w:rsid w:val="00984383"/>
    <w:rsid w:val="00984AB4"/>
    <w:rsid w:val="0098747C"/>
    <w:rsid w:val="00993F77"/>
    <w:rsid w:val="0099479E"/>
    <w:rsid w:val="009A1465"/>
    <w:rsid w:val="009A4AFC"/>
    <w:rsid w:val="009A4E43"/>
    <w:rsid w:val="009B143E"/>
    <w:rsid w:val="009B1F6C"/>
    <w:rsid w:val="009B7607"/>
    <w:rsid w:val="009C194B"/>
    <w:rsid w:val="009C1BC1"/>
    <w:rsid w:val="009C7B8C"/>
    <w:rsid w:val="009D1C49"/>
    <w:rsid w:val="009D2AA7"/>
    <w:rsid w:val="009D43F3"/>
    <w:rsid w:val="009D4A12"/>
    <w:rsid w:val="009D56BD"/>
    <w:rsid w:val="009D76DE"/>
    <w:rsid w:val="009E1FA8"/>
    <w:rsid w:val="009E306F"/>
    <w:rsid w:val="009E3E80"/>
    <w:rsid w:val="009E4370"/>
    <w:rsid w:val="009E565F"/>
    <w:rsid w:val="009F39F6"/>
    <w:rsid w:val="009F423C"/>
    <w:rsid w:val="009F7C59"/>
    <w:rsid w:val="00A02195"/>
    <w:rsid w:val="00A0227E"/>
    <w:rsid w:val="00A0556C"/>
    <w:rsid w:val="00A12978"/>
    <w:rsid w:val="00A17193"/>
    <w:rsid w:val="00A174CD"/>
    <w:rsid w:val="00A17EAD"/>
    <w:rsid w:val="00A215ED"/>
    <w:rsid w:val="00A24AB4"/>
    <w:rsid w:val="00A255AF"/>
    <w:rsid w:val="00A26F9F"/>
    <w:rsid w:val="00A31C3A"/>
    <w:rsid w:val="00A32EDF"/>
    <w:rsid w:val="00A3462E"/>
    <w:rsid w:val="00A35BD7"/>
    <w:rsid w:val="00A42FD7"/>
    <w:rsid w:val="00A45948"/>
    <w:rsid w:val="00A4606C"/>
    <w:rsid w:val="00A47B28"/>
    <w:rsid w:val="00A509DA"/>
    <w:rsid w:val="00A536F4"/>
    <w:rsid w:val="00A5559A"/>
    <w:rsid w:val="00A621C9"/>
    <w:rsid w:val="00A622C1"/>
    <w:rsid w:val="00A633F6"/>
    <w:rsid w:val="00A653D8"/>
    <w:rsid w:val="00A71D9B"/>
    <w:rsid w:val="00A71F37"/>
    <w:rsid w:val="00A72505"/>
    <w:rsid w:val="00A755DF"/>
    <w:rsid w:val="00A7672B"/>
    <w:rsid w:val="00A76A8F"/>
    <w:rsid w:val="00A804B8"/>
    <w:rsid w:val="00A80AD8"/>
    <w:rsid w:val="00A82F75"/>
    <w:rsid w:val="00A843E1"/>
    <w:rsid w:val="00A90BF1"/>
    <w:rsid w:val="00A92258"/>
    <w:rsid w:val="00A9249A"/>
    <w:rsid w:val="00A92AB0"/>
    <w:rsid w:val="00A93038"/>
    <w:rsid w:val="00A945D1"/>
    <w:rsid w:val="00A94BCA"/>
    <w:rsid w:val="00A95CB6"/>
    <w:rsid w:val="00AA36DC"/>
    <w:rsid w:val="00AA5B9A"/>
    <w:rsid w:val="00AB1539"/>
    <w:rsid w:val="00AB31A2"/>
    <w:rsid w:val="00AC150B"/>
    <w:rsid w:val="00AD193C"/>
    <w:rsid w:val="00AD3DCE"/>
    <w:rsid w:val="00AD49B8"/>
    <w:rsid w:val="00AE6902"/>
    <w:rsid w:val="00AF03AE"/>
    <w:rsid w:val="00AF467F"/>
    <w:rsid w:val="00B02F7E"/>
    <w:rsid w:val="00B03935"/>
    <w:rsid w:val="00B0524B"/>
    <w:rsid w:val="00B068B0"/>
    <w:rsid w:val="00B103CE"/>
    <w:rsid w:val="00B14961"/>
    <w:rsid w:val="00B16370"/>
    <w:rsid w:val="00B165EB"/>
    <w:rsid w:val="00B2221A"/>
    <w:rsid w:val="00B23CE1"/>
    <w:rsid w:val="00B24621"/>
    <w:rsid w:val="00B31A1C"/>
    <w:rsid w:val="00B33E68"/>
    <w:rsid w:val="00B34102"/>
    <w:rsid w:val="00B43AD7"/>
    <w:rsid w:val="00B512EE"/>
    <w:rsid w:val="00B522B0"/>
    <w:rsid w:val="00B52679"/>
    <w:rsid w:val="00B53886"/>
    <w:rsid w:val="00B55481"/>
    <w:rsid w:val="00B55900"/>
    <w:rsid w:val="00B567BA"/>
    <w:rsid w:val="00B568CE"/>
    <w:rsid w:val="00B61464"/>
    <w:rsid w:val="00B676B3"/>
    <w:rsid w:val="00B706B1"/>
    <w:rsid w:val="00B707B2"/>
    <w:rsid w:val="00B713A8"/>
    <w:rsid w:val="00B71605"/>
    <w:rsid w:val="00B74EFE"/>
    <w:rsid w:val="00B76288"/>
    <w:rsid w:val="00B76736"/>
    <w:rsid w:val="00B769F2"/>
    <w:rsid w:val="00B76B25"/>
    <w:rsid w:val="00B77A65"/>
    <w:rsid w:val="00B77DC7"/>
    <w:rsid w:val="00B805CD"/>
    <w:rsid w:val="00B84747"/>
    <w:rsid w:val="00B85488"/>
    <w:rsid w:val="00B87F06"/>
    <w:rsid w:val="00B94263"/>
    <w:rsid w:val="00B95A0E"/>
    <w:rsid w:val="00B973FA"/>
    <w:rsid w:val="00B97738"/>
    <w:rsid w:val="00BA3968"/>
    <w:rsid w:val="00BA4C67"/>
    <w:rsid w:val="00BA5732"/>
    <w:rsid w:val="00BA59D8"/>
    <w:rsid w:val="00BA6256"/>
    <w:rsid w:val="00BB704D"/>
    <w:rsid w:val="00BC186D"/>
    <w:rsid w:val="00BC1F18"/>
    <w:rsid w:val="00BC2C89"/>
    <w:rsid w:val="00BC3FB7"/>
    <w:rsid w:val="00BD3A95"/>
    <w:rsid w:val="00BD7206"/>
    <w:rsid w:val="00BD7550"/>
    <w:rsid w:val="00BE15A1"/>
    <w:rsid w:val="00BE42E0"/>
    <w:rsid w:val="00BF3C9E"/>
    <w:rsid w:val="00BF4A7F"/>
    <w:rsid w:val="00BF4BAF"/>
    <w:rsid w:val="00BF4E0B"/>
    <w:rsid w:val="00BF51AD"/>
    <w:rsid w:val="00C0682E"/>
    <w:rsid w:val="00C1741B"/>
    <w:rsid w:val="00C21475"/>
    <w:rsid w:val="00C23912"/>
    <w:rsid w:val="00C248D1"/>
    <w:rsid w:val="00C24966"/>
    <w:rsid w:val="00C305C3"/>
    <w:rsid w:val="00C3314A"/>
    <w:rsid w:val="00C3526F"/>
    <w:rsid w:val="00C35993"/>
    <w:rsid w:val="00C36191"/>
    <w:rsid w:val="00C3709E"/>
    <w:rsid w:val="00C40F35"/>
    <w:rsid w:val="00C411C4"/>
    <w:rsid w:val="00C41FA3"/>
    <w:rsid w:val="00C43700"/>
    <w:rsid w:val="00C4421F"/>
    <w:rsid w:val="00C51633"/>
    <w:rsid w:val="00C524CB"/>
    <w:rsid w:val="00C532CF"/>
    <w:rsid w:val="00C53869"/>
    <w:rsid w:val="00C54B92"/>
    <w:rsid w:val="00C568CA"/>
    <w:rsid w:val="00C65626"/>
    <w:rsid w:val="00C700F4"/>
    <w:rsid w:val="00C703A9"/>
    <w:rsid w:val="00C748ED"/>
    <w:rsid w:val="00C764F0"/>
    <w:rsid w:val="00C90166"/>
    <w:rsid w:val="00C90191"/>
    <w:rsid w:val="00C916C9"/>
    <w:rsid w:val="00C928D9"/>
    <w:rsid w:val="00C94470"/>
    <w:rsid w:val="00C969DD"/>
    <w:rsid w:val="00CA074B"/>
    <w:rsid w:val="00CA3BBF"/>
    <w:rsid w:val="00CA794A"/>
    <w:rsid w:val="00CB0899"/>
    <w:rsid w:val="00CB3224"/>
    <w:rsid w:val="00CB3237"/>
    <w:rsid w:val="00CB44DC"/>
    <w:rsid w:val="00CB60D9"/>
    <w:rsid w:val="00CD444E"/>
    <w:rsid w:val="00CD4798"/>
    <w:rsid w:val="00CE002E"/>
    <w:rsid w:val="00CE243D"/>
    <w:rsid w:val="00CE373B"/>
    <w:rsid w:val="00CE4B78"/>
    <w:rsid w:val="00CE5334"/>
    <w:rsid w:val="00CF4B75"/>
    <w:rsid w:val="00CF5BBA"/>
    <w:rsid w:val="00CF6DD4"/>
    <w:rsid w:val="00CF7F64"/>
    <w:rsid w:val="00D00F1D"/>
    <w:rsid w:val="00D02186"/>
    <w:rsid w:val="00D05431"/>
    <w:rsid w:val="00D06E45"/>
    <w:rsid w:val="00D07442"/>
    <w:rsid w:val="00D07858"/>
    <w:rsid w:val="00D159DE"/>
    <w:rsid w:val="00D20F89"/>
    <w:rsid w:val="00D26C81"/>
    <w:rsid w:val="00D34497"/>
    <w:rsid w:val="00D42000"/>
    <w:rsid w:val="00D43444"/>
    <w:rsid w:val="00D449C1"/>
    <w:rsid w:val="00D46663"/>
    <w:rsid w:val="00D46E79"/>
    <w:rsid w:val="00D50422"/>
    <w:rsid w:val="00D508C3"/>
    <w:rsid w:val="00D5746A"/>
    <w:rsid w:val="00D57EAD"/>
    <w:rsid w:val="00D60958"/>
    <w:rsid w:val="00D6205F"/>
    <w:rsid w:val="00D62B9C"/>
    <w:rsid w:val="00D64D68"/>
    <w:rsid w:val="00D656A5"/>
    <w:rsid w:val="00D70DE3"/>
    <w:rsid w:val="00D734E2"/>
    <w:rsid w:val="00D740B8"/>
    <w:rsid w:val="00D75EF0"/>
    <w:rsid w:val="00D76A23"/>
    <w:rsid w:val="00D81FA1"/>
    <w:rsid w:val="00D825DD"/>
    <w:rsid w:val="00D82B99"/>
    <w:rsid w:val="00D85DC0"/>
    <w:rsid w:val="00D873C1"/>
    <w:rsid w:val="00D9508C"/>
    <w:rsid w:val="00DA0E14"/>
    <w:rsid w:val="00DA2994"/>
    <w:rsid w:val="00DA47E2"/>
    <w:rsid w:val="00DB1204"/>
    <w:rsid w:val="00DB2BE1"/>
    <w:rsid w:val="00DB2F85"/>
    <w:rsid w:val="00DB51FA"/>
    <w:rsid w:val="00DB5E7D"/>
    <w:rsid w:val="00DC05DC"/>
    <w:rsid w:val="00DC2A2F"/>
    <w:rsid w:val="00DC4922"/>
    <w:rsid w:val="00DC553D"/>
    <w:rsid w:val="00DC65A9"/>
    <w:rsid w:val="00DD0AAA"/>
    <w:rsid w:val="00DD4484"/>
    <w:rsid w:val="00DD6EDE"/>
    <w:rsid w:val="00DE041D"/>
    <w:rsid w:val="00DE0873"/>
    <w:rsid w:val="00DE306F"/>
    <w:rsid w:val="00DE3384"/>
    <w:rsid w:val="00DE3C24"/>
    <w:rsid w:val="00DE4617"/>
    <w:rsid w:val="00DE46B0"/>
    <w:rsid w:val="00DF2FC9"/>
    <w:rsid w:val="00E03FA1"/>
    <w:rsid w:val="00E114F3"/>
    <w:rsid w:val="00E12E35"/>
    <w:rsid w:val="00E13370"/>
    <w:rsid w:val="00E14EBE"/>
    <w:rsid w:val="00E232A6"/>
    <w:rsid w:val="00E25C0C"/>
    <w:rsid w:val="00E2624F"/>
    <w:rsid w:val="00E33540"/>
    <w:rsid w:val="00E339D0"/>
    <w:rsid w:val="00E34291"/>
    <w:rsid w:val="00E35426"/>
    <w:rsid w:val="00E418BA"/>
    <w:rsid w:val="00E420AD"/>
    <w:rsid w:val="00E44051"/>
    <w:rsid w:val="00E46BA5"/>
    <w:rsid w:val="00E472D4"/>
    <w:rsid w:val="00E47A0A"/>
    <w:rsid w:val="00E5460F"/>
    <w:rsid w:val="00E55040"/>
    <w:rsid w:val="00E72306"/>
    <w:rsid w:val="00E7399B"/>
    <w:rsid w:val="00E739E8"/>
    <w:rsid w:val="00E74500"/>
    <w:rsid w:val="00E810A4"/>
    <w:rsid w:val="00E8156F"/>
    <w:rsid w:val="00E83C2F"/>
    <w:rsid w:val="00E84823"/>
    <w:rsid w:val="00E86D65"/>
    <w:rsid w:val="00E930D2"/>
    <w:rsid w:val="00E93EC2"/>
    <w:rsid w:val="00EA10B1"/>
    <w:rsid w:val="00EA4672"/>
    <w:rsid w:val="00EB181C"/>
    <w:rsid w:val="00EB334E"/>
    <w:rsid w:val="00EB4637"/>
    <w:rsid w:val="00EB5A36"/>
    <w:rsid w:val="00EB5B9E"/>
    <w:rsid w:val="00EC0B2D"/>
    <w:rsid w:val="00EC31D7"/>
    <w:rsid w:val="00EC38AF"/>
    <w:rsid w:val="00EC4ABE"/>
    <w:rsid w:val="00EC5126"/>
    <w:rsid w:val="00EC5CB0"/>
    <w:rsid w:val="00EC6260"/>
    <w:rsid w:val="00ED1CAA"/>
    <w:rsid w:val="00EE0982"/>
    <w:rsid w:val="00EE2C55"/>
    <w:rsid w:val="00EE41EC"/>
    <w:rsid w:val="00EE72D7"/>
    <w:rsid w:val="00EF02B2"/>
    <w:rsid w:val="00EF0863"/>
    <w:rsid w:val="00EF0D3A"/>
    <w:rsid w:val="00EF3514"/>
    <w:rsid w:val="00EF5E19"/>
    <w:rsid w:val="00F0497A"/>
    <w:rsid w:val="00F04F6C"/>
    <w:rsid w:val="00F050C0"/>
    <w:rsid w:val="00F05C8E"/>
    <w:rsid w:val="00F109EB"/>
    <w:rsid w:val="00F12D64"/>
    <w:rsid w:val="00F13925"/>
    <w:rsid w:val="00F15314"/>
    <w:rsid w:val="00F17ACE"/>
    <w:rsid w:val="00F17DB8"/>
    <w:rsid w:val="00F27A79"/>
    <w:rsid w:val="00F32954"/>
    <w:rsid w:val="00F350A5"/>
    <w:rsid w:val="00F360F5"/>
    <w:rsid w:val="00F40946"/>
    <w:rsid w:val="00F41086"/>
    <w:rsid w:val="00F42D1D"/>
    <w:rsid w:val="00F45561"/>
    <w:rsid w:val="00F45FA0"/>
    <w:rsid w:val="00F46777"/>
    <w:rsid w:val="00F471EF"/>
    <w:rsid w:val="00F50AB4"/>
    <w:rsid w:val="00F50C98"/>
    <w:rsid w:val="00F5545D"/>
    <w:rsid w:val="00F60E58"/>
    <w:rsid w:val="00F63909"/>
    <w:rsid w:val="00F6491B"/>
    <w:rsid w:val="00F65F2F"/>
    <w:rsid w:val="00F66BE7"/>
    <w:rsid w:val="00F71C94"/>
    <w:rsid w:val="00F72D18"/>
    <w:rsid w:val="00F733E0"/>
    <w:rsid w:val="00F73806"/>
    <w:rsid w:val="00F73C0B"/>
    <w:rsid w:val="00F75FDA"/>
    <w:rsid w:val="00F77220"/>
    <w:rsid w:val="00F828EB"/>
    <w:rsid w:val="00F83B83"/>
    <w:rsid w:val="00F856E9"/>
    <w:rsid w:val="00F91EBC"/>
    <w:rsid w:val="00F9691B"/>
    <w:rsid w:val="00F96CC1"/>
    <w:rsid w:val="00FA3008"/>
    <w:rsid w:val="00FA5FE3"/>
    <w:rsid w:val="00FA6077"/>
    <w:rsid w:val="00FA77E7"/>
    <w:rsid w:val="00FB2C55"/>
    <w:rsid w:val="00FB3621"/>
    <w:rsid w:val="00FB3A31"/>
    <w:rsid w:val="00FC09A0"/>
    <w:rsid w:val="00FC325D"/>
    <w:rsid w:val="00FC35EA"/>
    <w:rsid w:val="00FC4327"/>
    <w:rsid w:val="00FD049F"/>
    <w:rsid w:val="00FE2ACA"/>
    <w:rsid w:val="00FE2C3C"/>
    <w:rsid w:val="00FE315B"/>
    <w:rsid w:val="00FE7EA3"/>
    <w:rsid w:val="00FF0746"/>
    <w:rsid w:val="00FF2660"/>
    <w:rsid w:val="00FF383E"/>
    <w:rsid w:val="00FF43F5"/>
    <w:rsid w:val="00FF6026"/>
    <w:rsid w:val="040168D1"/>
    <w:rsid w:val="09B4687D"/>
    <w:rsid w:val="0FB33569"/>
    <w:rsid w:val="1099E001"/>
    <w:rsid w:val="11B3E1E0"/>
    <w:rsid w:val="170A9DD2"/>
    <w:rsid w:val="18D05918"/>
    <w:rsid w:val="1905675E"/>
    <w:rsid w:val="190B926E"/>
    <w:rsid w:val="19434C61"/>
    <w:rsid w:val="1958ACBD"/>
    <w:rsid w:val="1B530A6C"/>
    <w:rsid w:val="1FBEEBC9"/>
    <w:rsid w:val="20353CAB"/>
    <w:rsid w:val="225DAA7E"/>
    <w:rsid w:val="23494677"/>
    <w:rsid w:val="250ACB92"/>
    <w:rsid w:val="288727C2"/>
    <w:rsid w:val="288A6108"/>
    <w:rsid w:val="28D78DA6"/>
    <w:rsid w:val="2A1FD4BE"/>
    <w:rsid w:val="2F7BCE35"/>
    <w:rsid w:val="3420AE3F"/>
    <w:rsid w:val="36E7BB56"/>
    <w:rsid w:val="3C0DD26A"/>
    <w:rsid w:val="3F0EE72D"/>
    <w:rsid w:val="4216D795"/>
    <w:rsid w:val="4495982A"/>
    <w:rsid w:val="44B77564"/>
    <w:rsid w:val="45ADF715"/>
    <w:rsid w:val="45C20331"/>
    <w:rsid w:val="4C1BA502"/>
    <w:rsid w:val="4FC59EDC"/>
    <w:rsid w:val="503DE061"/>
    <w:rsid w:val="512B8816"/>
    <w:rsid w:val="527FA7DA"/>
    <w:rsid w:val="528FE949"/>
    <w:rsid w:val="530BB453"/>
    <w:rsid w:val="54A2C95F"/>
    <w:rsid w:val="57106895"/>
    <w:rsid w:val="5937C0E4"/>
    <w:rsid w:val="594088A9"/>
    <w:rsid w:val="5C451C5F"/>
    <w:rsid w:val="5E245202"/>
    <w:rsid w:val="5FA26A9F"/>
    <w:rsid w:val="60BDE520"/>
    <w:rsid w:val="633686B6"/>
    <w:rsid w:val="695413D3"/>
    <w:rsid w:val="712C0A6D"/>
    <w:rsid w:val="71E6E887"/>
    <w:rsid w:val="73C7185F"/>
    <w:rsid w:val="75FC7447"/>
    <w:rsid w:val="770D5D1D"/>
    <w:rsid w:val="7948EFE4"/>
    <w:rsid w:val="795C0AA5"/>
    <w:rsid w:val="7B5AC040"/>
    <w:rsid w:val="7D25A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779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F3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E114F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mt-MT"/>
    </w:rPr>
  </w:style>
  <w:style w:type="paragraph" w:styleId="FootnoteText">
    <w:name w:val="footnote text"/>
    <w:basedOn w:val="Normal"/>
    <w:link w:val="FootnoteTextChar"/>
    <w:autoRedefine/>
    <w:qFormat/>
    <w:rsid w:val="003D3122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3D3122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E114F3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E114F3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E114F3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E114F3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E114F3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E114F3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E114F3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E114F3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E114F3"/>
    <w:rPr>
      <w:rFonts w:ascii="Verdana" w:hAnsi="Verdana" w:cs="Times New Roman"/>
      <w:b/>
      <w:bCs/>
      <w:sz w:val="20"/>
      <w:u w:val="single"/>
    </w:rPr>
  </w:style>
  <w:style w:type="paragraph" w:customStyle="1" w:styleId="InstructionsText2">
    <w:name w:val="Instructions Text 2"/>
    <w:basedOn w:val="Normal"/>
    <w:qFormat/>
    <w:rsid w:val="00E114F3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4F3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4F3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241FEC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095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5D07"/>
    <w:rPr>
      <w:sz w:val="20"/>
      <w:szCs w:val="20"/>
      <w:lang w:val="mt-M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5D07"/>
    <w:rPr>
      <w:rFonts w:eastAsiaTheme="minorEastAsia"/>
      <w:sz w:val="20"/>
      <w:szCs w:val="20"/>
      <w:lang w:val="mt-MT"/>
    </w:rPr>
  </w:style>
  <w:style w:type="paragraph" w:customStyle="1" w:styleId="numberedparagraph">
    <w:name w:val="numbered paragraph"/>
    <w:basedOn w:val="Normal"/>
    <w:qFormat/>
    <w:rsid w:val="00095D07"/>
    <w:pPr>
      <w:numPr>
        <w:numId w:val="7"/>
      </w:numPr>
      <w:spacing w:before="240" w:after="120" w:line="276" w:lineRule="auto"/>
      <w:jc w:val="both"/>
    </w:pPr>
    <w:rPr>
      <w:lang w:val="mt-MT"/>
    </w:rPr>
  </w:style>
  <w:style w:type="paragraph" w:customStyle="1" w:styleId="paragraph">
    <w:name w:val="paragraph"/>
    <w:basedOn w:val="Normal"/>
    <w:rsid w:val="00095D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095D07"/>
  </w:style>
  <w:style w:type="character" w:customStyle="1" w:styleId="eop">
    <w:name w:val="eop"/>
    <w:basedOn w:val="DefaultParagraphFont"/>
    <w:rsid w:val="00095D07"/>
  </w:style>
  <w:style w:type="character" w:styleId="Mention">
    <w:name w:val="Mention"/>
    <w:basedOn w:val="DefaultParagraphFont"/>
    <w:uiPriority w:val="99"/>
    <w:unhideWhenUsed/>
    <w:rsid w:val="00095D07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00"/>
    <w:rPr>
      <w:b/>
      <w:bCs/>
      <w:lang w:val="mt-M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00"/>
    <w:rPr>
      <w:rFonts w:eastAsiaTheme="minorEastAsia"/>
      <w:b/>
      <w:bCs/>
      <w:sz w:val="20"/>
      <w:szCs w:val="20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CELEX:32024R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97FCB-9E4A-4741-9004-D2C005DA7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10B54-9DDA-4D8F-ABBF-C95836F37CF7}"/>
</file>

<file path=customXml/itemProps3.xml><?xml version="1.0" encoding="utf-8"?>
<ds:datastoreItem xmlns:ds="http://schemas.openxmlformats.org/officeDocument/2006/customXml" ds:itemID="{CE1527F5-8E48-44D0-BCF7-828AEBBBBB0F}"/>
</file>

<file path=customXml/itemProps4.xml><?xml version="1.0" encoding="utf-8"?>
<ds:datastoreItem xmlns:ds="http://schemas.openxmlformats.org/officeDocument/2006/customXml" ds:itemID="{3AF4A271-6008-4BBF-B3B1-3A3812E5398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3687</Words>
  <Characters>20248</Characters>
  <Application>Microsoft Office Word</Application>
  <DocSecurity>0</DocSecurity>
  <Lines>460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23712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2024-01-16T19:59:00Z</dcterms:created>
  <dcterms:modified xsi:type="dcterms:W3CDTF">2024-09-26T14:33:00Z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2024-09-26T14:33:15Z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1b3d45c3-b119-4dc7-a546-67a8ee009990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