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ANEXO XXX — Quadros e modelos para a divulgação de informações sobre a aplicação do método interno e do método-padrão ao risco de mercado: Instruções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O presente anexo contém as instruções que as instituições devem seguir ao divulgar as informações referidas nos artigos 435.º, 445.º e 455.º do Regulamento (UE) n.º 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(«CRR»), a fim de preencher os quadros e os modelos apresentados no anexo XXIX das soluções informáticas da EBA.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QUADRO EU MRA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– Requisitos de divulgações qualitativas relacionadas com o risco de mercado:</w:t>
      </w:r>
      <w:r>
        <w:rPr>
          <w:rFonts w:ascii="Times New Roman" w:hAnsi="Times New Roman"/>
          <w:sz w:val="24"/>
        </w:rPr>
        <w:t xml:space="preserve"> Caixas de texto livre.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As instituições devem divulgar as informações referidas no artigo 435.º, n.º 1, alíneas a) a d), do Regulamento (UE) n.º 575/2013, seguindo as instruções indicadas abaixo no presente anexo, a fim de preencher o modelo EU MRA apresentado no anexo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Ao divulgarem as informações referidas no artigo 435.º, n.º 1, alíneas a) e d), do Regulamento (UE) n.º 575/2013, sobre os objetivos e políticas em matéria de gestão de risco destinados a gerir o risco de mercado, as instituições devem incluir: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Uma explicação dos seus objetivos estratégicos de gestão para as atividades de negociação;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Uma descrição das políticas a que se refere o artigo 104.º, n.º 1, para determinar que posição deve ser incluída na carteira de negociação, incluindo a definição de posições estáveis e as políticas de gestão de risco para o acompanhamento dessas posições. Além disso, as instituições devem descrever os casos em que os instrumentos são afetados à carteira de negociação ou bancária contrariamente às presunções gerais da sua categoria de instrumentos, incluindo o justo valor de mercado e o justo valor desses casos, bem como qualquer reclassificação de uma carteira para outra desde o último período de comunicação, incluindo o justo valor desses casos e a razão da reclassificação;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Uma descrição das atividades internas de transferência de riscos, incluindo os tipos de serviços internos de transferência de riscos;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Os processos implementados para identificar, medir, monitorizar e controlar os riscos de mercado da instituição;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As políticas de cobertura e de redução de riscos;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 estratégias e os processos para controlar em permanência a eficácia das operações de cobertura.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lastRenderedPageBreak/>
              <w:t>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Ao divulgarem as informações referidas no artigo 435.º, n.º 1, alínea b), do Regulamento (UE) n.º 575/2013, sobre a estrutura e organização da unidade de gestão do risco de mercado, as instituições devem incluir: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Uma descrição da estrutura de governação do risco de mercado criada para implementar as estratégias e os processos das instituições referidos na linha a) acima;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Uma descrição das relações e dos mecanismos de comunicação entre as diferentes partes envolvidas na gestão do risco de mercado.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Ao divulgarem as informações referidas no artigo 435.º, n.º 1, alínea c), do Regulamento (UE) n.º 575/2013, sobre o âmbito e a natureza dos sistemas de comunicação e de medição do risco de mercado, as instituições devem fornecer uma descrição do âmbito e da natureza dos sistemas de comunicação e de medição do risco de mercado.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Ao divulgarem as informações a que se refere o artigo 445.º, n.º 1, do Regulamento (UE) n.º 575/2013 sobre uma panorâmica geral das posições da carteira de negociação, as instituições devem fornecer uma descrição de alto nível das suas posições da carteira de negociação.</w:t>
            </w:r>
          </w:p>
        </w:tc>
      </w:tr>
    </w:tbl>
    <w:p w14:paraId="0A37501D" w14:textId="5B1DE2AB" w:rsidR="00931C32" w:rsidRPr="00F45512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F45512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Modelo EU MR1 — Risco de mercado de acordo com o método-padrão alternativo (ASA):</w:t>
      </w:r>
      <w:r>
        <w:rPr>
          <w:rFonts w:ascii="Times New Roman" w:hAnsi="Times New Roman"/>
          <w:sz w:val="24"/>
        </w:rPr>
        <w:t xml:space="preserve"> formato fixo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As instituições devem divulgar as informações referidas no artigo 445.º do Regulamento (UE) n.º 575/2013, seguindo as instruções indicadas abaixo no presente anexo, a fim de preencher o modelo EU MR1 apresentado no anexo XXIX. </w:t>
      </w:r>
      <w:r>
        <w:rPr>
          <w:rFonts w:ascii="Times New Roman" w:hAnsi="Times New Roman"/>
          <w:color w:val="auto"/>
          <w:sz w:val="24"/>
        </w:rPr>
        <w:t>As instituições não devem incluir neste modelo quaisquer dados sobre o seu balcão interno de transferência de riscos (IRT).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Método baseado nas sensibilidades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a parte 3, título IV, capítulo 1-A, secção 2, do Regulamento (UE) n.º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de taxa de juro geral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i), do Regulamento (UE) n.º 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sobre títulos de capital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v), do Regulamento (UE) n.º 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sobre mercadorias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vi), do Regulamento (UE) n.º 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cambial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vii), do Regulamento (UE) n.º 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Risco de </w:t>
            </w:r>
            <w:r>
              <w:rPr>
                <w:rFonts w:ascii="Times New Roman" w:hAnsi="Times New Roman"/>
                <w:b/>
                <w:i/>
                <w:iCs/>
                <w:sz w:val="24"/>
              </w:rPr>
              <w:t>spread</w:t>
            </w:r>
            <w:r>
              <w:rPr>
                <w:rFonts w:ascii="Times New Roman" w:hAnsi="Times New Roman"/>
                <w:b/>
                <w:sz w:val="24"/>
              </w:rPr>
              <w:t xml:space="preserve"> de crédito (CSR) de não titularizações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ii), do Regulamento (UE) n.º 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Risco de </w:t>
            </w:r>
            <w:r>
              <w:rPr>
                <w:rFonts w:ascii="Times New Roman" w:hAnsi="Times New Roman"/>
                <w:b/>
                <w:i/>
                <w:iCs/>
                <w:sz w:val="24"/>
              </w:rPr>
              <w:t>spread</w:t>
            </w:r>
            <w:r>
              <w:rPr>
                <w:rFonts w:ascii="Times New Roman" w:hAnsi="Times New Roman"/>
                <w:b/>
                <w:sz w:val="24"/>
              </w:rPr>
              <w:t xml:space="preserve"> de crédito de titularizações não incluídas na carteira de negociação de correlação alternativa (CSR não-ACTP).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iii), do Regulamento (UE) n.º 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Risco de </w:t>
            </w:r>
            <w:r>
              <w:rPr>
                <w:rFonts w:ascii="Times New Roman" w:hAnsi="Times New Roman"/>
                <w:b/>
                <w:i/>
                <w:iCs/>
                <w:sz w:val="24"/>
              </w:rPr>
              <w:t>spread</w:t>
            </w:r>
            <w:r>
              <w:rPr>
                <w:rFonts w:ascii="Times New Roman" w:hAnsi="Times New Roman"/>
                <w:b/>
                <w:sz w:val="24"/>
              </w:rPr>
              <w:t xml:space="preserve"> de crédito de titularizações incluídas na carteira de negociação de correlação alternativa (CSR ACTP)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a), e artigo 325.º-D, n.º 1, alínea iv), do Regulamento (UE) n.º 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Risco de incumprimento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a parte 3, título IV, capítulo 1-A, secção 5, do Regulamento (UE) n.º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Não titularizações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em conformidade com o artigo 325.º-C, n.º 2, alínea b), e parte 3, título IV, capítulo 1-A, secção 5, subsecção 1, do Regulamento (UE) n.º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Titularização não incluída na carteira de negociação de correlação alternativa (não-ATCP)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em conformidade com o artigo 325.º-C, n.º 2, alínea b), e parte 3, título IV, capítulo 1-A, secção 5, subsecção 2, do Regulamento (UE) n.º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Titularização incluída na carteira de negociação de correlação alternativa (ATCP)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em conformidade com o artigo 325.º-C, n.º 2, alínea b), e parte 3, título IV, capítulo 1-A, secção 5, subsecção 3, do Regulamento (UE) n.º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Risco residual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 3, título IV, capítulo 1-A, secção 4, do Regulamento (UE) n.º 575/2013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Subjacentes exóticos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c), e artigo 325.º-U, n.º 2, alínea a), do Regulamento (UE) n.º 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Outros riscos residuais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 conformidade com o artigo 325.º-C, n.º 2, alínea c), e artigo 325.º-U, n.º 2, alínea b), do Regulamento (UE) n.º 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Requisitos de fundos próprios totais (OFR)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soma das linhas 1 a EU11b.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Letra da coluna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Requisitos de fundos próprios totais (OFR)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Divulgação dos requisitos de fundos próprios a que se refere o artigo 438.º, alínea d), do Regulamento (UE) n.º 575/2013, calculados como a soma simples dos montantes acima indicados nas linhas 1 a EU 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Quadro EU MRB: Requisitos de divulgação qualitativa para as instituições que utilizam o modelo interno alternativo</w:t>
      </w:r>
      <w:r>
        <w:rPr>
          <w:rFonts w:ascii="Times New Roman" w:hAnsi="Times New Roman"/>
          <w:sz w:val="24"/>
        </w:rPr>
        <w:t>: formato de texto livre.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As instituições devem divulgar as informações referidas no artigo 455.º, alíneas a), b), c), d), e) e f), do Regulamento (UE) n.º 575/2013, seguindo as instruções indicadas abaixo no presente anexo, a fim de preencher o quadro EU MRB apresentado no anexo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Referências jurídicas e instruções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Ao divulgarem as informações referidas no artigo 455.º, n.º 1, do Regulamento (UE) n.º 575/2013, sobre os modelos internos alternativos para o risco de mercado, as instituições devem incluir: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Os objetivos da instituição na realização de atividades de negociação e os processos aplicados para identificar, medir, acompanhar e controlar os riscos de mercado da instituição. Esta informação pode ser fornecida através de uma referência cruzada ao quadro 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As políticas a que se refere o artigo 104.º, n.º 1, para determinar que posições devem ser incluídas na carteira de negociação. Esta informação pode ser fornecida fazendo referência cruzada ao quadro EU MR 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 estrutura e a organização da função de gestão e governação do risco de mercado;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A) B) Descrição geral da estrutura da mesa de negociação e dos tipos de instrumentos incluídos na mesa de negociação AIMA, em conformidade com o artigo 455.º, n.º 1, alíneas c) e d), do Regulamento (UE) n.º 575/2013.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Ao divulgarem as informações a que se refere o artigo 455.º, n.º 1, alínea c), do Regulamento (UE) n.º 575/2013, as instituições devem fornecer uma descrição geral da estrutura das mesas de negociação abrangidas pelos métodos internos referidos no artigo 325.º-AZ, incluindo, para cada mesa, uma descrição geral da estratégia empresarial da mesa, dos instrumentos permitidos na mesma e dos principais tipos de risco relacionados com essa mesa;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Ao divulgarem as informações a que se refere o artigo 455.º, n.º 1, alínea d), do Regulamento (UE) n.º 575/2013, as instituições devem fornecer uma panorâmica geral das posições da carteira de negociação não abrangidas pelos modelos internos referidos no artigo 325.º-AZ, incluindo uma descrição geral da estrutura da mesa e do tipo de instrumentos incluídos nas mesas ou nas categorias de mesas, em conformidade com o artigo 104.º-B;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B) C) E) Descrição das principais características dos modelos utilizados a nível consolidado, incluindo os métodos utilizados na validação dos modelos e nos processos de modelação.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59839F3B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Ao divulgarem as informações a que se refere o artigo 455.º, n.º 1, alínea f), subalínea i), do Regulamento (UE) n.º 575/2013, as instituições devem fornecer: O âmbito, as principais características e as principais opções de modelização dos diferentes modelos internos a que se refere o artigo 325.º-AZ do Regulamento (UE) n.º 575/2013 utilizados para calcular os montantes das posições em risco dos principais modelos utilizados a nível consolidado, bem como uma descrição da medida em que esses modelos internos representam todos os modelos utilizados a nível consolidado, incluindo, se for caso disso: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i) uma descrição geral do método de modelização utilizado para calcular a perda esperada condicional referida no artigo 325.º-BA, n.º 1, alínea a), do CRR, incluindo a frequência da atualização dos dados,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Ao divulgarem as informações a que se refere o artigo 455.º, n.º 1, alínea f), subalínea ii), do Regulamento (UE) n.º 575/2013, as instituições devem incluir, sempre que aplicável: uma descrição geral da metodologia utilizada para calcular a medida do risco num cenário de esforço a que se refere o artigo 325.º-BA, n.º 1, alínea b), do Regulamento (UE) n.º 575/201, para além das especificações previstas no artigo 325.º-BK, n.º 3, do Regulamento (UE) n.º 575/2013.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D) Descrição dos modelos internos para calcular o requisito de fundos próprios para o risco de incumprimento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Ao divulgarem as informações a que se refere o artigo 455.º, n.º 1, alínea f), subalínea iii), do Regulamento (UE) n.º 575/2013, as instituições devem incluir, sempre que aplicável: uma descrição geral do método de modelização utilizado para calcular o requisito de fundos próprios para o risco de incumprimento a que se refere o artigo 325.º-BA, n.º 2, do Regulamento (UE) n.º 575/2013, incluindo a frequência da atualização dos dados.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Modelo EU MR2 – Risco de mercado de acordo com o método alternativo dos modelos internos (AIMA):</w:t>
      </w:r>
      <w:r>
        <w:rPr>
          <w:rFonts w:ascii="Times New Roman" w:hAnsi="Times New Roman"/>
          <w:color w:val="auto"/>
          <w:sz w:val="24"/>
        </w:rPr>
        <w:t xml:space="preserve"> formato fixo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As instituições devem divulgar as informações referidas no artigo 455.º, n.º 2, do Regulamento (UE) n.º 575/2013, seguindo as instruções indicadas abaixo no presente anexo, a fim de preencher o modelo EU MR2 apresentado no anexo XXIX. </w:t>
      </w:r>
      <w:r>
        <w:rPr>
          <w:rFonts w:ascii="Times New Roman" w:hAnsi="Times New Roman"/>
          <w:color w:val="auto"/>
          <w:sz w:val="24"/>
        </w:rPr>
        <w:t>As instituições não devem incluir neste modelo quaisquer dados sobre o seu balcão interno de transferência de riscos (IRT).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condicional sem restrições (UESt)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valor divulgado deve ser calculado ao nível da carteira global e não ao nível de uma categoria geral de risco nos termos dos artigos 325.º-BB e 325.º-BC do Regulamento (UE) n.º 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condicional sem restrições para a categoria de fatores de risco de taxa de juro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valor divulgado deve ser calculado para os fatores de risco da categoria de risco de taxa de juro de acordo com os artigos 325.º-BB, 325.º-BC e 325.º-BD do Regulamento (UE) n.º 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4329CE6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condicional sem restrições para a categoria de fatores de risco de títulos de capital</w:t>
            </w:r>
          </w:p>
          <w:p w14:paraId="4E1BA488" w14:textId="2B866B95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 valor divulgado deve ser calculado para os fatores de risco da categoria de risco sobre títulos de capital de acordo com os </w:t>
            </w:r>
            <w:r>
              <w:rPr>
                <w:rFonts w:ascii="Times New Roman" w:hAnsi="Times New Roman"/>
                <w:sz w:val="24"/>
              </w:rPr>
              <w:lastRenderedPageBreak/>
              <w:t>artigos 325.º</w:t>
            </w:r>
            <w:r w:rsidR="00F45512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BB, 325.º-BC e 325.º-BD do Regulamento (UE) n.º 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condicional sem restrições para a categoria de fatores de risco de mercadorias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O valor divulgado deve ser calculado para os fatores de risco da categoria de risco sobre mercadorias de acordo com os artigos 325.º-BB, 325.º-BC e 325.º-BD do Regulamento (UE) n.º 575/2013.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condicional sem restrições para a categoria de fatores de risco cambial</w:t>
            </w:r>
          </w:p>
          <w:p w14:paraId="1880B223" w14:textId="35DEFEC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 valor divulgado deve ser calculado para os fatores de risco da categoria de risco cambial de acordo com os artigos 325.º-BB, 325.º-BC e 325.º-BD do Regulamento (UE) n.º 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Medida da perda esperada condicional sem restrições para a categoria de fatores de risco de </w:t>
            </w:r>
            <w:r>
              <w:rPr>
                <w:rFonts w:ascii="Times New Roman" w:hAnsi="Times New Roman"/>
                <w:b/>
                <w:i/>
                <w:iCs/>
                <w:sz w:val="24"/>
              </w:rPr>
              <w:t>spread</w:t>
            </w:r>
            <w:r>
              <w:rPr>
                <w:rFonts w:ascii="Times New Roman" w:hAnsi="Times New Roman"/>
                <w:b/>
                <w:sz w:val="24"/>
              </w:rPr>
              <w:t xml:space="preserve"> de crédito </w:t>
            </w:r>
          </w:p>
          <w:p w14:paraId="5C567B92" w14:textId="6E0539B4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 valor divulgado deve ser calculado para os fatores de risco da categoria de risco de </w:t>
            </w:r>
            <w:r>
              <w:rPr>
                <w:rFonts w:ascii="Times New Roman" w:hAnsi="Times New Roman"/>
                <w:i/>
                <w:iCs/>
                <w:sz w:val="24"/>
              </w:rPr>
              <w:t>spread</w:t>
            </w:r>
            <w:r>
              <w:rPr>
                <w:rFonts w:ascii="Times New Roman" w:hAnsi="Times New Roman"/>
                <w:sz w:val="24"/>
              </w:rPr>
              <w:t xml:space="preserve"> de crédito de acordo com os artigos 325.º</w:t>
            </w:r>
            <w:r w:rsidR="00F45512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BB, 325.º-BC e 325.º-BD do Regulamento (UE) n.º 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Soma da medida da perda esperada condicional sem restrições para categorias gerais de fatores de risco (∑UES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i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soma das linhas 2 a 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da perda esperada (ES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medida do risco de perda esperada condicional deve ser calculada em conformidade com o artigo 325.º-BA, n.º 1, alínea a), subalínea i), do Regulamento (UE) n.º 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Medida do risco num cenário de esforço (SS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medida do risco num cenário de esforço deve ser calculada em conformidade com o artigo 325.º-BA, n.º 1, alínea a), subalínea ii), do Regulamento (UE) n.º 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Requisito de fundos próprios para o risco de incumprimento (DRC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requisito de fundos próprios para o risco de incumprimento deve ser calculado em conformidade com o artigo 325.º-BA, n.º 2, alínea a), do Regulamento (UE) n.º 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PLAaddon</w:t>
            </w:r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Este valor deve ser calculado em conformidade com o disposto no artigo 325.º-BA, n.º 3, do Regulamento (UE) n.º 575/2013 em conjunto com o artigo 10.º, n.º 1, do Regulamento (UE)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Soma do OFR para as atividades patrimoniais e extrapatrimoniais com o PLAaddon (AIMA + PLAaddon)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Este valor deve ser calculado em conformidade com o artigo 10.º, n.º 1, do Regulamento (UE) 2022/2059. Deve ser adicionado o valor da linha 11.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 ASA OFR para mesas de negociação não elegíveis para utilização da AIMA (ASAnon-aima)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Este valor deve ser calculado em conformidade com o disposto no artigo 325.º-BA, n.º 3, do Regulamento (UE) n.º 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Diferença dos OFR de acordo com o AIMA e o ASA para as mesas de negociação AIMA (AIMA – ASAaima)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Este valor deve ser calculado como a diferença entre os requisitos de fundos próprios AIMA para as mesas AIMA (artigo 10.º, n.º 1, do Regulamento (UE) 2022/2059) e o valor dos requisitos de fundos próprios ASA para todas as mesas AIMA (perspetiva de carteira) [artigo 10.º, n.º 1, do Regulamento (UE) 2022/2059].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ASA OFR para todas as mesas de negociação (incluindo as sujeitas à AIMA) (carteira ASAall)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Este valor deve ser calculado em conformidade com o disposto no artigo 325.º-BA, n.º 3, do Regulamento (UE) n.º 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Requisitos de fundos próprios totais AIMA (TotalAIMA)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Este valor deve ser calculado em conformidade com o disposto no artigo 325.º-BA, n.º 3, do Regulamento (UE) n.º 575/2013.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Letra da coluna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Divulgação da medida de risco mais recente [linhas 1 a 10] ou dos requisitos de fundos próprios [linhas 11 a 16] no trimestre em curso.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Valor médio da medida de risco [linhas 1 a 10] nos 60 dias úteis anteriores [linhas 1 a 9] ou nas 12 semanas anteriores [linha 10] no trimestre em curso.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Medida de risco mais elevada nos 60 dias úteis anteriores [linhas 1 a 6] no trimestre em curso.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Medida de risco mais baixa nos 60 dias úteis anteriores [linhas 1 a 6] no trimestre em curso.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Número de excessos nas verificações </w:t>
            </w:r>
            <w:r>
              <w:rPr>
                <w:rFonts w:ascii="Times New Roman" w:hAnsi="Times New Roman"/>
                <w:i/>
                <w:iCs/>
                <w:sz w:val="24"/>
              </w:rPr>
              <w:t>a posteriori</w:t>
            </w:r>
            <w:r>
              <w:rPr>
                <w:rFonts w:ascii="Times New Roman" w:hAnsi="Times New Roman"/>
                <w:sz w:val="24"/>
              </w:rPr>
              <w:t xml:space="preserve"> [linha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número de excessos comunicado nesta célula deve ser o número utilizado para a determinação do acréscimo em conformidade com o quadro 3 do artigo 325.º-BF, n.º 6, alínea b), do Regulamento (UE) n.º 575/2013. Os excessos excluídos com a autorização da autoridade competente não devem ser incluídos.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Medida de risco mais recente [linhas 1 a 10] ou requisitos de fundos próprios [linhas 11 a 16] no trimestre anterior.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Valor médio da medida de risco [linhas 1 a 10] nos 60 dias úteis anteriores [linhas 1 a 9] ou nas 12 semanas anteriores [linha 10] no trimestre anterior.</w:t>
            </w:r>
          </w:p>
        </w:tc>
      </w:tr>
    </w:tbl>
    <w:p w14:paraId="60061E4C" w14:textId="6CE0B0D3" w:rsidR="00AA4A0F" w:rsidRPr="00F45512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Modelo EU MR 3 — Risco de mercado de acordo com o método-padrão simplificado (SSA):</w:t>
      </w:r>
      <w:r>
        <w:rPr>
          <w:rFonts w:ascii="Times New Roman" w:hAnsi="Times New Roman"/>
          <w:color w:val="auto"/>
          <w:sz w:val="24"/>
        </w:rPr>
        <w:t xml:space="preserve"> formato fixo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As instituições devem divulgar as informações referidas no artigo 445.º do Regulamento (UE) n.º 575/2013, seguindo as instruções indicadas abaixo no presente anexo, a fim de preencher o modelo EU MR 3 apresentado no anexo XXIX das soluções informáticas.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Risco de taxa de juro (geral e específico)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risco geral e específico das posições em instrumentos de dívida negociados da carteira de negociação, em conformidade com a parte III, título IV, capítulo 2, do Regulamento (UE) n.º 575/2013, excluindo o risco específico associado à titularização.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sobre títulos de capital (geral e específico)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risco geral e específico das posições sobre títulos de capital na carteira de negociação, em conformidade com a parte III, título IV, capítulo 2, do Regulamento (UE) n.º 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sobre mercadorias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risco das posições em mercadorias, em conformidade com a parte III, título IV, capítulo 4, do Regulamento (UE) n.º 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Risco cambial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risco das posições em divisas, em conformidade com a parte III, título IV, capítulo 3, do Regulamento (UE) n.º 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Titularização (risco específico)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O risco específico das posições de titularização na carteira de negociação, em conformidade com a parte III, título IV, capítulo 2, artigos 337.º e 338.º do Regulamento (UE) n.º 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Total OFR S-SA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Divulgação dos requisitos de fundos próprios a que se refere o artigo 438.º, alínea d), do Regulamento (UE) n.º 575/2013, calculados como a soma simples dos montantes acima indicados nas linhas 1 a 5 para a coluna a e calculados como a soma simples dos montantes acima indicados nas linhas 1 a 4 para as colunas b, c e d.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Letra da coluna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Produtos Outright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Posições em produtos que não são opcionais e não estão incluídas nos métodos das NTR para o risco não delta das opções no método-padrão de tratamento do risco de mercado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Opções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Método simplificado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Opções ou warrants, na aceção da parte III, título IV, capítulo 2, artigo 329.º, n.º 3, do Regulamento (UE) n.º 575/2013, para os quais as instituições calculam os requisitos de fundos próprios relacionados com o risco não delta, utilizando o método simplificado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Método Delta-plus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Opções ou warrants da carteira de negociação, na aceção da parte III, título IV, capítulo 2, artigo 329.º, n.º 3, do Regulamento (UE) n.º 575/2013, para os quais as instituições calculam os requisitos de fundos próprios relacionados com o risco não delta, utilizando o método delta +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Método baseado em cenários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Opções ou warrants da carteira de negociação, na aceção da parte III, título IV, capítulo 2, artigo 329.º, n.º 3, do Regulamento (UE) n.º 575/2013, para os quais as instituições calculam os requisitos de fundos próprios relacionados com o risco não delta, utilizando o método dos cenários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F45512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F4551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Regulamento (UE) n.º 575/2013 do Parlamento Europeu e do Conselho, 26 de junho de 2013, relativo aos requisitos prudenciais das instituições de crédito e que altera o Regulamento (UE) n.º 648/2012, com a redação que lhe foi dada pelo Regulamento (UE) 2024/1623 (</w:t>
      </w:r>
      <w:hyperlink r:id="rId1" w:history="1">
        <w:r>
          <w:rPr>
            <w:rStyle w:val="Hyperlink"/>
            <w:color w:val="800080"/>
          </w:rPr>
          <w:t>JO L 176 de 27.6.2013, p.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Regulamento — UE — 2024/1623 — PT — EUR-Lex (europa.eu)</w:t>
        </w:r>
      </w:hyperlink>
      <w:r>
        <w:t>).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ab/>
        <w:t>Como definido no REGULAMENTO DELEGADO (UE) n.º 528/2014 DA COMISSÃO, de 12 de março de 2014, que complementa o Regulamento (UE) n.º 575/2013 do Parlamento Europeu e do Conselho no que diz respeito às normas técnicas de regulamentação relativas ao risco não delta das opções no método-padrão de tratamento do risco de mercado (JO L 148 de 20.5.2014, p. 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Como definido no REGULAMENTO DELEGADO (UE) n.º 528/2014 DA COMISSÃO, de 12 de março de 2014, que complementa o Regulamento (UE) n.º 575/2013 do Parlamento Europeu e do Conselho no que diz respeito às normas técnicas de regulamentação relativas ao risco não delta das opções no método-padrão de tratamento do risco de mercado (JO L 148 de 20.5.2014, p. 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Como definido no REGULAMENTO DELEGADO (UE) n.º 528/2014 DA COMISSÃO, de 12 de março de 2014, que complementa o Regulamento (UE) n.º 575/2013 do Parlamento Europeu e do Conselho no que diz respeito às normas técnicas de regulamentação relativas ao risco não delta das opções no método-padrão de tratamento do risco de mercado (JO L 148 de 20.5.2014, p. 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Como definido no REGULAMENTO DELEGADO (UE) n.º 528/2014 DA COMISSÃO, de 12 de março de 2014, que complementa o Regulamento (UE) n.º 575/2013 do Parlamento Europeu e do Conselho no que diz respeito às normas técnicas de regulamentação relativas ao risco não delta das opções no método-padrão de tratamento do risco de mercado (JO L 148 de 20.5.2014, p. 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45512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pt-P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T/TXT/?uri=OJ:L_202401623" TargetMode="External"/><Relationship Id="rId1" Type="http://schemas.openxmlformats.org/officeDocument/2006/relationships/hyperlink" Target="https://eur-lex.europa.eu/legal-content/P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DFDA-C3DA-4C01-8E7D-933558D78002}"/>
</file>

<file path=customXml/itemProps3.xml><?xml version="1.0" encoding="utf-8"?>
<ds:datastoreItem xmlns:ds="http://schemas.openxmlformats.org/officeDocument/2006/customXml" ds:itemID="{B05895FB-B63B-400C-A66D-FD6C5C2B18F9}"/>
</file>

<file path=customXml/itemProps4.xml><?xml version="1.0" encoding="utf-8"?>
<ds:datastoreItem xmlns:ds="http://schemas.openxmlformats.org/officeDocument/2006/customXml" ds:itemID="{6BBCFC52-622F-4CD9-82F6-0B892BC4F2D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3171</Words>
  <Characters>16839</Characters>
  <Application>Microsoft Office Word</Application>
  <DocSecurity>0</DocSecurity>
  <Lines>481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19733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