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B081" w14:textId="77777777" w:rsidR="00942645" w:rsidRPr="00CA7700" w:rsidRDefault="00942645" w:rsidP="00942645">
      <w:pPr>
        <w:pStyle w:val="Titlelevel2"/>
        <w:spacing w:before="120" w:after="120"/>
        <w:jc w:val="center"/>
        <w:rPr>
          <w:b/>
          <w:color w:val="auto"/>
          <w:sz w:val="24"/>
          <w:u w:val="single"/>
          <w:rFonts w:ascii="Times New Roman" w:hAnsi="Times New Roman" w:cs="Times New Roman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rPr>
          <w:sz w:val="24"/>
          <w:rFonts w:ascii="Times New Roman" w:hAnsi="Times New Roman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Użu Regolari tal-EBA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F07F97" w:rsidRDefault="00942645" w:rsidP="00942645">
                            <w:pPr>
                              <w:rPr>
                                <w:noProof/>
                                <w:color w:val="000000"/>
                                <w:sz w:val="24"/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rFonts w:ascii="Calibri" w:hAnsi="Calibri"/>
                              </w:rPr>
                              <w:t xml:space="preserve">Użu Regolari tal-EBA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Title:  - Description: Użu Regolari tal-EBA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F07F97" w:rsidRDefault="00942645" w:rsidP="00942645">
                      <w:pPr>
                        <w:rPr>
                          <w:noProof/>
                          <w:color w:val="000000"/>
                          <w:sz w:val="24"/>
                          <w:rFonts w:ascii="Calibri" w:eastAsia="Calibri" w:hAnsi="Calibri" w:cs="Calibri"/>
                        </w:rPr>
                      </w:pPr>
                      <w:r>
                        <w:rPr>
                          <w:color w:val="000000"/>
                          <w:sz w:val="24"/>
                          <w:rFonts w:ascii="Calibri" w:hAnsi="Calibri"/>
                        </w:rPr>
                        <w:t xml:space="preserve">Użu Regolari tal-EBA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ANNESS XLII – Tabelli u mudelli tad-divulgazzjoni tar-riskju ta’ aġġustament tal-valwazzjoni tal-kreditu:</w: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 </w: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Struzzjonijiet</w:t>
      </w:r>
    </w:p>
    <w:p w14:paraId="78BB236B" w14:textId="33A761EE" w:rsidR="00942645" w:rsidRPr="00CA7700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Dan l-anness jinkludi l-istruzzjonijiet li l-istituzzjonijiet għandhom japplikaw meta jiddivulgaw l-informazzjoni dwar l-iskopertura tagħhom għar-riskju ta’ aġġustament tal-valwazzjoni tal-kreditu kif imsemmi fit-Titolu VI tal-Parti Tlieta tar-Regolament (UE) Nru 575/2013 (“CRR”)</w:t>
      </w:r>
      <w:r w:rsidRPr="00CA7700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>
        <w:rPr>
          <w:color w:val="auto"/>
          <w:sz w:val="24"/>
          <w:rFonts w:ascii="Times New Roman" w:hAnsi="Times New Roman"/>
        </w:rPr>
        <w:t xml:space="preserve">, fit-tabella ta’ divulgazzjoni u fil-mudelli dwar ir-riskju ta’ CVA kif ippreżentati fl-Anness XLI tas-soluzzjonijiet tal-IT tal-EBA, f’konformità mal-Artikolu 445a tar-Regolament (UE) Nru 575/2013.</w:t>
      </w:r>
      <w:r>
        <w:rPr>
          <w:color w:val="auto"/>
          <w:sz w:val="24"/>
          <w:rFonts w:ascii="Times New Roman" w:hAnsi="Times New Roman"/>
        </w:rPr>
        <w:t xml:space="preserve"> </w:t>
      </w:r>
    </w:p>
    <w:p w14:paraId="3E4AC8EA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560A9B63" w14:textId="77777777" w:rsidR="00942645" w:rsidRPr="00CA7700" w:rsidRDefault="00942645" w:rsidP="00942645">
      <w:pPr>
        <w:pStyle w:val="Titlelevel2"/>
        <w:spacing w:before="120" w:after="120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b/>
          <w:color w:val="auto"/>
          <w:rFonts w:ascii="Times New Roman" w:hAnsi="Times New Roman"/>
        </w:rPr>
        <w:t xml:space="preserve">Tabella EU CVAA:</w:t>
      </w:r>
      <w:r>
        <w:rPr>
          <w:sz w:val="24"/>
          <w:b/>
          <w:color w:val="auto"/>
          <w:rFonts w:ascii="Times New Roman" w:hAnsi="Times New Roman"/>
        </w:rPr>
        <w:t xml:space="preserve"> </w:t>
      </w:r>
      <w:r>
        <w:rPr>
          <w:sz w:val="24"/>
          <w:b/>
          <w:color w:val="auto"/>
          <w:rFonts w:ascii="Times New Roman" w:hAnsi="Times New Roman"/>
        </w:rPr>
        <w:t xml:space="preserve">Rekwiżiti ta’ divulgazzjoni kwalitattiva relatati mar-riskju ta’ aġġustament tal-valwazzjoni tal-kreditu):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color w:val="000000"/>
          <w:rFonts w:ascii="Times New Roman" w:hAnsi="Times New Roman"/>
        </w:rPr>
        <w:t xml:space="preserve">Kaxxi tat-test b’format liberu</w:t>
      </w:r>
      <w:r>
        <w:rPr>
          <w:sz w:val="24"/>
          <w:color w:val="000000"/>
          <w:rFonts w:ascii="Times New Roman" w:hAnsi="Times New Roman"/>
        </w:rPr>
        <w:t xml:space="preserve"> </w:t>
      </w:r>
    </w:p>
    <w:p w14:paraId="6FF811C2" w14:textId="4AAED15E" w:rsidR="00942645" w:rsidRPr="00CA7700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color w:val="auto"/>
          <w:rFonts w:ascii="Times New Roman" w:hAnsi="Times New Roman"/>
        </w:rPr>
        <w:t xml:space="preserve">L-istituzzjonijiet għandhom japplikaw l-istruzzjonijiet ipprovduti hawn taħt sabiex jimlew </w:t>
      </w:r>
      <w:r>
        <w:rPr>
          <w:sz w:val="24"/>
          <w:color w:val="000000" w:themeColor="text1"/>
          <w:rFonts w:ascii="Times New Roman" w:hAnsi="Times New Roman"/>
        </w:rPr>
        <w:t xml:space="preserve">it-tabella EU CVAA kif ippreżentata fl-Anness XLI tas-soluzzjonijiet tal-IT, b’applikazzjoni tal-Artikolu 445a (1), il-punti (a) u (b) tar-</w:t>
      </w:r>
      <w:r>
        <w:rPr>
          <w:sz w:val="24"/>
          <w:color w:val="auto"/>
          <w:rFonts w:ascii="Times New Roman" w:hAnsi="Times New Roman"/>
        </w:rPr>
        <w:t xml:space="preserve">Regolament (UE) Nru 575/2013</w:t>
      </w:r>
      <w:r>
        <w:rPr>
          <w:sz w:val="24"/>
          <w:color w:val="000000" w:themeColor="text1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42645" w:rsidRPr="00CA7700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(a)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212EDF" w:rsidRDefault="0096186C" w:rsidP="00962254">
            <w:pPr>
              <w:spacing w:before="60" w:after="120"/>
              <w:jc w:val="both"/>
              <w:rPr>
                <w:b/>
                <w:bCs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Il-punt (a) tal-Artikolu 445 a(1) CRR</w:t>
            </w:r>
          </w:p>
          <w:p w14:paraId="73666F29" w14:textId="497C6292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meħtieġa fl-Artikolu 445a (1), il-punt (a) tar-Regolament (UE) Nru 575/2013, l-istituzzjonijiet iridu jipprovdu deskrizzjoni tal-proċessi użati għall-ġestjoni tar-riskju ta’ aġġustament tal-valwazzjoni tal-kreditu, inkluża deskrizzjoni tal-proċessi implimentati sabiex jidentifikaw, ikejlu, jimmonitorjaw u jikkontrollaw ir-riskji ta’ aġġustament tal-valwazzjoni tal-kreditu tal-istituzzjoni u deskrizzjoni tal-politiki tagħhom għall-iħħeġġjar u għall-mitigazzjoni tar-riskju u tal-istrateġiji u tal-proċessi għall-monitoraġġ tal-effettività kontinwa tal-ħeġġijiet</w:t>
            </w:r>
          </w:p>
        </w:tc>
      </w:tr>
      <w:tr w:rsidR="00942645" w:rsidRPr="00CA7700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(b)</w:t>
            </w:r>
          </w:p>
        </w:tc>
        <w:tc>
          <w:tcPr>
            <w:tcW w:w="7655" w:type="dxa"/>
          </w:tcPr>
          <w:p w14:paraId="14FA373F" w14:textId="1A83FE77" w:rsidR="0096186C" w:rsidRPr="00212EDF" w:rsidRDefault="0096186C" w:rsidP="00962254">
            <w:pPr>
              <w:spacing w:before="60" w:after="120"/>
              <w:jc w:val="both"/>
              <w:rPr>
                <w:b/>
                <w:bCs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Il-punt (b) tal-Artikolu 445a(1) tas-CRR</w:t>
            </w:r>
          </w:p>
          <w:p w14:paraId="08D093DD" w14:textId="666A3EDB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meħtieġa fl-Artikolu 445a (1), il-punt (b) tar-Regolament (UE) Nru 575/2013, l-istituzzjonijiet iridu jispjegaw jekk il-kundizzjonijiet stabbiliti fl-Artikolu 273a (2) tar-Regolament (UE) Nru 575/2013 humiex issodisfati u meta jiġu ssodisfati dawk il-kundizzjonijiet, jekk l-istituzzjoni għażlitx li tikkalkula r-rekwiżiti ta’ fondi proprji għar-riskju ta’ CVA bl-użu tal-approċċ simplifikat stabbilit fl-Artikolu 385 tar-Regolament (UE) Nru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l-istituzzjonijiet ikunu għażlu li jikkalkolaw ir-rekwiżiti ta’ fondi proprji għar-riskju ta’ CVA bl-użu tal-approċċ simplifikat, ir-rekwiżiti ta’ fondi proprji għar-riskju ta’ CVA f’konformità ma’ dak l-approċċ.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5DFF986C" w14:textId="77777777" w:rsidR="00942645" w:rsidRPr="00CA7700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  <w:lang w:val="en-GB"/>
        </w:rPr>
      </w:pPr>
    </w:p>
    <w:p w14:paraId="31875874" w14:textId="54D7739A" w:rsidR="00942645" w:rsidRPr="00CA7700" w:rsidRDefault="00942645" w:rsidP="00942645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Mudell EU CVA1 - Riskju ta’ aġġustament tal-valwazzjoni tal-kreditu skont l-Approċċ Bażiku Mnaqqas (R-BA):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Format fiss</w:t>
      </w:r>
    </w:p>
    <w:p w14:paraId="30591F3A" w14:textId="450864D5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L-istituzzjonijiet għandhom japplikaw l-istruzzjonijiet ipprovduti hawn taħt f’dan l-Anness sabiex jimlew il-mudell EU CVA1 kif ippreżentat fl-Anness XLI tas-soluzzjonijiet tal-IT, b’applikazzjoni tal-Artikolu 445a (3), il-punti (a) tar-</w:t>
      </w:r>
      <w:r>
        <w:rPr>
          <w:sz w:val="24"/>
          <w:color w:val="auto"/>
          <w:rFonts w:ascii="Times New Roman" w:hAnsi="Times New Roman"/>
        </w:rPr>
        <w:t xml:space="preserve">Regolament (UE) Nru 575/2013</w:t>
      </w:r>
      <w:r>
        <w:rPr>
          <w:sz w:val="24"/>
          <w:color w:val="000000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42645" w:rsidRPr="00CA7700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54484298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Aggregazzjoni ta’ komponenti sistematiċi tar-riskju ta’ CVA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32F93B6" w14:textId="4D694000" w:rsidR="00942645" w:rsidRPr="00CA7700" w:rsidRDefault="00942645" w:rsidP="0096225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384(3)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Komponent tar-rekwiżiti ta’ fondi proprji skont suppożizzjoni ta’ korrelazzjoni perfetta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>
              <w:rPr>
                <w:sz w:val="24"/>
                <w:vertAlign w:val="subscript"/>
                <w:rFonts w:ascii="Times New Roman" w:hAnsi="Times New Roman"/>
              </w:rPr>
              <w:t xml:space="preserve">).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Il-fattur ta’ skont ta’ 0,65 ma għandux jiġi applikat.</w:t>
            </w:r>
          </w:p>
          <w:p w14:paraId="0342ACCD" w14:textId="77777777" w:rsidR="00942645" w:rsidRPr="00CA7700" w:rsidRDefault="00942645" w:rsidP="00962254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</w:tr>
      <w:tr w:rsidR="00942645" w:rsidRPr="00CA7700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196293CA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Aggregazzjoni ta’ komponenti idjosinkratiċi tar-riskju ta’ CVA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5CC615B" w14:textId="674604A6" w:rsidR="00942645" w:rsidRPr="00CA7700" w:rsidRDefault="00942645" w:rsidP="0096225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384(3)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Komponent tar-rekwiżiti ta’ fondi proprji skont suppożizzjoni ta’ korrelazzjoni żero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>
              <w:rPr>
                <w:sz w:val="24"/>
                <w:rFonts w:ascii="Times New Roman" w:hAnsi="Times New Roman"/>
              </w:rPr>
              <w:t xml:space="preserve">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Il-fattur ta’ skont ta’ 0,65 ma għandux jiġi applikat.</w:t>
            </w:r>
          </w:p>
        </w:tc>
      </w:tr>
      <w:tr w:rsidR="00942645" w:rsidRPr="00CA7700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625EFEB1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Total</w:t>
            </w:r>
            <w:r>
              <w:rPr>
                <w:b/>
                <w:rFonts w:ascii="Times New Roman" w:hAnsi="Times New Roman"/>
              </w:rPr>
              <w:t xml:space="preserve"> </w:t>
            </w:r>
          </w:p>
          <w:p w14:paraId="715DBC77" w14:textId="042D3A66" w:rsidR="00942645" w:rsidRPr="00CA7700" w:rsidRDefault="00942645" w:rsidP="00962254">
            <w:pPr>
              <w:pStyle w:val="Default"/>
              <w:spacing w:after="120"/>
              <w:jc w:val="both"/>
              <w:rPr>
                <w:iCs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Ir-rekwiżiti ta’ fondi proprji totali għar-riskju ta’ CVA skont l-Approċċ Bażiku Mnaqqas.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Dan l-ammont huwa ugwali għall-ammont divulgat fil-kolonna (c) tar-ringiela EU 10b tal-mudell EU OV1 jekk l-istituzzjoni tuża l-BA-CVA mnaqqas.</w:t>
            </w:r>
          </w:p>
        </w:tc>
      </w:tr>
      <w:tr w:rsidR="00942645" w:rsidRPr="00CA7700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 xml:space="preserve"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Komponenti tar-rekwiżiti ta’ fondi proprji</w:t>
            </w:r>
          </w:p>
          <w:p w14:paraId="01943208" w14:textId="2AB15DE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Komponenti tar-rekwiżiti ta’ fondi proprji f’konformità mal-Artikolu 384(3) tar-Regolament (UE) Nru 575/2013 għal istituzzjoni li tissodisfa l-kundizzjoni stabbilita fl-Artikolu 384(1), il-punt (b) tar-Regolament (UE) Nru 575/2013.</w:t>
            </w:r>
          </w:p>
        </w:tc>
      </w:tr>
    </w:tbl>
    <w:p w14:paraId="7354F3FD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47105C95" w:rsidR="00942645" w:rsidRPr="00CA7700" w:rsidRDefault="00942645" w:rsidP="00942645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Mudell EU CVA2 - Riskju ta’ aġġustament tal-valwazzjoni tal-kreditu skont l-Approċċ Bażiku Sħiħ (F-BA):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Format fiss</w:t>
      </w:r>
    </w:p>
    <w:p w14:paraId="1AC6C572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L-istituzzjonijiet għandhom japplikaw l-istruzzjonijiet ipprovduti hawn taħt f’dan l-Anness sabiex jimlew il-mudell EU CVA2 kif ippreżentat fl-Anness XLI tas-soluzzjonijiet tal-IT, b’applikazzjoni tal-Artikolu 445a (3), il-punti (a) u (b) tar-</w:t>
      </w:r>
      <w:r>
        <w:rPr>
          <w:sz w:val="24"/>
          <w:color w:val="auto"/>
          <w:rFonts w:ascii="Times New Roman" w:hAnsi="Times New Roman"/>
        </w:rPr>
        <w:t xml:space="preserve">Regolament (UE) Nru 575/2013</w:t>
      </w:r>
      <w:r>
        <w:rPr>
          <w:sz w:val="24"/>
          <w:color w:val="000000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42645" w:rsidRPr="00CA7700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04421C27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BACVA 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csr mhux iħħeġġjat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73EAD60" w14:textId="5EA45F2D" w:rsidR="00942645" w:rsidRPr="00CA7700" w:rsidRDefault="00942645" w:rsidP="00962254">
            <w:pPr>
              <w:pStyle w:val="TableMainHeading"/>
              <w:spacing w:before="60"/>
              <w:jc w:val="both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Komponent tar-rekwiżiti ta’ fondi proprji f’konformità mal-Artikolu 384(3) għal istituzzjoni li tissodisfa l-kundizzjoni stabbilita fl-Artikolu 384(1), il-punt (b)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7F0AADE9" w14:textId="77777777" w:rsidR="00942645" w:rsidRPr="00212EDF" w:rsidRDefault="00942645" w:rsidP="00962254">
            <w:pPr>
              <w:pStyle w:val="TableMainHeading"/>
              <w:spacing w:before="60" w:after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BACVA 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csr iħħeġġjat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7BEC7BE" w14:textId="56260E01" w:rsidR="00942645" w:rsidRPr="00CA7700" w:rsidRDefault="00942645" w:rsidP="00962254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Komponent tar-rekwiżiti ta’ fondi proprji f’konformità mal-Artikolu 384(2) għal istituzzjoni li tissodisfa l-kundizzjoni stabbilita fl-Artikolu 384(1), il-punt (a) tar-Regolament (UE) Nru 575/2013.</w:t>
            </w:r>
          </w:p>
        </w:tc>
      </w:tr>
      <w:tr w:rsidR="00942645" w:rsidRPr="00CA7700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478A4B46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Total</w:t>
            </w:r>
            <w:r>
              <w:rPr>
                <w:b/>
                <w:rFonts w:ascii="Times New Roman" w:hAnsi="Times New Roman"/>
              </w:rPr>
              <w:t xml:space="preserve"> </w:t>
            </w:r>
          </w:p>
          <w:p w14:paraId="1F769140" w14:textId="5695C89E" w:rsidR="00942645" w:rsidRPr="00CA7700" w:rsidRDefault="00942645" w:rsidP="00962254">
            <w:pPr>
              <w:pStyle w:val="Default"/>
              <w:spacing w:after="12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Rekwiżiti ta’ fondi proprji totali għal tranżazzjonijiet soġġetti għall-approċċ bażiku sħiħ kif ikkalkulat f’konformità mal-Artikolu 384(2) għal istituzzjoni li tissodisfa l-kundizzjoni stabbilita fl-Artikolu 384(1)(a) tar-Regolament (UE) Nru 575/2013.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Dan l-ammont huwa ugwali għall-ammont divulgat fil-kolonna (c) tar-ringiela EU 10b tal-mudell EU OV1 jekk l-istituzzjoni tuża l-BA-CVA sħiħ.</w:t>
            </w:r>
          </w:p>
        </w:tc>
      </w:tr>
      <w:tr w:rsidR="00942645" w:rsidRPr="00CA7700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4-EU 6</w:t>
            </w:r>
          </w:p>
        </w:tc>
        <w:tc>
          <w:tcPr>
            <w:tcW w:w="7655" w:type="dxa"/>
          </w:tcPr>
          <w:p w14:paraId="52CA155D" w14:textId="77777777" w:rsidR="00942645" w:rsidRPr="00212EDF" w:rsidRDefault="00942645" w:rsidP="00962254">
            <w:pPr>
              <w:pStyle w:val="Default"/>
              <w:spacing w:before="60"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Ħeġġijiet ta’ CVA</w:t>
            </w:r>
          </w:p>
          <w:p w14:paraId="2DA2624F" w14:textId="77777777" w:rsidR="00942645" w:rsidRPr="00CA7700" w:rsidRDefault="00942645" w:rsidP="00962254">
            <w:pPr>
              <w:pStyle w:val="Default"/>
              <w:spacing w:after="12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 386 tar-Regolament (UE) Nru 575/2013.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CA7700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 xml:space="preserve"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212EDF" w:rsidRDefault="00F94A07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Rekwiżiti ta’ fondi proprji</w:t>
            </w:r>
          </w:p>
          <w:p w14:paraId="1EAAA246" w14:textId="6BD90025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 382 tar-Regolament (UE) Nru 575/2013.</w:t>
            </w:r>
          </w:p>
        </w:tc>
      </w:tr>
      <w:tr w:rsidR="00942645" w:rsidRPr="00CA7700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Nozzjonali ta’ ħeġġijiet ta’ CVA</w:t>
            </w:r>
          </w:p>
          <w:p w14:paraId="6971C72E" w14:textId="002E6959" w:rsidR="00942645" w:rsidRPr="00CA7700" w:rsidRDefault="00942645" w:rsidP="00962254">
            <w:pPr>
              <w:pStyle w:val="Default"/>
              <w:spacing w:after="12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Nozzjonali ta’ ħeġġijiet eliġibbli għal CVA (ammonti grossi), rikonoxxuti f’konformità mal-Artikolu 386 tar-Regolament (UE) Nru 575/2013.</w:t>
            </w:r>
          </w:p>
        </w:tc>
      </w:tr>
    </w:tbl>
    <w:p w14:paraId="262650D7" w14:textId="77777777" w:rsidR="00942645" w:rsidRPr="00CA7700" w:rsidRDefault="00942645" w:rsidP="00942645">
      <w:pPr>
        <w:pStyle w:val="Titlelevel2"/>
        <w:spacing w:before="120" w:after="120"/>
        <w:rPr>
          <w:b/>
          <w:color w:val="auto"/>
          <w:sz w:val="24"/>
          <w:rFonts w:ascii="Times New Roman" w:hAnsi="Times New Roman" w:cs="Times New Roman"/>
        </w:rPr>
      </w:pPr>
      <w:r>
        <w:rPr>
          <w:b/>
          <w:color w:val="auto"/>
          <w:sz w:val="24"/>
          <w:rFonts w:ascii="Times New Roman" w:hAnsi="Times New Roman"/>
        </w:rPr>
        <w:t xml:space="preserve"> </w:t>
      </w:r>
    </w:p>
    <w:p w14:paraId="26F81090" w14:textId="2356F62C" w:rsidR="00942645" w:rsidRPr="00CA7700" w:rsidRDefault="00942645" w:rsidP="00942645">
      <w:pPr>
        <w:pStyle w:val="Titlelevel2"/>
        <w:spacing w:before="120" w:after="120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b/>
          <w:color w:val="auto"/>
          <w:rFonts w:ascii="Times New Roman" w:hAnsi="Times New Roman"/>
        </w:rPr>
        <w:t xml:space="preserve">Tabella EU CVAB:</w:t>
      </w:r>
      <w:r>
        <w:rPr>
          <w:sz w:val="24"/>
          <w:b/>
          <w:color w:val="auto"/>
          <w:rFonts w:ascii="Times New Roman" w:hAnsi="Times New Roman"/>
        </w:rPr>
        <w:t xml:space="preserve"> </w:t>
      </w:r>
      <w:r>
        <w:rPr>
          <w:sz w:val="24"/>
          <w:b/>
          <w:color w:val="auto"/>
          <w:rFonts w:ascii="Times New Roman" w:hAnsi="Times New Roman"/>
        </w:rPr>
        <w:t xml:space="preserve">Rekwiżiti ta’ divulgazzjoni kwalitattiva relatati mar-riskju ta’ CVA għall-istituzzjonijiet li jużaw l-Approċċ Standardizzat: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color w:val="000000"/>
          <w:rFonts w:ascii="Times New Roman" w:hAnsi="Times New Roman"/>
        </w:rPr>
        <w:t xml:space="preserve">Kaxxi tat-test b’format liberu</w:t>
      </w:r>
      <w:r>
        <w:rPr>
          <w:sz w:val="24"/>
          <w:color w:val="000000"/>
          <w:rFonts w:ascii="Times New Roman" w:hAnsi="Times New Roman"/>
        </w:rPr>
        <w:t xml:space="preserve"> </w:t>
      </w:r>
    </w:p>
    <w:p w14:paraId="15A03098" w14:textId="5A4C11E9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color w:val="auto"/>
          <w:rFonts w:ascii="Times New Roman" w:hAnsi="Times New Roman"/>
        </w:rPr>
        <w:t xml:space="preserve">L-istituzzjonijiet għandhom japplikaw l-istruzzjonijiet ipprovduti hawn taħt sabiex jimlew </w:t>
      </w:r>
      <w:r>
        <w:rPr>
          <w:sz w:val="24"/>
          <w:color w:val="000000"/>
          <w:rFonts w:ascii="Times New Roman" w:hAnsi="Times New Roman"/>
        </w:rPr>
        <w:t xml:space="preserve">it-tabella EU CVAA kif ippreżentata fl-Anness XLI tas-soluzzjonijiet tal-IT, b’applikazzjoni tal-Artikolu 445a (2), il-punti (a) tar-Regolament (UE) Nru 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42645" w:rsidRPr="00CA7700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(a)</w:t>
            </w:r>
          </w:p>
        </w:tc>
        <w:tc>
          <w:tcPr>
            <w:tcW w:w="7655" w:type="dxa"/>
            <w:vAlign w:val="center"/>
          </w:tcPr>
          <w:p w14:paraId="5723498B" w14:textId="6623C4D9" w:rsidR="00942645" w:rsidRPr="00CA7700" w:rsidRDefault="00942645" w:rsidP="00C2380E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jiddivulgaw l-informazzjoni meħtieġa fl-Artikolu 445a (2), il-punt (a) tar-Regolament (UE) Nru 575/2013, l-istituzzjonijiet iridu jiddeskrivu l-istruttura u l-organizzazzjoni tal-funzjoni u tal-governanza interni tal-ġestjoni tar-riskju ta’ CVA;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inkluża deskrizzjoni tal-qafas ta’ ġestjoni tar-riskju ta’ CVA tal-bank.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(b)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CA7700" w:rsidRDefault="00942645" w:rsidP="00962254">
            <w:pPr>
              <w:spacing w:before="6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ta’ kif il-maniġment superjuri huwa involut fil-qafas tal-ġestjoni tar-riskju ta’ CVA.</w:t>
            </w:r>
          </w:p>
        </w:tc>
      </w:tr>
      <w:tr w:rsidR="00942645" w:rsidRPr="00CA7700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(c)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CA7700" w:rsidRDefault="00942645" w:rsidP="00962254">
            <w:pPr>
              <w:spacing w:before="6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Ħarsa ġenerali lejn il-governanza tal-qafas tal-ġestjoni tar-riskju ta’ CVA (eż. dokumentazzjoni, unità ta’ kontroll indipendenti, rieżami indipendenti, indipendenza tal-akkwiżizzjoni tad-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mil-linji operatorji)</w:t>
            </w:r>
          </w:p>
        </w:tc>
      </w:tr>
    </w:tbl>
    <w:p w14:paraId="48A22EB2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5CD8C39" w:rsidR="00942645" w:rsidRPr="00CA7700" w:rsidRDefault="00942645" w:rsidP="00942645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CVA3 - Riskju ta’ aġġustament tal-valwazzjoni tal-kreditu skont l-Approċċ Standardizzat (SA):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</w:t>
      </w:r>
    </w:p>
    <w:p w14:paraId="18ADC674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b/>
          <w:color w:val="auto"/>
          <w:sz w:val="24"/>
          <w:rFonts w:ascii="Times New Roman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L-istituzzjonijiet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color w:val="auto"/>
          <w:rFonts w:ascii="Times New Roman" w:hAnsi="Times New Roman"/>
        </w:rPr>
        <w:t xml:space="preserve">għandhom</w:t>
      </w:r>
      <w:r>
        <w:rPr>
          <w:sz w:val="24"/>
          <w:color w:val="000000"/>
          <w:rFonts w:ascii="Times New Roman" w:hAnsi="Times New Roman"/>
        </w:rPr>
        <w:t xml:space="preserve"> japplikaw l-istruzzjonijiet ipprovduti hawn taħt f’dan l-Anness sabiex jimlew il-mudell EU CVA3 kif ippreżentat fl-Anness XLI,</w:t>
      </w:r>
      <w:r>
        <w:rPr>
          <w:sz w:val="24"/>
          <w:color w:val="auto"/>
          <w:rFonts w:ascii="Times New Roman" w:hAnsi="Times New Roman"/>
        </w:rPr>
        <w:t xml:space="preserve"> b’applikazzjoni tal-Artikolu 445a (1), il-punti (c) u l-Artikolu 445a (2), il-punti (b) u (c) tar-Regolament (UE) Nru 575/2013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42645" w:rsidRPr="00CA7700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1-6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212EDF" w:rsidRDefault="00942645" w:rsidP="00962254">
            <w:pPr>
              <w:pStyle w:val="TableNote"/>
              <w:rPr>
                <w:b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Klassijiet tar-riskju</w:t>
            </w:r>
          </w:p>
          <w:p w14:paraId="60828ECC" w14:textId="4B3E3F32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Komponenti tar-rekwiżiti ta’ fondi proprji skont l-approċċ standardizzat (riskju SA-CVA) f’konformità mal-Artikolu 383 tar-Regolament (UE) Nru 575/2013, inkluża diżaggregazzjoni skont il-klassijiet tar-riskju kif definit fl-Artikolu 383(2) (1) tar-Regolament (UE) Nru 575/2013.</w:t>
            </w:r>
          </w:p>
        </w:tc>
      </w:tr>
      <w:tr w:rsidR="00942645" w:rsidRPr="00CA7700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tar-rata tal-imgħax</w:t>
            </w:r>
          </w:p>
          <w:p w14:paraId="16CB1A2E" w14:textId="2B6C4833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383c, 383i, 383j, 383k, 383l, 383m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  <w:vAlign w:val="center"/>
          </w:tcPr>
          <w:p w14:paraId="44DDD750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tal-kambju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D99F846" w14:textId="21475511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383d, 383i, 383j, 383n, 383o tar-Regolament (UE) Nru 575/2013.</w:t>
            </w:r>
          </w:p>
        </w:tc>
      </w:tr>
      <w:tr w:rsidR="00942645" w:rsidRPr="00CA7700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3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212EDF" w:rsidRDefault="00942645" w:rsidP="00962254">
            <w:pPr>
              <w:spacing w:after="120"/>
              <w:jc w:val="both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tal-firxiet ta’ kreditu ta’ referenza</w:t>
            </w:r>
          </w:p>
          <w:p w14:paraId="371E3FA7" w14:textId="67089DA8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383f, 383i, 383j, 383s, 383u tar-Regolament (UE) Nru 575/2013</w:t>
            </w:r>
          </w:p>
        </w:tc>
      </w:tr>
      <w:tr w:rsidR="00942645" w:rsidRPr="00CA7700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4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212EDF" w:rsidRDefault="00942645" w:rsidP="00962254">
            <w:pPr>
              <w:spacing w:before="60" w:after="120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ekwità</w:t>
            </w:r>
          </w:p>
          <w:p w14:paraId="091E1B85" w14:textId="4452A32D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383g, 383i, 383j, 383v, 383w tar-Regolament (UE) Nru 575/2013.</w:t>
            </w:r>
          </w:p>
        </w:tc>
      </w:tr>
      <w:tr w:rsidR="00942645" w:rsidRPr="00CA7700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5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212EDF" w:rsidRDefault="00942645" w:rsidP="00962254">
            <w:pPr>
              <w:spacing w:before="60" w:after="120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tal-komoditajiet</w:t>
            </w:r>
          </w:p>
          <w:p w14:paraId="1503EDB0" w14:textId="5095156A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383h, 383i, 383j, 383x, 383z tar-Regolament (UE) Nru 575/2013.</w:t>
            </w:r>
          </w:p>
        </w:tc>
      </w:tr>
      <w:tr w:rsidR="00942645" w:rsidRPr="00CA7700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6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tal-firxiet ta’ kreditu tal-kontroparti</w:t>
            </w:r>
          </w:p>
          <w:p w14:paraId="3345109B" w14:textId="5DC9DECF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383e, 383i, 383j, 383p 383q, 383r tar-Regolament (UE) Nru 575/2013.</w:t>
            </w:r>
          </w:p>
        </w:tc>
      </w:tr>
      <w:tr w:rsidR="00942645" w:rsidRPr="00CA7700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78C024D4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</w:t>
            </w:r>
          </w:p>
          <w:p w14:paraId="7E51C6A2" w14:textId="0EF0E48B" w:rsidR="00942645" w:rsidRPr="00CA7700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minn 1 sa 6.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l-ammont huwa ugwali għall-ammont divulgat fil-kolonna (c) tar-ringiela EU 10a tal-mudell EU OV1.</w:t>
            </w:r>
          </w:p>
        </w:tc>
      </w:tr>
      <w:tr w:rsidR="00942645" w:rsidRPr="00CA7700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8-EU 13</w:t>
            </w:r>
          </w:p>
        </w:tc>
        <w:tc>
          <w:tcPr>
            <w:tcW w:w="7655" w:type="dxa"/>
          </w:tcPr>
          <w:p w14:paraId="24FDD12C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Tipi ta’ tranżazzjonijiet tal-kontroparti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84E4400" w14:textId="489739D4" w:rsidR="00942645" w:rsidRPr="00212EDF" w:rsidRDefault="00942645" w:rsidP="00E60D1B">
            <w:pPr>
              <w:spacing w:before="6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kontropartijiet tat-tranżazzjonijiet diżaggregati skont it-tip f’konformità mal-istruzzjonijiet fl-Anness V, il-Parti 1, it-Taqsima 6, il-paragrafi 42-44 tas-soluzzjoni tal-IT bl-isem “Rapportar dwar informazzjoni finanzjarja skont l-IFRS u l-informazzjoni tal-GAAP - 2024 - verżjoni 1” [magħmul disponibbli fuq is-sit web tal-EBA].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14</w:t>
            </w:r>
          </w:p>
        </w:tc>
        <w:tc>
          <w:tcPr>
            <w:tcW w:w="7655" w:type="dxa"/>
          </w:tcPr>
          <w:p w14:paraId="18FAC522" w14:textId="77777777" w:rsidR="00942645" w:rsidRPr="00212EDF" w:rsidRDefault="00942645" w:rsidP="00962254">
            <w:pPr>
              <w:spacing w:before="60" w:after="120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</w:t>
            </w:r>
          </w:p>
          <w:p w14:paraId="67696FDB" w14:textId="77777777" w:rsidR="00942645" w:rsidRPr="00CA7700" w:rsidRDefault="00942645" w:rsidP="00962254">
            <w:pPr>
              <w:spacing w:before="60" w:after="120"/>
              <w:rPr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totali ta’ kontropartijiet bħala s-somma tar-ringieli minn EU 8 sa EU 13.</w:t>
            </w:r>
          </w:p>
        </w:tc>
      </w:tr>
      <w:tr w:rsidR="00942645" w:rsidRPr="00CA7700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15-EU 17</w:t>
            </w:r>
          </w:p>
        </w:tc>
        <w:tc>
          <w:tcPr>
            <w:tcW w:w="7655" w:type="dxa"/>
          </w:tcPr>
          <w:p w14:paraId="64353F3E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Ħeġġijiet ta’ CVA</w:t>
            </w:r>
          </w:p>
          <w:p w14:paraId="69C81380" w14:textId="77777777" w:rsidR="00942645" w:rsidRPr="00CA7700" w:rsidRDefault="00942645" w:rsidP="00962254">
            <w:pPr>
              <w:spacing w:before="60" w:after="120"/>
              <w:rPr>
                <w:i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386 tar-Regolament (UE) Nru 575/2013.</w:t>
            </w:r>
          </w:p>
        </w:tc>
      </w:tr>
      <w:tr w:rsidR="00942645" w:rsidRPr="00CA7700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18</w:t>
            </w:r>
          </w:p>
        </w:tc>
        <w:tc>
          <w:tcPr>
            <w:tcW w:w="7655" w:type="dxa"/>
          </w:tcPr>
          <w:p w14:paraId="30C7C944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</w:t>
            </w:r>
          </w:p>
          <w:p w14:paraId="7B810666" w14:textId="77777777" w:rsidR="00942645" w:rsidRPr="00CA7700" w:rsidRDefault="00942645" w:rsidP="00962254">
            <w:pPr>
              <w:spacing w:before="60" w:after="120"/>
              <w:rPr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minn EU 15 sa EU 17.</w:t>
            </w:r>
          </w:p>
        </w:tc>
      </w:tr>
      <w:tr w:rsidR="00942645" w:rsidRPr="00CA7700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 xml:space="preserve"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212EDF" w:rsidRDefault="009B4C5B" w:rsidP="00962254">
            <w:pPr>
              <w:spacing w:after="120"/>
              <w:jc w:val="both"/>
              <w:rPr>
                <w:b/>
                <w:bCs/>
                <w:iCs/>
                <w:sz w:val="24"/>
                <w:szCs w:val="20"/>
                <w:rFonts w:ascii="Times New Roman" w:eastAsia="Times New Roman" w:hAnsi="Times New Roman" w:cs="Times New Roman"/>
              </w:rPr>
            </w:pPr>
            <w:r>
              <w:rPr>
                <w:sz w:val="24"/>
                <w:i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Rekwiżiti ta’ fondi proprji</w:t>
            </w:r>
          </w:p>
          <w:p w14:paraId="1259F031" w14:textId="106FC974" w:rsidR="00942645" w:rsidRPr="00CA7700" w:rsidRDefault="00942645" w:rsidP="00962254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382 tar-Regolament (UE) Nru 575/2013.</w:t>
            </w:r>
          </w:p>
        </w:tc>
      </w:tr>
      <w:tr w:rsidR="00942645" w:rsidRPr="00CA7700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b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Għadd ta’ kontropartijiet</w:t>
            </w:r>
          </w:p>
          <w:p w14:paraId="4B5F72BC" w14:textId="48FA7F47" w:rsidR="00942645" w:rsidRPr="00CA7700" w:rsidRDefault="00942645" w:rsidP="00962254">
            <w:pPr>
              <w:pStyle w:val="TableNote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kontropartijiet kif definiti fl-Artikolu 383(1) tar-Regolament (UE) Nru 575/2013 inklużi fil-kalkolu tar-rekwiżiti ta’ fondi proprji għar-riskju SA-CVA.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77777777" w:rsidR="00942645" w:rsidRPr="00CA7700" w:rsidDel="000073FA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c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Nozzjonali ta’ ħeġġijiet ta’ CVA</w:t>
            </w:r>
          </w:p>
          <w:p w14:paraId="52C0F4DF" w14:textId="77777777" w:rsidR="00942645" w:rsidRPr="00CA7700" w:rsidDel="000073FA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Nozzjonali ta’ ħeġġijiet eliġibbli għal CVA rikonoxxuti f’konformità mal-Artikolu 386 tar-Regolament (UE) Nru 575/2013.</w:t>
            </w:r>
          </w:p>
        </w:tc>
      </w:tr>
    </w:tbl>
    <w:p w14:paraId="56389C84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CA7700" w:rsidRDefault="00942645" w:rsidP="00942645">
      <w:pPr>
        <w:pStyle w:val="Titlelevel2"/>
        <w:spacing w:before="120" w:after="12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Mudell EU CVA4 - Rapporti tal-fluss tal-RWEA għar-riskju ta’ aġġustament tal-valwazzjoni tal-kreditu skont l-Approċċ Standardizzat (SA):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Format fiss</w:t>
      </w:r>
    </w:p>
    <w:p w14:paraId="22E699CE" w14:textId="5A78E63F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color w:val="000000"/>
          <w:sz w:val="24"/>
          <w:rFonts w:ascii="Times New Roman" w:hAnsi="Times New Roman"/>
        </w:rPr>
        <w:t xml:space="preserve">L-istituzzjonijiet għandhom japplikaw l-istruzzjonijiet ipprovduti hawn taħt sabiex jimlew </w:t>
      </w:r>
      <w:r>
        <w:rPr>
          <w:color w:val="000000"/>
          <w:sz w:val="24"/>
          <w:rFonts w:ascii="Times New Roman" w:hAnsi="Times New Roman"/>
        </w:rPr>
        <w:t xml:space="preserve">il-mudell EU CVA4 kif ippreżentat fl-Anness XLI tas-soluzzjonijiet tal-IT, b’applikazzjoni tal-Artikolu 438, il-punti (d) u (h) tar-</w:t>
      </w:r>
      <w:r>
        <w:rPr>
          <w:color w:val="000000"/>
          <w:sz w:val="24"/>
          <w:rFonts w:ascii="Times New Roman" w:hAnsi="Times New Roman"/>
        </w:rPr>
        <w:t xml:space="preserve">Regolament (UE) Nru 575/2013</w:t>
      </w:r>
      <w:r>
        <w:rPr>
          <w:color w:val="000000"/>
          <w:sz w:val="24"/>
          <w:rFonts w:ascii="Times New Roman" w:hAnsi="Times New Roman"/>
        </w:rPr>
        <w:t xml:space="preserve">.</w:t>
      </w:r>
      <w:r>
        <w:rPr>
          <w:color w:val="000000"/>
          <w:sz w:val="24"/>
          <w:rFonts w:ascii="Times New Roman" w:hAnsi="Times New Roman"/>
        </w:rPr>
        <w:t xml:space="preserve"> </w:t>
      </w:r>
    </w:p>
    <w:p w14:paraId="03A729A3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color w:val="000000"/>
          <w:sz w:val="24"/>
          <w:rFonts w:ascii="Times New Roman" w:hAnsi="Times New Roman"/>
        </w:rPr>
        <w:t xml:space="preserve">L-istituzzjonijiet għandhom jissupplimentaw dan il-mudell b’kummentarju narrattiv sabiex jispjegaw kwalunkwe tibdil sinifikanti matul il-perjodu ta’ rapportar u l-fatturi ewlenin ta’ tali tibdiliet.</w:t>
      </w:r>
      <w:r>
        <w:rPr>
          <w:color w:val="000000"/>
          <w:sz w:val="24"/>
          <w:rFonts w:ascii="Times New Roman" w:hAnsi="Times New Roman"/>
        </w:rPr>
        <w:t xml:space="preserve"> </w:t>
      </w:r>
      <w:r>
        <w:rPr>
          <w:color w:val="000000"/>
          <w:sz w:val="24"/>
          <w:rFonts w:ascii="Times New Roman" w:hAnsi="Times New Roman"/>
        </w:rPr>
        <w:t xml:space="preserve">Il-fatturi wara l-bidliet jistgħu jinkludu ċaqliq fil-livelli tar-riskju, bidliet fil-kamp ta’ applikazzjoni (eż. moviment tas-settijiet tan-netting bejn SA-CVA u BA-CVA), l-akkwiżizzjoni jew id-disponiment ta’ linji ta’ negozju/prodotti jew ta’ entitajiet jew ċaqliq fil-qlib tal-valuta barranija</w:t>
      </w:r>
    </w:p>
    <w:p w14:paraId="3EF515BA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77777777" w:rsidR="00942645" w:rsidRPr="00CA7700" w:rsidRDefault="00942645" w:rsidP="00962254">
            <w:pPr>
              <w:rPr>
                <w:b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942645" w:rsidRPr="00CA7700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CA7700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1165D18C" w14:textId="77777777" w:rsidR="00942645" w:rsidRPr="00212EDF" w:rsidRDefault="00942645" w:rsidP="00962254">
            <w:pPr>
              <w:spacing w:before="60" w:after="120"/>
              <w:jc w:val="both"/>
              <w:rPr>
                <w:b/>
                <w:bCs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 fl-għeluq tal-perjodu ta’ rapportar preċedenti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A24A95A" w14:textId="77777777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l-ammont huwa ugwali għall-ammont divulgat fil-kolonna (b) tar-ringiela EU 10a tal-mudell EU OV1.</w:t>
            </w:r>
          </w:p>
        </w:tc>
      </w:tr>
      <w:tr w:rsidR="00942645" w:rsidRPr="00CA7700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212EDF" w:rsidRDefault="00942645" w:rsidP="00962254">
            <w:pPr>
              <w:spacing w:before="60" w:after="120"/>
              <w:jc w:val="both"/>
              <w:rPr>
                <w:b/>
                <w:bCs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 fi tmiem il-perjodu ta’ rapportar attwali</w:t>
            </w:r>
          </w:p>
          <w:p w14:paraId="1FF40BFD" w14:textId="77777777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l-ammont huwa ugwali għall-ammont divulgat fil-kolonna (a) tar-ringiela EU 10a tal-mudell EU OV1.</w:t>
            </w:r>
          </w:p>
        </w:tc>
      </w:tr>
      <w:tr w:rsidR="00942645" w:rsidRPr="00CA7700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CA7700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 xml:space="preserve"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42645" w:rsidRPr="00DD6E2F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  <w:p w14:paraId="09532183" w14:textId="77777777" w:rsidR="00942645" w:rsidRPr="00CA7700" w:rsidRDefault="00942645" w:rsidP="00962254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212EDF" w:rsidRDefault="00942645" w:rsidP="00962254">
            <w:pPr>
              <w:spacing w:before="60" w:after="120"/>
              <w:jc w:val="both"/>
              <w:rPr>
                <w:b/>
                <w:bCs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</w:t>
            </w:r>
          </w:p>
          <w:p w14:paraId="10E360D0" w14:textId="4CD692C9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92(4)(e) tar-Regolament (UE) 575/2013.</w:t>
            </w:r>
          </w:p>
          <w:p w14:paraId="7E05B452" w14:textId="77777777" w:rsidR="00942645" w:rsidRPr="00DD6E2F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mmultiplikati bi 12,5.</w:t>
            </w:r>
          </w:p>
          <w:p w14:paraId="3BE3A6CD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DD6E2F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DD6E2F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DA6D4D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DA6D4D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3735" w14:textId="77777777" w:rsidR="00AC0ADB" w:rsidRDefault="00AC0ADB" w:rsidP="00A00E34">
      <w:r>
        <w:separator/>
      </w:r>
    </w:p>
    <w:p w14:paraId="161AAF51" w14:textId="77777777" w:rsidR="00AC0ADB" w:rsidRDefault="00AC0ADB"/>
  </w:endnote>
  <w:endnote w:type="continuationSeparator" w:id="0">
    <w:p w14:paraId="45641A75" w14:textId="77777777" w:rsidR="00AC0ADB" w:rsidRDefault="00AC0ADB" w:rsidP="00A00E34">
      <w:r>
        <w:continuationSeparator/>
      </w:r>
    </w:p>
    <w:p w14:paraId="2C57D894" w14:textId="77777777" w:rsidR="00AC0ADB" w:rsidRDefault="00AC0ADB"/>
  </w:endnote>
  <w:endnote w:type="continuationNotice" w:id="1">
    <w:p w14:paraId="7AC02CDA" w14:textId="77777777" w:rsidR="00AC0ADB" w:rsidRDefault="00AC0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05FC">
      <w:rPr>
        <w:rStyle w:val="PageNumber"/>
      </w:rPr>
      <w:t>6</w:t>
    </w:r>
    <w:r>
      <w:rPr>
        <w:rStyle w:val="PageNumber"/>
      </w:rPr>
      <w:fldChar w:fldCharType="end"/>
    </w:r>
  </w:p>
  <w:p w14:paraId="6C820107" w14:textId="77777777" w:rsidR="009B1B5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575F">
      <w:rPr>
        <w:rStyle w:val="PageNumber"/>
      </w:rPr>
      <w:t>1</w:t>
    </w:r>
    <w:r>
      <w:rPr>
        <w:rStyle w:val="PageNumber"/>
      </w:rPr>
      <w:fldChar w:fldCharType="end"/>
    </w:r>
  </w:p>
  <w:p w14:paraId="6EBA73BD" w14:textId="77777777" w:rsidR="009B1B59" w:rsidRDefault="009B1B59" w:rsidP="00610305">
    <w:pPr>
      <w:pStyle w:val="Footer"/>
      <w:ind w:right="360"/>
    </w:pPr>
    <w: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03DB" w14:textId="77777777" w:rsidR="00AC0ADB" w:rsidRPr="00DB5E8F" w:rsidRDefault="00AC0ADB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236D24D2" w14:textId="77777777" w:rsidR="00AC0ADB" w:rsidRDefault="00AC0ADB" w:rsidP="00A00E34">
      <w:r>
        <w:continuationSeparator/>
      </w:r>
    </w:p>
    <w:p w14:paraId="2D2A5D83" w14:textId="77777777" w:rsidR="00AC0ADB" w:rsidRDefault="00AC0ADB"/>
  </w:footnote>
  <w:footnote w:type="continuationNotice" w:id="1">
    <w:p w14:paraId="6782885B" w14:textId="77777777" w:rsidR="00AC0ADB" w:rsidRDefault="00AC0ADB"/>
  </w:footnote>
  <w:footnote w:id="2">
    <w:p w14:paraId="70019A20" w14:textId="633F9DF0" w:rsidR="00942645" w:rsidRDefault="00942645" w:rsidP="00942645">
      <w:pPr>
        <w:pStyle w:val="FootnoteText"/>
      </w:pPr>
      <w:r>
        <w:rPr>
          <w:rStyle w:val="FootnoteReference"/>
        </w:rPr>
        <w:footnoteRef/>
      </w:r>
      <w:r>
        <w:t xml:space="preserve"> Ir-Regolament (UE)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Regolament - UE - 2024/1623 - MT - EUR-Lex (europa.eu)</w:t>
        </w:r>
      </w:hyperlink>
      <w:r>
        <w:t xml:space="preserve"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Default="0027780B">
    <w:r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Title:  - Description: Użu Regolari tal-EBA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 xml:space="preserve">[Daħħal test]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 xml:space="preserve">[Daħħal test]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 xml:space="preserve">[Daħħal test]</w:t>
        </w:r>
      </w:sdtContent>
    </w:sdt>
  </w:p>
  <w:p w14:paraId="3AAE931B" w14:textId="77777777" w:rsidR="009B1B5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F9452C" w:rsidRDefault="00AA0895" w:rsidP="00224D96">
    <w:pPr>
      <w:pStyle w:val="Runningtitle"/>
    </w:pPr>
    <w: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 xml:space="preserve">F’dan l-Anness, ir-referenzi legali jikkunsidraw abbozz ta’ verżjoni tas-CRR 3.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 xml:space="preserve">F’dan l-Anness, ir-referenzi legali jikkunsidraw abbozz ta’ verżjoni tas-CRR 3.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Default="0027780B" w:rsidP="00E677EF">
    <w:pPr>
      <w:pStyle w:val="Runningtitle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Title:  - Description: Użu Regolari tal-EBA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running title comes here in running title style</w:t>
    </w:r>
    <w:r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14="http://schemas.microsoft.com/office/drawing/2010/main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506BF"/>
    <w:rsid w:val="00052C7E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7480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mt-MT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mt-MT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mt-MT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mt-MT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  <w:lang w:val="mt-MT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  <w:lang w:val="mt-MT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  <w:lang w:val="mt-MT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  <w:lang w:val="mt-MT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  <w:lang w:val="mt-MT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  <w:lang w:val="mt-MT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  <w:lang w:val="mt-MT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  <w:lang w:val="mt-MT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  <w:lang w:val="mt-MT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mt-MT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mt-MT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mt-MT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mt-MT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663ABE-C533-493F-97F4-FE6FFCDB6596}"/>
</file>

<file path=customXml/itemProps3.xml><?xml version="1.0" encoding="utf-8"?>
<ds:datastoreItem xmlns:ds="http://schemas.openxmlformats.org/officeDocument/2006/customXml" ds:itemID="{CD789235-2DA8-4B41-8F3D-066CFBC23E12}"/>
</file>

<file path=customXml/itemProps4.xml><?xml version="1.0" encoding="utf-8"?>
<ds:datastoreItem xmlns:ds="http://schemas.openxmlformats.org/officeDocument/2006/customXml" ds:itemID="{3861303E-B192-4AE5-BB04-06C0092C97E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1543</Words>
  <Characters>8273</Characters>
  <Application>Microsoft Office Word</Application>
  <DocSecurity>0</DocSecurity>
  <Lines>250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2024-09-26T14:34:00Z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