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2140D7" w:rsidRDefault="007E1815" w:rsidP="007E1815">
      <w:pPr>
        <w:pStyle w:val="Annexetitre"/>
      </w:pPr>
      <w:r w:rsidRPr="002140D7">
        <w:fldChar w:fldCharType="begin"/>
      </w:r>
      <w:r w:rsidRPr="002140D7">
        <w:fldChar w:fldCharType="separate"/>
      </w:r>
      <w:r w:rsidRPr="002140D7">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2140D7">
        <w:fldChar w:fldCharType="end"/>
      </w:r>
      <w:r w:rsidRPr="002140D7">
        <w:t>ALLEGATO XIV – Istruzioni per la compilazione dei modelli sui requisiti di liquidità</w:t>
      </w:r>
    </w:p>
    <w:p w14:paraId="76777DFC" w14:textId="77777777" w:rsidR="007E1815" w:rsidRPr="002140D7" w:rsidRDefault="007E1815" w:rsidP="007E1815"/>
    <w:p w14:paraId="612936CA" w14:textId="08AF5723" w:rsidR="007E1815" w:rsidRPr="002140D7" w:rsidRDefault="007E1815" w:rsidP="007E1815">
      <w:pPr>
        <w:spacing w:before="120" w:after="120"/>
        <w:jc w:val="both"/>
        <w:rPr>
          <w:rFonts w:ascii="Times New Roman" w:hAnsi="Times New Roman" w:cs="Times New Roman"/>
          <w:b/>
          <w:sz w:val="24"/>
        </w:rPr>
      </w:pPr>
      <w:r w:rsidRPr="002140D7">
        <w:rPr>
          <w:rFonts w:ascii="Times New Roman" w:hAnsi="Times New Roman"/>
          <w:b/>
          <w:sz w:val="24"/>
        </w:rPr>
        <w:t>Istruzioni per il modello EU LIQA sulla gestione del rischio di liquidità e sul modello EU LIQ1 per quanto riguarda l</w:t>
      </w:r>
      <w:r w:rsidR="0031704F" w:rsidRPr="002140D7">
        <w:rPr>
          <w:rFonts w:ascii="Times New Roman" w:hAnsi="Times New Roman"/>
          <w:b/>
          <w:sz w:val="24"/>
        </w:rPr>
        <w:t>'</w:t>
      </w:r>
      <w:r w:rsidRPr="002140D7">
        <w:rPr>
          <w:rFonts w:ascii="Times New Roman" w:hAnsi="Times New Roman"/>
          <w:b/>
          <w:sz w:val="24"/>
        </w:rPr>
        <w:t xml:space="preserve">LCR </w:t>
      </w:r>
    </w:p>
    <w:p w14:paraId="0527C22C" w14:textId="78DBEDC8" w:rsidR="007E1815" w:rsidRPr="002140D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2140D7">
        <w:rPr>
          <w:rFonts w:ascii="Times New Roman" w:hAnsi="Times New Roman"/>
          <w:sz w:val="24"/>
        </w:rPr>
        <w:t xml:space="preserve">Gli enti soggetti alla parte sei del regolamento (UE) </w:t>
      </w:r>
      <w:r w:rsidR="0031704F" w:rsidRPr="002140D7">
        <w:rPr>
          <w:rFonts w:ascii="Times New Roman" w:hAnsi="Times New Roman"/>
          <w:sz w:val="24"/>
        </w:rPr>
        <w:t>n. </w:t>
      </w:r>
      <w:r w:rsidRPr="002140D7">
        <w:rPr>
          <w:rFonts w:ascii="Times New Roman" w:hAnsi="Times New Roman"/>
          <w:sz w:val="24"/>
        </w:rPr>
        <w:t>575/2013</w:t>
      </w:r>
      <w:r w:rsidRPr="002140D7">
        <w:rPr>
          <w:rStyle w:val="FootnoteReference"/>
          <w:rFonts w:ascii="Times New Roman" w:hAnsi="Times New Roman" w:cs="Times New Roman"/>
          <w:sz w:val="24"/>
        </w:rPr>
        <w:footnoteReference w:id="1"/>
      </w:r>
      <w:r w:rsidRPr="002140D7">
        <w:rPr>
          <w:rFonts w:ascii="Times New Roman" w:hAnsi="Times New Roman"/>
          <w:sz w:val="24"/>
        </w:rPr>
        <w:t xml:space="preserve"> (</w:t>
      </w:r>
      <w:r w:rsidR="0031704F" w:rsidRPr="002140D7">
        <w:rPr>
          <w:rFonts w:ascii="Times New Roman" w:hAnsi="Times New Roman"/>
          <w:sz w:val="24"/>
        </w:rPr>
        <w:t>"</w:t>
      </w:r>
      <w:r w:rsidRPr="002140D7">
        <w:rPr>
          <w:rFonts w:ascii="Times New Roman" w:hAnsi="Times New Roman"/>
          <w:sz w:val="24"/>
        </w:rPr>
        <w:t>CRR</w:t>
      </w:r>
      <w:r w:rsidR="0031704F" w:rsidRPr="002140D7">
        <w:rPr>
          <w:rFonts w:ascii="Times New Roman" w:hAnsi="Times New Roman"/>
          <w:sz w:val="24"/>
        </w:rPr>
        <w:t>"</w:t>
      </w:r>
      <w:r w:rsidRPr="002140D7">
        <w:rPr>
          <w:rFonts w:ascii="Times New Roman" w:hAnsi="Times New Roman"/>
          <w:sz w:val="24"/>
        </w:rPr>
        <w:t>) pubblicano le informazioni di cui all</w:t>
      </w:r>
      <w:r w:rsidR="0031704F" w:rsidRPr="002140D7">
        <w:rPr>
          <w:rFonts w:ascii="Times New Roman" w:hAnsi="Times New Roman"/>
          <w:sz w:val="24"/>
        </w:rPr>
        <w:t>'</w:t>
      </w:r>
      <w:r w:rsidRPr="002140D7">
        <w:rPr>
          <w:rFonts w:ascii="Times New Roman" w:hAnsi="Times New Roman"/>
          <w:sz w:val="24"/>
        </w:rPr>
        <w:t>articolo 451 bis del regolamento compilando la tabella EU LIQA, il modello EU LIQ1 e la tabella EU LIQB.</w:t>
      </w:r>
      <w:bookmarkEnd w:id="0"/>
      <w:r w:rsidRPr="002140D7">
        <w:rPr>
          <w:rFonts w:ascii="Times New Roman" w:hAnsi="Times New Roman"/>
          <w:b/>
          <w:sz w:val="24"/>
        </w:rPr>
        <w:t xml:space="preserve"> </w:t>
      </w:r>
    </w:p>
    <w:p w14:paraId="6150BCD7" w14:textId="77777777" w:rsidR="007E1815" w:rsidRPr="002140D7" w:rsidRDefault="007E1815" w:rsidP="007E1815">
      <w:pPr>
        <w:pStyle w:val="Titlelevel2"/>
        <w:spacing w:before="120" w:after="120"/>
        <w:rPr>
          <w:rFonts w:ascii="Times New Roman" w:hAnsi="Times New Roman"/>
          <w:b/>
          <w:color w:val="auto"/>
          <w:sz w:val="24"/>
        </w:rPr>
      </w:pPr>
      <w:bookmarkStart w:id="1" w:name="bookmark44"/>
      <w:r w:rsidRPr="002140D7">
        <w:rPr>
          <w:rFonts w:ascii="Times New Roman" w:hAnsi="Times New Roman"/>
          <w:b/>
          <w:color w:val="auto"/>
          <w:sz w:val="24"/>
        </w:rPr>
        <w:t xml:space="preserve">Tabella EU LIQA: gestione del rischio di liquidità </w:t>
      </w:r>
    </w:p>
    <w:p w14:paraId="71698069" w14:textId="50FB9386" w:rsidR="007E1815" w:rsidRPr="002140D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2140D7">
        <w:rPr>
          <w:rFonts w:ascii="Times New Roman" w:hAnsi="Times New Roman"/>
          <w:sz w:val="24"/>
        </w:rPr>
        <w:t>Gli enti soggetti alla parte sei del CRR pubblicano le informazioni di cui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451</w:t>
      </w:r>
      <w:r w:rsidR="0031704F" w:rsidRPr="002140D7">
        <w:rPr>
          <w:rFonts w:ascii="Times New Roman" w:hAnsi="Times New Roman"/>
          <w:sz w:val="24"/>
        </w:rPr>
        <w:t> </w:t>
      </w:r>
      <w:r w:rsidRPr="002140D7">
        <w:rPr>
          <w:rFonts w:ascii="Times New Roman" w:hAnsi="Times New Roman"/>
          <w:sz w:val="24"/>
        </w:rPr>
        <w:t>bis, paragrafo 4, del CRR seguendo le istruzioni fornite di seguito nel presente allegato per compilare la tabella EU LIQA di cui all</w:t>
      </w:r>
      <w:r w:rsidR="0031704F" w:rsidRPr="002140D7">
        <w:rPr>
          <w:rFonts w:ascii="Times New Roman" w:hAnsi="Times New Roman"/>
          <w:sz w:val="24"/>
        </w:rPr>
        <w:t>'</w:t>
      </w:r>
      <w:r w:rsidRPr="002140D7">
        <w:rPr>
          <w:rFonts w:ascii="Times New Roman" w:hAnsi="Times New Roman"/>
          <w:sz w:val="24"/>
        </w:rPr>
        <w:t>allegato XIII del presente regolamento di esecuzione.</w:t>
      </w:r>
    </w:p>
    <w:p w14:paraId="77702318" w14:textId="025659AC"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Ai fini della tabella EU LIQA, gli enti soggetti alla parte sei del CRR tengono presente che le caselle di testo nella tabella sono caselle a testo libero. Gli enti forniscono informazioni pertinenti, sia qualitative che quantitative, sugli obiettivi e sulle politiche di gestione del rischio di liquidità, in funzione dei loro modelli aziendali e dei loro profili di rischio di liquidità, sull</w:t>
      </w:r>
      <w:r w:rsidR="0031704F" w:rsidRPr="002140D7">
        <w:rPr>
          <w:rFonts w:ascii="Times New Roman" w:hAnsi="Times New Roman"/>
          <w:sz w:val="24"/>
        </w:rPr>
        <w:t>'</w:t>
      </w:r>
      <w:r w:rsidRPr="002140D7">
        <w:rPr>
          <w:rFonts w:ascii="Times New Roman" w:hAnsi="Times New Roman"/>
          <w:sz w:val="24"/>
        </w:rPr>
        <w:t>organizzazione e le funzioni coinvolte nella gestione del rischio di liquidità, conformemente all</w:t>
      </w:r>
      <w:r w:rsidR="0031704F" w:rsidRPr="002140D7">
        <w:rPr>
          <w:rFonts w:ascii="Times New Roman" w:hAnsi="Times New Roman"/>
          <w:sz w:val="24"/>
        </w:rPr>
        <w:t>'</w:t>
      </w:r>
      <w:r w:rsidRPr="002140D7">
        <w:rPr>
          <w:rFonts w:ascii="Times New Roman" w:hAnsi="Times New Roman"/>
          <w:sz w:val="24"/>
        </w:rPr>
        <w:t>articolo 435, paragrafo 1, del CRR e al regolamento delegato (UE) 2015/61 della Commissione</w:t>
      </w:r>
      <w:r w:rsidRPr="002140D7">
        <w:rPr>
          <w:rStyle w:val="FootnoteReference"/>
          <w:rFonts w:ascii="Times New Roman" w:hAnsi="Times New Roman" w:cs="Times New Roman"/>
          <w:sz w:val="24"/>
        </w:rPr>
        <w:footnoteReference w:id="2"/>
      </w:r>
      <w:r w:rsidRPr="002140D7">
        <w:rPr>
          <w:rFonts w:ascii="Times New Roman" w:hAnsi="Times New Roman"/>
          <w:sz w:val="24"/>
        </w:rPr>
        <w:t xml:space="preserve"> per quanto riguarda il requisito di copertura della liquidità per gli enti creditizi. </w:t>
      </w:r>
    </w:p>
    <w:p w14:paraId="23FF3FBD" w14:textId="2BD33756" w:rsidR="007E1815" w:rsidRPr="002140D7" w:rsidRDefault="007E1815" w:rsidP="007E1815">
      <w:pPr>
        <w:pStyle w:val="Titlelevel2"/>
        <w:spacing w:before="120" w:after="120"/>
        <w:rPr>
          <w:rFonts w:ascii="Times New Roman" w:hAnsi="Times New Roman"/>
          <w:b/>
          <w:color w:val="auto"/>
          <w:sz w:val="24"/>
        </w:rPr>
      </w:pPr>
      <w:r w:rsidRPr="002140D7">
        <w:rPr>
          <w:rFonts w:ascii="Times New Roman" w:hAnsi="Times New Roman"/>
          <w:b/>
          <w:color w:val="auto"/>
          <w:sz w:val="24"/>
        </w:rPr>
        <w:t>Modello EU LIQ1: informazioni quantitative dell</w:t>
      </w:r>
      <w:r w:rsidR="0031704F" w:rsidRPr="002140D7">
        <w:rPr>
          <w:rFonts w:ascii="Times New Roman" w:hAnsi="Times New Roman"/>
          <w:b/>
          <w:color w:val="auto"/>
          <w:sz w:val="24"/>
        </w:rPr>
        <w:t>'</w:t>
      </w:r>
      <w:r w:rsidRPr="002140D7">
        <w:rPr>
          <w:rFonts w:ascii="Times New Roman" w:hAnsi="Times New Roman"/>
          <w:b/>
          <w:color w:val="auto"/>
          <w:sz w:val="24"/>
        </w:rPr>
        <w:t>LCR</w:t>
      </w:r>
    </w:p>
    <w:bookmarkEnd w:id="1"/>
    <w:p w14:paraId="123CFE6B" w14:textId="099DE7FE" w:rsidR="007E1815" w:rsidRPr="002140D7" w:rsidRDefault="007E1815" w:rsidP="0031704F">
      <w:pPr>
        <w:widowControl w:val="0"/>
        <w:numPr>
          <w:ilvl w:val="0"/>
          <w:numId w:val="2"/>
        </w:numPr>
        <w:tabs>
          <w:tab w:val="left" w:pos="983"/>
        </w:tabs>
        <w:spacing w:before="120" w:after="120"/>
        <w:ind w:left="720" w:hanging="360"/>
        <w:jc w:val="both"/>
        <w:rPr>
          <w:rFonts w:ascii="Times New Roman" w:hAnsi="Times New Roman" w:cs="Times New Roman"/>
          <w:sz w:val="24"/>
        </w:rPr>
      </w:pPr>
      <w:r w:rsidRPr="002140D7">
        <w:rPr>
          <w:rFonts w:ascii="Times New Roman" w:hAnsi="Times New Roman"/>
          <w:sz w:val="24"/>
        </w:rPr>
        <w:t>Gli enti soggetti alla parte sei del CRR pubblicano le informazioni di cui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451</w:t>
      </w:r>
      <w:r w:rsidR="0031704F" w:rsidRPr="002140D7">
        <w:rPr>
          <w:rFonts w:ascii="Times New Roman" w:hAnsi="Times New Roman"/>
          <w:sz w:val="24"/>
        </w:rPr>
        <w:t> </w:t>
      </w:r>
      <w:r w:rsidRPr="002140D7">
        <w:rPr>
          <w:rFonts w:ascii="Times New Roman" w:hAnsi="Times New Roman"/>
          <w:sz w:val="24"/>
        </w:rPr>
        <w:t>bis, paragrafo 2, del CRR seguendo le istruzioni fornite di seguito nel presente allegato per compilare il modello EU LIQ1 di cui all</w:t>
      </w:r>
      <w:r w:rsidR="0031704F" w:rsidRPr="002140D7">
        <w:rPr>
          <w:rFonts w:ascii="Times New Roman" w:hAnsi="Times New Roman"/>
          <w:sz w:val="24"/>
        </w:rPr>
        <w:t>'</w:t>
      </w:r>
      <w:r w:rsidRPr="002140D7">
        <w:rPr>
          <w:rFonts w:ascii="Times New Roman" w:hAnsi="Times New Roman"/>
          <w:sz w:val="24"/>
        </w:rPr>
        <w:t>allegato XIII delle soluzioni IT dell</w:t>
      </w:r>
      <w:r w:rsidR="0031704F" w:rsidRPr="002140D7">
        <w:rPr>
          <w:rFonts w:ascii="Times New Roman" w:hAnsi="Times New Roman"/>
          <w:sz w:val="24"/>
        </w:rPr>
        <w:t>'</w:t>
      </w:r>
      <w:r w:rsidRPr="002140D7">
        <w:rPr>
          <w:rFonts w:ascii="Times New Roman" w:hAnsi="Times New Roman"/>
          <w:sz w:val="24"/>
        </w:rPr>
        <w:t>ABE.</w:t>
      </w:r>
    </w:p>
    <w:p w14:paraId="48F910A8" w14:textId="77777777" w:rsidR="007E1815" w:rsidRPr="002140D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2140D7">
        <w:rPr>
          <w:rFonts w:ascii="Times New Roman" w:hAnsi="Times New Roman"/>
          <w:sz w:val="24"/>
        </w:rPr>
        <w:t>Nel pubblicare le informazioni richieste in questo modello, gli enti soggetti alla parte sei del CRR includono i valori e le cifre richiesti per ciascuno dei quattro trimestri di calendario precedenti la data di informativa (gennaio-marzo, aprile-giugno, luglio-settembre, ottobre-dicembre). Gli enti calcolano tali valori e cifre come medie semplici delle osservazioni a fine mese nei dodici mesi precedenti la fine di ciascun trimestre.</w:t>
      </w:r>
    </w:p>
    <w:p w14:paraId="1600E94E" w14:textId="7DCCFC08" w:rsidR="007E1815" w:rsidRPr="002140D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2140D7">
        <w:rPr>
          <w:rFonts w:ascii="Times New Roman" w:hAnsi="Times New Roman"/>
          <w:sz w:val="24"/>
        </w:rPr>
        <w:t>Le informazioni richieste nel modello EU LIQ1 comprendono tutti gli elementi indipendentemente dalla valuta in cui sono denominati e sono pubblicati nella valuta utilizzata per le segnalazioni ai sensi dell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3 del regolamento delegato (UE) 2015/61 della Commissione.</w:t>
      </w:r>
    </w:p>
    <w:p w14:paraId="3C031ADF" w14:textId="77777777" w:rsidR="007E1815" w:rsidRPr="002140D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2140D7">
        <w:rPr>
          <w:rFonts w:ascii="Times New Roman" w:hAnsi="Times New Roman"/>
          <w:sz w:val="24"/>
        </w:rPr>
        <w:t>Per calcolare gli afflussi e i deflussi non ponderati e ponderati e le HQLA ponderate ai fini del modello EU LIQ1, gli enti applicano le seguenti istruzioni:</w:t>
      </w:r>
    </w:p>
    <w:p w14:paraId="5E2AA611" w14:textId="225B4008" w:rsidR="007E1815" w:rsidRPr="002140D7"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2140D7">
        <w:rPr>
          <w:rFonts w:ascii="Times New Roman" w:hAnsi="Times New Roman"/>
          <w:sz w:val="24"/>
        </w:rPr>
        <w:t xml:space="preserve">afflussi / deflussi: il valore non ponderato degli afflussi e dei deflussi è calcolato come saldo in essere di varie categorie o tipi di passività, elementi fuori bilancio o crediti </w:t>
      </w:r>
      <w:r w:rsidRPr="002140D7">
        <w:rPr>
          <w:rFonts w:ascii="Times New Roman" w:hAnsi="Times New Roman"/>
          <w:sz w:val="24"/>
        </w:rPr>
        <w:lastRenderedPageBreak/>
        <w:t xml:space="preserve">contrattuali. Il valore </w:t>
      </w:r>
      <w:r w:rsidR="0031704F" w:rsidRPr="002140D7">
        <w:rPr>
          <w:rFonts w:ascii="Times New Roman" w:hAnsi="Times New Roman"/>
          <w:sz w:val="24"/>
        </w:rPr>
        <w:t>"</w:t>
      </w:r>
      <w:r w:rsidRPr="002140D7">
        <w:rPr>
          <w:rFonts w:ascii="Times New Roman" w:hAnsi="Times New Roman"/>
          <w:sz w:val="24"/>
        </w:rPr>
        <w:t>ponderato</w:t>
      </w:r>
      <w:r w:rsidR="0031704F" w:rsidRPr="002140D7">
        <w:rPr>
          <w:rFonts w:ascii="Times New Roman" w:hAnsi="Times New Roman"/>
          <w:sz w:val="24"/>
        </w:rPr>
        <w:t>"</w:t>
      </w:r>
      <w:r w:rsidRPr="002140D7">
        <w:rPr>
          <w:rFonts w:ascii="Times New Roman" w:hAnsi="Times New Roman"/>
          <w:sz w:val="24"/>
        </w:rPr>
        <w:t xml:space="preserve"> per gli afflussi e i deflussi è calcolato come valore dopo l</w:t>
      </w:r>
      <w:r w:rsidR="0031704F" w:rsidRPr="002140D7">
        <w:rPr>
          <w:rFonts w:ascii="Times New Roman" w:hAnsi="Times New Roman"/>
          <w:sz w:val="24"/>
        </w:rPr>
        <w:t>'</w:t>
      </w:r>
      <w:r w:rsidRPr="002140D7">
        <w:rPr>
          <w:rFonts w:ascii="Times New Roman" w:hAnsi="Times New Roman"/>
          <w:sz w:val="24"/>
        </w:rPr>
        <w:t>applicazione dei coefficienti di afflusso e deflusso;</w:t>
      </w:r>
    </w:p>
    <w:p w14:paraId="2531B7D7" w14:textId="7150EA5A" w:rsidR="007E1815" w:rsidRPr="002140D7"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2140D7">
        <w:rPr>
          <w:rFonts w:ascii="Times New Roman" w:hAnsi="Times New Roman"/>
          <w:sz w:val="24"/>
        </w:rPr>
        <w:t xml:space="preserve">HQLA: il valore </w:t>
      </w:r>
      <w:r w:rsidR="0031704F" w:rsidRPr="002140D7">
        <w:rPr>
          <w:rFonts w:ascii="Times New Roman" w:hAnsi="Times New Roman"/>
          <w:sz w:val="24"/>
        </w:rPr>
        <w:t>"</w:t>
      </w:r>
      <w:r w:rsidRPr="002140D7">
        <w:rPr>
          <w:rFonts w:ascii="Times New Roman" w:hAnsi="Times New Roman"/>
          <w:sz w:val="24"/>
        </w:rPr>
        <w:t>ponderato</w:t>
      </w:r>
      <w:r w:rsidR="0031704F" w:rsidRPr="002140D7">
        <w:rPr>
          <w:rFonts w:ascii="Times New Roman" w:hAnsi="Times New Roman"/>
          <w:sz w:val="24"/>
        </w:rPr>
        <w:t>"</w:t>
      </w:r>
      <w:r w:rsidRPr="002140D7">
        <w:rPr>
          <w:rFonts w:ascii="Times New Roman" w:hAnsi="Times New Roman"/>
          <w:sz w:val="24"/>
        </w:rPr>
        <w:t xml:space="preserve"> delle attività liquide di alta qualità (HQLA) è calcolato come valore dopo l</w:t>
      </w:r>
      <w:r w:rsidR="0031704F" w:rsidRPr="002140D7">
        <w:rPr>
          <w:rFonts w:ascii="Times New Roman" w:hAnsi="Times New Roman"/>
          <w:sz w:val="24"/>
        </w:rPr>
        <w:t>'</w:t>
      </w:r>
      <w:r w:rsidRPr="002140D7">
        <w:rPr>
          <w:rFonts w:ascii="Times New Roman" w:hAnsi="Times New Roman"/>
          <w:sz w:val="24"/>
        </w:rPr>
        <w:t>applicazione dei coefficienti di scarto (haircut).</w:t>
      </w:r>
    </w:p>
    <w:p w14:paraId="7F666887" w14:textId="77777777" w:rsidR="007E1815" w:rsidRPr="002140D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2140D7">
        <w:rPr>
          <w:rFonts w:ascii="Times New Roman" w:hAnsi="Times New Roman"/>
          <w:sz w:val="24"/>
        </w:rPr>
        <w:t>Per calcolare il valore corretto della riserva di liquidità della voce 21 e il valore corretto dei deflussi di cassa netti totali della voce 22 del modello EU LIQ1, gli enti applicano ciascuna delle seguenti istruzioni:</w:t>
      </w:r>
    </w:p>
    <w:p w14:paraId="16C4F071" w14:textId="13FB0EBC" w:rsidR="007E1815" w:rsidRPr="002140D7"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2140D7">
        <w:rPr>
          <w:rFonts w:ascii="Times New Roman" w:hAnsi="Times New Roman"/>
          <w:sz w:val="24"/>
        </w:rPr>
        <w:t>il valore corretto della riserva di liquidità è il valore totale delle HQLA dopo l</w:t>
      </w:r>
      <w:r w:rsidR="0031704F" w:rsidRPr="002140D7">
        <w:rPr>
          <w:rFonts w:ascii="Times New Roman" w:hAnsi="Times New Roman"/>
          <w:sz w:val="24"/>
        </w:rPr>
        <w:t>'</w:t>
      </w:r>
      <w:r w:rsidRPr="002140D7">
        <w:rPr>
          <w:rFonts w:ascii="Times New Roman" w:hAnsi="Times New Roman"/>
          <w:sz w:val="24"/>
        </w:rPr>
        <w:t>applicazione dei coefficienti di scarto e di eventuali massimali applicabili;</w:t>
      </w:r>
    </w:p>
    <w:p w14:paraId="1C48DA06" w14:textId="04C57628" w:rsidR="007E1815" w:rsidRPr="002140D7"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2140D7">
        <w:rPr>
          <w:rFonts w:ascii="Times New Roman" w:hAnsi="Times New Roman"/>
          <w:sz w:val="24"/>
        </w:rPr>
        <w:t>il valore corretto dei deflussi di cassa netti è calcolato dopo l</w:t>
      </w:r>
      <w:r w:rsidR="0031704F" w:rsidRPr="002140D7">
        <w:rPr>
          <w:rFonts w:ascii="Times New Roman" w:hAnsi="Times New Roman"/>
          <w:sz w:val="24"/>
        </w:rPr>
        <w:t>'</w:t>
      </w:r>
      <w:r w:rsidRPr="002140D7">
        <w:rPr>
          <w:rFonts w:ascii="Times New Roman" w:hAnsi="Times New Roman"/>
          <w:sz w:val="24"/>
        </w:rPr>
        <w:t>applicazione del massimale degli afflussi, ove applicabile.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2140D7"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2140D7" w:rsidRDefault="007E1815" w:rsidP="00D819DE">
            <w:pPr>
              <w:spacing w:after="120"/>
              <w:rPr>
                <w:rFonts w:ascii="Times New Roman" w:hAnsi="Times New Roman" w:cs="Times New Roman"/>
                <w:b/>
                <w:sz w:val="24"/>
              </w:rPr>
            </w:pPr>
            <w:r w:rsidRPr="002140D7">
              <w:rPr>
                <w:rFonts w:ascii="Times New Roman" w:hAnsi="Times New Roman"/>
                <w:b/>
                <w:sz w:val="24"/>
              </w:rPr>
              <w:t>Riferimenti giuridici e istruzioni</w:t>
            </w:r>
          </w:p>
        </w:tc>
      </w:tr>
      <w:tr w:rsidR="007E1815" w:rsidRPr="002140D7" w14:paraId="2E1622B5" w14:textId="77777777" w:rsidTr="00D819DE">
        <w:trPr>
          <w:trHeight w:val="238"/>
        </w:trPr>
        <w:tc>
          <w:tcPr>
            <w:tcW w:w="1384" w:type="dxa"/>
            <w:shd w:val="clear" w:color="auto" w:fill="D9D9D9" w:themeFill="background1" w:themeFillShade="D9"/>
          </w:tcPr>
          <w:p w14:paraId="6B272483" w14:textId="75A8478A" w:rsidR="007E1815" w:rsidRPr="002140D7" w:rsidRDefault="007E1815" w:rsidP="00D819DE">
            <w:pPr>
              <w:autoSpaceDE w:val="0"/>
              <w:autoSpaceDN w:val="0"/>
              <w:adjustRightInd w:val="0"/>
              <w:spacing w:after="120"/>
              <w:rPr>
                <w:rFonts w:ascii="Times New Roman" w:hAnsi="Times New Roman" w:cs="Times New Roman"/>
                <w:b/>
                <w:sz w:val="24"/>
              </w:rPr>
            </w:pPr>
            <w:r w:rsidRPr="002140D7">
              <w:rPr>
                <w:rFonts w:ascii="Times New Roman" w:hAnsi="Times New Roman"/>
                <w:b/>
                <w:sz w:val="24"/>
              </w:rPr>
              <w:t xml:space="preserve">Numero </w:t>
            </w:r>
            <w:r w:rsidR="0031704F" w:rsidRPr="002140D7">
              <w:rPr>
                <w:rFonts w:ascii="Times New Roman" w:hAnsi="Times New Roman"/>
                <w:b/>
                <w:sz w:val="24"/>
              </w:rPr>
              <w:br/>
            </w:r>
            <w:r w:rsidRPr="002140D7">
              <w:rPr>
                <w:rFonts w:ascii="Times New Roman" w:hAnsi="Times New Roman"/>
                <w:b/>
                <w:sz w:val="24"/>
              </w:rPr>
              <w:t>di riga</w:t>
            </w:r>
          </w:p>
        </w:tc>
        <w:tc>
          <w:tcPr>
            <w:tcW w:w="7655" w:type="dxa"/>
            <w:shd w:val="clear" w:color="auto" w:fill="D9D9D9" w:themeFill="background1" w:themeFillShade="D9"/>
          </w:tcPr>
          <w:p w14:paraId="57B0A0D0" w14:textId="77777777" w:rsidR="007E1815" w:rsidRPr="002140D7" w:rsidRDefault="007E1815" w:rsidP="00D819DE">
            <w:pPr>
              <w:autoSpaceDE w:val="0"/>
              <w:autoSpaceDN w:val="0"/>
              <w:adjustRightInd w:val="0"/>
              <w:spacing w:after="120"/>
              <w:rPr>
                <w:rFonts w:ascii="Times New Roman" w:hAnsi="Times New Roman" w:cs="Times New Roman"/>
                <w:color w:val="000000"/>
                <w:sz w:val="24"/>
              </w:rPr>
            </w:pPr>
            <w:r w:rsidRPr="002140D7">
              <w:rPr>
                <w:rFonts w:ascii="Times New Roman" w:hAnsi="Times New Roman"/>
                <w:b/>
                <w:sz w:val="24"/>
              </w:rPr>
              <w:t>Spiegazione</w:t>
            </w:r>
          </w:p>
        </w:tc>
      </w:tr>
      <w:tr w:rsidR="007E1815" w:rsidRPr="002140D7" w14:paraId="4336FF81" w14:textId="77777777" w:rsidTr="00D819DE">
        <w:trPr>
          <w:trHeight w:val="1858"/>
        </w:trPr>
        <w:tc>
          <w:tcPr>
            <w:tcW w:w="1384" w:type="dxa"/>
          </w:tcPr>
          <w:p w14:paraId="223E36BF" w14:textId="77777777" w:rsidR="007E1815" w:rsidRPr="002140D7" w:rsidRDefault="007E1815" w:rsidP="00D819DE">
            <w:pPr>
              <w:pStyle w:val="Applicationdirecte"/>
              <w:spacing w:before="120"/>
              <w:jc w:val="center"/>
            </w:pPr>
            <w:r w:rsidRPr="002140D7">
              <w:t>1</w:t>
            </w:r>
          </w:p>
        </w:tc>
        <w:tc>
          <w:tcPr>
            <w:tcW w:w="7655" w:type="dxa"/>
          </w:tcPr>
          <w:p w14:paraId="47C711AE" w14:textId="77777777" w:rsidR="007E1815" w:rsidRPr="002140D7" w:rsidRDefault="007E1815" w:rsidP="00D819DE">
            <w:pPr>
              <w:pStyle w:val="Applicationdirecte"/>
              <w:spacing w:before="120"/>
              <w:rPr>
                <w:b/>
              </w:rPr>
            </w:pPr>
            <w:r w:rsidRPr="002140D7">
              <w:rPr>
                <w:b/>
              </w:rPr>
              <w:t>Totale delle attività liquide di elevata qualità (HQLA)</w:t>
            </w:r>
          </w:p>
          <w:p w14:paraId="3AFE2750" w14:textId="0E993B92" w:rsidR="007E1815" w:rsidRPr="002140D7" w:rsidRDefault="007E1815" w:rsidP="00D819DE">
            <w:pPr>
              <w:pStyle w:val="InstructionsText"/>
              <w:rPr>
                <w:rFonts w:eastAsiaTheme="minorEastAsia"/>
              </w:rPr>
            </w:pPr>
            <w:r w:rsidRPr="002140D7">
              <w:t>Gli enti indicano l</w:t>
            </w:r>
            <w:r w:rsidR="0031704F" w:rsidRPr="002140D7">
              <w:t>'</w:t>
            </w:r>
            <w:r w:rsidRPr="002140D7">
              <w:t>importo di cui all</w:t>
            </w:r>
            <w:r w:rsidR="0031704F" w:rsidRPr="002140D7">
              <w:t>'</w:t>
            </w:r>
            <w:r w:rsidRPr="002140D7">
              <w:t>articolo 9 del regolamento delegato (UE) 2015/61 come valore ponderato delle attività liquide prima di applicare il meccanismo di aggiustamento di cui all</w:t>
            </w:r>
            <w:r w:rsidR="0031704F" w:rsidRPr="002140D7">
              <w:t>'</w:t>
            </w:r>
            <w:r w:rsidRPr="002140D7">
              <w:t>articolo 17, paragrafo 2, dell</w:t>
            </w:r>
            <w:r w:rsidR="0031704F" w:rsidRPr="002140D7">
              <w:t>'</w:t>
            </w:r>
            <w:r w:rsidRPr="002140D7">
              <w:t xml:space="preserve">anzidetto regolamento delegato. </w:t>
            </w:r>
          </w:p>
        </w:tc>
      </w:tr>
      <w:tr w:rsidR="007E1815" w:rsidRPr="002140D7" w14:paraId="679400D0" w14:textId="77777777" w:rsidTr="00D819DE">
        <w:trPr>
          <w:trHeight w:val="316"/>
        </w:trPr>
        <w:tc>
          <w:tcPr>
            <w:tcW w:w="1384" w:type="dxa"/>
          </w:tcPr>
          <w:p w14:paraId="2FF4D0BB" w14:textId="77777777" w:rsidR="007E1815" w:rsidRPr="002140D7" w:rsidRDefault="007E1815" w:rsidP="00D819DE">
            <w:pPr>
              <w:autoSpaceDE w:val="0"/>
              <w:autoSpaceDN w:val="0"/>
              <w:adjustRightInd w:val="0"/>
              <w:spacing w:after="120"/>
              <w:jc w:val="center"/>
              <w:rPr>
                <w:rFonts w:ascii="Times New Roman" w:hAnsi="Times New Roman" w:cs="Times New Roman"/>
                <w:color w:val="000000"/>
                <w:sz w:val="24"/>
              </w:rPr>
            </w:pPr>
            <w:r w:rsidRPr="002140D7">
              <w:rPr>
                <w:rFonts w:ascii="Times New Roman" w:hAnsi="Times New Roman"/>
                <w:sz w:val="24"/>
              </w:rPr>
              <w:t>2</w:t>
            </w:r>
          </w:p>
        </w:tc>
        <w:tc>
          <w:tcPr>
            <w:tcW w:w="7655" w:type="dxa"/>
          </w:tcPr>
          <w:p w14:paraId="5DF859BE" w14:textId="77777777" w:rsidR="007E1815" w:rsidRPr="002140D7" w:rsidRDefault="007E1815" w:rsidP="00D819DE">
            <w:pPr>
              <w:autoSpaceDE w:val="0"/>
              <w:autoSpaceDN w:val="0"/>
              <w:adjustRightInd w:val="0"/>
              <w:spacing w:before="120" w:after="120"/>
              <w:rPr>
                <w:rFonts w:ascii="Times New Roman" w:hAnsi="Times New Roman" w:cs="Times New Roman"/>
                <w:b/>
                <w:sz w:val="24"/>
              </w:rPr>
            </w:pPr>
            <w:r w:rsidRPr="002140D7">
              <w:rPr>
                <w:rFonts w:ascii="Times New Roman" w:hAnsi="Times New Roman"/>
                <w:b/>
                <w:sz w:val="24"/>
              </w:rPr>
              <w:t>Depositi al dettaglio e depositi di piccole imprese, di cui</w:t>
            </w:r>
          </w:p>
          <w:p w14:paraId="1B97B6A0" w14:textId="33953B7D" w:rsidR="007E1815" w:rsidRPr="002140D7" w:rsidRDefault="007E1815" w:rsidP="00D819DE">
            <w:pPr>
              <w:spacing w:after="120" w:line="278" w:lineRule="exact"/>
              <w:jc w:val="both"/>
              <w:rPr>
                <w:rFonts w:ascii="Times New Roman" w:hAnsi="Times New Roman" w:cs="Times New Roman"/>
                <w:bCs/>
                <w:sz w:val="24"/>
              </w:rPr>
            </w:pPr>
            <w:r w:rsidRPr="002140D7">
              <w:rPr>
                <w:rFonts w:ascii="Times New Roman" w:hAnsi="Times New Roman"/>
                <w:sz w:val="24"/>
              </w:rPr>
              <w:t>Gli enti indicano come valore non ponderato l</w:t>
            </w:r>
            <w:r w:rsidR="0031704F" w:rsidRPr="002140D7">
              <w:rPr>
                <w:rFonts w:ascii="Times New Roman" w:hAnsi="Times New Roman"/>
                <w:sz w:val="24"/>
              </w:rPr>
              <w:t>'</w:t>
            </w:r>
            <w:r w:rsidRPr="002140D7">
              <w:rPr>
                <w:rFonts w:ascii="Times New Roman" w:hAnsi="Times New Roman"/>
                <w:sz w:val="24"/>
              </w:rPr>
              <w:t xml:space="preserve">importo dei depositi al dettaglio, conformemente agli articoli 24 e 25 del regolamento delegato (UE) 2015/61 della Commissione. </w:t>
            </w:r>
          </w:p>
          <w:p w14:paraId="2645E17B" w14:textId="77777777" w:rsidR="007E1815" w:rsidRPr="002140D7" w:rsidRDefault="007E1815" w:rsidP="00D819DE">
            <w:pPr>
              <w:spacing w:after="120" w:line="278" w:lineRule="exact"/>
              <w:jc w:val="both"/>
              <w:rPr>
                <w:rFonts w:ascii="Times New Roman" w:hAnsi="Times New Roman" w:cs="Times New Roman"/>
                <w:bCs/>
                <w:sz w:val="24"/>
              </w:rPr>
            </w:pPr>
            <w:r w:rsidRPr="002140D7">
              <w:rPr>
                <w:rFonts w:ascii="Times New Roman" w:hAnsi="Times New Roman"/>
                <w:sz w:val="24"/>
              </w:rPr>
              <w:t>Gli enti pubblicano come valore ponderato il deflusso dei depositi al dettaglio conformemente agli articoli 24 e 25 del regolamento delegato (UE) 2015/61 della Commissione.</w:t>
            </w:r>
          </w:p>
          <w:p w14:paraId="61E7FEDA" w14:textId="0B223C19" w:rsidR="007E1815" w:rsidRPr="002140D7" w:rsidRDefault="007E1815" w:rsidP="00D819DE">
            <w:pPr>
              <w:spacing w:after="120" w:line="278" w:lineRule="exact"/>
              <w:jc w:val="both"/>
              <w:rPr>
                <w:rFonts w:ascii="Times New Roman" w:hAnsi="Times New Roman" w:cs="Times New Roman"/>
                <w:bCs/>
                <w:sz w:val="24"/>
              </w:rPr>
            </w:pPr>
            <w:r w:rsidRPr="002140D7">
              <w:rPr>
                <w:rFonts w:ascii="Times New Roman" w:hAnsi="Times New Roman"/>
                <w:sz w:val="24"/>
              </w:rPr>
              <w:t>Gli enti indicano qui i depositi al dettaglio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411, paragrafo 2, del CRR.</w:t>
            </w:r>
          </w:p>
          <w:p w14:paraId="1C28E2DD" w14:textId="30416E77" w:rsidR="007E1815" w:rsidRPr="002140D7" w:rsidRDefault="007E1815" w:rsidP="00D819DE">
            <w:pPr>
              <w:tabs>
                <w:tab w:val="left" w:pos="3317"/>
              </w:tabs>
              <w:spacing w:after="120" w:line="278" w:lineRule="exact"/>
              <w:jc w:val="both"/>
              <w:rPr>
                <w:rFonts w:ascii="Times New Roman" w:hAnsi="Times New Roman" w:cs="Times New Roman"/>
                <w:sz w:val="24"/>
              </w:rPr>
            </w:pPr>
            <w:r w:rsidRPr="002140D7">
              <w:rPr>
                <w:rFonts w:ascii="Times New Roman" w:hAnsi="Times New Roman"/>
                <w:sz w:val="24"/>
              </w:rPr>
              <w:t>Conformemente all</w:t>
            </w:r>
            <w:r w:rsidR="0031704F" w:rsidRPr="002140D7">
              <w:rPr>
                <w:rFonts w:ascii="Times New Roman" w:hAnsi="Times New Roman"/>
                <w:sz w:val="24"/>
              </w:rPr>
              <w:t>'</w:t>
            </w:r>
            <w:r w:rsidRPr="002140D7">
              <w:rPr>
                <w:rFonts w:ascii="Times New Roman" w:hAnsi="Times New Roman"/>
                <w:sz w:val="24"/>
              </w:rPr>
              <w:t>articolo 28, paragrafo 6, del regolamento delegato (UE) 2015/61 della Commissione, gli enti indicano anche, all</w:t>
            </w:r>
            <w:r w:rsidR="0031704F" w:rsidRPr="002140D7">
              <w:rPr>
                <w:rFonts w:ascii="Times New Roman" w:hAnsi="Times New Roman"/>
                <w:sz w:val="24"/>
              </w:rPr>
              <w:t>'</w:t>
            </w:r>
            <w:r w:rsidRPr="002140D7">
              <w:rPr>
                <w:rFonts w:ascii="Times New Roman" w:hAnsi="Times New Roman"/>
                <w:sz w:val="24"/>
              </w:rPr>
              <w:t>interno della pertinente categoria di depositi al dettaglio, l</w:t>
            </w:r>
            <w:r w:rsidR="0031704F" w:rsidRPr="002140D7">
              <w:rPr>
                <w:rFonts w:ascii="Times New Roman" w:hAnsi="Times New Roman"/>
                <w:sz w:val="24"/>
              </w:rPr>
              <w:t>'</w:t>
            </w:r>
            <w:r w:rsidRPr="002140D7">
              <w:rPr>
                <w:rFonts w:ascii="Times New Roman" w:hAnsi="Times New Roman"/>
                <w:sz w:val="24"/>
              </w:rPr>
              <w:t xml:space="preserve">importo delle </w:t>
            </w:r>
            <w:r w:rsidR="0031704F" w:rsidRPr="002140D7">
              <w:rPr>
                <w:rFonts w:ascii="Times New Roman" w:hAnsi="Times New Roman"/>
                <w:sz w:val="24"/>
              </w:rPr>
              <w:t>"</w:t>
            </w:r>
            <w:r w:rsidRPr="002140D7">
              <w:rPr>
                <w:rFonts w:ascii="Times New Roman" w:hAnsi="Times New Roman"/>
                <w:sz w:val="24"/>
              </w:rPr>
              <w:t>notes</w:t>
            </w:r>
            <w:r w:rsidR="0031704F" w:rsidRPr="002140D7">
              <w:rPr>
                <w:rFonts w:ascii="Times New Roman" w:hAnsi="Times New Roman"/>
                <w:sz w:val="24"/>
              </w:rPr>
              <w:t>"</w:t>
            </w:r>
            <w:r w:rsidRPr="002140D7">
              <w:rPr>
                <w:rFonts w:ascii="Times New Roman" w:hAnsi="Times New Roman"/>
                <w:sz w:val="24"/>
              </w:rPr>
              <w:t xml:space="preserve">, delle obbligazioni e degli altri titoli emessi che sono venduti esclusivamente sul mercato al dettaglio e detenuti in un conto al dettaglio. Gli enti considerano per questa categoria di passività i tassi di deflusso applicabili previsti dal regolamento delegato (UE) 2015/61 della Commissione per le diverse categorie di depositi al dettaglio. </w:t>
            </w:r>
          </w:p>
        </w:tc>
      </w:tr>
      <w:tr w:rsidR="007E1815" w:rsidRPr="002140D7" w14:paraId="51FA4D94" w14:textId="77777777" w:rsidTr="00D819DE">
        <w:trPr>
          <w:trHeight w:val="316"/>
        </w:trPr>
        <w:tc>
          <w:tcPr>
            <w:tcW w:w="1384" w:type="dxa"/>
          </w:tcPr>
          <w:p w14:paraId="33F0252C"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3</w:t>
            </w:r>
          </w:p>
        </w:tc>
        <w:tc>
          <w:tcPr>
            <w:tcW w:w="7655" w:type="dxa"/>
          </w:tcPr>
          <w:p w14:paraId="1ECEDB42" w14:textId="77777777" w:rsidR="007E1815" w:rsidRPr="002140D7" w:rsidRDefault="007E1815" w:rsidP="00D819DE">
            <w:pPr>
              <w:autoSpaceDE w:val="0"/>
              <w:autoSpaceDN w:val="0"/>
              <w:adjustRightInd w:val="0"/>
              <w:spacing w:before="120" w:after="120"/>
              <w:rPr>
                <w:rFonts w:ascii="Times New Roman" w:hAnsi="Times New Roman"/>
                <w:b/>
                <w:sz w:val="24"/>
              </w:rPr>
            </w:pPr>
            <w:r w:rsidRPr="002140D7">
              <w:rPr>
                <w:rFonts w:ascii="Times New Roman" w:hAnsi="Times New Roman"/>
                <w:b/>
                <w:sz w:val="24"/>
              </w:rPr>
              <w:t>Depositi stabili</w:t>
            </w:r>
          </w:p>
          <w:p w14:paraId="00BE3764" w14:textId="638B9CAB"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come valore non ponderato la somma degli importi dei depositi stabili, conformemente all</w:t>
            </w:r>
            <w:r w:rsidR="0031704F" w:rsidRPr="002140D7">
              <w:rPr>
                <w:rFonts w:ascii="Times New Roman" w:hAnsi="Times New Roman"/>
                <w:sz w:val="24"/>
              </w:rPr>
              <w:t>'</w:t>
            </w:r>
            <w:r w:rsidRPr="002140D7">
              <w:rPr>
                <w:rFonts w:ascii="Times New Roman" w:hAnsi="Times New Roman"/>
                <w:sz w:val="24"/>
              </w:rPr>
              <w:t>articolo 24 del regolamento delegato (UE) 2015/61 della Commissione.</w:t>
            </w:r>
          </w:p>
          <w:p w14:paraId="1C5FA496" w14:textId="4E554FBE"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lastRenderedPageBreak/>
              <w:t>Gli enti indicano come valore non ponderato la somma dei deflussi dei depositi stabili, conformemente all</w:t>
            </w:r>
            <w:r w:rsidR="0031704F" w:rsidRPr="002140D7">
              <w:rPr>
                <w:rFonts w:ascii="Times New Roman" w:hAnsi="Times New Roman"/>
                <w:sz w:val="24"/>
              </w:rPr>
              <w:t>'</w:t>
            </w:r>
            <w:r w:rsidRPr="002140D7">
              <w:rPr>
                <w:rFonts w:ascii="Times New Roman" w:hAnsi="Times New Roman"/>
                <w:sz w:val="24"/>
              </w:rPr>
              <w:t>articolo 24 del regolamento delegato (UE) 2015/61 della Commissione.</w:t>
            </w:r>
          </w:p>
          <w:p w14:paraId="1C39DD3F" w14:textId="0B45A2F5"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qui la parte degli importi dei depositi al dettaglio che è coperta da un sistema di garanzia dei depositi di cui alla direttiva 94/19/CE</w:t>
            </w:r>
            <w:r w:rsidRPr="002140D7">
              <w:rPr>
                <w:rStyle w:val="FootnoteReference"/>
                <w:rFonts w:ascii="Times New Roman" w:hAnsi="Times New Roman" w:cs="Times New Roman"/>
                <w:sz w:val="24"/>
              </w:rPr>
              <w:footnoteReference w:id="3"/>
            </w:r>
            <w:r w:rsidRPr="002140D7">
              <w:rPr>
                <w:rFonts w:ascii="Times New Roman" w:hAnsi="Times New Roman"/>
                <w:sz w:val="24"/>
              </w:rPr>
              <w:t xml:space="preserve"> o alla direttiva 2014/49/UE</w:t>
            </w:r>
            <w:r w:rsidRPr="002140D7">
              <w:rPr>
                <w:rStyle w:val="FootnoteReference"/>
                <w:rFonts w:ascii="Times New Roman" w:hAnsi="Times New Roman" w:cs="Times New Roman"/>
                <w:sz w:val="24"/>
              </w:rPr>
              <w:footnoteReference w:id="4"/>
            </w:r>
            <w:r w:rsidRPr="002140D7">
              <w:rPr>
                <w:rFonts w:ascii="Times New Roman" w:hAnsi="Times New Roman"/>
                <w:sz w:val="24"/>
              </w:rPr>
              <w:t xml:space="preserve"> oppure da un sistema di garanzia dei depositi equivalente di un paese terzo e che rientra in una relazione consolidata che rende il ritiro estremamente improbabile o è detenuta in un conto transattivo, in conformità rispettivamente dell</w:t>
            </w:r>
            <w:r w:rsidR="0031704F" w:rsidRPr="002140D7">
              <w:rPr>
                <w:rFonts w:ascii="Times New Roman" w:hAnsi="Times New Roman"/>
                <w:sz w:val="24"/>
              </w:rPr>
              <w:t>'</w:t>
            </w:r>
            <w:r w:rsidRPr="002140D7">
              <w:rPr>
                <w:rFonts w:ascii="Times New Roman" w:hAnsi="Times New Roman"/>
                <w:sz w:val="24"/>
              </w:rPr>
              <w:t>articolo 24, paragrafi 2 e 3, del regolamento delegato (UE) 2015/61 della Commissione, se:</w:t>
            </w:r>
          </w:p>
          <w:p w14:paraId="72E97531" w14:textId="2A6857C9"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detti depositi non soddisfano i criteri per un tasso superiore di deflusso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25, paragrafi 2, 3, o 5, del regolamento delegato (UE) 2015/61 della Commissione, e</w:t>
            </w:r>
          </w:p>
          <w:p w14:paraId="0141BCF2" w14:textId="01C1BA41"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2140D7">
              <w:rPr>
                <w:rFonts w:ascii="Times New Roman" w:hAnsi="Times New Roman"/>
                <w:sz w:val="24"/>
              </w:rPr>
              <w:t>detti depositi non sono stati aperti in paesi terzi in cui si applica un deflusso superiore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25, paragrafo</w:t>
            </w:r>
            <w:r w:rsidR="0031704F" w:rsidRPr="002140D7">
              <w:rPr>
                <w:rFonts w:ascii="Times New Roman" w:hAnsi="Times New Roman"/>
                <w:sz w:val="24"/>
              </w:rPr>
              <w:t> </w:t>
            </w:r>
            <w:r w:rsidRPr="002140D7">
              <w:rPr>
                <w:rFonts w:ascii="Times New Roman" w:hAnsi="Times New Roman"/>
                <w:sz w:val="24"/>
              </w:rPr>
              <w:t xml:space="preserve">5, del regolamento delegato (UE) 2015/61 della Commissione. </w:t>
            </w:r>
          </w:p>
        </w:tc>
      </w:tr>
      <w:tr w:rsidR="007E1815" w:rsidRPr="002140D7" w14:paraId="2C7142E2" w14:textId="77777777" w:rsidTr="00D819DE">
        <w:trPr>
          <w:trHeight w:val="316"/>
        </w:trPr>
        <w:tc>
          <w:tcPr>
            <w:tcW w:w="1384" w:type="dxa"/>
          </w:tcPr>
          <w:p w14:paraId="0A7F136B" w14:textId="77777777" w:rsidR="007E1815" w:rsidRPr="002140D7" w:rsidRDefault="007E1815" w:rsidP="00D819DE">
            <w:pPr>
              <w:autoSpaceDE w:val="0"/>
              <w:autoSpaceDN w:val="0"/>
              <w:adjustRightInd w:val="0"/>
              <w:spacing w:after="120"/>
              <w:jc w:val="center"/>
              <w:rPr>
                <w:rFonts w:ascii="Times New Roman" w:hAnsi="Times New Roman" w:cs="Times New Roman"/>
                <w:sz w:val="24"/>
              </w:rPr>
            </w:pPr>
            <w:r w:rsidRPr="002140D7">
              <w:rPr>
                <w:rFonts w:ascii="Times New Roman" w:hAnsi="Times New Roman"/>
                <w:sz w:val="24"/>
              </w:rPr>
              <w:lastRenderedPageBreak/>
              <w:t>4</w:t>
            </w:r>
          </w:p>
        </w:tc>
        <w:tc>
          <w:tcPr>
            <w:tcW w:w="7655" w:type="dxa"/>
          </w:tcPr>
          <w:p w14:paraId="481896FC" w14:textId="77777777" w:rsidR="007E1815" w:rsidRPr="002140D7" w:rsidRDefault="007E1815" w:rsidP="00D819DE">
            <w:pPr>
              <w:spacing w:before="120" w:after="120" w:line="190" w:lineRule="exact"/>
              <w:rPr>
                <w:rFonts w:ascii="Times New Roman" w:hAnsi="Times New Roman" w:cs="Times New Roman"/>
                <w:b/>
                <w:sz w:val="24"/>
              </w:rPr>
            </w:pPr>
            <w:r w:rsidRPr="002140D7">
              <w:rPr>
                <w:rFonts w:ascii="Times New Roman" w:hAnsi="Times New Roman"/>
                <w:b/>
                <w:sz w:val="24"/>
              </w:rPr>
              <w:t>Depositi meno stabili</w:t>
            </w:r>
          </w:p>
          <w:p w14:paraId="72651457" w14:textId="522FFB96" w:rsidR="007E1815" w:rsidRPr="002140D7" w:rsidRDefault="007E1815" w:rsidP="00D819DE">
            <w:pPr>
              <w:spacing w:after="120" w:line="278" w:lineRule="exact"/>
              <w:jc w:val="both"/>
              <w:rPr>
                <w:rFonts w:ascii="Times New Roman" w:hAnsi="Times New Roman" w:cs="Times New Roman"/>
                <w:sz w:val="24"/>
              </w:rPr>
            </w:pPr>
            <w:r w:rsidRPr="002140D7">
              <w:rPr>
                <w:rFonts w:ascii="Times New Roman" w:hAnsi="Times New Roman"/>
                <w:sz w:val="24"/>
              </w:rPr>
              <w:t>Gli enti indicano come valore non ponderato la somma dei depositi al dettaglio, conformemente all</w:t>
            </w:r>
            <w:r w:rsidR="0031704F" w:rsidRPr="002140D7">
              <w:rPr>
                <w:rFonts w:ascii="Times New Roman" w:hAnsi="Times New Roman"/>
                <w:sz w:val="24"/>
              </w:rPr>
              <w:t>'</w:t>
            </w:r>
            <w:r w:rsidRPr="002140D7">
              <w:rPr>
                <w:rFonts w:ascii="Times New Roman" w:hAnsi="Times New Roman"/>
                <w:sz w:val="24"/>
              </w:rPr>
              <w:t>articolo 25, paragrafi 1, 2 e 3, del regolamento delegato (UE) 2015/61 della Commissione.</w:t>
            </w:r>
          </w:p>
          <w:p w14:paraId="2ACA42CC" w14:textId="7625071C"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Gli enti indicano come valore ponderato la somma dei deflussi di depositi al dettaglio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25, paragrafi 1, 2 e 3, del regolamento delegato (UE) 2015/61 della Commissione.</w:t>
            </w:r>
          </w:p>
        </w:tc>
      </w:tr>
      <w:tr w:rsidR="007E1815" w:rsidRPr="002140D7" w14:paraId="6AC39664" w14:textId="77777777" w:rsidTr="00D819DE">
        <w:trPr>
          <w:trHeight w:val="316"/>
        </w:trPr>
        <w:tc>
          <w:tcPr>
            <w:tcW w:w="1384" w:type="dxa"/>
          </w:tcPr>
          <w:p w14:paraId="101FA97A"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5</w:t>
            </w:r>
          </w:p>
        </w:tc>
        <w:tc>
          <w:tcPr>
            <w:tcW w:w="7655" w:type="dxa"/>
          </w:tcPr>
          <w:p w14:paraId="29B56AD7" w14:textId="459CB534"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Finanziamento all</w:t>
            </w:r>
            <w:r w:rsidR="0031704F" w:rsidRPr="002140D7">
              <w:rPr>
                <w:rFonts w:ascii="Times New Roman" w:hAnsi="Times New Roman"/>
                <w:b/>
                <w:sz w:val="24"/>
              </w:rPr>
              <w:t>'</w:t>
            </w:r>
            <w:r w:rsidRPr="002140D7">
              <w:rPr>
                <w:rFonts w:ascii="Times New Roman" w:hAnsi="Times New Roman"/>
                <w:b/>
                <w:sz w:val="24"/>
              </w:rPr>
              <w:t>ingrosso non garantito</w:t>
            </w:r>
          </w:p>
          <w:p w14:paraId="2FD07274" w14:textId="5045C346"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Gli enti indicano le somme degli importi non ponderati e ponderati che sono necessari inclusi nella riga 6</w:t>
            </w:r>
            <w:r w:rsidR="0031704F" w:rsidRPr="002140D7">
              <w:rPr>
                <w:rFonts w:ascii="Times New Roman" w:hAnsi="Times New Roman"/>
                <w:sz w:val="24"/>
              </w:rPr>
              <w:t xml:space="preserve"> "</w:t>
            </w:r>
            <w:r w:rsidRPr="002140D7">
              <w:rPr>
                <w:rFonts w:ascii="Times New Roman" w:hAnsi="Times New Roman"/>
                <w:sz w:val="24"/>
              </w:rPr>
              <w:t>Depositi operativi (tutte le controparti) e depositi in reti di banche cooperative</w:t>
            </w:r>
            <w:r w:rsidR="0031704F" w:rsidRPr="002140D7">
              <w:rPr>
                <w:rFonts w:ascii="Times New Roman" w:hAnsi="Times New Roman"/>
                <w:sz w:val="24"/>
              </w:rPr>
              <w:t>"</w:t>
            </w:r>
            <w:r w:rsidRPr="002140D7">
              <w:rPr>
                <w:rFonts w:ascii="Times New Roman" w:hAnsi="Times New Roman"/>
                <w:sz w:val="24"/>
              </w:rPr>
              <w:t xml:space="preserve">, nella riga 7 </w:t>
            </w:r>
            <w:r w:rsidR="0031704F" w:rsidRPr="002140D7">
              <w:rPr>
                <w:rFonts w:ascii="Times New Roman" w:hAnsi="Times New Roman"/>
                <w:sz w:val="24"/>
              </w:rPr>
              <w:t>"</w:t>
            </w:r>
            <w:r w:rsidRPr="002140D7">
              <w:rPr>
                <w:rFonts w:ascii="Times New Roman" w:hAnsi="Times New Roman"/>
                <w:sz w:val="24"/>
              </w:rPr>
              <w:t>Depositi non operativi (tutte le controparti)</w:t>
            </w:r>
            <w:r w:rsidR="0031704F" w:rsidRPr="002140D7">
              <w:rPr>
                <w:rFonts w:ascii="Times New Roman" w:hAnsi="Times New Roman"/>
                <w:sz w:val="24"/>
              </w:rPr>
              <w:t>"</w:t>
            </w:r>
            <w:r w:rsidRPr="002140D7">
              <w:rPr>
                <w:rFonts w:ascii="Times New Roman" w:hAnsi="Times New Roman"/>
                <w:sz w:val="24"/>
              </w:rPr>
              <w:t xml:space="preserve"> e nella riga 8 </w:t>
            </w:r>
            <w:r w:rsidR="0031704F" w:rsidRPr="002140D7">
              <w:rPr>
                <w:rFonts w:ascii="Times New Roman" w:hAnsi="Times New Roman"/>
                <w:sz w:val="24"/>
              </w:rPr>
              <w:t>"</w:t>
            </w:r>
            <w:r w:rsidRPr="002140D7">
              <w:rPr>
                <w:rFonts w:ascii="Times New Roman" w:hAnsi="Times New Roman"/>
                <w:sz w:val="24"/>
              </w:rPr>
              <w:t>Debito non garantito</w:t>
            </w:r>
            <w:r w:rsidR="0031704F" w:rsidRPr="002140D7">
              <w:rPr>
                <w:rFonts w:ascii="Times New Roman" w:hAnsi="Times New Roman"/>
                <w:sz w:val="24"/>
              </w:rPr>
              <w:t>"</w:t>
            </w:r>
            <w:r w:rsidRPr="002140D7">
              <w:rPr>
                <w:rFonts w:ascii="Times New Roman" w:hAnsi="Times New Roman"/>
                <w:sz w:val="24"/>
              </w:rPr>
              <w:t xml:space="preserve"> di questo modello.</w:t>
            </w:r>
          </w:p>
        </w:tc>
      </w:tr>
      <w:tr w:rsidR="007E1815" w:rsidRPr="002140D7" w14:paraId="3699975C" w14:textId="77777777" w:rsidTr="00D819DE">
        <w:trPr>
          <w:trHeight w:val="316"/>
        </w:trPr>
        <w:tc>
          <w:tcPr>
            <w:tcW w:w="1384" w:type="dxa"/>
          </w:tcPr>
          <w:p w14:paraId="6C6D7AC1"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6</w:t>
            </w:r>
          </w:p>
        </w:tc>
        <w:tc>
          <w:tcPr>
            <w:tcW w:w="7655" w:type="dxa"/>
          </w:tcPr>
          <w:p w14:paraId="3F0B24B1" w14:textId="77777777" w:rsidR="007E1815" w:rsidRPr="002140D7" w:rsidRDefault="007E1815" w:rsidP="00D819DE">
            <w:pPr>
              <w:autoSpaceDE w:val="0"/>
              <w:autoSpaceDN w:val="0"/>
              <w:adjustRightInd w:val="0"/>
              <w:spacing w:before="120" w:after="120"/>
              <w:jc w:val="both"/>
              <w:rPr>
                <w:rFonts w:ascii="Times New Roman" w:hAnsi="Times New Roman"/>
                <w:sz w:val="24"/>
              </w:rPr>
            </w:pPr>
            <w:r w:rsidRPr="002140D7">
              <w:rPr>
                <w:rFonts w:ascii="Times New Roman" w:hAnsi="Times New Roman"/>
                <w:b/>
                <w:sz w:val="24"/>
              </w:rPr>
              <w:t>Depositi operativi (tutte le controparti) e depositi in reti di banche cooperative</w:t>
            </w:r>
          </w:p>
          <w:p w14:paraId="298B6767" w14:textId="44478416" w:rsidR="007E1815" w:rsidRPr="002140D7" w:rsidRDefault="007E1815" w:rsidP="00D819DE">
            <w:pPr>
              <w:autoSpaceDE w:val="0"/>
              <w:autoSpaceDN w:val="0"/>
              <w:adjustRightInd w:val="0"/>
              <w:spacing w:after="120"/>
              <w:jc w:val="both"/>
              <w:rPr>
                <w:rFonts w:ascii="Times New Roman" w:hAnsi="Times New Roman"/>
                <w:sz w:val="24"/>
              </w:rPr>
            </w:pPr>
            <w:r w:rsidRPr="002140D7">
              <w:rPr>
                <w:rFonts w:ascii="Times New Roman" w:hAnsi="Times New Roman"/>
                <w:sz w:val="24"/>
              </w:rPr>
              <w:t>Gli enti indicano come valore non ponderato l</w:t>
            </w:r>
            <w:r w:rsidR="0031704F" w:rsidRPr="002140D7">
              <w:rPr>
                <w:rFonts w:ascii="Times New Roman" w:hAnsi="Times New Roman"/>
                <w:sz w:val="24"/>
              </w:rPr>
              <w:t>'</w:t>
            </w:r>
            <w:r w:rsidRPr="002140D7">
              <w:rPr>
                <w:rFonts w:ascii="Times New Roman" w:hAnsi="Times New Roman"/>
                <w:sz w:val="24"/>
              </w:rPr>
              <w:t>importo dei depositi operativi, conformemente all</w:t>
            </w:r>
            <w:r w:rsidR="0031704F" w:rsidRPr="002140D7">
              <w:rPr>
                <w:rFonts w:ascii="Times New Roman" w:hAnsi="Times New Roman"/>
                <w:sz w:val="24"/>
              </w:rPr>
              <w:t>'</w:t>
            </w:r>
            <w:r w:rsidRPr="002140D7">
              <w:rPr>
                <w:rFonts w:ascii="Times New Roman" w:hAnsi="Times New Roman"/>
                <w:sz w:val="24"/>
              </w:rPr>
              <w:t>articolo 27 del regolamento delegato (UE) 2015/61 della Commissione.</w:t>
            </w:r>
          </w:p>
          <w:p w14:paraId="640AB0BC" w14:textId="3AF1C8BD" w:rsidR="007E1815" w:rsidRPr="002140D7" w:rsidRDefault="007E1815" w:rsidP="00D819DE">
            <w:pPr>
              <w:autoSpaceDE w:val="0"/>
              <w:autoSpaceDN w:val="0"/>
              <w:adjustRightInd w:val="0"/>
              <w:spacing w:after="120"/>
              <w:jc w:val="both"/>
              <w:rPr>
                <w:rFonts w:ascii="Times New Roman" w:hAnsi="Times New Roman"/>
                <w:sz w:val="24"/>
              </w:rPr>
            </w:pPr>
            <w:r w:rsidRPr="002140D7">
              <w:rPr>
                <w:rFonts w:ascii="Times New Roman" w:hAnsi="Times New Roman"/>
                <w:sz w:val="24"/>
              </w:rPr>
              <w:t>Gli enti indicano come valore ponderato i deflussi di depositi operativi, conformemente all</w:t>
            </w:r>
            <w:r w:rsidR="0031704F" w:rsidRPr="002140D7">
              <w:rPr>
                <w:rFonts w:ascii="Times New Roman" w:hAnsi="Times New Roman"/>
                <w:sz w:val="24"/>
              </w:rPr>
              <w:t>'</w:t>
            </w:r>
            <w:r w:rsidRPr="002140D7">
              <w:rPr>
                <w:rFonts w:ascii="Times New Roman" w:hAnsi="Times New Roman"/>
                <w:sz w:val="24"/>
              </w:rPr>
              <w:t>articolo 27 del regolamento delegato (UE) 2015/61 della Commissione.</w:t>
            </w:r>
          </w:p>
          <w:p w14:paraId="092AFFBB" w14:textId="5256EB68"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qui la parte dei depositi operativi,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 xml:space="preserve">27 del regolamento delegato (UE) 2015/61 della Commissione, necessaria per la prestazione di servizi operativi. I depositi derivanti da una relazione di corrispondenza tra banche o dalla prestazione di servizi di prime </w:t>
            </w:r>
            <w:r w:rsidRPr="002140D7">
              <w:rPr>
                <w:rFonts w:ascii="Times New Roman" w:hAnsi="Times New Roman"/>
                <w:sz w:val="24"/>
              </w:rPr>
              <w:lastRenderedPageBreak/>
              <w:t>brokerage sono considerati depositi non operativi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27, paragrafo 5, del regolamento delegato (UE) 2015/61.</w:t>
            </w:r>
          </w:p>
          <w:p w14:paraId="51A15DD5" w14:textId="5E32A957"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La parte dei depositi operativi che supera l</w:t>
            </w:r>
            <w:r w:rsidR="0031704F" w:rsidRPr="002140D7">
              <w:rPr>
                <w:rFonts w:ascii="Times New Roman" w:hAnsi="Times New Roman"/>
                <w:sz w:val="24"/>
              </w:rPr>
              <w:t>'</w:t>
            </w:r>
            <w:r w:rsidRPr="002140D7">
              <w:rPr>
                <w:rFonts w:ascii="Times New Roman" w:hAnsi="Times New Roman"/>
                <w:sz w:val="24"/>
              </w:rPr>
              <w:t>importo necessario per la prestazione dei servizi operativi non è da indicarsi qui.</w:t>
            </w:r>
          </w:p>
        </w:tc>
      </w:tr>
      <w:tr w:rsidR="007E1815" w:rsidRPr="002140D7" w14:paraId="10E4889F" w14:textId="77777777" w:rsidTr="00D819DE">
        <w:trPr>
          <w:trHeight w:val="316"/>
        </w:trPr>
        <w:tc>
          <w:tcPr>
            <w:tcW w:w="1384" w:type="dxa"/>
          </w:tcPr>
          <w:p w14:paraId="3D507C3D"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lastRenderedPageBreak/>
              <w:t>7</w:t>
            </w:r>
          </w:p>
        </w:tc>
        <w:tc>
          <w:tcPr>
            <w:tcW w:w="7655" w:type="dxa"/>
          </w:tcPr>
          <w:p w14:paraId="53BB0581" w14:textId="77777777" w:rsidR="007E1815" w:rsidRPr="002140D7" w:rsidRDefault="007E1815" w:rsidP="00D819DE">
            <w:pPr>
              <w:spacing w:before="120" w:after="120" w:line="190" w:lineRule="exact"/>
              <w:rPr>
                <w:rFonts w:ascii="Times New Roman" w:hAnsi="Times New Roman"/>
                <w:b/>
                <w:sz w:val="24"/>
              </w:rPr>
            </w:pPr>
            <w:r w:rsidRPr="002140D7">
              <w:rPr>
                <w:rFonts w:ascii="Times New Roman" w:hAnsi="Times New Roman"/>
                <w:b/>
                <w:sz w:val="24"/>
              </w:rPr>
              <w:t>Depositi non operativi (tutte le controparti)</w:t>
            </w:r>
          </w:p>
          <w:p w14:paraId="48CEFB6E" w14:textId="30A99D2E" w:rsidR="007E1815" w:rsidRPr="002140D7" w:rsidRDefault="007E1815" w:rsidP="00D819DE">
            <w:pPr>
              <w:autoSpaceDE w:val="0"/>
              <w:autoSpaceDN w:val="0"/>
              <w:adjustRightInd w:val="0"/>
              <w:spacing w:after="120"/>
              <w:jc w:val="both"/>
              <w:rPr>
                <w:rFonts w:ascii="Times New Roman" w:hAnsi="Times New Roman"/>
                <w:sz w:val="24"/>
              </w:rPr>
            </w:pPr>
            <w:r w:rsidRPr="002140D7">
              <w:rPr>
                <w:rFonts w:ascii="Times New Roman" w:hAnsi="Times New Roman"/>
                <w:sz w:val="24"/>
              </w:rPr>
              <w:t>Gli enti indicano come valore non ponderato l</w:t>
            </w:r>
            <w:r w:rsidR="0031704F" w:rsidRPr="002140D7">
              <w:rPr>
                <w:rFonts w:ascii="Times New Roman" w:hAnsi="Times New Roman"/>
                <w:sz w:val="24"/>
              </w:rPr>
              <w:t>'</w:t>
            </w:r>
            <w:r w:rsidRPr="002140D7">
              <w:rPr>
                <w:rFonts w:ascii="Times New Roman" w:hAnsi="Times New Roman"/>
                <w:sz w:val="24"/>
              </w:rPr>
              <w:t>importo dei depositi non operativi,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27, paragrafo</w:t>
            </w:r>
            <w:r w:rsidR="0031704F" w:rsidRPr="002140D7">
              <w:rPr>
                <w:rFonts w:ascii="Times New Roman" w:hAnsi="Times New Roman"/>
                <w:sz w:val="24"/>
              </w:rPr>
              <w:t> </w:t>
            </w:r>
            <w:r w:rsidRPr="002140D7">
              <w:rPr>
                <w:rFonts w:ascii="Times New Roman" w:hAnsi="Times New Roman"/>
                <w:sz w:val="24"/>
              </w:rPr>
              <w:t>5,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28, paragrafo</w:t>
            </w:r>
            <w:r w:rsidR="0031704F" w:rsidRPr="002140D7">
              <w:rPr>
                <w:rFonts w:ascii="Times New Roman" w:hAnsi="Times New Roman"/>
                <w:sz w:val="24"/>
              </w:rPr>
              <w:t> </w:t>
            </w:r>
            <w:r w:rsidRPr="002140D7">
              <w:rPr>
                <w:rFonts w:ascii="Times New Roman" w:hAnsi="Times New Roman"/>
                <w:sz w:val="24"/>
              </w:rPr>
              <w:t>1, e all</w:t>
            </w:r>
            <w:r w:rsidR="0031704F" w:rsidRPr="002140D7">
              <w:rPr>
                <w:rFonts w:ascii="Times New Roman" w:hAnsi="Times New Roman"/>
                <w:sz w:val="24"/>
              </w:rPr>
              <w:t>'</w:t>
            </w:r>
            <w:r w:rsidRPr="002140D7">
              <w:rPr>
                <w:rFonts w:ascii="Times New Roman" w:hAnsi="Times New Roman"/>
                <w:sz w:val="24"/>
              </w:rPr>
              <w:t>articolo 31 bis, paragrafo</w:t>
            </w:r>
            <w:r w:rsidR="0031704F" w:rsidRPr="002140D7">
              <w:rPr>
                <w:rFonts w:ascii="Times New Roman" w:hAnsi="Times New Roman"/>
                <w:sz w:val="24"/>
              </w:rPr>
              <w:t> </w:t>
            </w:r>
            <w:r w:rsidRPr="002140D7">
              <w:rPr>
                <w:rFonts w:ascii="Times New Roman" w:hAnsi="Times New Roman"/>
                <w:sz w:val="24"/>
              </w:rPr>
              <w:t>1, del regolamento delegato (UE) 2015/61 della Commissione.</w:t>
            </w:r>
          </w:p>
          <w:p w14:paraId="4790956F" w14:textId="049E3D7B"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come valore ponderato il deflusso dei depositi non operativi,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27, paragrafo</w:t>
            </w:r>
            <w:r w:rsidR="0031704F" w:rsidRPr="002140D7">
              <w:rPr>
                <w:rFonts w:ascii="Times New Roman" w:hAnsi="Times New Roman"/>
                <w:sz w:val="24"/>
              </w:rPr>
              <w:t> </w:t>
            </w:r>
            <w:r w:rsidRPr="002140D7">
              <w:rPr>
                <w:rFonts w:ascii="Times New Roman" w:hAnsi="Times New Roman"/>
                <w:sz w:val="24"/>
              </w:rPr>
              <w:t>5,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28, paragrafo</w:t>
            </w:r>
            <w:r w:rsidR="0031704F" w:rsidRPr="002140D7">
              <w:rPr>
                <w:rFonts w:ascii="Times New Roman" w:hAnsi="Times New Roman"/>
                <w:sz w:val="24"/>
              </w:rPr>
              <w:t> </w:t>
            </w:r>
            <w:r w:rsidRPr="002140D7">
              <w:rPr>
                <w:rFonts w:ascii="Times New Roman" w:hAnsi="Times New Roman"/>
                <w:sz w:val="24"/>
              </w:rPr>
              <w:t>1, e all</w:t>
            </w:r>
            <w:r w:rsidR="0031704F" w:rsidRPr="002140D7">
              <w:rPr>
                <w:rFonts w:ascii="Times New Roman" w:hAnsi="Times New Roman"/>
                <w:sz w:val="24"/>
              </w:rPr>
              <w:t>'</w:t>
            </w:r>
            <w:r w:rsidRPr="002140D7">
              <w:rPr>
                <w:rFonts w:ascii="Times New Roman" w:hAnsi="Times New Roman"/>
                <w:sz w:val="24"/>
              </w:rPr>
              <w:t>articolo 31 bis, paragrafo</w:t>
            </w:r>
            <w:r w:rsidR="0031704F" w:rsidRPr="002140D7">
              <w:rPr>
                <w:rFonts w:ascii="Times New Roman" w:hAnsi="Times New Roman"/>
                <w:sz w:val="24"/>
              </w:rPr>
              <w:t> </w:t>
            </w:r>
            <w:r w:rsidRPr="002140D7">
              <w:rPr>
                <w:rFonts w:ascii="Times New Roman" w:hAnsi="Times New Roman"/>
                <w:sz w:val="24"/>
              </w:rPr>
              <w:t>1, del regolamento delegato (UE) 2015/61 della Commissione.</w:t>
            </w:r>
          </w:p>
          <w:p w14:paraId="10C1A170" w14:textId="66FD2C0B"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qui i depositi derivanti da una relazione di corrispondenza tra banche o dalla prestazione di servizi di prime brokerage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27, paragrafo</w:t>
            </w:r>
            <w:r w:rsidR="0031704F" w:rsidRPr="002140D7">
              <w:rPr>
                <w:rFonts w:ascii="Times New Roman" w:hAnsi="Times New Roman"/>
                <w:sz w:val="24"/>
              </w:rPr>
              <w:t> </w:t>
            </w:r>
            <w:r w:rsidRPr="002140D7">
              <w:rPr>
                <w:rFonts w:ascii="Times New Roman" w:hAnsi="Times New Roman"/>
                <w:sz w:val="24"/>
              </w:rPr>
              <w:t>5, del regolamento delegato (UE) 2015/61 della Commissione.</w:t>
            </w:r>
          </w:p>
          <w:p w14:paraId="6F5AFE8E" w14:textId="2960BF64"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La parte dei depositi operativi ai sensi dell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27, paragrafo</w:t>
            </w:r>
            <w:r w:rsidR="0031704F" w:rsidRPr="002140D7">
              <w:rPr>
                <w:rFonts w:ascii="Times New Roman" w:hAnsi="Times New Roman"/>
                <w:sz w:val="24"/>
              </w:rPr>
              <w:t> </w:t>
            </w:r>
            <w:r w:rsidRPr="002140D7">
              <w:rPr>
                <w:rFonts w:ascii="Times New Roman" w:hAnsi="Times New Roman"/>
                <w:sz w:val="24"/>
              </w:rPr>
              <w:t>5, del regolamento delegato (UE) 2015/61 della Commissione, in eccesso rispetto a quella richiesta per la prestazione di servizi operativi, è indicata qui.</w:t>
            </w:r>
          </w:p>
        </w:tc>
      </w:tr>
      <w:tr w:rsidR="007E1815" w:rsidRPr="002140D7" w14:paraId="0C113736" w14:textId="77777777" w:rsidTr="00D819DE">
        <w:trPr>
          <w:trHeight w:val="316"/>
        </w:trPr>
        <w:tc>
          <w:tcPr>
            <w:tcW w:w="1384" w:type="dxa"/>
          </w:tcPr>
          <w:p w14:paraId="2A59F921"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8</w:t>
            </w:r>
          </w:p>
        </w:tc>
        <w:tc>
          <w:tcPr>
            <w:tcW w:w="7655" w:type="dxa"/>
          </w:tcPr>
          <w:p w14:paraId="58B737C3"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Debito non garantito</w:t>
            </w:r>
          </w:p>
          <w:p w14:paraId="07E30657" w14:textId="0CB16F4E" w:rsidR="007E1815" w:rsidRPr="002140D7" w:rsidRDefault="007E1815" w:rsidP="00D819DE">
            <w:pPr>
              <w:autoSpaceDE w:val="0"/>
              <w:autoSpaceDN w:val="0"/>
              <w:adjustRightInd w:val="0"/>
              <w:spacing w:after="120"/>
              <w:jc w:val="both"/>
              <w:rPr>
                <w:rFonts w:ascii="Times New Roman" w:hAnsi="Times New Roman"/>
                <w:sz w:val="24"/>
              </w:rPr>
            </w:pPr>
            <w:r w:rsidRPr="002140D7">
              <w:rPr>
                <w:rFonts w:ascii="Times New Roman" w:hAnsi="Times New Roman"/>
                <w:sz w:val="24"/>
              </w:rPr>
              <w:t>Gli enti indicano come valore non ponderato il saldo in essere di notes, obbligazioni e altri titoli di debito di propria emissione, diversi da quelli indicati come depositi al dettaglio, di cui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28, paragrafo</w:t>
            </w:r>
            <w:r w:rsidR="0031704F" w:rsidRPr="002140D7">
              <w:rPr>
                <w:rFonts w:ascii="Times New Roman" w:hAnsi="Times New Roman"/>
                <w:sz w:val="24"/>
              </w:rPr>
              <w:t> </w:t>
            </w:r>
            <w:r w:rsidRPr="002140D7">
              <w:rPr>
                <w:rFonts w:ascii="Times New Roman" w:hAnsi="Times New Roman"/>
                <w:sz w:val="24"/>
              </w:rPr>
              <w:t>6, del regolamento delegato (UE) 2015/61 della Commissione. L</w:t>
            </w:r>
            <w:r w:rsidR="0031704F" w:rsidRPr="002140D7">
              <w:rPr>
                <w:rFonts w:ascii="Times New Roman" w:hAnsi="Times New Roman"/>
                <w:sz w:val="24"/>
              </w:rPr>
              <w:t>'</w:t>
            </w:r>
            <w:r w:rsidRPr="002140D7">
              <w:rPr>
                <w:rFonts w:ascii="Times New Roman" w:hAnsi="Times New Roman"/>
                <w:sz w:val="24"/>
              </w:rPr>
              <w:t xml:space="preserve">importo comprende anche le cedole in scadenza nei successivi 30 giorni di calendario relative a tutti i </w:t>
            </w:r>
            <w:proofErr w:type="gramStart"/>
            <w:r w:rsidRPr="002140D7">
              <w:rPr>
                <w:rFonts w:ascii="Times New Roman" w:hAnsi="Times New Roman"/>
                <w:sz w:val="24"/>
              </w:rPr>
              <w:t>predetti</w:t>
            </w:r>
            <w:proofErr w:type="gramEnd"/>
            <w:r w:rsidRPr="002140D7">
              <w:rPr>
                <w:rFonts w:ascii="Times New Roman" w:hAnsi="Times New Roman"/>
                <w:sz w:val="24"/>
              </w:rPr>
              <w:t xml:space="preserve"> titoli.</w:t>
            </w:r>
          </w:p>
          <w:p w14:paraId="2B76EA8F" w14:textId="77777777"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Gli enti indicano come valore ponderato il deflusso di tali notes, obbligazioni e altri titoli di debito indicati al paragrafo precedente.</w:t>
            </w:r>
          </w:p>
        </w:tc>
      </w:tr>
      <w:tr w:rsidR="007E1815" w:rsidRPr="002140D7" w14:paraId="11912F1B" w14:textId="77777777" w:rsidTr="00D819DE">
        <w:trPr>
          <w:trHeight w:val="316"/>
        </w:trPr>
        <w:tc>
          <w:tcPr>
            <w:tcW w:w="1384" w:type="dxa"/>
          </w:tcPr>
          <w:p w14:paraId="0B7FBC22"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9</w:t>
            </w:r>
          </w:p>
        </w:tc>
        <w:tc>
          <w:tcPr>
            <w:tcW w:w="7655" w:type="dxa"/>
          </w:tcPr>
          <w:p w14:paraId="3E610997" w14:textId="4D755724" w:rsidR="007E1815" w:rsidRPr="002140D7" w:rsidRDefault="007E1815" w:rsidP="00D819DE">
            <w:pPr>
              <w:spacing w:before="120" w:after="120" w:line="190" w:lineRule="exact"/>
              <w:rPr>
                <w:rFonts w:ascii="Times New Roman" w:hAnsi="Times New Roman" w:cs="Times New Roman"/>
                <w:b/>
                <w:sz w:val="24"/>
              </w:rPr>
            </w:pPr>
            <w:r w:rsidRPr="002140D7">
              <w:rPr>
                <w:rFonts w:ascii="Times New Roman" w:hAnsi="Times New Roman"/>
                <w:b/>
                <w:sz w:val="24"/>
              </w:rPr>
              <w:t>Finanziamento all</w:t>
            </w:r>
            <w:r w:rsidR="0031704F" w:rsidRPr="002140D7">
              <w:rPr>
                <w:rFonts w:ascii="Times New Roman" w:hAnsi="Times New Roman"/>
                <w:b/>
                <w:sz w:val="24"/>
              </w:rPr>
              <w:t>'</w:t>
            </w:r>
            <w:r w:rsidRPr="002140D7">
              <w:rPr>
                <w:rFonts w:ascii="Times New Roman" w:hAnsi="Times New Roman"/>
                <w:b/>
                <w:sz w:val="24"/>
              </w:rPr>
              <w:t>ingrosso garantito</w:t>
            </w:r>
          </w:p>
          <w:p w14:paraId="2BB9CA43" w14:textId="1E1E8102"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Gli enti indicano come valore ponderato la somma dei deflussi risultanti da operazioni di prestito garantite o da operazioni correlate ai mercati finanziari di cui all</w:t>
            </w:r>
            <w:r w:rsidR="0031704F" w:rsidRPr="002140D7">
              <w:rPr>
                <w:rFonts w:ascii="Times New Roman" w:hAnsi="Times New Roman"/>
                <w:sz w:val="24"/>
              </w:rPr>
              <w:t>'</w:t>
            </w:r>
            <w:r w:rsidRPr="002140D7">
              <w:rPr>
                <w:rFonts w:ascii="Times New Roman" w:hAnsi="Times New Roman"/>
                <w:sz w:val="24"/>
              </w:rPr>
              <w:t>articolo 28, paragrafo 3, del regolamento delegato (UE) 2015/61 della Commissione e da swaps con garanzie reali e altre operazioni con forma analoga conformemente all</w:t>
            </w:r>
            <w:r w:rsidR="0031704F" w:rsidRPr="002140D7">
              <w:rPr>
                <w:rFonts w:ascii="Times New Roman" w:hAnsi="Times New Roman"/>
                <w:sz w:val="24"/>
              </w:rPr>
              <w:t>'</w:t>
            </w:r>
            <w:r w:rsidRPr="002140D7">
              <w:rPr>
                <w:rFonts w:ascii="Times New Roman" w:hAnsi="Times New Roman"/>
                <w:sz w:val="24"/>
              </w:rPr>
              <w:t>articolo 28, paragrafo 4, del regolamento delegato (UE) 2015/61 della Commissione.</w:t>
            </w:r>
          </w:p>
        </w:tc>
      </w:tr>
      <w:tr w:rsidR="007E1815" w:rsidRPr="002140D7" w14:paraId="1E67FE9B" w14:textId="77777777" w:rsidTr="00D819DE">
        <w:trPr>
          <w:trHeight w:val="316"/>
        </w:trPr>
        <w:tc>
          <w:tcPr>
            <w:tcW w:w="1384" w:type="dxa"/>
          </w:tcPr>
          <w:p w14:paraId="09C8CC38"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10</w:t>
            </w:r>
          </w:p>
        </w:tc>
        <w:tc>
          <w:tcPr>
            <w:tcW w:w="7655" w:type="dxa"/>
          </w:tcPr>
          <w:p w14:paraId="774F36AA" w14:textId="77777777" w:rsidR="007E1815" w:rsidRPr="002140D7" w:rsidRDefault="007E1815" w:rsidP="00D819DE">
            <w:pPr>
              <w:autoSpaceDE w:val="0"/>
              <w:autoSpaceDN w:val="0"/>
              <w:adjustRightInd w:val="0"/>
              <w:spacing w:before="120" w:after="120"/>
              <w:jc w:val="both"/>
              <w:rPr>
                <w:rFonts w:ascii="Times New Roman" w:hAnsi="Times New Roman"/>
                <w:b/>
                <w:sz w:val="24"/>
              </w:rPr>
            </w:pPr>
            <w:r w:rsidRPr="002140D7">
              <w:rPr>
                <w:rFonts w:ascii="Times New Roman" w:hAnsi="Times New Roman"/>
                <w:b/>
                <w:sz w:val="24"/>
              </w:rPr>
              <w:t>Obblighi aggiuntivi</w:t>
            </w:r>
          </w:p>
          <w:p w14:paraId="34F10C0C" w14:textId="7B9D6F24"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 xml:space="preserve">Gli enti indicano le somme degli importi non ponderati e ponderati che sono necessari, indicati nella riga 11 </w:t>
            </w:r>
            <w:r w:rsidR="0031704F" w:rsidRPr="002140D7">
              <w:rPr>
                <w:rFonts w:ascii="Times New Roman" w:hAnsi="Times New Roman"/>
                <w:sz w:val="24"/>
              </w:rPr>
              <w:t>"</w:t>
            </w:r>
            <w:r w:rsidRPr="002140D7">
              <w:rPr>
                <w:rFonts w:ascii="Times New Roman" w:hAnsi="Times New Roman"/>
                <w:sz w:val="24"/>
              </w:rPr>
              <w:t>Deflussi connessi ad esposizioni in derivati e altri obblighi in materia di garanzie reali</w:t>
            </w:r>
            <w:r w:rsidR="0031704F" w:rsidRPr="002140D7">
              <w:rPr>
                <w:rFonts w:ascii="Times New Roman" w:hAnsi="Times New Roman"/>
                <w:sz w:val="24"/>
              </w:rPr>
              <w:t>"</w:t>
            </w:r>
            <w:r w:rsidRPr="002140D7">
              <w:rPr>
                <w:rFonts w:ascii="Times New Roman" w:hAnsi="Times New Roman"/>
                <w:sz w:val="24"/>
              </w:rPr>
              <w:t xml:space="preserve">, nella riga 12 </w:t>
            </w:r>
            <w:r w:rsidR="0031704F" w:rsidRPr="002140D7">
              <w:rPr>
                <w:rFonts w:ascii="Times New Roman" w:hAnsi="Times New Roman"/>
                <w:sz w:val="24"/>
              </w:rPr>
              <w:t>"</w:t>
            </w:r>
            <w:r w:rsidRPr="002140D7">
              <w:rPr>
                <w:rFonts w:ascii="Times New Roman" w:hAnsi="Times New Roman"/>
                <w:sz w:val="24"/>
              </w:rPr>
              <w:t>Deflussi connessi alla perdita di finanziamenti su prodotti di debito</w:t>
            </w:r>
            <w:r w:rsidR="0031704F" w:rsidRPr="002140D7">
              <w:rPr>
                <w:rFonts w:ascii="Times New Roman" w:hAnsi="Times New Roman"/>
                <w:sz w:val="24"/>
              </w:rPr>
              <w:t>"</w:t>
            </w:r>
            <w:r w:rsidRPr="002140D7">
              <w:rPr>
                <w:rFonts w:ascii="Times New Roman" w:hAnsi="Times New Roman"/>
                <w:sz w:val="24"/>
              </w:rPr>
              <w:t xml:space="preserve"> e nella riga 13 </w:t>
            </w:r>
            <w:r w:rsidR="0031704F" w:rsidRPr="002140D7">
              <w:rPr>
                <w:rFonts w:ascii="Times New Roman" w:hAnsi="Times New Roman"/>
                <w:sz w:val="24"/>
              </w:rPr>
              <w:t>"</w:t>
            </w:r>
            <w:r w:rsidRPr="002140D7">
              <w:rPr>
                <w:rFonts w:ascii="Times New Roman" w:hAnsi="Times New Roman"/>
                <w:sz w:val="24"/>
              </w:rPr>
              <w:t>Linee di credito e di liquidità</w:t>
            </w:r>
            <w:r w:rsidR="0031704F" w:rsidRPr="002140D7">
              <w:rPr>
                <w:rFonts w:ascii="Times New Roman" w:hAnsi="Times New Roman"/>
                <w:sz w:val="24"/>
              </w:rPr>
              <w:t>"</w:t>
            </w:r>
            <w:r w:rsidRPr="002140D7">
              <w:rPr>
                <w:rFonts w:ascii="Times New Roman" w:hAnsi="Times New Roman"/>
                <w:sz w:val="24"/>
              </w:rPr>
              <w:t xml:space="preserve"> di questo modello.</w:t>
            </w:r>
          </w:p>
        </w:tc>
      </w:tr>
      <w:tr w:rsidR="007E1815" w:rsidRPr="002140D7" w14:paraId="6C258881" w14:textId="77777777" w:rsidTr="00D819DE">
        <w:trPr>
          <w:trHeight w:val="316"/>
        </w:trPr>
        <w:tc>
          <w:tcPr>
            <w:tcW w:w="1384" w:type="dxa"/>
          </w:tcPr>
          <w:p w14:paraId="169F3669"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lastRenderedPageBreak/>
              <w:t>11</w:t>
            </w:r>
          </w:p>
        </w:tc>
        <w:tc>
          <w:tcPr>
            <w:tcW w:w="7655" w:type="dxa"/>
          </w:tcPr>
          <w:p w14:paraId="74F71329" w14:textId="77777777" w:rsidR="007E1815" w:rsidRPr="002140D7" w:rsidRDefault="007E1815" w:rsidP="00D819DE">
            <w:pPr>
              <w:autoSpaceDE w:val="0"/>
              <w:autoSpaceDN w:val="0"/>
              <w:adjustRightInd w:val="0"/>
              <w:spacing w:before="120" w:after="120"/>
              <w:jc w:val="both"/>
              <w:rPr>
                <w:rFonts w:ascii="Times New Roman" w:hAnsi="Times New Roman"/>
                <w:sz w:val="24"/>
              </w:rPr>
            </w:pPr>
            <w:r w:rsidRPr="002140D7">
              <w:rPr>
                <w:rFonts w:ascii="Times New Roman" w:hAnsi="Times New Roman"/>
                <w:b/>
                <w:sz w:val="24"/>
              </w:rPr>
              <w:t>Deflussi connessi ad esposizioni in derivati e altri obblighi in materia di garanzie reali</w:t>
            </w:r>
          </w:p>
          <w:p w14:paraId="45A714DD" w14:textId="77777777"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come valore non ponderato e come valore ponderato la somma, rispettivamente, dei seguenti importi e deflussi:</w:t>
            </w:r>
          </w:p>
          <w:p w14:paraId="35D83DA0" w14:textId="429DD700"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il valore di mercato e i deflussi pertinenti di garanzie reali diverse dalle garanzie reali di livello 1 fornite per i contratti elencati nell</w:t>
            </w:r>
            <w:r w:rsidR="0031704F" w:rsidRPr="002140D7">
              <w:rPr>
                <w:rFonts w:ascii="Times New Roman" w:hAnsi="Times New Roman"/>
                <w:sz w:val="24"/>
              </w:rPr>
              <w:t>'</w:t>
            </w:r>
            <w:r w:rsidRPr="002140D7">
              <w:rPr>
                <w:rFonts w:ascii="Times New Roman" w:hAnsi="Times New Roman"/>
                <w:sz w:val="24"/>
              </w:rPr>
              <w:t>allegato II del CRR e i derivati su crediti, a norma dell</w:t>
            </w:r>
            <w:r w:rsidR="0031704F" w:rsidRPr="002140D7">
              <w:rPr>
                <w:rFonts w:ascii="Times New Roman" w:hAnsi="Times New Roman"/>
                <w:sz w:val="24"/>
              </w:rPr>
              <w:t>'</w:t>
            </w:r>
            <w:r w:rsidRPr="002140D7">
              <w:rPr>
                <w:rFonts w:ascii="Times New Roman" w:hAnsi="Times New Roman"/>
                <w:sz w:val="24"/>
              </w:rPr>
              <w:t>articolo 30, paragrafo 1, del regolamento delegato (UE) 2015/61 della Commissione;</w:t>
            </w:r>
          </w:p>
          <w:p w14:paraId="43C0E6B6" w14:textId="07B8D81E"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il valore di mercato e i deflussi pertinenti di garanzie reali sotto forma di attività di livello 1 costituite da obbligazioni garantite di qualità elevatissima (EHQ) fornite per i contratti elencati nell</w:t>
            </w:r>
            <w:r w:rsidR="0031704F" w:rsidRPr="002140D7">
              <w:rPr>
                <w:rFonts w:ascii="Times New Roman" w:hAnsi="Times New Roman"/>
                <w:sz w:val="24"/>
              </w:rPr>
              <w:t>'</w:t>
            </w:r>
            <w:r w:rsidRPr="002140D7">
              <w:rPr>
                <w:rFonts w:ascii="Times New Roman" w:hAnsi="Times New Roman"/>
                <w:sz w:val="24"/>
              </w:rPr>
              <w:t>allegato II del CRR e i derivati su crediti, a norma dell</w:t>
            </w:r>
            <w:r w:rsidR="0031704F" w:rsidRPr="002140D7">
              <w:rPr>
                <w:rFonts w:ascii="Times New Roman" w:hAnsi="Times New Roman"/>
                <w:sz w:val="24"/>
              </w:rPr>
              <w:t>'</w:t>
            </w:r>
            <w:r w:rsidRPr="002140D7">
              <w:rPr>
                <w:rFonts w:ascii="Times New Roman" w:hAnsi="Times New Roman"/>
                <w:sz w:val="24"/>
              </w:rPr>
              <w:t>articolo 30, paragrafo 1, del regolamento delegato (UE) 2015/61 della Commissione;</w:t>
            </w:r>
          </w:p>
          <w:p w14:paraId="5A5FA7D0" w14:textId="13B76535"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l</w:t>
            </w:r>
            <w:r w:rsidR="0031704F" w:rsidRPr="002140D7">
              <w:rPr>
                <w:rFonts w:ascii="Times New Roman" w:hAnsi="Times New Roman"/>
                <w:sz w:val="24"/>
              </w:rPr>
              <w:t>'</w:t>
            </w:r>
            <w:r w:rsidRPr="002140D7">
              <w:rPr>
                <w:rFonts w:ascii="Times New Roman" w:hAnsi="Times New Roman"/>
                <w:sz w:val="24"/>
              </w:rPr>
              <w:t>importo totale di ulteriori deflussi calcolati e notificati alle autorità competenti, conformemente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30, paragrafo</w:t>
            </w:r>
            <w:r w:rsidR="0031704F" w:rsidRPr="002140D7">
              <w:rPr>
                <w:rFonts w:ascii="Times New Roman" w:hAnsi="Times New Roman"/>
                <w:sz w:val="24"/>
              </w:rPr>
              <w:t> </w:t>
            </w:r>
            <w:r w:rsidRPr="002140D7">
              <w:rPr>
                <w:rFonts w:ascii="Times New Roman" w:hAnsi="Times New Roman"/>
                <w:sz w:val="24"/>
              </w:rPr>
              <w:t xml:space="preserve">2, del regolamento delegato (UE) 2015/61 della Commissione, come deflussi significativi dovuti al deterioramento della propria qualità creditizia; </w:t>
            </w:r>
          </w:p>
          <w:p w14:paraId="22B5AC48" w14:textId="6629E27F"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l</w:t>
            </w:r>
            <w:r w:rsidR="0031704F" w:rsidRPr="002140D7">
              <w:rPr>
                <w:rFonts w:ascii="Times New Roman" w:hAnsi="Times New Roman"/>
                <w:sz w:val="24"/>
              </w:rPr>
              <w:t>'</w:t>
            </w:r>
            <w:r w:rsidRPr="002140D7">
              <w:rPr>
                <w:rFonts w:ascii="Times New Roman" w:hAnsi="Times New Roman"/>
                <w:sz w:val="24"/>
              </w:rPr>
              <w:t>importo dei deflussi derivanti dall</w:t>
            </w:r>
            <w:r w:rsidR="0031704F" w:rsidRPr="002140D7">
              <w:rPr>
                <w:rFonts w:ascii="Times New Roman" w:hAnsi="Times New Roman"/>
                <w:sz w:val="24"/>
              </w:rPr>
              <w:t>'</w:t>
            </w:r>
            <w:r w:rsidRPr="002140D7">
              <w:rPr>
                <w:rFonts w:ascii="Times New Roman" w:hAnsi="Times New Roman"/>
                <w:sz w:val="24"/>
              </w:rPr>
              <w:t>impatto di uno scenario di mercato negativo sulle operazioni su derivati, come previsto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30, paragrafo</w:t>
            </w:r>
            <w:r w:rsidR="0031704F" w:rsidRPr="002140D7">
              <w:rPr>
                <w:rFonts w:ascii="Times New Roman" w:hAnsi="Times New Roman"/>
                <w:sz w:val="24"/>
              </w:rPr>
              <w:t> </w:t>
            </w:r>
            <w:r w:rsidRPr="002140D7">
              <w:rPr>
                <w:rFonts w:ascii="Times New Roman" w:hAnsi="Times New Roman"/>
                <w:sz w:val="24"/>
              </w:rPr>
              <w:t>3, del regolamento delegato (UE) 2015/61 della Commissione e calcolato conformemente al regolamento delegato (UE) 2017/208 della Commissione</w:t>
            </w:r>
            <w:r w:rsidRPr="002140D7">
              <w:rPr>
                <w:rStyle w:val="FootnoteReference"/>
                <w:rFonts w:ascii="Times New Roman" w:hAnsi="Times New Roman"/>
                <w:sz w:val="24"/>
              </w:rPr>
              <w:footnoteReference w:id="5"/>
            </w:r>
            <w:r w:rsidRPr="002140D7">
              <w:rPr>
                <w:rFonts w:ascii="Times New Roman" w:hAnsi="Times New Roman"/>
                <w:sz w:val="24"/>
              </w:rPr>
              <w:t>;</w:t>
            </w:r>
          </w:p>
          <w:p w14:paraId="2E9F1834" w14:textId="10B2BC2B"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l</w:t>
            </w:r>
            <w:r w:rsidR="0031704F" w:rsidRPr="002140D7">
              <w:rPr>
                <w:rFonts w:ascii="Times New Roman" w:hAnsi="Times New Roman"/>
                <w:sz w:val="24"/>
              </w:rPr>
              <w:t>'</w:t>
            </w:r>
            <w:r w:rsidRPr="002140D7">
              <w:rPr>
                <w:rFonts w:ascii="Times New Roman" w:hAnsi="Times New Roman"/>
                <w:sz w:val="24"/>
              </w:rPr>
              <w:t>importo dei deflussi attesi nell</w:t>
            </w:r>
            <w:r w:rsidR="0031704F" w:rsidRPr="002140D7">
              <w:rPr>
                <w:rFonts w:ascii="Times New Roman" w:hAnsi="Times New Roman"/>
                <w:sz w:val="24"/>
              </w:rPr>
              <w:t>'</w:t>
            </w:r>
            <w:r w:rsidRPr="002140D7">
              <w:rPr>
                <w:rFonts w:ascii="Times New Roman" w:hAnsi="Times New Roman"/>
                <w:sz w:val="24"/>
              </w:rPr>
              <w:t>arco di 30 giorni di calendario dai contratti elencati all</w:t>
            </w:r>
            <w:r w:rsidR="0031704F" w:rsidRPr="002140D7">
              <w:rPr>
                <w:rFonts w:ascii="Times New Roman" w:hAnsi="Times New Roman"/>
                <w:sz w:val="24"/>
              </w:rPr>
              <w:t>'</w:t>
            </w:r>
            <w:r w:rsidRPr="002140D7">
              <w:rPr>
                <w:rFonts w:ascii="Times New Roman" w:hAnsi="Times New Roman"/>
                <w:sz w:val="24"/>
              </w:rPr>
              <w:t>allegato II del CRR e da derivati su crediti come previsto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30, paragrafo</w:t>
            </w:r>
            <w:r w:rsidR="0031704F" w:rsidRPr="002140D7">
              <w:rPr>
                <w:rFonts w:ascii="Times New Roman" w:hAnsi="Times New Roman"/>
                <w:sz w:val="24"/>
              </w:rPr>
              <w:t> </w:t>
            </w:r>
            <w:r w:rsidRPr="002140D7">
              <w:rPr>
                <w:rFonts w:ascii="Times New Roman" w:hAnsi="Times New Roman"/>
                <w:sz w:val="24"/>
              </w:rPr>
              <w:t>4, del regolamento delegato (UE) 2015/61 della Commissione e calcolato conformemente all</w:t>
            </w:r>
            <w:r w:rsidR="0031704F" w:rsidRPr="002140D7">
              <w:rPr>
                <w:rFonts w:ascii="Times New Roman" w:hAnsi="Times New Roman"/>
                <w:sz w:val="24"/>
              </w:rPr>
              <w:t>'</w:t>
            </w:r>
            <w:r w:rsidRPr="002140D7">
              <w:rPr>
                <w:rFonts w:ascii="Times New Roman" w:hAnsi="Times New Roman"/>
                <w:sz w:val="24"/>
              </w:rPr>
              <w:t xml:space="preserve">articolo 21 del medesimo regolamento delegato; </w:t>
            </w:r>
          </w:p>
          <w:p w14:paraId="287058C3" w14:textId="45035610"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il valore di mercato e i deflussi pertinenti di garanzie reali in eccesso detenute dall</w:t>
            </w:r>
            <w:r w:rsidR="0031704F" w:rsidRPr="002140D7">
              <w:rPr>
                <w:rFonts w:ascii="Times New Roman" w:hAnsi="Times New Roman"/>
                <w:sz w:val="24"/>
              </w:rPr>
              <w:t>'</w:t>
            </w:r>
            <w:r w:rsidRPr="002140D7">
              <w:rPr>
                <w:rFonts w:ascii="Times New Roman" w:hAnsi="Times New Roman"/>
                <w:sz w:val="24"/>
              </w:rPr>
              <w:t>ente delle quali la controparte può contrattualmente esigere il pagamento in qualunque momento, come previsto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30, paragrafo</w:t>
            </w:r>
            <w:r w:rsidR="0031704F" w:rsidRPr="002140D7">
              <w:rPr>
                <w:rFonts w:ascii="Times New Roman" w:hAnsi="Times New Roman"/>
                <w:sz w:val="24"/>
              </w:rPr>
              <w:t> </w:t>
            </w:r>
            <w:r w:rsidRPr="002140D7">
              <w:rPr>
                <w:rFonts w:ascii="Times New Roman" w:hAnsi="Times New Roman"/>
                <w:sz w:val="24"/>
              </w:rPr>
              <w:t>6, lettera</w:t>
            </w:r>
            <w:r w:rsidR="0031704F" w:rsidRPr="002140D7">
              <w:rPr>
                <w:rFonts w:ascii="Times New Roman" w:hAnsi="Times New Roman"/>
                <w:sz w:val="24"/>
              </w:rPr>
              <w:t> </w:t>
            </w:r>
            <w:r w:rsidRPr="002140D7">
              <w:rPr>
                <w:rFonts w:ascii="Times New Roman" w:hAnsi="Times New Roman"/>
                <w:sz w:val="24"/>
              </w:rPr>
              <w:t xml:space="preserve">a), del regolamento delegato (UE) 2015/61 della Commissione; </w:t>
            </w:r>
          </w:p>
          <w:p w14:paraId="7909EA75" w14:textId="21D50AF3"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il valore di mercato e i deflussi pertinenti delle garanzie reali che devono essere fornite alla controparte entro il periodo di 30 giorni di calendario, come previsto all</w:t>
            </w:r>
            <w:r w:rsidR="0031704F" w:rsidRPr="002140D7">
              <w:rPr>
                <w:rFonts w:ascii="Times New Roman" w:hAnsi="Times New Roman"/>
                <w:sz w:val="24"/>
              </w:rPr>
              <w:t>'</w:t>
            </w:r>
            <w:r w:rsidRPr="002140D7">
              <w:rPr>
                <w:rFonts w:ascii="Times New Roman" w:hAnsi="Times New Roman"/>
                <w:sz w:val="24"/>
              </w:rPr>
              <w:t xml:space="preserve">articolo 30, paragrafo 6, lettera b), del regolamento delegato (UE) 2015/61 della Commissione; </w:t>
            </w:r>
          </w:p>
          <w:p w14:paraId="0C747E7F" w14:textId="19361C62"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il valore di mercato e i deflussi pertinenti delle garanzie reali ammissibili come attività liquide ai fini del titolo II del regolamento delegato (UE) 2015/61 della Commissione, che possono essere sostituite ad attività corrispondenti ad attività che non sarebbero ammissibili come attività liquide ai fini del titolo II dello stesso regolamento senza il consenso dell</w:t>
            </w:r>
            <w:r w:rsidR="0031704F" w:rsidRPr="002140D7">
              <w:rPr>
                <w:rFonts w:ascii="Times New Roman" w:hAnsi="Times New Roman"/>
                <w:sz w:val="24"/>
              </w:rPr>
              <w:t>'</w:t>
            </w:r>
            <w:r w:rsidRPr="002140D7">
              <w:rPr>
                <w:rFonts w:ascii="Times New Roman" w:hAnsi="Times New Roman"/>
                <w:sz w:val="24"/>
              </w:rPr>
              <w:t>ente, come previsto all</w:t>
            </w:r>
            <w:r w:rsidR="0031704F" w:rsidRPr="002140D7">
              <w:rPr>
                <w:rFonts w:ascii="Times New Roman" w:hAnsi="Times New Roman"/>
                <w:sz w:val="24"/>
              </w:rPr>
              <w:t>'</w:t>
            </w:r>
            <w:r w:rsidRPr="002140D7">
              <w:rPr>
                <w:rFonts w:ascii="Times New Roman" w:hAnsi="Times New Roman"/>
                <w:sz w:val="24"/>
              </w:rPr>
              <w:t>articolo 30, paragrafo 6, lettera c), del regolamento delegato (UE) 2015/61 della Commissione.</w:t>
            </w:r>
          </w:p>
        </w:tc>
      </w:tr>
      <w:tr w:rsidR="007E1815" w:rsidRPr="002140D7" w14:paraId="73604DCD" w14:textId="77777777" w:rsidTr="00D819DE">
        <w:trPr>
          <w:trHeight w:val="316"/>
        </w:trPr>
        <w:tc>
          <w:tcPr>
            <w:tcW w:w="1384" w:type="dxa"/>
          </w:tcPr>
          <w:p w14:paraId="76F2A9CE"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lastRenderedPageBreak/>
              <w:t>12</w:t>
            </w:r>
          </w:p>
        </w:tc>
        <w:tc>
          <w:tcPr>
            <w:tcW w:w="7655" w:type="dxa"/>
          </w:tcPr>
          <w:p w14:paraId="5669483C" w14:textId="77777777" w:rsidR="007E1815" w:rsidRPr="002140D7" w:rsidRDefault="007E1815" w:rsidP="00D819DE">
            <w:pPr>
              <w:spacing w:before="120" w:after="120" w:line="190" w:lineRule="exact"/>
              <w:rPr>
                <w:rFonts w:ascii="Times New Roman" w:hAnsi="Times New Roman" w:cs="Times New Roman"/>
                <w:b/>
                <w:sz w:val="24"/>
              </w:rPr>
            </w:pPr>
            <w:r w:rsidRPr="002140D7">
              <w:rPr>
                <w:rFonts w:ascii="Times New Roman" w:hAnsi="Times New Roman"/>
                <w:b/>
                <w:sz w:val="24"/>
              </w:rPr>
              <w:t>Deflussi connessi alla perdita di finanziamenti su prodotti di debito</w:t>
            </w:r>
          </w:p>
          <w:p w14:paraId="2004FE24" w14:textId="10B75460"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pubblicano come valore non ponderato e come valore ponderato rispettivamente l</w:t>
            </w:r>
            <w:r w:rsidR="0031704F" w:rsidRPr="002140D7">
              <w:rPr>
                <w:rFonts w:ascii="Times New Roman" w:hAnsi="Times New Roman"/>
                <w:sz w:val="24"/>
              </w:rPr>
              <w:t>'</w:t>
            </w:r>
            <w:r w:rsidRPr="002140D7">
              <w:rPr>
                <w:rFonts w:ascii="Times New Roman" w:hAnsi="Times New Roman"/>
                <w:sz w:val="24"/>
              </w:rPr>
              <w:t>importo e i deflussi della perdita di finanziamenti su attività di finanza strutturata, come previsto all</w:t>
            </w:r>
            <w:r w:rsidR="0031704F" w:rsidRPr="002140D7">
              <w:rPr>
                <w:rFonts w:ascii="Times New Roman" w:hAnsi="Times New Roman"/>
                <w:sz w:val="24"/>
              </w:rPr>
              <w:t>'</w:t>
            </w:r>
            <w:r w:rsidRPr="002140D7">
              <w:rPr>
                <w:rFonts w:ascii="Times New Roman" w:hAnsi="Times New Roman"/>
                <w:sz w:val="24"/>
              </w:rPr>
              <w:t>articolo 30, paragrafi 8, 9 e 10, del regolamento delegato (UE) 2015/61 della Commissione.</w:t>
            </w:r>
          </w:p>
          <w:p w14:paraId="7A966478" w14:textId="217D1A17"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ipotizzano un deflusso del 100 % per perdita di finanziamenti su titoli garantiti da attività, obbligazioni garantite e altri strumenti finanziari strutturati con scadenza entro 30 giorni di calendario, emessi dall</w:t>
            </w:r>
            <w:r w:rsidR="0031704F" w:rsidRPr="002140D7">
              <w:rPr>
                <w:rFonts w:ascii="Times New Roman" w:hAnsi="Times New Roman"/>
                <w:sz w:val="24"/>
              </w:rPr>
              <w:t>'</w:t>
            </w:r>
            <w:r w:rsidRPr="002140D7">
              <w:rPr>
                <w:rFonts w:ascii="Times New Roman" w:hAnsi="Times New Roman"/>
                <w:sz w:val="24"/>
              </w:rPr>
              <w:t>ente creditizio stesso o da conduit o società veicolo sponsorizzati.</w:t>
            </w:r>
          </w:p>
          <w:p w14:paraId="7699550A" w14:textId="77777777"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Gli enti che forniscono linee di liquidità associate a programmi di finanziamento indicati qui non devono conteggiare due volte lo strumento di finanziamento in scadenza e la linea di liquidità per i programmi consolidati.</w:t>
            </w:r>
          </w:p>
        </w:tc>
      </w:tr>
      <w:tr w:rsidR="007E1815" w:rsidRPr="002140D7" w14:paraId="509D8875" w14:textId="77777777" w:rsidTr="00D819DE">
        <w:trPr>
          <w:trHeight w:val="316"/>
        </w:trPr>
        <w:tc>
          <w:tcPr>
            <w:tcW w:w="1384" w:type="dxa"/>
          </w:tcPr>
          <w:p w14:paraId="5095A456"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13</w:t>
            </w:r>
          </w:p>
        </w:tc>
        <w:tc>
          <w:tcPr>
            <w:tcW w:w="7655" w:type="dxa"/>
          </w:tcPr>
          <w:p w14:paraId="17CE629E"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Linee di credito e di liquidità</w:t>
            </w:r>
          </w:p>
          <w:p w14:paraId="63AA0609" w14:textId="556A4EA1"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come valore non ponderato e come valore ponderato rispettivamente l</w:t>
            </w:r>
            <w:r w:rsidR="0031704F" w:rsidRPr="002140D7">
              <w:rPr>
                <w:rFonts w:ascii="Times New Roman" w:hAnsi="Times New Roman"/>
                <w:sz w:val="24"/>
              </w:rPr>
              <w:t>'</w:t>
            </w:r>
            <w:r w:rsidRPr="002140D7">
              <w:rPr>
                <w:rFonts w:ascii="Times New Roman" w:hAnsi="Times New Roman"/>
                <w:sz w:val="24"/>
              </w:rPr>
              <w:t>importo e il deflusso delle linee di credito e di liquidità conformemente all</w:t>
            </w:r>
            <w:r w:rsidR="0031704F" w:rsidRPr="002140D7">
              <w:rPr>
                <w:rFonts w:ascii="Times New Roman" w:hAnsi="Times New Roman"/>
                <w:sz w:val="24"/>
              </w:rPr>
              <w:t>'</w:t>
            </w:r>
            <w:r w:rsidRPr="002140D7">
              <w:rPr>
                <w:rFonts w:ascii="Times New Roman" w:hAnsi="Times New Roman"/>
                <w:sz w:val="24"/>
              </w:rPr>
              <w:t>articolo 31 del regolamento delegato (UE) 2015/61 della Commissione.</w:t>
            </w:r>
          </w:p>
          <w:p w14:paraId="0CB681C8" w14:textId="36604DC5"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Gli enti indicano qui anche le linee irrevocabili conformemente all</w:t>
            </w:r>
            <w:r w:rsidR="0031704F" w:rsidRPr="002140D7">
              <w:rPr>
                <w:rFonts w:ascii="Times New Roman" w:hAnsi="Times New Roman"/>
                <w:sz w:val="24"/>
              </w:rPr>
              <w:t>'</w:t>
            </w:r>
            <w:r w:rsidRPr="002140D7">
              <w:rPr>
                <w:rFonts w:ascii="Times New Roman" w:hAnsi="Times New Roman"/>
                <w:sz w:val="24"/>
              </w:rPr>
              <w:t>articolo 29 del regolamento delegato (UE) 2015/61 della Commissione.</w:t>
            </w:r>
          </w:p>
        </w:tc>
      </w:tr>
      <w:tr w:rsidR="007E1815" w:rsidRPr="002140D7" w14:paraId="714288CA" w14:textId="77777777" w:rsidTr="00D819DE">
        <w:trPr>
          <w:trHeight w:val="316"/>
        </w:trPr>
        <w:tc>
          <w:tcPr>
            <w:tcW w:w="1384" w:type="dxa"/>
          </w:tcPr>
          <w:p w14:paraId="4688D030"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14</w:t>
            </w:r>
          </w:p>
        </w:tc>
        <w:tc>
          <w:tcPr>
            <w:tcW w:w="7655" w:type="dxa"/>
          </w:tcPr>
          <w:p w14:paraId="09A7998F"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Altre obbligazioni di finanziamento contrattuali</w:t>
            </w:r>
          </w:p>
          <w:p w14:paraId="7DBAA770" w14:textId="77777777"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come valore non ponderato e come valore ponderato la somma degli importi e dei deflussi, rispettivamente, dei seguenti elementi:</w:t>
            </w:r>
          </w:p>
          <w:p w14:paraId="7CB65F22" w14:textId="03FAF7C6"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attività prese a prestito su base non garantita e con scadenza entro 30</w:t>
            </w:r>
            <w:r w:rsidR="0031704F" w:rsidRPr="002140D7">
              <w:rPr>
                <w:rFonts w:ascii="Times New Roman" w:hAnsi="Times New Roman"/>
                <w:sz w:val="24"/>
              </w:rPr>
              <w:t> </w:t>
            </w:r>
            <w:r w:rsidRPr="002140D7">
              <w:rPr>
                <w:rFonts w:ascii="Times New Roman" w:hAnsi="Times New Roman"/>
                <w:sz w:val="24"/>
              </w:rPr>
              <w:t>giorni, come previsto all</w:t>
            </w:r>
            <w:r w:rsidR="0031704F" w:rsidRPr="002140D7">
              <w:rPr>
                <w:rFonts w:ascii="Times New Roman" w:hAnsi="Times New Roman"/>
                <w:sz w:val="24"/>
              </w:rPr>
              <w:t>'</w:t>
            </w:r>
            <w:r w:rsidRPr="002140D7">
              <w:rPr>
                <w:rFonts w:ascii="Times New Roman" w:hAnsi="Times New Roman"/>
                <w:sz w:val="24"/>
              </w:rPr>
              <w:t>articolo 28, paragrafo 7, del regolamento delegato (UE) 2015/61 della Commissione. Per tali attività è presunto l</w:t>
            </w:r>
            <w:r w:rsidR="0031704F" w:rsidRPr="002140D7">
              <w:rPr>
                <w:rFonts w:ascii="Times New Roman" w:hAnsi="Times New Roman"/>
                <w:sz w:val="24"/>
              </w:rPr>
              <w:t>'</w:t>
            </w:r>
            <w:r w:rsidRPr="002140D7">
              <w:rPr>
                <w:rFonts w:ascii="Times New Roman" w:hAnsi="Times New Roman"/>
                <w:sz w:val="24"/>
              </w:rPr>
              <w:t>esaurimento totale, con conseguente deflusso del 100 %. Gli enti indicano il valore di mercato delle attività prese in prestito su base non garantita che scadono nel periodo di 30 giorni quando l</w:t>
            </w:r>
            <w:r w:rsidR="0031704F" w:rsidRPr="002140D7">
              <w:rPr>
                <w:rFonts w:ascii="Times New Roman" w:hAnsi="Times New Roman"/>
                <w:sz w:val="24"/>
              </w:rPr>
              <w:t>'</w:t>
            </w:r>
            <w:r w:rsidRPr="002140D7">
              <w:rPr>
                <w:rFonts w:ascii="Times New Roman" w:hAnsi="Times New Roman"/>
                <w:sz w:val="24"/>
              </w:rPr>
              <w:t>ente creditizio non possiede i titoli e questi non rientrano nella riserva di liquidità dell</w:t>
            </w:r>
            <w:r w:rsidR="0031704F" w:rsidRPr="002140D7">
              <w:rPr>
                <w:rFonts w:ascii="Times New Roman" w:hAnsi="Times New Roman"/>
                <w:sz w:val="24"/>
              </w:rPr>
              <w:t>'</w:t>
            </w:r>
            <w:r w:rsidRPr="002140D7">
              <w:rPr>
                <w:rFonts w:ascii="Times New Roman" w:hAnsi="Times New Roman"/>
                <w:sz w:val="24"/>
              </w:rPr>
              <w:t>ente;</w:t>
            </w:r>
          </w:p>
          <w:p w14:paraId="7B6C8778" w14:textId="567D43C3"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posizioni corte coperte da un prestito di titoli non garantito. Come stabilito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30, paragrafo</w:t>
            </w:r>
            <w:r w:rsidR="0031704F" w:rsidRPr="002140D7">
              <w:rPr>
                <w:rFonts w:ascii="Times New Roman" w:hAnsi="Times New Roman"/>
                <w:sz w:val="24"/>
              </w:rPr>
              <w:t> </w:t>
            </w:r>
            <w:r w:rsidRPr="002140D7">
              <w:rPr>
                <w:rFonts w:ascii="Times New Roman" w:hAnsi="Times New Roman"/>
                <w:sz w:val="24"/>
              </w:rPr>
              <w:t>5, del regolamento delegato (UE) 2015/61 della Commissione, gli enti aggiungono un deflusso aggiuntivo corrispondente al 100 % del valore di mercato dei titoli o delle altre attività vendute allo scoperto, a meno che l</w:t>
            </w:r>
            <w:r w:rsidR="0031704F" w:rsidRPr="002140D7">
              <w:rPr>
                <w:rFonts w:ascii="Times New Roman" w:hAnsi="Times New Roman"/>
                <w:sz w:val="24"/>
              </w:rPr>
              <w:t>'</w:t>
            </w:r>
            <w:r w:rsidRPr="002140D7">
              <w:rPr>
                <w:rFonts w:ascii="Times New Roman" w:hAnsi="Times New Roman"/>
                <w:sz w:val="24"/>
              </w:rPr>
              <w:t>ente creditizio li abbia presi a prestito a condizioni che ne impongono la restituzione soltanto dopo 30 giorni di calendario. Qualora la posizione corta sia coperta mediante un</w:t>
            </w:r>
            <w:r w:rsidR="0031704F" w:rsidRPr="002140D7">
              <w:rPr>
                <w:rFonts w:ascii="Times New Roman" w:hAnsi="Times New Roman"/>
                <w:sz w:val="24"/>
              </w:rPr>
              <w:t>'</w:t>
            </w:r>
            <w:r w:rsidRPr="002140D7">
              <w:rPr>
                <w:rFonts w:ascii="Times New Roman" w:hAnsi="Times New Roman"/>
                <w:sz w:val="24"/>
              </w:rPr>
              <w:t>operazione garantita di finanziamento tramite titoli, l</w:t>
            </w:r>
            <w:r w:rsidR="0031704F" w:rsidRPr="002140D7">
              <w:rPr>
                <w:rFonts w:ascii="Times New Roman" w:hAnsi="Times New Roman"/>
                <w:sz w:val="24"/>
              </w:rPr>
              <w:t>'</w:t>
            </w:r>
            <w:r w:rsidRPr="002140D7">
              <w:rPr>
                <w:rFonts w:ascii="Times New Roman" w:hAnsi="Times New Roman"/>
                <w:sz w:val="24"/>
              </w:rPr>
              <w:t xml:space="preserve">ente creditizio ipotizza che la posizione corta sia mantenuta durante tutto il periodo di 30 giorni di calendario, e applica un tasso di deflusso dello 0 %; </w:t>
            </w:r>
          </w:p>
          <w:p w14:paraId="0D960AFF" w14:textId="70081309"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passività risultanti dalle spese di funzionamento. Come stabilito all</w:t>
            </w:r>
            <w:r w:rsidR="0031704F" w:rsidRPr="002140D7">
              <w:rPr>
                <w:rFonts w:ascii="Times New Roman" w:hAnsi="Times New Roman"/>
                <w:sz w:val="24"/>
              </w:rPr>
              <w:t>'</w:t>
            </w:r>
            <w:r w:rsidRPr="002140D7">
              <w:rPr>
                <w:rFonts w:ascii="Times New Roman" w:hAnsi="Times New Roman"/>
                <w:sz w:val="24"/>
              </w:rPr>
              <w:t>articolo</w:t>
            </w:r>
            <w:r w:rsidR="0031704F" w:rsidRPr="002140D7">
              <w:rPr>
                <w:rFonts w:ascii="Times New Roman" w:hAnsi="Times New Roman"/>
                <w:sz w:val="24"/>
              </w:rPr>
              <w:t> </w:t>
            </w:r>
            <w:r w:rsidRPr="002140D7">
              <w:rPr>
                <w:rFonts w:ascii="Times New Roman" w:hAnsi="Times New Roman"/>
                <w:sz w:val="24"/>
              </w:rPr>
              <w:t>28, paragrafo</w:t>
            </w:r>
            <w:r w:rsidR="0031704F" w:rsidRPr="002140D7">
              <w:rPr>
                <w:rFonts w:ascii="Times New Roman" w:hAnsi="Times New Roman"/>
                <w:sz w:val="24"/>
              </w:rPr>
              <w:t> </w:t>
            </w:r>
            <w:r w:rsidRPr="002140D7">
              <w:rPr>
                <w:rFonts w:ascii="Times New Roman" w:hAnsi="Times New Roman"/>
                <w:sz w:val="24"/>
              </w:rPr>
              <w:t>2, del regolamento delegato (UE) 2015/61 della Commissione, gli enti indicano l</w:t>
            </w:r>
            <w:r w:rsidR="0031704F" w:rsidRPr="002140D7">
              <w:rPr>
                <w:rFonts w:ascii="Times New Roman" w:hAnsi="Times New Roman"/>
                <w:sz w:val="24"/>
              </w:rPr>
              <w:t>'</w:t>
            </w:r>
            <w:r w:rsidRPr="002140D7">
              <w:rPr>
                <w:rFonts w:ascii="Times New Roman" w:hAnsi="Times New Roman"/>
                <w:sz w:val="24"/>
              </w:rPr>
              <w:t xml:space="preserve">importo del saldo in essere delle </w:t>
            </w:r>
            <w:r w:rsidRPr="002140D7">
              <w:rPr>
                <w:rFonts w:ascii="Times New Roman" w:hAnsi="Times New Roman"/>
                <w:sz w:val="24"/>
              </w:rPr>
              <w:lastRenderedPageBreak/>
              <w:t xml:space="preserve">passività risultanti dalle loro spese di funzionamento. Tali passività non determinano deflussi; </w:t>
            </w:r>
          </w:p>
          <w:p w14:paraId="50308A9D" w14:textId="4DA12206"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2140D7">
              <w:rPr>
                <w:rFonts w:ascii="Times New Roman" w:hAnsi="Times New Roman"/>
                <w:sz w:val="24"/>
              </w:rPr>
              <w:t>altre operazioni non garantite che giungono a scadenza nei successivi 30 giorni di calendario e che non sono contemplate negli articoli da 24</w:t>
            </w:r>
            <w:r w:rsidR="0031704F" w:rsidRPr="002140D7">
              <w:rPr>
                <w:rFonts w:ascii="Times New Roman" w:hAnsi="Times New Roman"/>
                <w:sz w:val="24"/>
              </w:rPr>
              <w:t xml:space="preserve"> </w:t>
            </w:r>
            <w:r w:rsidRPr="002140D7">
              <w:rPr>
                <w:rFonts w:ascii="Times New Roman" w:hAnsi="Times New Roman"/>
                <w:sz w:val="24"/>
              </w:rPr>
              <w:t>a 31 del regolamento delegato (UE) 2015/61 della Commissione, che, come stabilito all</w:t>
            </w:r>
            <w:r w:rsidR="0031704F" w:rsidRPr="002140D7">
              <w:rPr>
                <w:rFonts w:ascii="Times New Roman" w:hAnsi="Times New Roman"/>
                <w:sz w:val="24"/>
              </w:rPr>
              <w:t>'</w:t>
            </w:r>
            <w:r w:rsidRPr="002140D7">
              <w:rPr>
                <w:rFonts w:ascii="Times New Roman" w:hAnsi="Times New Roman"/>
                <w:sz w:val="24"/>
              </w:rPr>
              <w:t>articolo 31 bis, paragrafo 1, del regolamento delegato (UE) 2015/61 della Commissione, attivano il tasso di deflusso del</w:t>
            </w:r>
            <w:r w:rsidR="0031704F" w:rsidRPr="002140D7">
              <w:rPr>
                <w:rFonts w:ascii="Times New Roman" w:hAnsi="Times New Roman"/>
                <w:sz w:val="24"/>
              </w:rPr>
              <w:t> </w:t>
            </w:r>
            <w:r w:rsidRPr="002140D7">
              <w:rPr>
                <w:rFonts w:ascii="Times New Roman" w:hAnsi="Times New Roman"/>
                <w:sz w:val="24"/>
              </w:rPr>
              <w:t>100 %.</w:t>
            </w:r>
          </w:p>
        </w:tc>
      </w:tr>
      <w:tr w:rsidR="007E1815" w:rsidRPr="002140D7" w14:paraId="6D04A99C" w14:textId="77777777" w:rsidTr="00D819DE">
        <w:trPr>
          <w:trHeight w:val="316"/>
        </w:trPr>
        <w:tc>
          <w:tcPr>
            <w:tcW w:w="1384" w:type="dxa"/>
          </w:tcPr>
          <w:p w14:paraId="2086B2D5"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lastRenderedPageBreak/>
              <w:t>15</w:t>
            </w:r>
          </w:p>
        </w:tc>
        <w:tc>
          <w:tcPr>
            <w:tcW w:w="7655" w:type="dxa"/>
          </w:tcPr>
          <w:p w14:paraId="6A875C2F" w14:textId="77777777" w:rsidR="007E1815" w:rsidRPr="002140D7" w:rsidRDefault="007E1815" w:rsidP="00D819DE">
            <w:pPr>
              <w:spacing w:before="120" w:after="120" w:line="190" w:lineRule="exact"/>
              <w:jc w:val="both"/>
              <w:rPr>
                <w:rFonts w:ascii="Times New Roman" w:hAnsi="Times New Roman" w:cs="Times New Roman"/>
                <w:b/>
                <w:sz w:val="24"/>
              </w:rPr>
            </w:pPr>
            <w:r w:rsidRPr="002140D7">
              <w:rPr>
                <w:rFonts w:ascii="Times New Roman" w:hAnsi="Times New Roman"/>
                <w:b/>
                <w:sz w:val="24"/>
              </w:rPr>
              <w:t>Altre obbligazioni di finanziamento potenziali</w:t>
            </w:r>
          </w:p>
          <w:p w14:paraId="65E869DD" w14:textId="77777777" w:rsidR="007E1815" w:rsidRPr="002140D7" w:rsidRDefault="007E1815" w:rsidP="00D819DE">
            <w:pPr>
              <w:spacing w:after="120" w:line="278" w:lineRule="exact"/>
              <w:jc w:val="both"/>
              <w:rPr>
                <w:rFonts w:ascii="Times New Roman" w:hAnsi="Times New Roman" w:cs="Times New Roman"/>
                <w:sz w:val="24"/>
              </w:rPr>
            </w:pPr>
            <w:r w:rsidRPr="002140D7">
              <w:rPr>
                <w:rFonts w:ascii="Times New Roman" w:hAnsi="Times New Roman"/>
                <w:sz w:val="24"/>
              </w:rPr>
              <w:t>Gli enti indicano come valore non ponderato e come valore ponderato la somma degli importi e dei deflussi, rispettivamente, dei seguenti elementi:</w:t>
            </w:r>
          </w:p>
          <w:p w14:paraId="2032279E" w14:textId="65EEFEFA"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altri prodotti e servizi di cui all</w:t>
            </w:r>
            <w:r w:rsidR="0031704F" w:rsidRPr="002140D7">
              <w:rPr>
                <w:rFonts w:ascii="Times New Roman" w:hAnsi="Times New Roman"/>
                <w:sz w:val="24"/>
              </w:rPr>
              <w:t>'</w:t>
            </w:r>
            <w:r w:rsidRPr="002140D7">
              <w:rPr>
                <w:rFonts w:ascii="Times New Roman" w:hAnsi="Times New Roman"/>
                <w:sz w:val="24"/>
              </w:rPr>
              <w:t>articolo</w:t>
            </w:r>
            <w:r w:rsidR="00101CAF" w:rsidRPr="002140D7">
              <w:rPr>
                <w:rFonts w:ascii="Times New Roman" w:hAnsi="Times New Roman"/>
                <w:sz w:val="24"/>
              </w:rPr>
              <w:t> </w:t>
            </w:r>
            <w:r w:rsidRPr="002140D7">
              <w:rPr>
                <w:rFonts w:ascii="Times New Roman" w:hAnsi="Times New Roman"/>
                <w:sz w:val="24"/>
              </w:rPr>
              <w:t>23 del regolamento delegato (UE) 2015/61 della Commissione. Gli enti indicano qui i prodotti o servizi di cui all</w:t>
            </w:r>
            <w:r w:rsidR="0031704F" w:rsidRPr="002140D7">
              <w:rPr>
                <w:rFonts w:ascii="Times New Roman" w:hAnsi="Times New Roman"/>
                <w:sz w:val="24"/>
              </w:rPr>
              <w:t>'</w:t>
            </w:r>
            <w:r w:rsidRPr="002140D7">
              <w:rPr>
                <w:rFonts w:ascii="Times New Roman" w:hAnsi="Times New Roman"/>
                <w:sz w:val="24"/>
              </w:rPr>
              <w:t>articolo</w:t>
            </w:r>
            <w:r w:rsidR="00101CAF" w:rsidRPr="002140D7">
              <w:rPr>
                <w:rFonts w:ascii="Times New Roman" w:hAnsi="Times New Roman"/>
                <w:sz w:val="24"/>
              </w:rPr>
              <w:t> </w:t>
            </w:r>
            <w:r w:rsidRPr="002140D7">
              <w:rPr>
                <w:rFonts w:ascii="Times New Roman" w:hAnsi="Times New Roman"/>
                <w:sz w:val="24"/>
              </w:rPr>
              <w:t>23, paragrafo</w:t>
            </w:r>
            <w:r w:rsidR="00101CAF" w:rsidRPr="002140D7">
              <w:rPr>
                <w:rFonts w:ascii="Times New Roman" w:hAnsi="Times New Roman"/>
                <w:sz w:val="24"/>
              </w:rPr>
              <w:t> </w:t>
            </w:r>
            <w:r w:rsidRPr="002140D7">
              <w:rPr>
                <w:rFonts w:ascii="Times New Roman" w:hAnsi="Times New Roman"/>
                <w:sz w:val="24"/>
              </w:rPr>
              <w:t>1, del regolamento delegato (UE) 2015/61 della Commissione. L</w:t>
            </w:r>
            <w:r w:rsidR="0031704F" w:rsidRPr="002140D7">
              <w:rPr>
                <w:rFonts w:ascii="Times New Roman" w:hAnsi="Times New Roman"/>
                <w:sz w:val="24"/>
              </w:rPr>
              <w:t>'</w:t>
            </w:r>
            <w:r w:rsidRPr="002140D7">
              <w:rPr>
                <w:rFonts w:ascii="Times New Roman" w:hAnsi="Times New Roman"/>
                <w:sz w:val="24"/>
              </w:rPr>
              <w:t>importo da indicare è l</w:t>
            </w:r>
            <w:r w:rsidR="0031704F" w:rsidRPr="002140D7">
              <w:rPr>
                <w:rFonts w:ascii="Times New Roman" w:hAnsi="Times New Roman"/>
                <w:sz w:val="24"/>
              </w:rPr>
              <w:t>'</w:t>
            </w:r>
            <w:r w:rsidRPr="002140D7">
              <w:rPr>
                <w:rFonts w:ascii="Times New Roman" w:hAnsi="Times New Roman"/>
                <w:sz w:val="24"/>
              </w:rPr>
              <w:t>importo massimo utilizzabile dei prodotti o servizi di cui all</w:t>
            </w:r>
            <w:r w:rsidR="0031704F" w:rsidRPr="002140D7">
              <w:rPr>
                <w:rFonts w:ascii="Times New Roman" w:hAnsi="Times New Roman"/>
                <w:sz w:val="24"/>
              </w:rPr>
              <w:t>'</w:t>
            </w:r>
            <w:r w:rsidRPr="002140D7">
              <w:rPr>
                <w:rFonts w:ascii="Times New Roman" w:hAnsi="Times New Roman"/>
                <w:sz w:val="24"/>
              </w:rPr>
              <w:t>articolo 23, paragrafo</w:t>
            </w:r>
            <w:r w:rsidR="00101CAF" w:rsidRPr="002140D7">
              <w:rPr>
                <w:rFonts w:ascii="Times New Roman" w:hAnsi="Times New Roman"/>
                <w:sz w:val="24"/>
              </w:rPr>
              <w:t> </w:t>
            </w:r>
            <w:r w:rsidRPr="002140D7">
              <w:rPr>
                <w:rFonts w:ascii="Times New Roman" w:hAnsi="Times New Roman"/>
                <w:sz w:val="24"/>
              </w:rPr>
              <w:t xml:space="preserve">1, del regolamento delegato (UE) 2015/61 della Commissione; </w:t>
            </w:r>
          </w:p>
          <w:p w14:paraId="3F269431" w14:textId="133AA648"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eccedenza degli impegni contrattuali di estendere il finanziamento a clienti non finanziari entro 30 giorni di calendario, come previsto all</w:t>
            </w:r>
            <w:r w:rsidR="0031704F" w:rsidRPr="002140D7">
              <w:rPr>
                <w:rFonts w:ascii="Times New Roman" w:hAnsi="Times New Roman"/>
                <w:sz w:val="24"/>
              </w:rPr>
              <w:t>'</w:t>
            </w:r>
            <w:r w:rsidRPr="002140D7">
              <w:rPr>
                <w:rFonts w:ascii="Times New Roman" w:hAnsi="Times New Roman"/>
                <w:sz w:val="24"/>
              </w:rPr>
              <w:t xml:space="preserve">articolo 31 bis, paragrafo 2, del regolamento delegato (UE) 2015/61 della Commissione; </w:t>
            </w:r>
          </w:p>
          <w:p w14:paraId="460FF3B1" w14:textId="2E3A9E82"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2140D7">
              <w:rPr>
                <w:rFonts w:ascii="Times New Roman" w:hAnsi="Times New Roman"/>
                <w:sz w:val="24"/>
              </w:rPr>
              <w:t>compensazione interna delle posizioni dei clienti conformemente all</w:t>
            </w:r>
            <w:r w:rsidR="0031704F" w:rsidRPr="002140D7">
              <w:rPr>
                <w:rFonts w:ascii="Times New Roman" w:hAnsi="Times New Roman"/>
                <w:sz w:val="24"/>
              </w:rPr>
              <w:t>'</w:t>
            </w:r>
            <w:r w:rsidRPr="002140D7">
              <w:rPr>
                <w:rFonts w:ascii="Times New Roman" w:hAnsi="Times New Roman"/>
                <w:sz w:val="24"/>
              </w:rPr>
              <w:t>articolo 30, paragrafo 11, del regolamento delegato (UE) 2015/61 della Commissione. Gli enti indicano qui il valore di mercato delle attività illiquide dei clienti che sono state utilizzate, in relazione ai servizi di prime brokerage, dagli enti creditizi stessi per coprire vendite allo scoperto di un altro cliente compensandole internamente.</w:t>
            </w:r>
          </w:p>
        </w:tc>
      </w:tr>
      <w:tr w:rsidR="007E1815" w:rsidRPr="002140D7" w14:paraId="5C1E26D1" w14:textId="77777777" w:rsidTr="00D819DE">
        <w:trPr>
          <w:trHeight w:val="316"/>
        </w:trPr>
        <w:tc>
          <w:tcPr>
            <w:tcW w:w="1384" w:type="dxa"/>
          </w:tcPr>
          <w:p w14:paraId="66EBBD7B"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16</w:t>
            </w:r>
          </w:p>
        </w:tc>
        <w:tc>
          <w:tcPr>
            <w:tcW w:w="7655" w:type="dxa"/>
          </w:tcPr>
          <w:p w14:paraId="7CD1029A"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TOTALE DEI DEFLUSSI DI CASSA</w:t>
            </w:r>
          </w:p>
          <w:p w14:paraId="795DD5DD" w14:textId="77777777" w:rsidR="007E1815" w:rsidRPr="002140D7" w:rsidRDefault="007E1815" w:rsidP="00D819DE">
            <w:pPr>
              <w:spacing w:after="120" w:line="288" w:lineRule="exact"/>
              <w:rPr>
                <w:rFonts w:ascii="Times New Roman" w:hAnsi="Times New Roman" w:cs="Times New Roman"/>
                <w:sz w:val="24"/>
              </w:rPr>
            </w:pPr>
            <w:r w:rsidRPr="002140D7">
              <w:rPr>
                <w:rFonts w:ascii="Times New Roman" w:hAnsi="Times New Roman"/>
                <w:sz w:val="24"/>
              </w:rPr>
              <w:t>Gli enti indicano la somma del valore ponderato delle seguenti voci secondo le presenti istruzioni:</w:t>
            </w:r>
          </w:p>
          <w:p w14:paraId="1FE26C4F" w14:textId="5F9BAD4F"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w:t>
            </w:r>
            <w:r w:rsidR="00101CAF" w:rsidRPr="002140D7">
              <w:rPr>
                <w:rFonts w:ascii="Times New Roman" w:hAnsi="Times New Roman"/>
                <w:sz w:val="24"/>
              </w:rPr>
              <w:t> </w:t>
            </w:r>
            <w:r w:rsidRPr="002140D7">
              <w:rPr>
                <w:rFonts w:ascii="Times New Roman" w:hAnsi="Times New Roman"/>
                <w:sz w:val="24"/>
              </w:rPr>
              <w:t>2: depositi al dettaglio e depositi di piccole imprese di questo modello;</w:t>
            </w:r>
          </w:p>
          <w:p w14:paraId="4C61D144" w14:textId="35E1DAD1"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 5: finanziamento all</w:t>
            </w:r>
            <w:r w:rsidR="0031704F" w:rsidRPr="002140D7">
              <w:rPr>
                <w:rFonts w:ascii="Times New Roman" w:hAnsi="Times New Roman"/>
                <w:sz w:val="24"/>
              </w:rPr>
              <w:t>'</w:t>
            </w:r>
            <w:r w:rsidRPr="002140D7">
              <w:rPr>
                <w:rFonts w:ascii="Times New Roman" w:hAnsi="Times New Roman"/>
                <w:sz w:val="24"/>
              </w:rPr>
              <w:t>ingrosso non garantito di questo modello;</w:t>
            </w:r>
          </w:p>
          <w:p w14:paraId="5FA5EAE1" w14:textId="38825509"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 9: finanziamento all</w:t>
            </w:r>
            <w:r w:rsidR="0031704F" w:rsidRPr="002140D7">
              <w:rPr>
                <w:rFonts w:ascii="Times New Roman" w:hAnsi="Times New Roman"/>
                <w:sz w:val="24"/>
              </w:rPr>
              <w:t>'</w:t>
            </w:r>
            <w:r w:rsidRPr="002140D7">
              <w:rPr>
                <w:rFonts w:ascii="Times New Roman" w:hAnsi="Times New Roman"/>
                <w:sz w:val="24"/>
              </w:rPr>
              <w:t>ingrosso garantito di questo modello;</w:t>
            </w:r>
          </w:p>
          <w:p w14:paraId="7B309705" w14:textId="7777777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 10: obblighi aggiuntivi di questo modello;</w:t>
            </w:r>
          </w:p>
          <w:p w14:paraId="121EA07E" w14:textId="7280EBA8"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w:t>
            </w:r>
            <w:r w:rsidR="00101CAF" w:rsidRPr="002140D7">
              <w:rPr>
                <w:rFonts w:ascii="Times New Roman" w:hAnsi="Times New Roman"/>
                <w:sz w:val="24"/>
              </w:rPr>
              <w:t> </w:t>
            </w:r>
            <w:r w:rsidRPr="002140D7">
              <w:rPr>
                <w:rFonts w:ascii="Times New Roman" w:hAnsi="Times New Roman"/>
                <w:sz w:val="24"/>
              </w:rPr>
              <w:t>14: altre obbligazioni di finanziamento contrattuali di questo modello;</w:t>
            </w:r>
          </w:p>
          <w:p w14:paraId="3BFFB70C" w14:textId="09BBE9C1"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w:t>
            </w:r>
            <w:r w:rsidR="00101CAF" w:rsidRPr="002140D7">
              <w:rPr>
                <w:rFonts w:ascii="Times New Roman" w:hAnsi="Times New Roman"/>
                <w:sz w:val="24"/>
              </w:rPr>
              <w:t> </w:t>
            </w:r>
            <w:r w:rsidRPr="002140D7">
              <w:rPr>
                <w:rFonts w:ascii="Times New Roman" w:hAnsi="Times New Roman"/>
                <w:sz w:val="24"/>
              </w:rPr>
              <w:t>15: altre obbligazioni di finanziamento potenziali di questo modello.</w:t>
            </w:r>
          </w:p>
        </w:tc>
      </w:tr>
      <w:tr w:rsidR="007E1815" w:rsidRPr="002140D7" w14:paraId="79A60795" w14:textId="77777777" w:rsidTr="00D819DE">
        <w:trPr>
          <w:trHeight w:val="316"/>
        </w:trPr>
        <w:tc>
          <w:tcPr>
            <w:tcW w:w="1384" w:type="dxa"/>
          </w:tcPr>
          <w:p w14:paraId="0BC40981"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17</w:t>
            </w:r>
          </w:p>
        </w:tc>
        <w:tc>
          <w:tcPr>
            <w:tcW w:w="7655" w:type="dxa"/>
          </w:tcPr>
          <w:p w14:paraId="7AAD4AB7"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Prestiti garantiti (ad es. contratti di vendita con patto di riacquisto passivo)</w:t>
            </w:r>
          </w:p>
          <w:p w14:paraId="651838CD" w14:textId="77777777" w:rsidR="007E1815" w:rsidRPr="002140D7" w:rsidRDefault="007E1815" w:rsidP="00D819DE">
            <w:pPr>
              <w:spacing w:after="120" w:line="288" w:lineRule="exact"/>
              <w:jc w:val="both"/>
              <w:rPr>
                <w:rFonts w:ascii="Times New Roman" w:hAnsi="Times New Roman" w:cs="Times New Roman"/>
                <w:sz w:val="24"/>
              </w:rPr>
            </w:pPr>
            <w:r w:rsidRPr="002140D7">
              <w:rPr>
                <w:rFonts w:ascii="Times New Roman" w:hAnsi="Times New Roman"/>
                <w:sz w:val="24"/>
              </w:rPr>
              <w:t>Gli enti indicano come valore non ponderato la somma degli elementi seguenti:</w:t>
            </w:r>
          </w:p>
          <w:p w14:paraId="6D480715" w14:textId="0A4665DA"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lastRenderedPageBreak/>
              <w:t>gli importi di operazioni di prestito garantite e operazioni correlate ai mercati finanziari con durata residua non superiore a 30 giorni, come previsto all</w:t>
            </w:r>
            <w:r w:rsidR="0031704F" w:rsidRPr="002140D7">
              <w:rPr>
                <w:rFonts w:ascii="Times New Roman" w:hAnsi="Times New Roman"/>
                <w:sz w:val="24"/>
              </w:rPr>
              <w:t>'</w:t>
            </w:r>
            <w:r w:rsidRPr="002140D7">
              <w:rPr>
                <w:rFonts w:ascii="Times New Roman" w:hAnsi="Times New Roman"/>
                <w:sz w:val="24"/>
              </w:rPr>
              <w:t>articolo 32, paragrafo 3, lettere b), c) e f), del regolamento delegato (UE) 2015/61 della Commissione;</w:t>
            </w:r>
          </w:p>
          <w:p w14:paraId="7F449F12" w14:textId="374B2F6D" w:rsidR="007E1815" w:rsidRPr="002140D7"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2140D7">
              <w:rPr>
                <w:rFonts w:ascii="Times New Roman" w:hAnsi="Times New Roman"/>
                <w:sz w:val="24"/>
              </w:rPr>
              <w:t>il valore di mercato delle garanzie reali date in prestito in swap di garanzie come previsto all</w:t>
            </w:r>
            <w:r w:rsidR="0031704F" w:rsidRPr="002140D7">
              <w:rPr>
                <w:rFonts w:ascii="Times New Roman" w:hAnsi="Times New Roman"/>
                <w:sz w:val="24"/>
              </w:rPr>
              <w:t>'</w:t>
            </w:r>
            <w:r w:rsidRPr="002140D7">
              <w:rPr>
                <w:rFonts w:ascii="Times New Roman" w:hAnsi="Times New Roman"/>
                <w:sz w:val="24"/>
              </w:rPr>
              <w:t>articolo</w:t>
            </w:r>
            <w:r w:rsidR="00101CAF" w:rsidRPr="002140D7">
              <w:rPr>
                <w:rFonts w:ascii="Times New Roman" w:hAnsi="Times New Roman"/>
                <w:sz w:val="24"/>
              </w:rPr>
              <w:t> </w:t>
            </w:r>
            <w:r w:rsidRPr="002140D7">
              <w:rPr>
                <w:rFonts w:ascii="Times New Roman" w:hAnsi="Times New Roman"/>
                <w:sz w:val="24"/>
              </w:rPr>
              <w:t>32, paragrafo</w:t>
            </w:r>
            <w:r w:rsidR="00101CAF" w:rsidRPr="002140D7">
              <w:rPr>
                <w:rFonts w:ascii="Times New Roman" w:hAnsi="Times New Roman"/>
                <w:sz w:val="24"/>
              </w:rPr>
              <w:t> </w:t>
            </w:r>
            <w:r w:rsidRPr="002140D7">
              <w:rPr>
                <w:rFonts w:ascii="Times New Roman" w:hAnsi="Times New Roman"/>
                <w:sz w:val="24"/>
              </w:rPr>
              <w:t>3, del regolamento delegato (UE) 2015/61 della Commissione.</w:t>
            </w:r>
          </w:p>
          <w:p w14:paraId="06976BDB" w14:textId="77777777" w:rsidR="007E1815" w:rsidRPr="002140D7" w:rsidRDefault="007E1815" w:rsidP="00D819DE">
            <w:pPr>
              <w:spacing w:after="120" w:line="288" w:lineRule="exact"/>
              <w:jc w:val="both"/>
              <w:rPr>
                <w:rFonts w:ascii="Times New Roman" w:hAnsi="Times New Roman" w:cs="Times New Roman"/>
                <w:sz w:val="24"/>
              </w:rPr>
            </w:pPr>
            <w:r w:rsidRPr="002140D7">
              <w:rPr>
                <w:rFonts w:ascii="Times New Roman" w:hAnsi="Times New Roman"/>
                <w:sz w:val="24"/>
              </w:rPr>
              <w:t>Gli enti indicano come valore ponderato la somma degli elementi seguenti:</w:t>
            </w:r>
          </w:p>
          <w:p w14:paraId="7A115CD7" w14:textId="3994DFF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gli afflussi risultanti da operazioni di prestito garantite e operazioni correlate ai mercati finanziari con durata residua non superiore a</w:t>
            </w:r>
            <w:r w:rsidR="00101CAF" w:rsidRPr="002140D7">
              <w:rPr>
                <w:rFonts w:ascii="Times New Roman" w:hAnsi="Times New Roman"/>
                <w:sz w:val="24"/>
              </w:rPr>
              <w:t xml:space="preserve"> </w:t>
            </w:r>
            <w:r w:rsidRPr="002140D7">
              <w:rPr>
                <w:rFonts w:ascii="Times New Roman" w:hAnsi="Times New Roman"/>
                <w:sz w:val="24"/>
              </w:rPr>
              <w:t>30</w:t>
            </w:r>
            <w:r w:rsidR="00101CAF" w:rsidRPr="002140D7">
              <w:rPr>
                <w:rFonts w:ascii="Times New Roman" w:hAnsi="Times New Roman"/>
                <w:sz w:val="24"/>
              </w:rPr>
              <w:t> </w:t>
            </w:r>
            <w:r w:rsidRPr="002140D7">
              <w:rPr>
                <w:rFonts w:ascii="Times New Roman" w:hAnsi="Times New Roman"/>
                <w:sz w:val="24"/>
              </w:rPr>
              <w:t>giorni, come previsto all</w:t>
            </w:r>
            <w:r w:rsidR="0031704F" w:rsidRPr="002140D7">
              <w:rPr>
                <w:rFonts w:ascii="Times New Roman" w:hAnsi="Times New Roman"/>
                <w:sz w:val="24"/>
              </w:rPr>
              <w:t>'</w:t>
            </w:r>
            <w:r w:rsidRPr="002140D7">
              <w:rPr>
                <w:rFonts w:ascii="Times New Roman" w:hAnsi="Times New Roman"/>
                <w:sz w:val="24"/>
              </w:rPr>
              <w:t>articolo 32, paragrafo 3, lettere b), c) e f), del regolamento delegato (UE) 2015/61 della Commissione;</w:t>
            </w:r>
          </w:p>
          <w:p w14:paraId="07238B5C" w14:textId="1727475C"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2140D7">
              <w:rPr>
                <w:rFonts w:ascii="Times New Roman" w:hAnsi="Times New Roman"/>
                <w:sz w:val="24"/>
              </w:rPr>
              <w:t>afflussi da swap di garanzie come previsto all</w:t>
            </w:r>
            <w:r w:rsidR="0031704F" w:rsidRPr="002140D7">
              <w:rPr>
                <w:rFonts w:ascii="Times New Roman" w:hAnsi="Times New Roman"/>
                <w:sz w:val="24"/>
              </w:rPr>
              <w:t>'</w:t>
            </w:r>
            <w:r w:rsidRPr="002140D7">
              <w:rPr>
                <w:rFonts w:ascii="Times New Roman" w:hAnsi="Times New Roman"/>
                <w:sz w:val="24"/>
              </w:rPr>
              <w:t>articolo 32, paragrafo 3, del regolamento delegato (UE) 2015/61 della Commissione.</w:t>
            </w:r>
          </w:p>
        </w:tc>
      </w:tr>
      <w:tr w:rsidR="007E1815" w:rsidRPr="002140D7" w14:paraId="001A0BC1" w14:textId="77777777" w:rsidTr="00D819DE">
        <w:trPr>
          <w:trHeight w:val="316"/>
        </w:trPr>
        <w:tc>
          <w:tcPr>
            <w:tcW w:w="1384" w:type="dxa"/>
          </w:tcPr>
          <w:p w14:paraId="717DE40D"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lastRenderedPageBreak/>
              <w:t>18</w:t>
            </w:r>
          </w:p>
        </w:tc>
        <w:tc>
          <w:tcPr>
            <w:tcW w:w="7655" w:type="dxa"/>
          </w:tcPr>
          <w:p w14:paraId="05A2A98F" w14:textId="77777777" w:rsidR="007E1815" w:rsidRPr="002140D7" w:rsidRDefault="007E1815" w:rsidP="00D819DE">
            <w:pPr>
              <w:spacing w:before="120" w:after="120" w:line="190" w:lineRule="exact"/>
              <w:rPr>
                <w:rFonts w:ascii="Times New Roman" w:hAnsi="Times New Roman"/>
                <w:b/>
                <w:sz w:val="24"/>
              </w:rPr>
            </w:pPr>
            <w:r w:rsidRPr="002140D7">
              <w:rPr>
                <w:rFonts w:ascii="Times New Roman" w:hAnsi="Times New Roman"/>
                <w:b/>
                <w:sz w:val="24"/>
              </w:rPr>
              <w:t>Afflussi da esposizioni pienamente in bonis</w:t>
            </w:r>
          </w:p>
          <w:p w14:paraId="4C4F768A" w14:textId="77777777" w:rsidR="007E1815" w:rsidRPr="002140D7" w:rsidRDefault="007E1815" w:rsidP="00D819DE">
            <w:pPr>
              <w:spacing w:after="120" w:line="278" w:lineRule="exact"/>
              <w:jc w:val="both"/>
              <w:rPr>
                <w:rFonts w:ascii="Times New Roman" w:hAnsi="Times New Roman" w:cs="Times New Roman"/>
                <w:sz w:val="24"/>
              </w:rPr>
            </w:pPr>
            <w:r w:rsidRPr="002140D7">
              <w:rPr>
                <w:rFonts w:ascii="Times New Roman" w:hAnsi="Times New Roman"/>
                <w:sz w:val="24"/>
              </w:rPr>
              <w:t>Gli enti indicano come valore non ponderato e come valore ponderato la somma degli importi e degli afflussi totali, rispettivamente, dei seguenti elementi:</w:t>
            </w:r>
          </w:p>
          <w:p w14:paraId="1F8370B0" w14:textId="5DC3CE2E"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importi dovuti da clienti non finanziari (ad eccezione delle banche centrali) come previsto all</w:t>
            </w:r>
            <w:r w:rsidR="0031704F" w:rsidRPr="002140D7">
              <w:rPr>
                <w:rFonts w:ascii="Times New Roman" w:hAnsi="Times New Roman"/>
                <w:sz w:val="24"/>
              </w:rPr>
              <w:t>'</w:t>
            </w:r>
            <w:r w:rsidRPr="002140D7">
              <w:rPr>
                <w:rFonts w:ascii="Times New Roman" w:hAnsi="Times New Roman"/>
                <w:sz w:val="24"/>
              </w:rPr>
              <w:t>articolo</w:t>
            </w:r>
            <w:r w:rsidR="00101CAF" w:rsidRPr="002140D7">
              <w:rPr>
                <w:rFonts w:ascii="Times New Roman" w:hAnsi="Times New Roman"/>
                <w:sz w:val="24"/>
              </w:rPr>
              <w:t> </w:t>
            </w:r>
            <w:r w:rsidRPr="002140D7">
              <w:rPr>
                <w:rFonts w:ascii="Times New Roman" w:hAnsi="Times New Roman"/>
                <w:sz w:val="24"/>
              </w:rPr>
              <w:t>32, paragrafo</w:t>
            </w:r>
            <w:r w:rsidR="00101CAF" w:rsidRPr="002140D7">
              <w:rPr>
                <w:rFonts w:ascii="Times New Roman" w:hAnsi="Times New Roman"/>
                <w:sz w:val="24"/>
              </w:rPr>
              <w:t> </w:t>
            </w:r>
            <w:r w:rsidRPr="002140D7">
              <w:rPr>
                <w:rFonts w:ascii="Times New Roman" w:hAnsi="Times New Roman"/>
                <w:sz w:val="24"/>
              </w:rPr>
              <w:t>3, lettera</w:t>
            </w:r>
            <w:r w:rsidR="00101CAF" w:rsidRPr="002140D7">
              <w:rPr>
                <w:rFonts w:ascii="Times New Roman" w:hAnsi="Times New Roman"/>
                <w:sz w:val="24"/>
              </w:rPr>
              <w:t> </w:t>
            </w:r>
            <w:r w:rsidRPr="002140D7">
              <w:rPr>
                <w:rFonts w:ascii="Times New Roman" w:hAnsi="Times New Roman"/>
                <w:sz w:val="24"/>
              </w:rPr>
              <w:t xml:space="preserve">a), del regolamento delegato (UE) 2015/61 della Commissione; </w:t>
            </w:r>
          </w:p>
          <w:p w14:paraId="1086E0A3" w14:textId="18D6F6BF"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importi dovuti da banche centrali e clienti finanziari, come previsto all</w:t>
            </w:r>
            <w:r w:rsidR="0031704F" w:rsidRPr="002140D7">
              <w:rPr>
                <w:rFonts w:ascii="Times New Roman" w:hAnsi="Times New Roman"/>
                <w:sz w:val="24"/>
              </w:rPr>
              <w:t>'</w:t>
            </w:r>
            <w:r w:rsidRPr="002140D7">
              <w:rPr>
                <w:rFonts w:ascii="Times New Roman" w:hAnsi="Times New Roman"/>
                <w:sz w:val="24"/>
              </w:rPr>
              <w:t xml:space="preserve">articolo 32, paragrafo 2, lettera a), del regolamento delegato (UE) 2015/61 della Commissione; </w:t>
            </w:r>
          </w:p>
          <w:p w14:paraId="216498BF" w14:textId="59A52140"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importi dovuti per operazioni di finanziamento al commercio con durata residua non superiore a 30 giorni di calendario, come previsto all</w:t>
            </w:r>
            <w:r w:rsidR="0031704F" w:rsidRPr="002140D7">
              <w:rPr>
                <w:rFonts w:ascii="Times New Roman" w:hAnsi="Times New Roman"/>
                <w:sz w:val="24"/>
              </w:rPr>
              <w:t>'</w:t>
            </w:r>
            <w:r w:rsidRPr="002140D7">
              <w:rPr>
                <w:rFonts w:ascii="Times New Roman" w:hAnsi="Times New Roman"/>
                <w:sz w:val="24"/>
              </w:rPr>
              <w:t>articolo 32, paragrafo 2, lettera b), del regolamento delegato (UE) 2015/61 della Commissione;</w:t>
            </w:r>
          </w:p>
          <w:p w14:paraId="2B448E76" w14:textId="19146ACD"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2140D7">
              <w:rPr>
                <w:rFonts w:ascii="Times New Roman" w:hAnsi="Times New Roman"/>
                <w:sz w:val="24"/>
              </w:rPr>
              <w:t>afflussi corrispondenti ai deflussi conformemente agli impegni all</w:t>
            </w:r>
            <w:r w:rsidR="0031704F" w:rsidRPr="002140D7">
              <w:rPr>
                <w:rFonts w:ascii="Times New Roman" w:hAnsi="Times New Roman"/>
                <w:sz w:val="24"/>
              </w:rPr>
              <w:t>'</w:t>
            </w:r>
            <w:r w:rsidRPr="002140D7">
              <w:rPr>
                <w:rFonts w:ascii="Times New Roman" w:hAnsi="Times New Roman"/>
                <w:sz w:val="24"/>
              </w:rPr>
              <w:t>erogazione di prestiti agevolati di cui all</w:t>
            </w:r>
            <w:r w:rsidR="0031704F" w:rsidRPr="002140D7">
              <w:rPr>
                <w:rFonts w:ascii="Times New Roman" w:hAnsi="Times New Roman"/>
                <w:sz w:val="24"/>
              </w:rPr>
              <w:t>'</w:t>
            </w:r>
            <w:r w:rsidRPr="002140D7">
              <w:rPr>
                <w:rFonts w:ascii="Times New Roman" w:hAnsi="Times New Roman"/>
                <w:sz w:val="24"/>
              </w:rPr>
              <w:t>articolo</w:t>
            </w:r>
            <w:r w:rsidR="00101CAF" w:rsidRPr="002140D7">
              <w:rPr>
                <w:rFonts w:ascii="Times New Roman" w:hAnsi="Times New Roman"/>
                <w:sz w:val="24"/>
              </w:rPr>
              <w:t> </w:t>
            </w:r>
            <w:r w:rsidRPr="002140D7">
              <w:rPr>
                <w:rFonts w:ascii="Times New Roman" w:hAnsi="Times New Roman"/>
                <w:sz w:val="24"/>
              </w:rPr>
              <w:t>31, paragrafo</w:t>
            </w:r>
            <w:r w:rsidR="00101CAF" w:rsidRPr="002140D7">
              <w:rPr>
                <w:rFonts w:ascii="Times New Roman" w:hAnsi="Times New Roman"/>
                <w:sz w:val="24"/>
              </w:rPr>
              <w:t> </w:t>
            </w:r>
            <w:r w:rsidRPr="002140D7">
              <w:rPr>
                <w:rFonts w:ascii="Times New Roman" w:hAnsi="Times New Roman"/>
                <w:sz w:val="24"/>
              </w:rPr>
              <w:t>9, del regolamento delegato (UE) 2015/61 della Commissione.</w:t>
            </w:r>
          </w:p>
        </w:tc>
      </w:tr>
      <w:tr w:rsidR="007E1815" w:rsidRPr="002140D7" w14:paraId="63C35840" w14:textId="77777777" w:rsidTr="00D819DE">
        <w:trPr>
          <w:trHeight w:val="316"/>
        </w:trPr>
        <w:tc>
          <w:tcPr>
            <w:tcW w:w="1384" w:type="dxa"/>
          </w:tcPr>
          <w:p w14:paraId="02419826"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19</w:t>
            </w:r>
          </w:p>
        </w:tc>
        <w:tc>
          <w:tcPr>
            <w:tcW w:w="7655" w:type="dxa"/>
          </w:tcPr>
          <w:p w14:paraId="2976A3A7"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Altri afflussi di cassa</w:t>
            </w:r>
          </w:p>
          <w:p w14:paraId="47710836" w14:textId="77777777" w:rsidR="007E1815" w:rsidRPr="002140D7" w:rsidRDefault="007E1815" w:rsidP="00D819DE">
            <w:pPr>
              <w:spacing w:after="120" w:line="278" w:lineRule="exact"/>
              <w:jc w:val="both"/>
              <w:rPr>
                <w:rFonts w:ascii="Times New Roman" w:hAnsi="Times New Roman" w:cs="Times New Roman"/>
                <w:sz w:val="24"/>
              </w:rPr>
            </w:pPr>
            <w:r w:rsidRPr="002140D7">
              <w:rPr>
                <w:rFonts w:ascii="Times New Roman" w:hAnsi="Times New Roman"/>
                <w:sz w:val="24"/>
              </w:rPr>
              <w:t>Gli enti indicano come valore non ponderato e come valore ponderato la somma degli importi e degli afflussi totali, rispettivamente, dei seguenti elementi:</w:t>
            </w:r>
          </w:p>
          <w:p w14:paraId="5654CF4D" w14:textId="29EE619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importi dovuti da titoli in scadenza entro 30 giorni di calendario, come previsto all</w:t>
            </w:r>
            <w:r w:rsidR="0031704F" w:rsidRPr="002140D7">
              <w:rPr>
                <w:rFonts w:ascii="Times New Roman" w:hAnsi="Times New Roman"/>
                <w:sz w:val="24"/>
              </w:rPr>
              <w:t>'</w:t>
            </w:r>
            <w:r w:rsidRPr="002140D7">
              <w:rPr>
                <w:rFonts w:ascii="Times New Roman" w:hAnsi="Times New Roman"/>
                <w:sz w:val="24"/>
              </w:rPr>
              <w:t>articolo</w:t>
            </w:r>
            <w:r w:rsidR="00101CAF" w:rsidRPr="002140D7">
              <w:rPr>
                <w:rFonts w:ascii="Times New Roman" w:hAnsi="Times New Roman"/>
                <w:sz w:val="24"/>
              </w:rPr>
              <w:t> </w:t>
            </w:r>
            <w:r w:rsidRPr="002140D7">
              <w:rPr>
                <w:rFonts w:ascii="Times New Roman" w:hAnsi="Times New Roman"/>
                <w:sz w:val="24"/>
              </w:rPr>
              <w:t>32, paragrafo</w:t>
            </w:r>
            <w:r w:rsidR="00101CAF" w:rsidRPr="002140D7">
              <w:rPr>
                <w:rFonts w:ascii="Times New Roman" w:hAnsi="Times New Roman"/>
                <w:sz w:val="24"/>
              </w:rPr>
              <w:t> </w:t>
            </w:r>
            <w:r w:rsidRPr="002140D7">
              <w:rPr>
                <w:rFonts w:ascii="Times New Roman" w:hAnsi="Times New Roman"/>
                <w:sz w:val="24"/>
              </w:rPr>
              <w:t>2, lettera</w:t>
            </w:r>
            <w:r w:rsidR="00101CAF" w:rsidRPr="002140D7">
              <w:rPr>
                <w:rFonts w:ascii="Times New Roman" w:hAnsi="Times New Roman"/>
                <w:sz w:val="24"/>
              </w:rPr>
              <w:t> </w:t>
            </w:r>
            <w:r w:rsidRPr="002140D7">
              <w:rPr>
                <w:rFonts w:ascii="Times New Roman" w:hAnsi="Times New Roman"/>
                <w:sz w:val="24"/>
              </w:rPr>
              <w:t xml:space="preserve">c), del regolamento delegato (UE) 2015/61 della Commissione; </w:t>
            </w:r>
          </w:p>
          <w:p w14:paraId="0EA1B0AA" w14:textId="4B8AD9DF"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prestiti con data di scadenza contrattuale non definita, come previsto all</w:t>
            </w:r>
            <w:r w:rsidR="0031704F" w:rsidRPr="002140D7">
              <w:rPr>
                <w:rFonts w:ascii="Times New Roman" w:hAnsi="Times New Roman"/>
                <w:sz w:val="24"/>
              </w:rPr>
              <w:t>'</w:t>
            </w:r>
            <w:r w:rsidRPr="002140D7">
              <w:rPr>
                <w:rFonts w:ascii="Times New Roman" w:hAnsi="Times New Roman"/>
                <w:sz w:val="24"/>
              </w:rPr>
              <w:t>articolo</w:t>
            </w:r>
            <w:r w:rsidR="00C71777" w:rsidRPr="002140D7">
              <w:rPr>
                <w:rFonts w:ascii="Times New Roman" w:hAnsi="Times New Roman"/>
                <w:sz w:val="24"/>
              </w:rPr>
              <w:t> </w:t>
            </w:r>
            <w:r w:rsidRPr="002140D7">
              <w:rPr>
                <w:rFonts w:ascii="Times New Roman" w:hAnsi="Times New Roman"/>
                <w:sz w:val="24"/>
              </w:rPr>
              <w:t>32, paragrafo</w:t>
            </w:r>
            <w:r w:rsidR="00C71777" w:rsidRPr="002140D7">
              <w:rPr>
                <w:rFonts w:ascii="Times New Roman" w:hAnsi="Times New Roman"/>
                <w:sz w:val="24"/>
              </w:rPr>
              <w:t> </w:t>
            </w:r>
            <w:r w:rsidRPr="002140D7">
              <w:rPr>
                <w:rFonts w:ascii="Times New Roman" w:hAnsi="Times New Roman"/>
                <w:sz w:val="24"/>
              </w:rPr>
              <w:t>3, lettera</w:t>
            </w:r>
            <w:r w:rsidR="00C71777" w:rsidRPr="002140D7">
              <w:rPr>
                <w:rFonts w:ascii="Times New Roman" w:hAnsi="Times New Roman"/>
                <w:sz w:val="24"/>
              </w:rPr>
              <w:t> </w:t>
            </w:r>
            <w:r w:rsidRPr="002140D7">
              <w:rPr>
                <w:rFonts w:ascii="Times New Roman" w:hAnsi="Times New Roman"/>
                <w:sz w:val="24"/>
              </w:rPr>
              <w:t>i), del regolamento delegato (UE) 2015/61 della Commissione;</w:t>
            </w:r>
          </w:p>
          <w:p w14:paraId="6C032E9D" w14:textId="0E808CE0"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importi dovuti da posizioni nei più importanti strumenti di indici azionari, purché non si conteggino due volte con le attività liquide, come previsto all</w:t>
            </w:r>
            <w:r w:rsidR="0031704F" w:rsidRPr="002140D7">
              <w:rPr>
                <w:rFonts w:ascii="Times New Roman" w:hAnsi="Times New Roman"/>
                <w:sz w:val="24"/>
              </w:rPr>
              <w:t>'</w:t>
            </w:r>
            <w:r w:rsidRPr="002140D7">
              <w:rPr>
                <w:rFonts w:ascii="Times New Roman" w:hAnsi="Times New Roman"/>
                <w:sz w:val="24"/>
              </w:rPr>
              <w:t>articolo</w:t>
            </w:r>
            <w:r w:rsidR="00C71777" w:rsidRPr="002140D7">
              <w:rPr>
                <w:rFonts w:ascii="Times New Roman" w:hAnsi="Times New Roman"/>
                <w:sz w:val="24"/>
              </w:rPr>
              <w:t> </w:t>
            </w:r>
            <w:r w:rsidRPr="002140D7">
              <w:rPr>
                <w:rFonts w:ascii="Times New Roman" w:hAnsi="Times New Roman"/>
                <w:sz w:val="24"/>
              </w:rPr>
              <w:t>32, paragrafo</w:t>
            </w:r>
            <w:r w:rsidR="00C71777" w:rsidRPr="002140D7">
              <w:rPr>
                <w:rFonts w:ascii="Times New Roman" w:hAnsi="Times New Roman"/>
                <w:sz w:val="24"/>
              </w:rPr>
              <w:t> </w:t>
            </w:r>
            <w:r w:rsidRPr="002140D7">
              <w:rPr>
                <w:rFonts w:ascii="Times New Roman" w:hAnsi="Times New Roman"/>
                <w:sz w:val="24"/>
              </w:rPr>
              <w:t>2, lettera</w:t>
            </w:r>
            <w:r w:rsidR="00C71777" w:rsidRPr="002140D7">
              <w:rPr>
                <w:rFonts w:ascii="Times New Roman" w:hAnsi="Times New Roman"/>
                <w:sz w:val="24"/>
              </w:rPr>
              <w:t> </w:t>
            </w:r>
            <w:r w:rsidRPr="002140D7">
              <w:rPr>
                <w:rFonts w:ascii="Times New Roman" w:hAnsi="Times New Roman"/>
                <w:sz w:val="24"/>
              </w:rPr>
              <w:t xml:space="preserve">d), del regolamento delegato (UE) 2015/61 della Commissione. Le posizioni comprendono </w:t>
            </w:r>
            <w:r w:rsidRPr="002140D7">
              <w:rPr>
                <w:rFonts w:ascii="Times New Roman" w:hAnsi="Times New Roman"/>
                <w:sz w:val="24"/>
              </w:rPr>
              <w:lastRenderedPageBreak/>
              <w:t>gli importi dovuti per contratto entro 30 giorni di calendario, quali i dividendi in contante sui più importanti indici e il contante dovuto per tali strumenti di capitale venduti ma non ancora regolati, laddove non siano rilevati come attività liquide conformemente al titolo II del regolamento delegato (UE) 2015/61 della Commissione;</w:t>
            </w:r>
          </w:p>
          <w:p w14:paraId="51203A77" w14:textId="2E4A5333"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afflussi derivanti dallo svincolo dei saldi detenuti in conti segregati conformemente ai requisiti prudenziali per la tutela delle attività di negoziazione della clientela conformemente all</w:t>
            </w:r>
            <w:r w:rsidR="0031704F" w:rsidRPr="002140D7">
              <w:rPr>
                <w:rFonts w:ascii="Times New Roman" w:hAnsi="Times New Roman"/>
                <w:sz w:val="24"/>
              </w:rPr>
              <w:t>'</w:t>
            </w:r>
            <w:r w:rsidRPr="002140D7">
              <w:rPr>
                <w:rFonts w:ascii="Times New Roman" w:hAnsi="Times New Roman"/>
                <w:sz w:val="24"/>
              </w:rPr>
              <w:t>articolo</w:t>
            </w:r>
            <w:r w:rsidR="00C71777" w:rsidRPr="002140D7">
              <w:rPr>
                <w:rFonts w:ascii="Times New Roman" w:hAnsi="Times New Roman"/>
                <w:sz w:val="24"/>
              </w:rPr>
              <w:t> </w:t>
            </w:r>
            <w:r w:rsidRPr="002140D7">
              <w:rPr>
                <w:rFonts w:ascii="Times New Roman" w:hAnsi="Times New Roman"/>
                <w:sz w:val="24"/>
              </w:rPr>
              <w:t>32, paragrafo</w:t>
            </w:r>
            <w:r w:rsidR="00C71777" w:rsidRPr="002140D7">
              <w:rPr>
                <w:rFonts w:ascii="Times New Roman" w:hAnsi="Times New Roman"/>
                <w:sz w:val="24"/>
              </w:rPr>
              <w:t> </w:t>
            </w:r>
            <w:r w:rsidRPr="002140D7">
              <w:rPr>
                <w:rFonts w:ascii="Times New Roman" w:hAnsi="Times New Roman"/>
                <w:sz w:val="24"/>
              </w:rPr>
              <w:t>4, del regolamento delegato (UE) 2015/61 della Commissione. Gli afflussi sono considerati solo se questi saldi sono mantenuti in attività liquide conformemente al titolo</w:t>
            </w:r>
            <w:r w:rsidR="00236BAE" w:rsidRPr="002140D7">
              <w:rPr>
                <w:rFonts w:ascii="Times New Roman" w:hAnsi="Times New Roman"/>
                <w:sz w:val="24"/>
              </w:rPr>
              <w:t> </w:t>
            </w:r>
            <w:r w:rsidRPr="002140D7">
              <w:rPr>
                <w:rFonts w:ascii="Times New Roman" w:hAnsi="Times New Roman"/>
                <w:sz w:val="24"/>
              </w:rPr>
              <w:t xml:space="preserve">II del regolamento delegato (UE) 2015/61 della Commissione; </w:t>
            </w:r>
          </w:p>
          <w:p w14:paraId="5C6FC3C4" w14:textId="12FB1E1E"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afflussi da derivati come previsto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32, paragrafo</w:t>
            </w:r>
            <w:r w:rsidR="00236BAE" w:rsidRPr="002140D7">
              <w:rPr>
                <w:rFonts w:ascii="Times New Roman" w:hAnsi="Times New Roman"/>
                <w:sz w:val="24"/>
              </w:rPr>
              <w:t> </w:t>
            </w:r>
            <w:r w:rsidRPr="002140D7">
              <w:rPr>
                <w:rFonts w:ascii="Times New Roman" w:hAnsi="Times New Roman"/>
                <w:sz w:val="24"/>
              </w:rPr>
              <w:t>5, in combinato disposto con l</w:t>
            </w:r>
            <w:r w:rsidR="0031704F" w:rsidRPr="002140D7">
              <w:rPr>
                <w:rFonts w:ascii="Times New Roman" w:hAnsi="Times New Roman"/>
                <w:sz w:val="24"/>
              </w:rPr>
              <w:t>'</w:t>
            </w:r>
            <w:r w:rsidRPr="002140D7">
              <w:rPr>
                <w:rFonts w:ascii="Times New Roman" w:hAnsi="Times New Roman"/>
                <w:sz w:val="24"/>
              </w:rPr>
              <w:t>articolo 21 del regolamento delegato (UE) 2015/61 della Commissione;</w:t>
            </w:r>
          </w:p>
          <w:p w14:paraId="46B61C8E" w14:textId="05DABF1C"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afflussi derivanti da linee di credito o di liquidità non utilizzate fornite da membri di un gruppo o da un sistema di tutela istituzionale quando l</w:t>
            </w:r>
            <w:r w:rsidR="0031704F" w:rsidRPr="002140D7">
              <w:rPr>
                <w:rFonts w:ascii="Times New Roman" w:hAnsi="Times New Roman"/>
                <w:sz w:val="24"/>
              </w:rPr>
              <w:t>'</w:t>
            </w:r>
            <w:r w:rsidRPr="002140D7">
              <w:rPr>
                <w:rFonts w:ascii="Times New Roman" w:hAnsi="Times New Roman"/>
                <w:sz w:val="24"/>
              </w:rPr>
              <w:t>autorità competente ha autorizzato l</w:t>
            </w:r>
            <w:r w:rsidR="0031704F" w:rsidRPr="002140D7">
              <w:rPr>
                <w:rFonts w:ascii="Times New Roman" w:hAnsi="Times New Roman"/>
                <w:sz w:val="24"/>
              </w:rPr>
              <w:t>'</w:t>
            </w:r>
            <w:r w:rsidRPr="002140D7">
              <w:rPr>
                <w:rFonts w:ascii="Times New Roman" w:hAnsi="Times New Roman"/>
                <w:sz w:val="24"/>
              </w:rPr>
              <w:t>applicazione di un tasso superiore di afflusso conformemente all</w:t>
            </w:r>
            <w:r w:rsidR="0031704F" w:rsidRPr="002140D7">
              <w:rPr>
                <w:rFonts w:ascii="Times New Roman" w:hAnsi="Times New Roman"/>
                <w:sz w:val="24"/>
              </w:rPr>
              <w:t>'</w:t>
            </w:r>
            <w:r w:rsidRPr="002140D7">
              <w:rPr>
                <w:rFonts w:ascii="Times New Roman" w:hAnsi="Times New Roman"/>
                <w:sz w:val="24"/>
              </w:rPr>
              <w:t xml:space="preserve">articolo 34 del regolamento delegato (UE) 2015/61 della Commissione; </w:t>
            </w:r>
          </w:p>
          <w:p w14:paraId="53725212" w14:textId="11B73F8C"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2140D7">
              <w:rPr>
                <w:rFonts w:ascii="Times New Roman" w:hAnsi="Times New Roman"/>
                <w:sz w:val="24"/>
              </w:rPr>
              <w:t>altri afflussi di cui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32, paragrafo</w:t>
            </w:r>
            <w:r w:rsidR="00236BAE" w:rsidRPr="002140D7">
              <w:rPr>
                <w:rFonts w:ascii="Times New Roman" w:hAnsi="Times New Roman"/>
                <w:sz w:val="24"/>
              </w:rPr>
              <w:t> </w:t>
            </w:r>
            <w:r w:rsidRPr="002140D7">
              <w:rPr>
                <w:rFonts w:ascii="Times New Roman" w:hAnsi="Times New Roman"/>
                <w:sz w:val="24"/>
              </w:rPr>
              <w:t xml:space="preserve">2, del regolamento delegato (UE) 2015/61 della Commissione. </w:t>
            </w:r>
          </w:p>
        </w:tc>
      </w:tr>
      <w:tr w:rsidR="007E1815" w:rsidRPr="002140D7" w14:paraId="64E3E330" w14:textId="77777777" w:rsidTr="00D819DE">
        <w:trPr>
          <w:trHeight w:val="316"/>
        </w:trPr>
        <w:tc>
          <w:tcPr>
            <w:tcW w:w="1384" w:type="dxa"/>
          </w:tcPr>
          <w:p w14:paraId="581D75AD"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lastRenderedPageBreak/>
              <w:t>EU-19a</w:t>
            </w:r>
          </w:p>
        </w:tc>
        <w:tc>
          <w:tcPr>
            <w:tcW w:w="7655" w:type="dxa"/>
          </w:tcPr>
          <w:p w14:paraId="7D38534C" w14:textId="77777777" w:rsidR="007E1815" w:rsidRPr="002140D7" w:rsidRDefault="007E1815" w:rsidP="00D819DE">
            <w:pPr>
              <w:spacing w:before="120" w:after="120" w:line="278" w:lineRule="exact"/>
              <w:rPr>
                <w:rFonts w:ascii="Times New Roman" w:hAnsi="Times New Roman" w:cs="Times New Roman"/>
                <w:b/>
                <w:sz w:val="24"/>
              </w:rPr>
            </w:pPr>
            <w:r w:rsidRPr="002140D7">
              <w:rPr>
                <w:rFonts w:ascii="Times New Roman" w:hAnsi="Times New Roman"/>
                <w:b/>
                <w:sz w:val="24"/>
              </w:rPr>
              <w:t>(Differenza tra gli afflussi ponderati totali e i deflussi ponderati totali derivanti da operazioni in paesi terzi in cui vigono restrizioni al trasferimento o che sono denominate in valute non convertibili)</w:t>
            </w:r>
          </w:p>
          <w:p w14:paraId="74E08890" w14:textId="584EC8BB" w:rsidR="007E1815" w:rsidRPr="002140D7" w:rsidRDefault="007E1815" w:rsidP="00D819DE">
            <w:pPr>
              <w:spacing w:after="120" w:line="278" w:lineRule="exact"/>
              <w:jc w:val="both"/>
              <w:rPr>
                <w:rFonts w:ascii="Times New Roman" w:hAnsi="Times New Roman" w:cs="Times New Roman"/>
                <w:sz w:val="24"/>
              </w:rPr>
            </w:pPr>
            <w:r w:rsidRPr="002140D7">
              <w:rPr>
                <w:rFonts w:ascii="Times New Roman" w:hAnsi="Times New Roman"/>
                <w:sz w:val="24"/>
              </w:rPr>
              <w:t>Come previsto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32, paragrafo</w:t>
            </w:r>
            <w:r w:rsidR="00236BAE" w:rsidRPr="002140D7">
              <w:rPr>
                <w:rFonts w:ascii="Times New Roman" w:hAnsi="Times New Roman"/>
                <w:sz w:val="24"/>
              </w:rPr>
              <w:t> </w:t>
            </w:r>
            <w:r w:rsidRPr="002140D7">
              <w:rPr>
                <w:rFonts w:ascii="Times New Roman" w:hAnsi="Times New Roman"/>
                <w:sz w:val="24"/>
              </w:rPr>
              <w:t>8, del regolamento delegato (UE) 2015/61 della Commissione, gli enti pubblicano come valore ponderato l</w:t>
            </w:r>
            <w:r w:rsidR="0031704F" w:rsidRPr="002140D7">
              <w:rPr>
                <w:rFonts w:ascii="Times New Roman" w:hAnsi="Times New Roman"/>
                <w:sz w:val="24"/>
              </w:rPr>
              <w:t>'</w:t>
            </w:r>
            <w:r w:rsidRPr="002140D7">
              <w:rPr>
                <w:rFonts w:ascii="Times New Roman" w:hAnsi="Times New Roman"/>
                <w:sz w:val="24"/>
              </w:rPr>
              <w:t>eccesso di tali afflussi ponderati rispetto a tali deflussi.</w:t>
            </w:r>
          </w:p>
        </w:tc>
      </w:tr>
      <w:tr w:rsidR="007E1815" w:rsidRPr="002140D7" w14:paraId="2E7E87F2" w14:textId="77777777" w:rsidTr="00D819DE">
        <w:trPr>
          <w:trHeight w:val="316"/>
        </w:trPr>
        <w:tc>
          <w:tcPr>
            <w:tcW w:w="1384" w:type="dxa"/>
          </w:tcPr>
          <w:p w14:paraId="158F916A"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EU-19b</w:t>
            </w:r>
          </w:p>
        </w:tc>
        <w:tc>
          <w:tcPr>
            <w:tcW w:w="7655" w:type="dxa"/>
          </w:tcPr>
          <w:p w14:paraId="3FCA5557" w14:textId="77777777" w:rsidR="007E1815" w:rsidRPr="002140D7" w:rsidRDefault="007E1815" w:rsidP="00D819DE">
            <w:pPr>
              <w:spacing w:before="120" w:after="120" w:line="190" w:lineRule="exact"/>
              <w:jc w:val="both"/>
              <w:rPr>
                <w:rFonts w:ascii="Times New Roman" w:hAnsi="Times New Roman" w:cs="Times New Roman"/>
                <w:b/>
                <w:sz w:val="24"/>
              </w:rPr>
            </w:pPr>
            <w:r w:rsidRPr="002140D7">
              <w:rPr>
                <w:rFonts w:ascii="Times New Roman" w:hAnsi="Times New Roman"/>
                <w:b/>
                <w:sz w:val="24"/>
              </w:rPr>
              <w:t>(Afflussi in eccesso da un ente creditizio specializzato connesso)</w:t>
            </w:r>
          </w:p>
          <w:p w14:paraId="5038CF89" w14:textId="47AEA8D9"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Come previsto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2, paragrafo</w:t>
            </w:r>
            <w:r w:rsidR="00236BAE" w:rsidRPr="002140D7">
              <w:rPr>
                <w:rFonts w:ascii="Times New Roman" w:hAnsi="Times New Roman"/>
                <w:sz w:val="24"/>
              </w:rPr>
              <w:t> </w:t>
            </w:r>
            <w:r w:rsidRPr="002140D7">
              <w:rPr>
                <w:rFonts w:ascii="Times New Roman" w:hAnsi="Times New Roman"/>
                <w:sz w:val="24"/>
              </w:rPr>
              <w:t>3, lettera</w:t>
            </w:r>
            <w:r w:rsidR="00236BAE" w:rsidRPr="002140D7">
              <w:rPr>
                <w:rFonts w:ascii="Times New Roman" w:hAnsi="Times New Roman"/>
                <w:sz w:val="24"/>
              </w:rPr>
              <w:t> </w:t>
            </w:r>
            <w:r w:rsidRPr="002140D7">
              <w:rPr>
                <w:rFonts w:ascii="Times New Roman" w:hAnsi="Times New Roman"/>
                <w:sz w:val="24"/>
              </w:rPr>
              <w:t>e), e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33, paragrafo</w:t>
            </w:r>
            <w:r w:rsidR="00236BAE" w:rsidRPr="002140D7">
              <w:rPr>
                <w:rFonts w:ascii="Times New Roman" w:hAnsi="Times New Roman"/>
                <w:sz w:val="24"/>
              </w:rPr>
              <w:t> </w:t>
            </w:r>
            <w:r w:rsidRPr="002140D7">
              <w:rPr>
                <w:rFonts w:ascii="Times New Roman" w:hAnsi="Times New Roman"/>
                <w:sz w:val="24"/>
              </w:rPr>
              <w:t>6, del regolamento delegato (UE) 2015/61 della Commissione, gli enti creditizi, ai fini dell</w:t>
            </w:r>
            <w:r w:rsidR="0031704F" w:rsidRPr="002140D7">
              <w:rPr>
                <w:rFonts w:ascii="Times New Roman" w:hAnsi="Times New Roman"/>
                <w:sz w:val="24"/>
              </w:rPr>
              <w:t>'</w:t>
            </w:r>
            <w:r w:rsidRPr="002140D7">
              <w:rPr>
                <w:rFonts w:ascii="Times New Roman" w:hAnsi="Times New Roman"/>
                <w:sz w:val="24"/>
              </w:rPr>
              <w:t>informativa su base consolidata, pubblicano come valore ponderato gli afflussi derivanti da un ente creditizio specializzato connesso di cui all</w:t>
            </w:r>
            <w:r w:rsidR="0031704F" w:rsidRPr="002140D7">
              <w:rPr>
                <w:rFonts w:ascii="Times New Roman" w:hAnsi="Times New Roman"/>
                <w:sz w:val="24"/>
              </w:rPr>
              <w:t>'</w:t>
            </w:r>
            <w:r w:rsidRPr="002140D7">
              <w:rPr>
                <w:rFonts w:ascii="Times New Roman" w:hAnsi="Times New Roman"/>
                <w:sz w:val="24"/>
              </w:rPr>
              <w:t>articolo 33, paragrafi 3 e 4, del regolamento delegato (UE) 2015/61 della Commissione, che superano l</w:t>
            </w:r>
            <w:r w:rsidR="0031704F" w:rsidRPr="002140D7">
              <w:rPr>
                <w:rFonts w:ascii="Times New Roman" w:hAnsi="Times New Roman"/>
                <w:sz w:val="24"/>
              </w:rPr>
              <w:t>'</w:t>
            </w:r>
            <w:r w:rsidRPr="002140D7">
              <w:rPr>
                <w:rFonts w:ascii="Times New Roman" w:hAnsi="Times New Roman"/>
                <w:sz w:val="24"/>
              </w:rPr>
              <w:t>importo dei deflussi derivanti dalla stessa impresa.</w:t>
            </w:r>
          </w:p>
        </w:tc>
      </w:tr>
      <w:tr w:rsidR="007E1815" w:rsidRPr="002140D7" w14:paraId="707030E1" w14:textId="77777777" w:rsidTr="00D819DE">
        <w:trPr>
          <w:trHeight w:val="316"/>
        </w:trPr>
        <w:tc>
          <w:tcPr>
            <w:tcW w:w="1384" w:type="dxa"/>
          </w:tcPr>
          <w:p w14:paraId="47322C33"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20</w:t>
            </w:r>
          </w:p>
        </w:tc>
        <w:tc>
          <w:tcPr>
            <w:tcW w:w="7655" w:type="dxa"/>
          </w:tcPr>
          <w:p w14:paraId="6AD67FD5" w14:textId="77777777" w:rsidR="007E1815" w:rsidRPr="002140D7" w:rsidRDefault="007E1815" w:rsidP="00D819DE">
            <w:pPr>
              <w:spacing w:before="120" w:after="120" w:line="190" w:lineRule="exact"/>
              <w:rPr>
                <w:rFonts w:ascii="Times New Roman" w:hAnsi="Times New Roman" w:cs="Times New Roman"/>
                <w:b/>
                <w:sz w:val="24"/>
              </w:rPr>
            </w:pPr>
            <w:r w:rsidRPr="002140D7">
              <w:rPr>
                <w:rFonts w:ascii="Times New Roman" w:hAnsi="Times New Roman"/>
                <w:b/>
                <w:sz w:val="24"/>
              </w:rPr>
              <w:t>TOTALE DEGLI AFFLUSSI DI CASSA</w:t>
            </w:r>
          </w:p>
          <w:p w14:paraId="41F31061" w14:textId="77777777" w:rsidR="007E1815" w:rsidRPr="002140D7" w:rsidRDefault="007E1815" w:rsidP="00D819DE">
            <w:pPr>
              <w:spacing w:after="120" w:line="288" w:lineRule="exact"/>
              <w:rPr>
                <w:rFonts w:ascii="Times New Roman" w:hAnsi="Times New Roman" w:cs="Times New Roman"/>
                <w:sz w:val="24"/>
              </w:rPr>
            </w:pPr>
            <w:r w:rsidRPr="002140D7">
              <w:rPr>
                <w:rFonts w:ascii="Times New Roman" w:hAnsi="Times New Roman"/>
                <w:sz w:val="24"/>
              </w:rPr>
              <w:t>Gli enti indicano la somma del valore ponderato e non ponderato delle seguenti voci secondo le presenti istruzioni:</w:t>
            </w:r>
          </w:p>
          <w:p w14:paraId="24C838C6" w14:textId="7777777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 17: prestiti garantiti (ad esempio contratti di vendita con patto di riacquisto passivo) di questo modello;</w:t>
            </w:r>
          </w:p>
          <w:p w14:paraId="3036CE1C" w14:textId="7777777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 18: afflussi da esposizioni pienamente in bonis di questo modello;</w:t>
            </w:r>
          </w:p>
          <w:p w14:paraId="418DDB45" w14:textId="7777777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 19: altri afflussi di cassa di questo modello;</w:t>
            </w:r>
          </w:p>
          <w:p w14:paraId="7A21AA66" w14:textId="7777777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meno:</w:t>
            </w:r>
          </w:p>
          <w:p w14:paraId="7892FE11" w14:textId="7777777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lastRenderedPageBreak/>
              <w:t>riga EU-19a: (differenza tra gli afflussi ponderati totali e i deflussi ponderati totali derivanti da operazioni in paesi terzi in cui vigono restrizioni al trasferimento o che sono denominate in valute non convertibili) di questo modello;</w:t>
            </w:r>
          </w:p>
          <w:p w14:paraId="3A29CB7C" w14:textId="77777777" w:rsidR="007E1815" w:rsidRPr="002140D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2140D7">
              <w:rPr>
                <w:rFonts w:ascii="Times New Roman" w:hAnsi="Times New Roman"/>
                <w:sz w:val="24"/>
              </w:rPr>
              <w:t>riga EU-19b: (afflussi in eccesso da un ente creditizio specializzato connesso) di questo modello</w:t>
            </w:r>
          </w:p>
        </w:tc>
      </w:tr>
      <w:tr w:rsidR="007E1815" w:rsidRPr="002140D7" w14:paraId="69EE9490" w14:textId="77777777" w:rsidTr="00D819DE">
        <w:trPr>
          <w:trHeight w:val="316"/>
        </w:trPr>
        <w:tc>
          <w:tcPr>
            <w:tcW w:w="1384" w:type="dxa"/>
          </w:tcPr>
          <w:p w14:paraId="1B1029F7"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lastRenderedPageBreak/>
              <w:t>EU-20a</w:t>
            </w:r>
          </w:p>
        </w:tc>
        <w:tc>
          <w:tcPr>
            <w:tcW w:w="7655" w:type="dxa"/>
          </w:tcPr>
          <w:p w14:paraId="5626B6E1" w14:textId="77777777" w:rsidR="007E1815" w:rsidRPr="002140D7" w:rsidRDefault="007E1815" w:rsidP="00D819DE">
            <w:pPr>
              <w:spacing w:before="120" w:after="120" w:line="190" w:lineRule="exact"/>
              <w:rPr>
                <w:rFonts w:ascii="Times New Roman" w:hAnsi="Times New Roman" w:cs="Times New Roman"/>
                <w:b/>
                <w:sz w:val="24"/>
              </w:rPr>
            </w:pPr>
            <w:r w:rsidRPr="002140D7">
              <w:rPr>
                <w:rFonts w:ascii="Times New Roman" w:hAnsi="Times New Roman"/>
                <w:b/>
                <w:sz w:val="24"/>
              </w:rPr>
              <w:t>Afflussi totalmente esenti</w:t>
            </w:r>
          </w:p>
          <w:p w14:paraId="2642C0E3" w14:textId="431925B5" w:rsidR="007E1815" w:rsidRPr="002140D7" w:rsidRDefault="007E1815" w:rsidP="00D819DE">
            <w:pPr>
              <w:spacing w:after="120"/>
              <w:jc w:val="both"/>
              <w:rPr>
                <w:rFonts w:ascii="Times New Roman" w:hAnsi="Times New Roman" w:cs="Times New Roman"/>
                <w:b/>
                <w:sz w:val="24"/>
              </w:rPr>
            </w:pPr>
            <w:r w:rsidRPr="002140D7">
              <w:rPr>
                <w:rFonts w:ascii="Times New Roman" w:hAnsi="Times New Roman"/>
                <w:sz w:val="24"/>
              </w:rPr>
              <w:t>Gli enti indicano, come valore non ponderato e ponderato, l</w:t>
            </w:r>
            <w:r w:rsidR="0031704F" w:rsidRPr="002140D7">
              <w:rPr>
                <w:rFonts w:ascii="Times New Roman" w:hAnsi="Times New Roman"/>
                <w:sz w:val="24"/>
              </w:rPr>
              <w:t>'</w:t>
            </w:r>
            <w:r w:rsidRPr="002140D7">
              <w:rPr>
                <w:rFonts w:ascii="Times New Roman" w:hAnsi="Times New Roman"/>
                <w:sz w:val="24"/>
              </w:rPr>
              <w:t>importo totale delle attività/degli importi dovuti/dell</w:t>
            </w:r>
            <w:r w:rsidR="0031704F" w:rsidRPr="002140D7">
              <w:rPr>
                <w:rFonts w:ascii="Times New Roman" w:hAnsi="Times New Roman"/>
                <w:sz w:val="24"/>
              </w:rPr>
              <w:t>'</w:t>
            </w:r>
            <w:r w:rsidRPr="002140D7">
              <w:rPr>
                <w:rFonts w:ascii="Times New Roman" w:hAnsi="Times New Roman"/>
                <w:sz w:val="24"/>
              </w:rPr>
              <w:t>importo massimo utilizzabile e i loro pertinenti afflussi totali, rispettivamente, esenti dal massimale degli afflussi conformemente agli articoli 32, 33 e 34 del regolamento delegato (UE) 2015/61 della Commissione.</w:t>
            </w:r>
          </w:p>
        </w:tc>
      </w:tr>
      <w:tr w:rsidR="007E1815" w:rsidRPr="002140D7" w14:paraId="00E79BE0" w14:textId="77777777" w:rsidTr="00D819DE">
        <w:trPr>
          <w:trHeight w:val="316"/>
        </w:trPr>
        <w:tc>
          <w:tcPr>
            <w:tcW w:w="1384" w:type="dxa"/>
          </w:tcPr>
          <w:p w14:paraId="00C638D3"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EU-20b</w:t>
            </w:r>
          </w:p>
        </w:tc>
        <w:tc>
          <w:tcPr>
            <w:tcW w:w="7655" w:type="dxa"/>
          </w:tcPr>
          <w:p w14:paraId="4F7EA854" w14:textId="77777777" w:rsidR="007E1815" w:rsidRPr="002140D7" w:rsidRDefault="007E1815" w:rsidP="00D819DE">
            <w:pPr>
              <w:spacing w:before="120" w:after="120" w:line="190" w:lineRule="exact"/>
              <w:rPr>
                <w:rFonts w:ascii="Times New Roman" w:hAnsi="Times New Roman" w:cs="Times New Roman"/>
                <w:b/>
                <w:sz w:val="24"/>
              </w:rPr>
            </w:pPr>
            <w:r w:rsidRPr="002140D7">
              <w:rPr>
                <w:rFonts w:ascii="Times New Roman" w:hAnsi="Times New Roman"/>
                <w:b/>
                <w:sz w:val="24"/>
              </w:rPr>
              <w:t>Afflussi soggetti al massimale del 90 %</w:t>
            </w:r>
          </w:p>
          <w:p w14:paraId="490C88C4" w14:textId="40A09D82" w:rsidR="007E1815" w:rsidRPr="002140D7" w:rsidRDefault="007E1815" w:rsidP="00D819DE">
            <w:pPr>
              <w:spacing w:after="120"/>
              <w:jc w:val="both"/>
              <w:rPr>
                <w:rFonts w:ascii="Times New Roman" w:hAnsi="Times New Roman" w:cs="Times New Roman"/>
                <w:b/>
                <w:sz w:val="24"/>
              </w:rPr>
            </w:pPr>
            <w:r w:rsidRPr="002140D7">
              <w:rPr>
                <w:rFonts w:ascii="Times New Roman" w:hAnsi="Times New Roman"/>
                <w:sz w:val="24"/>
              </w:rPr>
              <w:t>Gli enti indicano, come valore non ponderato e ponderato, l</w:t>
            </w:r>
            <w:r w:rsidR="0031704F" w:rsidRPr="002140D7">
              <w:rPr>
                <w:rFonts w:ascii="Times New Roman" w:hAnsi="Times New Roman"/>
                <w:sz w:val="24"/>
              </w:rPr>
              <w:t>'</w:t>
            </w:r>
            <w:r w:rsidRPr="002140D7">
              <w:rPr>
                <w:rFonts w:ascii="Times New Roman" w:hAnsi="Times New Roman"/>
                <w:sz w:val="24"/>
              </w:rPr>
              <w:t>importo totale delle attività/degli importi dovuti/dell</w:t>
            </w:r>
            <w:r w:rsidR="0031704F" w:rsidRPr="002140D7">
              <w:rPr>
                <w:rFonts w:ascii="Times New Roman" w:hAnsi="Times New Roman"/>
                <w:sz w:val="24"/>
              </w:rPr>
              <w:t>'</w:t>
            </w:r>
            <w:r w:rsidRPr="002140D7">
              <w:rPr>
                <w:rFonts w:ascii="Times New Roman" w:hAnsi="Times New Roman"/>
                <w:sz w:val="24"/>
              </w:rPr>
              <w:t>importo massimo utilizzabile e i loro pertinenti afflussi totali, rispettivamente, soggetti al massimale del 90 % degli afflussi conformemente agli articoli 32, 33 e 34 del regolamento delegato (UE) 2015/61 della Commissione.</w:t>
            </w:r>
          </w:p>
        </w:tc>
      </w:tr>
      <w:tr w:rsidR="007E1815" w:rsidRPr="002140D7" w14:paraId="7677F56D" w14:textId="77777777" w:rsidTr="00D819DE">
        <w:trPr>
          <w:trHeight w:val="316"/>
        </w:trPr>
        <w:tc>
          <w:tcPr>
            <w:tcW w:w="1384" w:type="dxa"/>
          </w:tcPr>
          <w:p w14:paraId="50539D97"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EU-20c</w:t>
            </w:r>
          </w:p>
        </w:tc>
        <w:tc>
          <w:tcPr>
            <w:tcW w:w="7655" w:type="dxa"/>
          </w:tcPr>
          <w:p w14:paraId="32D1930F" w14:textId="77777777" w:rsidR="007E1815" w:rsidRPr="002140D7" w:rsidRDefault="007E1815" w:rsidP="00D819DE">
            <w:pPr>
              <w:spacing w:before="120" w:after="120" w:line="190" w:lineRule="exact"/>
              <w:rPr>
                <w:rFonts w:ascii="Times New Roman" w:hAnsi="Times New Roman" w:cs="Times New Roman"/>
                <w:b/>
                <w:sz w:val="24"/>
              </w:rPr>
            </w:pPr>
            <w:r w:rsidRPr="002140D7">
              <w:rPr>
                <w:rFonts w:ascii="Times New Roman" w:hAnsi="Times New Roman"/>
                <w:b/>
                <w:sz w:val="24"/>
              </w:rPr>
              <w:t>Afflussi soggetti al massimale del 75 %</w:t>
            </w:r>
          </w:p>
          <w:p w14:paraId="2D03664A" w14:textId="4584551A" w:rsidR="007E1815" w:rsidRPr="002140D7" w:rsidRDefault="007E1815" w:rsidP="00D819DE">
            <w:pPr>
              <w:spacing w:after="120" w:line="288" w:lineRule="exact"/>
              <w:jc w:val="both"/>
              <w:rPr>
                <w:rFonts w:ascii="Times New Roman" w:hAnsi="Times New Roman" w:cs="Times New Roman"/>
                <w:b/>
                <w:sz w:val="24"/>
              </w:rPr>
            </w:pPr>
            <w:r w:rsidRPr="002140D7">
              <w:rPr>
                <w:rFonts w:ascii="Times New Roman" w:hAnsi="Times New Roman"/>
                <w:sz w:val="24"/>
              </w:rPr>
              <w:t>Gli enti indicano, come valore non ponderato e ponderato, l</w:t>
            </w:r>
            <w:r w:rsidR="0031704F" w:rsidRPr="002140D7">
              <w:rPr>
                <w:rFonts w:ascii="Times New Roman" w:hAnsi="Times New Roman"/>
                <w:sz w:val="24"/>
              </w:rPr>
              <w:t>'</w:t>
            </w:r>
            <w:r w:rsidRPr="002140D7">
              <w:rPr>
                <w:rFonts w:ascii="Times New Roman" w:hAnsi="Times New Roman"/>
                <w:sz w:val="24"/>
              </w:rPr>
              <w:t>importo totale delle attività/degli importi dovuti/dell</w:t>
            </w:r>
            <w:r w:rsidR="0031704F" w:rsidRPr="002140D7">
              <w:rPr>
                <w:rFonts w:ascii="Times New Roman" w:hAnsi="Times New Roman"/>
                <w:sz w:val="24"/>
              </w:rPr>
              <w:t>'</w:t>
            </w:r>
            <w:r w:rsidRPr="002140D7">
              <w:rPr>
                <w:rFonts w:ascii="Times New Roman" w:hAnsi="Times New Roman"/>
                <w:sz w:val="24"/>
              </w:rPr>
              <w:t>importo massimo utilizzabile e i loro pertinenti afflussi totali, rispettivamente, soggetti al massimale del 75 % degli afflussi conformemente agli articoli 32, 33 e 34 del regolamento delegato (UE) 2015/61 della Commissione.</w:t>
            </w:r>
          </w:p>
        </w:tc>
      </w:tr>
      <w:tr w:rsidR="007E1815" w:rsidRPr="002140D7" w14:paraId="520F14A1" w14:textId="77777777" w:rsidTr="00D819DE">
        <w:trPr>
          <w:trHeight w:val="316"/>
        </w:trPr>
        <w:tc>
          <w:tcPr>
            <w:tcW w:w="1384" w:type="dxa"/>
          </w:tcPr>
          <w:p w14:paraId="730F60EA"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EU-21</w:t>
            </w:r>
          </w:p>
        </w:tc>
        <w:tc>
          <w:tcPr>
            <w:tcW w:w="7655" w:type="dxa"/>
          </w:tcPr>
          <w:p w14:paraId="3005D6D6"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RISERVA DI LIQUIDITÀ</w:t>
            </w:r>
          </w:p>
          <w:p w14:paraId="6B0FA3E2" w14:textId="484CAB54" w:rsidR="007E1815" w:rsidRPr="002140D7" w:rsidRDefault="007E1815" w:rsidP="00D819DE">
            <w:pPr>
              <w:autoSpaceDE w:val="0"/>
              <w:autoSpaceDN w:val="0"/>
              <w:adjustRightInd w:val="0"/>
              <w:spacing w:after="120"/>
              <w:jc w:val="both"/>
              <w:rPr>
                <w:rFonts w:ascii="Times New Roman" w:hAnsi="Times New Roman" w:cs="Times New Roman"/>
                <w:b/>
                <w:sz w:val="24"/>
              </w:rPr>
            </w:pPr>
            <w:r w:rsidRPr="002140D7">
              <w:rPr>
                <w:rFonts w:ascii="Times New Roman" w:hAnsi="Times New Roman"/>
                <w:sz w:val="24"/>
              </w:rPr>
              <w:t>Gli enti pubblicano come valore corretto il valore della loro riserva di liquidità calcolata conformemente all</w:t>
            </w:r>
            <w:r w:rsidR="0031704F" w:rsidRPr="002140D7">
              <w:rPr>
                <w:rFonts w:ascii="Times New Roman" w:hAnsi="Times New Roman"/>
                <w:sz w:val="24"/>
              </w:rPr>
              <w:t>'</w:t>
            </w:r>
            <w:r w:rsidRPr="002140D7">
              <w:rPr>
                <w:rFonts w:ascii="Times New Roman" w:hAnsi="Times New Roman"/>
                <w:sz w:val="24"/>
              </w:rPr>
              <w:t>allegato</w:t>
            </w:r>
            <w:r w:rsidR="00236BAE" w:rsidRPr="002140D7">
              <w:rPr>
                <w:rFonts w:ascii="Times New Roman" w:hAnsi="Times New Roman"/>
                <w:sz w:val="24"/>
              </w:rPr>
              <w:t> </w:t>
            </w:r>
            <w:r w:rsidRPr="002140D7">
              <w:rPr>
                <w:rFonts w:ascii="Times New Roman" w:hAnsi="Times New Roman"/>
                <w:sz w:val="24"/>
              </w:rPr>
              <w:t xml:space="preserve">I </w:t>
            </w:r>
            <w:r w:rsidR="0031704F" w:rsidRPr="002140D7">
              <w:rPr>
                <w:rFonts w:ascii="Times New Roman" w:hAnsi="Times New Roman"/>
                <w:sz w:val="24"/>
              </w:rPr>
              <w:t>"</w:t>
            </w:r>
            <w:r w:rsidRPr="002140D7">
              <w:rPr>
                <w:rFonts w:ascii="Times New Roman" w:hAnsi="Times New Roman"/>
                <w:sz w:val="24"/>
              </w:rPr>
              <w:t>Formule per determinare la composizione della riserva di liquidità</w:t>
            </w:r>
            <w:r w:rsidR="0031704F" w:rsidRPr="002140D7">
              <w:rPr>
                <w:rFonts w:ascii="Times New Roman" w:hAnsi="Times New Roman"/>
                <w:sz w:val="24"/>
              </w:rPr>
              <w:t>"</w:t>
            </w:r>
            <w:r w:rsidRPr="002140D7">
              <w:rPr>
                <w:rFonts w:ascii="Times New Roman" w:hAnsi="Times New Roman"/>
                <w:sz w:val="24"/>
              </w:rPr>
              <w:t xml:space="preserve"> del regolamento delegato (UE) 2015/61 della Commissione.</w:t>
            </w:r>
          </w:p>
        </w:tc>
      </w:tr>
      <w:tr w:rsidR="007E1815" w:rsidRPr="002140D7" w14:paraId="1BE8238A" w14:textId="77777777" w:rsidTr="00D819DE">
        <w:trPr>
          <w:trHeight w:val="316"/>
        </w:trPr>
        <w:tc>
          <w:tcPr>
            <w:tcW w:w="1384" w:type="dxa"/>
          </w:tcPr>
          <w:p w14:paraId="27974453"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22</w:t>
            </w:r>
          </w:p>
        </w:tc>
        <w:tc>
          <w:tcPr>
            <w:tcW w:w="7655" w:type="dxa"/>
          </w:tcPr>
          <w:p w14:paraId="7124E3D7" w14:textId="77777777" w:rsidR="007E1815" w:rsidRPr="002140D7" w:rsidRDefault="007E1815" w:rsidP="00D819DE">
            <w:pPr>
              <w:spacing w:before="120" w:after="120" w:line="190" w:lineRule="exact"/>
              <w:rPr>
                <w:rFonts w:ascii="Times New Roman" w:hAnsi="Times New Roman"/>
                <w:sz w:val="24"/>
              </w:rPr>
            </w:pPr>
            <w:r w:rsidRPr="002140D7">
              <w:rPr>
                <w:rFonts w:ascii="Times New Roman" w:hAnsi="Times New Roman"/>
                <w:b/>
                <w:sz w:val="24"/>
              </w:rPr>
              <w:t>TOTALE DEI DEFLUSSI DI CASSA NETTI</w:t>
            </w:r>
          </w:p>
          <w:p w14:paraId="2F459815" w14:textId="77777777"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Gli enti indicano il valore corretto dei deflussi netti di liquidità che è pari ai deflussi totali meno la riduzione per gli afflussi totalmente esenti meno la riduzione per gli afflussi soggetti al massimale del 90 % meno la riduzione per gli afflussi soggetti al massimale del 75 %.</w:t>
            </w:r>
          </w:p>
        </w:tc>
      </w:tr>
      <w:tr w:rsidR="007E1815" w:rsidRPr="002140D7" w14:paraId="2D61E9FD" w14:textId="77777777" w:rsidTr="00D819DE">
        <w:trPr>
          <w:trHeight w:val="316"/>
        </w:trPr>
        <w:tc>
          <w:tcPr>
            <w:tcW w:w="1384" w:type="dxa"/>
          </w:tcPr>
          <w:p w14:paraId="33A82AAB" w14:textId="77777777" w:rsidR="007E1815" w:rsidRPr="002140D7" w:rsidRDefault="007E1815" w:rsidP="00D819DE">
            <w:pPr>
              <w:autoSpaceDE w:val="0"/>
              <w:autoSpaceDN w:val="0"/>
              <w:adjustRightInd w:val="0"/>
              <w:spacing w:after="120"/>
              <w:jc w:val="center"/>
              <w:rPr>
                <w:rFonts w:ascii="Times New Roman" w:eastAsia="Times New Roman" w:hAnsi="Times New Roman" w:cs="Times New Roman"/>
                <w:sz w:val="24"/>
              </w:rPr>
            </w:pPr>
            <w:r w:rsidRPr="002140D7">
              <w:rPr>
                <w:rFonts w:ascii="Times New Roman" w:hAnsi="Times New Roman"/>
                <w:sz w:val="24"/>
              </w:rPr>
              <w:t>23</w:t>
            </w:r>
          </w:p>
        </w:tc>
        <w:tc>
          <w:tcPr>
            <w:tcW w:w="7655" w:type="dxa"/>
          </w:tcPr>
          <w:p w14:paraId="5579AB2D" w14:textId="77777777" w:rsidR="007E1815" w:rsidRPr="002140D7" w:rsidRDefault="007E1815" w:rsidP="00D819DE">
            <w:pPr>
              <w:autoSpaceDE w:val="0"/>
              <w:autoSpaceDN w:val="0"/>
              <w:adjustRightInd w:val="0"/>
              <w:spacing w:before="120" w:after="120"/>
              <w:jc w:val="both"/>
              <w:rPr>
                <w:rFonts w:ascii="Times New Roman" w:hAnsi="Times New Roman"/>
                <w:sz w:val="24"/>
              </w:rPr>
            </w:pPr>
            <w:r w:rsidRPr="002140D7">
              <w:rPr>
                <w:rFonts w:ascii="Times New Roman" w:hAnsi="Times New Roman"/>
                <w:b/>
                <w:sz w:val="24"/>
              </w:rPr>
              <w:t>COEFFICIENTE DI COPERTURA DELLA LIQUIDITÀ (%)</w:t>
            </w:r>
          </w:p>
          <w:p w14:paraId="37A8BB02" w14:textId="0B3E8D4F"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 xml:space="preserve">Gli enti indicano come valore corretto la percentuale della voce </w:t>
            </w:r>
            <w:r w:rsidR="0031704F" w:rsidRPr="002140D7">
              <w:rPr>
                <w:rFonts w:ascii="Times New Roman" w:hAnsi="Times New Roman"/>
                <w:sz w:val="24"/>
              </w:rPr>
              <w:t>"</w:t>
            </w:r>
            <w:r w:rsidRPr="002140D7">
              <w:rPr>
                <w:rFonts w:ascii="Times New Roman" w:hAnsi="Times New Roman"/>
                <w:sz w:val="24"/>
              </w:rPr>
              <w:t>coefficiente di copertura della liquidità (%)</w:t>
            </w:r>
            <w:r w:rsidR="0031704F" w:rsidRPr="002140D7">
              <w:rPr>
                <w:rFonts w:ascii="Times New Roman" w:hAnsi="Times New Roman"/>
                <w:sz w:val="24"/>
              </w:rPr>
              <w:t>"</w:t>
            </w:r>
            <w:r w:rsidRPr="002140D7">
              <w:rPr>
                <w:rFonts w:ascii="Times New Roman" w:hAnsi="Times New Roman"/>
                <w:sz w:val="24"/>
              </w:rPr>
              <w:t xml:space="preserve"> come definito all</w:t>
            </w:r>
            <w:r w:rsidR="0031704F" w:rsidRPr="002140D7">
              <w:rPr>
                <w:rFonts w:ascii="Times New Roman" w:hAnsi="Times New Roman"/>
                <w:sz w:val="24"/>
              </w:rPr>
              <w:t>'</w:t>
            </w:r>
            <w:r w:rsidRPr="002140D7">
              <w:rPr>
                <w:rFonts w:ascii="Times New Roman" w:hAnsi="Times New Roman"/>
                <w:sz w:val="24"/>
              </w:rPr>
              <w:t>articolo 4, paragrafo 1, del regolamento delegato (UE) 2015/61.</w:t>
            </w:r>
          </w:p>
          <w:p w14:paraId="5F1B1783" w14:textId="08C6077D" w:rsidR="007E1815" w:rsidRPr="002140D7" w:rsidRDefault="007E1815" w:rsidP="00D819DE">
            <w:pPr>
              <w:autoSpaceDE w:val="0"/>
              <w:autoSpaceDN w:val="0"/>
              <w:adjustRightInd w:val="0"/>
              <w:spacing w:after="120"/>
              <w:jc w:val="both"/>
              <w:rPr>
                <w:rFonts w:ascii="Times New Roman" w:hAnsi="Times New Roman" w:cs="Times New Roman"/>
                <w:sz w:val="24"/>
              </w:rPr>
            </w:pPr>
            <w:r w:rsidRPr="002140D7">
              <w:rPr>
                <w:rFonts w:ascii="Times New Roman" w:hAnsi="Times New Roman"/>
                <w:sz w:val="24"/>
              </w:rPr>
              <w:t>Il requisito di copertura della liquidità è pari al rapporto tra la riserva di liquidità dell</w:t>
            </w:r>
            <w:r w:rsidR="0031704F" w:rsidRPr="002140D7">
              <w:rPr>
                <w:rFonts w:ascii="Times New Roman" w:hAnsi="Times New Roman"/>
                <w:sz w:val="24"/>
              </w:rPr>
              <w:t>'</w:t>
            </w:r>
            <w:r w:rsidRPr="002140D7">
              <w:rPr>
                <w:rFonts w:ascii="Times New Roman" w:hAnsi="Times New Roman"/>
                <w:sz w:val="24"/>
              </w:rPr>
              <w:t>ente creditizio e i suoi deflussi netti di liquidità nell</w:t>
            </w:r>
            <w:r w:rsidR="0031704F" w:rsidRPr="002140D7">
              <w:rPr>
                <w:rFonts w:ascii="Times New Roman" w:hAnsi="Times New Roman"/>
                <w:sz w:val="24"/>
              </w:rPr>
              <w:t>'</w:t>
            </w:r>
            <w:r w:rsidRPr="002140D7">
              <w:rPr>
                <w:rFonts w:ascii="Times New Roman" w:hAnsi="Times New Roman"/>
                <w:sz w:val="24"/>
              </w:rPr>
              <w:t>arco di un periodo di stress di 30 giorni di calendario ed è espresso in percentuale.</w:t>
            </w:r>
          </w:p>
        </w:tc>
      </w:tr>
    </w:tbl>
    <w:p w14:paraId="205A49E2" w14:textId="77777777" w:rsidR="007E1815" w:rsidRPr="002140D7" w:rsidRDefault="007E1815" w:rsidP="007E1815">
      <w:pPr>
        <w:rPr>
          <w:rFonts w:ascii="Times New Roman" w:hAnsi="Times New Roman" w:cs="Times New Roman"/>
          <w:sz w:val="24"/>
        </w:rPr>
      </w:pPr>
    </w:p>
    <w:p w14:paraId="42D114B4" w14:textId="2F0D14DA" w:rsidR="007E1815" w:rsidRPr="002140D7" w:rsidRDefault="007E1815" w:rsidP="007E1815">
      <w:pPr>
        <w:pStyle w:val="Titlelevel2"/>
        <w:spacing w:before="120" w:after="120"/>
        <w:rPr>
          <w:rFonts w:ascii="Times New Roman" w:hAnsi="Times New Roman"/>
          <w:b/>
          <w:color w:val="auto"/>
          <w:sz w:val="24"/>
        </w:rPr>
      </w:pPr>
      <w:r w:rsidRPr="002140D7">
        <w:rPr>
          <w:rFonts w:ascii="Times New Roman" w:hAnsi="Times New Roman"/>
          <w:b/>
          <w:color w:val="auto"/>
          <w:sz w:val="24"/>
        </w:rPr>
        <w:lastRenderedPageBreak/>
        <w:t>Tabella EU LIQB: informazioni qualitative sull</w:t>
      </w:r>
      <w:r w:rsidR="0031704F" w:rsidRPr="002140D7">
        <w:rPr>
          <w:rFonts w:ascii="Times New Roman" w:hAnsi="Times New Roman"/>
          <w:b/>
          <w:color w:val="auto"/>
          <w:sz w:val="24"/>
        </w:rPr>
        <w:t>'</w:t>
      </w:r>
      <w:r w:rsidRPr="002140D7">
        <w:rPr>
          <w:rFonts w:ascii="Times New Roman" w:hAnsi="Times New Roman"/>
          <w:b/>
          <w:color w:val="auto"/>
          <w:sz w:val="24"/>
        </w:rPr>
        <w:t>LCR, ad integrazione del modello EU</w:t>
      </w:r>
      <w:r w:rsidR="00236BAE" w:rsidRPr="002140D7">
        <w:rPr>
          <w:rFonts w:ascii="Times New Roman" w:hAnsi="Times New Roman"/>
          <w:b/>
          <w:color w:val="auto"/>
          <w:sz w:val="24"/>
        </w:rPr>
        <w:t> </w:t>
      </w:r>
      <w:r w:rsidRPr="002140D7">
        <w:rPr>
          <w:rFonts w:ascii="Times New Roman" w:hAnsi="Times New Roman"/>
          <w:b/>
          <w:color w:val="auto"/>
          <w:sz w:val="24"/>
        </w:rPr>
        <w:t xml:space="preserve">LIQ1 </w:t>
      </w:r>
    </w:p>
    <w:p w14:paraId="6A1420AB" w14:textId="3D5EDDFB"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Gli enti soggetti alla parte sei del CRR pubblicano le informazioni di cui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451 bis, paragrafo 2, del CRR seguendo le istruzioni fornite di seguito nel presente allegato per compilare la tabella EU LIQB di cui all</w:t>
      </w:r>
      <w:r w:rsidR="0031704F" w:rsidRPr="002140D7">
        <w:rPr>
          <w:rFonts w:ascii="Times New Roman" w:hAnsi="Times New Roman"/>
          <w:sz w:val="24"/>
        </w:rPr>
        <w:t>'</w:t>
      </w:r>
      <w:r w:rsidRPr="002140D7">
        <w:rPr>
          <w:rFonts w:ascii="Times New Roman" w:hAnsi="Times New Roman"/>
          <w:sz w:val="24"/>
        </w:rPr>
        <w:t>allegato XIII del presente regolamento di esecuzione.</w:t>
      </w:r>
    </w:p>
    <w:p w14:paraId="213633D0" w14:textId="6D008B79"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La tabella EU LIQB fornisce informazioni qualitative sugli elementi inclusi nel modello EU LIQ1 sulle informazioni quantitative relative all</w:t>
      </w:r>
      <w:r w:rsidR="0031704F" w:rsidRPr="002140D7">
        <w:rPr>
          <w:rFonts w:ascii="Times New Roman" w:hAnsi="Times New Roman"/>
          <w:sz w:val="24"/>
        </w:rPr>
        <w:t>'</w:t>
      </w:r>
      <w:r w:rsidRPr="002140D7">
        <w:rPr>
          <w:rFonts w:ascii="Times New Roman" w:hAnsi="Times New Roman"/>
          <w:sz w:val="24"/>
        </w:rPr>
        <w:t>LCR.</w:t>
      </w:r>
    </w:p>
    <w:p w14:paraId="376E776C" w14:textId="7BF6E26F"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 xml:space="preserve">Gli enti soggetti alla parte sei del CRR tengono presente che le caselle di testo in questa tabella sono caselle a testo libero e, ove possibile, vi includono gli elementi conformemente alla loro valutazione nel contesto della definizione del coefficiente di copertura della liquidità nel regolamento delegato (UE) 2015/61 della Commissione e delle ulteriori metriche di controllo della liquidità di cui al capo 7 ter del regolamento di esecuzione (UE) </w:t>
      </w:r>
      <w:r w:rsidR="0031704F" w:rsidRPr="002140D7">
        <w:rPr>
          <w:rFonts w:ascii="Times New Roman" w:hAnsi="Times New Roman"/>
          <w:sz w:val="24"/>
        </w:rPr>
        <w:t>n. </w:t>
      </w:r>
      <w:r w:rsidRPr="002140D7">
        <w:rPr>
          <w:rFonts w:ascii="Times New Roman" w:hAnsi="Times New Roman"/>
          <w:sz w:val="24"/>
        </w:rPr>
        <w:t>680/2014 della Commissione</w:t>
      </w:r>
      <w:r w:rsidRPr="002140D7">
        <w:rPr>
          <w:rStyle w:val="FootnoteReference"/>
          <w:rFonts w:ascii="Times New Roman" w:hAnsi="Times New Roman" w:cs="Times New Roman"/>
          <w:sz w:val="24"/>
        </w:rPr>
        <w:footnoteReference w:id="6"/>
      </w:r>
      <w:r w:rsidRPr="002140D7">
        <w:rPr>
          <w:rFonts w:ascii="Times New Roman" w:hAnsi="Times New Roman"/>
          <w:sz w:val="24"/>
        </w:rPr>
        <w:t>.</w:t>
      </w:r>
    </w:p>
    <w:p w14:paraId="23E8414E" w14:textId="43C2A781" w:rsidR="007E1815" w:rsidRPr="002140D7" w:rsidRDefault="007E1815" w:rsidP="007E1815">
      <w:pPr>
        <w:pStyle w:val="ListNumber"/>
        <w:numPr>
          <w:ilvl w:val="0"/>
          <w:numId w:val="0"/>
        </w:numPr>
        <w:ind w:left="357" w:hanging="357"/>
        <w:jc w:val="both"/>
        <w:rPr>
          <w:rFonts w:ascii="Times New Roman" w:hAnsi="Times New Roman"/>
          <w:b/>
          <w:sz w:val="24"/>
        </w:rPr>
      </w:pPr>
      <w:r w:rsidRPr="002140D7">
        <w:rPr>
          <w:rFonts w:ascii="Times New Roman" w:hAnsi="Times New Roman"/>
          <w:b/>
          <w:sz w:val="24"/>
        </w:rPr>
        <w:t>Istruzioni sul modello EU LIQ2 sull</w:t>
      </w:r>
      <w:r w:rsidR="0031704F" w:rsidRPr="002140D7">
        <w:rPr>
          <w:rFonts w:ascii="Times New Roman" w:hAnsi="Times New Roman"/>
          <w:b/>
          <w:sz w:val="24"/>
        </w:rPr>
        <w:t>'</w:t>
      </w:r>
      <w:r w:rsidRPr="002140D7">
        <w:rPr>
          <w:rFonts w:ascii="Times New Roman" w:hAnsi="Times New Roman"/>
          <w:b/>
          <w:sz w:val="24"/>
        </w:rPr>
        <w:t>informativa relativa al coefficiente netto di finanziamento stabile (NSFR)</w:t>
      </w:r>
    </w:p>
    <w:p w14:paraId="201E035D" w14:textId="4886F985"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Gli enti soggetti alla parte sei del CRR pubblicano le informazioni incluse nel modello EU LIQ2 in applicazione dell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451</w:t>
      </w:r>
      <w:r w:rsidR="00236BAE" w:rsidRPr="002140D7">
        <w:rPr>
          <w:rFonts w:ascii="Times New Roman" w:hAnsi="Times New Roman"/>
          <w:sz w:val="24"/>
        </w:rPr>
        <w:t> </w:t>
      </w:r>
      <w:r w:rsidRPr="002140D7">
        <w:rPr>
          <w:rFonts w:ascii="Times New Roman" w:hAnsi="Times New Roman"/>
          <w:sz w:val="24"/>
        </w:rPr>
        <w:t>bis, paragrafo</w:t>
      </w:r>
      <w:r w:rsidR="00236BAE" w:rsidRPr="002140D7">
        <w:rPr>
          <w:rFonts w:ascii="Times New Roman" w:hAnsi="Times New Roman"/>
          <w:sz w:val="24"/>
        </w:rPr>
        <w:t> </w:t>
      </w:r>
      <w:r w:rsidRPr="002140D7">
        <w:rPr>
          <w:rFonts w:ascii="Times New Roman" w:hAnsi="Times New Roman"/>
          <w:sz w:val="24"/>
        </w:rPr>
        <w:t>3, del CRR conformemente alle istruzioni contenute nel presente allegato. Sono pubblicati i dati di fine trimestre per ciascun trimestre del pertinente periodo di informativa. Per esempio, l</w:t>
      </w:r>
      <w:r w:rsidR="0031704F" w:rsidRPr="002140D7">
        <w:rPr>
          <w:rFonts w:ascii="Times New Roman" w:hAnsi="Times New Roman"/>
          <w:sz w:val="24"/>
        </w:rPr>
        <w:t>'</w:t>
      </w:r>
      <w:r w:rsidRPr="002140D7">
        <w:rPr>
          <w:rFonts w:ascii="Times New Roman" w:hAnsi="Times New Roman"/>
          <w:sz w:val="24"/>
        </w:rPr>
        <w:t>informativa annuale comprende quattro serie di dati che coprono l</w:t>
      </w:r>
      <w:r w:rsidR="0031704F" w:rsidRPr="002140D7">
        <w:rPr>
          <w:rFonts w:ascii="Times New Roman" w:hAnsi="Times New Roman"/>
          <w:sz w:val="24"/>
        </w:rPr>
        <w:t>'</w:t>
      </w:r>
      <w:r w:rsidRPr="002140D7">
        <w:rPr>
          <w:rFonts w:ascii="Times New Roman" w:hAnsi="Times New Roman"/>
          <w:sz w:val="24"/>
        </w:rPr>
        <w:t xml:space="preserve">ultimo trimestre e i tre trimestri precedenti. </w:t>
      </w:r>
    </w:p>
    <w:p w14:paraId="3A73B8D7" w14:textId="32297CD3"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Le informazioni richieste nel modello EU LIQ2 comprendono tutte le attività, le passività e gli elementi fuori bilancio indipendentemente dalla valuta in cui sono denominati e sono indicati nella valuta utilizzata per le segnalazioni ai sensi dell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411, paragrafo 15, del CRR.</w:t>
      </w:r>
    </w:p>
    <w:p w14:paraId="0486D079" w14:textId="69277DD9"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Al fine di evitare doppi conteggi, gli enti non indicano le attività o le passività associate a garanzie reali fornite o ricevute come margine di variazione conformemente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428 duodecies, paragrafo</w:t>
      </w:r>
      <w:r w:rsidR="00236BAE" w:rsidRPr="002140D7">
        <w:rPr>
          <w:rFonts w:ascii="Times New Roman" w:hAnsi="Times New Roman"/>
          <w:sz w:val="24"/>
        </w:rPr>
        <w:t> </w:t>
      </w:r>
      <w:r w:rsidRPr="002140D7">
        <w:rPr>
          <w:rFonts w:ascii="Times New Roman" w:hAnsi="Times New Roman"/>
          <w:sz w:val="24"/>
        </w:rPr>
        <w:t>4, e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428 quintricies, paragrafo</w:t>
      </w:r>
      <w:r w:rsidR="00236BAE" w:rsidRPr="002140D7">
        <w:rPr>
          <w:rFonts w:ascii="Times New Roman" w:hAnsi="Times New Roman"/>
          <w:sz w:val="24"/>
        </w:rPr>
        <w:t> </w:t>
      </w:r>
      <w:r w:rsidRPr="002140D7">
        <w:rPr>
          <w:rFonts w:ascii="Times New Roman" w:hAnsi="Times New Roman"/>
          <w:sz w:val="24"/>
        </w:rPr>
        <w:t>2, del CRR, come margine iniziale e come contributo al fondo di garanzia di una CCP conformemente all</w:t>
      </w:r>
      <w:r w:rsidR="0031704F" w:rsidRPr="002140D7">
        <w:rPr>
          <w:rFonts w:ascii="Times New Roman" w:hAnsi="Times New Roman"/>
          <w:sz w:val="24"/>
        </w:rPr>
        <w:t>'</w:t>
      </w:r>
      <w:r w:rsidRPr="002140D7">
        <w:rPr>
          <w:rFonts w:ascii="Times New Roman" w:hAnsi="Times New Roman"/>
          <w:sz w:val="24"/>
        </w:rPr>
        <w:t>articolo 428 quatertricies, lettere a) e b), del CRR.</w:t>
      </w:r>
    </w:p>
    <w:p w14:paraId="42F8668F" w14:textId="1BC640B4"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I depositi mantenuti nel contesto di un sistema di tutela istituzionale o di una rete cooperativa che sono considerati attività liquide sono indicati come tali. Gli altri elementi all</w:t>
      </w:r>
      <w:r w:rsidR="0031704F" w:rsidRPr="002140D7">
        <w:rPr>
          <w:rFonts w:ascii="Times New Roman" w:hAnsi="Times New Roman"/>
          <w:sz w:val="24"/>
        </w:rPr>
        <w:t>'</w:t>
      </w:r>
      <w:r w:rsidRPr="002140D7">
        <w:rPr>
          <w:rFonts w:ascii="Times New Roman" w:hAnsi="Times New Roman"/>
          <w:sz w:val="24"/>
        </w:rPr>
        <w:t>interno di un gruppo o di un sistema di tutela istituzionale sono indicati nelle pertinenti categorie generali nel modello relativo al finanziamento stabile richiesto o disponibile.</w:t>
      </w:r>
    </w:p>
    <w:p w14:paraId="4E83430E" w14:textId="2989D507"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 xml:space="preserve">Gli enti indicano sempre i valori contabili come </w:t>
      </w:r>
      <w:r w:rsidR="0031704F" w:rsidRPr="002140D7">
        <w:rPr>
          <w:rFonts w:ascii="Times New Roman" w:hAnsi="Times New Roman"/>
          <w:sz w:val="24"/>
        </w:rPr>
        <w:t>"</w:t>
      </w:r>
      <w:r w:rsidRPr="002140D7">
        <w:rPr>
          <w:rFonts w:ascii="Times New Roman" w:hAnsi="Times New Roman"/>
          <w:sz w:val="24"/>
        </w:rPr>
        <w:t>valore non ponderato per durata residua</w:t>
      </w:r>
      <w:r w:rsidR="0031704F" w:rsidRPr="002140D7">
        <w:rPr>
          <w:rFonts w:ascii="Times New Roman" w:hAnsi="Times New Roman"/>
          <w:sz w:val="24"/>
        </w:rPr>
        <w:t>"</w:t>
      </w:r>
      <w:r w:rsidRPr="002140D7">
        <w:rPr>
          <w:rFonts w:ascii="Times New Roman" w:hAnsi="Times New Roman"/>
          <w:sz w:val="24"/>
        </w:rPr>
        <w:t xml:space="preserve"> nelle colonne a, b, c e d del modello, ad eccezione dei casi di contratti derivati per i quali gli enti fanno riferimento al valore equo come specificato nell</w:t>
      </w:r>
      <w:r w:rsidR="0031704F" w:rsidRPr="002140D7">
        <w:rPr>
          <w:rFonts w:ascii="Times New Roman" w:hAnsi="Times New Roman"/>
          <w:sz w:val="24"/>
        </w:rPr>
        <w:t>'</w:t>
      </w:r>
      <w:r w:rsidRPr="002140D7">
        <w:rPr>
          <w:rFonts w:ascii="Times New Roman" w:hAnsi="Times New Roman"/>
          <w:sz w:val="24"/>
        </w:rPr>
        <w:t>articolo 428 quinquies, paragrafo 2, del CRR.</w:t>
      </w:r>
    </w:p>
    <w:p w14:paraId="1CB05863" w14:textId="16C91B3A"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 xml:space="preserve">Gli enti indicano il </w:t>
      </w:r>
      <w:r w:rsidR="0031704F" w:rsidRPr="002140D7">
        <w:rPr>
          <w:rFonts w:ascii="Times New Roman" w:hAnsi="Times New Roman"/>
          <w:sz w:val="24"/>
        </w:rPr>
        <w:t>"</w:t>
      </w:r>
      <w:r w:rsidRPr="002140D7">
        <w:rPr>
          <w:rFonts w:ascii="Times New Roman" w:hAnsi="Times New Roman"/>
          <w:sz w:val="24"/>
        </w:rPr>
        <w:t>valore ponderato</w:t>
      </w:r>
      <w:r w:rsidR="0031704F" w:rsidRPr="002140D7">
        <w:rPr>
          <w:rFonts w:ascii="Times New Roman" w:hAnsi="Times New Roman"/>
          <w:sz w:val="24"/>
        </w:rPr>
        <w:t>"</w:t>
      </w:r>
      <w:r w:rsidRPr="002140D7">
        <w:rPr>
          <w:rFonts w:ascii="Times New Roman" w:hAnsi="Times New Roman"/>
          <w:sz w:val="24"/>
        </w:rPr>
        <w:t xml:space="preserve"> nella colonna e di questo modello. Questo valore rispecchia il valore di cui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428</w:t>
      </w:r>
      <w:r w:rsidR="00236BAE" w:rsidRPr="002140D7">
        <w:rPr>
          <w:rFonts w:ascii="Times New Roman" w:hAnsi="Times New Roman"/>
          <w:sz w:val="24"/>
        </w:rPr>
        <w:t> </w:t>
      </w:r>
      <w:r w:rsidRPr="002140D7">
        <w:rPr>
          <w:rFonts w:ascii="Times New Roman" w:hAnsi="Times New Roman"/>
          <w:sz w:val="24"/>
        </w:rPr>
        <w:t>quater, paragrafo</w:t>
      </w:r>
      <w:r w:rsidR="00236BAE" w:rsidRPr="002140D7">
        <w:rPr>
          <w:rFonts w:ascii="Times New Roman" w:hAnsi="Times New Roman"/>
          <w:sz w:val="24"/>
        </w:rPr>
        <w:t> </w:t>
      </w:r>
      <w:r w:rsidRPr="002140D7">
        <w:rPr>
          <w:rFonts w:ascii="Times New Roman" w:hAnsi="Times New Roman"/>
          <w:sz w:val="24"/>
        </w:rPr>
        <w:t xml:space="preserve">2, del CRR </w:t>
      </w:r>
      <w:r w:rsidRPr="002140D7">
        <w:rPr>
          <w:rFonts w:ascii="Times New Roman" w:hAnsi="Times New Roman"/>
          <w:sz w:val="24"/>
        </w:rPr>
        <w:lastRenderedPageBreak/>
        <w:t>equivalente al risultato del valore non ponderato moltiplicato per i fattori di finanziamento stabile.</w:t>
      </w:r>
    </w:p>
    <w:p w14:paraId="343BA1D0" w14:textId="1160450B"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L</w:t>
      </w:r>
      <w:r w:rsidR="0031704F" w:rsidRPr="002140D7">
        <w:rPr>
          <w:rFonts w:ascii="Times New Roman" w:hAnsi="Times New Roman"/>
          <w:sz w:val="24"/>
        </w:rPr>
        <w:t>'</w:t>
      </w:r>
      <w:r w:rsidRPr="002140D7">
        <w:rPr>
          <w:rFonts w:ascii="Times New Roman" w:hAnsi="Times New Roman"/>
          <w:sz w:val="24"/>
        </w:rPr>
        <w:t>importo delle attività e delle passività risultanti da operazioni di finanziamento tramite titoli (SFT) con un</w:t>
      </w:r>
      <w:r w:rsidR="0031704F" w:rsidRPr="002140D7">
        <w:rPr>
          <w:rFonts w:ascii="Times New Roman" w:hAnsi="Times New Roman"/>
          <w:sz w:val="24"/>
        </w:rPr>
        <w:t>'</w:t>
      </w:r>
      <w:r w:rsidRPr="002140D7">
        <w:rPr>
          <w:rFonts w:ascii="Times New Roman" w:hAnsi="Times New Roman"/>
          <w:sz w:val="24"/>
        </w:rPr>
        <w:t>unica controparte è considerato su base netta qualora si applichi l</w:t>
      </w:r>
      <w:r w:rsidR="0031704F" w:rsidRPr="002140D7">
        <w:rPr>
          <w:rFonts w:ascii="Times New Roman" w:hAnsi="Times New Roman"/>
          <w:sz w:val="24"/>
        </w:rPr>
        <w:t>'</w:t>
      </w:r>
      <w:r w:rsidRPr="002140D7">
        <w:rPr>
          <w:rFonts w:ascii="Times New Roman" w:hAnsi="Times New Roman"/>
          <w:sz w:val="24"/>
        </w:rPr>
        <w:t>articolo 428 sexies del CRR. Nel caso in cui le singole operazioni compensate fossero assoggettate a fattori di finanziamento stabile richiesto (RSF) differenti, se considerati separatamente, l</w:t>
      </w:r>
      <w:r w:rsidR="0031704F" w:rsidRPr="002140D7">
        <w:rPr>
          <w:rFonts w:ascii="Times New Roman" w:hAnsi="Times New Roman"/>
          <w:sz w:val="24"/>
        </w:rPr>
        <w:t>'</w:t>
      </w:r>
      <w:r w:rsidRPr="002140D7">
        <w:rPr>
          <w:rFonts w:ascii="Times New Roman" w:hAnsi="Times New Roman"/>
          <w:sz w:val="24"/>
        </w:rPr>
        <w:t>importo compensato da indicare, nel caso di attività, è assoggettato al fattore di RSF più elevato.</w:t>
      </w:r>
    </w:p>
    <w:p w14:paraId="6EBB65DA" w14:textId="77777777"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Nella descrizione che accompagna questo modello gli enti forniscono tutte le spiegazioni necessarie per facilitare la comprensione dei risultati e dei dati di accompagnamento. Gli enti spiegano almeno:</w:t>
      </w:r>
    </w:p>
    <w:p w14:paraId="263F4C5D" w14:textId="77777777" w:rsidR="007E1815" w:rsidRPr="002140D7" w:rsidRDefault="007E1815" w:rsidP="007E1815">
      <w:pPr>
        <w:pStyle w:val="ListNumber"/>
        <w:numPr>
          <w:ilvl w:val="1"/>
          <w:numId w:val="6"/>
        </w:numPr>
        <w:spacing w:after="150"/>
        <w:jc w:val="both"/>
        <w:rPr>
          <w:rFonts w:ascii="Times New Roman" w:hAnsi="Times New Roman"/>
          <w:sz w:val="24"/>
        </w:rPr>
      </w:pPr>
      <w:r w:rsidRPr="002140D7">
        <w:rPr>
          <w:rFonts w:ascii="Times New Roman" w:hAnsi="Times New Roman"/>
          <w:sz w:val="24"/>
        </w:rPr>
        <w:t>i fattori che determinano i risultati del coefficiente netto di finanziamento stabile e i motivi dei cambiamenti intra-periodo e dei cambiamenti nel tempo (ad esempio, cambiamenti nelle strategie, nella struttura di finanziamento, nelle circostanze); e</w:t>
      </w:r>
    </w:p>
    <w:p w14:paraId="6561627A" w14:textId="77777777" w:rsidR="007E1815" w:rsidRPr="002140D7" w:rsidRDefault="007E1815" w:rsidP="007E1815">
      <w:pPr>
        <w:pStyle w:val="ListNumber"/>
        <w:numPr>
          <w:ilvl w:val="0"/>
          <w:numId w:val="0"/>
        </w:numPr>
        <w:ind w:left="1071"/>
        <w:jc w:val="both"/>
        <w:rPr>
          <w:rFonts w:ascii="Times New Roman" w:hAnsi="Times New Roman"/>
          <w:sz w:val="24"/>
        </w:rPr>
      </w:pPr>
    </w:p>
    <w:p w14:paraId="640BC23A" w14:textId="416BE8A4" w:rsidR="007E1815" w:rsidRPr="002140D7" w:rsidRDefault="007E1815" w:rsidP="007E1815">
      <w:pPr>
        <w:pStyle w:val="ListNumber"/>
        <w:numPr>
          <w:ilvl w:val="1"/>
          <w:numId w:val="6"/>
        </w:numPr>
        <w:spacing w:after="150"/>
        <w:jc w:val="both"/>
        <w:rPr>
          <w:rFonts w:ascii="Times New Roman" w:hAnsi="Times New Roman"/>
          <w:sz w:val="24"/>
        </w:rPr>
      </w:pPr>
      <w:r w:rsidRPr="002140D7">
        <w:rPr>
          <w:rFonts w:ascii="Times New Roman" w:hAnsi="Times New Roman"/>
          <w:sz w:val="24"/>
        </w:rPr>
        <w:t>la composizione delle attività e delle passività interdipendenti dell</w:t>
      </w:r>
      <w:r w:rsidR="0031704F" w:rsidRPr="002140D7">
        <w:rPr>
          <w:rFonts w:ascii="Times New Roman" w:hAnsi="Times New Roman"/>
          <w:sz w:val="24"/>
        </w:rPr>
        <w:t>'</w:t>
      </w:r>
      <w:r w:rsidRPr="002140D7">
        <w:rPr>
          <w:rFonts w:ascii="Times New Roman" w:hAnsi="Times New Roman"/>
          <w:sz w:val="24"/>
        </w:rPr>
        <w:t>ente e la misura in cui tali operazioni sono interconnesse.</w:t>
      </w:r>
    </w:p>
    <w:p w14:paraId="32271818" w14:textId="77777777" w:rsidR="007E1815" w:rsidRPr="002140D7" w:rsidRDefault="007E1815" w:rsidP="007E1815">
      <w:pPr>
        <w:rPr>
          <w:rFonts w:ascii="Times New Roman" w:hAnsi="Times New Roman"/>
          <w:b/>
          <w:sz w:val="24"/>
        </w:rPr>
      </w:pPr>
      <w:r w:rsidRPr="002140D7">
        <w:rPr>
          <w:rFonts w:ascii="Times New Roman" w:hAnsi="Times New Roman"/>
          <w:b/>
          <w:sz w:val="24"/>
        </w:rPr>
        <w:t>Elementi di finanziamento stabile disponibile (ASF)</w:t>
      </w:r>
    </w:p>
    <w:p w14:paraId="20D40F36" w14:textId="619236A8"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Conformemente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428</w:t>
      </w:r>
      <w:r w:rsidR="00236BAE" w:rsidRPr="002140D7">
        <w:rPr>
          <w:rFonts w:ascii="Times New Roman" w:hAnsi="Times New Roman"/>
          <w:sz w:val="24"/>
        </w:rPr>
        <w:t> </w:t>
      </w:r>
      <w:r w:rsidRPr="002140D7">
        <w:rPr>
          <w:rFonts w:ascii="Times New Roman" w:hAnsi="Times New Roman"/>
          <w:sz w:val="24"/>
        </w:rPr>
        <w:t>decies del CRR, salvo diversamente specificato nella parte sei, titolo</w:t>
      </w:r>
      <w:r w:rsidR="00236BAE" w:rsidRPr="002140D7">
        <w:rPr>
          <w:rFonts w:ascii="Times New Roman" w:hAnsi="Times New Roman"/>
          <w:sz w:val="24"/>
        </w:rPr>
        <w:t> </w:t>
      </w:r>
      <w:r w:rsidRPr="002140D7">
        <w:rPr>
          <w:rFonts w:ascii="Times New Roman" w:hAnsi="Times New Roman"/>
          <w:sz w:val="24"/>
        </w:rPr>
        <w:t>IV, capo</w:t>
      </w:r>
      <w:r w:rsidR="00236BAE" w:rsidRPr="002140D7">
        <w:rPr>
          <w:rFonts w:ascii="Times New Roman" w:hAnsi="Times New Roman"/>
          <w:sz w:val="24"/>
        </w:rPr>
        <w:t> </w:t>
      </w:r>
      <w:r w:rsidRPr="002140D7">
        <w:rPr>
          <w:rFonts w:ascii="Times New Roman" w:hAnsi="Times New Roman"/>
          <w:sz w:val="24"/>
        </w:rPr>
        <w:t>3, del CRR, l</w:t>
      </w:r>
      <w:r w:rsidR="0031704F" w:rsidRPr="002140D7">
        <w:rPr>
          <w:rFonts w:ascii="Times New Roman" w:hAnsi="Times New Roman"/>
          <w:sz w:val="24"/>
        </w:rPr>
        <w:t>'</w:t>
      </w:r>
      <w:r w:rsidRPr="002140D7">
        <w:rPr>
          <w:rFonts w:ascii="Times New Roman" w:hAnsi="Times New Roman"/>
          <w:sz w:val="24"/>
        </w:rPr>
        <w:t>ammontare del finanziamento stabile disponibile (ASF) è calcolato moltiplicando l</w:t>
      </w:r>
      <w:r w:rsidR="0031704F" w:rsidRPr="002140D7">
        <w:rPr>
          <w:rFonts w:ascii="Times New Roman" w:hAnsi="Times New Roman"/>
          <w:sz w:val="24"/>
        </w:rPr>
        <w:t>'</w:t>
      </w:r>
      <w:r w:rsidRPr="002140D7">
        <w:rPr>
          <w:rFonts w:ascii="Times New Roman" w:hAnsi="Times New Roman"/>
          <w:sz w:val="24"/>
        </w:rPr>
        <w:t>importo delle passività e dei fondi propri, come valore non ponderato, per i fattori di finanziamento stabile disponibile. Il valore ponderato nella colonna e di questo modello rispecchia l</w:t>
      </w:r>
      <w:r w:rsidR="0031704F" w:rsidRPr="002140D7">
        <w:rPr>
          <w:rFonts w:ascii="Times New Roman" w:hAnsi="Times New Roman"/>
          <w:sz w:val="24"/>
        </w:rPr>
        <w:t>'</w:t>
      </w:r>
      <w:r w:rsidRPr="002140D7">
        <w:rPr>
          <w:rFonts w:ascii="Times New Roman" w:hAnsi="Times New Roman"/>
          <w:sz w:val="24"/>
        </w:rPr>
        <w:t>ammontare del finanziamento stabile disponibile.</w:t>
      </w:r>
    </w:p>
    <w:p w14:paraId="025850D4" w14:textId="27F1DE6C"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Tutte le passività e i fondi propri sono indicati con una disaggregazione per durata residua nelle colonne a, b, c e d di questo modello, calcolati conformemente agli articoli</w:t>
      </w:r>
      <w:r w:rsidR="00236BAE" w:rsidRPr="002140D7">
        <w:rPr>
          <w:rFonts w:ascii="Times New Roman" w:hAnsi="Times New Roman"/>
          <w:sz w:val="24"/>
        </w:rPr>
        <w:t> </w:t>
      </w:r>
      <w:r w:rsidRPr="002140D7">
        <w:rPr>
          <w:rFonts w:ascii="Times New Roman" w:hAnsi="Times New Roman"/>
          <w:sz w:val="24"/>
        </w:rPr>
        <w:t>428 undecies, 428</w:t>
      </w:r>
      <w:r w:rsidR="00236BAE" w:rsidRPr="002140D7">
        <w:rPr>
          <w:rFonts w:ascii="Times New Roman" w:hAnsi="Times New Roman"/>
          <w:sz w:val="24"/>
        </w:rPr>
        <w:t> </w:t>
      </w:r>
      <w:r w:rsidRPr="002140D7">
        <w:rPr>
          <w:rFonts w:ascii="Times New Roman" w:hAnsi="Times New Roman"/>
          <w:sz w:val="24"/>
        </w:rPr>
        <w:t>sexdecies e 428</w:t>
      </w:r>
      <w:r w:rsidR="00236BAE" w:rsidRPr="002140D7">
        <w:rPr>
          <w:rFonts w:ascii="Times New Roman" w:hAnsi="Times New Roman"/>
          <w:sz w:val="24"/>
        </w:rPr>
        <w:t> </w:t>
      </w:r>
      <w:r w:rsidRPr="002140D7">
        <w:rPr>
          <w:rFonts w:ascii="Times New Roman" w:hAnsi="Times New Roman"/>
          <w:sz w:val="24"/>
        </w:rPr>
        <w:t>octotricies del CRR, con la seguente ripartizione in termini di categorie di scadenze:</w:t>
      </w:r>
    </w:p>
    <w:p w14:paraId="11219010" w14:textId="77777777" w:rsidR="007E1815" w:rsidRPr="002140D7" w:rsidRDefault="007E1815" w:rsidP="007E1815">
      <w:pPr>
        <w:pStyle w:val="ListNumber"/>
        <w:numPr>
          <w:ilvl w:val="0"/>
          <w:numId w:val="0"/>
        </w:numPr>
        <w:ind w:left="714"/>
        <w:jc w:val="both"/>
        <w:rPr>
          <w:rFonts w:ascii="Times New Roman" w:hAnsi="Times New Roman"/>
          <w:sz w:val="24"/>
        </w:rPr>
      </w:pPr>
    </w:p>
    <w:p w14:paraId="4FA06E63" w14:textId="738C795B" w:rsidR="007E1815" w:rsidRPr="002140D7" w:rsidRDefault="007E1815" w:rsidP="007E1815">
      <w:pPr>
        <w:pStyle w:val="ListNumber"/>
        <w:numPr>
          <w:ilvl w:val="1"/>
          <w:numId w:val="12"/>
        </w:numPr>
        <w:spacing w:after="150"/>
        <w:jc w:val="both"/>
        <w:rPr>
          <w:rFonts w:ascii="Times New Roman" w:hAnsi="Times New Roman"/>
          <w:sz w:val="24"/>
        </w:rPr>
      </w:pPr>
      <w:r w:rsidRPr="002140D7">
        <w:rPr>
          <w:rFonts w:ascii="Times New Roman" w:hAnsi="Times New Roman"/>
          <w:sz w:val="24"/>
        </w:rPr>
        <w:t xml:space="preserve">privo di scadenza: gli elementi da indicare nella categoria </w:t>
      </w:r>
      <w:r w:rsidR="0031704F" w:rsidRPr="002140D7">
        <w:rPr>
          <w:rFonts w:ascii="Times New Roman" w:hAnsi="Times New Roman"/>
          <w:sz w:val="24"/>
        </w:rPr>
        <w:t>"</w:t>
      </w:r>
      <w:r w:rsidRPr="002140D7">
        <w:rPr>
          <w:rFonts w:ascii="Times New Roman" w:hAnsi="Times New Roman"/>
          <w:sz w:val="24"/>
        </w:rPr>
        <w:t>privo di scadenza</w:t>
      </w:r>
      <w:r w:rsidR="0031704F" w:rsidRPr="002140D7">
        <w:rPr>
          <w:rFonts w:ascii="Times New Roman" w:hAnsi="Times New Roman"/>
          <w:sz w:val="24"/>
        </w:rPr>
        <w:t>"</w:t>
      </w:r>
      <w:r w:rsidRPr="002140D7">
        <w:rPr>
          <w:rFonts w:ascii="Times New Roman" w:hAnsi="Times New Roman"/>
          <w:sz w:val="24"/>
        </w:rPr>
        <w:t xml:space="preserve"> non hanno una durata stabilita o sono irredimibili;</w:t>
      </w:r>
    </w:p>
    <w:p w14:paraId="58B79BC3" w14:textId="77777777" w:rsidR="007E1815" w:rsidRPr="002140D7" w:rsidRDefault="007E1815" w:rsidP="007E1815">
      <w:pPr>
        <w:pStyle w:val="ListNumber"/>
        <w:numPr>
          <w:ilvl w:val="0"/>
          <w:numId w:val="0"/>
        </w:numPr>
        <w:ind w:left="1071"/>
        <w:jc w:val="both"/>
        <w:rPr>
          <w:rFonts w:ascii="Times New Roman" w:hAnsi="Times New Roman"/>
          <w:sz w:val="24"/>
        </w:rPr>
      </w:pPr>
    </w:p>
    <w:p w14:paraId="16DF72D7" w14:textId="77777777" w:rsidR="007E1815" w:rsidRPr="002140D7" w:rsidRDefault="007E1815" w:rsidP="007E1815">
      <w:pPr>
        <w:pStyle w:val="ListNumber"/>
        <w:numPr>
          <w:ilvl w:val="1"/>
          <w:numId w:val="6"/>
        </w:numPr>
        <w:spacing w:after="150"/>
        <w:jc w:val="both"/>
        <w:rPr>
          <w:rFonts w:ascii="Times New Roman" w:hAnsi="Times New Roman"/>
          <w:sz w:val="24"/>
        </w:rPr>
      </w:pPr>
      <w:r w:rsidRPr="002140D7">
        <w:rPr>
          <w:rFonts w:ascii="Times New Roman" w:hAnsi="Times New Roman"/>
          <w:sz w:val="24"/>
        </w:rPr>
        <w:t>durata residua inferiore a sei mesi;</w:t>
      </w:r>
    </w:p>
    <w:p w14:paraId="15456445" w14:textId="77777777" w:rsidR="007E1815" w:rsidRPr="002140D7" w:rsidRDefault="007E1815" w:rsidP="007E1815">
      <w:pPr>
        <w:pStyle w:val="ListNumber"/>
        <w:numPr>
          <w:ilvl w:val="0"/>
          <w:numId w:val="0"/>
        </w:numPr>
        <w:ind w:left="1071"/>
        <w:jc w:val="both"/>
        <w:rPr>
          <w:rFonts w:ascii="Times New Roman" w:hAnsi="Times New Roman"/>
          <w:sz w:val="24"/>
        </w:rPr>
      </w:pPr>
    </w:p>
    <w:p w14:paraId="22246D74" w14:textId="77777777" w:rsidR="007E1815" w:rsidRPr="002140D7" w:rsidRDefault="007E1815" w:rsidP="007E1815">
      <w:pPr>
        <w:pStyle w:val="ListNumber"/>
        <w:numPr>
          <w:ilvl w:val="1"/>
          <w:numId w:val="6"/>
        </w:numPr>
        <w:spacing w:after="150"/>
        <w:jc w:val="both"/>
        <w:rPr>
          <w:rFonts w:ascii="Times New Roman" w:hAnsi="Times New Roman"/>
          <w:sz w:val="24"/>
        </w:rPr>
      </w:pPr>
      <w:r w:rsidRPr="002140D7">
        <w:rPr>
          <w:rFonts w:ascii="Times New Roman" w:hAnsi="Times New Roman"/>
          <w:sz w:val="24"/>
        </w:rPr>
        <w:t>durata residua di almeno sei mesi ma inferiore a un anno; e</w:t>
      </w:r>
    </w:p>
    <w:p w14:paraId="6A87D26E" w14:textId="77777777" w:rsidR="007E1815" w:rsidRPr="002140D7" w:rsidRDefault="007E1815" w:rsidP="007E1815">
      <w:pPr>
        <w:pStyle w:val="ListNumber"/>
        <w:numPr>
          <w:ilvl w:val="0"/>
          <w:numId w:val="0"/>
        </w:numPr>
        <w:ind w:left="1071"/>
        <w:jc w:val="both"/>
        <w:rPr>
          <w:rFonts w:ascii="Times New Roman" w:hAnsi="Times New Roman"/>
          <w:sz w:val="24"/>
        </w:rPr>
      </w:pPr>
    </w:p>
    <w:p w14:paraId="77A0B740" w14:textId="77777777" w:rsidR="007E1815" w:rsidRPr="002140D7" w:rsidRDefault="007E1815" w:rsidP="007E1815">
      <w:pPr>
        <w:pStyle w:val="ListNumber"/>
        <w:numPr>
          <w:ilvl w:val="1"/>
          <w:numId w:val="6"/>
        </w:numPr>
        <w:spacing w:after="150"/>
        <w:jc w:val="both"/>
        <w:rPr>
          <w:rFonts w:ascii="Times New Roman" w:hAnsi="Times New Roman"/>
          <w:sz w:val="24"/>
        </w:rPr>
      </w:pPr>
      <w:r w:rsidRPr="002140D7">
        <w:tab/>
      </w:r>
      <w:r w:rsidRPr="002140D7">
        <w:rPr>
          <w:rFonts w:ascii="Times New Roman" w:hAnsi="Times New Roman"/>
          <w:sz w:val="24"/>
        </w:rPr>
        <w:t>durata residua pari o superiore a un anno.</w:t>
      </w:r>
    </w:p>
    <w:p w14:paraId="6BA304AA" w14:textId="77777777" w:rsidR="007E1815" w:rsidRPr="002140D7" w:rsidRDefault="007E1815" w:rsidP="007E1815">
      <w:pPr>
        <w:pStyle w:val="ListNumber"/>
        <w:numPr>
          <w:ilvl w:val="0"/>
          <w:numId w:val="0"/>
        </w:numPr>
        <w:rPr>
          <w:rFonts w:ascii="Times New Roman" w:hAnsi="Times New Roman"/>
          <w:sz w:val="24"/>
        </w:rPr>
      </w:pPr>
    </w:p>
    <w:p w14:paraId="67F6D5AE" w14:textId="77777777" w:rsidR="007E1815" w:rsidRPr="002140D7" w:rsidRDefault="007E1815" w:rsidP="007E1815">
      <w:pPr>
        <w:pStyle w:val="ListNumber"/>
        <w:numPr>
          <w:ilvl w:val="0"/>
          <w:numId w:val="0"/>
        </w:numPr>
        <w:ind w:left="357" w:hanging="357"/>
        <w:jc w:val="both"/>
        <w:rPr>
          <w:rFonts w:ascii="Times New Roman" w:hAnsi="Times New Roman"/>
          <w:b/>
          <w:sz w:val="24"/>
        </w:rPr>
      </w:pPr>
      <w:r w:rsidRPr="002140D7">
        <w:rPr>
          <w:rFonts w:ascii="Times New Roman" w:hAnsi="Times New Roman"/>
          <w:b/>
          <w:sz w:val="24"/>
        </w:rPr>
        <w:t>Elementi di finanziamento stabile richiesto (RSF)</w:t>
      </w:r>
    </w:p>
    <w:p w14:paraId="03707205" w14:textId="77777777"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Gli enti indicano nella categoria adeguata tutte le attività di cui detengono la proprietà effettiva anche se non sono contabilizzate nel loro bilancio. Le attività di cui gli enti non detengono la proprietà effettiva non sono indicate anche se tali attività sono contabilizzate nel loro bilancio.</w:t>
      </w:r>
    </w:p>
    <w:p w14:paraId="0BD2DC52" w14:textId="0E3627F8"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Conformemente all</w:t>
      </w:r>
      <w:r w:rsidR="0031704F" w:rsidRPr="002140D7">
        <w:rPr>
          <w:rFonts w:ascii="Times New Roman" w:hAnsi="Times New Roman"/>
          <w:sz w:val="24"/>
        </w:rPr>
        <w:t>'</w:t>
      </w:r>
      <w:r w:rsidRPr="002140D7">
        <w:rPr>
          <w:rFonts w:ascii="Times New Roman" w:hAnsi="Times New Roman"/>
          <w:sz w:val="24"/>
        </w:rPr>
        <w:t>articolo 428 septdecies del CRR, salvo diversamente specificato nella parte sei, titolo IV, capo 4, del CRR, l</w:t>
      </w:r>
      <w:r w:rsidR="0031704F" w:rsidRPr="002140D7">
        <w:rPr>
          <w:rFonts w:ascii="Times New Roman" w:hAnsi="Times New Roman"/>
          <w:sz w:val="24"/>
        </w:rPr>
        <w:t>'</w:t>
      </w:r>
      <w:r w:rsidRPr="002140D7">
        <w:rPr>
          <w:rFonts w:ascii="Times New Roman" w:hAnsi="Times New Roman"/>
          <w:sz w:val="24"/>
        </w:rPr>
        <w:t xml:space="preserve">ammontare del finanziamento stabile richiesto (RSF) è calcolato moltiplicando il valore non ponderato delle attività e degli </w:t>
      </w:r>
      <w:r w:rsidRPr="002140D7">
        <w:rPr>
          <w:rFonts w:ascii="Times New Roman" w:hAnsi="Times New Roman"/>
          <w:sz w:val="24"/>
        </w:rPr>
        <w:lastRenderedPageBreak/>
        <w:t>elementi fuori bilancio per i fattori di finanziamento stabile richiesto.</w:t>
      </w:r>
    </w:p>
    <w:p w14:paraId="335AF99A" w14:textId="77777777"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Le attività ammissibili come attività liquide di elevata qualità (HQLA) conformemente al regolamento delegato (UE) 2015/61 della Commissione sono indicate come tali in una riga apposita a prescindere dalla loro durata residua.</w:t>
      </w:r>
    </w:p>
    <w:p w14:paraId="44264B2F" w14:textId="4EE85550" w:rsidR="007E1815" w:rsidRPr="002140D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2140D7">
        <w:rPr>
          <w:rFonts w:ascii="Times New Roman" w:hAnsi="Times New Roman"/>
          <w:sz w:val="24"/>
        </w:rPr>
        <w:t>Tutte le attività e tutti gli elementi fuori bilancio diversi dalle HQLA sono indicati con una ripartizione in base alla loro durata residua conformemente all</w:t>
      </w:r>
      <w:r w:rsidR="0031704F" w:rsidRPr="002140D7">
        <w:rPr>
          <w:rFonts w:ascii="Times New Roman" w:hAnsi="Times New Roman"/>
          <w:sz w:val="24"/>
        </w:rPr>
        <w:t>'</w:t>
      </w:r>
      <w:r w:rsidRPr="002140D7">
        <w:rPr>
          <w:rFonts w:ascii="Times New Roman" w:hAnsi="Times New Roman"/>
          <w:sz w:val="24"/>
        </w:rPr>
        <w:t>articolo</w:t>
      </w:r>
      <w:r w:rsidR="00236BAE" w:rsidRPr="002140D7">
        <w:rPr>
          <w:rFonts w:ascii="Times New Roman" w:hAnsi="Times New Roman"/>
          <w:sz w:val="24"/>
        </w:rPr>
        <w:t> </w:t>
      </w:r>
      <w:r w:rsidRPr="002140D7">
        <w:rPr>
          <w:rFonts w:ascii="Times New Roman" w:hAnsi="Times New Roman"/>
          <w:sz w:val="24"/>
        </w:rPr>
        <w:t>428 octodecies del CRR. Le categorie di scadenze degli importi, dei fattori standard e dei fattori applicabili sono le seguenti:</w:t>
      </w:r>
    </w:p>
    <w:p w14:paraId="0C1F136F" w14:textId="77777777" w:rsidR="007E1815" w:rsidRPr="002140D7" w:rsidRDefault="007E1815" w:rsidP="007E1815">
      <w:pPr>
        <w:pStyle w:val="ListNumber"/>
        <w:numPr>
          <w:ilvl w:val="0"/>
          <w:numId w:val="0"/>
        </w:numPr>
        <w:ind w:left="1071"/>
        <w:jc w:val="both"/>
        <w:rPr>
          <w:rFonts w:ascii="Times New Roman" w:hAnsi="Times New Roman"/>
          <w:sz w:val="24"/>
        </w:rPr>
      </w:pPr>
    </w:p>
    <w:p w14:paraId="1F393622" w14:textId="77777777" w:rsidR="007E1815" w:rsidRPr="002140D7" w:rsidRDefault="007E1815" w:rsidP="007E1815">
      <w:pPr>
        <w:pStyle w:val="ListNumber"/>
        <w:numPr>
          <w:ilvl w:val="1"/>
          <w:numId w:val="13"/>
        </w:numPr>
        <w:spacing w:after="150"/>
        <w:jc w:val="both"/>
        <w:rPr>
          <w:rFonts w:ascii="Times New Roman" w:hAnsi="Times New Roman"/>
          <w:sz w:val="24"/>
        </w:rPr>
      </w:pPr>
      <w:r w:rsidRPr="002140D7">
        <w:rPr>
          <w:rFonts w:ascii="Times New Roman" w:hAnsi="Times New Roman"/>
          <w:sz w:val="24"/>
        </w:rPr>
        <w:t>durata residua inferiore a sei mesi o senza scadenza stabilita;</w:t>
      </w:r>
    </w:p>
    <w:p w14:paraId="70DE81A7" w14:textId="77777777" w:rsidR="007E1815" w:rsidRPr="002140D7" w:rsidRDefault="007E1815" w:rsidP="007E1815">
      <w:pPr>
        <w:pStyle w:val="ListNumber"/>
        <w:numPr>
          <w:ilvl w:val="0"/>
          <w:numId w:val="0"/>
        </w:numPr>
        <w:ind w:left="1071"/>
        <w:jc w:val="both"/>
        <w:rPr>
          <w:rFonts w:ascii="Times New Roman" w:hAnsi="Times New Roman"/>
          <w:sz w:val="24"/>
        </w:rPr>
      </w:pPr>
    </w:p>
    <w:p w14:paraId="2320D290" w14:textId="77777777" w:rsidR="007E1815" w:rsidRPr="002140D7" w:rsidRDefault="007E1815" w:rsidP="007E1815">
      <w:pPr>
        <w:pStyle w:val="ListNumber"/>
        <w:numPr>
          <w:ilvl w:val="1"/>
          <w:numId w:val="6"/>
        </w:numPr>
        <w:spacing w:after="150"/>
        <w:jc w:val="both"/>
        <w:rPr>
          <w:rFonts w:ascii="Times New Roman" w:hAnsi="Times New Roman"/>
          <w:sz w:val="24"/>
        </w:rPr>
      </w:pPr>
      <w:r w:rsidRPr="002140D7">
        <w:rPr>
          <w:rFonts w:ascii="Times New Roman" w:hAnsi="Times New Roman"/>
          <w:sz w:val="24"/>
        </w:rPr>
        <w:t>durata residua di almeno sei mesi ma inferiore a un anno; e</w:t>
      </w:r>
    </w:p>
    <w:p w14:paraId="3D3AB18F" w14:textId="77777777" w:rsidR="007E1815" w:rsidRPr="002140D7" w:rsidRDefault="007E1815" w:rsidP="007E1815">
      <w:pPr>
        <w:pStyle w:val="ListNumber"/>
        <w:numPr>
          <w:ilvl w:val="0"/>
          <w:numId w:val="0"/>
        </w:numPr>
        <w:ind w:left="1071"/>
        <w:jc w:val="both"/>
        <w:rPr>
          <w:rFonts w:ascii="Times New Roman" w:hAnsi="Times New Roman"/>
          <w:sz w:val="24"/>
        </w:rPr>
      </w:pPr>
    </w:p>
    <w:p w14:paraId="0FBA8D39" w14:textId="77777777" w:rsidR="007E1815" w:rsidRPr="002140D7" w:rsidRDefault="007E1815" w:rsidP="007E1815">
      <w:pPr>
        <w:pStyle w:val="ListNumber"/>
        <w:numPr>
          <w:ilvl w:val="1"/>
          <w:numId w:val="6"/>
        </w:numPr>
        <w:spacing w:after="150"/>
        <w:jc w:val="both"/>
        <w:rPr>
          <w:rFonts w:ascii="Times New Roman" w:hAnsi="Times New Roman"/>
          <w:sz w:val="24"/>
        </w:rPr>
      </w:pPr>
      <w:r w:rsidRPr="002140D7">
        <w:rPr>
          <w:rFonts w:ascii="Times New Roman" w:hAnsi="Times New Roman"/>
          <w:sz w:val="24"/>
        </w:rPr>
        <w:t>durata residua pari o superiore a un anno.</w:t>
      </w:r>
    </w:p>
    <w:p w14:paraId="02C8881F" w14:textId="77777777" w:rsidR="007E1815" w:rsidRPr="002140D7"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9"/>
        <w:gridCol w:w="7667"/>
      </w:tblGrid>
      <w:tr w:rsidR="007E1815" w:rsidRPr="002140D7"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2140D7" w:rsidRDefault="007E1815" w:rsidP="00D819DE">
            <w:pPr>
              <w:rPr>
                <w:rFonts w:ascii="Times New Roman" w:hAnsi="Times New Roman"/>
                <w:sz w:val="24"/>
                <w:lang w:val="it-IT"/>
              </w:rPr>
            </w:pPr>
            <w:r w:rsidRPr="002140D7">
              <w:rPr>
                <w:rFonts w:ascii="Times New Roman" w:hAnsi="Times New Roman"/>
                <w:b/>
                <w:sz w:val="24"/>
                <w:lang w:val="it-IT"/>
              </w:rPr>
              <w:t>Riferimenti giuridici e istruzioni</w:t>
            </w:r>
          </w:p>
        </w:tc>
      </w:tr>
      <w:tr w:rsidR="007E1815" w:rsidRPr="002140D7" w14:paraId="4222DCCE" w14:textId="77777777" w:rsidTr="00D819DE">
        <w:trPr>
          <w:trHeight w:val="567"/>
        </w:trPr>
        <w:tc>
          <w:tcPr>
            <w:tcW w:w="1355" w:type="dxa"/>
            <w:shd w:val="clear" w:color="auto" w:fill="D9D9D9" w:themeFill="background1" w:themeFillShade="D9"/>
          </w:tcPr>
          <w:p w14:paraId="5A502C58" w14:textId="77777777" w:rsidR="007E1815" w:rsidRPr="002140D7" w:rsidRDefault="007E1815" w:rsidP="00D819DE">
            <w:pPr>
              <w:rPr>
                <w:rFonts w:ascii="Times New Roman" w:hAnsi="Times New Roman"/>
                <w:b/>
                <w:sz w:val="24"/>
                <w:lang w:val="it-IT"/>
              </w:rPr>
            </w:pPr>
            <w:r w:rsidRPr="002140D7">
              <w:rPr>
                <w:rFonts w:ascii="Times New Roman" w:hAnsi="Times New Roman"/>
                <w:b/>
                <w:sz w:val="24"/>
                <w:lang w:val="it-IT"/>
              </w:rPr>
              <w:t>Riga</w:t>
            </w:r>
          </w:p>
        </w:tc>
        <w:tc>
          <w:tcPr>
            <w:tcW w:w="7705" w:type="dxa"/>
            <w:shd w:val="clear" w:color="auto" w:fill="D0CECE"/>
          </w:tcPr>
          <w:p w14:paraId="50C21EC2" w14:textId="77777777" w:rsidR="007E1815" w:rsidRPr="002140D7" w:rsidRDefault="007E1815" w:rsidP="00D819DE">
            <w:pPr>
              <w:rPr>
                <w:rFonts w:ascii="Times New Roman" w:hAnsi="Times New Roman"/>
                <w:sz w:val="24"/>
                <w:lang w:val="it-IT"/>
              </w:rPr>
            </w:pPr>
            <w:r w:rsidRPr="002140D7">
              <w:rPr>
                <w:rFonts w:ascii="Times New Roman" w:hAnsi="Times New Roman"/>
                <w:b/>
                <w:sz w:val="24"/>
                <w:lang w:val="it-IT"/>
              </w:rPr>
              <w:t>Spiegazione</w:t>
            </w:r>
          </w:p>
        </w:tc>
      </w:tr>
      <w:tr w:rsidR="007E1815" w:rsidRPr="002140D7" w14:paraId="47A97B92" w14:textId="77777777" w:rsidTr="00D819DE">
        <w:trPr>
          <w:trHeight w:val="567"/>
        </w:trPr>
        <w:tc>
          <w:tcPr>
            <w:tcW w:w="1355" w:type="dxa"/>
            <w:shd w:val="clear" w:color="auto" w:fill="D0CECE"/>
          </w:tcPr>
          <w:p w14:paraId="4E7DACFE" w14:textId="77777777" w:rsidR="007E1815" w:rsidRPr="002140D7" w:rsidRDefault="007E1815" w:rsidP="00D819DE">
            <w:pPr>
              <w:rPr>
                <w:rFonts w:ascii="Times New Roman" w:hAnsi="Times New Roman"/>
                <w:sz w:val="24"/>
                <w:lang w:val="it-IT"/>
              </w:rPr>
            </w:pPr>
          </w:p>
        </w:tc>
        <w:tc>
          <w:tcPr>
            <w:tcW w:w="7705" w:type="dxa"/>
            <w:shd w:val="clear" w:color="auto" w:fill="D0CECE"/>
          </w:tcPr>
          <w:p w14:paraId="4662642A" w14:textId="77777777" w:rsidR="007E1815" w:rsidRPr="002140D7" w:rsidRDefault="007E1815" w:rsidP="00D819DE">
            <w:pPr>
              <w:rPr>
                <w:rFonts w:ascii="Times New Roman" w:hAnsi="Times New Roman"/>
                <w:b/>
                <w:sz w:val="24"/>
                <w:lang w:val="it-IT"/>
              </w:rPr>
            </w:pPr>
            <w:r w:rsidRPr="002140D7">
              <w:rPr>
                <w:rFonts w:ascii="Times New Roman" w:hAnsi="Times New Roman"/>
                <w:b/>
                <w:sz w:val="24"/>
                <w:lang w:val="it-IT"/>
              </w:rPr>
              <w:t>Elementi di finanziamento stabile disponibile (ASF)</w:t>
            </w:r>
          </w:p>
        </w:tc>
      </w:tr>
      <w:tr w:rsidR="007E1815" w:rsidRPr="002140D7" w14:paraId="33C4FE49" w14:textId="77777777" w:rsidTr="00D819DE">
        <w:tc>
          <w:tcPr>
            <w:tcW w:w="1355" w:type="dxa"/>
          </w:tcPr>
          <w:p w14:paraId="4BF6617C"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w:t>
            </w:r>
          </w:p>
        </w:tc>
        <w:tc>
          <w:tcPr>
            <w:tcW w:w="7705" w:type="dxa"/>
          </w:tcPr>
          <w:p w14:paraId="4606BCE5"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Elementi e strumenti di capitale</w:t>
            </w:r>
          </w:p>
          <w:p w14:paraId="0B8977C9"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la somma degli importi delle righe 2 e 3 di questo modello.</w:t>
            </w:r>
          </w:p>
        </w:tc>
      </w:tr>
      <w:tr w:rsidR="007E1815" w:rsidRPr="002140D7" w14:paraId="1969A8FD" w14:textId="77777777" w:rsidTr="00D819DE">
        <w:tc>
          <w:tcPr>
            <w:tcW w:w="1355" w:type="dxa"/>
          </w:tcPr>
          <w:p w14:paraId="275C0D10"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w:t>
            </w:r>
          </w:p>
        </w:tc>
        <w:tc>
          <w:tcPr>
            <w:tcW w:w="7705" w:type="dxa"/>
          </w:tcPr>
          <w:p w14:paraId="116DF0CA"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Fondi propri</w:t>
            </w:r>
          </w:p>
          <w:p w14:paraId="41BB1DEB"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Articolo 428 sexdecies, lettere a), b) e c), del CRR.</w:t>
            </w:r>
          </w:p>
          <w:p w14:paraId="4277A47A"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includono qui la somma dei seguenti elementi:</w:t>
            </w:r>
          </w:p>
          <w:p w14:paraId="02EDA993" w14:textId="7626D537" w:rsidR="007E1815" w:rsidRPr="002140D7" w:rsidRDefault="007E1815" w:rsidP="007E1815">
            <w:pPr>
              <w:pStyle w:val="ListParagraph"/>
              <w:numPr>
                <w:ilvl w:val="0"/>
                <w:numId w:val="10"/>
              </w:numPr>
              <w:spacing w:after="240"/>
              <w:contextualSpacing/>
              <w:jc w:val="both"/>
              <w:rPr>
                <w:rFonts w:ascii="Times New Roman" w:hAnsi="Times New Roman"/>
                <w:sz w:val="24"/>
                <w:lang w:val="it-IT"/>
              </w:rPr>
            </w:pPr>
            <w:r w:rsidRPr="002140D7">
              <w:rPr>
                <w:rFonts w:ascii="Times New Roman" w:hAnsi="Times New Roman"/>
                <w:sz w:val="24"/>
                <w:lang w:val="it-IT"/>
              </w:rPr>
              <w:t>elementi del capitale primario di classe 1 (CET1) prima dell</w:t>
            </w:r>
            <w:r w:rsidR="0031704F" w:rsidRPr="002140D7">
              <w:rPr>
                <w:rFonts w:ascii="Times New Roman" w:hAnsi="Times New Roman"/>
                <w:sz w:val="24"/>
                <w:lang w:val="it-IT"/>
              </w:rPr>
              <w:t>'</w:t>
            </w:r>
            <w:r w:rsidRPr="002140D7">
              <w:rPr>
                <w:rFonts w:ascii="Times New Roman" w:hAnsi="Times New Roman"/>
                <w:sz w:val="24"/>
                <w:lang w:val="it-IT"/>
              </w:rPr>
              <w:t>applicazione di filtri prudenziali, deduzioni ed esenzioni o alternative di cui agli articoli da 32 a 36 e agli articoli 48, 49 e 79 del CRR;</w:t>
            </w:r>
          </w:p>
          <w:p w14:paraId="728F2A4A" w14:textId="707EE545" w:rsidR="007E1815" w:rsidRPr="002140D7" w:rsidRDefault="007E1815" w:rsidP="007E1815">
            <w:pPr>
              <w:pStyle w:val="ListParagraph"/>
              <w:numPr>
                <w:ilvl w:val="0"/>
                <w:numId w:val="10"/>
              </w:numPr>
              <w:spacing w:after="240"/>
              <w:contextualSpacing/>
              <w:jc w:val="both"/>
              <w:rPr>
                <w:rFonts w:ascii="Times New Roman" w:hAnsi="Times New Roman"/>
                <w:sz w:val="24"/>
                <w:lang w:val="it-IT"/>
              </w:rPr>
            </w:pPr>
            <w:r w:rsidRPr="002140D7">
              <w:rPr>
                <w:rFonts w:ascii="Times New Roman" w:hAnsi="Times New Roman"/>
                <w:sz w:val="24"/>
                <w:lang w:val="it-IT"/>
              </w:rPr>
              <w:t>elementi aggiuntivi di classe 1 (AT1) prima dell</w:t>
            </w:r>
            <w:r w:rsidR="0031704F" w:rsidRPr="002140D7">
              <w:rPr>
                <w:rFonts w:ascii="Times New Roman" w:hAnsi="Times New Roman"/>
                <w:sz w:val="24"/>
                <w:lang w:val="it-IT"/>
              </w:rPr>
              <w:t>'</w:t>
            </w:r>
            <w:r w:rsidRPr="002140D7">
              <w:rPr>
                <w:rFonts w:ascii="Times New Roman" w:hAnsi="Times New Roman"/>
                <w:sz w:val="24"/>
                <w:lang w:val="it-IT"/>
              </w:rPr>
              <w:t>applicazione delle deduzioni e delle esenzioni di cui agli articoli 56 e 79 del CRR; e</w:t>
            </w:r>
          </w:p>
          <w:p w14:paraId="79565A6F" w14:textId="2ADAD213" w:rsidR="007E1815" w:rsidRPr="002140D7" w:rsidRDefault="007E1815" w:rsidP="007E1815">
            <w:pPr>
              <w:pStyle w:val="ListParagraph"/>
              <w:numPr>
                <w:ilvl w:val="0"/>
                <w:numId w:val="10"/>
              </w:numPr>
              <w:spacing w:after="240"/>
              <w:contextualSpacing/>
              <w:jc w:val="both"/>
              <w:rPr>
                <w:rFonts w:ascii="Times New Roman" w:hAnsi="Times New Roman"/>
                <w:sz w:val="24"/>
                <w:lang w:val="it-IT"/>
              </w:rPr>
            </w:pPr>
            <w:r w:rsidRPr="002140D7">
              <w:rPr>
                <w:rFonts w:ascii="Times New Roman" w:hAnsi="Times New Roman"/>
                <w:sz w:val="24"/>
                <w:lang w:val="it-IT"/>
              </w:rPr>
              <w:t>elementi di classe 2 (T2) prima dell</w:t>
            </w:r>
            <w:r w:rsidR="0031704F" w:rsidRPr="002140D7">
              <w:rPr>
                <w:rFonts w:ascii="Times New Roman" w:hAnsi="Times New Roman"/>
                <w:sz w:val="24"/>
                <w:lang w:val="it-IT"/>
              </w:rPr>
              <w:t>'</w:t>
            </w:r>
            <w:r w:rsidRPr="002140D7">
              <w:rPr>
                <w:rFonts w:ascii="Times New Roman" w:hAnsi="Times New Roman"/>
                <w:sz w:val="24"/>
                <w:lang w:val="it-IT"/>
              </w:rPr>
              <w:t>applicazione delle deduzioni e delle esenzioni di cui agli articoli 66 e 79 del CRR e con durata residua pari o superiore a un anno alla data di riferimento dell</w:t>
            </w:r>
            <w:r w:rsidR="0031704F" w:rsidRPr="002140D7">
              <w:rPr>
                <w:rFonts w:ascii="Times New Roman" w:hAnsi="Times New Roman"/>
                <w:sz w:val="24"/>
                <w:lang w:val="it-IT"/>
              </w:rPr>
              <w:t>'</w:t>
            </w:r>
            <w:r w:rsidRPr="002140D7">
              <w:rPr>
                <w:rFonts w:ascii="Times New Roman" w:hAnsi="Times New Roman"/>
                <w:sz w:val="24"/>
                <w:lang w:val="it-IT"/>
              </w:rPr>
              <w:t>informativa.</w:t>
            </w:r>
          </w:p>
          <w:p w14:paraId="00D84758" w14:textId="2A4F205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 xml:space="preserve">Gli elementi CET1 e AT1 sono strumenti irredimibili da indicarsi nella categoria </w:t>
            </w:r>
            <w:r w:rsidR="0031704F" w:rsidRPr="002140D7">
              <w:rPr>
                <w:rFonts w:ascii="Times New Roman" w:hAnsi="Times New Roman"/>
                <w:sz w:val="24"/>
                <w:lang w:val="it-IT"/>
              </w:rPr>
              <w:t>"</w:t>
            </w:r>
            <w:r w:rsidRPr="002140D7">
              <w:rPr>
                <w:rFonts w:ascii="Times New Roman" w:hAnsi="Times New Roman"/>
                <w:sz w:val="24"/>
                <w:lang w:val="it-IT"/>
              </w:rPr>
              <w:t>privo di scadenza</w:t>
            </w:r>
            <w:r w:rsidR="0031704F" w:rsidRPr="002140D7">
              <w:rPr>
                <w:rFonts w:ascii="Times New Roman" w:hAnsi="Times New Roman"/>
                <w:sz w:val="24"/>
                <w:lang w:val="it-IT"/>
              </w:rPr>
              <w:t>"</w:t>
            </w:r>
            <w:r w:rsidRPr="002140D7">
              <w:rPr>
                <w:rFonts w:ascii="Times New Roman" w:hAnsi="Times New Roman"/>
                <w:sz w:val="24"/>
                <w:lang w:val="it-IT"/>
              </w:rPr>
              <w:t>. Gli elementi AT1 richiamabili dall</w:t>
            </w:r>
            <w:r w:rsidR="0031704F" w:rsidRPr="002140D7">
              <w:rPr>
                <w:rFonts w:ascii="Times New Roman" w:hAnsi="Times New Roman"/>
                <w:sz w:val="24"/>
                <w:lang w:val="it-IT"/>
              </w:rPr>
              <w:t>'</w:t>
            </w:r>
            <w:r w:rsidRPr="002140D7">
              <w:rPr>
                <w:rFonts w:ascii="Times New Roman" w:hAnsi="Times New Roman"/>
                <w:sz w:val="24"/>
                <w:lang w:val="it-IT"/>
              </w:rPr>
              <w:t xml:space="preserve">ente, solo se la durata delle opzioni call è inferiore a un anno, non saranno indicati nella categoria </w:t>
            </w:r>
            <w:r w:rsidR="0031704F" w:rsidRPr="002140D7">
              <w:rPr>
                <w:rFonts w:ascii="Times New Roman" w:hAnsi="Times New Roman"/>
                <w:sz w:val="24"/>
                <w:lang w:val="it-IT"/>
              </w:rPr>
              <w:t>"</w:t>
            </w:r>
            <w:r w:rsidRPr="002140D7">
              <w:rPr>
                <w:rFonts w:ascii="Times New Roman" w:hAnsi="Times New Roman"/>
                <w:sz w:val="24"/>
                <w:lang w:val="it-IT"/>
              </w:rPr>
              <w:t>privo di scadenza</w:t>
            </w:r>
            <w:r w:rsidR="0031704F" w:rsidRPr="002140D7">
              <w:rPr>
                <w:rFonts w:ascii="Times New Roman" w:hAnsi="Times New Roman"/>
                <w:sz w:val="24"/>
                <w:lang w:val="it-IT"/>
              </w:rPr>
              <w:t>"</w:t>
            </w:r>
            <w:r w:rsidRPr="002140D7">
              <w:rPr>
                <w:rFonts w:ascii="Times New Roman" w:hAnsi="Times New Roman"/>
                <w:sz w:val="24"/>
                <w:lang w:val="it-IT"/>
              </w:rPr>
              <w:t xml:space="preserve">, bensì nella categoria di durata applicabile (ossia durata residua inferiore a sei mesi o durata residua minima di almeno sei mesi </w:t>
            </w:r>
            <w:r w:rsidRPr="002140D7">
              <w:rPr>
                <w:rFonts w:ascii="Times New Roman" w:hAnsi="Times New Roman"/>
                <w:sz w:val="24"/>
                <w:lang w:val="it-IT"/>
              </w:rPr>
              <w:lastRenderedPageBreak/>
              <w:t>ma inferiore a un anno). Questo indipendentemente dal fatto che l</w:t>
            </w:r>
            <w:r w:rsidR="0031704F" w:rsidRPr="002140D7">
              <w:rPr>
                <w:rFonts w:ascii="Times New Roman" w:hAnsi="Times New Roman"/>
                <w:sz w:val="24"/>
                <w:lang w:val="it-IT"/>
              </w:rPr>
              <w:t>'</w:t>
            </w:r>
            <w:r w:rsidRPr="002140D7">
              <w:rPr>
                <w:rFonts w:ascii="Times New Roman" w:hAnsi="Times New Roman"/>
                <w:sz w:val="24"/>
                <w:lang w:val="it-IT"/>
              </w:rPr>
              <w:t>opzione sia stata esercitata o meno.</w:t>
            </w:r>
          </w:p>
          <w:p w14:paraId="0435A78E" w14:textId="0CA955E2"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Per quanto riguarda gli elementi T2, la categoria di scadenza pari o superiore a un anno include gli strumenti con durata residua equivalente e, nei casi eccezionali di strumenti T2 privi di scadenza, anche tali strumenti. Nel caso di elementi T2 richiamabili dall</w:t>
            </w:r>
            <w:r w:rsidR="0031704F" w:rsidRPr="002140D7">
              <w:rPr>
                <w:rFonts w:ascii="Times New Roman" w:hAnsi="Times New Roman"/>
                <w:sz w:val="24"/>
                <w:lang w:val="it-IT"/>
              </w:rPr>
              <w:t>'</w:t>
            </w:r>
            <w:r w:rsidRPr="002140D7">
              <w:rPr>
                <w:rFonts w:ascii="Times New Roman" w:hAnsi="Times New Roman"/>
                <w:sz w:val="24"/>
                <w:lang w:val="it-IT"/>
              </w:rPr>
              <w:t>ente, e indipendentemente dal fatto che l</w:t>
            </w:r>
            <w:r w:rsidR="0031704F" w:rsidRPr="002140D7">
              <w:rPr>
                <w:rFonts w:ascii="Times New Roman" w:hAnsi="Times New Roman"/>
                <w:sz w:val="24"/>
                <w:lang w:val="it-IT"/>
              </w:rPr>
              <w:t>'</w:t>
            </w:r>
            <w:r w:rsidRPr="002140D7">
              <w:rPr>
                <w:rFonts w:ascii="Times New Roman" w:hAnsi="Times New Roman"/>
                <w:sz w:val="24"/>
                <w:lang w:val="it-IT"/>
              </w:rPr>
              <w:t>ente abbia esercitato l</w:t>
            </w:r>
            <w:r w:rsidR="0031704F" w:rsidRPr="002140D7">
              <w:rPr>
                <w:rFonts w:ascii="Times New Roman" w:hAnsi="Times New Roman"/>
                <w:sz w:val="24"/>
                <w:lang w:val="it-IT"/>
              </w:rPr>
              <w:t>'</w:t>
            </w:r>
            <w:r w:rsidRPr="002140D7">
              <w:rPr>
                <w:rFonts w:ascii="Times New Roman" w:hAnsi="Times New Roman"/>
                <w:sz w:val="24"/>
                <w:lang w:val="it-IT"/>
              </w:rPr>
              <w:t>opzione call, la durata residua dello strumento sarà determinata dalla data dell</w:t>
            </w:r>
            <w:r w:rsidR="0031704F" w:rsidRPr="002140D7">
              <w:rPr>
                <w:rFonts w:ascii="Times New Roman" w:hAnsi="Times New Roman"/>
                <w:sz w:val="24"/>
                <w:lang w:val="it-IT"/>
              </w:rPr>
              <w:t>'</w:t>
            </w:r>
            <w:r w:rsidRPr="002140D7">
              <w:rPr>
                <w:rFonts w:ascii="Times New Roman" w:hAnsi="Times New Roman"/>
                <w:sz w:val="24"/>
                <w:lang w:val="it-IT"/>
              </w:rPr>
              <w:t>opzione call. In tal caso, l</w:t>
            </w:r>
            <w:r w:rsidR="0031704F" w:rsidRPr="002140D7">
              <w:rPr>
                <w:rFonts w:ascii="Times New Roman" w:hAnsi="Times New Roman"/>
                <w:sz w:val="24"/>
                <w:lang w:val="it-IT"/>
              </w:rPr>
              <w:t>'</w:t>
            </w:r>
            <w:r w:rsidRPr="002140D7">
              <w:rPr>
                <w:rFonts w:ascii="Times New Roman" w:hAnsi="Times New Roman"/>
                <w:sz w:val="24"/>
                <w:lang w:val="it-IT"/>
              </w:rPr>
              <w:t>ente indica tali elementi nella pertinente categoria di durata e non applica il fattore di ASF del 100 % se l</w:t>
            </w:r>
            <w:r w:rsidR="0031704F" w:rsidRPr="002140D7">
              <w:rPr>
                <w:rFonts w:ascii="Times New Roman" w:hAnsi="Times New Roman"/>
                <w:sz w:val="24"/>
                <w:lang w:val="it-IT"/>
              </w:rPr>
              <w:t>'</w:t>
            </w:r>
            <w:r w:rsidRPr="002140D7">
              <w:rPr>
                <w:rFonts w:ascii="Times New Roman" w:hAnsi="Times New Roman"/>
                <w:sz w:val="24"/>
                <w:lang w:val="it-IT"/>
              </w:rPr>
              <w:t>opzione può essere esercitata entro un anno.</w:t>
            </w:r>
          </w:p>
        </w:tc>
      </w:tr>
      <w:tr w:rsidR="007E1815" w:rsidRPr="002140D7" w14:paraId="2550E7B9" w14:textId="77777777" w:rsidTr="00D819DE">
        <w:tc>
          <w:tcPr>
            <w:tcW w:w="1355" w:type="dxa"/>
          </w:tcPr>
          <w:p w14:paraId="0584ABF1"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lastRenderedPageBreak/>
              <w:t>3</w:t>
            </w:r>
          </w:p>
        </w:tc>
        <w:tc>
          <w:tcPr>
            <w:tcW w:w="7705" w:type="dxa"/>
          </w:tcPr>
          <w:p w14:paraId="4DC4EF55"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Altri strumenti di capitale</w:t>
            </w:r>
          </w:p>
          <w:p w14:paraId="171E776A" w14:textId="052CF1E0"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428</w:t>
            </w:r>
            <w:r w:rsidR="00236BAE" w:rsidRPr="002140D7">
              <w:rPr>
                <w:rFonts w:ascii="Times New Roman" w:hAnsi="Times New Roman"/>
                <w:sz w:val="24"/>
                <w:lang w:val="it-IT"/>
              </w:rPr>
              <w:t> </w:t>
            </w:r>
            <w:r w:rsidRPr="002140D7">
              <w:rPr>
                <w:rFonts w:ascii="Times New Roman" w:hAnsi="Times New Roman"/>
                <w:sz w:val="24"/>
                <w:lang w:val="it-IT"/>
              </w:rPr>
              <w:t>sexdecies, lettera</w:t>
            </w:r>
            <w:r w:rsidR="00236BAE" w:rsidRPr="002140D7">
              <w:rPr>
                <w:rFonts w:ascii="Times New Roman" w:hAnsi="Times New Roman"/>
                <w:sz w:val="24"/>
                <w:lang w:val="it-IT"/>
              </w:rPr>
              <w:t> </w:t>
            </w:r>
            <w:r w:rsidRPr="002140D7">
              <w:rPr>
                <w:rFonts w:ascii="Times New Roman" w:hAnsi="Times New Roman"/>
                <w:sz w:val="24"/>
                <w:lang w:val="it-IT"/>
              </w:rPr>
              <w:t>d), e articolo</w:t>
            </w:r>
            <w:r w:rsidR="00236BAE" w:rsidRPr="002140D7">
              <w:rPr>
                <w:rFonts w:ascii="Times New Roman" w:hAnsi="Times New Roman"/>
                <w:sz w:val="24"/>
                <w:lang w:val="it-IT"/>
              </w:rPr>
              <w:t> </w:t>
            </w:r>
            <w:r w:rsidRPr="002140D7">
              <w:rPr>
                <w:rFonts w:ascii="Times New Roman" w:hAnsi="Times New Roman"/>
                <w:sz w:val="24"/>
                <w:lang w:val="it-IT"/>
              </w:rPr>
              <w:t>428</w:t>
            </w:r>
            <w:r w:rsidR="00236BAE" w:rsidRPr="002140D7">
              <w:rPr>
                <w:rFonts w:ascii="Times New Roman" w:hAnsi="Times New Roman"/>
                <w:sz w:val="24"/>
                <w:lang w:val="it-IT"/>
              </w:rPr>
              <w:t> </w:t>
            </w:r>
            <w:r w:rsidRPr="002140D7">
              <w:rPr>
                <w:rFonts w:ascii="Times New Roman" w:hAnsi="Times New Roman"/>
                <w:sz w:val="24"/>
                <w:lang w:val="it-IT"/>
              </w:rPr>
              <w:t>duodecies, paragrafo</w:t>
            </w:r>
            <w:r w:rsidR="00236BAE" w:rsidRPr="002140D7">
              <w:rPr>
                <w:rFonts w:ascii="Times New Roman" w:hAnsi="Times New Roman"/>
                <w:sz w:val="24"/>
                <w:lang w:val="it-IT"/>
              </w:rPr>
              <w:t> </w:t>
            </w:r>
            <w:r w:rsidRPr="002140D7">
              <w:rPr>
                <w:rFonts w:ascii="Times New Roman" w:hAnsi="Times New Roman"/>
                <w:sz w:val="24"/>
                <w:lang w:val="it-IT"/>
              </w:rPr>
              <w:t>3, lettera</w:t>
            </w:r>
            <w:r w:rsidR="00236BAE" w:rsidRPr="002140D7">
              <w:rPr>
                <w:rFonts w:ascii="Times New Roman" w:hAnsi="Times New Roman"/>
                <w:sz w:val="24"/>
                <w:lang w:val="it-IT"/>
              </w:rPr>
              <w:t> </w:t>
            </w:r>
            <w:r w:rsidRPr="002140D7">
              <w:rPr>
                <w:rFonts w:ascii="Times New Roman" w:hAnsi="Times New Roman"/>
                <w:sz w:val="24"/>
                <w:lang w:val="it-IT"/>
              </w:rPr>
              <w:t>d), del CRR.</w:t>
            </w:r>
          </w:p>
          <w:p w14:paraId="06D7D9E7" w14:textId="46761059"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Altri strumenti di capitale con durata residua pari o superiore a un anno alla data di riferimento per l</w:t>
            </w:r>
            <w:r w:rsidR="0031704F" w:rsidRPr="002140D7">
              <w:rPr>
                <w:rFonts w:ascii="Times New Roman" w:hAnsi="Times New Roman"/>
                <w:sz w:val="24"/>
                <w:lang w:val="it-IT"/>
              </w:rPr>
              <w:t>'</w:t>
            </w:r>
            <w:r w:rsidRPr="002140D7">
              <w:rPr>
                <w:rFonts w:ascii="Times New Roman" w:hAnsi="Times New Roman"/>
                <w:sz w:val="24"/>
                <w:lang w:val="it-IT"/>
              </w:rPr>
              <w:t>informativa.</w:t>
            </w:r>
          </w:p>
          <w:p w14:paraId="21CF35D5" w14:textId="417081D3"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Nel caso di altri strumenti di capitale richiamabili dall</w:t>
            </w:r>
            <w:r w:rsidR="0031704F" w:rsidRPr="002140D7">
              <w:rPr>
                <w:rFonts w:ascii="Times New Roman" w:hAnsi="Times New Roman"/>
                <w:sz w:val="24"/>
                <w:lang w:val="it-IT"/>
              </w:rPr>
              <w:t>'</w:t>
            </w:r>
            <w:r w:rsidRPr="002140D7">
              <w:rPr>
                <w:rFonts w:ascii="Times New Roman" w:hAnsi="Times New Roman"/>
                <w:sz w:val="24"/>
                <w:lang w:val="it-IT"/>
              </w:rPr>
              <w:t>ente, e indipendentemente dal fatto che l</w:t>
            </w:r>
            <w:r w:rsidR="0031704F" w:rsidRPr="002140D7">
              <w:rPr>
                <w:rFonts w:ascii="Times New Roman" w:hAnsi="Times New Roman"/>
                <w:sz w:val="24"/>
                <w:lang w:val="it-IT"/>
              </w:rPr>
              <w:t>'</w:t>
            </w:r>
            <w:r w:rsidRPr="002140D7">
              <w:rPr>
                <w:rFonts w:ascii="Times New Roman" w:hAnsi="Times New Roman"/>
                <w:sz w:val="24"/>
                <w:lang w:val="it-IT"/>
              </w:rPr>
              <w:t>ente abbia esercitato l</w:t>
            </w:r>
            <w:r w:rsidR="0031704F" w:rsidRPr="002140D7">
              <w:rPr>
                <w:rFonts w:ascii="Times New Roman" w:hAnsi="Times New Roman"/>
                <w:sz w:val="24"/>
                <w:lang w:val="it-IT"/>
              </w:rPr>
              <w:t>'</w:t>
            </w:r>
            <w:r w:rsidRPr="002140D7">
              <w:rPr>
                <w:rFonts w:ascii="Times New Roman" w:hAnsi="Times New Roman"/>
                <w:sz w:val="24"/>
                <w:lang w:val="it-IT"/>
              </w:rPr>
              <w:t>opzione call, la durata residua dello strumento sarà determinata dalla data dell</w:t>
            </w:r>
            <w:r w:rsidR="0031704F" w:rsidRPr="002140D7">
              <w:rPr>
                <w:rFonts w:ascii="Times New Roman" w:hAnsi="Times New Roman"/>
                <w:sz w:val="24"/>
                <w:lang w:val="it-IT"/>
              </w:rPr>
              <w:t>'</w:t>
            </w:r>
            <w:r w:rsidRPr="002140D7">
              <w:rPr>
                <w:rFonts w:ascii="Times New Roman" w:hAnsi="Times New Roman"/>
                <w:sz w:val="24"/>
                <w:lang w:val="it-IT"/>
              </w:rPr>
              <w:t>opzione call. In tal caso, l</w:t>
            </w:r>
            <w:r w:rsidR="0031704F" w:rsidRPr="002140D7">
              <w:rPr>
                <w:rFonts w:ascii="Times New Roman" w:hAnsi="Times New Roman"/>
                <w:sz w:val="24"/>
                <w:lang w:val="it-IT"/>
              </w:rPr>
              <w:t>'</w:t>
            </w:r>
            <w:r w:rsidRPr="002140D7">
              <w:rPr>
                <w:rFonts w:ascii="Times New Roman" w:hAnsi="Times New Roman"/>
                <w:sz w:val="24"/>
                <w:lang w:val="it-IT"/>
              </w:rPr>
              <w:t>ente indica tali elementi nella pertinente categoria di durata e non applica il fattore di ASF del 100 % se l</w:t>
            </w:r>
            <w:r w:rsidR="0031704F" w:rsidRPr="002140D7">
              <w:rPr>
                <w:rFonts w:ascii="Times New Roman" w:hAnsi="Times New Roman"/>
                <w:sz w:val="24"/>
                <w:lang w:val="it-IT"/>
              </w:rPr>
              <w:t>'</w:t>
            </w:r>
            <w:r w:rsidRPr="002140D7">
              <w:rPr>
                <w:rFonts w:ascii="Times New Roman" w:hAnsi="Times New Roman"/>
                <w:sz w:val="24"/>
                <w:lang w:val="it-IT"/>
              </w:rPr>
              <w:t>opzione può essere esercitata entro un anno.</w:t>
            </w:r>
          </w:p>
        </w:tc>
      </w:tr>
      <w:tr w:rsidR="007E1815" w:rsidRPr="002140D7" w14:paraId="4A44833C" w14:textId="77777777" w:rsidTr="00D819DE">
        <w:tc>
          <w:tcPr>
            <w:tcW w:w="1355" w:type="dxa"/>
          </w:tcPr>
          <w:p w14:paraId="2BD678A7"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4</w:t>
            </w:r>
          </w:p>
        </w:tc>
        <w:tc>
          <w:tcPr>
            <w:tcW w:w="7705" w:type="dxa"/>
          </w:tcPr>
          <w:p w14:paraId="5DDF6D57"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Depositi al dettaglio</w:t>
            </w:r>
          </w:p>
          <w:p w14:paraId="5F72982B" w14:textId="77777777" w:rsidR="007E1815" w:rsidRPr="002140D7" w:rsidRDefault="007E1815" w:rsidP="00D819DE">
            <w:pPr>
              <w:spacing w:after="240"/>
              <w:jc w:val="both"/>
              <w:rPr>
                <w:lang w:val="it-IT"/>
              </w:rPr>
            </w:pPr>
            <w:r w:rsidRPr="002140D7">
              <w:rPr>
                <w:rFonts w:ascii="Times New Roman" w:hAnsi="Times New Roman"/>
                <w:sz w:val="24"/>
                <w:lang w:val="it-IT"/>
              </w:rPr>
              <w:t>Gli enti indicano qui la somma degli importi delle righe 5 e 6 di questo modello.</w:t>
            </w:r>
          </w:p>
        </w:tc>
      </w:tr>
      <w:tr w:rsidR="007E1815" w:rsidRPr="002140D7" w14:paraId="55F43930" w14:textId="77777777" w:rsidTr="00D819DE">
        <w:tc>
          <w:tcPr>
            <w:tcW w:w="1355" w:type="dxa"/>
          </w:tcPr>
          <w:p w14:paraId="416B77ED"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5</w:t>
            </w:r>
          </w:p>
        </w:tc>
        <w:tc>
          <w:tcPr>
            <w:tcW w:w="7705" w:type="dxa"/>
          </w:tcPr>
          <w:p w14:paraId="52E4A4D9"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Depositi al dettaglio stabili</w:t>
            </w:r>
          </w:p>
          <w:p w14:paraId="28950C4C" w14:textId="77777777" w:rsidR="007E1815" w:rsidRPr="002140D7" w:rsidRDefault="007E1815" w:rsidP="00D819DE">
            <w:pPr>
              <w:pStyle w:val="TableParagraph"/>
              <w:spacing w:after="240"/>
              <w:jc w:val="both"/>
              <w:rPr>
                <w:rFonts w:ascii="Times New Roman" w:hAnsi="Times New Roman"/>
                <w:sz w:val="24"/>
                <w:lang w:val="it-IT"/>
              </w:rPr>
            </w:pPr>
            <w:r w:rsidRPr="002140D7">
              <w:rPr>
                <w:rFonts w:ascii="Times New Roman" w:hAnsi="Times New Roman"/>
                <w:sz w:val="24"/>
                <w:lang w:val="it-IT"/>
              </w:rPr>
              <w:t>Articolo 428 quindecies del CRR.</w:t>
            </w:r>
          </w:p>
          <w:p w14:paraId="790595EC" w14:textId="410EB273"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Gli enti includono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w:t>
            </w:r>
            <w:r w:rsidR="0031704F" w:rsidRPr="002140D7">
              <w:rPr>
                <w:rFonts w:ascii="Times New Roman" w:hAnsi="Times New Roman"/>
                <w:sz w:val="24"/>
                <w:lang w:val="it-IT"/>
              </w:rPr>
              <w:t>'</w:t>
            </w:r>
            <w:r w:rsidRPr="002140D7">
              <w:rPr>
                <w:rFonts w:ascii="Times New Roman" w:hAnsi="Times New Roman"/>
                <w:sz w:val="24"/>
                <w:lang w:val="it-IT"/>
              </w:rPr>
              <w:t>articolo 24, paragrafi 2 e 3, del regolamento delegato (UE) 2015/61 della Commissione, se:</w:t>
            </w:r>
          </w:p>
          <w:p w14:paraId="66558887" w14:textId="542B564D" w:rsidR="007E1815" w:rsidRPr="002140D7" w:rsidRDefault="007E1815" w:rsidP="007E1815">
            <w:pPr>
              <w:pStyle w:val="TableParagraph"/>
              <w:numPr>
                <w:ilvl w:val="0"/>
                <w:numId w:val="7"/>
              </w:numPr>
              <w:spacing w:after="240"/>
              <w:ind w:left="714" w:hanging="357"/>
              <w:jc w:val="both"/>
              <w:rPr>
                <w:rFonts w:ascii="Times New Roman" w:hAnsi="Times New Roman"/>
                <w:sz w:val="24"/>
                <w:szCs w:val="24"/>
                <w:lang w:val="it-IT"/>
              </w:rPr>
            </w:pPr>
            <w:r w:rsidRPr="002140D7">
              <w:rPr>
                <w:rFonts w:ascii="Times New Roman" w:hAnsi="Times New Roman"/>
                <w:sz w:val="24"/>
                <w:lang w:val="it-IT"/>
              </w:rPr>
              <w:t>detti depositi non soddisfano i criteri per un tasso superiore di deflusso ai sensi dell</w:t>
            </w:r>
            <w:r w:rsidR="0031704F" w:rsidRPr="002140D7">
              <w:rPr>
                <w:rFonts w:ascii="Times New Roman" w:hAnsi="Times New Roman"/>
                <w:sz w:val="24"/>
                <w:lang w:val="it-IT"/>
              </w:rPr>
              <w:t>'</w:t>
            </w:r>
            <w:r w:rsidRPr="002140D7">
              <w:rPr>
                <w:rFonts w:ascii="Times New Roman" w:hAnsi="Times New Roman"/>
                <w:sz w:val="24"/>
                <w:lang w:val="it-IT"/>
              </w:rPr>
              <w:t xml:space="preserve">articolo 25, paragrafi 2, 3 e 5, del regolamento delegato (UE) 2015/61 della Commissione, nel qual caso sono inclusi come </w:t>
            </w:r>
            <w:r w:rsidR="0031704F" w:rsidRPr="002140D7">
              <w:rPr>
                <w:rFonts w:ascii="Times New Roman" w:hAnsi="Times New Roman"/>
                <w:sz w:val="24"/>
                <w:lang w:val="it-IT"/>
              </w:rPr>
              <w:t>"</w:t>
            </w:r>
            <w:r w:rsidRPr="002140D7">
              <w:rPr>
                <w:rFonts w:ascii="Times New Roman" w:hAnsi="Times New Roman"/>
                <w:sz w:val="24"/>
                <w:lang w:val="it-IT"/>
              </w:rPr>
              <w:t>depositi meno stabili</w:t>
            </w:r>
            <w:r w:rsidR="0031704F" w:rsidRPr="002140D7">
              <w:rPr>
                <w:rFonts w:ascii="Times New Roman" w:hAnsi="Times New Roman"/>
                <w:sz w:val="24"/>
                <w:lang w:val="it-IT"/>
              </w:rPr>
              <w:t>"</w:t>
            </w:r>
            <w:r w:rsidRPr="002140D7">
              <w:rPr>
                <w:rFonts w:ascii="Times New Roman" w:hAnsi="Times New Roman"/>
                <w:sz w:val="24"/>
                <w:lang w:val="it-IT"/>
              </w:rPr>
              <w:t>; o</w:t>
            </w:r>
          </w:p>
          <w:p w14:paraId="7A637E61" w14:textId="000A6677" w:rsidR="007E1815" w:rsidRPr="002140D7" w:rsidRDefault="007E1815" w:rsidP="007E1815">
            <w:pPr>
              <w:pStyle w:val="TableParagraph"/>
              <w:numPr>
                <w:ilvl w:val="0"/>
                <w:numId w:val="7"/>
              </w:numPr>
              <w:spacing w:after="240"/>
              <w:ind w:left="714" w:hanging="357"/>
              <w:jc w:val="both"/>
              <w:rPr>
                <w:rFonts w:ascii="Times New Roman" w:hAnsi="Times New Roman"/>
                <w:sz w:val="24"/>
                <w:szCs w:val="24"/>
                <w:lang w:val="it-IT"/>
              </w:rPr>
            </w:pPr>
            <w:r w:rsidRPr="002140D7">
              <w:rPr>
                <w:rFonts w:ascii="Times New Roman" w:hAnsi="Times New Roman"/>
                <w:sz w:val="24"/>
                <w:lang w:val="it-IT"/>
              </w:rPr>
              <w:t>detti depositi non sono stati aperti in paesi terzi nei quali si applica un deflusso superiore ai sensi dell</w:t>
            </w:r>
            <w:r w:rsidR="0031704F" w:rsidRPr="002140D7">
              <w:rPr>
                <w:rFonts w:ascii="Times New Roman" w:hAnsi="Times New Roman"/>
                <w:sz w:val="24"/>
                <w:lang w:val="it-IT"/>
              </w:rPr>
              <w:t>'</w:t>
            </w: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25, paragrafo</w:t>
            </w:r>
            <w:r w:rsidR="00236BAE" w:rsidRPr="002140D7">
              <w:rPr>
                <w:rFonts w:ascii="Times New Roman" w:hAnsi="Times New Roman"/>
                <w:sz w:val="24"/>
                <w:lang w:val="it-IT"/>
              </w:rPr>
              <w:t> </w:t>
            </w:r>
            <w:r w:rsidRPr="002140D7">
              <w:rPr>
                <w:rFonts w:ascii="Times New Roman" w:hAnsi="Times New Roman"/>
                <w:sz w:val="24"/>
                <w:lang w:val="it-IT"/>
              </w:rPr>
              <w:t xml:space="preserve">5, del </w:t>
            </w:r>
            <w:r w:rsidRPr="002140D7">
              <w:rPr>
                <w:rFonts w:ascii="Times New Roman" w:hAnsi="Times New Roman"/>
                <w:sz w:val="24"/>
                <w:lang w:val="it-IT"/>
              </w:rPr>
              <w:lastRenderedPageBreak/>
              <w:t xml:space="preserve">regolamento delegato (UE) 2015/61 della Commissione, nel qual caso sono inclusi come </w:t>
            </w:r>
            <w:r w:rsidR="0031704F" w:rsidRPr="002140D7">
              <w:rPr>
                <w:rFonts w:ascii="Times New Roman" w:hAnsi="Times New Roman"/>
                <w:sz w:val="24"/>
                <w:lang w:val="it-IT"/>
              </w:rPr>
              <w:t>"</w:t>
            </w:r>
            <w:r w:rsidRPr="002140D7">
              <w:rPr>
                <w:rFonts w:ascii="Times New Roman" w:hAnsi="Times New Roman"/>
                <w:sz w:val="24"/>
                <w:lang w:val="it-IT"/>
              </w:rPr>
              <w:t>depositi meno stabili</w:t>
            </w:r>
            <w:r w:rsidR="0031704F" w:rsidRPr="002140D7">
              <w:rPr>
                <w:rFonts w:ascii="Times New Roman" w:hAnsi="Times New Roman"/>
                <w:sz w:val="24"/>
                <w:lang w:val="it-IT"/>
              </w:rPr>
              <w:t>"</w:t>
            </w:r>
            <w:r w:rsidRPr="002140D7">
              <w:rPr>
                <w:rFonts w:ascii="Times New Roman" w:hAnsi="Times New Roman"/>
                <w:sz w:val="24"/>
                <w:lang w:val="it-IT"/>
              </w:rPr>
              <w:t>.</w:t>
            </w:r>
          </w:p>
        </w:tc>
      </w:tr>
      <w:tr w:rsidR="007E1815" w:rsidRPr="002140D7" w14:paraId="194C8C25" w14:textId="77777777" w:rsidTr="00D819DE">
        <w:tc>
          <w:tcPr>
            <w:tcW w:w="1355" w:type="dxa"/>
          </w:tcPr>
          <w:p w14:paraId="1542BA49"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lastRenderedPageBreak/>
              <w:t>6</w:t>
            </w:r>
          </w:p>
        </w:tc>
        <w:tc>
          <w:tcPr>
            <w:tcW w:w="7705" w:type="dxa"/>
          </w:tcPr>
          <w:p w14:paraId="3BF13FD0"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Depositi al dettaglio meno stabili</w:t>
            </w:r>
          </w:p>
          <w:p w14:paraId="3129D85E" w14:textId="77777777"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Articolo 428 quaterdecies del CRR.</w:t>
            </w:r>
          </w:p>
          <w:p w14:paraId="2D5E64C4" w14:textId="5BE24E8B"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l</w:t>
            </w:r>
            <w:r w:rsidR="0031704F" w:rsidRPr="002140D7">
              <w:rPr>
                <w:rFonts w:ascii="Times New Roman" w:hAnsi="Times New Roman"/>
                <w:sz w:val="24"/>
                <w:lang w:val="it-IT"/>
              </w:rPr>
              <w:t>'</w:t>
            </w:r>
            <w:r w:rsidRPr="002140D7">
              <w:rPr>
                <w:rFonts w:ascii="Times New Roman" w:hAnsi="Times New Roman"/>
                <w:sz w:val="24"/>
                <w:lang w:val="it-IT"/>
              </w:rPr>
              <w:t xml:space="preserve">importo di altri depositi al dettaglio, diversi da quelli indicati come </w:t>
            </w:r>
            <w:r w:rsidR="0031704F" w:rsidRPr="002140D7">
              <w:rPr>
                <w:rFonts w:ascii="Times New Roman" w:hAnsi="Times New Roman"/>
                <w:sz w:val="24"/>
                <w:lang w:val="it-IT"/>
              </w:rPr>
              <w:t>"</w:t>
            </w:r>
            <w:r w:rsidRPr="002140D7">
              <w:rPr>
                <w:rFonts w:ascii="Times New Roman" w:hAnsi="Times New Roman"/>
                <w:sz w:val="24"/>
                <w:lang w:val="it-IT"/>
              </w:rPr>
              <w:t>depositi al dettaglio stabili</w:t>
            </w:r>
            <w:r w:rsidR="0031704F" w:rsidRPr="002140D7">
              <w:rPr>
                <w:rFonts w:ascii="Times New Roman" w:hAnsi="Times New Roman"/>
                <w:sz w:val="24"/>
                <w:lang w:val="it-IT"/>
              </w:rPr>
              <w:t>"</w:t>
            </w:r>
            <w:r w:rsidRPr="002140D7">
              <w:rPr>
                <w:rFonts w:ascii="Times New Roman" w:hAnsi="Times New Roman"/>
                <w:sz w:val="24"/>
                <w:lang w:val="it-IT"/>
              </w:rPr>
              <w:t xml:space="preserve"> nella riga 5 di questo modello.</w:t>
            </w:r>
          </w:p>
        </w:tc>
      </w:tr>
      <w:tr w:rsidR="007E1815" w:rsidRPr="002140D7" w14:paraId="73E8C93F" w14:textId="77777777" w:rsidTr="00D819DE">
        <w:tc>
          <w:tcPr>
            <w:tcW w:w="1355" w:type="dxa"/>
          </w:tcPr>
          <w:p w14:paraId="28A93239"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7</w:t>
            </w:r>
          </w:p>
        </w:tc>
        <w:tc>
          <w:tcPr>
            <w:tcW w:w="7705" w:type="dxa"/>
          </w:tcPr>
          <w:p w14:paraId="7DF872D2" w14:textId="2EB0ABE9"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Finanziamento (funding) all</w:t>
            </w:r>
            <w:r w:rsidR="0031704F" w:rsidRPr="002140D7">
              <w:rPr>
                <w:rFonts w:ascii="Times New Roman" w:hAnsi="Times New Roman"/>
                <w:b/>
                <w:sz w:val="24"/>
                <w:lang w:val="it-IT"/>
              </w:rPr>
              <w:t>'</w:t>
            </w:r>
            <w:r w:rsidRPr="002140D7">
              <w:rPr>
                <w:rFonts w:ascii="Times New Roman" w:hAnsi="Times New Roman"/>
                <w:b/>
                <w:sz w:val="24"/>
                <w:lang w:val="it-IT"/>
              </w:rPr>
              <w:t>ingrosso</w:t>
            </w:r>
          </w:p>
          <w:p w14:paraId="3F59D262"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la somma degli importi delle righe 8 e 9 di questo modello.</w:t>
            </w:r>
          </w:p>
        </w:tc>
      </w:tr>
      <w:tr w:rsidR="007E1815" w:rsidRPr="002140D7" w14:paraId="394C1803" w14:textId="77777777" w:rsidTr="00D819DE">
        <w:tc>
          <w:tcPr>
            <w:tcW w:w="1355" w:type="dxa"/>
          </w:tcPr>
          <w:p w14:paraId="447D7950"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8</w:t>
            </w:r>
          </w:p>
        </w:tc>
        <w:tc>
          <w:tcPr>
            <w:tcW w:w="7705" w:type="dxa"/>
          </w:tcPr>
          <w:p w14:paraId="1CA3BC9E" w14:textId="77777777" w:rsidR="007E1815" w:rsidRPr="002140D7" w:rsidRDefault="007E1815" w:rsidP="00D819DE">
            <w:pPr>
              <w:spacing w:after="240"/>
              <w:jc w:val="both"/>
              <w:rPr>
                <w:rFonts w:ascii="Times New Roman" w:hAnsi="Times New Roman"/>
                <w:b/>
                <w:sz w:val="24"/>
                <w:u w:val="single"/>
                <w:lang w:val="it-IT"/>
              </w:rPr>
            </w:pPr>
            <w:r w:rsidRPr="002140D7">
              <w:rPr>
                <w:rFonts w:ascii="Times New Roman" w:hAnsi="Times New Roman"/>
                <w:b/>
                <w:sz w:val="24"/>
                <w:lang w:val="it-IT"/>
              </w:rPr>
              <w:t>Depositi operativi</w:t>
            </w:r>
          </w:p>
          <w:p w14:paraId="5087C8F9" w14:textId="77777777"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Articolo 428 terdecies, lettera a), del CRR.</w:t>
            </w:r>
          </w:p>
          <w:p w14:paraId="0435CE8E" w14:textId="5948DD36"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Gli enti pubblicano qui la parte dei depositi ricevuti (sia da clienti finanziari che da altri clienti non finanziari) che soddisfa i criteri per i depositi operativi di cui all</w:t>
            </w:r>
            <w:r w:rsidR="0031704F" w:rsidRPr="002140D7">
              <w:rPr>
                <w:rFonts w:ascii="Times New Roman" w:hAnsi="Times New Roman"/>
                <w:sz w:val="24"/>
                <w:lang w:val="it-IT"/>
              </w:rPr>
              <w:t>'</w:t>
            </w: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27 del regolamento delegato (UE) 2015/61 della Commissione, necessaria per la prestazione di servizi operativi. I depositi operativi che superano l</w:t>
            </w:r>
            <w:r w:rsidR="0031704F" w:rsidRPr="002140D7">
              <w:rPr>
                <w:rFonts w:ascii="Times New Roman" w:hAnsi="Times New Roman"/>
                <w:sz w:val="24"/>
                <w:lang w:val="it-IT"/>
              </w:rPr>
              <w:t>'</w:t>
            </w:r>
            <w:r w:rsidRPr="002140D7">
              <w:rPr>
                <w:rFonts w:ascii="Times New Roman" w:hAnsi="Times New Roman"/>
                <w:sz w:val="24"/>
                <w:lang w:val="it-IT"/>
              </w:rPr>
              <w:t>importo necessario per la prestazione dei servizi operativi non sono inclusi qui ma nella riga</w:t>
            </w:r>
            <w:r w:rsidR="00236BAE" w:rsidRPr="002140D7">
              <w:rPr>
                <w:rFonts w:ascii="Times New Roman" w:hAnsi="Times New Roman"/>
                <w:sz w:val="24"/>
                <w:lang w:val="it-IT"/>
              </w:rPr>
              <w:t> </w:t>
            </w:r>
            <w:r w:rsidRPr="002140D7">
              <w:rPr>
                <w:rFonts w:ascii="Times New Roman" w:hAnsi="Times New Roman"/>
                <w:sz w:val="24"/>
                <w:lang w:val="it-IT"/>
              </w:rPr>
              <w:t xml:space="preserve">9, </w:t>
            </w:r>
            <w:r w:rsidR="0031704F" w:rsidRPr="002140D7">
              <w:rPr>
                <w:rFonts w:ascii="Times New Roman" w:hAnsi="Times New Roman"/>
                <w:sz w:val="24"/>
                <w:lang w:val="it-IT"/>
              </w:rPr>
              <w:t>"</w:t>
            </w:r>
            <w:r w:rsidRPr="002140D7">
              <w:rPr>
                <w:rFonts w:ascii="Times New Roman" w:hAnsi="Times New Roman"/>
                <w:sz w:val="24"/>
                <w:lang w:val="it-IT"/>
              </w:rPr>
              <w:t>Altri finanziamenti all</w:t>
            </w:r>
            <w:r w:rsidR="0031704F" w:rsidRPr="002140D7">
              <w:rPr>
                <w:rFonts w:ascii="Times New Roman" w:hAnsi="Times New Roman"/>
                <w:sz w:val="24"/>
                <w:lang w:val="it-IT"/>
              </w:rPr>
              <w:t>'</w:t>
            </w:r>
            <w:r w:rsidRPr="002140D7">
              <w:rPr>
                <w:rFonts w:ascii="Times New Roman" w:hAnsi="Times New Roman"/>
                <w:sz w:val="24"/>
                <w:lang w:val="it-IT"/>
              </w:rPr>
              <w:t>ingrosso</w:t>
            </w:r>
            <w:r w:rsidR="0031704F" w:rsidRPr="002140D7">
              <w:rPr>
                <w:rFonts w:ascii="Times New Roman" w:hAnsi="Times New Roman"/>
                <w:sz w:val="24"/>
                <w:lang w:val="it-IT"/>
              </w:rPr>
              <w:t>"</w:t>
            </w:r>
            <w:r w:rsidRPr="002140D7">
              <w:rPr>
                <w:rFonts w:ascii="Times New Roman" w:hAnsi="Times New Roman"/>
                <w:sz w:val="24"/>
                <w:lang w:val="it-IT"/>
              </w:rPr>
              <w:t xml:space="preserve"> di questo modello.</w:t>
            </w:r>
          </w:p>
          <w:p w14:paraId="1F41C5C0" w14:textId="55F28B45"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I depositi derivanti da una relazione di corrispondenza tra banche o dalla prestazione di servizi di prime brokerage sono considerati depositi non operativi conformemente all</w:t>
            </w:r>
            <w:r w:rsidR="0031704F" w:rsidRPr="002140D7">
              <w:rPr>
                <w:rFonts w:ascii="Times New Roman" w:hAnsi="Times New Roman"/>
                <w:sz w:val="24"/>
                <w:lang w:val="it-IT"/>
              </w:rPr>
              <w:t>'</w:t>
            </w:r>
            <w:r w:rsidRPr="002140D7">
              <w:rPr>
                <w:rFonts w:ascii="Times New Roman" w:hAnsi="Times New Roman"/>
                <w:sz w:val="24"/>
                <w:lang w:val="it-IT"/>
              </w:rPr>
              <w:t>articolo 27, paragrafo 5, del regolamento delegato (UE) 2015/61 della Commissione e sono indicati nella riga</w:t>
            </w:r>
            <w:r w:rsidR="00236BAE" w:rsidRPr="002140D7">
              <w:rPr>
                <w:rFonts w:ascii="Times New Roman" w:hAnsi="Times New Roman"/>
                <w:sz w:val="24"/>
                <w:lang w:val="it-IT"/>
              </w:rPr>
              <w:t> </w:t>
            </w:r>
            <w:r w:rsidRPr="002140D7">
              <w:rPr>
                <w:rFonts w:ascii="Times New Roman" w:hAnsi="Times New Roman"/>
                <w:sz w:val="24"/>
                <w:lang w:val="it-IT"/>
              </w:rPr>
              <w:t xml:space="preserve">9 </w:t>
            </w:r>
            <w:r w:rsidR="0031704F" w:rsidRPr="002140D7">
              <w:rPr>
                <w:rFonts w:ascii="Times New Roman" w:hAnsi="Times New Roman"/>
                <w:sz w:val="24"/>
                <w:lang w:val="it-IT"/>
              </w:rPr>
              <w:t>"</w:t>
            </w:r>
            <w:r w:rsidRPr="002140D7">
              <w:rPr>
                <w:rFonts w:ascii="Times New Roman" w:hAnsi="Times New Roman"/>
                <w:sz w:val="24"/>
                <w:lang w:val="it-IT"/>
              </w:rPr>
              <w:t>Altri finanziamenti all</w:t>
            </w:r>
            <w:r w:rsidR="0031704F" w:rsidRPr="002140D7">
              <w:rPr>
                <w:rFonts w:ascii="Times New Roman" w:hAnsi="Times New Roman"/>
                <w:sz w:val="24"/>
                <w:lang w:val="it-IT"/>
              </w:rPr>
              <w:t>'</w:t>
            </w:r>
            <w:r w:rsidRPr="002140D7">
              <w:rPr>
                <w:rFonts w:ascii="Times New Roman" w:hAnsi="Times New Roman"/>
                <w:sz w:val="24"/>
                <w:lang w:val="it-IT"/>
              </w:rPr>
              <w:t>ingrosso</w:t>
            </w:r>
            <w:r w:rsidR="0031704F" w:rsidRPr="002140D7">
              <w:rPr>
                <w:rFonts w:ascii="Times New Roman" w:hAnsi="Times New Roman"/>
                <w:sz w:val="24"/>
                <w:lang w:val="it-IT"/>
              </w:rPr>
              <w:t>"</w:t>
            </w:r>
            <w:r w:rsidRPr="002140D7">
              <w:rPr>
                <w:rFonts w:ascii="Times New Roman" w:hAnsi="Times New Roman"/>
                <w:sz w:val="24"/>
                <w:lang w:val="it-IT"/>
              </w:rPr>
              <w:t xml:space="preserve"> di questo modello.</w:t>
            </w:r>
          </w:p>
        </w:tc>
      </w:tr>
      <w:tr w:rsidR="007E1815" w:rsidRPr="002140D7" w14:paraId="77301B7B" w14:textId="77777777" w:rsidTr="00D819DE">
        <w:tc>
          <w:tcPr>
            <w:tcW w:w="1355" w:type="dxa"/>
          </w:tcPr>
          <w:p w14:paraId="37420CF2"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9</w:t>
            </w:r>
          </w:p>
        </w:tc>
        <w:tc>
          <w:tcPr>
            <w:tcW w:w="7705" w:type="dxa"/>
          </w:tcPr>
          <w:p w14:paraId="7BF7824B" w14:textId="15ED758E"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Altri finanziamenti all</w:t>
            </w:r>
            <w:r w:rsidR="0031704F" w:rsidRPr="002140D7">
              <w:rPr>
                <w:rFonts w:ascii="Times New Roman" w:hAnsi="Times New Roman"/>
                <w:b/>
                <w:sz w:val="24"/>
                <w:lang w:val="it-IT"/>
              </w:rPr>
              <w:t>'</w:t>
            </w:r>
            <w:r w:rsidRPr="002140D7">
              <w:rPr>
                <w:rFonts w:ascii="Times New Roman" w:hAnsi="Times New Roman"/>
                <w:b/>
                <w:sz w:val="24"/>
                <w:lang w:val="it-IT"/>
              </w:rPr>
              <w:t>ingrosso</w:t>
            </w:r>
          </w:p>
          <w:p w14:paraId="614E640A" w14:textId="0463CE78"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428 terdecies, lettere da b) a d), articolo</w:t>
            </w:r>
            <w:r w:rsidR="00236BAE" w:rsidRPr="002140D7">
              <w:rPr>
                <w:rFonts w:ascii="Times New Roman" w:hAnsi="Times New Roman"/>
                <w:sz w:val="24"/>
                <w:lang w:val="it-IT"/>
              </w:rPr>
              <w:t> </w:t>
            </w:r>
            <w:r w:rsidRPr="002140D7">
              <w:rPr>
                <w:rFonts w:ascii="Times New Roman" w:hAnsi="Times New Roman"/>
                <w:sz w:val="24"/>
                <w:lang w:val="it-IT"/>
              </w:rPr>
              <w:t>428 octies e articolo</w:t>
            </w:r>
            <w:r w:rsidR="00236BAE" w:rsidRPr="002140D7">
              <w:rPr>
                <w:rFonts w:ascii="Times New Roman" w:hAnsi="Times New Roman"/>
                <w:sz w:val="24"/>
                <w:lang w:val="it-IT"/>
              </w:rPr>
              <w:t> </w:t>
            </w:r>
            <w:r w:rsidRPr="002140D7">
              <w:rPr>
                <w:rFonts w:ascii="Times New Roman" w:hAnsi="Times New Roman"/>
                <w:sz w:val="24"/>
                <w:lang w:val="it-IT"/>
              </w:rPr>
              <w:t>428 duodecies, paragrafo 3, lettere c) e d), del CRR.</w:t>
            </w:r>
          </w:p>
          <w:p w14:paraId="1760C9F3" w14:textId="59283279"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pubblicano qui i finanziamenti all</w:t>
            </w:r>
            <w:r w:rsidR="0031704F" w:rsidRPr="002140D7">
              <w:rPr>
                <w:rFonts w:ascii="Times New Roman" w:hAnsi="Times New Roman"/>
                <w:sz w:val="24"/>
                <w:lang w:val="it-IT"/>
              </w:rPr>
              <w:t>'</w:t>
            </w:r>
            <w:r w:rsidRPr="002140D7">
              <w:rPr>
                <w:rFonts w:ascii="Times New Roman" w:hAnsi="Times New Roman"/>
                <w:sz w:val="24"/>
                <w:lang w:val="it-IT"/>
              </w:rPr>
              <w:t>ingrosso diversi dall</w:t>
            </w:r>
            <w:r w:rsidR="0031704F" w:rsidRPr="002140D7">
              <w:rPr>
                <w:rFonts w:ascii="Times New Roman" w:hAnsi="Times New Roman"/>
                <w:sz w:val="24"/>
                <w:lang w:val="it-IT"/>
              </w:rPr>
              <w:t>'</w:t>
            </w:r>
            <w:r w:rsidRPr="002140D7">
              <w:rPr>
                <w:rFonts w:ascii="Times New Roman" w:hAnsi="Times New Roman"/>
                <w:sz w:val="24"/>
                <w:lang w:val="it-IT"/>
              </w:rPr>
              <w:t>importo dei depositi operativi necessari per la prestazione di servizi operativi. Sono comprese le passività fornite dalle amministrazioni centrali, dalle amministrazioni regionali, dalle autorità locali, dagli organismi del settore pubblico, dalle banche multilaterali di sviluppo, dalle organizzazioni internazionali, dalle banche centrali e da qualsiasi altro cliente non finanziario o finanziario, nonché le passività per le quali la controparte non può essere determinata, compresi i titoli emessi quando il possessore non può essere identificato.</w:t>
            </w:r>
          </w:p>
        </w:tc>
      </w:tr>
      <w:tr w:rsidR="007E1815" w:rsidRPr="002140D7" w14:paraId="432CD3F5" w14:textId="77777777" w:rsidTr="00D819DE">
        <w:tc>
          <w:tcPr>
            <w:tcW w:w="1355" w:type="dxa"/>
          </w:tcPr>
          <w:p w14:paraId="0B9B4455"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10</w:t>
            </w:r>
          </w:p>
        </w:tc>
        <w:tc>
          <w:tcPr>
            <w:tcW w:w="7705" w:type="dxa"/>
          </w:tcPr>
          <w:p w14:paraId="5E993417"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Passività correlate</w:t>
            </w:r>
            <w:r w:rsidRPr="002140D7">
              <w:rPr>
                <w:rFonts w:ascii="Times New Roman" w:hAnsi="Times New Roman"/>
                <w:sz w:val="24"/>
                <w:lang w:val="it-IT"/>
              </w:rPr>
              <w:t xml:space="preserve"> </w:t>
            </w:r>
          </w:p>
          <w:p w14:paraId="36702D93" w14:textId="77777777"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Articolo 428 duodecies, paragrafo 3, lettera b), del CRR.</w:t>
            </w:r>
          </w:p>
          <w:p w14:paraId="0891245E" w14:textId="634AA784" w:rsidR="007E1815" w:rsidRPr="002140D7" w:rsidRDefault="007E1815" w:rsidP="00D819DE">
            <w:pPr>
              <w:pStyle w:val="TableParagraph"/>
              <w:spacing w:after="240"/>
              <w:jc w:val="both"/>
              <w:rPr>
                <w:rFonts w:ascii="Times New Roman" w:hAnsi="Times New Roman"/>
                <w:sz w:val="24"/>
                <w:lang w:val="it-IT"/>
              </w:rPr>
            </w:pPr>
            <w:r w:rsidRPr="002140D7">
              <w:rPr>
                <w:rFonts w:ascii="Times New Roman" w:hAnsi="Times New Roman"/>
                <w:sz w:val="24"/>
                <w:lang w:val="it-IT"/>
              </w:rPr>
              <w:lastRenderedPageBreak/>
              <w:t>Gli enti indicano le passività che, dopo essere state autorizzate dall</w:t>
            </w:r>
            <w:r w:rsidR="0031704F" w:rsidRPr="002140D7">
              <w:rPr>
                <w:rFonts w:ascii="Times New Roman" w:hAnsi="Times New Roman"/>
                <w:sz w:val="24"/>
                <w:lang w:val="it-IT"/>
              </w:rPr>
              <w:t>'</w:t>
            </w:r>
            <w:r w:rsidRPr="002140D7">
              <w:rPr>
                <w:rFonts w:ascii="Times New Roman" w:hAnsi="Times New Roman"/>
                <w:sz w:val="24"/>
                <w:lang w:val="it-IT"/>
              </w:rPr>
              <w:t>autorità competente, sono trattate come correlate ad attività a norma dell</w:t>
            </w:r>
            <w:r w:rsidR="0031704F" w:rsidRPr="002140D7">
              <w:rPr>
                <w:rFonts w:ascii="Times New Roman" w:hAnsi="Times New Roman"/>
                <w:sz w:val="24"/>
                <w:lang w:val="it-IT"/>
              </w:rPr>
              <w:t>'</w:t>
            </w:r>
            <w:r w:rsidRPr="002140D7">
              <w:rPr>
                <w:rFonts w:ascii="Times New Roman" w:hAnsi="Times New Roman"/>
                <w:sz w:val="24"/>
                <w:lang w:val="it-IT"/>
              </w:rPr>
              <w:t>articolo 428 septies del CRR.</w:t>
            </w:r>
          </w:p>
        </w:tc>
      </w:tr>
      <w:tr w:rsidR="007E1815" w:rsidRPr="002140D7" w14:paraId="321417B9" w14:textId="77777777" w:rsidTr="00D819DE">
        <w:tc>
          <w:tcPr>
            <w:tcW w:w="1355" w:type="dxa"/>
          </w:tcPr>
          <w:p w14:paraId="29CC457B"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lastRenderedPageBreak/>
              <w:t>11</w:t>
            </w:r>
          </w:p>
        </w:tc>
        <w:tc>
          <w:tcPr>
            <w:tcW w:w="7705" w:type="dxa"/>
          </w:tcPr>
          <w:p w14:paraId="1C92539B"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 xml:space="preserve">Altre passività </w:t>
            </w:r>
          </w:p>
          <w:p w14:paraId="349E2592"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la somma degli importi delle righe 12 e 13 di questo modello.</w:t>
            </w:r>
          </w:p>
        </w:tc>
      </w:tr>
      <w:tr w:rsidR="007E1815" w:rsidRPr="002140D7" w14:paraId="6ABB8278" w14:textId="77777777" w:rsidTr="00D819DE">
        <w:tc>
          <w:tcPr>
            <w:tcW w:w="1355" w:type="dxa"/>
          </w:tcPr>
          <w:p w14:paraId="47DEEB33"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12</w:t>
            </w:r>
          </w:p>
        </w:tc>
        <w:tc>
          <w:tcPr>
            <w:tcW w:w="7705" w:type="dxa"/>
          </w:tcPr>
          <w:p w14:paraId="4DF1D8F2" w14:textId="77777777" w:rsidR="007E1815" w:rsidRPr="002140D7" w:rsidRDefault="007E1815" w:rsidP="00D819DE">
            <w:pPr>
              <w:spacing w:after="240"/>
              <w:jc w:val="both"/>
              <w:rPr>
                <w:rFonts w:ascii="Times New Roman" w:hAnsi="Times New Roman"/>
                <w:b/>
                <w:sz w:val="24"/>
                <w:u w:val="single"/>
                <w:lang w:val="it-IT"/>
              </w:rPr>
            </w:pPr>
            <w:r w:rsidRPr="002140D7">
              <w:rPr>
                <w:rFonts w:ascii="Times New Roman" w:hAnsi="Times New Roman"/>
                <w:b/>
                <w:sz w:val="24"/>
                <w:lang w:val="it-IT"/>
              </w:rPr>
              <w:t>NSFR derivati passivi</w:t>
            </w:r>
          </w:p>
          <w:p w14:paraId="521C9873" w14:textId="77777777"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Articolo 428 duodecies, paragrafo 4, del CRR.</w:t>
            </w:r>
          </w:p>
          <w:p w14:paraId="2E115A21" w14:textId="5728EF22"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l</w:t>
            </w:r>
            <w:r w:rsidR="0031704F" w:rsidRPr="002140D7">
              <w:rPr>
                <w:rFonts w:ascii="Times New Roman" w:hAnsi="Times New Roman"/>
                <w:sz w:val="24"/>
                <w:lang w:val="it-IT"/>
              </w:rPr>
              <w:t>'</w:t>
            </w:r>
            <w:r w:rsidRPr="002140D7">
              <w:rPr>
                <w:rFonts w:ascii="Times New Roman" w:hAnsi="Times New Roman"/>
                <w:sz w:val="24"/>
                <w:lang w:val="it-IT"/>
              </w:rPr>
              <w:t>importo assoluto della differenza negativa tra insiemi di attività soggette a compensazione calcolate conformemente all</w:t>
            </w:r>
            <w:r w:rsidR="0031704F" w:rsidRPr="002140D7">
              <w:rPr>
                <w:rFonts w:ascii="Times New Roman" w:hAnsi="Times New Roman"/>
                <w:sz w:val="24"/>
                <w:lang w:val="it-IT"/>
              </w:rPr>
              <w:t>'</w:t>
            </w: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428 duodecies, paragrafo 4, del CRR.</w:t>
            </w:r>
          </w:p>
        </w:tc>
      </w:tr>
      <w:tr w:rsidR="007E1815" w:rsidRPr="002140D7" w14:paraId="48B82AAB" w14:textId="77777777" w:rsidTr="00D819DE">
        <w:tc>
          <w:tcPr>
            <w:tcW w:w="1355" w:type="dxa"/>
          </w:tcPr>
          <w:p w14:paraId="368937AC"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13</w:t>
            </w:r>
          </w:p>
        </w:tc>
        <w:tc>
          <w:tcPr>
            <w:tcW w:w="7705" w:type="dxa"/>
          </w:tcPr>
          <w:p w14:paraId="4929818C"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Tutte le altre passività e gli altri strumenti di capitale non compresi nelle categorie di cui sopra</w:t>
            </w:r>
          </w:p>
          <w:p w14:paraId="585BBD50"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Articolo 428 duodecies, paragrafi 1 e 3, del CRR.</w:t>
            </w:r>
          </w:p>
          <w:p w14:paraId="527A7DA7"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includono qui la somma dei seguenti elementi:</w:t>
            </w:r>
          </w:p>
          <w:p w14:paraId="40335678" w14:textId="1AD267F4" w:rsidR="007E1815" w:rsidRPr="002140D7" w:rsidRDefault="007E1815" w:rsidP="007E1815">
            <w:pPr>
              <w:pStyle w:val="ListParagraph"/>
              <w:numPr>
                <w:ilvl w:val="0"/>
                <w:numId w:val="9"/>
              </w:numPr>
              <w:spacing w:after="240"/>
              <w:contextualSpacing/>
              <w:jc w:val="both"/>
              <w:rPr>
                <w:rFonts w:ascii="Times New Roman" w:hAnsi="Times New Roman"/>
                <w:sz w:val="24"/>
                <w:lang w:val="it-IT"/>
              </w:rPr>
            </w:pPr>
            <w:r w:rsidRPr="002140D7">
              <w:rPr>
                <w:rFonts w:ascii="Times New Roman" w:hAnsi="Times New Roman"/>
                <w:sz w:val="24"/>
                <w:lang w:val="it-IT"/>
              </w:rPr>
              <w:t>debiti rilevati sulla base della data di negoziazione derivanti da acquisti di strumenti finanziari, di valute estere e di merci che si prevede verranno regolati entro il normale ciclo di regolamento o il periodo consueto per la borsa o il tipo di operazione pertinente, oppure che non sono stati regolati, ma che tuttavia si prevede verranno regolati, conformemente all</w:t>
            </w:r>
            <w:r w:rsidR="0031704F" w:rsidRPr="002140D7">
              <w:rPr>
                <w:rFonts w:ascii="Times New Roman" w:hAnsi="Times New Roman"/>
                <w:sz w:val="24"/>
                <w:lang w:val="it-IT"/>
              </w:rPr>
              <w:t>'</w:t>
            </w:r>
            <w:r w:rsidRPr="002140D7">
              <w:rPr>
                <w:rFonts w:ascii="Times New Roman" w:hAnsi="Times New Roman"/>
                <w:sz w:val="24"/>
                <w:lang w:val="it-IT"/>
              </w:rPr>
              <w:t>articolo 428 duodecies, paragrafo 3, lettera a), del CRR;</w:t>
            </w:r>
          </w:p>
          <w:p w14:paraId="0C891B87" w14:textId="0DCDBB39" w:rsidR="007E1815" w:rsidRPr="002140D7" w:rsidRDefault="007E1815" w:rsidP="007E1815">
            <w:pPr>
              <w:pStyle w:val="ListParagraph"/>
              <w:numPr>
                <w:ilvl w:val="0"/>
                <w:numId w:val="9"/>
              </w:numPr>
              <w:spacing w:after="240"/>
              <w:contextualSpacing/>
              <w:jc w:val="both"/>
              <w:rPr>
                <w:rFonts w:ascii="Times New Roman" w:hAnsi="Times New Roman"/>
                <w:sz w:val="24"/>
                <w:lang w:val="it-IT"/>
              </w:rPr>
            </w:pPr>
            <w:r w:rsidRPr="002140D7">
              <w:rPr>
                <w:rFonts w:ascii="Times New Roman" w:hAnsi="Times New Roman"/>
                <w:sz w:val="24"/>
                <w:lang w:val="it-IT"/>
              </w:rPr>
              <w:t>passività fiscali differite, considerando come durata residua la data più prossima alla quale tali passività potrebbero essere realizzate, conformemente all</w:t>
            </w:r>
            <w:r w:rsidR="0031704F" w:rsidRPr="002140D7">
              <w:rPr>
                <w:rFonts w:ascii="Times New Roman" w:hAnsi="Times New Roman"/>
                <w:sz w:val="24"/>
                <w:lang w:val="it-IT"/>
              </w:rPr>
              <w:t>'</w:t>
            </w:r>
            <w:r w:rsidRPr="002140D7">
              <w:rPr>
                <w:rFonts w:ascii="Times New Roman" w:hAnsi="Times New Roman"/>
                <w:sz w:val="24"/>
                <w:lang w:val="it-IT"/>
              </w:rPr>
              <w:t>articolo 428 duodecies, paragrafo 2, lettera a), del CRR;</w:t>
            </w:r>
          </w:p>
          <w:p w14:paraId="02F1CD08" w14:textId="6E08590E" w:rsidR="007E1815" w:rsidRPr="002140D7" w:rsidRDefault="007E1815" w:rsidP="007E1815">
            <w:pPr>
              <w:pStyle w:val="ListParagraph"/>
              <w:numPr>
                <w:ilvl w:val="0"/>
                <w:numId w:val="9"/>
              </w:numPr>
              <w:spacing w:after="240"/>
              <w:contextualSpacing/>
              <w:jc w:val="both"/>
              <w:rPr>
                <w:rFonts w:ascii="Times New Roman" w:hAnsi="Times New Roman"/>
                <w:sz w:val="24"/>
                <w:lang w:val="it-IT"/>
              </w:rPr>
            </w:pPr>
            <w:r w:rsidRPr="002140D7">
              <w:rPr>
                <w:rFonts w:ascii="Times New Roman" w:hAnsi="Times New Roman"/>
                <w:sz w:val="24"/>
                <w:lang w:val="it-IT"/>
              </w:rPr>
              <w:t>interessi di minoranza, considerando come durata residua la scadenza dello strumento, conformemente all</w:t>
            </w:r>
            <w:r w:rsidR="0031704F" w:rsidRPr="002140D7">
              <w:rPr>
                <w:rFonts w:ascii="Times New Roman" w:hAnsi="Times New Roman"/>
                <w:sz w:val="24"/>
                <w:lang w:val="it-IT"/>
              </w:rPr>
              <w:t>'</w:t>
            </w: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428</w:t>
            </w:r>
            <w:r w:rsidR="00236BAE" w:rsidRPr="002140D7">
              <w:rPr>
                <w:rFonts w:ascii="Times New Roman" w:hAnsi="Times New Roman"/>
                <w:sz w:val="24"/>
                <w:lang w:val="it-IT"/>
              </w:rPr>
              <w:t> </w:t>
            </w:r>
            <w:r w:rsidRPr="002140D7">
              <w:rPr>
                <w:rFonts w:ascii="Times New Roman" w:hAnsi="Times New Roman"/>
                <w:sz w:val="24"/>
                <w:lang w:val="it-IT"/>
              </w:rPr>
              <w:t>duodecies, paragrafo</w:t>
            </w:r>
            <w:r w:rsidR="00236BAE" w:rsidRPr="002140D7">
              <w:rPr>
                <w:rFonts w:ascii="Times New Roman" w:hAnsi="Times New Roman"/>
                <w:sz w:val="24"/>
                <w:lang w:val="it-IT"/>
              </w:rPr>
              <w:t> </w:t>
            </w:r>
            <w:r w:rsidRPr="002140D7">
              <w:rPr>
                <w:rFonts w:ascii="Times New Roman" w:hAnsi="Times New Roman"/>
                <w:sz w:val="24"/>
                <w:lang w:val="it-IT"/>
              </w:rPr>
              <w:t>1, lettera b), del CRR; e</w:t>
            </w:r>
          </w:p>
          <w:p w14:paraId="11536E39" w14:textId="743FA696" w:rsidR="007E1815" w:rsidRPr="002140D7" w:rsidRDefault="007E1815" w:rsidP="007E1815">
            <w:pPr>
              <w:pStyle w:val="ListParagraph"/>
              <w:numPr>
                <w:ilvl w:val="0"/>
                <w:numId w:val="9"/>
              </w:numPr>
              <w:spacing w:after="240"/>
              <w:contextualSpacing/>
              <w:jc w:val="both"/>
              <w:rPr>
                <w:rFonts w:ascii="Times New Roman" w:hAnsi="Times New Roman"/>
                <w:sz w:val="24"/>
                <w:lang w:val="it-IT"/>
              </w:rPr>
            </w:pPr>
            <w:r w:rsidRPr="002140D7">
              <w:rPr>
                <w:rFonts w:ascii="Times New Roman" w:hAnsi="Times New Roman"/>
                <w:sz w:val="24"/>
                <w:lang w:val="it-IT"/>
              </w:rPr>
              <w:t>altre passività, ad esempio posizioni corte e posizioni con scadenza aperta, conformemente all</w:t>
            </w:r>
            <w:r w:rsidR="0031704F" w:rsidRPr="002140D7">
              <w:rPr>
                <w:rFonts w:ascii="Times New Roman" w:hAnsi="Times New Roman"/>
                <w:sz w:val="24"/>
                <w:lang w:val="it-IT"/>
              </w:rPr>
              <w:t>'</w:t>
            </w:r>
            <w:r w:rsidRPr="002140D7">
              <w:rPr>
                <w:rFonts w:ascii="Times New Roman" w:hAnsi="Times New Roman"/>
                <w:sz w:val="24"/>
                <w:lang w:val="it-IT"/>
              </w:rPr>
              <w:t>articolo 428 duodecies, paragrafi 1 e 3, del CRR.</w:t>
            </w:r>
          </w:p>
        </w:tc>
      </w:tr>
      <w:tr w:rsidR="007E1815" w:rsidRPr="002140D7" w14:paraId="654FDDC1" w14:textId="77777777" w:rsidTr="00D819DE">
        <w:tc>
          <w:tcPr>
            <w:tcW w:w="1355" w:type="dxa"/>
          </w:tcPr>
          <w:p w14:paraId="5C49C82C"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14</w:t>
            </w:r>
          </w:p>
        </w:tc>
        <w:tc>
          <w:tcPr>
            <w:tcW w:w="7705" w:type="dxa"/>
          </w:tcPr>
          <w:p w14:paraId="159128F6"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Finanziamento stabile disponibile (ASF</w:t>
            </w:r>
            <w:r w:rsidRPr="002140D7">
              <w:rPr>
                <w:rFonts w:ascii="Times New Roman" w:hAnsi="Times New Roman"/>
                <w:sz w:val="24"/>
                <w:lang w:val="it-IT"/>
              </w:rPr>
              <w:t>) totale</w:t>
            </w:r>
          </w:p>
          <w:p w14:paraId="7CDD2B32" w14:textId="77777777" w:rsidR="007E1815" w:rsidRPr="002140D7" w:rsidRDefault="007E1815" w:rsidP="00D819DE">
            <w:pPr>
              <w:pStyle w:val="TableParagraph"/>
              <w:spacing w:after="240"/>
              <w:jc w:val="both"/>
              <w:rPr>
                <w:rFonts w:ascii="Times New Roman" w:eastAsia="Times New Roman" w:hAnsi="Times New Roman"/>
                <w:sz w:val="24"/>
                <w:szCs w:val="24"/>
                <w:lang w:val="it-IT"/>
              </w:rPr>
            </w:pPr>
            <w:r w:rsidRPr="002140D7">
              <w:rPr>
                <w:rFonts w:ascii="Times New Roman" w:hAnsi="Times New Roman"/>
                <w:sz w:val="24"/>
                <w:lang w:val="it-IT"/>
              </w:rPr>
              <w:t>Parte sei, titolo IV, capo 3, del CRR.</w:t>
            </w:r>
          </w:p>
          <w:p w14:paraId="4BCF2875" w14:textId="77777777" w:rsidR="007E1815" w:rsidRPr="002140D7" w:rsidRDefault="007E1815" w:rsidP="00D819DE">
            <w:pPr>
              <w:pStyle w:val="TableParagraph"/>
              <w:spacing w:after="240"/>
              <w:jc w:val="both"/>
              <w:rPr>
                <w:rFonts w:ascii="Times New Roman" w:hAnsi="Times New Roman"/>
                <w:sz w:val="24"/>
                <w:lang w:val="it-IT"/>
              </w:rPr>
            </w:pPr>
            <w:r w:rsidRPr="002140D7">
              <w:rPr>
                <w:rFonts w:ascii="Times New Roman" w:hAnsi="Times New Roman"/>
                <w:sz w:val="24"/>
                <w:lang w:val="it-IT"/>
              </w:rPr>
              <w:t>Gli enti indicano qui il totale degli elementi che forniscono il finanziamento stabile disponibile conformemente alla parte sei, titolo IV, capo 3, del CRR (somma degli importi delle righe 1, 4, 7, 10 e 11 di questo modello).</w:t>
            </w:r>
          </w:p>
        </w:tc>
      </w:tr>
      <w:tr w:rsidR="007E1815" w:rsidRPr="002140D7" w14:paraId="5C44ED41" w14:textId="77777777" w:rsidTr="00D819DE">
        <w:trPr>
          <w:trHeight w:val="567"/>
        </w:trPr>
        <w:tc>
          <w:tcPr>
            <w:tcW w:w="1355" w:type="dxa"/>
            <w:shd w:val="clear" w:color="auto" w:fill="D0CECE"/>
          </w:tcPr>
          <w:p w14:paraId="43FB195E" w14:textId="77777777" w:rsidR="007E1815" w:rsidRPr="002140D7" w:rsidRDefault="007E1815" w:rsidP="00D819DE">
            <w:pPr>
              <w:spacing w:after="240"/>
              <w:rPr>
                <w:rFonts w:ascii="Times New Roman" w:hAnsi="Times New Roman"/>
                <w:color w:val="000000" w:themeColor="text1"/>
                <w:sz w:val="24"/>
                <w:lang w:val="it-IT"/>
              </w:rPr>
            </w:pPr>
          </w:p>
        </w:tc>
        <w:tc>
          <w:tcPr>
            <w:tcW w:w="7705" w:type="dxa"/>
            <w:shd w:val="clear" w:color="auto" w:fill="D0CECE"/>
          </w:tcPr>
          <w:p w14:paraId="13090657" w14:textId="77777777" w:rsidR="007E1815" w:rsidRPr="002140D7" w:rsidRDefault="007E1815" w:rsidP="00D819DE">
            <w:pPr>
              <w:spacing w:after="240"/>
              <w:rPr>
                <w:rFonts w:ascii="Times New Roman" w:hAnsi="Times New Roman"/>
                <w:b/>
                <w:color w:val="000000" w:themeColor="text1"/>
                <w:sz w:val="24"/>
                <w:lang w:val="it-IT"/>
              </w:rPr>
            </w:pPr>
            <w:r w:rsidRPr="002140D7">
              <w:rPr>
                <w:rFonts w:ascii="Times New Roman" w:hAnsi="Times New Roman"/>
                <w:b/>
                <w:color w:val="000000" w:themeColor="text1"/>
                <w:sz w:val="24"/>
                <w:lang w:val="it-IT"/>
              </w:rPr>
              <w:t>Elementi di finanziamento stabile richiesto (RSF)</w:t>
            </w:r>
          </w:p>
        </w:tc>
      </w:tr>
      <w:tr w:rsidR="007E1815" w:rsidRPr="002140D7" w14:paraId="5486139E" w14:textId="77777777" w:rsidTr="00D819DE">
        <w:tc>
          <w:tcPr>
            <w:tcW w:w="1355" w:type="dxa"/>
          </w:tcPr>
          <w:p w14:paraId="5B4EB28D"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15</w:t>
            </w:r>
          </w:p>
        </w:tc>
        <w:tc>
          <w:tcPr>
            <w:tcW w:w="7705" w:type="dxa"/>
          </w:tcPr>
          <w:p w14:paraId="7524A030"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Totale delle attività liquide di elevata qualità (HQLA)</w:t>
            </w:r>
          </w:p>
          <w:p w14:paraId="192250E5" w14:textId="555B4CB1"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includono qui anche le attività liquide di elevata qualità vincolate e non vincolate conformemente al regolamento delegato (UE) 2015/61 della Commissione, indipendentemente dal fatto che soddisfino i requisiti operativi di cui all</w:t>
            </w:r>
            <w:r w:rsidR="0031704F" w:rsidRPr="002140D7">
              <w:rPr>
                <w:rFonts w:ascii="Times New Roman" w:hAnsi="Times New Roman"/>
                <w:sz w:val="24"/>
                <w:lang w:val="it-IT"/>
              </w:rPr>
              <w:t>'</w:t>
            </w:r>
            <w:r w:rsidRPr="002140D7">
              <w:rPr>
                <w:rFonts w:ascii="Times New Roman" w:hAnsi="Times New Roman"/>
                <w:sz w:val="24"/>
                <w:lang w:val="it-IT"/>
              </w:rPr>
              <w:t>articolo 8 di detto regolamento delegato, conformemente agli articoli da 428 novodecies a 428 duotricies del CRR.</w:t>
            </w:r>
          </w:p>
        </w:tc>
      </w:tr>
      <w:tr w:rsidR="007E1815" w:rsidRPr="002140D7" w14:paraId="1652C25E" w14:textId="77777777" w:rsidTr="00D819DE">
        <w:tc>
          <w:tcPr>
            <w:tcW w:w="1355" w:type="dxa"/>
          </w:tcPr>
          <w:p w14:paraId="36AB779B"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EU-15a</w:t>
            </w:r>
          </w:p>
        </w:tc>
        <w:tc>
          <w:tcPr>
            <w:tcW w:w="7705" w:type="dxa"/>
          </w:tcPr>
          <w:p w14:paraId="6B183BAA"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Attività vincolate per una durata residua pari o superiore a un anno in un aggregato di copertura</w:t>
            </w:r>
          </w:p>
          <w:p w14:paraId="1BB5D81B" w14:textId="77777777"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Articolo 428 quatertricies, lettera h, del CRR.</w:t>
            </w:r>
          </w:p>
          <w:p w14:paraId="2A30344A" w14:textId="1DFBE4B3" w:rsidR="007E1815" w:rsidRPr="002140D7" w:rsidRDefault="007E1815" w:rsidP="00D819DE">
            <w:pPr>
              <w:pStyle w:val="TableParagraph"/>
              <w:spacing w:after="240"/>
              <w:jc w:val="both"/>
              <w:rPr>
                <w:rFonts w:ascii="Times New Roman" w:hAnsi="Times New Roman"/>
                <w:sz w:val="24"/>
                <w:lang w:val="it-IT"/>
              </w:rPr>
            </w:pPr>
            <w:r w:rsidRPr="002140D7">
              <w:rPr>
                <w:rFonts w:ascii="Times New Roman" w:hAnsi="Times New Roman"/>
                <w:sz w:val="24"/>
                <w:lang w:val="it-IT"/>
              </w:rPr>
              <w:t>Gli enti pubblicano qui l</w:t>
            </w:r>
            <w:r w:rsidR="0031704F" w:rsidRPr="002140D7">
              <w:rPr>
                <w:rFonts w:ascii="Times New Roman" w:hAnsi="Times New Roman"/>
                <w:sz w:val="24"/>
                <w:lang w:val="it-IT"/>
              </w:rPr>
              <w:t>'</w:t>
            </w:r>
            <w:r w:rsidRPr="002140D7">
              <w:rPr>
                <w:rFonts w:ascii="Times New Roman" w:hAnsi="Times New Roman"/>
                <w:sz w:val="24"/>
                <w:lang w:val="it-IT"/>
              </w:rPr>
              <w:t>importo delle somme dovute da prestiti che non sono in stato di default conformemente all</w:t>
            </w:r>
            <w:r w:rsidR="0031704F" w:rsidRPr="002140D7">
              <w:rPr>
                <w:rFonts w:ascii="Times New Roman" w:hAnsi="Times New Roman"/>
                <w:sz w:val="24"/>
                <w:lang w:val="it-IT"/>
              </w:rPr>
              <w:t>'</w:t>
            </w:r>
            <w:r w:rsidRPr="002140D7">
              <w:rPr>
                <w:rFonts w:ascii="Times New Roman" w:hAnsi="Times New Roman"/>
                <w:sz w:val="24"/>
                <w:lang w:val="it-IT"/>
              </w:rPr>
              <w:t>articolo 178 del CRR e le attività liquide vincolate per una durata residua pari o superiore a un anno in un aggregato di copertura finanziato da obbligazioni garantite di cui all</w:t>
            </w:r>
            <w:r w:rsidR="0031704F" w:rsidRPr="002140D7">
              <w:rPr>
                <w:rFonts w:ascii="Times New Roman" w:hAnsi="Times New Roman"/>
                <w:sz w:val="24"/>
                <w:lang w:val="it-IT"/>
              </w:rPr>
              <w:t>'</w:t>
            </w: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52, paragrafo</w:t>
            </w:r>
            <w:r w:rsidR="00236BAE" w:rsidRPr="002140D7">
              <w:rPr>
                <w:rFonts w:ascii="Times New Roman" w:hAnsi="Times New Roman"/>
                <w:sz w:val="24"/>
                <w:lang w:val="it-IT"/>
              </w:rPr>
              <w:t> </w:t>
            </w:r>
            <w:r w:rsidRPr="002140D7">
              <w:rPr>
                <w:rFonts w:ascii="Times New Roman" w:hAnsi="Times New Roman"/>
                <w:sz w:val="24"/>
                <w:lang w:val="it-IT"/>
              </w:rPr>
              <w:t>4, della direttiva 2009/65/CE</w:t>
            </w:r>
            <w:r w:rsidRPr="002140D7">
              <w:rPr>
                <w:rStyle w:val="FootnoteReference"/>
                <w:rFonts w:ascii="Times New Roman" w:eastAsia="Times New Roman" w:hAnsi="Times New Roman"/>
                <w:sz w:val="24"/>
                <w:szCs w:val="24"/>
                <w:lang w:val="it-IT" w:eastAsia="sv-SE"/>
              </w:rPr>
              <w:footnoteReference w:id="7"/>
            </w:r>
            <w:r w:rsidRPr="002140D7">
              <w:rPr>
                <w:rFonts w:ascii="Times New Roman" w:hAnsi="Times New Roman"/>
                <w:sz w:val="24"/>
                <w:lang w:val="it-IT"/>
              </w:rPr>
              <w:t xml:space="preserve"> o obbligazioni garantite che soddisfano i requisiti di ammissibilità al trattamento di cui all</w:t>
            </w:r>
            <w:r w:rsidR="0031704F" w:rsidRPr="002140D7">
              <w:rPr>
                <w:rFonts w:ascii="Times New Roman" w:hAnsi="Times New Roman"/>
                <w:sz w:val="24"/>
                <w:lang w:val="it-IT"/>
              </w:rPr>
              <w:t>'</w:t>
            </w: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129, paragrafo 4 o 5, del CRR.</w:t>
            </w:r>
          </w:p>
        </w:tc>
      </w:tr>
      <w:tr w:rsidR="007E1815" w:rsidRPr="002140D7" w14:paraId="2122B833" w14:textId="77777777" w:rsidTr="00D819DE">
        <w:tc>
          <w:tcPr>
            <w:tcW w:w="1355" w:type="dxa"/>
          </w:tcPr>
          <w:p w14:paraId="7FF74E8F"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16</w:t>
            </w:r>
          </w:p>
        </w:tc>
        <w:tc>
          <w:tcPr>
            <w:tcW w:w="7705" w:type="dxa"/>
          </w:tcPr>
          <w:p w14:paraId="4D8DCFEA"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Depositi detenuti presso altri enti finanziari a fini operativi</w:t>
            </w:r>
          </w:p>
          <w:p w14:paraId="546E2989"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Articolo 428 untricies, lettera b), del CRR.</w:t>
            </w:r>
          </w:p>
          <w:p w14:paraId="213C4B55" w14:textId="78C10742"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pubblicano qui l</w:t>
            </w:r>
            <w:r w:rsidR="0031704F" w:rsidRPr="002140D7">
              <w:rPr>
                <w:rFonts w:ascii="Times New Roman" w:hAnsi="Times New Roman"/>
                <w:sz w:val="24"/>
                <w:lang w:val="it-IT"/>
              </w:rPr>
              <w:t>'</w:t>
            </w:r>
            <w:r w:rsidRPr="002140D7">
              <w:rPr>
                <w:rFonts w:ascii="Times New Roman" w:hAnsi="Times New Roman"/>
                <w:sz w:val="24"/>
                <w:lang w:val="it-IT"/>
              </w:rPr>
              <w:t>importo delle somme dovute da prestiti che non sono in stato di default conformemente all</w:t>
            </w:r>
            <w:r w:rsidR="0031704F" w:rsidRPr="002140D7">
              <w:rPr>
                <w:rFonts w:ascii="Times New Roman" w:hAnsi="Times New Roman"/>
                <w:sz w:val="24"/>
                <w:lang w:val="it-IT"/>
              </w:rPr>
              <w:t>'</w:t>
            </w: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178 del CRR e sono depositi operativi a norma del regolamento delegato (UE) 2015/61 della Commissione e sono necessari per la prestazione di servizi operativi.</w:t>
            </w:r>
          </w:p>
        </w:tc>
      </w:tr>
      <w:tr w:rsidR="007E1815" w:rsidRPr="002140D7" w14:paraId="51365A88" w14:textId="77777777" w:rsidTr="00D819DE">
        <w:tc>
          <w:tcPr>
            <w:tcW w:w="1355" w:type="dxa"/>
          </w:tcPr>
          <w:p w14:paraId="4C013878"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17</w:t>
            </w:r>
          </w:p>
        </w:tc>
        <w:tc>
          <w:tcPr>
            <w:tcW w:w="7705" w:type="dxa"/>
          </w:tcPr>
          <w:p w14:paraId="65E0396B"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Prestiti e titoli in bonis:</w:t>
            </w:r>
          </w:p>
          <w:p w14:paraId="6607B84D"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la somma degli importi delle righe 18, 19, 20, 22 e 24 di questo modello.</w:t>
            </w:r>
          </w:p>
        </w:tc>
      </w:tr>
      <w:tr w:rsidR="007E1815" w:rsidRPr="002140D7" w14:paraId="4BAAFBF3" w14:textId="77777777" w:rsidTr="00D819DE">
        <w:tc>
          <w:tcPr>
            <w:tcW w:w="1355" w:type="dxa"/>
          </w:tcPr>
          <w:p w14:paraId="2D3BF736"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18</w:t>
            </w:r>
          </w:p>
        </w:tc>
        <w:tc>
          <w:tcPr>
            <w:tcW w:w="7705" w:type="dxa"/>
          </w:tcPr>
          <w:p w14:paraId="7087AA5B" w14:textId="5BFFE190"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Operazioni di finanziamento tramite titoli in bonis con clienti finanziari garantite da HQLA di livello</w:t>
            </w:r>
            <w:r w:rsidR="00236BAE" w:rsidRPr="002140D7">
              <w:rPr>
                <w:rFonts w:ascii="Times New Roman" w:hAnsi="Times New Roman"/>
                <w:b/>
                <w:sz w:val="24"/>
                <w:lang w:val="it-IT"/>
              </w:rPr>
              <w:t> </w:t>
            </w:r>
            <w:r w:rsidRPr="002140D7">
              <w:rPr>
                <w:rFonts w:ascii="Times New Roman" w:hAnsi="Times New Roman"/>
                <w:b/>
                <w:sz w:val="24"/>
                <w:lang w:val="it-IT"/>
              </w:rPr>
              <w:t>1 soggette a un coefficiente di scarto dello</w:t>
            </w:r>
            <w:r w:rsidR="00236BAE" w:rsidRPr="002140D7">
              <w:rPr>
                <w:rFonts w:ascii="Times New Roman" w:hAnsi="Times New Roman"/>
                <w:b/>
                <w:sz w:val="24"/>
                <w:lang w:val="it-IT"/>
              </w:rPr>
              <w:t> </w:t>
            </w:r>
            <w:r w:rsidRPr="002140D7">
              <w:rPr>
                <w:rFonts w:ascii="Times New Roman" w:hAnsi="Times New Roman"/>
                <w:b/>
                <w:sz w:val="24"/>
                <w:lang w:val="it-IT"/>
              </w:rPr>
              <w:t>0 %</w:t>
            </w:r>
          </w:p>
          <w:p w14:paraId="1F9F59CD" w14:textId="046B7FFC" w:rsidR="007E1815" w:rsidRPr="002140D7" w:rsidRDefault="007E1815" w:rsidP="00D819DE">
            <w:pPr>
              <w:spacing w:after="240"/>
              <w:jc w:val="both"/>
              <w:rPr>
                <w:lang w:val="it-IT"/>
              </w:rPr>
            </w:pPr>
            <w:r w:rsidRPr="002140D7">
              <w:rPr>
                <w:rFonts w:ascii="Times New Roman" w:hAnsi="Times New Roman"/>
                <w:sz w:val="24"/>
                <w:lang w:val="it-IT"/>
              </w:rPr>
              <w:t>Articolo</w:t>
            </w:r>
            <w:r w:rsidR="00236BAE" w:rsidRPr="002140D7">
              <w:rPr>
                <w:rFonts w:ascii="Times New Roman" w:hAnsi="Times New Roman"/>
                <w:sz w:val="24"/>
                <w:lang w:val="it-IT"/>
              </w:rPr>
              <w:t> </w:t>
            </w:r>
            <w:r w:rsidRPr="002140D7">
              <w:rPr>
                <w:rFonts w:ascii="Times New Roman" w:hAnsi="Times New Roman"/>
                <w:sz w:val="24"/>
                <w:lang w:val="it-IT"/>
              </w:rPr>
              <w:t>428</w:t>
            </w:r>
            <w:r w:rsidR="00236BAE" w:rsidRPr="002140D7">
              <w:rPr>
                <w:rFonts w:ascii="Times New Roman" w:hAnsi="Times New Roman"/>
                <w:sz w:val="24"/>
                <w:lang w:val="it-IT"/>
              </w:rPr>
              <w:t> </w:t>
            </w:r>
            <w:r w:rsidRPr="002140D7">
              <w:rPr>
                <w:rFonts w:ascii="Times New Roman" w:hAnsi="Times New Roman"/>
                <w:sz w:val="24"/>
                <w:lang w:val="it-IT"/>
              </w:rPr>
              <w:t>sexies, articolo</w:t>
            </w:r>
            <w:r w:rsidR="00236BAE" w:rsidRPr="002140D7">
              <w:rPr>
                <w:rFonts w:ascii="Times New Roman" w:hAnsi="Times New Roman"/>
                <w:sz w:val="24"/>
                <w:lang w:val="it-IT"/>
              </w:rPr>
              <w:t> </w:t>
            </w:r>
            <w:r w:rsidRPr="002140D7">
              <w:rPr>
                <w:rFonts w:ascii="Times New Roman" w:hAnsi="Times New Roman"/>
                <w:sz w:val="24"/>
                <w:lang w:val="it-IT"/>
              </w:rPr>
              <w:t>428</w:t>
            </w:r>
            <w:r w:rsidR="00236BAE" w:rsidRPr="002140D7">
              <w:rPr>
                <w:rFonts w:ascii="Times New Roman" w:hAnsi="Times New Roman"/>
                <w:sz w:val="24"/>
                <w:lang w:val="it-IT"/>
              </w:rPr>
              <w:t> </w:t>
            </w:r>
            <w:r w:rsidRPr="002140D7">
              <w:rPr>
                <w:rFonts w:ascii="Times New Roman" w:hAnsi="Times New Roman"/>
                <w:sz w:val="24"/>
                <w:lang w:val="it-IT"/>
              </w:rPr>
              <w:t>novodecies, paragrafo</w:t>
            </w:r>
            <w:r w:rsidR="00236BAE" w:rsidRPr="002140D7">
              <w:rPr>
                <w:rFonts w:ascii="Times New Roman" w:hAnsi="Times New Roman"/>
                <w:sz w:val="24"/>
                <w:lang w:val="it-IT"/>
              </w:rPr>
              <w:t> </w:t>
            </w:r>
            <w:r w:rsidRPr="002140D7">
              <w:rPr>
                <w:rFonts w:ascii="Times New Roman" w:hAnsi="Times New Roman"/>
                <w:sz w:val="24"/>
                <w:lang w:val="it-IT"/>
              </w:rPr>
              <w:t>1, lettera</w:t>
            </w:r>
            <w:r w:rsidR="00236BAE" w:rsidRPr="002140D7">
              <w:rPr>
                <w:rFonts w:ascii="Times New Roman" w:hAnsi="Times New Roman"/>
                <w:sz w:val="24"/>
                <w:lang w:val="it-IT"/>
              </w:rPr>
              <w:t> </w:t>
            </w:r>
            <w:r w:rsidRPr="002140D7">
              <w:rPr>
                <w:rFonts w:ascii="Times New Roman" w:hAnsi="Times New Roman"/>
                <w:sz w:val="24"/>
                <w:lang w:val="it-IT"/>
              </w:rPr>
              <w:t>g), e articolo</w:t>
            </w:r>
            <w:r w:rsidR="00236BAE" w:rsidRPr="002140D7">
              <w:rPr>
                <w:rFonts w:ascii="Times New Roman" w:hAnsi="Times New Roman"/>
                <w:sz w:val="24"/>
                <w:lang w:val="it-IT"/>
              </w:rPr>
              <w:t> </w:t>
            </w:r>
            <w:r w:rsidRPr="002140D7">
              <w:rPr>
                <w:rFonts w:ascii="Times New Roman" w:hAnsi="Times New Roman"/>
                <w:sz w:val="24"/>
                <w:lang w:val="it-IT"/>
              </w:rPr>
              <w:t>428 vicies, lettera b), del CRR.</w:t>
            </w:r>
          </w:p>
          <w:p w14:paraId="3F44C0F3" w14:textId="425842E5"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pubblicano qui l</w:t>
            </w:r>
            <w:r w:rsidR="0031704F" w:rsidRPr="002140D7">
              <w:rPr>
                <w:rFonts w:ascii="Times New Roman" w:hAnsi="Times New Roman"/>
                <w:sz w:val="24"/>
                <w:lang w:val="it-IT"/>
              </w:rPr>
              <w:t>'</w:t>
            </w:r>
            <w:r w:rsidRPr="002140D7">
              <w:rPr>
                <w:rFonts w:ascii="Times New Roman" w:hAnsi="Times New Roman"/>
                <w:sz w:val="24"/>
                <w:lang w:val="it-IT"/>
              </w:rPr>
              <w:t>importo delle somme dovute da operazioni di finanziamento tramite titoli che non sono in stato di default conformemente all</w:t>
            </w:r>
            <w:r w:rsidR="0031704F" w:rsidRPr="002140D7">
              <w:rPr>
                <w:rFonts w:ascii="Times New Roman" w:hAnsi="Times New Roman"/>
                <w:sz w:val="24"/>
                <w:lang w:val="it-IT"/>
              </w:rPr>
              <w:t>'</w:t>
            </w:r>
            <w:r w:rsidRPr="002140D7">
              <w:rPr>
                <w:rFonts w:ascii="Times New Roman" w:hAnsi="Times New Roman"/>
                <w:sz w:val="24"/>
                <w:lang w:val="it-IT"/>
              </w:rPr>
              <w:t xml:space="preserve">articolo 178 del CRR con clienti finanziari e che sono garantite da attività </w:t>
            </w:r>
            <w:r w:rsidRPr="002140D7">
              <w:rPr>
                <w:rFonts w:ascii="Times New Roman" w:hAnsi="Times New Roman"/>
                <w:sz w:val="24"/>
                <w:lang w:val="it-IT"/>
              </w:rPr>
              <w:lastRenderedPageBreak/>
              <w:t>di livello 1 ammissibili a un coefficiente di scarto dello 0 % a norma del regolamento delegato (UE) 2015/61 della Commissione.</w:t>
            </w:r>
          </w:p>
        </w:tc>
      </w:tr>
      <w:tr w:rsidR="007E1815" w:rsidRPr="002140D7" w14:paraId="3C902540" w14:textId="77777777" w:rsidTr="00D819DE">
        <w:tc>
          <w:tcPr>
            <w:tcW w:w="1355" w:type="dxa"/>
          </w:tcPr>
          <w:p w14:paraId="799072AA"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lastRenderedPageBreak/>
              <w:t>19</w:t>
            </w:r>
          </w:p>
        </w:tc>
        <w:tc>
          <w:tcPr>
            <w:tcW w:w="7705" w:type="dxa"/>
          </w:tcPr>
          <w:p w14:paraId="358BD859" w14:textId="77777777" w:rsidR="007E1815" w:rsidRPr="002140D7" w:rsidRDefault="007E1815" w:rsidP="00D819DE">
            <w:pPr>
              <w:pStyle w:val="TableParagraph"/>
              <w:spacing w:after="240"/>
              <w:ind w:right="96"/>
              <w:jc w:val="both"/>
              <w:rPr>
                <w:rFonts w:ascii="Times New Roman" w:hAnsi="Times New Roman"/>
                <w:sz w:val="24"/>
                <w:szCs w:val="24"/>
                <w:lang w:val="it-IT"/>
              </w:rPr>
            </w:pPr>
            <w:r w:rsidRPr="002140D7">
              <w:rPr>
                <w:rFonts w:ascii="Times New Roman" w:hAnsi="Times New Roman"/>
                <w:b/>
                <w:sz w:val="24"/>
                <w:lang w:val="it-IT"/>
              </w:rPr>
              <w:t>Operazioni di finanziamento tramite titoli in bonis con clienti finanziari garantite da altre attività e altri prestiti e anticipazioni a enti finanziari</w:t>
            </w:r>
          </w:p>
          <w:p w14:paraId="50F79A15" w14:textId="77777777" w:rsidR="007E1815" w:rsidRPr="002140D7" w:rsidRDefault="007E1815" w:rsidP="00D819DE">
            <w:pPr>
              <w:pStyle w:val="TableParagraph"/>
              <w:spacing w:after="240"/>
              <w:ind w:right="96"/>
              <w:jc w:val="both"/>
              <w:rPr>
                <w:rFonts w:ascii="Times New Roman" w:hAnsi="Times New Roman"/>
                <w:sz w:val="24"/>
                <w:lang w:val="it-IT"/>
              </w:rPr>
            </w:pPr>
            <w:r w:rsidRPr="002140D7">
              <w:rPr>
                <w:rFonts w:ascii="Times New Roman" w:hAnsi="Times New Roman"/>
                <w:sz w:val="24"/>
                <w:lang w:val="it-IT"/>
              </w:rPr>
              <w:t>Articolo 428 vicies, lettera b), articolo 428 untricies, lettera d), articolo 428 quintricies, paragrafo 1, lettera b), e articolo 428 tervicies, lettera a), del CRR.</w:t>
            </w:r>
          </w:p>
          <w:p w14:paraId="45DF09F8"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includono qui la somma dei seguenti elementi:</w:t>
            </w:r>
          </w:p>
          <w:p w14:paraId="188E4FFB" w14:textId="26CB478B" w:rsidR="007E1815" w:rsidRPr="002140D7" w:rsidRDefault="007E1815" w:rsidP="007E1815">
            <w:pPr>
              <w:pStyle w:val="ListParagraph"/>
              <w:numPr>
                <w:ilvl w:val="0"/>
                <w:numId w:val="8"/>
              </w:numPr>
              <w:spacing w:after="240"/>
              <w:contextualSpacing/>
              <w:jc w:val="both"/>
              <w:rPr>
                <w:rFonts w:ascii="Times New Roman" w:hAnsi="Times New Roman"/>
                <w:sz w:val="24"/>
                <w:lang w:val="it-IT"/>
              </w:rPr>
            </w:pPr>
            <w:r w:rsidRPr="002140D7">
              <w:rPr>
                <w:rFonts w:ascii="Times New Roman" w:hAnsi="Times New Roman"/>
                <w:sz w:val="24"/>
                <w:lang w:val="it-IT"/>
              </w:rPr>
              <w:t>l</w:t>
            </w:r>
            <w:r w:rsidR="0031704F" w:rsidRPr="002140D7">
              <w:rPr>
                <w:rFonts w:ascii="Times New Roman" w:hAnsi="Times New Roman"/>
                <w:sz w:val="24"/>
                <w:lang w:val="it-IT"/>
              </w:rPr>
              <w:t>'</w:t>
            </w:r>
            <w:r w:rsidRPr="002140D7">
              <w:rPr>
                <w:rFonts w:ascii="Times New Roman" w:hAnsi="Times New Roman"/>
                <w:sz w:val="24"/>
                <w:lang w:val="it-IT"/>
              </w:rPr>
              <w:t>importo delle somme dovute da operazioni di finanziamento tramite titoli che non sono in stato di default conformemente all</w:t>
            </w:r>
            <w:r w:rsidR="0031704F" w:rsidRPr="002140D7">
              <w:rPr>
                <w:rFonts w:ascii="Times New Roman" w:hAnsi="Times New Roman"/>
                <w:sz w:val="24"/>
                <w:lang w:val="it-IT"/>
              </w:rPr>
              <w:t>'</w:t>
            </w:r>
            <w:r w:rsidRPr="002140D7">
              <w:rPr>
                <w:rFonts w:ascii="Times New Roman" w:hAnsi="Times New Roman"/>
                <w:sz w:val="24"/>
                <w:lang w:val="it-IT"/>
              </w:rPr>
              <w:t>articolo 178 del CRR con clienti finanziari e che sono garantite da attività diverse da quelle di livello 1 ammissibili a un coefficiente di scarto dello 0 % a norma del regolamento delegato (UE) 2015/61 della Commissione; e</w:t>
            </w:r>
          </w:p>
          <w:p w14:paraId="269EFE57" w14:textId="37152A8F" w:rsidR="007E1815" w:rsidRPr="002140D7" w:rsidRDefault="007E1815" w:rsidP="007E1815">
            <w:pPr>
              <w:pStyle w:val="ListParagraph"/>
              <w:numPr>
                <w:ilvl w:val="0"/>
                <w:numId w:val="8"/>
              </w:numPr>
              <w:spacing w:after="240"/>
              <w:contextualSpacing/>
              <w:jc w:val="both"/>
              <w:rPr>
                <w:rFonts w:ascii="Times New Roman" w:hAnsi="Times New Roman"/>
                <w:sz w:val="24"/>
                <w:lang w:val="it-IT"/>
              </w:rPr>
            </w:pPr>
            <w:r w:rsidRPr="002140D7">
              <w:rPr>
                <w:rFonts w:ascii="Times New Roman" w:hAnsi="Times New Roman"/>
                <w:sz w:val="24"/>
                <w:lang w:val="it-IT"/>
              </w:rPr>
              <w:t>l</w:t>
            </w:r>
            <w:r w:rsidR="0031704F" w:rsidRPr="002140D7">
              <w:rPr>
                <w:rFonts w:ascii="Times New Roman" w:hAnsi="Times New Roman"/>
                <w:sz w:val="24"/>
                <w:lang w:val="it-IT"/>
              </w:rPr>
              <w:t>'</w:t>
            </w:r>
            <w:r w:rsidRPr="002140D7">
              <w:rPr>
                <w:rFonts w:ascii="Times New Roman" w:hAnsi="Times New Roman"/>
                <w:sz w:val="24"/>
                <w:lang w:val="it-IT"/>
              </w:rPr>
              <w:t>importo delle somme dovute da altri prestiti e anticipazioni, che non sono in stato di default a norma dell</w:t>
            </w:r>
            <w:r w:rsidR="0031704F" w:rsidRPr="002140D7">
              <w:rPr>
                <w:rFonts w:ascii="Times New Roman" w:hAnsi="Times New Roman"/>
                <w:sz w:val="24"/>
                <w:lang w:val="it-IT"/>
              </w:rPr>
              <w:t>'</w:t>
            </w:r>
            <w:r w:rsidRPr="002140D7">
              <w:rPr>
                <w:rFonts w:ascii="Times New Roman" w:hAnsi="Times New Roman"/>
                <w:sz w:val="24"/>
                <w:lang w:val="it-IT"/>
              </w:rPr>
              <w:t>articolo 178 del CRR, con clienti finanziari, conformemente all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428</w:t>
            </w:r>
            <w:r w:rsidR="00D877EA" w:rsidRPr="002140D7">
              <w:rPr>
                <w:rFonts w:ascii="Times New Roman" w:hAnsi="Times New Roman"/>
                <w:sz w:val="24"/>
                <w:lang w:val="it-IT"/>
              </w:rPr>
              <w:t> </w:t>
            </w:r>
            <w:r w:rsidRPr="002140D7">
              <w:rPr>
                <w:rFonts w:ascii="Times New Roman" w:hAnsi="Times New Roman"/>
                <w:sz w:val="24"/>
                <w:lang w:val="it-IT"/>
              </w:rPr>
              <w:t>tervicies, lettera</w:t>
            </w:r>
            <w:r w:rsidR="00D877EA" w:rsidRPr="002140D7">
              <w:rPr>
                <w:rFonts w:ascii="Times New Roman" w:hAnsi="Times New Roman"/>
                <w:sz w:val="24"/>
                <w:lang w:val="it-IT"/>
              </w:rPr>
              <w:t> </w:t>
            </w:r>
            <w:r w:rsidRPr="002140D7">
              <w:rPr>
                <w:rFonts w:ascii="Times New Roman" w:hAnsi="Times New Roman"/>
                <w:sz w:val="24"/>
                <w:lang w:val="it-IT"/>
              </w:rPr>
              <w:t>a), e all</w:t>
            </w:r>
            <w:r w:rsidR="0031704F" w:rsidRPr="002140D7">
              <w:rPr>
                <w:rFonts w:ascii="Times New Roman" w:hAnsi="Times New Roman"/>
                <w:sz w:val="24"/>
                <w:lang w:val="it-IT"/>
              </w:rPr>
              <w:t>'</w:t>
            </w:r>
            <w:r w:rsidRPr="002140D7">
              <w:rPr>
                <w:rFonts w:ascii="Times New Roman" w:hAnsi="Times New Roman"/>
                <w:sz w:val="24"/>
                <w:lang w:val="it-IT"/>
              </w:rPr>
              <w:t>articolo 428 untricies, lettera d), punto iii), del CRR.</w:t>
            </w:r>
          </w:p>
        </w:tc>
      </w:tr>
      <w:tr w:rsidR="007E1815" w:rsidRPr="002140D7" w14:paraId="16173500" w14:textId="77777777" w:rsidTr="00D819DE">
        <w:tc>
          <w:tcPr>
            <w:tcW w:w="1355" w:type="dxa"/>
          </w:tcPr>
          <w:p w14:paraId="00F1D355"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20</w:t>
            </w:r>
          </w:p>
        </w:tc>
        <w:tc>
          <w:tcPr>
            <w:tcW w:w="7705" w:type="dxa"/>
          </w:tcPr>
          <w:p w14:paraId="58451781"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Prestiti in bonis a clienti costituiti da società non finanziarie, clienti al dettaglio, piccole imprese e prestiti a emittenti sovrani e organismi del settore pubblico, di cui:</w:t>
            </w:r>
          </w:p>
          <w:p w14:paraId="6DA38F78"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articolo 428 untricies, lettera c), 428 tertricies e articolo 428 quatertricies, lettera c), del CRR.</w:t>
            </w:r>
          </w:p>
          <w:p w14:paraId="36C3F192" w14:textId="2048057C"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gli importi delle somme dovute da prestiti che non sono in stato di default a norma dell</w:t>
            </w:r>
            <w:r w:rsidR="0031704F" w:rsidRPr="002140D7">
              <w:rPr>
                <w:rFonts w:ascii="Times New Roman" w:hAnsi="Times New Roman"/>
                <w:sz w:val="24"/>
                <w:lang w:val="it-IT"/>
              </w:rPr>
              <w:t>'</w:t>
            </w:r>
            <w:r w:rsidRPr="002140D7">
              <w:rPr>
                <w:rFonts w:ascii="Times New Roman" w:hAnsi="Times New Roman"/>
                <w:sz w:val="24"/>
                <w:lang w:val="it-IT"/>
              </w:rPr>
              <w:t>articolo 178 del CRR, che sono prestiti sugli immobili residenziali pienamente garantiti da un fornitore di protezione ammissibile di cui all</w:t>
            </w:r>
            <w:r w:rsidR="0031704F" w:rsidRPr="002140D7">
              <w:rPr>
                <w:rFonts w:ascii="Times New Roman" w:hAnsi="Times New Roman"/>
                <w:sz w:val="24"/>
                <w:lang w:val="it-IT"/>
              </w:rPr>
              <w:t>'</w:t>
            </w:r>
            <w:r w:rsidRPr="002140D7">
              <w:rPr>
                <w:rFonts w:ascii="Times New Roman" w:hAnsi="Times New Roman"/>
                <w:sz w:val="24"/>
                <w:lang w:val="it-IT"/>
              </w:rPr>
              <w:t>articolo 129, paragrafo 1, lettera e), del CRR o prestiti, esclusi i prestiti ai clienti finanziari e i prestiti di cui agli articoli da 428 novodecies a 428 untricies, eccetto l</w:t>
            </w:r>
            <w:r w:rsidR="0031704F" w:rsidRPr="002140D7">
              <w:rPr>
                <w:rFonts w:ascii="Times New Roman" w:hAnsi="Times New Roman"/>
                <w:sz w:val="24"/>
                <w:lang w:val="it-IT"/>
              </w:rPr>
              <w:t>'</w:t>
            </w:r>
            <w:r w:rsidRPr="002140D7">
              <w:rPr>
                <w:rFonts w:ascii="Times New Roman" w:hAnsi="Times New Roman"/>
                <w:sz w:val="24"/>
                <w:lang w:val="it-IT"/>
              </w:rPr>
              <w:t>articolo 428 untricies, lettera c), del CRR, indipendentemente dai fattori di ponderazione del rischio assegnati a tali prestiti. Tale importo non comprende le esposizioni garantite da ipoteche su immobili residenziali.</w:t>
            </w:r>
          </w:p>
        </w:tc>
      </w:tr>
      <w:tr w:rsidR="007E1815" w:rsidRPr="002140D7" w14:paraId="20F6DFE3" w14:textId="77777777" w:rsidTr="00D819DE">
        <w:tc>
          <w:tcPr>
            <w:tcW w:w="1355" w:type="dxa"/>
          </w:tcPr>
          <w:p w14:paraId="1358F501"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21</w:t>
            </w:r>
          </w:p>
        </w:tc>
        <w:tc>
          <w:tcPr>
            <w:tcW w:w="7705" w:type="dxa"/>
          </w:tcPr>
          <w:p w14:paraId="56BBDD16"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Con un fattore di ponderazione del rischio pari o inferiore al 35 % nel quadro del metodo standardizzato di Basilea II per il rischio di credito</w:t>
            </w:r>
          </w:p>
          <w:p w14:paraId="001D77E7" w14:textId="77777777" w:rsidR="007E1815" w:rsidRPr="002140D7" w:rsidRDefault="007E1815" w:rsidP="00D819DE">
            <w:pPr>
              <w:pStyle w:val="TableParagraph"/>
              <w:spacing w:after="240"/>
              <w:ind w:right="99"/>
              <w:jc w:val="both"/>
              <w:rPr>
                <w:rFonts w:ascii="Times New Roman" w:hAnsi="Times New Roman"/>
                <w:sz w:val="24"/>
                <w:szCs w:val="24"/>
                <w:lang w:val="it-IT"/>
              </w:rPr>
            </w:pPr>
            <w:r w:rsidRPr="002140D7">
              <w:rPr>
                <w:rFonts w:ascii="Times New Roman" w:hAnsi="Times New Roman"/>
                <w:sz w:val="24"/>
                <w:lang w:val="it-IT"/>
              </w:rPr>
              <w:t>Articolo 428 untricies, lettera c), e articolo 428 tertricies del CRR.</w:t>
            </w:r>
          </w:p>
          <w:p w14:paraId="058D8368"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pubblicano qui gli importi dei prestiti della riga 21 di questo modello a cui è attribuito un fattore di ponderazione del rischio pari o inferiore al 35 % conformemente alla parte tre, titolo II, capo 2, del CRR.</w:t>
            </w:r>
          </w:p>
        </w:tc>
      </w:tr>
      <w:tr w:rsidR="007E1815" w:rsidRPr="002140D7" w14:paraId="29C889F9" w14:textId="77777777" w:rsidTr="00D819DE">
        <w:tc>
          <w:tcPr>
            <w:tcW w:w="1355" w:type="dxa"/>
          </w:tcPr>
          <w:p w14:paraId="39F7C4AB" w14:textId="77777777" w:rsidR="007E1815" w:rsidRPr="002140D7" w:rsidRDefault="007E1815" w:rsidP="00D877EA">
            <w:pPr>
              <w:keepNext/>
              <w:spacing w:after="240"/>
              <w:jc w:val="both"/>
              <w:rPr>
                <w:rFonts w:ascii="Times New Roman" w:hAnsi="Times New Roman"/>
                <w:sz w:val="24"/>
                <w:lang w:val="it-IT"/>
              </w:rPr>
            </w:pPr>
            <w:r w:rsidRPr="002140D7">
              <w:rPr>
                <w:rFonts w:ascii="Times New Roman" w:hAnsi="Times New Roman"/>
                <w:sz w:val="24"/>
                <w:lang w:val="it-IT"/>
              </w:rPr>
              <w:lastRenderedPageBreak/>
              <w:t>22</w:t>
            </w:r>
          </w:p>
        </w:tc>
        <w:tc>
          <w:tcPr>
            <w:tcW w:w="7705" w:type="dxa"/>
          </w:tcPr>
          <w:p w14:paraId="7140A66D" w14:textId="77777777" w:rsidR="007E1815" w:rsidRPr="002140D7" w:rsidRDefault="007E1815" w:rsidP="00D877EA">
            <w:pPr>
              <w:keepNext/>
              <w:spacing w:after="240"/>
              <w:jc w:val="both"/>
              <w:rPr>
                <w:rFonts w:ascii="Times New Roman" w:hAnsi="Times New Roman" w:cs="Times New Roman"/>
                <w:b/>
                <w:sz w:val="24"/>
                <w:lang w:val="it-IT"/>
              </w:rPr>
            </w:pPr>
            <w:r w:rsidRPr="002140D7">
              <w:rPr>
                <w:rFonts w:ascii="Times New Roman" w:hAnsi="Times New Roman"/>
                <w:b/>
                <w:sz w:val="24"/>
                <w:lang w:val="it-IT"/>
              </w:rPr>
              <w:t>Mutui ipotecari su immobili residenziali in bonis, di cui:</w:t>
            </w:r>
          </w:p>
          <w:p w14:paraId="583DA513" w14:textId="29842879" w:rsidR="007E1815" w:rsidRPr="002140D7" w:rsidRDefault="007E1815" w:rsidP="00D877EA">
            <w:pPr>
              <w:keepNext/>
              <w:spacing w:after="240"/>
              <w:jc w:val="both"/>
              <w:rPr>
                <w:rFonts w:ascii="Times New Roman" w:hAnsi="Times New Roman"/>
                <w:b/>
                <w:sz w:val="24"/>
                <w:lang w:val="it-IT"/>
              </w:rPr>
            </w:pPr>
            <w:r w:rsidRPr="002140D7">
              <w:rPr>
                <w:rFonts w:ascii="Times New Roman" w:hAnsi="Times New Roman"/>
                <w:sz w:val="24"/>
                <w:lang w:val="it-IT"/>
              </w:rPr>
              <w:t>articolo 428 untricies, lettera</w:t>
            </w:r>
            <w:r w:rsidR="00D877EA" w:rsidRPr="002140D7">
              <w:rPr>
                <w:rFonts w:ascii="Times New Roman" w:hAnsi="Times New Roman"/>
                <w:sz w:val="24"/>
                <w:lang w:val="it-IT"/>
              </w:rPr>
              <w:t> </w:t>
            </w:r>
            <w:r w:rsidRPr="002140D7">
              <w:rPr>
                <w:rFonts w:ascii="Times New Roman" w:hAnsi="Times New Roman"/>
                <w:sz w:val="24"/>
                <w:lang w:val="it-IT"/>
              </w:rPr>
              <w:t>c), 428</w:t>
            </w:r>
            <w:r w:rsidR="00D877EA" w:rsidRPr="002140D7">
              <w:rPr>
                <w:rFonts w:ascii="Times New Roman" w:hAnsi="Times New Roman"/>
                <w:sz w:val="24"/>
                <w:lang w:val="it-IT"/>
              </w:rPr>
              <w:t> </w:t>
            </w:r>
            <w:r w:rsidRPr="002140D7">
              <w:rPr>
                <w:rFonts w:ascii="Times New Roman" w:hAnsi="Times New Roman"/>
                <w:sz w:val="24"/>
                <w:lang w:val="it-IT"/>
              </w:rPr>
              <w:t>tertricies, lettera</w:t>
            </w:r>
            <w:r w:rsidR="00D877EA" w:rsidRPr="002140D7">
              <w:rPr>
                <w:rFonts w:ascii="Times New Roman" w:hAnsi="Times New Roman"/>
                <w:sz w:val="24"/>
                <w:lang w:val="it-IT"/>
              </w:rPr>
              <w:t> </w:t>
            </w:r>
            <w:r w:rsidRPr="002140D7">
              <w:rPr>
                <w:rFonts w:ascii="Times New Roman" w:hAnsi="Times New Roman"/>
                <w:sz w:val="24"/>
                <w:lang w:val="it-IT"/>
              </w:rPr>
              <w:t>a), e articolo</w:t>
            </w:r>
            <w:r w:rsidR="00D877EA" w:rsidRPr="002140D7">
              <w:rPr>
                <w:rFonts w:ascii="Times New Roman" w:hAnsi="Times New Roman"/>
                <w:sz w:val="24"/>
                <w:lang w:val="it-IT"/>
              </w:rPr>
              <w:t> </w:t>
            </w:r>
            <w:r w:rsidRPr="002140D7">
              <w:rPr>
                <w:rFonts w:ascii="Times New Roman" w:hAnsi="Times New Roman"/>
                <w:sz w:val="24"/>
                <w:lang w:val="it-IT"/>
              </w:rPr>
              <w:t>428 quatertricies, lettera c), del CRR.</w:t>
            </w:r>
          </w:p>
          <w:p w14:paraId="4FF29EF2" w14:textId="0EB2750A" w:rsidR="007E1815" w:rsidRPr="002140D7" w:rsidRDefault="007E1815" w:rsidP="00D877EA">
            <w:pPr>
              <w:pStyle w:val="TableParagraph"/>
              <w:keepNext/>
              <w:spacing w:after="240"/>
              <w:ind w:right="99"/>
              <w:jc w:val="both"/>
              <w:rPr>
                <w:rFonts w:ascii="Times New Roman" w:hAnsi="Times New Roman"/>
                <w:sz w:val="24"/>
                <w:szCs w:val="24"/>
                <w:lang w:val="it-IT"/>
              </w:rPr>
            </w:pPr>
            <w:r w:rsidRPr="002140D7">
              <w:rPr>
                <w:rFonts w:ascii="Times New Roman" w:hAnsi="Times New Roman"/>
                <w:sz w:val="24"/>
                <w:lang w:val="it-IT"/>
              </w:rPr>
              <w:t>Gli enti indicano qui gli importi delle somme dovute da prestiti che non sono in stato di default a norma dell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178 del CRR, che sono prestiti garantiti da mutui ipotecari su immobili residenziali, esclusi i prestiti ai clienti finanziari e i prestiti di cui agli articoli da 428 novodecies a 428 untricies, eccetto l</w:t>
            </w:r>
            <w:r w:rsidR="0031704F" w:rsidRPr="002140D7">
              <w:rPr>
                <w:rFonts w:ascii="Times New Roman" w:hAnsi="Times New Roman"/>
                <w:sz w:val="24"/>
                <w:lang w:val="it-IT"/>
              </w:rPr>
              <w:t>'</w:t>
            </w:r>
            <w:r w:rsidRPr="002140D7">
              <w:rPr>
                <w:rFonts w:ascii="Times New Roman" w:hAnsi="Times New Roman"/>
                <w:sz w:val="24"/>
                <w:lang w:val="it-IT"/>
              </w:rPr>
              <w:t>articolo 428 untricies, lettera c), del CRR, indipendentemente dai fattori di ponderazione del rischio assegnati a tali prestiti.</w:t>
            </w:r>
          </w:p>
        </w:tc>
      </w:tr>
      <w:tr w:rsidR="007E1815" w:rsidRPr="002140D7" w14:paraId="54156A49" w14:textId="77777777" w:rsidTr="00D819DE">
        <w:tc>
          <w:tcPr>
            <w:tcW w:w="1355" w:type="dxa"/>
          </w:tcPr>
          <w:p w14:paraId="0D61EA0E"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23</w:t>
            </w:r>
          </w:p>
        </w:tc>
        <w:tc>
          <w:tcPr>
            <w:tcW w:w="7705" w:type="dxa"/>
          </w:tcPr>
          <w:p w14:paraId="005CD157"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Con un fattore di ponderazione del rischio pari o inferiore al 35 % nel quadro del metodo standardizzato di Basilea II per il rischio di credito</w:t>
            </w:r>
          </w:p>
          <w:p w14:paraId="03D79734"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Articolo 428 untricies, lettera c), e articolo 428 tertricies, lettera a), del CRR.</w:t>
            </w:r>
          </w:p>
          <w:p w14:paraId="00D059E6"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pubblicano qui gli importi dei prestiti della riga 22 di questo modello a cui è attribuito un fattore di ponderazione del rischio pari o inferiore al 35 % conformemente alla parte tre, titolo II, capo 2, del CRR.</w:t>
            </w:r>
          </w:p>
        </w:tc>
      </w:tr>
      <w:tr w:rsidR="007E1815" w:rsidRPr="002140D7" w14:paraId="6434C3BA" w14:textId="77777777" w:rsidTr="00D819DE">
        <w:tc>
          <w:tcPr>
            <w:tcW w:w="1355" w:type="dxa"/>
          </w:tcPr>
          <w:p w14:paraId="549B601B"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24</w:t>
            </w:r>
          </w:p>
        </w:tc>
        <w:tc>
          <w:tcPr>
            <w:tcW w:w="7705" w:type="dxa"/>
          </w:tcPr>
          <w:p w14:paraId="67C2DE86"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Altri prestiti e titoli che non sono in stato di default e che non sono ammissibili come HQLA, compresi gli strumenti di capitale negoziati in mercati e i prodotti in bilancio relativi al finanziamento al commercio</w:t>
            </w:r>
          </w:p>
          <w:p w14:paraId="39DF980B"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la somma dei seguenti elementi:</w:t>
            </w:r>
          </w:p>
          <w:p w14:paraId="51D89DE9" w14:textId="760FDF72" w:rsidR="007E1815" w:rsidRPr="002140D7" w:rsidRDefault="007E1815" w:rsidP="007E1815">
            <w:pPr>
              <w:pStyle w:val="ListParagraph"/>
              <w:numPr>
                <w:ilvl w:val="0"/>
                <w:numId w:val="8"/>
              </w:numPr>
              <w:spacing w:after="240"/>
              <w:contextualSpacing/>
              <w:jc w:val="both"/>
              <w:rPr>
                <w:rFonts w:ascii="Times New Roman" w:hAnsi="Times New Roman"/>
                <w:sz w:val="24"/>
                <w:lang w:val="it-IT"/>
              </w:rPr>
            </w:pPr>
            <w:r w:rsidRPr="002140D7">
              <w:rPr>
                <w:rFonts w:ascii="Times New Roman" w:hAnsi="Times New Roman"/>
                <w:sz w:val="24"/>
                <w:lang w:val="it-IT"/>
              </w:rPr>
              <w:t>a norma dell</w:t>
            </w:r>
            <w:r w:rsidR="0031704F" w:rsidRPr="002140D7">
              <w:rPr>
                <w:rFonts w:ascii="Times New Roman" w:hAnsi="Times New Roman"/>
                <w:sz w:val="24"/>
                <w:lang w:val="it-IT"/>
              </w:rPr>
              <w:t>'</w:t>
            </w:r>
            <w:r w:rsidRPr="002140D7">
              <w:rPr>
                <w:rFonts w:ascii="Times New Roman" w:hAnsi="Times New Roman"/>
                <w:sz w:val="24"/>
                <w:lang w:val="it-IT"/>
              </w:rPr>
              <w:t>articolo 428 quatertricies, lettere e) e f), del CRR, titoli che non sono in stato di default conformemente all</w:t>
            </w:r>
            <w:r w:rsidR="0031704F" w:rsidRPr="002140D7">
              <w:rPr>
                <w:rFonts w:ascii="Times New Roman" w:hAnsi="Times New Roman"/>
                <w:sz w:val="24"/>
                <w:lang w:val="it-IT"/>
              </w:rPr>
              <w:t>'</w:t>
            </w:r>
            <w:r w:rsidRPr="002140D7">
              <w:rPr>
                <w:rFonts w:ascii="Times New Roman" w:hAnsi="Times New Roman"/>
                <w:sz w:val="24"/>
                <w:lang w:val="it-IT"/>
              </w:rPr>
              <w:t>articolo 178 del CRR e che non sono attività liquide a norma del regolamento delegato (UE) 2015/61 della Commissione, a prescindere dal fatto che soddisfino i requisiti operativi ivi stabiliti; e</w:t>
            </w:r>
          </w:p>
          <w:p w14:paraId="7E2ECB28" w14:textId="38EA2207" w:rsidR="007E1815" w:rsidRPr="002140D7" w:rsidRDefault="007E1815" w:rsidP="007E1815">
            <w:pPr>
              <w:pStyle w:val="ListParagraph"/>
              <w:numPr>
                <w:ilvl w:val="0"/>
                <w:numId w:val="8"/>
              </w:numPr>
              <w:spacing w:after="240"/>
              <w:contextualSpacing/>
              <w:jc w:val="both"/>
              <w:rPr>
                <w:rFonts w:ascii="Times New Roman" w:hAnsi="Times New Roman"/>
                <w:sz w:val="24"/>
                <w:lang w:val="it-IT"/>
              </w:rPr>
            </w:pPr>
            <w:r w:rsidRPr="002140D7">
              <w:rPr>
                <w:rFonts w:ascii="Times New Roman" w:hAnsi="Times New Roman"/>
                <w:sz w:val="24"/>
                <w:lang w:val="it-IT"/>
              </w:rPr>
              <w:t>prodotti in bilancio relativi al finanziamento al commercio conformemente all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428 tervicies, lettera</w:t>
            </w:r>
            <w:r w:rsidR="00D877EA" w:rsidRPr="002140D7">
              <w:rPr>
                <w:rFonts w:ascii="Times New Roman" w:hAnsi="Times New Roman"/>
                <w:sz w:val="24"/>
                <w:lang w:val="it-IT"/>
              </w:rPr>
              <w:t> </w:t>
            </w:r>
            <w:r w:rsidRPr="002140D7">
              <w:rPr>
                <w:rFonts w:ascii="Times New Roman" w:hAnsi="Times New Roman"/>
                <w:sz w:val="24"/>
                <w:lang w:val="it-IT"/>
              </w:rPr>
              <w:t>b), all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428 untricies, lettera e) e all</w:t>
            </w:r>
            <w:r w:rsidR="0031704F" w:rsidRPr="002140D7">
              <w:rPr>
                <w:rFonts w:ascii="Times New Roman" w:hAnsi="Times New Roman"/>
                <w:sz w:val="24"/>
                <w:lang w:val="it-IT"/>
              </w:rPr>
              <w:t>'</w:t>
            </w:r>
            <w:r w:rsidRPr="002140D7">
              <w:rPr>
                <w:rFonts w:ascii="Times New Roman" w:hAnsi="Times New Roman"/>
                <w:sz w:val="24"/>
                <w:lang w:val="it-IT"/>
              </w:rPr>
              <w:t>articolo 428 quatertricies, lettera d), del CRR.</w:t>
            </w:r>
          </w:p>
        </w:tc>
      </w:tr>
      <w:tr w:rsidR="007E1815" w:rsidRPr="002140D7" w14:paraId="35E36BF0" w14:textId="77777777" w:rsidTr="00D819DE">
        <w:tc>
          <w:tcPr>
            <w:tcW w:w="1355" w:type="dxa"/>
          </w:tcPr>
          <w:p w14:paraId="57459CB2"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25</w:t>
            </w:r>
          </w:p>
        </w:tc>
        <w:tc>
          <w:tcPr>
            <w:tcW w:w="7705" w:type="dxa"/>
          </w:tcPr>
          <w:p w14:paraId="2499489C"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Attività correlate</w:t>
            </w:r>
          </w:p>
          <w:p w14:paraId="27834A63" w14:textId="77777777" w:rsidR="007E1815" w:rsidRPr="002140D7" w:rsidRDefault="007E1815" w:rsidP="00D819DE">
            <w:pPr>
              <w:pStyle w:val="TableParagraph"/>
              <w:spacing w:after="240"/>
              <w:ind w:right="99"/>
              <w:jc w:val="both"/>
              <w:rPr>
                <w:rFonts w:ascii="Times New Roman" w:hAnsi="Times New Roman"/>
                <w:sz w:val="24"/>
                <w:szCs w:val="24"/>
                <w:lang w:val="it-IT"/>
              </w:rPr>
            </w:pPr>
            <w:r w:rsidRPr="002140D7">
              <w:rPr>
                <w:rFonts w:ascii="Times New Roman" w:hAnsi="Times New Roman"/>
                <w:sz w:val="24"/>
                <w:lang w:val="it-IT"/>
              </w:rPr>
              <w:t>Articolo 428 septies e articolo 428 novodecies, paragrafo 1, lettera f), del CRR.</w:t>
            </w:r>
          </w:p>
          <w:p w14:paraId="72C976E7" w14:textId="6DA7C129"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le attività che, essendo state autorizzate dalle autorità competenti, sono interdipendenti dalle passività conformemente all</w:t>
            </w:r>
            <w:r w:rsidR="0031704F" w:rsidRPr="002140D7">
              <w:rPr>
                <w:rFonts w:ascii="Times New Roman" w:hAnsi="Times New Roman"/>
                <w:sz w:val="24"/>
                <w:lang w:val="it-IT"/>
              </w:rPr>
              <w:t>'</w:t>
            </w:r>
            <w:r w:rsidRPr="002140D7">
              <w:rPr>
                <w:rFonts w:ascii="Times New Roman" w:hAnsi="Times New Roman"/>
                <w:sz w:val="24"/>
                <w:lang w:val="it-IT"/>
              </w:rPr>
              <w:t>articolo 428 septies del CRR.</w:t>
            </w:r>
          </w:p>
        </w:tc>
      </w:tr>
      <w:tr w:rsidR="007E1815" w:rsidRPr="002140D7" w14:paraId="0CF97540" w14:textId="77777777" w:rsidTr="00D819DE">
        <w:tc>
          <w:tcPr>
            <w:tcW w:w="1355" w:type="dxa"/>
          </w:tcPr>
          <w:p w14:paraId="70B09EF1"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26</w:t>
            </w:r>
          </w:p>
        </w:tc>
        <w:tc>
          <w:tcPr>
            <w:tcW w:w="7705" w:type="dxa"/>
          </w:tcPr>
          <w:p w14:paraId="42CE6BB4"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Altre attività:</w:t>
            </w:r>
          </w:p>
          <w:p w14:paraId="04069E74"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indicano qui la somma degli importi delle righe 27, 28, 29, 30 e 31 di questo modello.</w:t>
            </w:r>
          </w:p>
        </w:tc>
      </w:tr>
      <w:tr w:rsidR="007E1815" w:rsidRPr="002140D7" w14:paraId="308B373B" w14:textId="77777777" w:rsidTr="00D819DE">
        <w:tc>
          <w:tcPr>
            <w:tcW w:w="1355" w:type="dxa"/>
          </w:tcPr>
          <w:p w14:paraId="5913D910" w14:textId="77777777" w:rsidR="007E1815" w:rsidRPr="002140D7" w:rsidRDefault="007E1815" w:rsidP="00D877EA">
            <w:pPr>
              <w:keepNext/>
              <w:spacing w:after="240"/>
              <w:jc w:val="both"/>
              <w:rPr>
                <w:rFonts w:ascii="Times New Roman" w:hAnsi="Times New Roman"/>
                <w:sz w:val="24"/>
                <w:lang w:val="it-IT"/>
              </w:rPr>
            </w:pPr>
            <w:r w:rsidRPr="002140D7">
              <w:rPr>
                <w:rFonts w:ascii="Times New Roman" w:hAnsi="Times New Roman"/>
                <w:sz w:val="24"/>
                <w:lang w:val="it-IT"/>
              </w:rPr>
              <w:lastRenderedPageBreak/>
              <w:t>27</w:t>
            </w:r>
          </w:p>
        </w:tc>
        <w:tc>
          <w:tcPr>
            <w:tcW w:w="7705" w:type="dxa"/>
          </w:tcPr>
          <w:p w14:paraId="697B1938" w14:textId="77777777" w:rsidR="007E1815" w:rsidRPr="002140D7" w:rsidRDefault="007E1815" w:rsidP="00D877EA">
            <w:pPr>
              <w:keepNext/>
              <w:spacing w:after="240"/>
              <w:jc w:val="both"/>
              <w:rPr>
                <w:rFonts w:ascii="Times New Roman" w:hAnsi="Times New Roman"/>
                <w:sz w:val="24"/>
                <w:lang w:val="it-IT"/>
              </w:rPr>
            </w:pPr>
            <w:r w:rsidRPr="002140D7">
              <w:rPr>
                <w:rFonts w:ascii="Times New Roman" w:hAnsi="Times New Roman"/>
                <w:b/>
                <w:sz w:val="24"/>
                <w:lang w:val="it-IT"/>
              </w:rPr>
              <w:t>Merci negoziate fisicamente</w:t>
            </w:r>
          </w:p>
          <w:p w14:paraId="32837474" w14:textId="77777777" w:rsidR="007E1815" w:rsidRPr="002140D7" w:rsidRDefault="007E1815" w:rsidP="00D877EA">
            <w:pPr>
              <w:pStyle w:val="TableParagraph"/>
              <w:keepNext/>
              <w:spacing w:after="240"/>
              <w:ind w:right="99"/>
              <w:jc w:val="both"/>
              <w:rPr>
                <w:rFonts w:ascii="Times New Roman" w:hAnsi="Times New Roman"/>
                <w:sz w:val="24"/>
                <w:lang w:val="it-IT"/>
              </w:rPr>
            </w:pPr>
            <w:r w:rsidRPr="002140D7">
              <w:rPr>
                <w:rFonts w:ascii="Times New Roman" w:hAnsi="Times New Roman"/>
                <w:sz w:val="24"/>
                <w:lang w:val="it-IT"/>
              </w:rPr>
              <w:t>Articolo 428 quatertricies, lettera g), del CRR.</w:t>
            </w:r>
          </w:p>
          <w:p w14:paraId="78174A53" w14:textId="389717C3" w:rsidR="007E1815" w:rsidRPr="002140D7" w:rsidRDefault="007E1815" w:rsidP="00D877EA">
            <w:pPr>
              <w:keepNext/>
              <w:spacing w:after="240"/>
              <w:jc w:val="both"/>
              <w:rPr>
                <w:rFonts w:ascii="Times New Roman" w:hAnsi="Times New Roman"/>
                <w:sz w:val="24"/>
                <w:lang w:val="it-IT"/>
              </w:rPr>
            </w:pPr>
            <w:r w:rsidRPr="002140D7">
              <w:rPr>
                <w:rFonts w:ascii="Times New Roman" w:hAnsi="Times New Roman"/>
                <w:sz w:val="24"/>
                <w:lang w:val="it-IT"/>
              </w:rPr>
              <w:t>Gli enti indicano qui l</w:t>
            </w:r>
            <w:r w:rsidR="0031704F" w:rsidRPr="002140D7">
              <w:rPr>
                <w:rFonts w:ascii="Times New Roman" w:hAnsi="Times New Roman"/>
                <w:sz w:val="24"/>
                <w:lang w:val="it-IT"/>
              </w:rPr>
              <w:t>'</w:t>
            </w:r>
            <w:r w:rsidRPr="002140D7">
              <w:rPr>
                <w:rFonts w:ascii="Times New Roman" w:hAnsi="Times New Roman"/>
                <w:sz w:val="24"/>
                <w:lang w:val="it-IT"/>
              </w:rPr>
              <w:t>importo delle merci negoziate fisicamente. Questo importo non comprende gli strumenti derivati su merci.</w:t>
            </w:r>
          </w:p>
        </w:tc>
      </w:tr>
      <w:tr w:rsidR="007E1815" w:rsidRPr="002140D7" w14:paraId="26AD8E34" w14:textId="77777777" w:rsidTr="00D819DE">
        <w:tc>
          <w:tcPr>
            <w:tcW w:w="1355" w:type="dxa"/>
          </w:tcPr>
          <w:p w14:paraId="67D2AD9F"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28</w:t>
            </w:r>
          </w:p>
        </w:tc>
        <w:tc>
          <w:tcPr>
            <w:tcW w:w="7705" w:type="dxa"/>
          </w:tcPr>
          <w:p w14:paraId="185B88C7"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Attività fornite come margine iniziale per i contratti derivati e come contributo ai fondi di garanzia delle CCP</w:t>
            </w:r>
          </w:p>
          <w:p w14:paraId="0A9AEFDF" w14:textId="77777777" w:rsidR="007E1815" w:rsidRPr="002140D7" w:rsidRDefault="007E1815" w:rsidP="00D819DE">
            <w:pPr>
              <w:pStyle w:val="TableParagraph"/>
              <w:spacing w:after="240"/>
              <w:ind w:right="99"/>
              <w:jc w:val="both"/>
              <w:rPr>
                <w:rFonts w:ascii="Times New Roman" w:hAnsi="Times New Roman"/>
                <w:sz w:val="24"/>
                <w:szCs w:val="24"/>
                <w:lang w:val="it-IT"/>
              </w:rPr>
            </w:pPr>
            <w:r w:rsidRPr="002140D7">
              <w:rPr>
                <w:rFonts w:ascii="Times New Roman" w:hAnsi="Times New Roman"/>
                <w:sz w:val="24"/>
                <w:lang w:val="it-IT"/>
              </w:rPr>
              <w:t>Gli enti includono qui la somma dei seguenti elementi:</w:t>
            </w:r>
          </w:p>
          <w:p w14:paraId="74F0EC9D" w14:textId="1B2A873C" w:rsidR="007E1815" w:rsidRPr="002140D7" w:rsidRDefault="007E1815" w:rsidP="007E1815">
            <w:pPr>
              <w:pStyle w:val="ListParagraph"/>
              <w:numPr>
                <w:ilvl w:val="0"/>
                <w:numId w:val="8"/>
              </w:numPr>
              <w:jc w:val="both"/>
              <w:rPr>
                <w:rFonts w:ascii="Times New Roman" w:hAnsi="Times New Roman"/>
                <w:sz w:val="24"/>
                <w:lang w:val="it-IT"/>
              </w:rPr>
            </w:pPr>
            <w:r w:rsidRPr="002140D7">
              <w:rPr>
                <w:rFonts w:ascii="Times New Roman" w:hAnsi="Times New Roman"/>
                <w:sz w:val="24"/>
                <w:lang w:val="it-IT"/>
              </w:rPr>
              <w:t>l</w:t>
            </w:r>
            <w:r w:rsidR="0031704F" w:rsidRPr="002140D7">
              <w:rPr>
                <w:rFonts w:ascii="Times New Roman" w:hAnsi="Times New Roman"/>
                <w:sz w:val="24"/>
                <w:lang w:val="it-IT"/>
              </w:rPr>
              <w:t>'</w:t>
            </w:r>
            <w:r w:rsidRPr="002140D7">
              <w:rPr>
                <w:rFonts w:ascii="Times New Roman" w:hAnsi="Times New Roman"/>
                <w:sz w:val="24"/>
                <w:lang w:val="it-IT"/>
              </w:rPr>
              <w:t>importo del finanziamento stabile richiesto risultante da derivati, conformemente agli articoli 428 quinquies, 428 vicies, paragrafo</w:t>
            </w:r>
            <w:r w:rsidR="00D877EA" w:rsidRPr="002140D7">
              <w:rPr>
                <w:rFonts w:ascii="Times New Roman" w:hAnsi="Times New Roman"/>
                <w:sz w:val="24"/>
                <w:lang w:val="it-IT"/>
              </w:rPr>
              <w:t> </w:t>
            </w:r>
            <w:r w:rsidRPr="002140D7">
              <w:rPr>
                <w:rFonts w:ascii="Times New Roman" w:hAnsi="Times New Roman"/>
                <w:sz w:val="24"/>
                <w:lang w:val="it-IT"/>
              </w:rPr>
              <w:t>2, articolo</w:t>
            </w:r>
            <w:r w:rsidR="00D877EA" w:rsidRPr="002140D7">
              <w:rPr>
                <w:rFonts w:ascii="Times New Roman" w:hAnsi="Times New Roman"/>
                <w:sz w:val="24"/>
                <w:lang w:val="it-IT"/>
              </w:rPr>
              <w:t> </w:t>
            </w:r>
            <w:r w:rsidRPr="002140D7">
              <w:rPr>
                <w:rFonts w:ascii="Times New Roman" w:hAnsi="Times New Roman"/>
                <w:sz w:val="24"/>
                <w:lang w:val="it-IT"/>
              </w:rPr>
              <w:t>428</w:t>
            </w:r>
            <w:r w:rsidR="00D877EA" w:rsidRPr="002140D7">
              <w:rPr>
                <w:rFonts w:ascii="Times New Roman" w:hAnsi="Times New Roman"/>
                <w:sz w:val="24"/>
                <w:lang w:val="it-IT"/>
              </w:rPr>
              <w:t> </w:t>
            </w:r>
            <w:r w:rsidRPr="002140D7">
              <w:rPr>
                <w:rFonts w:ascii="Times New Roman" w:hAnsi="Times New Roman"/>
                <w:sz w:val="24"/>
                <w:lang w:val="it-IT"/>
              </w:rPr>
              <w:t>quatertricies, lettera</w:t>
            </w:r>
            <w:r w:rsidR="00D877EA" w:rsidRPr="002140D7">
              <w:rPr>
                <w:rFonts w:ascii="Times New Roman" w:hAnsi="Times New Roman"/>
                <w:sz w:val="24"/>
                <w:lang w:val="it-IT"/>
              </w:rPr>
              <w:t> </w:t>
            </w:r>
            <w:r w:rsidRPr="002140D7">
              <w:rPr>
                <w:rFonts w:ascii="Times New Roman" w:hAnsi="Times New Roman"/>
                <w:sz w:val="24"/>
                <w:lang w:val="it-IT"/>
              </w:rPr>
              <w:t>a), e articolo</w:t>
            </w:r>
            <w:r w:rsidR="00D877EA" w:rsidRPr="002140D7">
              <w:rPr>
                <w:rFonts w:ascii="Times New Roman" w:hAnsi="Times New Roman"/>
                <w:sz w:val="24"/>
                <w:lang w:val="it-IT"/>
              </w:rPr>
              <w:t> </w:t>
            </w:r>
            <w:r w:rsidRPr="002140D7">
              <w:rPr>
                <w:rFonts w:ascii="Times New Roman" w:hAnsi="Times New Roman"/>
                <w:sz w:val="24"/>
                <w:lang w:val="it-IT"/>
              </w:rPr>
              <w:t>428</w:t>
            </w:r>
            <w:r w:rsidR="00D877EA" w:rsidRPr="002140D7">
              <w:rPr>
                <w:rFonts w:ascii="Times New Roman" w:hAnsi="Times New Roman"/>
                <w:sz w:val="24"/>
                <w:lang w:val="it-IT"/>
              </w:rPr>
              <w:t> </w:t>
            </w:r>
            <w:r w:rsidRPr="002140D7">
              <w:rPr>
                <w:rFonts w:ascii="Times New Roman" w:hAnsi="Times New Roman"/>
                <w:sz w:val="24"/>
                <w:lang w:val="it-IT"/>
              </w:rPr>
              <w:t>quintricies, paragrafo 2, del CRR, relativo ai margini iniziali per i contratti derivati; e</w:t>
            </w:r>
          </w:p>
          <w:p w14:paraId="59B2427D" w14:textId="189A5B7A" w:rsidR="007E1815" w:rsidRPr="002140D7" w:rsidRDefault="007E1815" w:rsidP="007E1815">
            <w:pPr>
              <w:pStyle w:val="ListParagraph"/>
              <w:numPr>
                <w:ilvl w:val="0"/>
                <w:numId w:val="8"/>
              </w:numPr>
              <w:spacing w:after="240"/>
              <w:jc w:val="both"/>
              <w:rPr>
                <w:rFonts w:ascii="Times New Roman" w:hAnsi="Times New Roman"/>
                <w:sz w:val="24"/>
                <w:lang w:val="it-IT"/>
              </w:rPr>
            </w:pPr>
            <w:r w:rsidRPr="002140D7">
              <w:rPr>
                <w:rFonts w:ascii="Times New Roman" w:hAnsi="Times New Roman"/>
                <w:sz w:val="24"/>
                <w:lang w:val="it-IT"/>
              </w:rPr>
              <w:t>l</w:t>
            </w:r>
            <w:r w:rsidR="0031704F" w:rsidRPr="002140D7">
              <w:rPr>
                <w:rFonts w:ascii="Times New Roman" w:hAnsi="Times New Roman"/>
                <w:sz w:val="24"/>
                <w:lang w:val="it-IT"/>
              </w:rPr>
              <w:t>'</w:t>
            </w:r>
            <w:r w:rsidRPr="002140D7">
              <w:rPr>
                <w:rFonts w:ascii="Times New Roman" w:hAnsi="Times New Roman"/>
                <w:sz w:val="24"/>
                <w:lang w:val="it-IT"/>
              </w:rPr>
              <w:t>importo relativo agli elementi forniti come contributo al fondo di garanzia di una CCP conformemente all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428</w:t>
            </w:r>
            <w:r w:rsidR="00D877EA" w:rsidRPr="002140D7">
              <w:rPr>
                <w:rFonts w:ascii="Times New Roman" w:hAnsi="Times New Roman"/>
                <w:sz w:val="24"/>
                <w:lang w:val="it-IT"/>
              </w:rPr>
              <w:t> </w:t>
            </w:r>
            <w:r w:rsidRPr="002140D7">
              <w:rPr>
                <w:rFonts w:ascii="Times New Roman" w:hAnsi="Times New Roman"/>
                <w:sz w:val="24"/>
                <w:lang w:val="it-IT"/>
              </w:rPr>
              <w:t>quatertricies, lettera b), del CRR.</w:t>
            </w:r>
          </w:p>
        </w:tc>
      </w:tr>
      <w:tr w:rsidR="007E1815" w:rsidRPr="002140D7" w14:paraId="376E3454" w14:textId="77777777" w:rsidTr="00D819DE">
        <w:tc>
          <w:tcPr>
            <w:tcW w:w="1355" w:type="dxa"/>
          </w:tcPr>
          <w:p w14:paraId="6B351DBB"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29</w:t>
            </w:r>
          </w:p>
        </w:tc>
        <w:tc>
          <w:tcPr>
            <w:tcW w:w="7705" w:type="dxa"/>
          </w:tcPr>
          <w:p w14:paraId="6FC27BA7"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NSFR derivati attivi</w:t>
            </w:r>
          </w:p>
          <w:p w14:paraId="130EA517" w14:textId="77777777" w:rsidR="007E1815" w:rsidRPr="002140D7" w:rsidRDefault="007E1815" w:rsidP="00D819DE">
            <w:pPr>
              <w:pStyle w:val="TableParagraph"/>
              <w:spacing w:after="240"/>
              <w:ind w:right="99"/>
              <w:jc w:val="both"/>
              <w:rPr>
                <w:rFonts w:ascii="Times New Roman" w:hAnsi="Times New Roman"/>
                <w:sz w:val="24"/>
                <w:szCs w:val="24"/>
                <w:lang w:val="it-IT"/>
              </w:rPr>
            </w:pPr>
            <w:r w:rsidRPr="002140D7">
              <w:rPr>
                <w:rFonts w:ascii="Times New Roman" w:hAnsi="Times New Roman"/>
                <w:sz w:val="24"/>
                <w:lang w:val="it-IT"/>
              </w:rPr>
              <w:t>Articolo 428 quinquies e 428 quintricies, paragrafo 2, del CRR.</w:t>
            </w:r>
          </w:p>
          <w:p w14:paraId="33E01ABB" w14:textId="2C73E349" w:rsidR="007E1815" w:rsidRPr="002140D7" w:rsidRDefault="007E1815" w:rsidP="00D819DE">
            <w:pPr>
              <w:pStyle w:val="TableParagraph"/>
              <w:spacing w:after="240"/>
              <w:ind w:right="99"/>
              <w:jc w:val="both"/>
              <w:rPr>
                <w:rFonts w:ascii="Times New Roman" w:hAnsi="Times New Roman"/>
                <w:sz w:val="24"/>
                <w:lang w:val="it-IT"/>
              </w:rPr>
            </w:pPr>
            <w:r w:rsidRPr="002140D7">
              <w:rPr>
                <w:rFonts w:ascii="Times New Roman" w:hAnsi="Times New Roman"/>
                <w:sz w:val="24"/>
                <w:lang w:val="it-IT"/>
              </w:rPr>
              <w:t>Gli enti includono qui l</w:t>
            </w:r>
            <w:r w:rsidR="0031704F" w:rsidRPr="002140D7">
              <w:rPr>
                <w:rFonts w:ascii="Times New Roman" w:hAnsi="Times New Roman"/>
                <w:sz w:val="24"/>
                <w:lang w:val="it-IT"/>
              </w:rPr>
              <w:t>'</w:t>
            </w:r>
            <w:r w:rsidRPr="002140D7">
              <w:rPr>
                <w:rFonts w:ascii="Times New Roman" w:hAnsi="Times New Roman"/>
                <w:sz w:val="24"/>
                <w:lang w:val="it-IT"/>
              </w:rPr>
              <w:t>importo del finanziamento stabile richiesto risultante da derivati, conformemente all</w:t>
            </w:r>
            <w:r w:rsidR="0031704F" w:rsidRPr="002140D7">
              <w:rPr>
                <w:rFonts w:ascii="Times New Roman" w:hAnsi="Times New Roman"/>
                <w:sz w:val="24"/>
                <w:lang w:val="it-IT"/>
              </w:rPr>
              <w:t>'</w:t>
            </w:r>
            <w:r w:rsidRPr="002140D7">
              <w:rPr>
                <w:rFonts w:ascii="Times New Roman" w:hAnsi="Times New Roman"/>
                <w:sz w:val="24"/>
                <w:lang w:val="it-IT"/>
              </w:rPr>
              <w:t>articolo 428 quinquies, all</w:t>
            </w:r>
            <w:r w:rsidR="0031704F" w:rsidRPr="002140D7">
              <w:rPr>
                <w:rFonts w:ascii="Times New Roman" w:hAnsi="Times New Roman"/>
                <w:sz w:val="24"/>
                <w:lang w:val="it-IT"/>
              </w:rPr>
              <w:t>'</w:t>
            </w:r>
            <w:r w:rsidRPr="002140D7">
              <w:rPr>
                <w:rFonts w:ascii="Times New Roman" w:hAnsi="Times New Roman"/>
                <w:sz w:val="24"/>
                <w:lang w:val="it-IT"/>
              </w:rPr>
              <w:t>articolo 428 vicies, paragrafo</w:t>
            </w:r>
            <w:r w:rsidR="00D877EA" w:rsidRPr="002140D7">
              <w:rPr>
                <w:rFonts w:ascii="Times New Roman" w:hAnsi="Times New Roman"/>
                <w:sz w:val="24"/>
                <w:lang w:val="it-IT"/>
              </w:rPr>
              <w:t> </w:t>
            </w:r>
            <w:r w:rsidRPr="002140D7">
              <w:rPr>
                <w:rFonts w:ascii="Times New Roman" w:hAnsi="Times New Roman"/>
                <w:sz w:val="24"/>
                <w:lang w:val="it-IT"/>
              </w:rPr>
              <w:t>2, all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428</w:t>
            </w:r>
            <w:r w:rsidR="00D877EA" w:rsidRPr="002140D7">
              <w:rPr>
                <w:rFonts w:ascii="Times New Roman" w:hAnsi="Times New Roman"/>
                <w:sz w:val="24"/>
                <w:lang w:val="it-IT"/>
              </w:rPr>
              <w:t> </w:t>
            </w:r>
            <w:r w:rsidRPr="002140D7">
              <w:rPr>
                <w:rFonts w:ascii="Times New Roman" w:hAnsi="Times New Roman"/>
                <w:sz w:val="24"/>
                <w:lang w:val="it-IT"/>
              </w:rPr>
              <w:t>quatertricies, lettera</w:t>
            </w:r>
            <w:r w:rsidR="00D877EA" w:rsidRPr="002140D7">
              <w:rPr>
                <w:rFonts w:ascii="Times New Roman" w:hAnsi="Times New Roman"/>
                <w:sz w:val="24"/>
                <w:lang w:val="it-IT"/>
              </w:rPr>
              <w:t> </w:t>
            </w:r>
            <w:r w:rsidRPr="002140D7">
              <w:rPr>
                <w:rFonts w:ascii="Times New Roman" w:hAnsi="Times New Roman"/>
                <w:sz w:val="24"/>
                <w:lang w:val="it-IT"/>
              </w:rPr>
              <w:t>a), e all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428 quintricies, paragrafo 2, del CRR, calcolato come importo assoluto della differenza positiva tra insiemi di attività soggette a compensazione calcolato conformemente all</w:t>
            </w:r>
            <w:r w:rsidR="0031704F" w:rsidRPr="002140D7">
              <w:rPr>
                <w:rFonts w:ascii="Times New Roman" w:hAnsi="Times New Roman"/>
                <w:sz w:val="24"/>
                <w:lang w:val="it-IT"/>
              </w:rPr>
              <w:t>'</w:t>
            </w:r>
            <w:r w:rsidRPr="002140D7">
              <w:rPr>
                <w:rFonts w:ascii="Times New Roman" w:hAnsi="Times New Roman"/>
                <w:sz w:val="24"/>
                <w:lang w:val="it-IT"/>
              </w:rPr>
              <w:t>articolo 428 quintricies, paragrafo 2, del CRR.</w:t>
            </w:r>
          </w:p>
        </w:tc>
      </w:tr>
      <w:tr w:rsidR="007E1815" w:rsidRPr="002140D7" w14:paraId="68225B13" w14:textId="77777777" w:rsidTr="00D819DE">
        <w:tc>
          <w:tcPr>
            <w:tcW w:w="1355" w:type="dxa"/>
          </w:tcPr>
          <w:p w14:paraId="19DA3D6E"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30</w:t>
            </w:r>
          </w:p>
        </w:tc>
        <w:tc>
          <w:tcPr>
            <w:tcW w:w="7705" w:type="dxa"/>
          </w:tcPr>
          <w:p w14:paraId="6473604D"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NSFR derivati passivi prima della deduzione del margine di variazione fornito</w:t>
            </w:r>
          </w:p>
          <w:p w14:paraId="394264C8" w14:textId="77777777" w:rsidR="007E1815" w:rsidRPr="002140D7" w:rsidRDefault="007E1815" w:rsidP="00D819DE">
            <w:pPr>
              <w:pStyle w:val="TableParagraph"/>
              <w:spacing w:after="240"/>
              <w:ind w:right="99"/>
              <w:jc w:val="both"/>
              <w:rPr>
                <w:rFonts w:ascii="Times New Roman" w:hAnsi="Times New Roman"/>
                <w:sz w:val="24"/>
                <w:szCs w:val="24"/>
                <w:lang w:val="it-IT"/>
              </w:rPr>
            </w:pPr>
            <w:r w:rsidRPr="002140D7">
              <w:rPr>
                <w:rFonts w:ascii="Times New Roman" w:hAnsi="Times New Roman"/>
                <w:sz w:val="24"/>
                <w:lang w:val="it-IT"/>
              </w:rPr>
              <w:t>Articolo 428 vicies, paragrafo 2, del CRR.</w:t>
            </w:r>
          </w:p>
          <w:p w14:paraId="43211B55" w14:textId="059C653C"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pubblicano qui l</w:t>
            </w:r>
            <w:r w:rsidR="0031704F" w:rsidRPr="002140D7">
              <w:rPr>
                <w:rFonts w:ascii="Times New Roman" w:hAnsi="Times New Roman"/>
                <w:sz w:val="24"/>
                <w:lang w:val="it-IT"/>
              </w:rPr>
              <w:t>'</w:t>
            </w:r>
            <w:r w:rsidRPr="002140D7">
              <w:rPr>
                <w:rFonts w:ascii="Times New Roman" w:hAnsi="Times New Roman"/>
                <w:sz w:val="24"/>
                <w:lang w:val="it-IT"/>
              </w:rPr>
              <w:t>importo del finanziamento stabile richiesto relativo a derivati passivi, conformemente agli articoli</w:t>
            </w:r>
            <w:r w:rsidR="00D877EA" w:rsidRPr="002140D7">
              <w:rPr>
                <w:rFonts w:ascii="Times New Roman" w:hAnsi="Times New Roman"/>
                <w:sz w:val="24"/>
                <w:lang w:val="it-IT"/>
              </w:rPr>
              <w:t> </w:t>
            </w:r>
            <w:r w:rsidRPr="002140D7">
              <w:rPr>
                <w:rFonts w:ascii="Times New Roman" w:hAnsi="Times New Roman"/>
                <w:sz w:val="24"/>
                <w:lang w:val="it-IT"/>
              </w:rPr>
              <w:t>428</w:t>
            </w:r>
            <w:r w:rsidR="00D877EA" w:rsidRPr="002140D7">
              <w:rPr>
                <w:rFonts w:ascii="Times New Roman" w:hAnsi="Times New Roman"/>
                <w:sz w:val="24"/>
                <w:lang w:val="it-IT"/>
              </w:rPr>
              <w:t> </w:t>
            </w:r>
            <w:r w:rsidRPr="002140D7">
              <w:rPr>
                <w:rFonts w:ascii="Times New Roman" w:hAnsi="Times New Roman"/>
                <w:sz w:val="24"/>
                <w:lang w:val="it-IT"/>
              </w:rPr>
              <w:t>quinquies, 428</w:t>
            </w:r>
            <w:r w:rsidR="00D877EA" w:rsidRPr="002140D7">
              <w:rPr>
                <w:rFonts w:ascii="Times New Roman" w:hAnsi="Times New Roman"/>
                <w:sz w:val="24"/>
                <w:lang w:val="it-IT"/>
              </w:rPr>
              <w:t> </w:t>
            </w:r>
            <w:r w:rsidRPr="002140D7">
              <w:rPr>
                <w:rFonts w:ascii="Times New Roman" w:hAnsi="Times New Roman"/>
                <w:sz w:val="24"/>
                <w:lang w:val="it-IT"/>
              </w:rPr>
              <w:t>vicies, paragrafo</w:t>
            </w:r>
            <w:r w:rsidR="00D877EA" w:rsidRPr="002140D7">
              <w:rPr>
                <w:rFonts w:ascii="Times New Roman" w:hAnsi="Times New Roman"/>
                <w:sz w:val="24"/>
                <w:lang w:val="it-IT"/>
              </w:rPr>
              <w:t> </w:t>
            </w:r>
            <w:r w:rsidRPr="002140D7">
              <w:rPr>
                <w:rFonts w:ascii="Times New Roman" w:hAnsi="Times New Roman"/>
                <w:sz w:val="24"/>
                <w:lang w:val="it-IT"/>
              </w:rPr>
              <w:t>2, 428 quatertricies, lettera a), e 428 quintricies, paragrafo</w:t>
            </w:r>
            <w:r w:rsidR="00D877EA" w:rsidRPr="002140D7">
              <w:rPr>
                <w:rFonts w:ascii="Times New Roman" w:hAnsi="Times New Roman"/>
                <w:sz w:val="24"/>
                <w:lang w:val="it-IT"/>
              </w:rPr>
              <w:t> </w:t>
            </w:r>
            <w:r w:rsidRPr="002140D7">
              <w:rPr>
                <w:rFonts w:ascii="Times New Roman" w:hAnsi="Times New Roman"/>
                <w:sz w:val="24"/>
                <w:lang w:val="it-IT"/>
              </w:rPr>
              <w:t>2, del CRR, ossia il valore equo assoluto degli insiemi di attività soggette a compensazione con un valore equo negativo calcolato conformemente all</w:t>
            </w:r>
            <w:r w:rsidR="0031704F" w:rsidRPr="002140D7">
              <w:rPr>
                <w:rFonts w:ascii="Times New Roman" w:hAnsi="Times New Roman"/>
                <w:sz w:val="24"/>
                <w:lang w:val="it-IT"/>
              </w:rPr>
              <w:t>'</w:t>
            </w:r>
            <w:r w:rsidRPr="002140D7">
              <w:rPr>
                <w:rFonts w:ascii="Times New Roman" w:hAnsi="Times New Roman"/>
                <w:sz w:val="24"/>
                <w:lang w:val="it-IT"/>
              </w:rPr>
              <w:t>articolo 428 vicies, paragrafo 2, del CRR.</w:t>
            </w:r>
          </w:p>
        </w:tc>
      </w:tr>
      <w:tr w:rsidR="007E1815" w:rsidRPr="002140D7" w14:paraId="12F08601" w14:textId="77777777" w:rsidTr="00D819DE">
        <w:tc>
          <w:tcPr>
            <w:tcW w:w="1355" w:type="dxa"/>
          </w:tcPr>
          <w:p w14:paraId="090CE7E2"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31</w:t>
            </w:r>
          </w:p>
        </w:tc>
        <w:tc>
          <w:tcPr>
            <w:tcW w:w="7705" w:type="dxa"/>
          </w:tcPr>
          <w:p w14:paraId="4F2885DE"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Tutte le altre attività non comprese nelle categorie di cui sopra</w:t>
            </w:r>
          </w:p>
          <w:p w14:paraId="60A47B66" w14:textId="77777777" w:rsidR="007E1815" w:rsidRPr="002140D7" w:rsidRDefault="007E1815" w:rsidP="00D819DE">
            <w:pPr>
              <w:jc w:val="both"/>
              <w:rPr>
                <w:rFonts w:ascii="Times New Roman" w:hAnsi="Times New Roman"/>
                <w:sz w:val="24"/>
                <w:lang w:val="it-IT"/>
              </w:rPr>
            </w:pPr>
            <w:r w:rsidRPr="002140D7">
              <w:rPr>
                <w:rFonts w:ascii="Times New Roman" w:hAnsi="Times New Roman"/>
                <w:sz w:val="24"/>
                <w:lang w:val="it-IT"/>
              </w:rPr>
              <w:t>Gli enti includono qui la somma dei seguenti elementi:</w:t>
            </w:r>
          </w:p>
          <w:p w14:paraId="211EEB85" w14:textId="24FB2DC9" w:rsidR="007E1815" w:rsidRPr="002140D7" w:rsidRDefault="007E1815" w:rsidP="007E1815">
            <w:pPr>
              <w:pStyle w:val="ListParagraph"/>
              <w:numPr>
                <w:ilvl w:val="0"/>
                <w:numId w:val="11"/>
              </w:numPr>
              <w:jc w:val="both"/>
              <w:rPr>
                <w:rFonts w:ascii="Times New Roman" w:hAnsi="Times New Roman"/>
                <w:sz w:val="24"/>
                <w:lang w:val="it-IT"/>
              </w:rPr>
            </w:pPr>
            <w:r w:rsidRPr="002140D7">
              <w:rPr>
                <w:rFonts w:ascii="Times New Roman" w:hAnsi="Times New Roman"/>
                <w:sz w:val="24"/>
                <w:lang w:val="it-IT"/>
              </w:rPr>
              <w:t>crediti rilevati sulla base della data di negoziazione conformemente all</w:t>
            </w:r>
            <w:r w:rsidR="0031704F" w:rsidRPr="002140D7">
              <w:rPr>
                <w:rFonts w:ascii="Times New Roman" w:hAnsi="Times New Roman"/>
                <w:sz w:val="24"/>
                <w:lang w:val="it-IT"/>
              </w:rPr>
              <w:t>'</w:t>
            </w:r>
            <w:r w:rsidRPr="002140D7">
              <w:rPr>
                <w:rFonts w:ascii="Times New Roman" w:hAnsi="Times New Roman"/>
                <w:sz w:val="24"/>
                <w:lang w:val="it-IT"/>
              </w:rPr>
              <w:t>articolo 428 novodecies, paragrafo 1, lettera e), del CRR;</w:t>
            </w:r>
          </w:p>
          <w:p w14:paraId="3A3E23A2" w14:textId="16D1AB36" w:rsidR="007E1815" w:rsidRPr="002140D7" w:rsidRDefault="007E1815" w:rsidP="007E1815">
            <w:pPr>
              <w:pStyle w:val="ListParagraph"/>
              <w:numPr>
                <w:ilvl w:val="0"/>
                <w:numId w:val="11"/>
              </w:numPr>
              <w:jc w:val="both"/>
              <w:rPr>
                <w:rFonts w:ascii="Times New Roman" w:hAnsi="Times New Roman"/>
                <w:sz w:val="24"/>
                <w:lang w:val="it-IT"/>
              </w:rPr>
            </w:pPr>
            <w:r w:rsidRPr="002140D7">
              <w:rPr>
                <w:rFonts w:ascii="Times New Roman" w:hAnsi="Times New Roman"/>
                <w:sz w:val="24"/>
                <w:lang w:val="it-IT"/>
              </w:rPr>
              <w:t>attività deteriorate conformemente all</w:t>
            </w:r>
            <w:r w:rsidR="0031704F" w:rsidRPr="002140D7">
              <w:rPr>
                <w:rFonts w:ascii="Times New Roman" w:hAnsi="Times New Roman"/>
                <w:sz w:val="24"/>
                <w:lang w:val="it-IT"/>
              </w:rPr>
              <w:t>'</w:t>
            </w:r>
            <w:r w:rsidRPr="002140D7">
              <w:rPr>
                <w:rFonts w:ascii="Times New Roman" w:hAnsi="Times New Roman"/>
                <w:sz w:val="24"/>
                <w:lang w:val="it-IT"/>
              </w:rPr>
              <w:t>articolo</w:t>
            </w:r>
            <w:r w:rsidR="00D877EA" w:rsidRPr="002140D7">
              <w:rPr>
                <w:rFonts w:ascii="Times New Roman" w:hAnsi="Times New Roman"/>
                <w:sz w:val="24"/>
                <w:lang w:val="it-IT"/>
              </w:rPr>
              <w:t> </w:t>
            </w:r>
            <w:r w:rsidRPr="002140D7">
              <w:rPr>
                <w:rFonts w:ascii="Times New Roman" w:hAnsi="Times New Roman"/>
                <w:sz w:val="24"/>
                <w:lang w:val="it-IT"/>
              </w:rPr>
              <w:t>428</w:t>
            </w:r>
            <w:r w:rsidR="00D877EA" w:rsidRPr="002140D7">
              <w:rPr>
                <w:rFonts w:ascii="Times New Roman" w:hAnsi="Times New Roman"/>
                <w:sz w:val="24"/>
                <w:lang w:val="it-IT"/>
              </w:rPr>
              <w:t> </w:t>
            </w:r>
            <w:r w:rsidRPr="002140D7">
              <w:rPr>
                <w:rFonts w:ascii="Times New Roman" w:hAnsi="Times New Roman"/>
                <w:sz w:val="24"/>
                <w:lang w:val="it-IT"/>
              </w:rPr>
              <w:t>quintricies, paragrafo 1, lettera b), del CRR;</w:t>
            </w:r>
          </w:p>
          <w:p w14:paraId="7CE9E147" w14:textId="77777777" w:rsidR="007E1815" w:rsidRPr="002140D7" w:rsidRDefault="007E1815" w:rsidP="007E1815">
            <w:pPr>
              <w:pStyle w:val="ListParagraph"/>
              <w:numPr>
                <w:ilvl w:val="0"/>
                <w:numId w:val="11"/>
              </w:numPr>
              <w:jc w:val="both"/>
              <w:rPr>
                <w:rFonts w:ascii="Times New Roman" w:hAnsi="Times New Roman"/>
                <w:sz w:val="24"/>
                <w:lang w:val="it-IT"/>
              </w:rPr>
            </w:pPr>
            <w:r w:rsidRPr="002140D7">
              <w:rPr>
                <w:rFonts w:ascii="Times New Roman" w:hAnsi="Times New Roman"/>
                <w:sz w:val="24"/>
                <w:lang w:val="it-IT"/>
              </w:rPr>
              <w:lastRenderedPageBreak/>
              <w:t>riserve presso banche centrali che non sono considerate HQLA; e</w:t>
            </w:r>
          </w:p>
          <w:p w14:paraId="3374626C" w14:textId="77777777" w:rsidR="007E1815" w:rsidRPr="002140D7" w:rsidRDefault="007E1815" w:rsidP="007E1815">
            <w:pPr>
              <w:pStyle w:val="ListParagraph"/>
              <w:numPr>
                <w:ilvl w:val="0"/>
                <w:numId w:val="11"/>
              </w:numPr>
              <w:spacing w:after="240"/>
              <w:jc w:val="both"/>
              <w:rPr>
                <w:rFonts w:ascii="Times New Roman" w:hAnsi="Times New Roman"/>
                <w:sz w:val="24"/>
                <w:lang w:val="it-IT"/>
              </w:rPr>
            </w:pPr>
            <w:r w:rsidRPr="002140D7">
              <w:rPr>
                <w:rFonts w:ascii="Times New Roman" w:hAnsi="Times New Roman"/>
                <w:sz w:val="24"/>
                <w:lang w:val="it-IT"/>
              </w:rPr>
              <w:t>altre attività non menzionate tra gli elementi precedenti elencati sopra.</w:t>
            </w:r>
          </w:p>
        </w:tc>
      </w:tr>
      <w:tr w:rsidR="007E1815" w:rsidRPr="002140D7" w14:paraId="107FAB0B" w14:textId="77777777" w:rsidTr="00D819DE">
        <w:tc>
          <w:tcPr>
            <w:tcW w:w="1355" w:type="dxa"/>
          </w:tcPr>
          <w:p w14:paraId="305193C1"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lastRenderedPageBreak/>
              <w:t>32</w:t>
            </w:r>
          </w:p>
        </w:tc>
        <w:tc>
          <w:tcPr>
            <w:tcW w:w="7705" w:type="dxa"/>
          </w:tcPr>
          <w:p w14:paraId="449E2037" w14:textId="77777777" w:rsidR="007E1815" w:rsidRPr="002140D7" w:rsidRDefault="007E1815" w:rsidP="00D819DE">
            <w:pPr>
              <w:spacing w:after="240"/>
              <w:jc w:val="both"/>
              <w:rPr>
                <w:rFonts w:ascii="Times New Roman" w:hAnsi="Times New Roman"/>
                <w:b/>
                <w:sz w:val="24"/>
                <w:lang w:val="it-IT"/>
              </w:rPr>
            </w:pPr>
            <w:r w:rsidRPr="002140D7">
              <w:rPr>
                <w:rFonts w:ascii="Times New Roman" w:hAnsi="Times New Roman"/>
                <w:b/>
                <w:sz w:val="24"/>
                <w:lang w:val="it-IT"/>
              </w:rPr>
              <w:t>Elementi fuori bilancio</w:t>
            </w:r>
          </w:p>
          <w:p w14:paraId="0146B44D" w14:textId="181D0C46"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Gli enti pubblicano qui l</w:t>
            </w:r>
            <w:r w:rsidR="0031704F" w:rsidRPr="002140D7">
              <w:rPr>
                <w:rFonts w:ascii="Times New Roman" w:hAnsi="Times New Roman"/>
                <w:sz w:val="24"/>
                <w:lang w:val="it-IT"/>
              </w:rPr>
              <w:t>'</w:t>
            </w:r>
            <w:r w:rsidRPr="002140D7">
              <w:rPr>
                <w:rFonts w:ascii="Times New Roman" w:hAnsi="Times New Roman"/>
                <w:sz w:val="24"/>
                <w:lang w:val="it-IT"/>
              </w:rPr>
              <w:t>importo degli elementi fuori bilancio soggetti ai requisiti di finanziamento stabile richiesto.</w:t>
            </w:r>
          </w:p>
        </w:tc>
      </w:tr>
      <w:tr w:rsidR="007E1815" w:rsidRPr="002140D7" w14:paraId="3AA0FBAF" w14:textId="77777777" w:rsidTr="00D819DE">
        <w:tc>
          <w:tcPr>
            <w:tcW w:w="1355" w:type="dxa"/>
          </w:tcPr>
          <w:p w14:paraId="0CD179E6"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33</w:t>
            </w:r>
          </w:p>
        </w:tc>
        <w:tc>
          <w:tcPr>
            <w:tcW w:w="7705" w:type="dxa"/>
          </w:tcPr>
          <w:p w14:paraId="5B3E34AC"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Finanziamento stabile richiesto (RSF) totale</w:t>
            </w:r>
          </w:p>
          <w:p w14:paraId="7C7790F2" w14:textId="77777777" w:rsidR="007E1815" w:rsidRPr="002140D7" w:rsidRDefault="007E1815" w:rsidP="00D819DE">
            <w:pPr>
              <w:pStyle w:val="TableParagraph"/>
              <w:spacing w:after="240"/>
              <w:jc w:val="both"/>
              <w:rPr>
                <w:rFonts w:ascii="Times New Roman" w:eastAsia="Times New Roman" w:hAnsi="Times New Roman"/>
                <w:sz w:val="24"/>
                <w:szCs w:val="24"/>
                <w:lang w:val="it-IT"/>
              </w:rPr>
            </w:pPr>
            <w:r w:rsidRPr="002140D7">
              <w:rPr>
                <w:rFonts w:ascii="Times New Roman" w:hAnsi="Times New Roman"/>
                <w:sz w:val="24"/>
                <w:lang w:val="it-IT"/>
              </w:rPr>
              <w:t>Parte sei, titolo IV, capo 4, del CRR.</w:t>
            </w:r>
          </w:p>
          <w:p w14:paraId="12009000" w14:textId="77777777"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Gli enti indicano qui il totale degli elementi soggetti al finanziamento stabile richiesto, conformemente alla parte sei, titolo IV, capo 4, del CRR (somma degli importi delle righe 15, EU-15a, 16, 17, 25, 26, e 32 di questo modello)</w:t>
            </w:r>
            <w:r w:rsidRPr="002140D7">
              <w:rPr>
                <w:lang w:val="it-IT"/>
              </w:rPr>
              <w:t>.</w:t>
            </w:r>
          </w:p>
        </w:tc>
      </w:tr>
      <w:tr w:rsidR="007E1815" w:rsidRPr="002140D7" w14:paraId="3116BCED" w14:textId="77777777" w:rsidTr="00D819DE">
        <w:trPr>
          <w:trHeight w:val="274"/>
        </w:trPr>
        <w:tc>
          <w:tcPr>
            <w:tcW w:w="1355" w:type="dxa"/>
          </w:tcPr>
          <w:p w14:paraId="4CE43E71"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sz w:val="24"/>
                <w:lang w:val="it-IT"/>
              </w:rPr>
              <w:t>34</w:t>
            </w:r>
          </w:p>
        </w:tc>
        <w:tc>
          <w:tcPr>
            <w:tcW w:w="7705" w:type="dxa"/>
          </w:tcPr>
          <w:p w14:paraId="6B3C5508" w14:textId="77777777" w:rsidR="007E1815" w:rsidRPr="002140D7" w:rsidRDefault="007E1815" w:rsidP="00D819DE">
            <w:pPr>
              <w:spacing w:after="240"/>
              <w:jc w:val="both"/>
              <w:rPr>
                <w:rFonts w:ascii="Times New Roman" w:hAnsi="Times New Roman"/>
                <w:sz w:val="24"/>
                <w:lang w:val="it-IT"/>
              </w:rPr>
            </w:pPr>
            <w:r w:rsidRPr="002140D7">
              <w:rPr>
                <w:rFonts w:ascii="Times New Roman" w:hAnsi="Times New Roman"/>
                <w:b/>
                <w:sz w:val="24"/>
                <w:lang w:val="it-IT"/>
              </w:rPr>
              <w:t>Coefficiente netto di finanziamento stabile (%)</w:t>
            </w:r>
          </w:p>
          <w:p w14:paraId="049707E6" w14:textId="386671F4" w:rsidR="007E1815" w:rsidRPr="002140D7" w:rsidRDefault="007E1815" w:rsidP="00D819DE">
            <w:pPr>
              <w:pStyle w:val="TableParagraph"/>
              <w:spacing w:after="240"/>
              <w:jc w:val="both"/>
              <w:rPr>
                <w:rFonts w:ascii="Times New Roman" w:hAnsi="Times New Roman"/>
                <w:sz w:val="24"/>
                <w:szCs w:val="24"/>
                <w:lang w:val="it-IT"/>
              </w:rPr>
            </w:pPr>
            <w:r w:rsidRPr="002140D7">
              <w:rPr>
                <w:rFonts w:ascii="Times New Roman" w:hAnsi="Times New Roman"/>
                <w:sz w:val="24"/>
                <w:lang w:val="it-IT"/>
              </w:rPr>
              <w:t>NSFR calcolato conformemente all</w:t>
            </w:r>
            <w:r w:rsidR="0031704F" w:rsidRPr="002140D7">
              <w:rPr>
                <w:rFonts w:ascii="Times New Roman" w:hAnsi="Times New Roman"/>
                <w:sz w:val="24"/>
                <w:lang w:val="it-IT"/>
              </w:rPr>
              <w:t>'</w:t>
            </w:r>
            <w:r w:rsidRPr="002140D7">
              <w:rPr>
                <w:rFonts w:ascii="Times New Roman" w:hAnsi="Times New Roman"/>
                <w:sz w:val="24"/>
                <w:lang w:val="it-IT"/>
              </w:rPr>
              <w:t>articolo 428 ter, paragrafo 1, del CRR</w:t>
            </w:r>
          </w:p>
        </w:tc>
      </w:tr>
    </w:tbl>
    <w:p w14:paraId="505A96AE" w14:textId="77777777" w:rsidR="004E3F4D" w:rsidRPr="002140D7" w:rsidRDefault="004E3F4D"/>
    <w:sectPr w:rsidR="004E3F4D" w:rsidRPr="002140D7">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20</w:t>
        </w:r>
        <w:r>
          <w:fldChar w:fldCharType="end"/>
        </w:r>
      </w:p>
    </w:sdtContent>
  </w:sdt>
  <w:p w14:paraId="56B16CFF"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166A44" w:rsidRDefault="007E1815" w:rsidP="007E1815">
      <w:pPr>
        <w:pStyle w:val="FootnoteText"/>
        <w:rPr>
          <w:rFonts w:cstheme="minorHAnsi"/>
        </w:rPr>
      </w:pPr>
      <w:r w:rsidRPr="00166A44">
        <w:rPr>
          <w:rStyle w:val="FootnoteReference"/>
          <w:rFonts w:cstheme="minorHAnsi"/>
        </w:rPr>
        <w:footnoteRef/>
      </w:r>
      <w:r w:rsidRPr="00166A44">
        <w:t xml:space="preserve"> </w:t>
      </w:r>
      <w:r w:rsidRPr="00166A44">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166A44">
        <w:rPr>
          <w:color w:val="444444"/>
        </w:rPr>
        <w:t>(</w:t>
      </w:r>
      <w:hyperlink r:id="rId1" w:history="1">
        <w:r w:rsidRPr="00166A44">
          <w:rPr>
            <w:rStyle w:val="Hyperlink"/>
            <w:color w:val="800080"/>
          </w:rPr>
          <w:t>GU L 176 del 27.6.2013, pag. 1</w:t>
        </w:r>
      </w:hyperlink>
      <w:r w:rsidRPr="00166A44">
        <w:rPr>
          <w:color w:val="444444"/>
        </w:rPr>
        <w:t>)</w:t>
      </w:r>
      <w:r w:rsidRPr="00166A44">
        <w:t>;</w:t>
      </w:r>
      <w:r w:rsidRPr="00166A44">
        <w:rPr>
          <w:color w:val="800080"/>
          <w:u w:val="single"/>
        </w:rPr>
        <w:t xml:space="preserve"> </w:t>
      </w:r>
      <w:hyperlink r:id="rId2" w:history="1">
        <w:r w:rsidRPr="00166A44">
          <w:rPr>
            <w:rStyle w:val="Hyperlink"/>
          </w:rPr>
          <w:t>Regolamento - EU - 2024/1623 - IT - EUR-Lex (europa.eu)</w:t>
        </w:r>
      </w:hyperlink>
      <w:r w:rsidRPr="00166A44">
        <w:rPr>
          <w:color w:val="444444"/>
        </w:rPr>
        <w:t>)</w:t>
      </w:r>
      <w:r w:rsidRPr="00166A44">
        <w:t>.</w:t>
      </w:r>
    </w:p>
  </w:footnote>
  <w:footnote w:id="2">
    <w:p w14:paraId="077D46E6" w14:textId="69943453" w:rsidR="007E1815" w:rsidRPr="00166A44" w:rsidRDefault="007E1815" w:rsidP="007E1815">
      <w:pPr>
        <w:pStyle w:val="FootnoteText"/>
        <w:rPr>
          <w:rFonts w:cstheme="minorHAnsi"/>
        </w:rPr>
      </w:pPr>
      <w:r w:rsidRPr="00166A44">
        <w:rPr>
          <w:rStyle w:val="FootnoteReference"/>
          <w:rFonts w:cstheme="minorHAnsi"/>
        </w:rPr>
        <w:footnoteRef/>
      </w:r>
      <w:r w:rsidRPr="00166A44">
        <w:tab/>
        <w:t>Regolamento delegato (UE) 2015/61 della Commissione, del 10</w:t>
      </w:r>
      <w:r w:rsidR="0031704F" w:rsidRPr="00166A44">
        <w:t> </w:t>
      </w:r>
      <w:r w:rsidRPr="00166A44">
        <w:t>ottobre</w:t>
      </w:r>
      <w:r w:rsidR="0031704F" w:rsidRPr="00166A44">
        <w:t> </w:t>
      </w:r>
      <w:r w:rsidRPr="00166A44">
        <w:t xml:space="preserve">2014, che integra il regolamento (UE) n. 575/2013 del Parlamento europeo e del Consiglio per quanto riguarda il requisito di copertura della liquidità per gli enti creditizi (GU L 11 del 17.1.2015, pag. 1). </w:t>
      </w:r>
    </w:p>
  </w:footnote>
  <w:footnote w:id="3">
    <w:p w14:paraId="6C159A9A" w14:textId="77777777" w:rsidR="007E1815" w:rsidRPr="00166A44" w:rsidRDefault="007E1815" w:rsidP="007E1815">
      <w:pPr>
        <w:pStyle w:val="FootnoteText"/>
        <w:rPr>
          <w:rFonts w:cstheme="minorHAnsi"/>
        </w:rPr>
      </w:pPr>
      <w:r w:rsidRPr="00166A44">
        <w:rPr>
          <w:rStyle w:val="FootnoteReference"/>
          <w:rFonts w:cstheme="minorHAnsi"/>
        </w:rPr>
        <w:footnoteRef/>
      </w:r>
      <w:r w:rsidRPr="00166A44">
        <w:t xml:space="preserve"> </w:t>
      </w:r>
      <w:r w:rsidRPr="00166A44">
        <w:tab/>
        <w:t>Direttiva 94/19/CE del Parlamento Europeo e del Consiglio, del 30 maggio 1994, relativa ai sistemi di garanzia dei depositi (GU L 135 del 31.5.1994, pag. 5).</w:t>
      </w:r>
    </w:p>
  </w:footnote>
  <w:footnote w:id="4">
    <w:p w14:paraId="13D8F6DE" w14:textId="77777777" w:rsidR="007E1815" w:rsidRPr="00166A44" w:rsidRDefault="007E1815" w:rsidP="007E1815">
      <w:pPr>
        <w:pStyle w:val="FootnoteText"/>
        <w:rPr>
          <w:rFonts w:cstheme="minorHAnsi"/>
        </w:rPr>
      </w:pPr>
      <w:r w:rsidRPr="00166A44">
        <w:rPr>
          <w:rStyle w:val="FootnoteReference"/>
          <w:rFonts w:cstheme="minorHAnsi"/>
        </w:rPr>
        <w:footnoteRef/>
      </w:r>
      <w:r w:rsidRPr="00166A44">
        <w:tab/>
        <w:t>Direttiva 2014/49/UE del Parlamento europeo e del Consiglio, del 16 aprile 2014, relativa ai sistemi di garanzia dei depositi (GU L 173 del 12.6.2014, pag. 149).</w:t>
      </w:r>
    </w:p>
  </w:footnote>
  <w:footnote w:id="5">
    <w:p w14:paraId="05834BF0" w14:textId="2F535470" w:rsidR="007E1815" w:rsidRPr="00166A44" w:rsidRDefault="007E1815" w:rsidP="007E1815">
      <w:pPr>
        <w:pStyle w:val="FootnoteText"/>
        <w:rPr>
          <w:rFonts w:cstheme="minorHAnsi"/>
        </w:rPr>
      </w:pPr>
      <w:r w:rsidRPr="00166A44">
        <w:rPr>
          <w:rStyle w:val="FootnoteReference"/>
          <w:rFonts w:cstheme="minorHAnsi"/>
        </w:rPr>
        <w:footnoteRef/>
      </w:r>
      <w:r w:rsidRPr="00166A44">
        <w:t xml:space="preserve"> </w:t>
      </w:r>
      <w:r w:rsidRPr="00166A44">
        <w:tab/>
        <w:t>Regolamento delegato (UE) 2017/208 della Commissione, del 31 ottobre 2016, che integra il regolamento (UE) n. 575/2013 del Parlamento europeo e del Consiglio per quanto riguarda le norme tecniche di regolamentazione per i deflussi aggiuntivi di liquidità corrispondenti al fabbisogno di garanzie reali risultante dall</w:t>
      </w:r>
      <w:r w:rsidR="0031704F" w:rsidRPr="00166A44">
        <w:t>'</w:t>
      </w:r>
      <w:r w:rsidRPr="00166A44">
        <w:t>impatto di uno scenario di mercato negativo sulle operazioni dell</w:t>
      </w:r>
      <w:r w:rsidR="0031704F" w:rsidRPr="00166A44">
        <w:t>'</w:t>
      </w:r>
      <w:r w:rsidRPr="00166A44">
        <w:t>ente in strumenti derivati (GU L 33 dell</w:t>
      </w:r>
      <w:r w:rsidR="0031704F" w:rsidRPr="00166A44">
        <w:t>'</w:t>
      </w:r>
      <w:r w:rsidRPr="00166A44">
        <w:t>8.2.2017, pag. 14).</w:t>
      </w:r>
    </w:p>
  </w:footnote>
  <w:footnote w:id="6">
    <w:p w14:paraId="1904ECE3" w14:textId="77777777" w:rsidR="007E1815" w:rsidRPr="00166A44" w:rsidRDefault="007E1815" w:rsidP="007E1815">
      <w:pPr>
        <w:pStyle w:val="FootnoteText"/>
        <w:rPr>
          <w:rFonts w:cstheme="minorHAnsi"/>
        </w:rPr>
      </w:pPr>
      <w:r w:rsidRPr="00166A44">
        <w:rPr>
          <w:rStyle w:val="FootnoteReference"/>
          <w:rFonts w:cstheme="minorHAnsi"/>
        </w:rPr>
        <w:footnoteRef/>
      </w:r>
      <w:r w:rsidRPr="00166A44">
        <w:t xml:space="preserve"> </w:t>
      </w:r>
      <w:r w:rsidRPr="00166A44">
        <w:tab/>
        <w:t>Regolamento di esecuzione (UE) n. 680/2014 della Commissione, del 16 aprile 2014, che stabilisce norme tecniche di attuazione per quanto riguarda le segnalazioni degli enti a fini di vigilanza conformemente al regolamento (UE) n. 575/2013 del Parlamento europeo e del Consiglio (GU L 191 del 28.6.2014, pag. 1).</w:t>
      </w:r>
    </w:p>
  </w:footnote>
  <w:footnote w:id="7">
    <w:p w14:paraId="6D008ADE" w14:textId="33C0E1F5" w:rsidR="007E1815" w:rsidRPr="00222AAB" w:rsidRDefault="007E1815" w:rsidP="007E1815">
      <w:pPr>
        <w:pStyle w:val="FootnoteText"/>
        <w:rPr>
          <w:rFonts w:cstheme="minorHAnsi"/>
        </w:rPr>
      </w:pPr>
      <w:r w:rsidRPr="00166A44">
        <w:rPr>
          <w:rStyle w:val="FootnoteReference"/>
          <w:rFonts w:cstheme="minorHAnsi"/>
        </w:rPr>
        <w:footnoteRef/>
      </w:r>
      <w:r w:rsidRPr="00166A44">
        <w:tab/>
        <w:t>Direttiva 2009/65/CE del Parlamento europeo e del Consiglio, del 13 luglio 2009, concernente il coordinamento delle disposizioni legislative, regolamentari e amministrative in materia di taluni organismi d</w:t>
      </w:r>
      <w:r w:rsidR="0031704F" w:rsidRPr="00166A44">
        <w:t>'</w:t>
      </w:r>
      <w:r w:rsidRPr="00166A44">
        <w:t>investimento collettivo in valori mobiliari (OICVM) (GU L 302 del 17.11.2009, pag.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1AED213A" w:rsidR="007A2766" w:rsidRPr="007A2766" w:rsidRDefault="007A2766" w:rsidP="007A2766">
                          <w:pPr>
                            <w:rPr>
                              <w:rFonts w:ascii="Calibri" w:eastAsia="Calibri" w:hAnsi="Calibri" w:cs="Calibri"/>
                              <w:noProof/>
                              <w:color w:val="000000"/>
                              <w:sz w:val="24"/>
                            </w:rPr>
                          </w:pPr>
                          <w:r>
                            <w:rPr>
                              <w:rFonts w:ascii="Calibri" w:hAnsi="Calibri"/>
                              <w:color w:val="000000"/>
                              <w:sz w:val="24"/>
                            </w:rPr>
                            <w:t>Per l</w:t>
                          </w:r>
                          <w:r w:rsidR="0031704F">
                            <w:rPr>
                              <w:rFonts w:ascii="Calibri" w:hAnsi="Calibri"/>
                              <w:color w:val="000000"/>
                              <w:sz w:val="24"/>
                            </w:rPr>
                            <w:t>'</w:t>
                          </w:r>
                          <w:r>
                            <w:rPr>
                              <w:rFonts w:ascii="Calibri" w:hAnsi="Calibri"/>
                              <w:color w:val="000000"/>
                              <w:sz w:val="24"/>
                            </w:rPr>
                            <w:t>uso ordinario dell</w:t>
                          </w:r>
                          <w:r w:rsidR="0031704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1AED213A" w:rsidR="007A2766" w:rsidRPr="007A2766" w:rsidRDefault="007A2766" w:rsidP="007A2766">
                    <w:pPr>
                      <w:rPr>
                        <w:rFonts w:ascii="Calibri" w:eastAsia="Calibri" w:hAnsi="Calibri" w:cs="Calibri"/>
                        <w:noProof/>
                        <w:color w:val="000000"/>
                        <w:sz w:val="24"/>
                      </w:rPr>
                    </w:pPr>
                    <w:r>
                      <w:rPr>
                        <w:rFonts w:ascii="Calibri" w:hAnsi="Calibri"/>
                        <w:color w:val="000000"/>
                        <w:sz w:val="24"/>
                      </w:rPr>
                      <w:t>Per l</w:t>
                    </w:r>
                    <w:r w:rsidR="0031704F">
                      <w:rPr>
                        <w:rFonts w:ascii="Calibri" w:hAnsi="Calibri"/>
                        <w:color w:val="000000"/>
                        <w:sz w:val="24"/>
                      </w:rPr>
                      <w:t>'</w:t>
                    </w:r>
                    <w:r>
                      <w:rPr>
                        <w:rFonts w:ascii="Calibri" w:hAnsi="Calibri"/>
                        <w:color w:val="000000"/>
                        <w:sz w:val="24"/>
                      </w:rPr>
                      <w:t>uso ordinario dell</w:t>
                    </w:r>
                    <w:r w:rsidR="0031704F">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DF8920B" w:rsidR="007A2766" w:rsidRPr="007A2766" w:rsidRDefault="007A2766" w:rsidP="007A2766">
                          <w:pPr>
                            <w:rPr>
                              <w:rFonts w:ascii="Calibri" w:eastAsia="Calibri" w:hAnsi="Calibri" w:cs="Calibri"/>
                              <w:noProof/>
                              <w:color w:val="000000"/>
                              <w:sz w:val="24"/>
                            </w:rPr>
                          </w:pPr>
                          <w:r>
                            <w:rPr>
                              <w:rFonts w:ascii="Calibri" w:hAnsi="Calibri"/>
                              <w:color w:val="000000"/>
                              <w:sz w:val="24"/>
                            </w:rPr>
                            <w:t>Per l</w:t>
                          </w:r>
                          <w:r w:rsidR="0031704F">
                            <w:rPr>
                              <w:rFonts w:ascii="Calibri" w:hAnsi="Calibri"/>
                              <w:color w:val="000000"/>
                              <w:sz w:val="24"/>
                            </w:rPr>
                            <w:t>'</w:t>
                          </w:r>
                          <w:r>
                            <w:rPr>
                              <w:rFonts w:ascii="Calibri" w:hAnsi="Calibri"/>
                              <w:color w:val="000000"/>
                              <w:sz w:val="24"/>
                            </w:rPr>
                            <w:t>uso ordinario dell</w:t>
                          </w:r>
                          <w:r w:rsidR="0031704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DF8920B" w:rsidR="007A2766" w:rsidRPr="007A2766" w:rsidRDefault="007A2766" w:rsidP="007A2766">
                    <w:pPr>
                      <w:rPr>
                        <w:rFonts w:ascii="Calibri" w:eastAsia="Calibri" w:hAnsi="Calibri" w:cs="Calibri"/>
                        <w:noProof/>
                        <w:color w:val="000000"/>
                        <w:sz w:val="24"/>
                      </w:rPr>
                    </w:pPr>
                    <w:r>
                      <w:rPr>
                        <w:rFonts w:ascii="Calibri" w:hAnsi="Calibri"/>
                        <w:color w:val="000000"/>
                        <w:sz w:val="24"/>
                      </w:rPr>
                      <w:t>Per l</w:t>
                    </w:r>
                    <w:r w:rsidR="0031704F">
                      <w:rPr>
                        <w:rFonts w:ascii="Calibri" w:hAnsi="Calibri"/>
                        <w:color w:val="000000"/>
                        <w:sz w:val="24"/>
                      </w:rPr>
                      <w:t>'</w:t>
                    </w:r>
                    <w:r>
                      <w:rPr>
                        <w:rFonts w:ascii="Calibri" w:hAnsi="Calibri"/>
                        <w:color w:val="000000"/>
                        <w:sz w:val="24"/>
                      </w:rPr>
                      <w:t>uso ordinario dell</w:t>
                    </w:r>
                    <w:r w:rsidR="0031704F">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2DF56981" w:rsidR="007A2766" w:rsidRPr="007A2766" w:rsidRDefault="007A2766" w:rsidP="007A2766">
                          <w:pPr>
                            <w:rPr>
                              <w:rFonts w:ascii="Calibri" w:eastAsia="Calibri" w:hAnsi="Calibri" w:cs="Calibri"/>
                              <w:noProof/>
                              <w:color w:val="000000"/>
                              <w:sz w:val="24"/>
                            </w:rPr>
                          </w:pPr>
                          <w:r>
                            <w:rPr>
                              <w:rFonts w:ascii="Calibri" w:hAnsi="Calibri"/>
                              <w:color w:val="000000"/>
                              <w:sz w:val="24"/>
                            </w:rPr>
                            <w:t>Per l</w:t>
                          </w:r>
                          <w:r w:rsidR="0031704F">
                            <w:rPr>
                              <w:rFonts w:ascii="Calibri" w:hAnsi="Calibri"/>
                              <w:color w:val="000000"/>
                              <w:sz w:val="24"/>
                            </w:rPr>
                            <w:t>'</w:t>
                          </w:r>
                          <w:r>
                            <w:rPr>
                              <w:rFonts w:ascii="Calibri" w:hAnsi="Calibri"/>
                              <w:color w:val="000000"/>
                              <w:sz w:val="24"/>
                            </w:rPr>
                            <w:t>uso ordinario dell</w:t>
                          </w:r>
                          <w:r w:rsidR="0031704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2DF56981" w:rsidR="007A2766" w:rsidRPr="007A2766" w:rsidRDefault="007A2766" w:rsidP="007A2766">
                    <w:pPr>
                      <w:rPr>
                        <w:rFonts w:ascii="Calibri" w:eastAsia="Calibri" w:hAnsi="Calibri" w:cs="Calibri"/>
                        <w:noProof/>
                        <w:color w:val="000000"/>
                        <w:sz w:val="24"/>
                      </w:rPr>
                    </w:pPr>
                    <w:r>
                      <w:rPr>
                        <w:rFonts w:ascii="Calibri" w:hAnsi="Calibri"/>
                        <w:color w:val="000000"/>
                        <w:sz w:val="24"/>
                      </w:rPr>
                      <w:t>Per l</w:t>
                    </w:r>
                    <w:r w:rsidR="0031704F">
                      <w:rPr>
                        <w:rFonts w:ascii="Calibri" w:hAnsi="Calibri"/>
                        <w:color w:val="000000"/>
                        <w:sz w:val="24"/>
                      </w:rPr>
                      <w:t>'</w:t>
                    </w:r>
                    <w:r>
                      <w:rPr>
                        <w:rFonts w:ascii="Calibri" w:hAnsi="Calibri"/>
                        <w:color w:val="000000"/>
                        <w:sz w:val="24"/>
                      </w:rPr>
                      <w:t>uso ordinario dell</w:t>
                    </w:r>
                    <w:r w:rsidR="0031704F">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activeWritingStyle w:appName="MSWord" w:lang="en-I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01CAF"/>
    <w:rsid w:val="00166A44"/>
    <w:rsid w:val="001B236F"/>
    <w:rsid w:val="002140D7"/>
    <w:rsid w:val="00236BAE"/>
    <w:rsid w:val="0031704F"/>
    <w:rsid w:val="004B5B4C"/>
    <w:rsid w:val="004C7B23"/>
    <w:rsid w:val="004E3F4D"/>
    <w:rsid w:val="007A2766"/>
    <w:rsid w:val="007E1815"/>
    <w:rsid w:val="008A4A5E"/>
    <w:rsid w:val="009674B5"/>
    <w:rsid w:val="00A15FB7"/>
    <w:rsid w:val="00B54FCF"/>
    <w:rsid w:val="00BA0A8F"/>
    <w:rsid w:val="00C02D72"/>
    <w:rsid w:val="00C71777"/>
    <w:rsid w:val="00D877EA"/>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58B802-5515-4397-BC5B-2B20B4C72171}"/>
</file>

<file path=customXml/itemProps2.xml><?xml version="1.0" encoding="utf-8"?>
<ds:datastoreItem xmlns:ds="http://schemas.openxmlformats.org/officeDocument/2006/customXml" ds:itemID="{FCE569FC-3C2E-494A-8979-E82E52EF37D6}"/>
</file>

<file path=customXml/itemProps3.xml><?xml version="1.0" encoding="utf-8"?>
<ds:datastoreItem xmlns:ds="http://schemas.openxmlformats.org/officeDocument/2006/customXml" ds:itemID="{4323A666-4719-44B9-8587-6CE9A6EDA5C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63</TotalTime>
  <Pages>21</Pages>
  <Words>7925</Words>
  <Characters>43274</Characters>
  <Application>Microsoft Office Word</Application>
  <DocSecurity>0</DocSecurity>
  <Lines>920</Lines>
  <Paragraphs>461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ROMITI Anna Rita (DGT)</cp:lastModifiedBy>
  <cp:revision>11</cp:revision>
  <dcterms:created xsi:type="dcterms:W3CDTF">2021-03-11T12:04:00Z</dcterms:created>
  <dcterms:modified xsi:type="dcterms:W3CDTF">2024-10-17T07:09:00Z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