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 xml:space="preserve">BILAG XXXIV – Instrukser til skemaerne til offentliggørelse af aflønningspolitik</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Tabel EU REMA – Aflønningspolitik:</w:t>
      </w:r>
      <w:r>
        <w:rPr>
          <w:color w:val="auto"/>
          <w:sz w:val="24"/>
          <w:b/>
          <w:rFonts w:ascii="Times New Roman" w:hAnsi="Times New Roman"/>
        </w:rPr>
        <w:t xml:space="preserve"> </w:t>
      </w:r>
      <w:r>
        <w:rPr>
          <w:color w:val="auto"/>
          <w:sz w:val="24"/>
          <w:rFonts w:ascii="Times New Roman" w:hAnsi="Times New Roman"/>
        </w:rPr>
        <w:t xml:space="preserve">Fleksibelt format</w:t>
      </w:r>
    </w:p>
    <w:p w14:paraId="6ACFB470" w14:textId="1A85C375"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offentliggør de oplysninger, som er omhandlet i artikel 450, stk. 1, litra a), b), c), d), e), f), j) og k), og artikel 450, stk. 2, i CRR</w:t>
      </w:r>
      <w:r>
        <w:rPr>
          <w:rStyle w:val="FootnoteReference"/>
          <w:rFonts w:ascii="Times New Roman" w:eastAsiaTheme="minorEastAsia" w:hAnsi="Times New Roman" w:cs="Times New Roman"/>
          <w:bCs w:val="0"/>
          <w:color w:val="auto"/>
          <w:sz w:val="24"/>
          <w:lang w:val="en-GB"/>
        </w:rPr>
        <w:footnoteReference w:id="1"/>
      </w:r>
      <w:r>
        <w:rPr>
          <w:color w:val="auto"/>
          <w:sz w:val="24"/>
          <w:rFonts w:ascii="Times New Roman" w:hAnsi="Times New Roman"/>
        </w:rPr>
        <w:t xml:space="preserve">, ved at følge instrukserne i dette bilag til udfyldelse af tabel EU-REMA, som findes i bilag XXXIII til EBA's IT-løsninger.</w:t>
      </w:r>
    </w:p>
    <w:p w14:paraId="3D4A1A0C"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Tabellen har et fleksibelt format.</w:t>
      </w:r>
      <w:r>
        <w:rPr>
          <w:color w:val="auto"/>
          <w:sz w:val="24"/>
          <w:rFonts w:ascii="Times New Roman" w:hAnsi="Times New Roman"/>
        </w:rPr>
        <w:t xml:space="preserve"> </w:t>
      </w:r>
      <w:r>
        <w:rPr>
          <w:color w:val="auto"/>
          <w:sz w:val="24"/>
          <w:rFonts w:ascii="Times New Roman" w:hAnsi="Times New Roman"/>
        </w:rPr>
        <w:t xml:space="preserve">Hvis institutterne anvender et anderledes format, skal oplysningerne være sammenlignelige med de oplysninger, der kræves i denne tabel, og have en tilsvarende detaljeringsgrad og det krævede indhold.</w:t>
      </w:r>
    </w:p>
    <w:p w14:paraId="5ED60910"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Med henblik på denne tabel og de skemaer, der beskrives i dette bilag, forstås ved "tildeling" ydelsen af variabel aflønning for en bestemt optjeningsperiode uafhængigt af det tidspunkt, hvor det tildelte beløb faktisk udbetales.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Oplysninger om de organer, der fører tilsyn med aflønningen.</w:t>
            </w:r>
            <w:r>
              <w:rPr>
                <w:sz w:val="24"/>
                <w:rFonts w:ascii="Times New Roman" w:hAnsi="Times New Roman"/>
              </w:rPr>
              <w:t xml:space="preserve"> </w:t>
            </w:r>
            <w:r>
              <w:rPr>
                <w:sz w:val="24"/>
                <w:rFonts w:ascii="Times New Roman" w:hAnsi="Times New Roman"/>
              </w:rPr>
              <w:t xml:space="preserve">Offentliggørelsen skal omfatte:</w:t>
            </w:r>
          </w:p>
          <w:p w14:paraId="1488B17D"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oplysninger om navnet på, sammensætningen af og mandatet for det hovedorgan (ledelsesorgan og eventuelt løn- og vederlagsudvalg), der fører tilsyn med aflønningspolitikken, og antallet af møder, som afholdes af hovedorganet i løbet af regnskabsåret</w:t>
            </w:r>
          </w:p>
          <w:p w14:paraId="5B0DD549"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oplysninger om eksterne eksperter, som er blevet konsulteret, samt hvilket organ der har bestilt dem, og hvilke områder af aflønningsrammen der er tale om</w:t>
            </w:r>
          </w:p>
          <w:p w14:paraId="3CBC394C"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en beskrivelse af anvendelsesområdet for instituttets aflønningspolitik (eksempelvis efter region eller forretningsområde), samt i hvilket omfang den finder anvendelse på datterselskaber og filialer i tredjelande</w:t>
            </w:r>
          </w:p>
          <w:p w14:paraId="1BEEE20B" w14:textId="77777777" w:rsidR="00965CEB" w:rsidRPr="007F4CC8" w:rsidRDefault="00965CEB" w:rsidP="00965CEB">
            <w:pPr>
              <w:pStyle w:val="ListParagraph"/>
              <w:numPr>
                <w:ilvl w:val="0"/>
                <w:numId w:val="2"/>
              </w:numPr>
              <w:spacing w:before="60" w:after="120"/>
              <w:jc w:val="both"/>
              <w:rPr>
                <w:sz w:val="24"/>
                <w:rFonts w:ascii="Times New Roman" w:hAnsi="Times New Roman"/>
              </w:rPr>
            </w:pPr>
            <w:r>
              <w:rPr>
                <w:sz w:val="24"/>
                <w:rFonts w:ascii="Times New Roman" w:hAnsi="Times New Roman"/>
              </w:rPr>
              <w:t xml:space="preserve">en beskrivelse af medarbejdere eller kategorier af medarbejdere, hvis arbejde har væsentlig indflydelse på institutternes risikoprofil (identificerede medarbejdere).</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Oplysninger om aflønningssystemets opbygning og struktur for så vidt angår identificerede medarbejdere.</w:t>
            </w:r>
            <w:r>
              <w:rPr>
                <w:sz w:val="24"/>
                <w:rFonts w:ascii="Times New Roman" w:hAnsi="Times New Roman"/>
              </w:rPr>
              <w:t xml:space="preserve"> </w:t>
            </w:r>
            <w:r>
              <w:rPr>
                <w:sz w:val="24"/>
                <w:rFonts w:ascii="Times New Roman" w:hAnsi="Times New Roman"/>
              </w:rPr>
              <w:t xml:space="preserve">Offentliggørelsen skal omfatte:</w:t>
            </w:r>
          </w:p>
          <w:p w14:paraId="363C45D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oversigt over aflønningspolitikkens centrale funktioner og målsætninger, oplysninger om beslutningsprocessen i forbindelse med fastlæggelsen af aflønningspolitikken og de relevante berørte parters rolle (f.eks. aktionærmøder)</w:t>
            </w:r>
          </w:p>
          <w:p w14:paraId="415080E8"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oplysninger om, hvilke kriterier der lægges til grund for resultatmålinger og forudgående eller efterfølgende risikojustering</w:t>
            </w:r>
          </w:p>
          <w:p w14:paraId="486E0D69"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oplysninger om, hvorvidt ledelsesorganet og eventuelt løn- og vederlagsudvalget har gennemgået instituttets aflønningspolitik i løbet af det seneste år, og i givet fald en oversigt over eventuelle ændringer, som er foretaget, begrundelsen for ændringerne samt deres indvirkning på aflønningen</w:t>
            </w:r>
          </w:p>
          <w:p w14:paraId="410559C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oplysninger om, hvordan instituttet sikrer, at personale i interne kontrolfunktioner aflønnes uafhængigt af de forretningsområder, som de fører tilsyn med</w:t>
            </w:r>
          </w:p>
          <w:p w14:paraId="0551D89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de politikker og kriterier, der anvendes ved tildelingen af garanteret variabel aflønning og fratrædelsesgodtgørelse.</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Beskrivelse af de måder, hvorpå der tages højde for eksisterende og fremtidige risici i aflønningsprocesserne</w:t>
            </w:r>
            <w:r>
              <w:rPr>
                <w:sz w:val="24"/>
                <w:rFonts w:ascii="Times New Roman" w:hAnsi="Times New Roman"/>
              </w:rPr>
              <w:t xml:space="preserve"> </w:t>
            </w:r>
          </w:p>
          <w:p w14:paraId="5A14C6D4"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Offentliggørelsen skal indeholde en oversigt over de væsentligste risici, beregningen af dem, og hvordan disse beregninger påvirker aflønningen.</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Forholdene mellem fast og variabel aflønning fastsat i henhold til artikel 94, stk. 1, litra g), i direktiv (EU) 2013/36 ("CRD")</w:t>
            </w:r>
            <w:r>
              <w:rPr>
                <w:rStyle w:val="FootnoteReference"/>
                <w:rFonts w:ascii="Times New Roman" w:hAnsi="Times New Roman"/>
                <w:sz w:val="24"/>
              </w:rPr>
              <w:footnoteReference w:id="2"/>
            </w:r>
            <w:r>
              <w:rPr>
                <w:sz w:val="24"/>
                <w:rFonts w:ascii="Times New Roman" w:hAnsi="Times New Roman"/>
              </w:rPr>
              <w:t xml:space="preserve">.</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Beskrivelse af de måder, hvorpå instituttet søger at skabe sammenhæng mellem resultaterne i løbet af en resultatmålingsperiode og aflønningsniveauerne</w:t>
            </w:r>
          </w:p>
          <w:p w14:paraId="2C4FFE4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Offentliggørelsen skal omfatte:</w:t>
            </w:r>
          </w:p>
          <w:p w14:paraId="13DAA83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oversigt over de vigtigste resultatkriterier og -mål for instituttet, forretningsområder og enkeltpersoner</w:t>
            </w:r>
          </w:p>
          <w:p w14:paraId="4673DEDB"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oversigt over, hvordan det individuelle variable aflønningsbeløb hænger sammen med instituttets og den enkelte medarbejders resultater</w:t>
            </w:r>
          </w:p>
          <w:p w14:paraId="66395D1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oplysninger om de kriterier, der anvendes til at fastlægge balancen mellem de forskellige former for tildelte instrumenter, herunder aktier, tilsvarende ejerskabsinteresser, optioner og andre instrumenter</w:t>
            </w:r>
          </w:p>
          <w:p w14:paraId="41B4F38D" w14:textId="77777777" w:rsidR="00965CEB" w:rsidRPr="007F4CC8" w:rsidRDefault="00965CEB" w:rsidP="00965CEB">
            <w:pPr>
              <w:pStyle w:val="ListParagraph"/>
              <w:numPr>
                <w:ilvl w:val="0"/>
                <w:numId w:val="3"/>
              </w:numPr>
              <w:spacing w:before="60" w:after="120"/>
              <w:jc w:val="both"/>
              <w:rPr>
                <w:sz w:val="24"/>
                <w:rFonts w:ascii="Times New Roman" w:hAnsi="Times New Roman"/>
              </w:rPr>
            </w:pPr>
            <w:r>
              <w:rPr>
                <w:sz w:val="24"/>
                <w:rFonts w:ascii="Times New Roman" w:hAnsi="Times New Roman"/>
              </w:rPr>
              <w:t xml:space="preserve">oplysninger om de foranstaltninger, som gennemføres af instituttet for at justere den variable aflønning i tilfælde af, at resultatmålene er svage, herunder instituttets kriterier for fastsættelse af resultatmål, når resultatmålene anses for at være "svage".</w:t>
            </w:r>
            <w:r>
              <w:rPr>
                <w:sz w:val="24"/>
                <w:rFonts w:ascii="Times New Roman" w:hAnsi="Times New Roman"/>
              </w:rPr>
              <w:t xml:space="preserve"> </w:t>
            </w:r>
            <w:r>
              <w:rPr>
                <w:sz w:val="24"/>
                <w:rFonts w:ascii="Times New Roman" w:hAnsi="Times New Roman"/>
              </w:rPr>
              <w:t xml:space="preserve">I overensstemmelse med artikel 94, stk. 1, litra n), i CRD udbetales eller godtgøres den variable løn kun, hvis det er berettiget på grundlag af instituttets, afdelingens og den pågældende medarbejders resultater.</w:t>
            </w:r>
            <w:r>
              <w:rPr>
                <w:sz w:val="24"/>
                <w:rFonts w:ascii="Times New Roman" w:hAnsi="Times New Roman"/>
              </w:rPr>
              <w:t xml:space="preserve"> </w:t>
            </w:r>
            <w:r>
              <w:rPr>
                <w:sz w:val="24"/>
                <w:rFonts w:ascii="Times New Roman" w:hAnsi="Times New Roman"/>
              </w:rPr>
              <w:t xml:space="preserve">Institutterne skal redegøre for, hvilke kriterier/tærskler der anvendes til at fastslå, at resultaterne er svage, og at det ikke berettiger udbetaling eller godtgørelse af den variable løn.</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Beskrivelse af de måder, hvorpå instituttet søger at justere aflønningen for at tage hensyn til langsigtede resultater</w:t>
            </w:r>
          </w:p>
          <w:p w14:paraId="6FD7FDE9"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Offentliggørelsen skal omfatte:</w:t>
            </w:r>
          </w:p>
          <w:p w14:paraId="4C34D32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oversigt over instituttets politikker vedrørende udskydelse, udbetaling i instrumenter, fastholdelsesperioder og optjening af variabel løn, herunder når de ikke er ens for alle medarbejdere eller kategorier af medarbejdere.</w:t>
            </w:r>
          </w:p>
          <w:p w14:paraId="21961ED2"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oplysninger om instituttets kriterier for efterfølgende justeringer (fradrag under udskydelsen og tilbagebetaling efter optjeningen, hvis dette er tilladt i henhold til national lovgivning).</w:t>
            </w:r>
          </w:p>
          <w:p w14:paraId="17291DFB" w14:textId="77777777" w:rsidR="00965CEB" w:rsidRPr="007F4CC8" w:rsidRDefault="00965CEB" w:rsidP="00965CEB">
            <w:pPr>
              <w:pStyle w:val="ListParagraph"/>
              <w:numPr>
                <w:ilvl w:val="0"/>
                <w:numId w:val="3"/>
              </w:numPr>
              <w:spacing w:before="60" w:after="120"/>
              <w:jc w:val="both"/>
              <w:rPr>
                <w:b/>
                <w:sz w:val="24"/>
                <w:szCs w:val="24"/>
                <w:rFonts w:ascii="Times New Roman" w:hAnsi="Times New Roman"/>
              </w:rPr>
            </w:pPr>
            <w:r>
              <w:rPr>
                <w:sz w:val="24"/>
                <w:rFonts w:ascii="Times New Roman" w:hAnsi="Times New Roman"/>
              </w:rPr>
              <w:t xml:space="preserve">hvor det er relevant, krav til kapitalandele, som kan pålægges identificerede medarbejdere.</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 xml:space="preserve">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Beskrivelse af de vigtigste parametre og begrundelser for en eventuel ordning for variable komponenter og andre ikkepekuniære fordele, jf. artikel 450, stk. 1, litra f), i CRR.</w:t>
            </w:r>
            <w:r>
              <w:rPr>
                <w:sz w:val="24"/>
                <w:rFonts w:ascii="Times New Roman" w:hAnsi="Times New Roman"/>
              </w:rPr>
              <w:t xml:space="preserve"> </w:t>
            </w:r>
            <w:r>
              <w:rPr>
                <w:sz w:val="24"/>
                <w:rFonts w:ascii="Times New Roman" w:hAnsi="Times New Roman"/>
              </w:rPr>
              <w:t xml:space="preserve">Offentliggørelsen skal omfatte:</w:t>
            </w:r>
          </w:p>
          <w:p w14:paraId="41EACCD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oplysninger om de specifikke risiko-/resultatindikatorer, der anvendes til at fastlægge de variable lønkomponenter, og de kriterier, der anvendes til at fastlægge balancen mellem de forskellige former for tildelte instrumenter, herunder aktier, tilsvarende ejerskabsinteresser, instrumenter baseret på aktiver, tilsvarende ikkelikvide instrumenter, optioner og andre instrumenter</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 xml:space="preserve">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efter anmodning fra den relevante medlemsstat eller kompetente myndighed den samlede aflønning af hvert medlem af ledelsesorganet eller den øverste ledelse, jf. artikel 450, stk. 1, litra j), i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 xml:space="preserve">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oplysning om, hvorvidt instituttet er indrømmet en undtagelse i henhold til artikel 94, stk. 3, i CRD, som omhandlet i artikel 450, stk. 1, litra k), i CRR.</w:t>
            </w:r>
          </w:p>
          <w:p w14:paraId="43880B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Med henblik på dette litra angiver institutter, der er indrømmet en sådan undtagelse, om dette er på grundlag af artikel 94, stk. 3, litra a), og/eller litra b), i CRD.</w:t>
            </w:r>
            <w:r>
              <w:rPr>
                <w:sz w:val="24"/>
                <w:rFonts w:ascii="Times New Roman" w:hAnsi="Times New Roman"/>
              </w:rPr>
              <w:t xml:space="preserve"> </w:t>
            </w:r>
            <w:r>
              <w:rPr>
                <w:sz w:val="24"/>
                <w:rFonts w:ascii="Times New Roman" w:hAnsi="Times New Roman"/>
              </w:rPr>
              <w:t xml:space="preserve">De angiver også, på hvilket af aflønningskravene de anvender undtagelsen eller undtagelserne (dvs. artikel 94, stk. 1, litra l), og/eller litra m), og/eller litra o), i CRD), det antal medarbejdere, der er genstand for undtagelsen eller undtagelserne, og deres samlede aflønning opdelt i fast og variabel aflønning.</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 xml:space="preserve">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Store institutter skal også offentliggøre de kvantitative oplysninger om aflønningen af deres samlede ledelsesorgan, idet der skelnes mellem ledende og ikkeledende medlemmer, som nævnt i artikel 450, stk. 2, i CRR.</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Skema EU REM1 – Aflønning tildelt i løbet af regnskabsåret:</w:t>
      </w:r>
      <w:r>
        <w:rPr>
          <w:color w:val="auto"/>
          <w:sz w:val="24"/>
          <w:b/>
          <w:rFonts w:ascii="Times New Roman" w:hAnsi="Times New Roman"/>
        </w:rPr>
        <w:t xml:space="preserve"> </w:t>
      </w:r>
      <w:r>
        <w:rPr>
          <w:color w:val="auto"/>
          <w:sz w:val="24"/>
          <w:rFonts w:ascii="Times New Roman" w:hAnsi="Times New Roman"/>
        </w:rPr>
        <w:t xml:space="preserve">Fast format.</w:t>
      </w:r>
    </w:p>
    <w:p w14:paraId="0B701908"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skal anvende instrukserne nedenfor i dette bilag til at udfylde skema EU REM1 som vist i bilag XXXIII til nærværende gennemførelsesforordning, ved anvendelse af artikel 450, stk. 1, litra h), nr. i)-ii), i CRR.</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og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Antal identificerede medarbejdere</w:t>
            </w:r>
          </w:p>
          <w:p w14:paraId="23AE8698"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Antallet af medarbejdere, hvis arbejde har væsentlig indflydelse på institutternes risikoprofil i overensstemmelse med artikel 92 i CRD og Kommissionens delegerede forordning vedrørende identificerede medarbejdere</w:t>
            </w:r>
            <w:r>
              <w:rPr>
                <w:rStyle w:val="FootnoteReference"/>
                <w:rFonts w:ascii="Times New Roman" w:hAnsi="Times New Roman" w:cs="Times New Roman"/>
                <w:sz w:val="24"/>
              </w:rPr>
              <w:footnoteReference w:id="3"/>
            </w:r>
            <w:r>
              <w:rPr>
                <w:sz w:val="24"/>
                <w:rFonts w:ascii="Times New Roman" w:hAnsi="Times New Roman"/>
              </w:rPr>
              <w:t xml:space="preserve"> med henblik på at gennemføre bestemmelsen i artikel 94, stk. 2, i CRD (identificerede medarbejdere), og som er modtagere af de aflønningskomponenter, der er opført i dette skema.</w:t>
            </w:r>
            <w:r>
              <w:rPr>
                <w:sz w:val="24"/>
                <w:rFonts w:ascii="Times New Roman" w:hAnsi="Times New Roman"/>
              </w:rPr>
              <w:t xml:space="preserve"> </w:t>
            </w:r>
            <w:r>
              <w:rPr>
                <w:sz w:val="24"/>
                <w:rFonts w:ascii="Times New Roman" w:hAnsi="Times New Roman"/>
              </w:rPr>
              <w:t xml:space="preserve">Antallet beregnes i fuldtidsækvivalenter (FTÆ) for identificerede medarbejdere, som ikke er medlemmer af ledelsesorganet, og offentliggøres som antallet af ansatte.</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Fast aflønning i alt</w:t>
            </w:r>
          </w:p>
          <w:p w14:paraId="03654C0F"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Summen af beløbene i række 3 og 7 i dette skema</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kontantbaseret</w:t>
            </w:r>
          </w:p>
          <w:p w14:paraId="1A2351D8"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Andelen af fast aflønning, som består af kontantbaseret løn</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aktier eller tilsvarende ejerskabsinteresser</w:t>
            </w:r>
          </w:p>
          <w:p w14:paraId="14E3789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Summen af den del af fast aflønning, som består af aktier eller tilsvarende ejerskabsinteresser afhængigt af det pågældende instituts juridiske struktur, jf. artikel 94, stk. 1, litra l), nr. i), i CRD.</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instrumenter baseret på aktier eller tilsvarende ikkelikvide instrumenter</w:t>
            </w:r>
            <w:r>
              <w:rPr>
                <w:sz w:val="24"/>
                <w:rFonts w:ascii="Times New Roman" w:hAnsi="Times New Roman"/>
              </w:rPr>
              <w:t xml:space="preserve"> </w:t>
            </w:r>
          </w:p>
          <w:p w14:paraId="54EF89ED"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Summen af den del fast aflønning, som består af instrumenter baseret på aktier eller tilsvarende ikkelikvide instrumenter, jf. artikel 94, stk. 1, litra l), nr. i), i CRD</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andre instrumenter</w:t>
            </w:r>
          </w:p>
          <w:p w14:paraId="06C24EE7"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Andelen af fast aflønning, som består af andre instrumenter, jf. artikel 94, stk. 1, litra l), nr. ii), i CRD</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andre former</w:t>
            </w:r>
          </w:p>
          <w:p w14:paraId="35C192C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Fast aflønning tildelt i regnskabsåret, som ikke er offentliggjort i andre rækker under afsnittet fast aflønning i alt</w:t>
            </w:r>
          </w:p>
          <w:p w14:paraId="5E279F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Dette kan omfatte proportionale regelmæssige pensionsbidrag eller goder (når sådanne goder ikke tager hensyn til eventuelle resultatkriterier), jf. litra 64), i CRD, eller andre former for vederlag såsom godtgørelse til dækning af kørselsudgifter.</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Variabel aflønning i alt</w:t>
            </w:r>
          </w:p>
          <w:p w14:paraId="00FC93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Summen af beløbene i række 11, EU-13a, EU-13b, EU-14x og 15 i dette skema</w:t>
            </w:r>
          </w:p>
          <w:p w14:paraId="74BA85C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Summen af de samlede lønkomponenter, der ikke er fast aflønning som offentliggjort i række 2 i dette skema, herunder garanteret variabel aflønning og fratrædelsesgodtgørelser, som er tildelt i løbet af regnskabsåret.</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kontantbaseret</w:t>
            </w:r>
          </w:p>
          <w:p w14:paraId="2BEE787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Andelen af variabel aflønning, der består af kontantbaseret løn</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12, EU-14a, EU-14b, EU-14y og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udskudt</w:t>
            </w:r>
          </w:p>
          <w:p w14:paraId="151C1A05"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Andelen af variabel aflønning fordelt på forskellige komponenttyper, som er udskudt, jf. artikel 94 i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aktier eller tilsvarende ejerskabsinteresser</w:t>
            </w:r>
          </w:p>
          <w:p w14:paraId="4498A7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Summen af den del af variabel aflønning, som består af aktier eller tilsvarende ejerskabsinteresser afhængigt af det pågældende instituts juridiske struktur, jf. artikel 94, stk. 1, litra l), nr. i), i CRD</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instrumenter baseret på aktier eller tilsvarende ikkelikvide instrumenter</w:t>
            </w:r>
            <w:r>
              <w:rPr>
                <w:sz w:val="24"/>
                <w:rFonts w:ascii="Times New Roman" w:hAnsi="Times New Roman"/>
              </w:rPr>
              <w:t xml:space="preserve"> </w:t>
            </w:r>
          </w:p>
          <w:p w14:paraId="6FA62A3F"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Summen af den del af variabel aflønning, som består af instrumenter baseret på aktier eller tilsvarende ikkelikvide instrumenter, jf. artikel 94, stk. 1, litra l), nr. i), i CRD</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andre instrumenter</w:t>
            </w:r>
          </w:p>
          <w:p w14:paraId="4D8E1D04" w14:textId="77777777" w:rsidR="00965CEB" w:rsidRPr="007F4CC8" w:rsidRDefault="00965CEB" w:rsidP="004F3087">
            <w:pPr>
              <w:autoSpaceDE w:val="0"/>
              <w:autoSpaceDN w:val="0"/>
              <w:adjustRightInd w:val="0"/>
              <w:spacing w:after="120"/>
              <w:jc w:val="both"/>
              <w:rPr>
                <w:b/>
                <w:sz w:val="24"/>
                <w:rFonts w:ascii="Times New Roman" w:hAnsi="Times New Roman"/>
              </w:rPr>
            </w:pPr>
            <w:r>
              <w:rPr>
                <w:sz w:val="24"/>
                <w:rFonts w:ascii="Times New Roman" w:hAnsi="Times New Roman"/>
              </w:rPr>
              <w:t xml:space="preserve">Andelen af variabel aflønning, som består af andre instrumenter, jf. artikel 94, stk. 1, litra l), nr. ii), i CRD</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andre former</w:t>
            </w:r>
          </w:p>
          <w:p w14:paraId="236742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Variabel aflønning tildelt i regnskabsåret, som ikke er offentliggjort i andre rækker under afsnittet om variabel aflønning</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Aflønning i alt</w:t>
            </w:r>
          </w:p>
          <w:p w14:paraId="7D746BF1"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Summen af beløbene i række 2 og 10 i dette skema.</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Ledelsesorganet i dets tilsynsfunktion</w:t>
            </w:r>
          </w:p>
          <w:p w14:paraId="5B08524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Ledelsesorganet i dets tilsynsfunktion, som ledelsesorganet, der handler i sin funktion med kontrol og overvågning af ledelsens beslutningstagning, som defineret i artikel 3, stk. 1, nr. 8), i CRD</w:t>
            </w:r>
            <w:r>
              <w:rPr>
                <w:sz w:val="24"/>
                <w:rFonts w:ascii="Times New Roman" w:hAnsi="Times New Roman"/>
              </w:rPr>
              <w:t xml:space="preserve"> </w:t>
            </w:r>
          </w:p>
          <w:p w14:paraId="69498C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Institutterne offentliggør oplysninger baseret på antallet af ansatte.</w:t>
            </w:r>
            <w:r>
              <w:rPr>
                <w:sz w:val="24"/>
                <w:rFonts w:ascii="Times New Roman" w:hAnsi="Times New Roman"/>
              </w:rPr>
              <w:t xml:space="preserve"> </w:t>
            </w:r>
          </w:p>
          <w:p w14:paraId="45A26C8B"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 overensstemmelse med artikel 13 i CRR offentliggør moderinstitutterne i Unionen disse oplysninger på grundlag af deres konsoliderede situation, og store datterselskaber af moderinstitutter i Unionen offentliggør oplysningerne på individuelt niveau eller, hvis det er relevant i henhold til denne forordning og CRD, på delkonsolideret niveau.</w:t>
            </w:r>
            <w:r>
              <w:rPr>
                <w:sz w:val="24"/>
                <w:rFonts w:ascii="Times New Roman" w:hAnsi="Times New Roman"/>
              </w:rPr>
              <w:t xml:space="preserve"> </w:t>
            </w:r>
            <w:r>
              <w:rPr>
                <w:sz w:val="24"/>
                <w:rFonts w:ascii="Times New Roman" w:hAnsi="Times New Roman"/>
              </w:rPr>
              <w:t xml:space="preserve">Den offentliggørende enhed angiver oplysninger om deres ledelsesorgan i denne kolonne.</w:t>
            </w:r>
            <w:r>
              <w:rPr>
                <w:sz w:val="24"/>
                <w:rFonts w:ascii="Times New Roman" w:hAnsi="Times New Roman"/>
              </w:rPr>
              <w:t xml:space="preserve"> </w:t>
            </w:r>
            <w:r>
              <w:rPr>
                <w:sz w:val="24"/>
                <w:rFonts w:ascii="Times New Roman" w:hAnsi="Times New Roman"/>
              </w:rPr>
              <w:t xml:space="preserve">Hvis oplysningerne i henhold til artikel 6 og 13 i CRR offentliggøres på konsolideret eller delkonsolideret niveau, skal oplysningerne om identificerede medarbejdere i datterselskabernes ledelsesorganer offentliggøres under det relevante forretningsområde</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Ledelsesorganet i dets ledelsesfunktion</w:t>
            </w:r>
            <w:r>
              <w:rPr>
                <w:sz w:val="24"/>
                <w:rFonts w:ascii="Times New Roman" w:hAnsi="Times New Roman"/>
              </w:rPr>
              <w:t xml:space="preserve"> </w:t>
            </w:r>
          </w:p>
          <w:p w14:paraId="286AC6E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 medlemmer af ledelsesorganet, som er ansvarlige for dets ledelsesfunktioner</w:t>
            </w:r>
          </w:p>
          <w:p w14:paraId="235DAD7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Institutterne offentliggør oplysninger baseret på antallet af ansatte.</w:t>
            </w:r>
          </w:p>
          <w:p w14:paraId="5BD4796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Institutterne offentliggør oplysninger baseret på antallet af ansatte.</w:t>
            </w:r>
            <w:r>
              <w:rPr>
                <w:sz w:val="24"/>
                <w:rFonts w:ascii="Times New Roman" w:hAnsi="Times New Roman"/>
              </w:rPr>
              <w:t xml:space="preserve"> </w:t>
            </w:r>
            <w:r>
              <w:rPr>
                <w:sz w:val="24"/>
                <w:rFonts w:ascii="Times New Roman" w:hAnsi="Times New Roman"/>
              </w:rPr>
              <w:t xml:space="preserve">I overensstemmelse med artikel 13 i CRR.</w:t>
            </w:r>
            <w:r>
              <w:rPr>
                <w:sz w:val="24"/>
                <w:rFonts w:ascii="Times New Roman" w:hAnsi="Times New Roman"/>
              </w:rPr>
              <w:t xml:space="preserve"> </w:t>
            </w:r>
            <w:r>
              <w:rPr>
                <w:sz w:val="24"/>
                <w:rFonts w:ascii="Times New Roman" w:hAnsi="Times New Roman"/>
              </w:rPr>
              <w:t xml:space="preserve">Moderinstitutterne i Unionen offentliggør disse oplysninger på grundlag af deres konsoliderede situation, og store datterselskaber af moderinstitutter i Unionen offentliggør oplysningerne på individuelt niveau eller, hvis det er relevant i henhold til denne forordning og CRD, på delkonsolideret niveau. Den offentliggørende enhed angiver oplysninger om deres ledelsesorgan i denne kolonne.</w:t>
            </w:r>
            <w:r>
              <w:rPr>
                <w:sz w:val="24"/>
                <w:rFonts w:ascii="Times New Roman" w:hAnsi="Times New Roman"/>
              </w:rPr>
              <w:t xml:space="preserve"> </w:t>
            </w:r>
            <w:r>
              <w:rPr>
                <w:sz w:val="24"/>
                <w:rFonts w:ascii="Times New Roman" w:hAnsi="Times New Roman"/>
              </w:rPr>
              <w:t xml:space="preserve">Hvis oplysningerne i henhold til artikel 6 og 13 i CRR offentliggøres på konsolideret eller delkonsolideret niveau, skal oplysningerne om identificerede medarbejdere i datterselskabernes ledelsesorganer offentliggøres under det relevante forretningsområde</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Andre medarbejdere i den øverste ledelse</w:t>
            </w:r>
          </w:p>
          <w:p w14:paraId="43B1CA8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daglige ledelse som defineret i artikel 3, stk. 1, nr. 9), i CRD</w:t>
            </w:r>
          </w:p>
          <w:p w14:paraId="16B3B8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Institutterne offentliggør antallet af medarbejdere i den øverste ledelse, som ikke er offentliggjort under Ledelsesorganet i dets ledelsesfunktion og som Andre identificerede medarbejdere.</w:t>
            </w:r>
            <w:r>
              <w:rPr>
                <w:sz w:val="24"/>
                <w:rFonts w:ascii="Times New Roman" w:hAnsi="Times New Roman"/>
              </w:rPr>
              <w:t xml:space="preserve"> </w:t>
            </w:r>
            <w:r>
              <w:rPr>
                <w:sz w:val="24"/>
                <w:rFonts w:ascii="Times New Roman" w:hAnsi="Times New Roman"/>
              </w:rPr>
              <w:t xml:space="preserve">Institutterne offentliggør oplysninger baseret på fuldtidsækvivalenter.</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Andre identificerede medarbejdere</w:t>
            </w:r>
          </w:p>
          <w:p w14:paraId="6ECAE4F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Andre medarbejdere end medlemmer af ledelsesorganet i dets tilsynsfunktion eller ledelsesfunktion, og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hvor det er relevant på grundlag af institutternes kriterier</w:t>
            </w:r>
            <w:r>
              <w:rPr>
                <w:sz w:val="24"/>
                <w:rFonts w:ascii="Times New Roman" w:hAnsi="Times New Roman"/>
              </w:rPr>
              <w:t xml:space="preserve"> </w:t>
            </w:r>
          </w:p>
          <w:p w14:paraId="78BEE2A5"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Institutterne kan i dette skema foretage en opdeling efter forretningsområde som foreslået i skema EU REM5.</w:t>
            </w:r>
            <w:r>
              <w:rPr>
                <w:sz w:val="24"/>
                <w:rFonts w:ascii="Times New Roman" w:hAnsi="Times New Roman"/>
              </w:rPr>
              <w:t xml:space="preserve"> </w:t>
            </w:r>
            <w:r>
              <w:rPr>
                <w:sz w:val="24"/>
                <w:rFonts w:ascii="Times New Roman" w:hAnsi="Times New Roman"/>
              </w:rPr>
              <w:t xml:space="preserve">Institutterne offentliggør oplysninger baseret på fuldtidsækvivalenter.</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Skema EU REM2 – Særlige betalinger til medarbejdere, hvis arbejde har væsentlig indflydelse på instituttets risikoprofil (identificerede medarbejdere):</w:t>
      </w:r>
      <w:r>
        <w:rPr>
          <w:color w:val="auto"/>
          <w:sz w:val="24"/>
          <w:b/>
          <w:rFonts w:ascii="Times New Roman" w:hAnsi="Times New Roman"/>
        </w:rPr>
        <w:t xml:space="preserve"> </w:t>
      </w:r>
      <w:r>
        <w:rPr>
          <w:color w:val="auto"/>
          <w:sz w:val="24"/>
          <w:rFonts w:ascii="Times New Roman" w:hAnsi="Times New Roman"/>
        </w:rPr>
        <w:t xml:space="preserve">Fast format.</w:t>
      </w:r>
    </w:p>
    <w:p w14:paraId="031B19E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offentliggør de oplysninger, som er omhandlet i artikel 450, stk. 1, litra h), nr. v)-vii), i CRR, ved at følge instrukserne i dette bilag til udfyldelse af skema EU REM2, som findes i bilag XXXIII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 xml:space="preserve">1, 4 og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Antal identificerede medarbejdere</w:t>
            </w:r>
          </w:p>
          <w:p w14:paraId="50587A1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Antallet af identificerede medarbejdere, hvis arbejde har væsentlig indflydelse på institutternes risikoprofil i overensstemmelse med artikel 92 i CRD og Kommissionens delegerede forordning vedrørende identificerede medarbejdere med henblik på at gennemføre bestemmelsen i artikel 94, stk. 2, i CRD, for hver enkelt aflønningskomponent</w:t>
            </w:r>
          </w:p>
          <w:p w14:paraId="6D4FEBDD"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For kolonne a og b (MB) i dette skema baseres værdien på antallet af ansatte.</w:t>
            </w:r>
            <w:r>
              <w:rPr>
                <w:sz w:val="24"/>
                <w:rFonts w:ascii="Times New Roman" w:hAnsi="Times New Roman"/>
              </w:rPr>
              <w:t xml:space="preserve"> </w:t>
            </w:r>
            <w:r>
              <w:rPr>
                <w:sz w:val="24"/>
                <w:rFonts w:ascii="Times New Roman" w:hAnsi="Times New Roman"/>
              </w:rPr>
              <w:t xml:space="preserve">For kolonne c og d i dette skema beregnes værdien i fuldtidsækvivalenter (FTÆ).</w:t>
            </w:r>
          </w:p>
          <w:p w14:paraId="2E1869A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Række 4 i dette skema vedrører fratrædelsesgodtgørelser, der er tildelt i tidligere perioder og er blevet udbetalt i løbet af regnskabsåret (indeværende år), mens række 6 i skemaet vedrører fratrædelsesgodtgørelser, der er tildelt i løbet af regnskabsåret (indeværende år).</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Tildeling af garanteret variabel aflønning - samlet beløb</w:t>
            </w:r>
          </w:p>
          <w:p w14:paraId="6D0F7C1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Garanteret variabel aflønning, som er tildelt, jf. artikel 94, stk. 1, litra e), i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Heraf tildelt garanteret variabel aflønning, udbetalt i løbet af regnskabsåret, som ikke er omfattet af bonusloftet</w:t>
            </w:r>
          </w:p>
          <w:p w14:paraId="35D0912A"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Tildelt garanteret variabel aflønning, jf. artikel 94, stk. 1, litra e), i CRD, der er udbetalt i løbet af regnskabsåret (indeværende år), og som ikke er omfattet af bonusloftet</w:t>
            </w:r>
          </w:p>
          <w:p w14:paraId="1D5DC4D6"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Med hensyn til de offentliggjorte oplysninger som nævnt i artikel 450, stk. 1, litra g) og litra h), nr. v)-vi), i CRR, skal institutterne klart angive, om de samlede kvantitative oplysninger om aflønning opdelt efter forretningsområde afspejler bonusloftet, når det drejer sig om nye nyansættelses- og fratrædelsesgodtgørelser.</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Fratrædelsesgodtgørelser tildelt i forudgående perioder, som er blevet udbetalt i løbet af regnskabsåret - samlet beløb</w:t>
            </w:r>
          </w:p>
          <w:p w14:paraId="6BDFFBCB"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Fratrædelsesgodtgørelser, jf. artikel 94, stk. 1, litra h), i CRD, der er tildelt i tidligere perioder og er blevet udbetalt i løbet af regnskabsåret (indeværende år)</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Fratrædelsesgodtgørelser tildelt i løbet af regnskabsåret - samlet beløb</w:t>
            </w:r>
          </w:p>
          <w:p w14:paraId="370D85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Fratrædelsesgodtgørelser, jf. artikel 94, stk. 1, litra h), i CRD, som er tildelt i løbet af regnskabsåret (indeværende år)</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Heraf fratrædelsesgodtgørelser tildelt i løbet af regnskabsåret - udbetalt i løbet af regnskabsåret</w:t>
            </w:r>
          </w:p>
          <w:p w14:paraId="75DA4E0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Fratrædelsesgodtgørelser, jf. artikel 94, stk. 1, litra h), i CRD, som er tildelt i løbet af regnskabsåret, og som er blevet udbetalt i løbet af regnskabsåret</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Heraf fratrædelsesgodtgørelser tildelt i løbet af regnskabsåret - udskudte</w:t>
            </w:r>
          </w:p>
          <w:p w14:paraId="2B8A3E3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Fratrædelsesgodtgørelser, jf. artikel 94, stk. 1, litra h), i CRD, som er tildelt i løbet af regnskabsåret, og som er blevet udskudt, i overensstemmelse med artikel 94 i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 xml:space="preserve">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Heraf fratrædelsesgodtgørelser udbetalt i løbet af regnskabsåret, som ikke er omfattet af bonusloftet</w:t>
            </w:r>
          </w:p>
          <w:p w14:paraId="3020E32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Fratrædelsesgodtgørelser, jf. artikel 94, stk. 1, litra h), i CRD, som er udbetalt i løbet af regnskabsåret, og som ikke er omfattet af bonusloftet</w:t>
            </w:r>
          </w:p>
          <w:p w14:paraId="78B7D63D"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Med hensyn til de offentliggjorte oplysninger som nævnt i artikel 450, stk. 1, litra g) og litra h), nr. v)-vi), i CRR, skal institutterne klart angive, om de samlede kvantitative oplysninger om aflønning opdelt efter forretningsområde afspejler bonusloftet, når det drejer sig om nye nyansættelses- og fratrædelsesgodtgørelser.</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 xml:space="preserve">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Heraf fratrædelsesgodtgørelser tildelt i løbet af regnskabsåret - højeste beløb, der er udbetalt til en enkelt person</w:t>
            </w:r>
          </w:p>
          <w:p w14:paraId="69C2783A"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Den højeste fratrædelsesgodtgørelse, jf. artikel 94, stk. 1, litra h), i CRD, som er tildelt en enkelt person i løbet af regnskabsåret</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Forklaring</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Ledelsesorganet i dets tilsynsfunktion</w:t>
            </w:r>
          </w:p>
          <w:p w14:paraId="3734590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Ledelsesorganet i dets tilsynsfunktion, som ledelsesorganet, der handler i sin funktion med kontrol og overvågning af ledelsens beslutningstagning, som defineret i artikel 3, stk. 1, nr. 8), i CRD (antal ansatte)</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Ledelsesorganet i dets ledelsesfunktion</w:t>
            </w:r>
          </w:p>
          <w:p w14:paraId="1A03D44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De medlemmer af ledelsesorganet, som er ansvarlige for dets ledelsesfunktioner (antal ansatte)</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Andre medarbejdere i den øverste ledelse</w:t>
            </w:r>
          </w:p>
          <w:p w14:paraId="1598A2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daglige ledelse som defineret i artikel 3, stk. 1, nr. 9), i CRD</w:t>
            </w:r>
          </w:p>
          <w:p w14:paraId="1B942BBE"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Institutterne offentliggør antallet af medarbejdere i den øverste ledelse, som ikke er offentliggjort under Ledelsesorganet i dets ledelsesfunktion og som Andre identificerede medarbejdere (FTÆ).</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Andre identificerede medarbejdere</w:t>
            </w:r>
          </w:p>
          <w:p w14:paraId="01528962"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Andre medarbejdere end medlemmer af ledelsesorganet i dets tilsynsfunktion eller ledelsesfunktion, og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hvor det er relevant på grundlag af institutternes kriterier</w:t>
            </w:r>
          </w:p>
          <w:p w14:paraId="566D1319"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Institutterne kan i dette skema foretage en opdeling efter forretningsområde som foreslået i skema EU REM5 (FTÆ).</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Skema EU REM3 – Udskudt aflønning:</w:t>
      </w:r>
      <w:r>
        <w:rPr>
          <w:color w:val="auto"/>
          <w:sz w:val="24"/>
          <w:b/>
          <w:rFonts w:ascii="Times New Roman" w:hAnsi="Times New Roman"/>
        </w:rPr>
        <w:t xml:space="preserve"> </w:t>
      </w:r>
      <w:r>
        <w:rPr>
          <w:color w:val="auto"/>
          <w:sz w:val="24"/>
          <w:rFonts w:ascii="Times New Roman" w:hAnsi="Times New Roman"/>
        </w:rPr>
        <w:t xml:space="preserve">Fast format.</w:t>
      </w:r>
    </w:p>
    <w:p w14:paraId="2F3BCD0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offentliggør de oplysninger, som er omhandlet i artikel 450, stk. 1, litra h), nr. iii)-iv), i CRR, ved at følge instrukserne i dette bilag til udfyldelse af skema EU REM3, som findes i bilag XXXIII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Ledelsesorganet i dets tilsynsfunktion</w:t>
            </w:r>
          </w:p>
          <w:p w14:paraId="42F62B7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Ledelsesorganet i dets tilsynsfunktion, som ledelsesorganet, der handler i sin funktion med kontrol og overvågning af ledelsens beslutningstagning, som defineret i artikel 3, stk. 1, nr. 8), i CRD</w:t>
            </w:r>
          </w:p>
          <w:p w14:paraId="78EE110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Summen af beløbene i række 2, 3, 4, 5 og 6 i dette skema</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 xml:space="preserve">2, 8, 14 og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Kontantbaseret</w:t>
            </w:r>
          </w:p>
          <w:p w14:paraId="0BC40D8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Andelen af variabel aflønning, der består af kontantbaseret løn</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 xml:space="preserve">3, 9, 15 og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Aktier eller tilsvarende ejerskabsinteresser</w:t>
            </w:r>
            <w:r>
              <w:rPr>
                <w:b/>
                <w:sz w:val="24"/>
                <w:rFonts w:ascii="Times New Roman" w:hAnsi="Times New Roman"/>
              </w:rPr>
              <w:t xml:space="preserve"> </w:t>
            </w:r>
          </w:p>
          <w:p w14:paraId="4B63188A" w14:textId="77777777" w:rsidR="00965CEB" w:rsidRPr="007F4CC8" w:rsidRDefault="00965CEB" w:rsidP="004F3087">
            <w:pPr>
              <w:spacing w:before="60" w:after="120"/>
              <w:jc w:val="both"/>
              <w:rPr>
                <w:b/>
                <w:sz w:val="24"/>
                <w:rFonts w:ascii="Times New Roman" w:hAnsi="Times New Roman"/>
              </w:rPr>
            </w:pPr>
            <w:r>
              <w:rPr>
                <w:sz w:val="24"/>
                <w:rFonts w:ascii="Times New Roman" w:hAnsi="Times New Roman"/>
              </w:rPr>
              <w:t xml:space="preserve">Summen af den del af variabel aflønning, som består af aktier eller tilsvarende ejerskabsinteresser afhængigt af det pågældende instituts juridiske struktur, jf. artikel 94, stk. 1, litra l), nr. i), i CRD</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 xml:space="preserve">4, 10, 16 og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Instrumenter baseret på aktier eller tilsvarende ikkelikvide instrumenter</w:t>
            </w:r>
            <w:r>
              <w:rPr>
                <w:b/>
                <w:sz w:val="24"/>
                <w:rFonts w:ascii="Times New Roman" w:hAnsi="Times New Roman"/>
              </w:rPr>
              <w:t xml:space="preserve"> </w:t>
            </w:r>
          </w:p>
          <w:p w14:paraId="362CEB2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Summen af den del af variabel aflønning, som består af instrumenter baseret på aktier eller tilsvarende ikkelikvide instrumenter, jf. artikel 94, stk. 1, litra l), nr. i), i CRD</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 xml:space="preserve">5, 11, 17 og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Andre instrumenter</w:t>
            </w:r>
          </w:p>
          <w:p w14:paraId="4C0BEEE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Andelen af variabel aflønning, som består af andre instrumenter, jf. artikel 94, stk. 1, litra l), nr. ii), i CRD</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 xml:space="preserve">6, 12, 18 og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Andre former</w:t>
            </w:r>
          </w:p>
          <w:p w14:paraId="05DE9AE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Variabel aflønning, som ikke er offentliggjort i rækkerne "Kontantbaseret", "Aktier eller tilsvarende ejerskabsinteresser afhængigt af det pågældende instituts juridiske struktur eller instrumenter baseret på aktier eller tilsvarende ikkelikvide instrumenter" og "Andre instrumenter"</w:t>
            </w:r>
          </w:p>
          <w:p w14:paraId="47E931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Dette kan omfatte proportionale regelmæssige pensionsbidrag eller goder (når sådanne goder ikke tager hensyn til eventuelle resultatkriterier), jf. litra 64), i CRD, eller andre former for vederlag såsom godtgørelse til dækning af kørselsudgifter.</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Ledelsesorganet i dets ledelsesfunktion</w:t>
            </w:r>
            <w:r>
              <w:rPr>
                <w:b/>
                <w:sz w:val="24"/>
                <w:rFonts w:ascii="Times New Roman" w:hAnsi="Times New Roman"/>
              </w:rPr>
              <w:t xml:space="preserve"> </w:t>
            </w:r>
          </w:p>
          <w:p w14:paraId="7D897A2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 medlemmer af ledelsesorganet, som er ansvarlige for dets ledelsesfunktioner;</w:t>
            </w:r>
            <w:r>
              <w:rPr>
                <w:sz w:val="24"/>
                <w:rFonts w:ascii="Times New Roman" w:hAnsi="Times New Roman"/>
              </w:rPr>
              <w:t xml:space="preserve"> </w:t>
            </w:r>
            <w:r>
              <w:rPr>
                <w:sz w:val="24"/>
                <w:rFonts w:ascii="Times New Roman" w:hAnsi="Times New Roman"/>
              </w:rPr>
              <w:t xml:space="preserve">summen af beløbene i række 8, 9, 10, 11 og 12 i dette skema.</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 xml:space="preserve">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Andre medarbejdere i den øverste ledelse</w:t>
            </w:r>
          </w:p>
          <w:p w14:paraId="015BE95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daglige ledelse som defineret i artikel 3, stk. 1, nr. 9), i CRD,</w:t>
            </w:r>
            <w:r>
              <w:rPr>
                <w:sz w:val="24"/>
                <w:rFonts w:ascii="Times New Roman" w:hAnsi="Times New Roman"/>
              </w:rPr>
              <w:t xml:space="preserve"> </w:t>
            </w:r>
            <w:r>
              <w:rPr>
                <w:sz w:val="24"/>
                <w:rFonts w:ascii="Times New Roman" w:hAnsi="Times New Roman"/>
              </w:rPr>
              <w:t xml:space="preserve">summen af beløbene i række 14, 15, 16, 17 og 18 i dette skema</w:t>
            </w:r>
          </w:p>
          <w:p w14:paraId="3E12A111"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Institutterne offentliggør antallet af medarbejdere i den øverste ledelse, som ikke er offentliggjort under Ledelsesorganet i dets ledelsesfunktion og som Andre identificerede medarbejdere.</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 xml:space="preserve">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Andre identificerede medarbejdere</w:t>
            </w:r>
          </w:p>
          <w:p w14:paraId="1561B7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Andre medarbejdere end medlemmer af ledelsesorganet i dets tilsynsfunktion eller ledelsesfunktion, og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eventuelt også på grundlag af institutternes kriterier;</w:t>
            </w:r>
            <w:r>
              <w:rPr>
                <w:sz w:val="24"/>
                <w:rFonts w:ascii="Times New Roman" w:hAnsi="Times New Roman"/>
              </w:rPr>
              <w:t xml:space="preserve"> </w:t>
            </w:r>
            <w:r>
              <w:rPr>
                <w:sz w:val="24"/>
                <w:rFonts w:ascii="Times New Roman" w:hAnsi="Times New Roman"/>
              </w:rPr>
              <w:t xml:space="preserve">summen af beløbene i række 20, 21, 22, 23 og 24 i dette skema</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 xml:space="preserve">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Samlet beløb</w:t>
            </w:r>
          </w:p>
          <w:p w14:paraId="70B531D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Summen af beløbene i række 1, 7, 13 og 19 i dette skema</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b/>
                <w:color w:val="000000"/>
                <w:sz w:val="24"/>
                <w:rFonts w:ascii="Times New Roman" w:hAnsi="Times New Roman"/>
              </w:rPr>
            </w:pPr>
            <w:r>
              <w:rPr>
                <w:b/>
                <w:sz w:val="24"/>
                <w:rFonts w:ascii="Times New Roman" w:hAnsi="Times New Roman"/>
              </w:rPr>
              <w:t xml:space="preserve">Samlet udskudt aflønning tildelt for tidligere optjeningsperioder</w:t>
            </w:r>
          </w:p>
          <w:p w14:paraId="7D355FC1"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Udskudt aflønning som fastsat i overensstemmelse med artikel 94 i CRD, der er tildelt for tidligere optjeningsperioder (summen af beløbene i kolonne b og c i dette skema)</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Den del, der optjenes i regnskabsåret</w:t>
            </w:r>
          </w:p>
          <w:p w14:paraId="1877D636"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Udskudt aflønning, der er tildelt for tidligere optjeningsperioder, som fastsat i overensstemmelse med artikel 94 i CRD, og som optjenes i regnskabsåret</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Den del, der optjenes i de efterfølgende regnskabsår</w:t>
            </w:r>
          </w:p>
          <w:p w14:paraId="41D97AF8"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Udskudt aflønning, der er tildelt for tidligere optjeningsperioder, som fastsat i overensstemmelse med artikel 94 i CRD, og som optjenes i de efterfølgende regnskabsår</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Resultatjusteringer foretaget i regnskabsåret for udskudt aflønning, som blev optjent i regnskabsåret</w:t>
            </w:r>
          </w:p>
          <w:p w14:paraId="1571AC97"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Resultatjusteringer for udskudt aflønning, som fastsat i overensstemmelse med artikel 94 i CRD, som blev optjent i regnskabsåret</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Resultatjusteringer foretaget i regnskabsåret for udskudt aflønning, som optjenes i de kommende regnskabsår</w:t>
            </w:r>
          </w:p>
          <w:p w14:paraId="2D3814D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Resultatjusteringer for udskudt aflønning, som fastsat i overensstemmelse med artikel 94 i CRD, som optjenes i de kommende regnskabsår</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Samlet</w:t>
            </w:r>
            <w:r>
              <w:rPr>
                <w:b/>
              </w:rPr>
              <w:t xml:space="preserve"> </w:t>
            </w:r>
            <w:r>
              <w:rPr>
                <w:b/>
                <w:sz w:val="24"/>
                <w:rFonts w:ascii="Times New Roman" w:hAnsi="Times New Roman"/>
              </w:rPr>
              <w:t xml:space="preserve">justering i løbet af regnskabsåret som følge af efterfølgende implicitte justeringer i regnskabsåret (dvs. ændringer i værdien for udskudt aflønning som følge af ændringer i priser på instrumenter)</w:t>
            </w:r>
          </w:p>
          <w:p w14:paraId="6472C5F0"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Hvis det er relevant, størrelsen af de ændringer i værdien i løbet af regnskabsåret, der skyldes efterfølgende implicitte justeringer såsom ændringer i værdien af udskudt aflønning som følge af ændringer i priser på instrumenter, estimeret på bedst mulig måde.</w:t>
            </w:r>
            <w:r>
              <w:rPr>
                <w:sz w:val="24"/>
                <w:rFonts w:ascii="Times New Roman" w:hAnsi="Times New Roman"/>
              </w:rPr>
              <w:t xml:space="preserv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 xml:space="preserve">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Samlet udskudt aflønning tildelt inden regnskabsåret, som er blevet udbetalt i regnskabsåret</w:t>
            </w:r>
          </w:p>
          <w:p w14:paraId="711625D8"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Udskudt aflønning som fastsat i overensstemmelse med artikel 94 i CRD, der er blevet udbetalt i regnskabsåret</w:t>
            </w:r>
          </w:p>
          <w:p w14:paraId="79B6CE2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Så snart den udskudte aflønning er optjent, anses den for at være udbetalt.</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 xml:space="preserve">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b/>
                <w:sz w:val="24"/>
                <w:rFonts w:ascii="Times New Roman" w:hAnsi="Times New Roman"/>
              </w:rPr>
            </w:pPr>
            <w:r>
              <w:rPr>
                <w:b/>
                <w:sz w:val="24"/>
                <w:rFonts w:ascii="Times New Roman" w:hAnsi="Times New Roman"/>
              </w:rPr>
              <w:t xml:space="preserve">Samlet udskudt aflønning tildelt for tidligere optjeningsperioder, som er optjent, men omfattet af tilbageholdelsesperioder</w:t>
            </w:r>
          </w:p>
          <w:p w14:paraId="64A6D4B4"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Udskudt aflønning tildelt for tidligere optjeningsperioder, som er optjent, men omfattet af tilbageholdelsesperioder, jf. artikel 94 i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Skema EU REM4 – Aflønning på 1 mio. EUR eller derover pr. regnskabsår:</w:t>
      </w:r>
      <w:r>
        <w:rPr>
          <w:color w:val="auto"/>
          <w:sz w:val="24"/>
          <w:b/>
          <w:rFonts w:ascii="Times New Roman" w:hAnsi="Times New Roman"/>
        </w:rPr>
        <w:t xml:space="preserve"> </w:t>
      </w:r>
      <w:r>
        <w:rPr>
          <w:color w:val="auto"/>
          <w:sz w:val="24"/>
          <w:rFonts w:ascii="Times New Roman" w:hAnsi="Times New Roman"/>
        </w:rPr>
        <w:t xml:space="preserve">Fast format.</w:t>
      </w:r>
    </w:p>
    <w:p w14:paraId="6DEF9BC5"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offentliggør de oplysninger, som er omhandlet i artikel 450, stk. 1, litra i), i CRR, ved at følge instrukserne i dette bilag til udfyldelse af skema EU REM4, som findes i bilag XXXIII til nærværende gennemførelsesforordning.</w:t>
      </w:r>
    </w:p>
    <w:p w14:paraId="1C37B7B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Dataene bør baseres på tal pr. regnskabsårets udgang i EUR. Alle beløb offentliggøres som fulde beløb i EUR, dvs. uden afrunding (f.eks. 1 234 567 EUR i stedet for 1,2 mio. EUR).</w:t>
      </w:r>
      <w:r>
        <w:rPr>
          <w:color w:val="auto"/>
          <w:sz w:val="24"/>
          <w:rFonts w:ascii="Times New Roman" w:hAnsi="Times New Roman"/>
        </w:rPr>
        <w:t xml:space="preserve"> </w:t>
      </w:r>
      <w:r>
        <w:rPr>
          <w:color w:val="auto"/>
          <w:sz w:val="24"/>
          <w:rFonts w:ascii="Times New Roman" w:hAnsi="Times New Roman"/>
        </w:rPr>
        <w:t xml:space="preserve">Hvis aflønningen oplyses i en anden valuta end EUR, skal den valutakurs, som Kommissionen bruger i forbindelse med finansiel programmering og budgetlægning for december i indberetningsåret, anvendes til at omregne de konsoliderede tal, der offentliggøres.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til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Lønninger på mellem 1 mio. og 5 mio. EUR pr. regnskabsår, opdelt i lønintervaller på 500 000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9 til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Lønninger på over 5 mio. EUR pr. regnskabsår, opdelt i lønintervaller på 1 mio. 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Antal identificerede medarbejdere, der er blevet aflønnet med 1 mio. EUR eller derover pr. regnskabsår</w:t>
            </w:r>
          </w:p>
          <w:p w14:paraId="760880E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Institutterne offentliggør oplysninger baseret på antallet af ansatte.</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Skema EU REM5 – Oplysninger om medarbejdere, hvis arbejde har væsentlig indflydelse på instituttets risikoprofil (identificerede medarbejdere):</w:t>
      </w:r>
      <w:r>
        <w:rPr>
          <w:color w:val="auto"/>
          <w:sz w:val="24"/>
          <w:b/>
          <w:rFonts w:ascii="Times New Roman" w:hAnsi="Times New Roman"/>
        </w:rPr>
        <w:t xml:space="preserve"> </w:t>
      </w:r>
      <w:r>
        <w:rPr>
          <w:color w:val="auto"/>
          <w:sz w:val="24"/>
          <w:rFonts w:ascii="Times New Roman" w:hAnsi="Times New Roman"/>
        </w:rPr>
        <w:t xml:space="preserve">Fast format.</w:t>
      </w:r>
    </w:p>
    <w:p w14:paraId="247BF82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offentliggør de oplysninger, som er omhandlet i artikel 450, stk. 1, litra g), i CRR, ved at følge instrukserne i dette bilag til udfyldelse af skema EU REM5, som findes i bilag XXXIII til nærværende gennemførelsesforordning.</w:t>
      </w:r>
    </w:p>
    <w:p w14:paraId="42ECBD7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Med hensyn til de kolonner, som er opdelt efter forretningsområde, skal al långivning, herunder bruttolångivning, opføres under detailudlån.</w:t>
      </w:r>
      <w:r>
        <w:rPr>
          <w:color w:val="auto"/>
          <w:sz w:val="24"/>
          <w:rFonts w:ascii="Times New Roman" w:hAnsi="Times New Roman"/>
        </w:rPr>
        <w:t xml:space="preserve"> </w:t>
      </w:r>
      <w:r>
        <w:rPr>
          <w:color w:val="auto"/>
          <w:sz w:val="24"/>
          <w:rFonts w:ascii="Times New Roman" w:hAnsi="Times New Roman"/>
        </w:rPr>
        <w:t xml:space="preserve">Investeringsbankvirksomhed skal omfatte virksomhedsfinansiering, handel og salg.</w:t>
      </w:r>
      <w:r>
        <w:rPr>
          <w:color w:val="auto"/>
          <w:sz w:val="24"/>
          <w:rFonts w:ascii="Times New Roman" w:hAnsi="Times New Roman"/>
        </w:rPr>
        <w:t xml:space="preserve"> </w:t>
      </w:r>
      <w:r>
        <w:rPr>
          <w:color w:val="auto"/>
          <w:sz w:val="24"/>
          <w:rFonts w:ascii="Times New Roman" w:hAnsi="Times New Roman"/>
        </w:rPr>
        <w:t xml:space="preserve">Yderligere vejledning om aktiviteter, der er omfattet af disse forretningsområder, kan findes i tabellen i artikel 317 i CRR, hvor forretningsområderne er defineret i henhold til standardmetoden for operationel risiko.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Samlet antal identificerede medarbejdere</w:t>
            </w:r>
          </w:p>
          <w:p w14:paraId="2278F4D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Medarbejdere, hvis arbejde har væsentlig indflydelse på institutternes risikoprofil (identificerede medarbejdere), i et institut eller dets datterselskaber, herunder datterselskaber, der ikke er omfattet af CRD, og samtlige medlemmer af deres respektive ledelsesorganer</w:t>
            </w:r>
          </w:p>
          <w:p w14:paraId="15553C4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Værdien skal offentliggøres på basis af fuldtidsækvivalenter.</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Heraf:</w:t>
            </w:r>
            <w:r>
              <w:rPr>
                <w:b/>
                <w:sz w:val="24"/>
                <w:rFonts w:ascii="Times New Roman" w:hAnsi="Times New Roman"/>
              </w:rPr>
              <w:t xml:space="preserve"> </w:t>
            </w:r>
            <w:r>
              <w:rPr>
                <w:b/>
                <w:sz w:val="24"/>
                <w:rFonts w:ascii="Times New Roman" w:hAnsi="Times New Roman"/>
              </w:rPr>
              <w:t xml:space="preserve">medlemmer af ledelsesorganet</w:t>
            </w:r>
          </w:p>
          <w:p w14:paraId="626C0F05"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Antallet af medlemmer af det respektive ledelsesorgan i dets tilsynsfunktion og dets ledelsesfunktion, og af hele ledelsesorganet</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Heraf:</w:t>
            </w:r>
            <w:r>
              <w:rPr>
                <w:b/>
                <w:sz w:val="24"/>
                <w:rFonts w:ascii="Times New Roman" w:hAnsi="Times New Roman"/>
              </w:rPr>
              <w:t xml:space="preserve"> </w:t>
            </w:r>
            <w:r>
              <w:rPr>
                <w:b/>
                <w:sz w:val="24"/>
                <w:rFonts w:ascii="Times New Roman" w:hAnsi="Times New Roman"/>
              </w:rPr>
              <w:t xml:space="preserve">andre medarbejdere i den øverste ledelse</w:t>
            </w:r>
          </w:p>
          <w:p w14:paraId="1F28E03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Andre medarbejdere end medlemmerne af ledelsesorganet, som er ansvarlige for den daglige ledelse som defineret i artikel 3, stk. 1, nr. 9), i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Heraf:</w:t>
            </w:r>
            <w:r>
              <w:rPr>
                <w:b/>
                <w:sz w:val="24"/>
                <w:rFonts w:ascii="Times New Roman" w:hAnsi="Times New Roman"/>
              </w:rPr>
              <w:t xml:space="preserve"> </w:t>
            </w:r>
            <w:r>
              <w:rPr>
                <w:b/>
                <w:sz w:val="24"/>
                <w:rFonts w:ascii="Times New Roman" w:hAnsi="Times New Roman"/>
              </w:rPr>
              <w:t xml:space="preserve">andre identificerede medarbejdere</w:t>
            </w:r>
          </w:p>
          <w:p w14:paraId="110712E4" w14:textId="77777777" w:rsidR="00965CEB" w:rsidRPr="007F4CC8" w:rsidRDefault="00965CEB" w:rsidP="004F3087">
            <w:pPr>
              <w:autoSpaceDE w:val="0"/>
              <w:autoSpaceDN w:val="0"/>
              <w:adjustRightInd w:val="0"/>
              <w:spacing w:before="60" w:after="120"/>
              <w:jc w:val="both"/>
              <w:rPr>
                <w:sz w:val="24"/>
                <w:highlight w:val="yellow"/>
                <w:rFonts w:ascii="Times New Roman" w:hAnsi="Times New Roman"/>
              </w:rPr>
            </w:pPr>
            <w:r>
              <w:rPr>
                <w:sz w:val="24"/>
                <w:rFonts w:ascii="Times New Roman" w:hAnsi="Times New Roman"/>
              </w:rPr>
              <w:t xml:space="preserve">Andre medarbejdere end medlemmerne af ledelsesorganet,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eventuelt på grundlag af institutternes kriterier</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Samlet aflønning af identificerede medarbejdere</w:t>
            </w:r>
          </w:p>
          <w:p w14:paraId="393FC23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Ved det samlede aflønningsbeløb forstås alle former for fast og variabel aflønning, herunder betalinger og goder, pengemæssige eller ikkepengemæssige, der ydes direkte til medarbejdere af eller på vegne af institutter til gengæld for erhvervsmæssige ydelser, der leveres af medarbejdere, betalinger af carried interest som defineret i artikel 4, stk. 1, litra d), i direktiv 2011/61/EU</w:t>
            </w:r>
            <w:r>
              <w:rPr>
                <w:rStyle w:val="FootnoteReference"/>
                <w:rFonts w:cs="Times New Roman"/>
              </w:rPr>
              <w:footnoteReference w:id="4"/>
            </w:r>
            <w:r>
              <w:rPr>
                <w:sz w:val="24"/>
                <w:rFonts w:ascii="Times New Roman" w:hAnsi="Times New Roman"/>
              </w:rPr>
              <w:t xml:space="preserve"> og andre betalinger, der foretages via metoder og instrumenter, der, hvis de ikke anses for aflønning, ville føre til en omgåelse af aflønningskravene i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Heraf:</w:t>
            </w:r>
            <w:r>
              <w:rPr>
                <w:b/>
                <w:sz w:val="24"/>
                <w:rFonts w:ascii="Times New Roman" w:hAnsi="Times New Roman"/>
              </w:rPr>
              <w:t xml:space="preserve"> </w:t>
            </w:r>
            <w:r>
              <w:rPr>
                <w:b/>
                <w:sz w:val="24"/>
                <w:rFonts w:ascii="Times New Roman" w:hAnsi="Times New Roman"/>
              </w:rPr>
              <w:t xml:space="preserve">variabel aflønning</w:t>
            </w:r>
          </w:p>
          <w:p w14:paraId="4089EA4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Summen af alle aflønningskomponenter, der ikke er fast aflønning som nævnt i række 7 i dette skema.</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Heraf:</w:t>
            </w:r>
            <w:r>
              <w:rPr>
                <w:b/>
                <w:sz w:val="24"/>
                <w:rFonts w:ascii="Times New Roman" w:hAnsi="Times New Roman"/>
              </w:rPr>
              <w:t xml:space="preserve"> </w:t>
            </w:r>
            <w:r>
              <w:rPr>
                <w:b/>
                <w:sz w:val="24"/>
                <w:rFonts w:ascii="Times New Roman" w:hAnsi="Times New Roman"/>
              </w:rPr>
              <w:t xml:space="preserve">fast aflønning</w:t>
            </w:r>
          </w:p>
          <w:p w14:paraId="6D2B67C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Institutterne anser aflønningen for at være fast, når betingelserne for dens tildeling og størrelse:</w:t>
            </w:r>
            <w:r>
              <w:rPr>
                <w:sz w:val="24"/>
                <w:rFonts w:ascii="Times New Roman" w:hAnsi="Times New Roman"/>
              </w:rPr>
              <w:t xml:space="preserv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er baseret på forudbestemte kriterier</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er faste og afspejler medarbejdernes erhvervserfaring og anciennitet</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er gennemsigtige med hensyn til det individuelle beløb, der tildeles den enkelte medarbejder</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er permanente, dvs. opretholdes i en periode, der hænger sammen med den specifikke rolle og det specifikke organisatoriske ansvar</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ikke kan tilbagekaldes</w:t>
            </w:r>
            <w:r>
              <w:rPr>
                <w:sz w:val="24"/>
                <w:rFonts w:ascii="Times New Roman" w:hAnsi="Times New Roman"/>
              </w:rPr>
              <w:t xml:space="preserve"> </w:t>
            </w:r>
            <w:r>
              <w:rPr>
                <w:sz w:val="24"/>
                <w:rFonts w:ascii="Times New Roman" w:hAnsi="Times New Roman"/>
              </w:rPr>
              <w:t xml:space="preserve">det permanente beløb ændres kun via kollektiv overenskomst eller efter genforhandling i henhold til de nationale regler for lønfastsættelse</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ikke kan reduceres, suspenderes eller annulleres af instituttet</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ikke tilskynder til risikotagning</w:t>
            </w:r>
            <w:r>
              <w:rPr>
                <w:sz w:val="24"/>
                <w:rFonts w:ascii="Times New Roman" w:hAnsi="Times New Roman"/>
              </w:rPr>
              <w:t xml:space="preserve"> </w:t>
            </w:r>
            <w:r>
              <w:rPr>
                <w:sz w:val="24"/>
                <w:rFonts w:ascii="Times New Roman" w:hAnsi="Times New Roman"/>
              </w:rPr>
              <w:t xml:space="preserve">og</w:t>
            </w:r>
            <w:r>
              <w:rPr>
                <w:sz w:val="24"/>
                <w:rFonts w:ascii="Times New Roman" w:hAnsi="Times New Roman"/>
              </w:rPr>
              <w:t xml:space="preserve">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ikke afhænger af resultater.</w:t>
            </w:r>
            <w:r>
              <w:rPr>
                <w:sz w:val="24"/>
                <w:rFonts w:ascii="Times New Roman" w:hAnsi="Times New Roman"/>
              </w:rPr>
              <w:t xml:space="preserv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Forklaring</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a, b og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Ledelsesorgan (MB)</w:t>
            </w:r>
          </w:p>
          <w:p w14:paraId="2D246C9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Instituttets ledelsesorgan opdelt i tilsynsfunktion og ledelsesfunktion</w:t>
            </w:r>
          </w:p>
          <w:p w14:paraId="6966FBB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Institutterne offentliggør oplysninger baseret på antallet af ansatte.</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d til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Forretningsområder</w:t>
            </w:r>
          </w:p>
          <w:p w14:paraId="3897E6F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Instituttets største forretningsområder såsom investeringsbankvirksomhed, detailbankydelser, forvaltning af aktiver, forretningsfunktioner, uafhængige interne kontrolfunktioner</w:t>
            </w:r>
            <w:r>
              <w:rPr>
                <w:sz w:val="24"/>
                <w:rFonts w:ascii="Times New Roman" w:hAnsi="Times New Roman"/>
              </w:rPr>
              <w:t xml:space="preserve"> </w:t>
            </w:r>
          </w:p>
          <w:p w14:paraId="3683649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Oplysningerne skal offentliggøres på basis af fuldtidsækvivalenter.</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Alle andre</w:t>
            </w:r>
          </w:p>
          <w:p w14:paraId="73AEF5B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Alle andre forretningsområder, som ikke er angivet særskilt i de tidligere kolonner</w:t>
            </w:r>
            <w:r>
              <w:rPr>
                <w:sz w:val="24"/>
                <w:rFonts w:ascii="Times New Roman" w:hAnsi="Times New Roman"/>
              </w:rPr>
              <w:t xml:space="preserve"> </w:t>
            </w:r>
          </w:p>
          <w:p w14:paraId="1A1569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Oplysningerne skal offentliggøres på basis af fuldtidsækvivalenter.</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 xml:space="preserve">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r>
      <w:r>
        <w:t xml:space="preserve">Europa-Parlamentets og Rådets direktiv 2013/36/EU af 26. juni 2013 om adgang til at udøve virksomhed som kreditinstitut og om tilsyn med kreditinstitutter, om ændring af direktiv 2002/87/EF og om ophævelse af direktiv 2006/48/EF og 2006/49/EF (EUT L 176 af 27.6.2013, s.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r>
      <w:r>
        <w:t xml:space="preserve">Kommissionens delegerede forordning (EU) nr. 604/2014 af 4. marts 2014 om supplerende regler til Europa-Parlamentets og Rådets direktiv 2013/36/EU for så vidt angår reguleringsmæssige tekniske standarder for kvalitative og passende kvantitative kriterier til identifikation af de medarbejderkategorier, hvis arbejde har væsentlig indflydelse på institutters risikoprofil (EUT L 167 af 6.6.2014, s. 30).</w:t>
      </w:r>
    </w:p>
  </w:footnote>
  <w:footnote w:id="4">
    <w:p w14:paraId="2890C799" w14:textId="77777777" w:rsidR="00965CEB" w:rsidRDefault="00965CEB" w:rsidP="00965CEB">
      <w:pPr>
        <w:pStyle w:val="FootnoteText"/>
      </w:pPr>
      <w:r>
        <w:rPr>
          <w:rStyle w:val="FootnoteReference"/>
        </w:rPr>
        <w:footnoteRef/>
      </w:r>
      <w:r>
        <w:t xml:space="preserve"> Europa-Parlamentets og Rådets direktiv 2011/61/EU af 8. juni 2011 om forvaltere af alternative investeringsfonde og om ændring af direktiv 2003/41/EF og 2009/65/EF samt forordning (EF) nr. 1060/2009 og (EU) nr. 1095/2010 (EUT L 174 af 1.7.2011,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da-DK"/>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965CEB"/>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6B59C7-1D46-496A-B98A-88A24C61F672}"/>
</file>

<file path=customXml/itemProps2.xml><?xml version="1.0" encoding="utf-8"?>
<ds:datastoreItem xmlns:ds="http://schemas.openxmlformats.org/officeDocument/2006/customXml" ds:itemID="{43FB8140-1770-46D2-8C42-67C3084F508E}"/>
</file>

<file path=customXml/itemProps3.xml><?xml version="1.0" encoding="utf-8"?>
<ds:datastoreItem xmlns:ds="http://schemas.openxmlformats.org/officeDocument/2006/customXml" ds:itemID="{F500888F-6C52-4A6A-9258-440E68CD2E9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4422</Words>
  <Characters>24415</Characters>
  <Application>Microsoft Office Word</Application>
  <DocSecurity>0</DocSecurity>
  <Lines>610</Lines>
  <Paragraphs>356</Paragraphs>
  <ScaleCrop>false</ScaleCrop>
  <Company>European Banking Authority</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2021-03-11T13:58:00Z</dcterms:created>
  <dcterms:modified xsi:type="dcterms:W3CDTF">2024-09-26T15:13:00Z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