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BILAGA XXII – Offentliggörande av användning av internmetoden för kreditrisk (bortsett från motpartskreditrisk)</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Tabell EU CRE – Kvalitativa upplysningskrav avseende internmetoden. Flexibel tabell</w:t>
      </w:r>
      <w:r>
        <w:rPr>
          <w:rFonts w:ascii="Times New Roman" w:hAnsi="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Instituten ska offentliggöra den information som avses i artikel 452 a–f i förordning (EU) nr 575/2013</w:t>
      </w:r>
      <w:r w:rsidRPr="00F1728C">
        <w:rPr>
          <w:rStyle w:val="FootnoteReference"/>
          <w:rFonts w:ascii="Times New Roman" w:hAnsi="Times New Roman"/>
        </w:rPr>
        <w:footnoteReference w:id="1"/>
      </w:r>
      <w:r>
        <w:rPr>
          <w:rFonts w:ascii="Times New Roman" w:hAnsi="Times New Roman"/>
          <w:sz w:val="24"/>
        </w:rPr>
        <w:t xml:space="preserve"> (</w:t>
      </w:r>
      <w:r>
        <w:rPr>
          <w:rFonts w:ascii="Times New Roman" w:hAnsi="Times New Roman"/>
          <w:i/>
          <w:iCs/>
          <w:sz w:val="24"/>
        </w:rPr>
        <w:t>kapitalkravsförordningen</w:t>
      </w:r>
      <w:r>
        <w:rPr>
          <w:rFonts w:ascii="Times New Roman" w:hAnsi="Times New Roman"/>
          <w:sz w:val="24"/>
        </w:rPr>
        <w:t>) genom att följa de instruktioner som anges nedan i denna bilaga för att fylla i tabell EU CRE, vilken återfinns i bilaga XXI till EBA:s it-lösningar.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Radreferens</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Förklaring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ayout w:type="fixed"/>
        <w:tblLook w:val="04A0" w:firstRow="1" w:lastRow="0" w:firstColumn="1" w:lastColumn="0" w:noHBand="0" w:noVBand="1"/>
      </w:tblPr>
      <w:tblGrid>
        <w:gridCol w:w="957"/>
        <w:gridCol w:w="1585"/>
        <w:gridCol w:w="7087"/>
      </w:tblGrid>
      <w:tr w:rsidR="00B23B1C" w:rsidRPr="00F1728C" w14:paraId="164B5286" w14:textId="77777777" w:rsidTr="00B23B1C">
        <w:trPr>
          <w:cnfStyle w:val="100000000000" w:firstRow="1" w:lastRow="0" w:firstColumn="0" w:lastColumn="0" w:oddVBand="0" w:evenVBand="0" w:oddHBand="0" w:evenHBand="0" w:firstRowFirstColumn="0" w:firstRowLastColumn="0" w:lastRowFirstColumn="0" w:lastRowLastColumn="0"/>
          <w:trHeight w:val="843"/>
        </w:trPr>
        <w:tc>
          <w:tcPr>
            <w:tcW w:w="957" w:type="dxa"/>
            <w:tcBorders>
              <w:top w:val="single" w:sz="4" w:space="0" w:color="auto"/>
              <w:left w:val="single" w:sz="4" w:space="0" w:color="auto"/>
              <w:right w:val="single" w:sz="4" w:space="0" w:color="auto"/>
            </w:tcBorders>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585" w:type="dxa"/>
            <w:tcBorders>
              <w:top w:val="single" w:sz="4" w:space="0" w:color="auto"/>
              <w:left w:val="single" w:sz="4" w:space="0" w:color="auto"/>
              <w:right w:val="single" w:sz="4" w:space="0" w:color="auto"/>
            </w:tcBorders>
          </w:tcPr>
          <w:p w14:paraId="7162A40D" w14:textId="58A2773C"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Artikel 452 a i kapitalkravs</w:t>
            </w:r>
            <w:r w:rsidR="00B23B1C">
              <w:rPr>
                <w:rFonts w:ascii="Times New Roman" w:hAnsi="Times New Roman"/>
                <w:sz w:val="24"/>
              </w:rPr>
              <w:t>-</w:t>
            </w:r>
            <w:r>
              <w:rPr>
                <w:rFonts w:ascii="Times New Roman" w:hAnsi="Times New Roman"/>
                <w:sz w:val="24"/>
              </w:rPr>
              <w:t>förordningen</w:t>
            </w:r>
          </w:p>
        </w:tc>
        <w:tc>
          <w:tcPr>
            <w:tcW w:w="7087" w:type="dxa"/>
            <w:tcBorders>
              <w:top w:val="single" w:sz="4" w:space="0" w:color="auto"/>
              <w:left w:val="single" w:sz="4" w:space="0" w:color="auto"/>
              <w:right w:val="single" w:sz="4" w:space="0" w:color="auto"/>
            </w:tcBorders>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När uppgifter lämnas om omfattningen av den behöriga myndighetens godkännande av metod eller övergångsordning i enlighet med artikel 452 a i förordning (EU) nr 575/2013 ska instituten beskriva de huvudsakliga dragen hos de riskklassificeringssystem som används enligt internmetoden för vilka godkännande har beviljats av en behörig myndighet och de exponeringsslag som ingår i riskklassificeringssystemen. Instituten ska även beskriva de exponeringsslag för vilka de har tillstånd att använda permanent partiell användning av schablonmetoden i enlighet med artikel 150 i förordning (EU) nr 575/2013 och som ingår i deras planer för införande av internmetoden i enlighet med artikel 148 i den förordningen. Beskrivningen ska tillhandahållas på gruppnivå.</w:t>
            </w:r>
          </w:p>
        </w:tc>
      </w:tr>
      <w:tr w:rsidR="00087388" w:rsidRPr="00F1728C" w14:paraId="51935B2C" w14:textId="77777777" w:rsidTr="00B23B1C">
        <w:trPr>
          <w:trHeight w:val="557"/>
        </w:trPr>
        <w:tc>
          <w:tcPr>
            <w:tcW w:w="957"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585" w:type="dxa"/>
          </w:tcPr>
          <w:p w14:paraId="33991CEF" w14:textId="2F2FD245"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Artikel 452 c i–iv i kapitalkravs</w:t>
            </w:r>
            <w:r w:rsidR="00B23B1C">
              <w:rPr>
                <w:rFonts w:ascii="Times New Roman" w:hAnsi="Times New Roman"/>
                <w:sz w:val="24"/>
              </w:rPr>
              <w:t>-</w:t>
            </w:r>
            <w:r>
              <w:rPr>
                <w:rFonts w:ascii="Times New Roman" w:hAnsi="Times New Roman"/>
                <w:sz w:val="24"/>
              </w:rPr>
              <w:t>förordningen</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Beskrivningen av kontrollmekanismerna för riskklassificeringssystemen ska omfatta uppskattningen av riskparametrar, inbegripet utarbetande och kalibrering av interna modeller, liksom kontroller vid tillämpningen av modellerna och förändringar av riskklassificeringssystemen.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I enlighet med artikel 452 c i–iv i förordning (EU) nr 575/2013 ska beskrivningen av uppgifterna för de funktioner som avses ovan även inbegripa</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förhållandena mellan riskhanteringsfunktionen och internrevisionsfunktionen,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rPr>
              <w:t>processerna och metoderna för granskningarna av riskklassificeringssystemen, inbegripet regelbundna granskningar av estimat i enlighet med artikel 179.1 c i förordning (EU) nr 575/2013 samt valideringar,</w:t>
            </w:r>
            <w:r>
              <w:rPr>
                <w:rFonts w:ascii="Times New Roman" w:hAnsi="Times New Roman"/>
                <w:sz w:val="24"/>
              </w:rPr>
              <w:t xml:space="preserve">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förfarandena och de organisatoriska arrangemangen för att säkerställa oberoendet för den funktion som leder granskningen av modellerna (valideringsfunktionen) från de funktioner som ansvarar för modellernas utarbetande och kalibrering, och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lastRenderedPageBreak/>
              <w:t>förfarandet för att säkerställa ansvarsskyldigheten för de funktioner som utarbetar och granskar modellerna.</w:t>
            </w:r>
          </w:p>
        </w:tc>
      </w:tr>
      <w:tr w:rsidR="00344A92" w:rsidRPr="00344A92" w:rsidDel="00915DC9" w14:paraId="4E1160C1" w14:textId="77777777" w:rsidTr="00B23B1C">
        <w:trPr>
          <w:trHeight w:val="973"/>
        </w:trPr>
        <w:tc>
          <w:tcPr>
            <w:tcW w:w="957"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585" w:type="dxa"/>
          </w:tcPr>
          <w:p w14:paraId="4952FE1C" w14:textId="6BC50E4A"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Artikel 452 d i kapitalkravs</w:t>
            </w:r>
            <w:r w:rsidR="00B23B1C">
              <w:rPr>
                <w:rFonts w:ascii="Times New Roman" w:hAnsi="Times New Roman"/>
                <w:sz w:val="24"/>
              </w:rPr>
              <w:t>-</w:t>
            </w:r>
            <w:r>
              <w:rPr>
                <w:rFonts w:ascii="Times New Roman" w:hAnsi="Times New Roman"/>
                <w:sz w:val="24"/>
              </w:rPr>
              <w:t>förordningen</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Instituten ska specificera uppgifterna för de funktioner som är involverade i modellernas utveckling, kalibrering, godkännande och senare ändringar av riskklassificeringssystemen.</w:t>
            </w:r>
          </w:p>
        </w:tc>
      </w:tr>
      <w:tr w:rsidR="00344A92" w:rsidRPr="00344A92" w14:paraId="570A3446" w14:textId="77777777" w:rsidTr="00B23B1C">
        <w:trPr>
          <w:trHeight w:val="1265"/>
        </w:trPr>
        <w:tc>
          <w:tcPr>
            <w:tcW w:w="957"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585" w:type="dxa"/>
          </w:tcPr>
          <w:p w14:paraId="21D15FC9" w14:textId="01C21064"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Artikel 452 e i kapitalkravs</w:t>
            </w:r>
            <w:r w:rsidR="00B23B1C">
              <w:rPr>
                <w:rFonts w:ascii="Times New Roman" w:hAnsi="Times New Roman"/>
                <w:sz w:val="24"/>
              </w:rPr>
              <w:t>-</w:t>
            </w:r>
            <w:r>
              <w:rPr>
                <w:rFonts w:ascii="Times New Roman" w:hAnsi="Times New Roman"/>
                <w:sz w:val="24"/>
              </w:rPr>
              <w:t>förordningen</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Instituten ska offentliggöra omfattningen av och det huvudsakliga innehållet i den förvaltningsrapportering med koppling till internmetodmodeller som avses i artikel 189 i förordning (EU) nr 575/2013, liksom adressater och frekvensen för rapporteringen. </w:t>
            </w:r>
          </w:p>
        </w:tc>
      </w:tr>
      <w:tr w:rsidR="00087388" w:rsidRPr="00F1728C" w14:paraId="69AD8BED" w14:textId="77777777" w:rsidTr="00B23B1C">
        <w:trPr>
          <w:trHeight w:val="1405"/>
        </w:trPr>
        <w:tc>
          <w:tcPr>
            <w:tcW w:w="957"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585" w:type="dxa"/>
          </w:tcPr>
          <w:p w14:paraId="5E37D7DA" w14:textId="0CFB8833"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Artikel 452 f i kapitalkravs</w:t>
            </w:r>
            <w:r w:rsidR="00B23B1C">
              <w:rPr>
                <w:rFonts w:ascii="Times New Roman" w:hAnsi="Times New Roman"/>
                <w:sz w:val="24"/>
              </w:rPr>
              <w:t>-</w:t>
            </w:r>
            <w:r>
              <w:rPr>
                <w:rFonts w:ascii="Times New Roman" w:hAnsi="Times New Roman"/>
                <w:sz w:val="24"/>
              </w:rPr>
              <w:t>förordningen</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Offentliggörandet av de interna riskklassificeringssystemen per exponeringsklass ska innehålla det antal nyckelmodeller som används i varje exponeringsklass med avseende på olika exponeringsslag, med en kort beskrivning av de viktigaste skillnaderna mellan modellerna i samma exponeringsklass. Det ska även innehålla en beskrivning av de huvudsakliga dragen hos de godkända nyckelmodellerna, i synnerhet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definitioner, metoder och data för skattning och validering av PD-värde, däribland skattning och validering av PD-värden för lågfallissemangsportföljer, tillämpliga lagstadgade golv och drivkrafterna bakom skillnader som observerats mellan PD-skattningar och den faktiska andelen fallissemang under åtminstone de senaste tre åren,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i tillämpliga fall, definitioner, metoder och data för skattning och validering av LGD, däribland skattning och validering av LGD vid konjunkturnedgångar, information om hur LGD-värden beräknas för lågfallissemangsportföljer, och den genomsnittliga tid som förflyter mellan fallissemanget och avslutandet av exponeringen,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definitioner, metoder och data för skattning och validering av konverteringsfaktorer, däribland de antaganden som användes vid härledningen av dessa skattningar.</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Mall EU CR6 – Internmetoden – Kreditriskexponeringar per exponeringsklass och PD-intervall. Mall med fast format.</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rPr>
        <w:t>Instituten ska offentliggöra den information som avses i artikel 452 g i–v i förordning (EU) nr 575/2013 om de huvudsakliga parametrar som används för beräkningen av kapitalkrav för internmetoden genom att följa de instruktioner som anges nedan i denna bilaga för att fylla i mall EU CR6, vilken återfinns i bilaga XXI till EBA:s it-lösningar.</w:t>
      </w:r>
      <w:r>
        <w:rPr>
          <w:rFonts w:ascii="Times New Roman" w:hAnsi="Times New Roman"/>
          <w:sz w:val="24"/>
        </w:rPr>
        <w:t xml:space="preserve"> Den information som lämnas i denna mall ska inte omfatta uppgifter om specialutlåning som avses i artikel 153.4 i förordning (EU) nr 575/2013. I denna mall ingår inte motpartsriskexponeringar (del tre avdelning II kapitel 6 i förordning (EU) nr 575/2013), värdepapperiseringsexponeringar, övriga motpartslösa tillgångar, fonder och aktieexponeringar.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Kolumnreferens</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Förklaring</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PD-intervall</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Detta är ett fast PD-intervall som inte ska ändras.</w:t>
            </w:r>
          </w:p>
          <w:p w14:paraId="5069DCCA" w14:textId="36434924" w:rsidR="00087388" w:rsidRPr="009610E4" w:rsidRDefault="00087388">
            <w:pPr>
              <w:pStyle w:val="Fait"/>
              <w:spacing w:before="0" w:after="120"/>
            </w:pPr>
            <w:r>
              <w:t>I det fall uppgifterna om fallerade exponeringar i enlighet med artikel 178 i förordning (EU) nr 575/2013 delas upp ytterligare i enlighet med möjliga definitioner för kategorier av fallerade exponeringar, ska definitionerna och beloppen för kategorierna av fallerade exponeringar förklaras i en kompletterande beskrivning.</w:t>
            </w:r>
          </w:p>
          <w:p w14:paraId="00D99C0B" w14:textId="4E59B29C" w:rsidR="00087388" w:rsidRPr="009610E4" w:rsidRDefault="00087388" w:rsidP="00725D4D">
            <w:pPr>
              <w:pStyle w:val="Fait"/>
              <w:spacing w:before="0" w:after="120"/>
            </w:pPr>
            <w:r>
              <w:t>Exponeringar ska hänföras till en lämplig undergrupp inom det fasta PD-intervallet baserat på det PD-värde som skattats för varje gäldenär som tillhör denna exponeringsklass (med beaktande av eventuella substitutionseffekter till följd av kreditriskreducering). Alla fallerade exponeringar ska ingå i den undergrupp som motsvarar ett PD-värde på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Exponeringar i balansräkningen</w:t>
            </w:r>
          </w:p>
          <w:p w14:paraId="27BE9730" w14:textId="7C0E0686" w:rsidR="00087388" w:rsidRPr="009610E4" w:rsidRDefault="00087388">
            <w:pPr>
              <w:pStyle w:val="Fait"/>
              <w:spacing w:before="0" w:after="120"/>
            </w:pPr>
            <w:r>
              <w:t>Exponeringsvärde beräknat i enlighet med artikel 166.1–166.7 i förordning (EU) nr 575/2013 utan beaktande av eventuella kreditriskjusteringar eller konverteringsfaktorer.</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Exponeringar utanför balansräkningen före kreditkonverteringsfaktorer (CCF)</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Exponeringsvärde i enlighet med artikel 166.1–166.7 i förordning (EU) nr 575/2013, utan beaktande av eventuella kreditriskjusteringar eller konverteringsfaktorer, eller egna skattningar eller konverteringsfaktorer som anges i artikel 166.8 i den förordningen.</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Exponeringar utanför balansräkningen ska omfatta alla åtagna men ej utnyttjade belopp och alla poster utanför balansräkningen, enligt förteckningen i bilaga I till förordning (EU) nr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Exponeringsvägd genomsnittlig kreditkonverteringsfaktor</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För alla exponeringar i varje undergrupp inom den fasta PD-skalan – den genomsnittliga konverteringsfaktor som instituten använder vid beräkningen av riskvägda exponeringsbelopp, viktad med exponeringen utanför balansräkningen före kreditkonverteringsfaktorer som i kolumn c i denna mall.</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Exponeringsvärde efter kreditkonverteringsfaktorer och efter kreditriskreducering</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Exponeringsvärde i enlighet med artikel 166 i förordning (EU) nr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Denna kolumn innehåller summan av exponeringsvärdet för exponeringar i och utanför balansräkningen efter konverteringsfaktorer och procentsatser i enlighet med artikel 166.8 och 166.9 i förordning (EU) nr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Exponeringsvägt genomsnittligt PD-värde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För alla exponeringar i varje undergrupp inom det fasta PD-intervallet – den genomsnittliga PD-skattningen för varje gäldenär, viktad med exponeringsvärdet efter kreditkonverteringsfaktorer och kreditriskreducering som i kolumn e i denna mall.</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Antal gäldenärer</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Antalet juridiska personer eller gäldenärer som hänförts till respektive undergrupp av det fasta PD-intervallet och som kreditvärderats separat, oavsett antalet olika beviljade lån eller exponeringar.</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Medgäldenärer ska behandlas på samma sätt som vid PD-kalibrering. Om olika exponeringar mot samma gäldenär har en separat kreditvärdering ska de räknas separat. En sådan situation kan uppstå i klassen hushållsexponeringar om definitionen av fallissemang tillämpas på nivån för en enskild kreditfacilitet i enlighet med artikel 178.1 sista meningen i förordning (EU) nr 575/2013, eller om separata exponeringar mot samma gäldenär hänförs till olika riskklasser i enlighet med artikel 172.1 e andra meningen i den förordningen i andra exponeringsklasser.</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Exponeringsvägt genomsnittligt LGD-värde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För alla exponeringar i varje undergrupp inom det fasta PD-intervallet – de genomsnittliga LGD-skattningarna för varje exponering, viktade med exponeringsvärdet efter kreditkonverteringsfaktorer och efter kreditriskreducering som i kolumn e i denna mall.</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Det offentliggjorda LGD-värdet ska motsvara den slutliga LGD-skattning som används vid beräkningen av riskvägda belopp som erhålls efter beaktande av alla eventuella effekter av kreditriskreducering och konjunkturnedgångar i tillämpliga fall. För hushållsexponeringar säkrade genom panträtt i fastigheter ska det offentliggjorda LGD-värdet ta hänsyn till de golv som anges i artikel 164.4 i förordning (EU) nr 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Om det finns exponeringar som omfattas av hanteringen av dubbla fallissemang ska institutet offentliggöra det LGD-värde som valts i enlighet med artikel 161.4 i förordning (EU) nr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För fallerade exponeringar enligt den avancerade internmetoden ska bestämmelserna i artikel 181.1 h i förordning (EU) nr 575/2013 beaktas. Det offentliggjorda LGD-värdet ska motsvara skattningen av LGD vid fallissemang i enlighet med tillämpliga skattningsmetoder.</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Exponeringsvägd genomsnittlig löptid (år)</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För alla exponeringar i varje undergrupp inom det fasta PD-intervallet – den genomsnittliga löptiden för varje exponering, viktad med exponeringsvärdet efter kreditkonverteringsfaktorer som i kolumn e i denna mall.</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Det offentliggjorda löptidsvärdet återspeglar artikel 162 i förordning (EU) nr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Den genomsnittliga löptiden ska anges i år.</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Denna uppgift ska inte anges för de exponeringsvärden vars löptid inte ingår i beräkningen av </w:t>
            </w:r>
            <w:r>
              <w:rPr>
                <w:rStyle w:val="InstructionsTabelleText"/>
                <w:rFonts w:ascii="Times New Roman" w:hAnsi="Times New Roman"/>
                <w:sz w:val="24"/>
              </w:rPr>
              <w:t>riskvägda exponeringsbelopp</w:t>
            </w:r>
            <w:r>
              <w:rPr>
                <w:rFonts w:ascii="Times New Roman" w:hAnsi="Times New Roman"/>
                <w:sz w:val="24"/>
              </w:rPr>
              <w:t xml:space="preserve"> i enlighet med del tre </w:t>
            </w:r>
            <w:r>
              <w:rPr>
                <w:rFonts w:ascii="Times New Roman" w:hAnsi="Times New Roman"/>
                <w:sz w:val="24"/>
              </w:rPr>
              <w:lastRenderedPageBreak/>
              <w:t>avdelning II kapitel 3 i förordning (EU) nr 575/2013. Detta innebär att denna kolumn inte ska fyllas i för exponeringsklassen ”hushåll”.</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Riskvägt exponeringsbelopp efter tillämpning av stödfaktorer</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För exponeringar mot nationella regeringar och centralbanker, institut och företag – det riskvägda exponeringsbelopp som beräknats i enlighet med artikel 153.1–153.4 i förordning (EU) nr 575/2013, för hushållsexponeringar – riskvägt exponeringsbelopp beräknat i enlighet med artikel 154 i förordning (EU) nr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Stödfaktorerna för små och medelstora företag och infrastruktur i enlighet med artiklarna 501 och 501a i förordning (EU) nr 575/2013 ska beaktas.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Densitet hos riskvägda exponeringsbelopp</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Förhållandet mellan summan av riskvägda exponeringsbelopp efter stödfaktorer som i kolumn i) i denna mall och exponeringsvärdet som i kolumn d i denna mall.</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Förväntat förlustbelopp</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Det förväntade förlustbeloppet beräknat i enlighet med artikel 158 i förordning (EU) nr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Det förväntade förlustbelopp som offentliggörs ska grunda sig på de riskparametrar som faktiskt används i det interna riskklassificeringssystem som godkänts av respektive behörig myndighet.</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Värdejusteringar och avsättningar</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Specifika och allmänna kreditriskjusteringar i enlighet med kommissionens delegerade förordning (EU) nr 183/2014</w:t>
            </w:r>
            <w:r w:rsidRPr="000A6489">
              <w:rPr>
                <w:rStyle w:val="FootnoteReference"/>
                <w:rFonts w:ascii="Times New Roman" w:hAnsi="Times New Roman" w:cs="Times New Roman"/>
              </w:rPr>
              <w:footnoteReference w:id="2"/>
            </w:r>
            <w:r>
              <w:rPr>
                <w:rFonts w:ascii="Times New Roman" w:hAnsi="Times New Roman"/>
                <w:sz w:val="24"/>
              </w:rPr>
              <w:t>, ytterligare värdejusteringar i enlighet med artiklarna 34 och 110 i förordning (EU) nr 575/2013 samt andra reduceringar av kapitalbasen kopplade till exponeringar som hänförts till respektive undergrupp inom det fasta PD-intervallet.</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Dessa värdejusteringar och avsättningar ska vara de som beaktas för genomförandet av artikel 159 i förordning (EU) nr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Som allmänna avsättningar ska pro rata-belopp anges – i enlighet med förväntad förlust i olika motpartsriskklasser.</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Radreferens</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087388" w:rsidRPr="00F1728C" w14:paraId="0683DB1D" w14:textId="77777777" w:rsidTr="11F50173">
        <w:trPr>
          <w:trHeight w:val="1601"/>
        </w:trPr>
        <w:tc>
          <w:tcPr>
            <w:tcW w:w="1555" w:type="dxa"/>
          </w:tcPr>
          <w:p w14:paraId="25D2174C" w14:textId="32029388"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lastRenderedPageBreak/>
              <w:t>Exponerings</w:t>
            </w:r>
            <w:r w:rsidR="007430C5">
              <w:rPr>
                <w:rFonts w:ascii="Times New Roman" w:hAnsi="Times New Roman"/>
                <w:sz w:val="24"/>
              </w:rPr>
              <w:t>-</w:t>
            </w:r>
            <w:r>
              <w:rPr>
                <w:rFonts w:ascii="Times New Roman" w:hAnsi="Times New Roman"/>
                <w:sz w:val="24"/>
              </w:rPr>
              <w:t>klass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Om instituten har fått tillstånd att använda egna LGD-värden och konverteringsfaktorer för beräkningen av riskvägda exponeringsbelopp ska de offentliggöra den information som föreskrivs i denna mall separat för de exponeringsklasser som omfattas av detta tillstånd (avancerade internmetoden). För de exponeringsklasser för vilka instituten inte har tillstånd att använda egna LGD-skattningar och konverteringsfaktorer (grundläggande internmetoden) ska de offentliggöra informationen om relevanta exponeringar separat med hjälp av mallen för den grundläggande internmetoden. För närmare information om exponeringsklasser, se mall EU CR7 – Instruktioner för internmetoden</w:t>
            </w:r>
          </w:p>
        </w:tc>
      </w:tr>
      <w:tr w:rsidR="009610E4" w:rsidRPr="009610E4" w14:paraId="4D85411B" w14:textId="77777777" w:rsidTr="11F50173">
        <w:trPr>
          <w:trHeight w:val="1124"/>
        </w:trPr>
        <w:tc>
          <w:tcPr>
            <w:tcW w:w="1555" w:type="dxa"/>
          </w:tcPr>
          <w:p w14:paraId="78D7738C" w14:textId="27E28F71"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Avancerade intern</w:t>
            </w:r>
            <w:r w:rsidR="007430C5">
              <w:rPr>
                <w:rFonts w:ascii="Times New Roman" w:hAnsi="Times New Roman"/>
                <w:sz w:val="24"/>
              </w:rPr>
              <w:t>-</w:t>
            </w:r>
            <w:r>
              <w:rPr>
                <w:rFonts w:ascii="Times New Roman" w:hAnsi="Times New Roman"/>
                <w:sz w:val="24"/>
              </w:rPr>
              <w:t>metoden</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Exponeringsklass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För varje exponeringsklass som förtecknas i artikel 147.2 i förordning (EU) nr 575/2013, med de undantag som anges ovan, ska instituten offentliggöra en separat mall, med en ytterligare uppdelning för följande exponeringsklasser:</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Inom exponeringsklassen ”exponeringar mot företag” ska uppdelning göras i enlighet med artikel 147.2 c i, ii och iii i förordning (EU) nr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Inom exponeringsklassen ”hushållsexponeringar” ska uppdelning göras i enlighet med artikel 147.2 d i, ii, iii och iv i förordning (EU) nr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Raden med totala exponeringar ska inkluderas i slutet av varje separat mall per exponeringsklass.</w:t>
            </w:r>
          </w:p>
        </w:tc>
      </w:tr>
      <w:tr w:rsidR="009610E4" w:rsidRPr="009610E4" w14:paraId="4E966BC0" w14:textId="77777777" w:rsidTr="11F50173">
        <w:trPr>
          <w:trHeight w:val="316"/>
        </w:trPr>
        <w:tc>
          <w:tcPr>
            <w:tcW w:w="1555" w:type="dxa"/>
          </w:tcPr>
          <w:p w14:paraId="6F4F3B3D" w14:textId="39A59D05"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Grundläggande intern</w:t>
            </w:r>
            <w:r w:rsidR="007430C5">
              <w:rPr>
                <w:rFonts w:ascii="Times New Roman" w:hAnsi="Times New Roman"/>
                <w:sz w:val="24"/>
              </w:rPr>
              <w:t>-</w:t>
            </w:r>
            <w:r>
              <w:rPr>
                <w:rFonts w:ascii="Times New Roman" w:hAnsi="Times New Roman"/>
                <w:sz w:val="24"/>
              </w:rPr>
              <w:t>metoden</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Exponeringsklass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För varje exponeringsklass som förtecknas i artikel 147.2 i förordning (EU) nr 575/2013, med de undantag som anges ovan, ska instituten offentliggöra en separat mall, med en ytterligare uppdelning för följande exponeringsklasser:</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Inom exponeringsklassen ”exponeringar mot företag” (artikel 147.2 i förordning (EU) nr 575/2013) ska uppdelning göras i enlighet med artikel 147.2 c i, ii och iii i den förordningen.</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Mall EU CR6-A – Internmetoden – Tillämpningsområde för användningen av internmetoden och schablonmetoden. Mall med fast format.</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rPr>
        <w:t>Institut som beräknar de riskvägda exponeringsbeloppen enligt internmetoden för kreditrisk ska offentliggöra den information som avses i artikel 452 b i förordning (EU) nr 575/2013 genom att följa de instruktioner som anges nedan i denna bilaga för att fylla i mall EU CR6-A, vilken återfinns i bilaga XXI till EBA:s it-lösningar.</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Vid användning av denna mall ska instituten hänföra sina exponeringar som omfattas av den schablonmetod som fastställs i del tre avdelning II kapitel 2, eller den internmetod som fastställs i del tre avdelning II kapitel 3, till exponeringsklasserna såsom de definieras enligt internmetoden. I denna mall ingår inte </w:t>
      </w:r>
      <w:r>
        <w:rPr>
          <w:rFonts w:ascii="Times New Roman" w:hAnsi="Times New Roman"/>
          <w:sz w:val="24"/>
        </w:rPr>
        <w:lastRenderedPageBreak/>
        <w:t>motpartsriskexponeringar (del tre avdelning II kapitel 6 i förordning (EU) nr 575/2013) och värdepapperiseringsexponeringar.</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Instituten ska i den beskrivning som kompletterar mallen förklara eventuella väsentliga skillnader mellan exponeringsvärdet såsom det definieras i artikel 166 för exponeringar enligt internmetoden, som i kolumn a i mallen, och exponeringsvärdet för samma exponeringar i enlighet med artikel 429.4 i förordning (EU) nr 575/2013, som i kolumnerna b och d i denna mall.</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Kolumnreferens</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Totalt exponeringsvärde enligt definitionen i artikel 166 i kapitalkravsförordningen för exponeringar som omfattas av internmetoden</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 denna kolumn ska instituten ange det totala exponeringsvärdet såsom det definieras i artikel 166 i förordning (EU) nr 575/2013, endast för de exponeringar som omfattas av internmetoden.</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Totalt exponeringsvärde för exponeringar som omfattas av schablonmetoden och internmetoden</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Instituten ska använda exponeringsvärdet i enlighet med artikel 429.4 i förordning (EU) nr 575/2013 för att offentliggöra det totala exponeringsvärdet, inklusive exponeringarna både enligt schablonmetoden och enligt internmetoden.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Procentandel av det totala exponeringsvärde som omfattas av permanent partiell användning av schablonmetoden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Del av exponeringen för varje exponeringsklass som omfattas av schablonmetoden (exponering som omfattas av schablonmetoden enligt del tre avdelning II kapitel 2, i enlighet med det godkännandespann för permanent partiell användning av schablonmetoden som beviljats av en behörig myndighet i enlighet med artikel 150 i förordning (EU) nr 575/2013) av den totala exponeringen i den exponeringsklassen som i kolumn b i denna mall.</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Procentandel av det totala exponeringsvärde som omfattas av internmetoden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Del av exponeringen för varje exponeringsklass som omfattas av internmetoden (exponering som omfattas av internmetoden enligt del tre avdelning II kapitel 3 av den totala exponeringen i den exponeringsklassen), med beaktande av det godkännandespann som beviljats av en behörig myndighet för att använda internmetoden i enlighet med artikel 143 i förordning (EU) nr 575/2013, av den totala exponeringen i den exponeringsklassen som i kolumn b i denna mall. Detta ska omfatta exponeringar både där instituten har tillstånd att använda sin egen skattning av LGD och sina egna konverteringsfaktorer och där de inte har det (grundläggande internmetoden och avancerade internmetoden), inbegripet tillsynsklassificeringsmetoden för specialutlåningsexponeringar och aktieexponeringar enligt den förenklade riskviktmetoden.</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Procentandel av det totala exponeringsvärde som omfattas av en införandeplan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Del av exponeringen för varje tillgångsklass som omfattas av ett stegvist genomförande av internmetoden i enlighet med artikel 148 i förordning (EU) nr 575/2013, av den totala exponeringen i den exponeringsklassen som i kolumn b. Detta ska omfatta följande:</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Både exponeringar där instituten planerar att tillämpa internmetoden med eller utan sin egen skattning av LGD och egna konverteringsfaktorer (grundläggande internmetoden och avancerade internmetoden).</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Oväsentliga aktieexponeringar som inte ingår i kolumnerna c och d i denna mall.</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Exponeringar som redan omfattas av den grundläggande internmetoden, om ett institut planerar att tillämpa den avancerade internmetoden i framtiden.</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Specialutlåningsexponeringar enligt tillsynsklassificeringsmetoden som inte ingår i kolumn d i denna mall.</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Rad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Instituten ska inkludera uppgifter i mallen CR 6-A per exponeringsklass, i enlighet med uppdelningen av exponeringsklasser i mallens rader. För närmare information om exponeringsklasser, se instruktionerna till mall EU CR7 – Internmetoden</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Mall EU CR7 – Internmetoden – Effekt på riskvägda exponeringsbelopp av kreditderivat som används som metoder för kreditriskreducering. Mall med fast format.</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Instituten ska offentliggöra de uppgifter som avses i artikel 453 j i förordning (EU) nr 575/2013 genom att följa de instruktioner som anges nedan i denna bilaga för att fylla i mall EU CR7, vilken återfinns i bilaga XXI till EBA:s it-lösningar. Instituten ska komplettera mallen med en beskrivning för att förklara effekten av kreditderivat på riskvägda exponeringsbelopp. I denna mall ingår inte motpartsriskexponeringar (del tre avdelning II kapitel 6 i förordning (EU) nr 575/2013), värdepapperiseringsexponeringar, övriga motpartslösa tillgångar, fonder och aktieexponeringar.</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Kolumnreferens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Riskvägt exponeringsbelopp före kreditderivat</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lastRenderedPageBreak/>
              <w:t>Hypotetiskt riskvägt exponeringsbelopp beräknat som det faktiska riskvägda exponeringsbeloppet med antagande endast om att kreditderivatet inte redovisas som en kreditriskreduceringsmetod i enlighet med artikel 204 i förordning (EU) nr 575/2013. Beloppen ska redovisas i de exponeringsklasser som är relevanta för exponeringar mot den ursprungliga gäldenären.</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Faktiskt riskvägt exponeringsbelopp</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Riskvägt exponeringsbelopp beräknat med hänsyn till effekten av kreditderivat. Om instituten ersätter gäldenärens riskvikt eller riskparametrar med riskvikten eller riskparametrarna för utfärdaren av kreditriskskydd, ska de riskvägda exponeringsbeloppen redovisas i den exponeringsklass som är relevant för direkta exponeringar mot utfärdaren av kreditriskskydd.</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Radreferens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087388" w:rsidRPr="00F1728C" w14:paraId="474BA759" w14:textId="77777777" w:rsidTr="0F62C19C">
        <w:trPr>
          <w:trHeight w:val="316"/>
        </w:trPr>
        <w:tc>
          <w:tcPr>
            <w:tcW w:w="1413" w:type="dxa"/>
          </w:tcPr>
          <w:p w14:paraId="7EF76B82" w14:textId="59124E5B" w:rsidR="00087388" w:rsidRPr="00B23B1C" w:rsidRDefault="01E22573" w:rsidP="0F62C19C">
            <w:pPr>
              <w:autoSpaceDE w:val="0"/>
              <w:autoSpaceDN w:val="0"/>
              <w:adjustRightInd w:val="0"/>
              <w:spacing w:after="120"/>
              <w:jc w:val="both"/>
              <w:rPr>
                <w:rFonts w:ascii="Times New Roman" w:eastAsia="Times New Roman" w:hAnsi="Times New Roman" w:cs="Times New Roman"/>
                <w:sz w:val="24"/>
                <w:lang w:val="fr-BE"/>
              </w:rPr>
            </w:pPr>
            <w:r w:rsidRPr="00B23B1C">
              <w:rPr>
                <w:rFonts w:ascii="Times New Roman" w:hAnsi="Times New Roman"/>
                <w:sz w:val="24"/>
                <w:lang w:val="fr-BE"/>
              </w:rPr>
              <w:t xml:space="preserve">1, EU 1a, EU 1b, 2, EU 2a, EU 2b, 3, 5, EU 5a, EU 5b, EU 5c, 6, EU 6a, EU 6b, EU 6c, 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Instituten ska inkludera uppdelningen av riskvägt exponeringsbelopp före kreditderivat och faktisk riskvägd exponering per exponeringsklass, i enlighet med de exponeringsklasser och underordnade exponeringsklasser som förtecknas i artikel 147.2 i förordning (EU) nr 575/2013 med en åtskillnad mellan exponeringar enligt den grundläggande internmetoden och exponeringar enligt den avancerade internmetoden.</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rPr>
              <w:t>I raderna 17 och 18 i denna mall ska instituten ange delsummorna för exponeringar enligt den grundläggande internmetoden och enligt den avancerade internmetoden.</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Företag – Grundläggande internmetoden</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Summan av exponeringar i raderna EU 5a, EU 5b och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Företag – Avancerade internmetoden</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Summan av exponeringar i raderna EU 6a, EU 6b och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Hushåll – Avancerade internmetoden</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Summan av exponeringar i raderna 9, 10, EU 10a och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Summa exponeringar</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Totalt riskvägt exponeringsbelopp före kreditderivat och totalt faktiskt riskvägt exponeringsbelopp för alla exponeringar enligt internmetoden (inklusive den grundläggande internmetoden och den avancerade internmetoden).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Summan av exponeringar i raderna 1, EU 1a, EU 1b, 2, EU 2a, EU 2b, 3, 5, 6 och EU 8a. </w:t>
            </w:r>
          </w:p>
        </w:tc>
      </w:tr>
    </w:tbl>
    <w:p w14:paraId="0FB78278" w14:textId="77777777" w:rsidR="00087388" w:rsidRPr="00B23B1C" w:rsidRDefault="00087388" w:rsidP="00087388">
      <w:pPr>
        <w:spacing w:after="120"/>
        <w:rPr>
          <w:rFonts w:ascii="Times New Roman" w:hAnsi="Times New Roman" w:cs="Times New Roman"/>
          <w:sz w:val="24"/>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lastRenderedPageBreak/>
        <w:t xml:space="preserve">Mall EU CR7-A – Internmetoden – Offentliggörande av omfattningen av användningen av metoder för kreditriskreducering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rPr>
        <w:t>Instituten ska offentliggöra den information som avses i artikel 453 g i förordning (EU) nr 575/2013 med åtskillnad mellan exponeringar enligt den avancerade internmetoden respektive den grundläggande internmetoden genom att följa de instruktioner som anges nedan i denna bilaga för att fylla i mall EU CR7-A, vilken återfinns i bilaga XXI till EBA:s it-lösningar.</w:t>
      </w:r>
      <w:r>
        <w:rPr>
          <w:rFonts w:ascii="Times New Roman" w:hAnsi="Times New Roman"/>
          <w:sz w:val="24"/>
        </w:rPr>
        <w:t xml:space="preserve"> Om en post för betalt kreditriskskydd avser mer än en exponering får inte summan av de exponeringar som anses säkrade genom den överstiga värdet av posten för kreditriskskyddet.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 denna mall ingår inte motpartsriskexponeringar (del tre avdelning II kapitel 6 i förordning (EU) nr 575/2013), värdepapperiseringsexponeringar, övriga motpartslösa tillgångar, fonder och aktieexponeringar.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Kolumnreferens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Summa exponeringar</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Exponeringsvärde (efter konverteringsfaktorer) i enlighet med artiklarna 166–167 i förordning (EU) nr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Exponeringar ska offentliggöras i enlighet med den exponeringsklass som gäller för gäldenären, utan beaktande av eventuella substitutionseffekter till följd av förekomsten av en garanti.</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Betalt kreditriskskydd - Del av exponeringar som täcks av finansiella säkerheter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Procentandel av exponeringar säkrade genom finansiella säkerheter av totala exponeringar som i kolumn a i denna mall.</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Finansiella säkerheter, inklusive kontanta säkerheter, räntebärande värdepapper och guld, enligt förteckningen i artiklarna 197 och 198 i förordning (EU) nr 575/2013, ska inkluderas i täljaren om alla krav som fastställs i artikel 207.2–4 i den förordningen är uppfyllda. Värdet av de offentliggjorda säkerheterna ska vara begränsat till exponeringsvärdet på enskild exponeringsnivå.</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Om egna LGD-skattningar används: finansiella säkerheter som beaktas i LGD-skattningarna i enlighet med artikel 181.1 e och f i förordning (EU) nr 575/2013. Det belopp som offentliggörs ska vara säkerheternas estimerade marknadsvärde.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Betalt kreditriskskydd - Del av exponeringar som täcks av övriga godtagbara säkerheter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Procentandel av exponeringar säkrade genom övriga godtagbara säkerheter av totala exponeringar som i kolumn a i denna mall.</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Värdena som offentliggörs i denna kolumn ska vara summan av värdena i kolumnerna d–f i denna mall.</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Om egna LGD-skattningar inte används: Artiklarna 199.1–199.8 och 229 i förordning (EU) nr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Om egna LGD-skattningar används: andra säkerheter som beaktas i LGD-skattningarna i enlighet med artikel 181.1 e och f i förordning (EU) nr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Betalt kreditriskskydd - Del av exponeringar som täcks av säkerheter i form av fastigheter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Procentandel av exponeringar säkrade genom säkerheter i form av fastigheter, inbegripet leasing, i enlighet med artikel 199.7 i förordning (EU) nr 575/2013 av totala exponeringar som i kolumn a i denna mall.</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Säkerheter i fastigheter ska inkluderas i täljaren om de uppfyller alla kraven på godtagbarhet som fastställs i artikel 208.2–208.5 i förordning (EU) nr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Leasing av fastigheter ska inkluderas i täljaren om den uppfyller alla kraven på godtagbarhet som fastställs i artikel 211 i förordning (EU) nr 575/2013. Det offentliggjorda värdet av säkerhet ska begränsas till exponeringsvärdet på enskild exponeringsnivå.</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Del av exponeringar som täcks av fordringar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Procentandel av exponeringar säkrade genom fordringar, i enlighet med artikel 199.5 i förordning (EU) nr 575/2013, av totala exponeringar som i kolumn a i denna mall.</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Fordringar ska inkluderas i täljaren om de uppfyller alla kraven på godtagbarhet som fastställs i artikel 209 i förordning (EU) nr 575/2013. Det offentliggjorda värdet av säkerhet ska begränsas till exponeringsvärdet på enskild exponeringsnivå.</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Del av exponeringar som täcks av övriga fysiska säkerheter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Procentandel av exponeringar säkrade genom övriga fysiska säkerheter, inbegripet leasing av sådana säkerheter, i enlighet med artikel 199.6 och 199.8 i förordning (EU) nr 575/2013 av totala exponeringar som i kolumn a i denna mall.</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Övriga fysiska säkerheter ska inkluderas i täljaren om den uppfyller alla krav på godtagbarhet som fastställs i artikel 210 i förordning (EU) nr 575/2013. Det offentliggjorda värdet av säkerhet ska begränsas till exponeringsvärdet på enskild exponeringsnivå.</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Betalt kreditriskskydd - Del av exponeringar som täcks av övrigt betalt kreditriskskydd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Procentandel av exponeringar säkrade genom övrigt betalt kreditriskskydd av totala exponeringar som i kolumn 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Värdena i denna kolumn ska vara summan av värdena i kolumnerna h, i och j i denna mall.</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Betalt kreditriskskydd - Del av exponeringar som täcks av kontanta medel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Procentandel av exponeringar säkrade genom kontanter eller kontantliknande instrument som innehas av ett tredjepartsinstitut av totala exponeringar som i kolumn a i denna mall. I enlighet med artikel 200 a i förordning (EU) nr </w:t>
            </w:r>
            <w:r>
              <w:rPr>
                <w:rFonts w:ascii="Times New Roman" w:hAnsi="Times New Roman"/>
                <w:sz w:val="24"/>
              </w:rPr>
              <w:lastRenderedPageBreak/>
              <w:t xml:space="preserve">575/2013 inbegriper övrigt betalt kreditriskskydd kontanta medel som är insatta hos eller kontantliknande instrument som innehas av ett institut som är tredje part på annan grund än ett depåförvaringsavtal och är pantsatta till förmån för det utlånande institutet.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Det offentliggjorda värdet av säkerhet ska begränsas till exponeringsvärdet på enskild exponeringsnivå.</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Betalt kreditriskskydd - Del av exponeringar som täcks av livförsäkringar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Procentandel av exponeringar säkrade genom livförsäkringar av totala exponeringar som i kolumn a i denna mall.</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I enlighet med artikel 200 b i förordning (EU) nr 575/2013 inbegriper övrigt betalt kreditriskskydd livförsäkringar som har pantsatts hos det utlånande institutet. Det offentliggjorda värdet av säkerhet ska begränsas till exponeringsvärdet på enskild exponeringsnivå.</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Betalt kreditriskskydd - Del av exponeringar som täcks av instrument som innehas av en tredje part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Procentandel av exponeringar säkrade genom instrument som innehas av en tredje part av totala exponeringar som i kolumn a i denna mall; del av exponeringar som täcks av instrument utgivna av en tredje part av totala exponeringar.</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 enlighet med artikel 200 c i förordning (EU) nr 575/2013 ska det offentliggjorda värdet inkludera instrument utgivna av ett tredjepartsinstitut vilka kommer att återköpas av detta institut på begäran. Värdet på säkerhet ska begränsas till exponeringsvärdet på enskild exponeringsnivå. Procentandelen ska inte inkludera exponeringar som täcks av instrument som innehas av en tredje part där instituten, i enlighet med artikel 232.4 i förordning (EU) nr 575/2013, behandlar instrument som återköps på begäran och som är godtagbara enligt artikel 200 c i den förordningen som en garanti av det utgivande institutet.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Obetalt kreditriskskydd - Del av exponeringar som täcks av garantier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Procentandel av exponeringar säkrade genom garantier av totala exponeringar som i kolumn a i denna mall.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Garantierna ska uppfylla kraven i artiklarna 213, 214, 215 och 232.4 i förordning (EU) nr 575/2013. Värdet på garantier ska begränsas till exponeringsvärdet på enskild exponeringsnivå.</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Obetalt kreditriskskydd - Del av exponeringar som täcks av kreditderivat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Procentandel av exponeringar säkrade genom kreditderivat av totala exponeringar som i kolumn a i denna mall.</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Kreditderivat omfattar följande:</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Kreditswappar.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Totalavkastningsswappar.</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Kreditlänkade obligationer, i den utsträckning som de betalats med kontanter.</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Dessa instrument ska uppfylla kravet i artiklarna 204.1, 204.2, 213 och 216 i förordning (EU) nr 575/2013. Värdet på kreditderivat ska begränsas till exponeringsvärdet på enskild exponeringsnivå.</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Riskvägt exponeringsbelopp utan substitutionseffekter (endast reduceringseffekter)</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Riskvägda exponeringsbelopp beräknade i enlighet med artikel 92.4 a och g i förordning (EU) nr 575/2013, inklusive eventuella minskningar av riskvägda exponeringsbelopp till följd av betalt eller obetalt kreditriskskydd, inbegripet om PD- och LGD-värdena eller riskvikten ersätts på grund av obetalt kreditriskskydd. Exponeringar ska dock alltid, även när substitutionsmetoden används, offentliggöras i de ursprungliga exponeringsklasser som gäller för gäldenären.</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Riskvägt exponeringsbelopp med substitutionseffekter (både reducerings- och substitutionseffekter)</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Riskvägda exponeringsbelopp beräknade i enlighet med artiklarna 153–157 i förordning (EU) nr 575/2013, inklusive eventuella minskningar av riskvägda exponeringsbelopp till följd av betalt eller obetalt kreditriskskydd. Om PD- och LGD-värdena eller riskvikten ersätts på grund av obetalt kreditriskskydd ska exponeringarna offentliggöras i den exponeringsklass som gäller för utfärdaren av kreditriskskydd.</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Radreferens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Detta offentliggörande ska göras separat för exponeringar enligt den avancerade internmetoden, den grundläggande internmetoden och för specialutlåning enligt tillsynsklassificeringsmetoden samt aktieexponeringar.</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2185A0C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Avancerade intern</w:t>
            </w:r>
            <w:r w:rsidR="007430C5">
              <w:rPr>
                <w:rFonts w:ascii="Times New Roman" w:hAnsi="Times New Roman"/>
                <w:sz w:val="24"/>
              </w:rPr>
              <w:t>-</w:t>
            </w:r>
            <w:r>
              <w:rPr>
                <w:rFonts w:ascii="Times New Roman" w:hAnsi="Times New Roman"/>
                <w:sz w:val="24"/>
              </w:rPr>
              <w:t>metoden</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Instituten ska inkludera information om kreditriskreduceringsmetoder i denna mall per exponeringsklass, i enlighet med de exponeringsklasser som förtecknas i artikel 147.2 i förordning (EU) nr 575/2013, med ytterligare uppdelning för följande exponeringsklasser: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Inom exponeringsklassen ”exponeringar mot företag” ska uppdelning göras i enlighet med artikel 147.2 c i, ii och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Inom exponeringsklassen ”hushållsexponeringar” ska uppdelning göras i enlighet med artikel 147.2 d i, ii, iii och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2F4EF384"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Grund</w:t>
            </w:r>
            <w:r w:rsidR="007430C5">
              <w:rPr>
                <w:rFonts w:ascii="Times New Roman" w:hAnsi="Times New Roman"/>
                <w:sz w:val="24"/>
              </w:rPr>
              <w:t>-</w:t>
            </w:r>
            <w:r>
              <w:rPr>
                <w:rFonts w:ascii="Times New Roman" w:hAnsi="Times New Roman"/>
                <w:sz w:val="24"/>
              </w:rPr>
              <w:t>läggande intern</w:t>
            </w:r>
            <w:r w:rsidR="007430C5">
              <w:rPr>
                <w:rFonts w:ascii="Times New Roman" w:hAnsi="Times New Roman"/>
                <w:sz w:val="24"/>
              </w:rPr>
              <w:t>-</w:t>
            </w:r>
            <w:r>
              <w:rPr>
                <w:rFonts w:ascii="Times New Roman" w:hAnsi="Times New Roman"/>
                <w:sz w:val="24"/>
              </w:rPr>
              <w:t>metoden</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Instituten ska inkludera information om kreditriskreduceringsmetoder i denna mall per exponeringsklass, i enlighet med de exponeringsklasser som förtecknas i artikel 147.2 i förordning (EU) nr 575/2013, med ytterligare uppdelning för följande exponeringsklass: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lastRenderedPageBreak/>
              <w:t>– Inom exponeringsklassen ”exponeringar mot företag” ska uppdelning göras i enlighet med artikel 147.2 c i, ii och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lastRenderedPageBreak/>
        <w:t xml:space="preserve">Mall EU CR8 – Flödesanalyser av riskvägt exponeringsbelopp avseende kreditriskexponeringar som behandlas enligt internmetoden. Mall med fast format.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Instituten ska offentliggöra den information som avses i artikel 438 h i förordning (EU) nr 575/2013 genom att följa de instruktioner som anges nedan i denna bilaga för att fylla i mall EU CR8, vilken återfinns i bilaga XXI till EBA:s it-lösningar. Informationen i denna mall omfattar inte motpartsriskexponeringar (del tre avdelning II kapitel 6 i förordning (EU) nr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Instituten ska offentliggöra flödena av riskvägt exponeringsbelopp som förändringar mellan de riskvägda exponeringsbeloppen vid utgången av referensperioden för offentliggörandet (såsom specificeras nedan i rad 9 i denna mall) och de riskvägda exponeringsbeloppen vid utgången av föregående referensperiod (såsom specificeras nedan i rad 1 i denna mall</w:t>
      </w:r>
      <w:r>
        <w:rPr>
          <w:rFonts w:ascii="Times New Roman" w:hAnsi="Times New Roman"/>
          <w:color w:val="000000" w:themeColor="text1"/>
          <w:sz w:val="24"/>
        </w:rPr>
        <w:t xml:space="preserve"> eller, i samband med kvartalsredovisning, det kvartalsslut som föregår det kvartal som referensperioden för offentliggörandet avser). Instituten får komplettera sina redovisningar enligt tredje pelaren genom att redovisa samma information för de tre föregående kvartalen.</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Instituten ska komplettera mallen med en beskrivande kommentar för att förklara siffrorna i rad 8 i denna mall, dvs. eventuella andra drivkrafter som väsentligen bidrar till variationer i det riskvägda exponeringsbeloppet.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Kolumnreferens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Riskvägt exponeringsbelopp</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Totalt riskvägt exponeringsbelopp för kreditrisk beräknat enligt internmetoden, med beaktande av stödfaktorer i enlighet med artiklarna 501 och 501a i förordning (EU) nr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Rad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Riskvägt exponeringsbelopp i slutet av föregående offentliggörandeperiod</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Tillgångsstorlek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Förändring av det riskvägda exponeringsbeloppet mellan slutet av föregående offentliggörandeperiod och slutet av den aktuella offentliggörandeperioden, på grund av tillgångarnas storlek, dvs. organiska förändringar i bokförda värden och sammansättning (inklusive ny verksamhet och utlöpande lån), men bortsett från förändringar i den bokförda storleken till följd av förvärv och avyttring av enheter.</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lastRenderedPageBreak/>
              <w:t>Ökningar av riskvägda exponeringsbelopp ska offentliggöras som ett positivt belopp och minskningar av riskvägda exponeringsbelopp ska offentliggöras som ett negativt belopp.</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Tillgångskvalitet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Förändring av det riskvägda exponeringsbeloppet mellan slutet av föregående offentliggörandeperiod och slutet av den aktuella offentliggörandeperioden, på grund av tillgångskvalitet, dvs. förändringar av den bedömda kvaliteten för ett instituts tillgångar på grund av förändringar i låntagarrisk, såsom kreditvärderingsmigration eller liknande effekter.</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Ökningar av riskvägda exponeringsbelopp ska offentliggöras som ett positivt belopp och minskningar av riskvägda exponeringsbelopp ska offentliggöras som ett negativt belopp.</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Modelluppdateringar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Förändring av det riskvägda exponeringsbeloppet mellan slutet av föregående offentliggörandeperiod och slutet av den aktuella offentliggörandeperioden, på grund av modelluppdateringar, dvs. förändringar till följd av genomförande av nya modeller, ändringar av modellerna, ändringar av modellernas räckvidd eller andra ändringar för att förbättra modellerna.</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Ökningar av riskvägda exponeringsbelopp ska offentliggöras som ett positivt belopp och minskningar av riskvägda exponeringsbelopp ska offentliggöras som ett negativt belopp.</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Metoder och riktlinjer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Förändring av det riskvägda exponeringsbeloppet mellan slutet av föregående offentliggörandeperiod och slutet av den aktuella offentliggörandeperioden, på grund av metoder och riktlinjer, dvs. förändringar på grund av metodologiska förändringar av beräkningarna till följd av ändrad regleringspolitik, inbegripet både översyn av befintliga bestämmelser och nya bestämmelser, exklusive ändringar av modeller, som tas upp i rad 4 i denna mall.</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Ökningar av riskvägda exponeringsbelopp ska offentliggöras som ett positivt belopp och minskningar av riskvägda exponeringsbelopp ska offentliggöras som ett negativt belopp.</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Förvärv och avyttringar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Förändring av det riskvägda exponeringsbeloppet mellan slutet av föregående offentliggörandeperiod och slutet av den aktuella offentliggörandeperioden, på grund av förvärv och avyttringar, dvs. förändringar av storleken på det bokförda värdet på grund av förvärv och/eller avyttringar.</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Ökningar av riskvägda exponeringsbelopp ska offentliggöras som ett positivt belopp och minskningar av riskvägda exponeringsbelopp ska offentliggöras som ett negativt belopp.</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Valutakursförändringar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Förändring av det riskvägda exponeringsbeloppet mellan slutet av föregående offentliggörandeperiod och slutet av den aktuella offentliggörandeperioden, </w:t>
            </w:r>
            <w:r>
              <w:rPr>
                <w:rFonts w:ascii="Times New Roman" w:hAnsi="Times New Roman"/>
                <w:sz w:val="24"/>
              </w:rPr>
              <w:lastRenderedPageBreak/>
              <w:t>på grund av valutakursförändringar, dvs. förändringar som uppstår genom ändrade valutakurser.</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Ökningar av riskvägda exponeringsbelopp ska offentliggöras som ett positivt belopp och minskningar av riskvägda exponeringsbelopp ska offentliggöras som ett negativt belopp.</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Övrigt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Förändring av det riskvägda exponeringsbeloppet mellan slutet av föregående offentliggörandeperiod och slutet av den aktuella offentliggörandeperioden, på grund av andra faktorer.</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Denna kategori ska användas för att fånga upp ändringar som inte kan hänföras till någon annan kategori. Instituten ska dessutom beskriva alla andra väsentliga drivkrafter bakom förändringar av riskvägda belopp under offentliggörandeperioden som ingår i denna rad i den kompletterande beskrivningen för denna mall.</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Ökningar av riskvägda exponeringsbelopp ska offentliggöras som ett positivt belopp och minskningar av riskvägda exponeringsbelopp ska offentliggöras som ett negativt belopp.</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Riskvägt exponeringsbelopp i slutet av offentliggörandeperioden</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Mall EU CR9 </w:t>
      </w:r>
      <w:r>
        <w:rPr>
          <w:rFonts w:ascii="Times New Roman" w:hAnsi="Times New Roman"/>
          <w:b/>
          <w:sz w:val="24"/>
        </w:rPr>
        <w:tab/>
        <w:t xml:space="preserve"> – Internmetoden – Utfallstest av PD per exponeringsklass. Mall med fast format.</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Instituten ska offentliggöra den information som avses i artikel 452 h i förordning (EU) nr 575/2013 genom att följa de instruktioner som anges nedan i denna bilaga för att fylla i mall EU CR9, vilken återfinns i bilaga XXI till EBA:s it-lösningar. Om ett institut använder sig av både den grundläggande internmetoden och den avancerade internmetoden ska institutet offentliggöra två separata uppsättningar av mallar, en för den grundläggande internmetoden och en för den avancerade internmetoden, med en mall per exponeringsklass i varje uppsättning.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Instituten ska beakta de modeller som används inom varje exponeringsklass, och de ska förklara procentandelen riskvägt exponeringsbelopp för den relevanta exponeringsklass som omfattas av de modeller för vilka resultat av utfallstester offentliggörs här.</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I den kompletterande beskrivningen ska instituten förklara det totala antalet gäldenärer med kortfristiga avtal på offentliggörandedagen och ange vilka exponeringsklasser som har ett större antal gäldenärer med kortfristiga avtal. Med kortfristiga avtal avses avtal vars återstående löptid är mindre än 12 månader. Instituten ska även förklara om det finns överlappande fönster i beräkningen av det långfristiga genomsnittet av PD-värdena.</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I denna mall ingår inte motpartsriskexponeringar (del tre avdelning II kapitel 6 i förordning (EU) nr 575/2013), värdepapperiseringspositioner, övriga motpartslösa tillgångar och aktieexponeringar.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Kolumnreferens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Rättsliga hänvisningar och instruktioner</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lastRenderedPageBreak/>
              <w:t>a (avancerade internmetoden)</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Exponeringsklasser</w:t>
            </w:r>
          </w:p>
          <w:p w14:paraId="08CE6F91" w14:textId="43839CE4" w:rsidR="00CB5E48" w:rsidRPr="00F1728C" w:rsidRDefault="00087388" w:rsidP="000A6489">
            <w:pPr>
              <w:spacing w:after="120"/>
            </w:pPr>
            <w:r>
              <w:rPr>
                <w:rFonts w:ascii="Times New Roman" w:hAnsi="Times New Roman"/>
                <w:sz w:val="24"/>
              </w:rPr>
              <w:t xml:space="preserve">För varje exponeringsklass som förtecknas i artikel 147.2 i förordning (EU) nr 575/2013 ska instituten offentliggöra en separat mall, med en ytterligare uppdelning för följande exponeringsklasser: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Inom exponeringsklassen ”exponeringar mot företag” ska uppdelning göras i enlighet med artikel 147.2 c i, ii och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Inom exponeringsklassen ”hushållsexponeringar” ska uppdelning göras i enlighet med artikel 147.2 d i, ii, iii och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a (grundläggande internmetoden)</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Exponeringsklasser</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För varje exponeringsklass som förtecknas i artikel 147.2 i förordning (EU) nr 575/2013 ska instituten offentliggöra en separat mall, med en ytterligare uppdelning för följande exponeringsklasser:</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Inom exponeringsklassen ”exponeringar mot företag” ska uppdelning göras i enlighet med artikel 147.2 c i, ii och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b</w:t>
            </w:r>
          </w:p>
        </w:tc>
        <w:tc>
          <w:tcPr>
            <w:tcW w:w="7626" w:type="dxa"/>
          </w:tcPr>
          <w:p w14:paraId="0D2F2153" w14:textId="77777777" w:rsidR="00087388" w:rsidRPr="00F1728C" w:rsidRDefault="00087388" w:rsidP="00725D4D">
            <w:pPr>
              <w:pStyle w:val="Applicationdirecte"/>
              <w:spacing w:before="0"/>
              <w:rPr>
                <w:b/>
              </w:rPr>
            </w:pPr>
            <w:r>
              <w:rPr>
                <w:b/>
              </w:rPr>
              <w:t>PD-intervall</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Detta är ett fast PD-intervall som inte ska ändras.</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Exponeringar ska hänföras till en lämplig undergrupp inom det fasta PD-intervallet baserat på det PD-värde som skattats i början av offentliggörandeperioden för varje gäldenär som tillhör denna exponeringsklass (utan beaktande av eventuella substitutionseffekter till följd av kreditriskreducering).  Alla fallerade exponeringar ska ingå i den undergrupp som motsvarar ett PD-värde på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Antal gäldenärer i slutet av föregående år</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Instituten ska offentliggöra följande två uppsättningar av uppgifter: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Antalet gäldenärer i slutet av föregående år (kolumn c i denna mall).</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Antalet gäldenärer i slutet av det år som omfattas av offentliggörandet.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I båda fallen ska alla gäldenärer med en kreditförpliktelse vid den relevanta tidpunkten tas med.</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Instituten ska offentliggöra antalet juridiska personer eller gäldenärer som hänförts till respektive undergrupp av det fasta PD-intervallet i slutet av föregående år och som kreditvärderats separat, oavsett antalet olika beviljade lån eller exponeringar.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Medgäldenärer ska behandlas på samma sätt som vid PD-kalibrering. Om olika exponeringar mot samma gäldenär har en separat kreditvärdering ska de räknas separat. En sådan situation kan uppstå i klassen hushållsexponeringar om definitionen av fallissemang tillämpas på nivån för en enskild kreditfacilitet i enlighet med artikel 178.1 sista meningen i förordning (EU) nr 575/2013. En sådan situation kan även uppstå om separata exponeringar mot samma gäldenär hänförs till olika motpartsriskklasser i enlighet med artikel 172.1 e andra meningen i förordning (EU) nr 575/2013 i andra exponeringsklasser.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lastRenderedPageBreak/>
              <w:t>Antalet gäldenärer som fallerade under året före offentliggörandedagen (kolumn d i denna mall).</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Detta ska vara en undergrupp till kolumn c i denna mall och utgöra det antal gäldenärer som fallerade under året. Fallissemang ska fastställas i enlighet med artikel 178 i förordning (EU) nr 575/2013. Varje fallerad gäldenär ska endast räknas en gång i täljaren och nämnaren i beräkningen av den ettåriga fallissemangskvoten, även om gäldenären fallerade mer än en gång under den relevanta ettårsperioden.</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Observerad genomsnittlig fallissemangskvot</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Aritmetiskt genomsnitt av de ettåriga fallissemangskvoterna enligt definitionen i artikel 4.1.78 i förordning (EU) nr 575/2013, som observerats i det tillgängliga datasetet.</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Vid beräkning av ettåriga fallissemangskvoter ska instituten säkerställa följande:</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Att nämnaren utgörs av antalet ej fallerade gäldenärer med kreditförpliktelser som observerats i början av den ettåriga observationsperioden (början av den föregående offentliggörandeperioden, dvs. början på året före offentliggörandets referensdatum). I detta sammanhang avser en kreditförpliktelse båda av följande: i) Poster i balansräkningen, inklusive kapitalbelopp, ränta och avgifter. ii) Poster utanför balansräkningen, inklusive garantier som institutet utfärdat som garant.</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Att täljaren inkluderar alla de gäldenärer som ingår i nämnaren och som hade minst en fallissemangshändelse under den ettåriga observationsperioden (året som föregår offentliggörandets referensdatum).</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Instituten ska välja en lämplig metod för att beräkna den observerade genomsnittliga fallissemangskvoten – antingen en metod som grundar sig på överlappande ettåriga tidsfönster eller en metod baserad på ej överlappande ettåriga tidsfönster.</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Exponeringsvägt genomsnittligt PD-värde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Exponeringsvägt genomsnittligt PD-värde (%) som i kolumn f i mall EU CR6: För alla exponeringar i varje undergrupp inom det fasta PD-intervallet – den genomsnittliga PD-skattningen för varje gäldenär, viktad med exponeringsvärdet efter kreditkonverteringsfaktorer och kreditriskreducering som i kolumn e i mall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Genomsnittligt PD-värde på offentliggörandedagen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Aritmetiskt genomsnittligt PD-värde i början av offentliggörandeperioden för de gäldenärer som omfattas av undergruppen inom det fasta PD-intervallet och som räknas i d (genomsnitt viktat med antalet gäldenärer).</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Genomsnittlig historisk årlig fallissemangskvot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Enkelt genomsnitt av den årliga fallissemangskvoten för åtminstone de fem senaste åren (gäldenärer i början av varje år som fallerar under det året/totalt antal gäldenärer i början av året).</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Institutet kan använda en längre historisk period som är förenlig med dess faktiska riskhanteringspraxis. Om institutet använder en längre historisk </w:t>
            </w:r>
            <w:r>
              <w:rPr>
                <w:rFonts w:ascii="Times New Roman" w:hAnsi="Times New Roman"/>
                <w:sz w:val="24"/>
              </w:rPr>
              <w:lastRenderedPageBreak/>
              <w:t>period ska det förklara och tydliggöra detta i den beskrivning som medföljer mallen.</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Mall EU CR9.1 – Internmetoden – Utfallstest av PD per exponeringsklass (endast för PD-skattningar i enlighet med artikel 180.1 f i kapitalkravsförordningen)</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Utöver mall EU CR9 ska instituten lämna uppgifter i mall EU CR9.1 om de tillämpar artikel 180.1 f i förordning (EU) nr 575/2013 för PD-skattning, och endast för PD-skattningar i enlighet med samma artikel. Instruktionerna är desamma som för mall EU CR9, med följande undantag:</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I kolumn b i denna mall ska instituten offentliggöra PD-intervallen i enlighet med sina interna klasser som de placerar in på den skala som används av det externa kreditvärderingsinstitutet, i stället för ett fast externt PD-intervall.</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Instituten ska offentliggöra en kolumn för varje externt kreditvärderingsinstitut som avses i artikel 180.1 i förordning (EU) nr 575/2013. I dessa kolumner ska instituten ange den externa kreditvärdering som deras interna PD-intervall har placerats in i.</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ab/>
        <w:t>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EUT L 176, 27.6.2013, s. 1</w:t>
        </w:r>
      </w:hyperlink>
      <w:r>
        <w:t>;</w:t>
      </w:r>
      <w:r>
        <w:rPr>
          <w:color w:val="800080"/>
          <w:u w:val="single"/>
        </w:rPr>
        <w:t xml:space="preserve"> </w:t>
      </w:r>
      <w:hyperlink r:id="rId2" w:history="1">
        <w:r>
          <w:rPr>
            <w:rStyle w:val="Hyperlink"/>
          </w:rPr>
          <w:t>förordning 2024/1623 – SV – EUR-Lex (europa.eu)</w:t>
        </w:r>
      </w:hyperlink>
      <w:r>
        <w:rPr>
          <w:color w:val="444444"/>
        </w:rP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ab/>
        <w:t>Kommissionens delegerade förordning (EU) nr 183/2014 av den 20 december 2013 om komplettering av Europaparlamentets och rådets förordning (EU) nr 575/2013 om tillsynskrav för kreditinstitut och värdepappersföretag med avseende på tekniska tillsynsstandarder för att specificera beräkningen av specifika och allmänna kreditriskjusteringar (EUT L 57, 27.2.2014,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430C5"/>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23B1C"/>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8647E1-80DB-4FCE-9B57-00FEBF650452}"/>
</file>

<file path=customXml/itemProps2.xml><?xml version="1.0" encoding="utf-8"?>
<ds:datastoreItem xmlns:ds="http://schemas.openxmlformats.org/officeDocument/2006/customXml" ds:itemID="{ED14AC6F-0433-4355-9E47-B20447DE105E}"/>
</file>

<file path=customXml/itemProps3.xml><?xml version="1.0" encoding="utf-8"?>
<ds:datastoreItem xmlns:ds="http://schemas.openxmlformats.org/officeDocument/2006/customXml" ds:itemID="{4F1EBBC7-7469-46B7-A0BA-31385C78ED81}"/>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7138</Words>
  <Characters>38120</Characters>
  <Application>Microsoft Office Word</Application>
  <DocSecurity>0</DocSecurity>
  <Lines>907</Lines>
  <Paragraphs>419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2024-10-18T16:35:00Z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