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3B806" w14:textId="66831D99" w:rsidR="009E7D0C" w:rsidRDefault="009E7D0C" w:rsidP="00A33695">
      <w:pPr>
        <w:jc w:val="center"/>
        <w:rPr>
          <w:rFonts w:ascii="Times New Roman" w:hAnsi="Times New Roman"/>
          <w:sz w:val="24"/>
        </w:rPr>
      </w:pPr>
      <w:bookmarkStart w:id="0" w:name="_Toc262568021"/>
      <w:bookmarkStart w:id="1" w:name="_Toc295829847"/>
      <w:r>
        <w:rPr>
          <w:rFonts w:ascii="Times New Roman" w:hAnsi="Times New Roman"/>
          <w:sz w:val="24"/>
        </w:rPr>
        <w:t>BG</w:t>
      </w:r>
    </w:p>
    <w:p w14:paraId="2704A83C" w14:textId="77777777" w:rsidR="009E7D0C" w:rsidRDefault="009E7D0C" w:rsidP="00A33695">
      <w:pPr>
        <w:jc w:val="center"/>
        <w:rPr>
          <w:rFonts w:ascii="Times New Roman" w:hAnsi="Times New Roman"/>
          <w:sz w:val="24"/>
        </w:rPr>
      </w:pPr>
    </w:p>
    <w:p w14:paraId="24333E7A" w14:textId="5EEA2C00" w:rsidR="008D696E" w:rsidRDefault="008D696E" w:rsidP="00A33695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 XLIV</w:t>
      </w:r>
    </w:p>
    <w:p w14:paraId="327777EC" w14:textId="412B4B5A" w:rsidR="002648B0" w:rsidRPr="002A677E" w:rsidRDefault="00D03B1B" w:rsidP="00C87CE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Указания за оповестяването на експозициите към криптоактиви</w:t>
      </w:r>
    </w:p>
    <w:p w14:paraId="2C40683C" w14:textId="77777777" w:rsidR="00436204" w:rsidRPr="002A677E" w:rsidRDefault="00436204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4099A354" w14:textId="5F7E540B" w:rsidR="00464F34" w:rsidRPr="00D03B1B" w:rsidRDefault="00D03B1B" w:rsidP="002F1D8D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  <w:bookmarkStart w:id="2" w:name="_Toc163551527"/>
      <w:bookmarkEnd w:id="0"/>
      <w:bookmarkEnd w:id="1"/>
      <w:r>
        <w:rPr>
          <w:rFonts w:ascii="Times New Roman" w:hAnsi="Times New Roman"/>
          <w:b/>
          <w:sz w:val="24"/>
          <w:u w:val="none"/>
        </w:rPr>
        <w:t>Образец EU CAE 1- Образец за криптоактиви</w:t>
      </w:r>
      <w:bookmarkEnd w:id="2"/>
      <w:r>
        <w:rPr>
          <w:rFonts w:ascii="Times New Roman" w:hAnsi="Times New Roman"/>
          <w:b/>
          <w:sz w:val="24"/>
          <w:u w:val="none"/>
        </w:rPr>
        <w:t>.</w:t>
      </w:r>
      <w:r>
        <w:rPr>
          <w:rFonts w:ascii="Times New Roman" w:hAnsi="Times New Roman"/>
          <w:sz w:val="24"/>
          <w:u w:val="none"/>
        </w:rPr>
        <w:t xml:space="preserve"> Зададен формат.</w:t>
      </w:r>
    </w:p>
    <w:p w14:paraId="041009DD" w14:textId="3EFC441D" w:rsidR="00464F34" w:rsidRPr="0076606B" w:rsidRDefault="00D03B1B" w:rsidP="002F1D8D">
      <w:pPr>
        <w:pStyle w:val="InstructionsText2"/>
        <w:jc w:val="both"/>
      </w:pPr>
      <w:r>
        <w:t>За оповестяване на информацията за размера на рисково претеглените експозиции и капиталовите изисквания за видовете експозиции към криптоактиви, посочени в член 501г, параграф 2 от Регламент (ЕС) № 575/2013</w:t>
      </w:r>
      <w:r w:rsidR="0076606B" w:rsidRPr="0076606B">
        <w:rPr>
          <w:rStyle w:val="FootnoteReference"/>
          <w:rFonts w:ascii="Times New Roman" w:eastAsiaTheme="minorEastAsia" w:hAnsi="Times New Roman"/>
          <w:bCs w:val="0"/>
          <w:color w:val="000000"/>
          <w:sz w:val="24"/>
          <w:szCs w:val="24"/>
          <w:vertAlign w:val="superscript"/>
        </w:rPr>
        <w:footnoteReference w:id="2"/>
      </w:r>
      <w:r>
        <w:t>, институциите попълват образец EU CAE1 от приложение XLIII към ИТ решенията на ЕБО, като следват изложените по-долу указания.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464F34" w:rsidRPr="002A677E" w14:paraId="05FA098D" w14:textId="77777777" w:rsidTr="00D9757A">
        <w:trPr>
          <w:trHeight w:val="397"/>
        </w:trPr>
        <w:tc>
          <w:tcPr>
            <w:tcW w:w="9918" w:type="dxa"/>
            <w:gridSpan w:val="2"/>
            <w:shd w:val="clear" w:color="auto" w:fill="CCCCCC"/>
          </w:tcPr>
          <w:p w14:paraId="76571629" w14:textId="6F36549B" w:rsidR="00464F34" w:rsidRPr="002A677E" w:rsidRDefault="0076606B" w:rsidP="002F1D8D">
            <w:pPr>
              <w:pStyle w:val="InstructionsText"/>
            </w:pPr>
            <w:r>
              <w:t>Препратки към нормативни актове и указания</w:t>
            </w:r>
          </w:p>
        </w:tc>
      </w:tr>
      <w:tr w:rsidR="0076606B" w:rsidRPr="0076606B" w14:paraId="355F95A3" w14:textId="77777777" w:rsidTr="00D9757A">
        <w:tc>
          <w:tcPr>
            <w:tcW w:w="1555" w:type="dxa"/>
            <w:shd w:val="clear" w:color="auto" w:fill="CCCCCC"/>
          </w:tcPr>
          <w:p w14:paraId="5227B491" w14:textId="73380187" w:rsidR="0076606B" w:rsidRPr="0076606B" w:rsidRDefault="0076606B" w:rsidP="002F1D8D">
            <w:pPr>
              <w:pStyle w:val="InstructionsText"/>
            </w:pPr>
            <w:r>
              <w:t xml:space="preserve">Колона № </w:t>
            </w:r>
          </w:p>
        </w:tc>
        <w:tc>
          <w:tcPr>
            <w:tcW w:w="8363" w:type="dxa"/>
            <w:shd w:val="clear" w:color="auto" w:fill="CCCCCC"/>
          </w:tcPr>
          <w:p w14:paraId="5846F631" w14:textId="28D78C36" w:rsidR="0076606B" w:rsidRPr="0076606B" w:rsidRDefault="0076606B" w:rsidP="002F1D8D">
            <w:pPr>
              <w:pStyle w:val="InstructionsText"/>
            </w:pPr>
            <w:r>
              <w:t>Обяснение</w:t>
            </w:r>
          </w:p>
        </w:tc>
      </w:tr>
      <w:tr w:rsidR="002953A0" w:rsidRPr="0076606B" w14:paraId="11675C2A" w14:textId="77777777" w:rsidTr="001A633E">
        <w:tc>
          <w:tcPr>
            <w:tcW w:w="1555" w:type="dxa"/>
          </w:tcPr>
          <w:p w14:paraId="4BE7CB71" w14:textId="77777777" w:rsidR="002953A0" w:rsidRPr="0076606B" w:rsidRDefault="002953A0" w:rsidP="002F1D8D">
            <w:pPr>
              <w:pStyle w:val="InstructionsText"/>
            </w:pPr>
            <w:r>
              <w:t>a</w:t>
            </w:r>
          </w:p>
        </w:tc>
        <w:tc>
          <w:tcPr>
            <w:tcW w:w="8363" w:type="dxa"/>
          </w:tcPr>
          <w:p w14:paraId="16748558" w14:textId="2EDF205C" w:rsidR="002953A0" w:rsidRPr="0076606B" w:rsidRDefault="002953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Стойност на експозицията</w:t>
            </w:r>
          </w:p>
          <w:p w14:paraId="3168829C" w14:textId="3F57F48A" w:rsidR="002953A0" w:rsidRPr="0076606B" w:rsidRDefault="002953A0" w:rsidP="002F1D8D">
            <w:pPr>
              <w:pStyle w:val="InstructionsText"/>
            </w:pPr>
            <w:r>
              <w:t>Стойността на експозициите към криптоактиви за различните видове криптоактиви, посочени в член 501г, параграф 2 от Регламент (ЕС) № 575/2013.</w:t>
            </w:r>
          </w:p>
        </w:tc>
      </w:tr>
      <w:tr w:rsidR="00E46AC0" w:rsidRPr="0076606B" w14:paraId="25D246EF" w14:textId="77777777" w:rsidTr="00D9757A">
        <w:tc>
          <w:tcPr>
            <w:tcW w:w="1555" w:type="dxa"/>
          </w:tcPr>
          <w:p w14:paraId="15D7F3E0" w14:textId="5E6C5043" w:rsidR="0076606B" w:rsidRPr="0076606B" w:rsidRDefault="002953A0" w:rsidP="002F1D8D">
            <w:pPr>
              <w:pStyle w:val="InstructionsText"/>
            </w:pPr>
            <w:r>
              <w:t>б</w:t>
            </w:r>
          </w:p>
        </w:tc>
        <w:tc>
          <w:tcPr>
            <w:tcW w:w="8363" w:type="dxa"/>
          </w:tcPr>
          <w:p w14:paraId="18B3A388" w14:textId="519B3BC9" w:rsidR="00E46AC0" w:rsidRPr="0076606B" w:rsidRDefault="0076606B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Рисково претеглени размери на експозициите (РПРЕ)</w:t>
            </w:r>
          </w:p>
          <w:p w14:paraId="2AB54302" w14:textId="6CD1C0C9" w:rsidR="002953A0" w:rsidRDefault="002953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t>Член 501г, параграф 2 от Регламент (ЕС) № 575/2013.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</w:p>
          <w:p w14:paraId="2EA1E817" w14:textId="7862AD81" w:rsidR="002953A0" w:rsidRDefault="002953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t>Размерите на рисково претеглените експозиции за различните видове експозиции към криптоактиви, изчислени в съответствие с член 501г, параграф 2, буква е) от Регламент (ЕС) № 575/2013.</w:t>
            </w:r>
          </w:p>
          <w:p w14:paraId="019E027E" w14:textId="27A9F1F5" w:rsidR="000811A0" w:rsidRPr="0076606B" w:rsidRDefault="000811A0" w:rsidP="002F1D8D">
            <w:pPr>
              <w:pStyle w:val="InstructionsText"/>
            </w:pPr>
          </w:p>
        </w:tc>
      </w:tr>
      <w:tr w:rsidR="0076606B" w:rsidRPr="0076606B" w14:paraId="31E88113" w14:textId="77777777" w:rsidTr="00D9757A">
        <w:tc>
          <w:tcPr>
            <w:tcW w:w="1555" w:type="dxa"/>
          </w:tcPr>
          <w:p w14:paraId="276588C9" w14:textId="2559B7BA" w:rsidR="0076606B" w:rsidRDefault="002953A0" w:rsidP="002F1D8D">
            <w:pPr>
              <w:pStyle w:val="InstructionsText"/>
            </w:pPr>
            <w:r>
              <w:t>в</w:t>
            </w:r>
          </w:p>
        </w:tc>
        <w:tc>
          <w:tcPr>
            <w:tcW w:w="8363" w:type="dxa"/>
          </w:tcPr>
          <w:p w14:paraId="1DB08D4E" w14:textId="77777777" w:rsidR="0076606B" w:rsidRDefault="0076606B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Капиталови изисквания </w:t>
            </w:r>
          </w:p>
          <w:p w14:paraId="7787F909" w14:textId="33023A71" w:rsidR="003B6B5F" w:rsidRDefault="003B6B5F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t>Член 501г, параграф 2 от Регламент (ЕС) № 575/2013.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</w:p>
          <w:p w14:paraId="7D3D40B6" w14:textId="26A2D5FE" w:rsidR="0076606B" w:rsidRPr="0076606B" w:rsidRDefault="0076606B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Капиталовите изисквания, съответстващи на размера на рисково претеглените експозиции за различните видове криптоактиви.</w:t>
            </w:r>
          </w:p>
        </w:tc>
      </w:tr>
    </w:tbl>
    <w:p w14:paraId="310FB6E2" w14:textId="77777777" w:rsidR="00464F34" w:rsidRPr="0076606B" w:rsidRDefault="00464F34" w:rsidP="002F1D8D">
      <w:pPr>
        <w:pStyle w:val="InstructionsText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D9757A" w:rsidRPr="002A677E" w14:paraId="485D8F4A" w14:textId="77777777" w:rsidTr="00D9757A">
        <w:trPr>
          <w:trHeight w:val="397"/>
        </w:trPr>
        <w:tc>
          <w:tcPr>
            <w:tcW w:w="9918" w:type="dxa"/>
            <w:gridSpan w:val="2"/>
            <w:shd w:val="clear" w:color="auto" w:fill="CCCCCC"/>
          </w:tcPr>
          <w:p w14:paraId="57E6B293" w14:textId="77777777" w:rsidR="00D9757A" w:rsidRPr="002A677E" w:rsidRDefault="00D9757A" w:rsidP="002F1D8D">
            <w:pPr>
              <w:pStyle w:val="InstructionsText"/>
            </w:pPr>
            <w:r>
              <w:t>Препратки към нормативни актове и указания</w:t>
            </w:r>
          </w:p>
        </w:tc>
      </w:tr>
      <w:tr w:rsidR="00464F34" w:rsidRPr="0076606B" w14:paraId="511AFFC7" w14:textId="77777777" w:rsidTr="00D9757A">
        <w:tc>
          <w:tcPr>
            <w:tcW w:w="1555" w:type="dxa"/>
            <w:shd w:val="clear" w:color="auto" w:fill="CCCCCC"/>
          </w:tcPr>
          <w:p w14:paraId="42E7C874" w14:textId="4DAD3DCD" w:rsidR="00464F34" w:rsidRPr="0076606B" w:rsidRDefault="007106FB" w:rsidP="002F1D8D">
            <w:pPr>
              <w:pStyle w:val="InstructionsText"/>
            </w:pPr>
            <w:r>
              <w:t>Ред №</w:t>
            </w:r>
          </w:p>
        </w:tc>
        <w:tc>
          <w:tcPr>
            <w:tcW w:w="8363" w:type="dxa"/>
            <w:shd w:val="clear" w:color="auto" w:fill="CCCCCC"/>
          </w:tcPr>
          <w:p w14:paraId="5101E780" w14:textId="6FFAFB3B" w:rsidR="00464F34" w:rsidRPr="0076606B" w:rsidRDefault="0076606B" w:rsidP="002F1D8D">
            <w:pPr>
              <w:pStyle w:val="InstructionsText"/>
            </w:pPr>
            <w:r>
              <w:t>Обяснение</w:t>
            </w:r>
          </w:p>
        </w:tc>
      </w:tr>
      <w:tr w:rsidR="00464F34" w:rsidRPr="0076606B" w14:paraId="4200F5F5" w14:textId="77777777" w:rsidTr="00D9757A">
        <w:tc>
          <w:tcPr>
            <w:tcW w:w="1555" w:type="dxa"/>
          </w:tcPr>
          <w:p w14:paraId="13D34CD0" w14:textId="17D414E2" w:rsidR="00464F34" w:rsidRPr="0076606B" w:rsidRDefault="0076606B" w:rsidP="002F1D8D">
            <w:pPr>
              <w:pStyle w:val="InstructionsText"/>
            </w:pPr>
            <w:r>
              <w:t>1</w:t>
            </w:r>
          </w:p>
        </w:tc>
        <w:tc>
          <w:tcPr>
            <w:tcW w:w="8363" w:type="dxa"/>
          </w:tcPr>
          <w:p w14:paraId="6642D329" w14:textId="77777777" w:rsidR="002F1D8D" w:rsidRDefault="00A15ACF" w:rsidP="002F1D8D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</w:rPr>
            </w:pPr>
            <w:r>
              <w:rPr>
                <w:rStyle w:val="cf01"/>
                <w:rFonts w:ascii="Times New Roman" w:hAnsi="Times New Roman"/>
                <w:b/>
                <w:sz w:val="24"/>
              </w:rPr>
              <w:t>Традиционни активи във вид на токени</w:t>
            </w:r>
          </w:p>
          <w:p w14:paraId="2C368109" w14:textId="5EEDDCF7" w:rsidR="000811A0" w:rsidRPr="0076606B" w:rsidRDefault="000C1FFC" w:rsidP="002F1D8D">
            <w:pPr>
              <w:pStyle w:val="InstructionsText"/>
            </w:pPr>
            <w:r>
              <w:t>Член 501г, параграф 2, буква а) от Регламент (ЕС) № 575/2013.</w:t>
            </w:r>
          </w:p>
        </w:tc>
      </w:tr>
      <w:tr w:rsidR="00373762" w:rsidRPr="0076606B" w14:paraId="3CBB5149" w14:textId="77777777" w:rsidTr="00D9757A">
        <w:tc>
          <w:tcPr>
            <w:tcW w:w="1555" w:type="dxa"/>
          </w:tcPr>
          <w:p w14:paraId="6C15DAA6" w14:textId="315E07AC" w:rsidR="00373762" w:rsidRPr="0076606B" w:rsidRDefault="0076606B" w:rsidP="002F1D8D">
            <w:pPr>
              <w:pStyle w:val="InstructionsText"/>
            </w:pPr>
            <w:r>
              <w:t>2</w:t>
            </w:r>
          </w:p>
        </w:tc>
        <w:tc>
          <w:tcPr>
            <w:tcW w:w="8363" w:type="dxa"/>
          </w:tcPr>
          <w:p w14:paraId="1BDD91BD" w14:textId="121E64C7" w:rsidR="000C1FFC" w:rsidRPr="0076606B" w:rsidRDefault="00A02EBC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Токени, обезпечени с активи</w:t>
            </w:r>
          </w:p>
          <w:p w14:paraId="1D7215CE" w14:textId="2358370C" w:rsidR="000811A0" w:rsidRPr="0076606B" w:rsidRDefault="000811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lastRenderedPageBreak/>
              <w:t>Член 501г, параграф 2, буква б) от Регламент (ЕС) № 575/2013.</w:t>
            </w:r>
          </w:p>
        </w:tc>
      </w:tr>
      <w:tr w:rsidR="00373762" w:rsidRPr="0076606B" w14:paraId="5E466513" w14:textId="77777777" w:rsidTr="00D9757A">
        <w:tc>
          <w:tcPr>
            <w:tcW w:w="1555" w:type="dxa"/>
          </w:tcPr>
          <w:p w14:paraId="39E8A0FB" w14:textId="215B912E" w:rsidR="00373762" w:rsidRPr="0076606B" w:rsidRDefault="00D9757A" w:rsidP="002F1D8D">
            <w:pPr>
              <w:pStyle w:val="InstructionsText"/>
            </w:pPr>
            <w:r>
              <w:lastRenderedPageBreak/>
              <w:t>3</w:t>
            </w:r>
          </w:p>
        </w:tc>
        <w:tc>
          <w:tcPr>
            <w:tcW w:w="8363" w:type="dxa"/>
          </w:tcPr>
          <w:p w14:paraId="0CD31563" w14:textId="11ABCDFB" w:rsidR="000C1FFC" w:rsidRPr="0076606B" w:rsidRDefault="006C06AC" w:rsidP="002F1D8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Експозиции към други криптоактиви</w:t>
            </w:r>
          </w:p>
          <w:p w14:paraId="22594EAC" w14:textId="2A3C1F16" w:rsidR="00373762" w:rsidRPr="0076606B" w:rsidRDefault="000811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t>Член 501г, параграф 2, буква в) от Регламент (ЕС) № 575/2013.</w:t>
            </w:r>
          </w:p>
          <w:p w14:paraId="1BCB3895" w14:textId="0709C3F8" w:rsidR="000811A0" w:rsidRPr="00D9757A" w:rsidRDefault="4EBA09A7" w:rsidP="002F1D8D">
            <w:pPr>
              <w:pStyle w:val="InstructionsText"/>
            </w:pPr>
            <w:r>
              <w:t>Други експозиции към криптоактиви, които се различават от посочените в член 501г, параграф 2, букви а) и б) от Регламент (ЕС) № 575/2013.</w:t>
            </w:r>
          </w:p>
        </w:tc>
      </w:tr>
      <w:tr w:rsidR="00623C6D" w:rsidRPr="0076606B" w14:paraId="10277CD1" w14:textId="77777777" w:rsidTr="00D9757A">
        <w:tc>
          <w:tcPr>
            <w:tcW w:w="1555" w:type="dxa"/>
          </w:tcPr>
          <w:p w14:paraId="33D217D5" w14:textId="13A52B17" w:rsidR="00623C6D" w:rsidRPr="0076606B" w:rsidRDefault="00D9757A" w:rsidP="002F1D8D">
            <w:pPr>
              <w:pStyle w:val="InstructionsText"/>
            </w:pPr>
            <w:r>
              <w:t>4</w:t>
            </w:r>
          </w:p>
        </w:tc>
        <w:tc>
          <w:tcPr>
            <w:tcW w:w="8363" w:type="dxa"/>
          </w:tcPr>
          <w:p w14:paraId="5385821A" w14:textId="259A3565" w:rsidR="00623C6D" w:rsidRPr="0076606B" w:rsidRDefault="00931726" w:rsidP="002F1D8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Общо</w:t>
            </w:r>
          </w:p>
          <w:p w14:paraId="55F5AED4" w14:textId="5039CC11" w:rsidR="003B6B5F" w:rsidRDefault="0088549A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Общи стойности, изчислени като сбор от редове 1, 2, 3. </w:t>
            </w:r>
          </w:p>
          <w:p w14:paraId="2CF3B315" w14:textId="6D98023C" w:rsidR="00623C6D" w:rsidRDefault="003B6B5F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Общият размер на рисковата експозиция е равен на оповестения в ред EU24a, колона а) на образец EU OV1.</w:t>
            </w:r>
          </w:p>
          <w:p w14:paraId="1DE909BE" w14:textId="28825665" w:rsidR="003B6B5F" w:rsidRPr="0076606B" w:rsidRDefault="003B6B5F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Общият размер на капиталовите изисквания е равен на оповестения в ред EU 24а, колона в) на образец EU OV1.</w:t>
            </w:r>
          </w:p>
        </w:tc>
      </w:tr>
      <w:tr w:rsidR="001F0121" w:rsidRPr="0076606B" w14:paraId="1E203B4D" w14:textId="77777777" w:rsidTr="001F0121">
        <w:tc>
          <w:tcPr>
            <w:tcW w:w="1555" w:type="dxa"/>
            <w:shd w:val="clear" w:color="auto" w:fill="D9D9D9" w:themeFill="background1" w:themeFillShade="D9"/>
          </w:tcPr>
          <w:p w14:paraId="5024020C" w14:textId="77777777" w:rsidR="001F0121" w:rsidRDefault="001F0121" w:rsidP="002F1D8D">
            <w:pPr>
              <w:pStyle w:val="InstructionsText"/>
            </w:pPr>
          </w:p>
        </w:tc>
        <w:tc>
          <w:tcPr>
            <w:tcW w:w="8363" w:type="dxa"/>
            <w:shd w:val="clear" w:color="auto" w:fill="D9D9D9" w:themeFill="background1" w:themeFillShade="D9"/>
          </w:tcPr>
          <w:p w14:paraId="106F6FC9" w14:textId="3BB95B54" w:rsidR="001F0121" w:rsidRPr="001F0121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Поясняваща позиция </w:t>
            </w:r>
          </w:p>
        </w:tc>
      </w:tr>
      <w:tr w:rsidR="001F0121" w:rsidRPr="0076606B" w14:paraId="50DA30D3" w14:textId="77777777" w:rsidTr="00D9757A">
        <w:tc>
          <w:tcPr>
            <w:tcW w:w="1555" w:type="dxa"/>
          </w:tcPr>
          <w:p w14:paraId="41FBBB67" w14:textId="5DBC581B" w:rsidR="001F0121" w:rsidRDefault="001F0121" w:rsidP="002F1D8D">
            <w:pPr>
              <w:pStyle w:val="InstructionsText"/>
            </w:pPr>
            <w:r>
              <w:t>5</w:t>
            </w:r>
          </w:p>
        </w:tc>
        <w:tc>
          <w:tcPr>
            <w:tcW w:w="8363" w:type="dxa"/>
          </w:tcPr>
          <w:p w14:paraId="47F1511E" w14:textId="768E44DB" w:rsidR="00AA385A" w:rsidRDefault="00685F67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Експозиции към други криптоактиви, изразени като процентен дял от капитала от първи ред на институцията</w:t>
            </w:r>
          </w:p>
          <w:p w14:paraId="77AFF5E7" w14:textId="2EE951BB" w:rsidR="001F0121" w:rsidRPr="0076606B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t>Член 501г, параграф 3 от Регламент (ЕС) № 575/2013.</w:t>
            </w:r>
          </w:p>
          <w:p w14:paraId="715123E0" w14:textId="3FEC4A67" w:rsidR="001F0121" w:rsidRPr="001F0121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</w:p>
        </w:tc>
      </w:tr>
    </w:tbl>
    <w:p w14:paraId="0793ABC6" w14:textId="77777777" w:rsidR="001C7AB7" w:rsidRPr="002A677E" w:rsidRDefault="001C7AB7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sectPr w:rsidR="001C7AB7" w:rsidRPr="002A677E" w:rsidSect="00570E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7B7E6" w14:textId="77777777" w:rsidR="00570E7E" w:rsidRDefault="00570E7E" w:rsidP="00D946DB">
      <w:pPr>
        <w:spacing w:before="0" w:after="0"/>
      </w:pPr>
      <w:r>
        <w:separator/>
      </w:r>
    </w:p>
  </w:endnote>
  <w:endnote w:type="continuationSeparator" w:id="0">
    <w:p w14:paraId="2E781888" w14:textId="77777777" w:rsidR="00570E7E" w:rsidRDefault="00570E7E" w:rsidP="00D946DB">
      <w:pPr>
        <w:spacing w:before="0" w:after="0"/>
      </w:pPr>
      <w:r>
        <w:continuationSeparator/>
      </w:r>
    </w:p>
  </w:endnote>
  <w:endnote w:type="continuationNotice" w:id="1">
    <w:p w14:paraId="6EEE3799" w14:textId="77777777" w:rsidR="00570E7E" w:rsidRDefault="00570E7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</w:t>
    </w:r>
    <w:r>
      <w:rPr>
        <w:rStyle w:val="PageNumber"/>
      </w:rPr>
      <w:t>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5885" w14:textId="71A1082C" w:rsidR="00C3070C" w:rsidRPr="00ED1956" w:rsidRDefault="00C3070C">
    <w:pPr>
      <w:pStyle w:val="Footer"/>
      <w:jc w:val="right"/>
      <w:rPr>
        <w:rFonts w:ascii="Times New Roman" w:hAnsi="Times New Roman"/>
        <w:sz w:val="20"/>
        <w:szCs w:val="20"/>
      </w:rPr>
    </w:pPr>
    <w:r w:rsidRPr="00ED1956">
      <w:rPr>
        <w:rFonts w:ascii="Times New Roman" w:hAnsi="Times New Roman"/>
        <w:sz w:val="20"/>
      </w:rPr>
      <w:fldChar w:fldCharType="begin"/>
    </w:r>
    <w:r w:rsidRPr="00ED1956">
      <w:rPr>
        <w:rFonts w:ascii="Times New Roman" w:hAnsi="Times New Roman"/>
        <w:sz w:val="20"/>
      </w:rPr>
      <w:instrText xml:space="preserve"> PAGE   \* MERGEFORMAT </w:instrText>
    </w:r>
    <w:r w:rsidRPr="00ED1956">
      <w:rPr>
        <w:rFonts w:ascii="Times New Roman" w:hAnsi="Times New Roman"/>
        <w:sz w:val="20"/>
      </w:rPr>
      <w:fldChar w:fldCharType="separate"/>
    </w:r>
    <w:r w:rsidR="008F3052">
      <w:rPr>
        <w:rFonts w:ascii="Times New Roman" w:hAnsi="Times New Roman"/>
        <w:sz w:val="20"/>
      </w:rPr>
      <w:t>4</w:t>
    </w:r>
    <w:r w:rsidR="008F3052">
      <w:rPr>
        <w:rFonts w:ascii="Times New Roman" w:hAnsi="Times New Roman"/>
        <w:sz w:val="20"/>
      </w:rPr>
      <w:t>2</w:t>
    </w:r>
    <w:r w:rsidRPr="00ED1956">
      <w:rPr>
        <w:rFonts w:ascii="Times New Roman" w:hAnsi="Times New Roman"/>
        <w:sz w:val="20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FA028" w14:textId="77777777" w:rsidR="00570E7E" w:rsidRDefault="00570E7E" w:rsidP="00D946DB">
      <w:pPr>
        <w:spacing w:before="0" w:after="0"/>
      </w:pPr>
      <w:r>
        <w:separator/>
      </w:r>
    </w:p>
  </w:footnote>
  <w:footnote w:type="continuationSeparator" w:id="0">
    <w:p w14:paraId="4CBBD974" w14:textId="77777777" w:rsidR="00570E7E" w:rsidRDefault="00570E7E" w:rsidP="00D946DB">
      <w:pPr>
        <w:spacing w:before="0" w:after="0"/>
      </w:pPr>
      <w:r>
        <w:continuationSeparator/>
      </w:r>
    </w:p>
  </w:footnote>
  <w:footnote w:type="continuationNotice" w:id="1">
    <w:p w14:paraId="47999F3E" w14:textId="77777777" w:rsidR="00570E7E" w:rsidRDefault="00570E7E">
      <w:pPr>
        <w:spacing w:before="0" w:after="0"/>
      </w:pPr>
    </w:p>
  </w:footnote>
  <w:footnote w:id="2">
    <w:p w14:paraId="5704B613" w14:textId="770B6789" w:rsidR="0076606B" w:rsidRPr="00D9757A" w:rsidRDefault="0076606B" w:rsidP="0076606B">
      <w:pPr>
        <w:pStyle w:val="FootnoteText"/>
        <w:rPr>
          <w:rFonts w:ascii="Times New Roman" w:eastAsia="Calibri" w:hAnsi="Times New Roman"/>
          <w:sz w:val="20"/>
          <w:szCs w:val="20"/>
        </w:rPr>
      </w:pPr>
      <w:r>
        <w:rPr>
          <w:rStyle w:val="FootnoteReference"/>
          <w:rFonts w:ascii="Times New Roman" w:hAnsi="Times New Roman"/>
          <w:sz w:val="20"/>
          <w:szCs w:val="20"/>
        </w:rPr>
        <w:footnoteRef/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ab/>
      </w:r>
      <w:r>
        <w:t>Регламент (ЕС) № 575/2013 на Европейския парламент и на Съвета от 26 юни 2013 г. относно пруденциалните изисквания за кредитните институции и инвестиционните посредници и за изменение на Регламент (ЕС) № 648/2012, изменен с Регламент (ЕС) 2024/1623 (</w:t>
      </w:r>
      <w:hyperlink r:id="rId1" w:history="1">
        <w:r>
          <w:rPr>
            <w:rStyle w:val="Hyperlink"/>
            <w:color w:val="800080"/>
          </w:rPr>
          <w:t>ОВ L 176, 27.6.2013 г., стр. 1</w:t>
        </w:r>
      </w:hyperlink>
      <w:r>
        <w:rPr>
          <w:color w:val="800080"/>
          <w:u w:val="single"/>
        </w:rPr>
        <w:t xml:space="preserve">; </w:t>
      </w:r>
      <w:hyperlink r:id="rId2" w:history="1">
        <w:r>
          <w:rPr>
            <w:rStyle w:val="Hyperlink"/>
          </w:rPr>
          <w:t>Регламент — ЕС — 2024/1623 — BG — EUR-Lex (europa.eu)</w:t>
        </w:r>
      </w:hyperlink>
      <w: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98C1" w14:textId="7C971337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Title:  - Description: EBA Regular Use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BBC0" w14:textId="5C594065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Title:  - Description: EBA Regular Use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Title:  - Description: EBA Regular Use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360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447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3448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1A0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B67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1FFC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6FA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ADA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3E6F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12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61D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53A0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479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D8D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4A9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8D4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6B5F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3E3A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600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05F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1BA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547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588D"/>
    <w:rsid w:val="005666F4"/>
    <w:rsid w:val="00566905"/>
    <w:rsid w:val="00566A45"/>
    <w:rsid w:val="00566DB5"/>
    <w:rsid w:val="00566E59"/>
    <w:rsid w:val="005704F9"/>
    <w:rsid w:val="00570E7E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17B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4E6F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C6D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F94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AF4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85F67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6AC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858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2D4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30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06B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0A3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5FC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54A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1D1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485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B90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33BC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49A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A2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0BE"/>
    <w:rsid w:val="00931528"/>
    <w:rsid w:val="00931726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2EBC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1E9B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5ACF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3C47"/>
    <w:rsid w:val="00A94552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385A"/>
    <w:rsid w:val="00AA42A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178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7A9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88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458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4182"/>
    <w:rsid w:val="00CE47AF"/>
    <w:rsid w:val="00CE4BEB"/>
    <w:rsid w:val="00CE4C49"/>
    <w:rsid w:val="00CE5006"/>
    <w:rsid w:val="00CE51FF"/>
    <w:rsid w:val="00CE5491"/>
    <w:rsid w:val="00CE5507"/>
    <w:rsid w:val="00CE5512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3B1B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03C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57C6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9757A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0D0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03C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1E83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1F62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875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7F8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0B67"/>
    <w:rsid w:val="00F30C57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4F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448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1C30CCF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B4EEB3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2B9F95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A7184F1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6B689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7A2490F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BDB7AAB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0304A7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BA09A7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7CBBA0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AF3F54"/>
    <w:rsid w:val="5FCB8A86"/>
    <w:rsid w:val="5FF14103"/>
    <w:rsid w:val="600C2FB0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3F3CB66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A76FA2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bg-BG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bg-BG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bg-BG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bg-BG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74408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bg-BG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bg-BG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2F1D8D"/>
    <w:pPr>
      <w:spacing w:before="0"/>
      <w:ind w:left="360"/>
      <w:jc w:val="left"/>
    </w:pPr>
    <w:rPr>
      <w:rFonts w:ascii="Times New Roman" w:hAnsi="Times New Roman"/>
      <w:bCs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bg-BG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2F1D8D"/>
    <w:rPr>
      <w:rFonts w:ascii="Times New Roman" w:eastAsia="Times New Roman" w:hAnsi="Times New Roman"/>
      <w:bCs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bg-BG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bg-BG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bg-BG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bg-BG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bg-BG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bg-BG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bg-BG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BG/TXT/?uri=OJ:L_202401623" TargetMode="External"/><Relationship Id="rId1" Type="http://schemas.openxmlformats.org/officeDocument/2006/relationships/hyperlink" Target="https://eur-lex.europa.eu/legal-content/BG/TXT/?uri=OJ%3AL%3A2013%3A176%3A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F5BD1A-AF6D-4E8D-AC3B-63600DBA645D}"/>
</file>

<file path=customXml/itemProps3.xml><?xml version="1.0" encoding="utf-8"?>
<ds:datastoreItem xmlns:ds="http://schemas.openxmlformats.org/officeDocument/2006/customXml" ds:itemID="{DEFB3F9D-0C14-41EA-AD09-2DD53B756E2B}"/>
</file>

<file path=customXml/itemProps4.xml><?xml version="1.0" encoding="utf-8"?>
<ds:datastoreItem xmlns:ds="http://schemas.openxmlformats.org/officeDocument/2006/customXml" ds:itemID="{760F0347-638C-4851-AB3E-247D05BF5466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1825</Characters>
  <Application>Microsoft Office Word</Application>
  <DocSecurity>0</DocSecurity>
  <Lines>60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2024-06-06T15:40:00Z</dcterms:created>
  <dcterms:modified xsi:type="dcterms:W3CDTF">2024-10-18T11:20:00Z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2024-09-26T14:35:25Z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a7de5dab-f179-4ce4-a821-7fc8370dee9b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