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6CD00B28" w:rsidR="00087388" w:rsidRPr="00A87849" w:rsidRDefault="00087388" w:rsidP="00087388">
      <w:pPr>
        <w:pStyle w:val="Annexetitre"/>
        <w:spacing w:before="0"/>
      </w:pPr>
      <w:r w:rsidRPr="00A87849">
        <w:t>PRÍLOHA XXII – Zverejňovanie informácií</w:t>
      </w:r>
      <w:r w:rsidR="00A87849">
        <w:t xml:space="preserve"> o </w:t>
      </w:r>
      <w:r w:rsidRPr="00A87849">
        <w:t>používaní prístupu IRB ku kreditnému riziku (okrem kreditného rizika protistrany)</w:t>
      </w:r>
    </w:p>
    <w:p w14:paraId="672A6659" w14:textId="77777777" w:rsidR="00087388" w:rsidRPr="00A87849" w:rsidRDefault="00087388" w:rsidP="00087388">
      <w:pPr>
        <w:spacing w:after="120"/>
        <w:rPr>
          <w:rFonts w:ascii="Times New Roman" w:hAnsi="Times New Roman" w:cs="Times New Roman"/>
          <w:sz w:val="24"/>
        </w:rPr>
      </w:pPr>
    </w:p>
    <w:p w14:paraId="3451F4FD" w14:textId="77777777" w:rsidR="00087388" w:rsidRPr="00A87849" w:rsidRDefault="00087388" w:rsidP="00087388">
      <w:pPr>
        <w:spacing w:after="120"/>
        <w:rPr>
          <w:rFonts w:ascii="Times New Roman" w:hAnsi="Times New Roman" w:cs="Times New Roman"/>
          <w:sz w:val="24"/>
        </w:rPr>
      </w:pPr>
      <w:r w:rsidRPr="00A87849">
        <w:rPr>
          <w:rFonts w:ascii="Times New Roman" w:hAnsi="Times New Roman"/>
          <w:b/>
          <w:sz w:val="24"/>
        </w:rPr>
        <w:t>Tabuľka EU CRE – Požiadavky na zverejňovanie kvalitatívnych informácií týkajúcich sa prístupu IRB. Flexibilná tabuľka</w:t>
      </w:r>
      <w:r w:rsidRPr="00A87849">
        <w:rPr>
          <w:rFonts w:ascii="Times New Roman" w:hAnsi="Times New Roman"/>
          <w:sz w:val="24"/>
        </w:rPr>
        <w:t>.</w:t>
      </w:r>
    </w:p>
    <w:p w14:paraId="5F7DF826" w14:textId="341CCA1C" w:rsidR="00087388" w:rsidRPr="00A87849" w:rsidRDefault="00087388" w:rsidP="63E31B68">
      <w:pPr>
        <w:pStyle w:val="ListParagraph"/>
        <w:numPr>
          <w:ilvl w:val="0"/>
          <w:numId w:val="2"/>
        </w:numPr>
        <w:spacing w:after="120"/>
        <w:jc w:val="both"/>
        <w:rPr>
          <w:rFonts w:ascii="Times New Roman" w:hAnsi="Times New Roman"/>
          <w:sz w:val="24"/>
          <w:szCs w:val="24"/>
        </w:rPr>
      </w:pPr>
      <w:r w:rsidRPr="00A87849">
        <w:rPr>
          <w:rFonts w:ascii="Times New Roman" w:hAnsi="Times New Roman"/>
          <w:sz w:val="24"/>
        </w:rPr>
        <w:t>Inštitúcie zverejňujú informácie uvedené</w:t>
      </w:r>
      <w:r w:rsidR="00A87849">
        <w:rPr>
          <w:rFonts w:ascii="Times New Roman" w:hAnsi="Times New Roman"/>
          <w:sz w:val="24"/>
        </w:rPr>
        <w:t xml:space="preserve"> v </w:t>
      </w:r>
      <w:r w:rsidRPr="00A87849">
        <w:rPr>
          <w:rFonts w:ascii="Times New Roman" w:hAnsi="Times New Roman"/>
          <w:sz w:val="24"/>
        </w:rPr>
        <w:t xml:space="preserve">článku 452 písm. a) až f) nariadenia (EÚ) </w:t>
      </w:r>
      <w:r w:rsidR="00A87849">
        <w:rPr>
          <w:rFonts w:ascii="Times New Roman" w:hAnsi="Times New Roman"/>
          <w:sz w:val="24"/>
        </w:rPr>
        <w:t>č. </w:t>
      </w:r>
      <w:r w:rsidRPr="00A87849">
        <w:rPr>
          <w:rFonts w:ascii="Times New Roman" w:hAnsi="Times New Roman"/>
          <w:sz w:val="24"/>
        </w:rPr>
        <w:t>575/2013</w:t>
      </w:r>
      <w:r w:rsidRPr="00A87849">
        <w:rPr>
          <w:rStyle w:val="FootnoteReference"/>
          <w:rFonts w:ascii="Times New Roman" w:hAnsi="Times New Roman"/>
        </w:rPr>
        <w:footnoteReference w:id="1"/>
      </w:r>
      <w:r w:rsidRPr="00A87849">
        <w:rPr>
          <w:rFonts w:ascii="Times New Roman" w:hAnsi="Times New Roman"/>
          <w:sz w:val="24"/>
        </w:rPr>
        <w:t xml:space="preserve"> („CRR“) podľa pokynov uvedených nižšie</w:t>
      </w:r>
      <w:r w:rsidR="00A87849">
        <w:rPr>
          <w:rFonts w:ascii="Times New Roman" w:hAnsi="Times New Roman"/>
          <w:sz w:val="24"/>
        </w:rPr>
        <w:t xml:space="preserve"> v </w:t>
      </w:r>
      <w:r w:rsidRPr="00A87849">
        <w:rPr>
          <w:rFonts w:ascii="Times New Roman" w:hAnsi="Times New Roman"/>
          <w:sz w:val="24"/>
        </w:rPr>
        <w:t>tejto prílohe</w:t>
      </w:r>
      <w:r w:rsidR="00A87849">
        <w:rPr>
          <w:rFonts w:ascii="Times New Roman" w:hAnsi="Times New Roman"/>
          <w:sz w:val="24"/>
        </w:rPr>
        <w:t xml:space="preserve"> s </w:t>
      </w:r>
      <w:r w:rsidRPr="00A87849">
        <w:rPr>
          <w:rFonts w:ascii="Times New Roman" w:hAnsi="Times New Roman"/>
          <w:sz w:val="24"/>
        </w:rPr>
        <w:t>cieľom vyplniť tabuľku EU CRE, ktorá je uvedená</w:t>
      </w:r>
      <w:r w:rsidR="00A87849">
        <w:rPr>
          <w:rFonts w:ascii="Times New Roman" w:hAnsi="Times New Roman"/>
          <w:sz w:val="24"/>
        </w:rPr>
        <w:t xml:space="preserve"> v </w:t>
      </w:r>
      <w:r w:rsidRPr="00A87849">
        <w:rPr>
          <w:rFonts w:ascii="Times New Roman" w:hAnsi="Times New Roman"/>
          <w:sz w:val="24"/>
        </w:rPr>
        <w:t>prílohe XXI dokumentu</w:t>
      </w:r>
      <w:r w:rsidR="00A87849">
        <w:rPr>
          <w:rFonts w:ascii="Times New Roman" w:hAnsi="Times New Roman"/>
          <w:sz w:val="24"/>
        </w:rPr>
        <w:t xml:space="preserve"> s </w:t>
      </w:r>
      <w:r w:rsidRPr="00A87849">
        <w:rPr>
          <w:rFonts w:ascii="Times New Roman" w:hAnsi="Times New Roman"/>
          <w:sz w:val="24"/>
        </w:rPr>
        <w:t>IT riešeniami orgánu EBA.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A87849"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A87849" w:rsidRDefault="00087388" w:rsidP="00725D4D">
            <w:pPr>
              <w:autoSpaceDE w:val="0"/>
              <w:autoSpaceDN w:val="0"/>
              <w:adjustRightInd w:val="0"/>
              <w:spacing w:after="120"/>
              <w:rPr>
                <w:rFonts w:ascii="Times New Roman" w:hAnsi="Times New Roman" w:cs="Times New Roman"/>
                <w:b/>
                <w:sz w:val="24"/>
              </w:rPr>
            </w:pPr>
            <w:r w:rsidRPr="00A87849">
              <w:rPr>
                <w:rFonts w:ascii="Times New Roman" w:hAnsi="Times New Roman"/>
                <w:b/>
                <w:sz w:val="24"/>
              </w:rPr>
              <w:t>Odkaz na riadok</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643028F0" w:rsidR="00087388" w:rsidRPr="00A87849" w:rsidRDefault="00087388" w:rsidP="00725D4D">
            <w:pPr>
              <w:spacing w:after="120"/>
              <w:rPr>
                <w:rFonts w:ascii="Times New Roman" w:hAnsi="Times New Roman" w:cs="Times New Roman"/>
                <w:b/>
                <w:sz w:val="24"/>
              </w:rPr>
            </w:pPr>
            <w:r w:rsidRPr="00A87849">
              <w:rPr>
                <w:rFonts w:ascii="Times New Roman" w:hAnsi="Times New Roman"/>
                <w:b/>
                <w:sz w:val="24"/>
              </w:rPr>
              <w:t>Odkazy na právne predpisy</w:t>
            </w:r>
            <w:r w:rsidR="00A87849">
              <w:rPr>
                <w:rFonts w:ascii="Times New Roman" w:hAnsi="Times New Roman"/>
                <w:b/>
                <w:sz w:val="24"/>
              </w:rPr>
              <w:t xml:space="preserve"> a </w:t>
            </w:r>
            <w:r w:rsidRPr="00A87849">
              <w:rPr>
                <w:rFonts w:ascii="Times New Roman" w:hAnsi="Times New Roman"/>
                <w:b/>
                <w:sz w:val="24"/>
              </w:rPr>
              <w:t>pokyny</w:t>
            </w:r>
          </w:p>
        </w:tc>
      </w:tr>
      <w:tr w:rsidR="00087388" w:rsidRPr="00A87849"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A87849"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A87849" w:rsidRDefault="00087388" w:rsidP="00725D4D">
            <w:pPr>
              <w:spacing w:after="120"/>
              <w:rPr>
                <w:rFonts w:ascii="Times New Roman" w:hAnsi="Times New Roman" w:cs="Times New Roman"/>
                <w:b/>
                <w:sz w:val="24"/>
              </w:rPr>
            </w:pPr>
            <w:r w:rsidRPr="00A87849">
              <w:rPr>
                <w:rFonts w:ascii="Times New Roman" w:hAnsi="Times New Roman"/>
                <w:b/>
                <w:sz w:val="24"/>
              </w:rPr>
              <w:t>Vysvetlenie</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87388" w:rsidRPr="00A87849"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A87849" w:rsidRDefault="00087388" w:rsidP="00725D4D">
            <w:pPr>
              <w:spacing w:after="120"/>
              <w:jc w:val="both"/>
              <w:rPr>
                <w:rFonts w:ascii="Times New Roman" w:hAnsi="Times New Roman" w:cs="Times New Roman"/>
                <w:sz w:val="24"/>
                <w:lang w:val="sk-SK"/>
              </w:rPr>
            </w:pPr>
            <w:r w:rsidRPr="00A87849">
              <w:rPr>
                <w:rFonts w:ascii="Times New Roman" w:hAnsi="Times New Roman"/>
                <w:sz w:val="24"/>
                <w:lang w:val="sk-SK"/>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5BD278E" w:rsidR="00087388" w:rsidRPr="00A87849" w:rsidRDefault="00087388" w:rsidP="63E31B68">
            <w:pPr>
              <w:spacing w:after="120"/>
              <w:jc w:val="both"/>
              <w:rPr>
                <w:rFonts w:ascii="Times New Roman" w:hAnsi="Times New Roman" w:cs="Times New Roman"/>
                <w:sz w:val="24"/>
                <w:lang w:val="sk-SK"/>
              </w:rPr>
            </w:pPr>
            <w:r w:rsidRPr="00A87849">
              <w:rPr>
                <w:rFonts w:ascii="Times New Roman" w:hAnsi="Times New Roman"/>
                <w:sz w:val="24"/>
                <w:lang w:val="sk-SK"/>
              </w:rPr>
              <w:t xml:space="preserve"> Článok 452 písm. a)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510C6E1C" w:rsidR="00087388" w:rsidRPr="00A87849" w:rsidRDefault="00087388" w:rsidP="11F50173">
            <w:pPr>
              <w:spacing w:after="120"/>
              <w:jc w:val="both"/>
              <w:rPr>
                <w:rFonts w:ascii="Times New Roman" w:hAnsi="Times New Roman" w:cs="Times New Roman"/>
                <w:sz w:val="24"/>
                <w:lang w:val="sk-SK"/>
              </w:rPr>
            </w:pPr>
            <w:r w:rsidRPr="00A87849">
              <w:rPr>
                <w:rFonts w:ascii="Times New Roman" w:hAnsi="Times New Roman"/>
                <w:sz w:val="24"/>
                <w:lang w:val="sk-SK"/>
              </w:rPr>
              <w:t>Inštitúcie pri zverejňovaní informácií</w:t>
            </w:r>
            <w:r w:rsidR="00A87849">
              <w:rPr>
                <w:rFonts w:ascii="Times New Roman" w:hAnsi="Times New Roman"/>
                <w:sz w:val="24"/>
                <w:lang w:val="sk-SK"/>
              </w:rPr>
              <w:t xml:space="preserve"> o </w:t>
            </w:r>
            <w:r w:rsidRPr="00A87849">
              <w:rPr>
                <w:rFonts w:ascii="Times New Roman" w:hAnsi="Times New Roman"/>
                <w:sz w:val="24"/>
                <w:lang w:val="sk-SK"/>
              </w:rPr>
              <w:t>rozsahu povolenia prístupu alebo odsúhlaseného prechodu zo strany príslušného orgánu</w:t>
            </w:r>
            <w:r w:rsidR="00A87849">
              <w:rPr>
                <w:rFonts w:ascii="Times New Roman" w:hAnsi="Times New Roman"/>
                <w:sz w:val="24"/>
                <w:lang w:val="sk-SK"/>
              </w:rPr>
              <w:t xml:space="preserve"> v </w:t>
            </w:r>
            <w:r w:rsidRPr="00A87849">
              <w:rPr>
                <w:rFonts w:ascii="Times New Roman" w:hAnsi="Times New Roman"/>
                <w:sz w:val="24"/>
                <w:lang w:val="sk-SK"/>
              </w:rPr>
              <w:t>súlade</w:t>
            </w:r>
            <w:r w:rsidR="00A87849">
              <w:rPr>
                <w:rFonts w:ascii="Times New Roman" w:hAnsi="Times New Roman"/>
                <w:sz w:val="24"/>
                <w:lang w:val="sk-SK"/>
              </w:rPr>
              <w:t xml:space="preserve"> s </w:t>
            </w:r>
            <w:r w:rsidRPr="00A87849">
              <w:rPr>
                <w:rFonts w:ascii="Times New Roman" w:hAnsi="Times New Roman"/>
                <w:sz w:val="24"/>
                <w:lang w:val="sk-SK"/>
              </w:rPr>
              <w:t xml:space="preserve">článkom 452 písm. a) nariadenia (EÚ) </w:t>
            </w:r>
            <w:r w:rsidR="00A87849">
              <w:rPr>
                <w:rFonts w:ascii="Times New Roman" w:hAnsi="Times New Roman"/>
                <w:sz w:val="24"/>
                <w:lang w:val="sk-SK"/>
              </w:rPr>
              <w:t>č. </w:t>
            </w:r>
            <w:r w:rsidRPr="00A87849">
              <w:rPr>
                <w:rFonts w:ascii="Times New Roman" w:hAnsi="Times New Roman"/>
                <w:sz w:val="24"/>
                <w:lang w:val="sk-SK"/>
              </w:rPr>
              <w:t>575/2013 opisujú hlavné charakteristické znaky ratingových systémov používaných</w:t>
            </w:r>
            <w:r w:rsidR="00A87849">
              <w:rPr>
                <w:rFonts w:ascii="Times New Roman" w:hAnsi="Times New Roman"/>
                <w:sz w:val="24"/>
                <w:lang w:val="sk-SK"/>
              </w:rPr>
              <w:t xml:space="preserve"> v </w:t>
            </w:r>
            <w:r w:rsidRPr="00A87849">
              <w:rPr>
                <w:rFonts w:ascii="Times New Roman" w:hAnsi="Times New Roman"/>
                <w:sz w:val="24"/>
                <w:lang w:val="sk-SK"/>
              </w:rPr>
              <w:t>rámci prístupu IRB, pre ktoré príslušný orgán udelil povolenie,</w:t>
            </w:r>
            <w:r w:rsidR="00A87849">
              <w:rPr>
                <w:rFonts w:ascii="Times New Roman" w:hAnsi="Times New Roman"/>
                <w:sz w:val="24"/>
                <w:lang w:val="sk-SK"/>
              </w:rPr>
              <w:t xml:space="preserve"> a </w:t>
            </w:r>
            <w:r w:rsidRPr="00A87849">
              <w:rPr>
                <w:rFonts w:ascii="Times New Roman" w:hAnsi="Times New Roman"/>
                <w:sz w:val="24"/>
                <w:lang w:val="sk-SK"/>
              </w:rPr>
              <w:t>druhy expozícií, na ktoré sa tieto ratingové systémy vzťahujú. Inštitúcie opisujú aj druhy expozícií, pre ktoré majú povolenie uplatňovať trvalé čiastočné používanie štandardizovaného prístupu</w:t>
            </w:r>
            <w:r w:rsidR="00A87849">
              <w:rPr>
                <w:rFonts w:ascii="Times New Roman" w:hAnsi="Times New Roman"/>
                <w:sz w:val="24"/>
                <w:lang w:val="sk-SK"/>
              </w:rPr>
              <w:t xml:space="preserve"> v </w:t>
            </w:r>
            <w:r w:rsidRPr="00A87849">
              <w:rPr>
                <w:rFonts w:ascii="Times New Roman" w:hAnsi="Times New Roman"/>
                <w:sz w:val="24"/>
                <w:lang w:val="sk-SK"/>
              </w:rPr>
              <w:t>súlade</w:t>
            </w:r>
            <w:r w:rsidR="00A87849">
              <w:rPr>
                <w:rFonts w:ascii="Times New Roman" w:hAnsi="Times New Roman"/>
                <w:sz w:val="24"/>
                <w:lang w:val="sk-SK"/>
              </w:rPr>
              <w:t xml:space="preserve"> s </w:t>
            </w:r>
            <w:r w:rsidRPr="00A87849">
              <w:rPr>
                <w:rFonts w:ascii="Times New Roman" w:hAnsi="Times New Roman"/>
                <w:sz w:val="24"/>
                <w:lang w:val="sk-SK"/>
              </w:rPr>
              <w:t xml:space="preserve">článkom 150 nariadenia (EÚ) </w:t>
            </w:r>
            <w:r w:rsidR="00A87849">
              <w:rPr>
                <w:rFonts w:ascii="Times New Roman" w:hAnsi="Times New Roman"/>
                <w:sz w:val="24"/>
                <w:lang w:val="sk-SK"/>
              </w:rPr>
              <w:t>č. </w:t>
            </w:r>
            <w:r w:rsidRPr="00A87849">
              <w:rPr>
                <w:rFonts w:ascii="Times New Roman" w:hAnsi="Times New Roman"/>
                <w:sz w:val="24"/>
                <w:lang w:val="sk-SK"/>
              </w:rPr>
              <w:t>575/2013</w:t>
            </w:r>
            <w:r w:rsidR="00A87849">
              <w:rPr>
                <w:rFonts w:ascii="Times New Roman" w:hAnsi="Times New Roman"/>
                <w:sz w:val="24"/>
                <w:lang w:val="sk-SK"/>
              </w:rPr>
              <w:t xml:space="preserve"> a </w:t>
            </w:r>
            <w:r w:rsidRPr="00A87849">
              <w:rPr>
                <w:rFonts w:ascii="Times New Roman" w:hAnsi="Times New Roman"/>
                <w:sz w:val="24"/>
                <w:lang w:val="sk-SK"/>
              </w:rPr>
              <w:t>ktoré sú zahrnuté do ich plánov zavádzania prístupu IRB</w:t>
            </w:r>
            <w:r w:rsidR="00A87849">
              <w:rPr>
                <w:rFonts w:ascii="Times New Roman" w:hAnsi="Times New Roman"/>
                <w:sz w:val="24"/>
                <w:lang w:val="sk-SK"/>
              </w:rPr>
              <w:t xml:space="preserve"> v </w:t>
            </w:r>
            <w:r w:rsidRPr="00A87849">
              <w:rPr>
                <w:rFonts w:ascii="Times New Roman" w:hAnsi="Times New Roman"/>
                <w:sz w:val="24"/>
                <w:lang w:val="sk-SK"/>
              </w:rPr>
              <w:t>súlade</w:t>
            </w:r>
            <w:r w:rsidR="00A87849">
              <w:rPr>
                <w:rFonts w:ascii="Times New Roman" w:hAnsi="Times New Roman"/>
                <w:sz w:val="24"/>
                <w:lang w:val="sk-SK"/>
              </w:rPr>
              <w:t xml:space="preserve"> s </w:t>
            </w:r>
            <w:r w:rsidRPr="00A87849">
              <w:rPr>
                <w:rFonts w:ascii="Times New Roman" w:hAnsi="Times New Roman"/>
                <w:sz w:val="24"/>
                <w:lang w:val="sk-SK"/>
              </w:rPr>
              <w:t xml:space="preserve">článkom 148 nariadenia (EÚ) </w:t>
            </w:r>
            <w:r w:rsidR="00A87849">
              <w:rPr>
                <w:rFonts w:ascii="Times New Roman" w:hAnsi="Times New Roman"/>
                <w:sz w:val="24"/>
                <w:lang w:val="sk-SK"/>
              </w:rPr>
              <w:t>č. </w:t>
            </w:r>
            <w:r w:rsidRPr="00A87849">
              <w:rPr>
                <w:rFonts w:ascii="Times New Roman" w:hAnsi="Times New Roman"/>
                <w:sz w:val="24"/>
                <w:lang w:val="sk-SK"/>
              </w:rPr>
              <w:t>575/2013. Opis sa poskytuje na úrovni skupiny.</w:t>
            </w:r>
          </w:p>
        </w:tc>
      </w:tr>
      <w:tr w:rsidR="00087388" w:rsidRPr="00A87849" w14:paraId="51935B2C" w14:textId="77777777" w:rsidTr="63E31B68">
        <w:trPr>
          <w:trHeight w:val="557"/>
        </w:trPr>
        <w:tc>
          <w:tcPr>
            <w:tcW w:w="1363" w:type="dxa"/>
            <w:vAlign w:val="top"/>
          </w:tcPr>
          <w:p w14:paraId="3715BE68" w14:textId="77777777" w:rsidR="00087388" w:rsidRPr="00A87849" w:rsidRDefault="00087388" w:rsidP="00725D4D">
            <w:pPr>
              <w:spacing w:after="120"/>
              <w:jc w:val="both"/>
              <w:rPr>
                <w:rFonts w:ascii="Times New Roman" w:hAnsi="Times New Roman" w:cs="Times New Roman"/>
                <w:sz w:val="24"/>
                <w:lang w:val="sk-SK"/>
              </w:rPr>
            </w:pPr>
            <w:r w:rsidRPr="00A87849">
              <w:rPr>
                <w:rFonts w:ascii="Times New Roman" w:hAnsi="Times New Roman"/>
                <w:sz w:val="24"/>
                <w:lang w:val="sk-SK"/>
              </w:rPr>
              <w:t>b)</w:t>
            </w:r>
          </w:p>
        </w:tc>
        <w:tc>
          <w:tcPr>
            <w:tcW w:w="1179" w:type="dxa"/>
          </w:tcPr>
          <w:p w14:paraId="33991CEF" w14:textId="024AE8C4" w:rsidR="00087388" w:rsidRPr="00A87849" w:rsidRDefault="00087388" w:rsidP="63E31B68">
            <w:pPr>
              <w:spacing w:after="120"/>
              <w:jc w:val="both"/>
              <w:rPr>
                <w:rFonts w:ascii="Times New Roman" w:hAnsi="Times New Roman" w:cs="Times New Roman"/>
                <w:sz w:val="24"/>
                <w:lang w:val="sk-SK"/>
              </w:rPr>
            </w:pPr>
            <w:r w:rsidRPr="00A87849">
              <w:rPr>
                <w:rFonts w:ascii="Times New Roman" w:hAnsi="Times New Roman"/>
                <w:sz w:val="24"/>
                <w:lang w:val="sk-SK"/>
              </w:rPr>
              <w:t xml:space="preserve"> Článok 452 písm. c) body i) až iv) CRR</w:t>
            </w:r>
          </w:p>
        </w:tc>
        <w:tc>
          <w:tcPr>
            <w:tcW w:w="7087" w:type="dxa"/>
          </w:tcPr>
          <w:p w14:paraId="4C89CDA0" w14:textId="3A8437AF" w:rsidR="00A87849" w:rsidRDefault="00087388" w:rsidP="00725D4D">
            <w:pPr>
              <w:spacing w:after="120"/>
              <w:jc w:val="both"/>
              <w:rPr>
                <w:rFonts w:ascii="Times New Roman" w:hAnsi="Times New Roman"/>
                <w:sz w:val="24"/>
                <w:lang w:val="sk-SK"/>
              </w:rPr>
            </w:pPr>
            <w:r w:rsidRPr="00A87849">
              <w:rPr>
                <w:rFonts w:ascii="Times New Roman" w:hAnsi="Times New Roman"/>
                <w:sz w:val="24"/>
                <w:lang w:val="sk-SK"/>
              </w:rPr>
              <w:t>Opis kontrolných mechanizmov pre ratingové systémy zahŕňa odhad rizikových parametrov vrátane vývoja</w:t>
            </w:r>
            <w:r w:rsidR="00A87849">
              <w:rPr>
                <w:rFonts w:ascii="Times New Roman" w:hAnsi="Times New Roman"/>
                <w:sz w:val="24"/>
                <w:lang w:val="sk-SK"/>
              </w:rPr>
              <w:t xml:space="preserve"> a </w:t>
            </w:r>
            <w:r w:rsidRPr="00A87849">
              <w:rPr>
                <w:rFonts w:ascii="Times New Roman" w:hAnsi="Times New Roman"/>
                <w:sz w:val="24"/>
                <w:lang w:val="sk-SK"/>
              </w:rPr>
              <w:t>kalibrácie interných modelov, ako aj kontroly pri uplatňovaní modelov</w:t>
            </w:r>
            <w:r w:rsidR="00A87849">
              <w:rPr>
                <w:rFonts w:ascii="Times New Roman" w:hAnsi="Times New Roman"/>
                <w:sz w:val="24"/>
                <w:lang w:val="sk-SK"/>
              </w:rPr>
              <w:t xml:space="preserve"> a </w:t>
            </w:r>
            <w:r w:rsidRPr="00A87849">
              <w:rPr>
                <w:rFonts w:ascii="Times New Roman" w:hAnsi="Times New Roman"/>
                <w:sz w:val="24"/>
                <w:lang w:val="sk-SK"/>
              </w:rPr>
              <w:t>zmeny ratingových systémov</w:t>
            </w:r>
            <w:r w:rsidR="00A87849">
              <w:rPr>
                <w:rFonts w:ascii="Times New Roman" w:hAnsi="Times New Roman"/>
                <w:sz w:val="24"/>
                <w:lang w:val="sk-SK"/>
              </w:rPr>
              <w:t>.</w:t>
            </w:r>
          </w:p>
          <w:p w14:paraId="4D8089BD" w14:textId="5D157B32" w:rsidR="00087388" w:rsidRPr="00A87849" w:rsidRDefault="00087388" w:rsidP="11F50173">
            <w:pPr>
              <w:spacing w:after="120"/>
              <w:jc w:val="both"/>
              <w:rPr>
                <w:rFonts w:ascii="Times New Roman" w:hAnsi="Times New Roman" w:cs="Times New Roman"/>
                <w:sz w:val="24"/>
                <w:lang w:val="sk-SK"/>
              </w:rPr>
            </w:pPr>
            <w:r w:rsidRPr="00A87849">
              <w:rPr>
                <w:rFonts w:ascii="Times New Roman" w:hAnsi="Times New Roman"/>
                <w:sz w:val="24"/>
                <w:lang w:val="sk-SK"/>
              </w:rPr>
              <w:t>V súlade</w:t>
            </w:r>
            <w:r w:rsidR="00A87849">
              <w:rPr>
                <w:rFonts w:ascii="Times New Roman" w:hAnsi="Times New Roman"/>
                <w:sz w:val="24"/>
                <w:lang w:val="sk-SK"/>
              </w:rPr>
              <w:t xml:space="preserve"> s </w:t>
            </w:r>
            <w:r w:rsidRPr="00A87849">
              <w:rPr>
                <w:rFonts w:ascii="Times New Roman" w:hAnsi="Times New Roman"/>
                <w:sz w:val="24"/>
                <w:lang w:val="sk-SK"/>
              </w:rPr>
              <w:t xml:space="preserve">článkom 452 písm. c) bodmi i) až iv) nariadenia (EÚ) </w:t>
            </w:r>
            <w:r w:rsidR="00A87849">
              <w:rPr>
                <w:rFonts w:ascii="Times New Roman" w:hAnsi="Times New Roman"/>
                <w:sz w:val="24"/>
                <w:lang w:val="sk-SK"/>
              </w:rPr>
              <w:t>č. </w:t>
            </w:r>
            <w:r w:rsidRPr="00A87849">
              <w:rPr>
                <w:rFonts w:ascii="Times New Roman" w:hAnsi="Times New Roman"/>
                <w:sz w:val="24"/>
                <w:lang w:val="sk-SK"/>
              </w:rPr>
              <w:t>575/2013 opis úlohy pracovníkov</w:t>
            </w:r>
            <w:r w:rsidR="00A87849">
              <w:rPr>
                <w:rFonts w:ascii="Times New Roman" w:hAnsi="Times New Roman"/>
                <w:sz w:val="24"/>
                <w:lang w:val="sk-SK"/>
              </w:rPr>
              <w:t xml:space="preserve"> v </w:t>
            </w:r>
            <w:r w:rsidRPr="00A87849">
              <w:rPr>
                <w:rFonts w:ascii="Times New Roman" w:hAnsi="Times New Roman"/>
                <w:sz w:val="24"/>
                <w:lang w:val="sk-SK"/>
              </w:rPr>
              <w:t>uvedených funkciách zahŕňa aj:</w:t>
            </w:r>
          </w:p>
          <w:p w14:paraId="0249AA5F" w14:textId="5C05203B" w:rsidR="00A87849" w:rsidRDefault="00087388" w:rsidP="00087388">
            <w:pPr>
              <w:pStyle w:val="ListParagraph"/>
              <w:numPr>
                <w:ilvl w:val="0"/>
                <w:numId w:val="1"/>
              </w:numPr>
              <w:spacing w:after="120"/>
              <w:jc w:val="both"/>
              <w:rPr>
                <w:rFonts w:ascii="Times New Roman" w:hAnsi="Times New Roman"/>
                <w:sz w:val="24"/>
                <w:lang w:val="sk-SK"/>
              </w:rPr>
            </w:pPr>
            <w:r w:rsidRPr="00A87849">
              <w:rPr>
                <w:rFonts w:ascii="Times New Roman" w:hAnsi="Times New Roman"/>
                <w:sz w:val="24"/>
                <w:lang w:val="sk-SK"/>
              </w:rPr>
              <w:t>vzťahy medzi funkciou riadenia rizika</w:t>
            </w:r>
            <w:r w:rsidR="00A87849">
              <w:rPr>
                <w:rFonts w:ascii="Times New Roman" w:hAnsi="Times New Roman"/>
                <w:sz w:val="24"/>
                <w:lang w:val="sk-SK"/>
              </w:rPr>
              <w:t xml:space="preserve"> a </w:t>
            </w:r>
            <w:r w:rsidRPr="00A87849">
              <w:rPr>
                <w:rFonts w:ascii="Times New Roman" w:hAnsi="Times New Roman"/>
                <w:sz w:val="24"/>
                <w:lang w:val="sk-SK"/>
              </w:rPr>
              <w:t>funkciou interného auditu</w:t>
            </w:r>
            <w:r w:rsidR="00A87849">
              <w:rPr>
                <w:rFonts w:ascii="Times New Roman" w:hAnsi="Times New Roman"/>
                <w:sz w:val="24"/>
                <w:lang w:val="sk-SK"/>
              </w:rPr>
              <w:t>;</w:t>
            </w:r>
          </w:p>
          <w:p w14:paraId="78F8FB22" w14:textId="2FBFC56C" w:rsidR="00A87849" w:rsidRDefault="00087388" w:rsidP="00087388">
            <w:pPr>
              <w:pStyle w:val="ListParagraph"/>
              <w:numPr>
                <w:ilvl w:val="0"/>
                <w:numId w:val="1"/>
              </w:numPr>
              <w:spacing w:after="120"/>
              <w:jc w:val="both"/>
              <w:rPr>
                <w:rFonts w:ascii="Times New Roman" w:hAnsi="Times New Roman"/>
                <w:sz w:val="24"/>
                <w:lang w:val="sk-SK"/>
              </w:rPr>
            </w:pPr>
            <w:r w:rsidRPr="00A87849">
              <w:rPr>
                <w:rFonts w:ascii="Times New Roman" w:hAnsi="Times New Roman"/>
                <w:sz w:val="24"/>
                <w:lang w:val="sk-SK"/>
              </w:rPr>
              <w:t>postupy</w:t>
            </w:r>
            <w:r w:rsidR="00A87849">
              <w:rPr>
                <w:rFonts w:ascii="Times New Roman" w:hAnsi="Times New Roman"/>
                <w:sz w:val="24"/>
                <w:lang w:val="sk-SK"/>
              </w:rPr>
              <w:t xml:space="preserve"> a </w:t>
            </w:r>
            <w:r w:rsidRPr="00A87849">
              <w:rPr>
                <w:rFonts w:ascii="Times New Roman" w:hAnsi="Times New Roman"/>
                <w:sz w:val="24"/>
                <w:lang w:val="sk-SK"/>
              </w:rPr>
              <w:t>metódy preskúmania ratingových systémov vrátane pravidelných revízií odhadov</w:t>
            </w:r>
            <w:r w:rsidR="00A87849">
              <w:rPr>
                <w:rFonts w:ascii="Times New Roman" w:hAnsi="Times New Roman"/>
                <w:sz w:val="24"/>
                <w:lang w:val="sk-SK"/>
              </w:rPr>
              <w:t xml:space="preserve"> v </w:t>
            </w:r>
            <w:r w:rsidRPr="00A87849">
              <w:rPr>
                <w:rFonts w:ascii="Times New Roman" w:hAnsi="Times New Roman"/>
                <w:sz w:val="24"/>
                <w:lang w:val="sk-SK"/>
              </w:rPr>
              <w:t>súlade</w:t>
            </w:r>
            <w:r w:rsidR="00A87849">
              <w:rPr>
                <w:rFonts w:ascii="Times New Roman" w:hAnsi="Times New Roman"/>
                <w:sz w:val="24"/>
                <w:lang w:val="sk-SK"/>
              </w:rPr>
              <w:t xml:space="preserve"> s </w:t>
            </w:r>
            <w:r w:rsidRPr="00A87849">
              <w:rPr>
                <w:rFonts w:ascii="Times New Roman" w:hAnsi="Times New Roman"/>
                <w:sz w:val="24"/>
                <w:lang w:val="sk-SK"/>
              </w:rPr>
              <w:t xml:space="preserve">článkom 179 ods. 1 písm. c) nariadenia (EÚ) </w:t>
            </w:r>
            <w:r w:rsidR="00A87849">
              <w:rPr>
                <w:rFonts w:ascii="Times New Roman" w:hAnsi="Times New Roman"/>
                <w:sz w:val="24"/>
                <w:lang w:val="sk-SK"/>
              </w:rPr>
              <w:t>č. </w:t>
            </w:r>
            <w:r w:rsidRPr="00A87849">
              <w:rPr>
                <w:rFonts w:ascii="Times New Roman" w:hAnsi="Times New Roman"/>
                <w:sz w:val="24"/>
                <w:lang w:val="sk-SK"/>
              </w:rPr>
              <w:t>575/2013</w:t>
            </w:r>
            <w:r w:rsidR="00A87849">
              <w:rPr>
                <w:rFonts w:ascii="Times New Roman" w:hAnsi="Times New Roman"/>
                <w:lang w:val="sk-SK"/>
              </w:rPr>
              <w:t xml:space="preserve"> a </w:t>
            </w:r>
            <w:r w:rsidRPr="00A87849">
              <w:rPr>
                <w:rFonts w:ascii="Times New Roman" w:hAnsi="Times New Roman"/>
                <w:sz w:val="24"/>
                <w:lang w:val="sk-SK"/>
              </w:rPr>
              <w:t>validácií</w:t>
            </w:r>
            <w:r w:rsidR="00A87849">
              <w:rPr>
                <w:rFonts w:ascii="Times New Roman" w:hAnsi="Times New Roman"/>
                <w:sz w:val="24"/>
                <w:lang w:val="sk-SK"/>
              </w:rPr>
              <w:t>;</w:t>
            </w:r>
          </w:p>
          <w:p w14:paraId="2EB56AED" w14:textId="2A187713" w:rsidR="00A87849" w:rsidRDefault="00087388" w:rsidP="00087388">
            <w:pPr>
              <w:pStyle w:val="ListParagraph"/>
              <w:numPr>
                <w:ilvl w:val="0"/>
                <w:numId w:val="1"/>
              </w:numPr>
              <w:spacing w:after="120"/>
              <w:jc w:val="both"/>
              <w:rPr>
                <w:rFonts w:ascii="Times New Roman" w:hAnsi="Times New Roman"/>
                <w:sz w:val="24"/>
                <w:lang w:val="sk-SK"/>
              </w:rPr>
            </w:pPr>
            <w:r w:rsidRPr="00A87849">
              <w:rPr>
                <w:rFonts w:ascii="Times New Roman" w:hAnsi="Times New Roman"/>
                <w:sz w:val="24"/>
                <w:lang w:val="sk-SK"/>
              </w:rPr>
              <w:t>postupy</w:t>
            </w:r>
            <w:r w:rsidR="00A87849">
              <w:rPr>
                <w:rFonts w:ascii="Times New Roman" w:hAnsi="Times New Roman"/>
                <w:sz w:val="24"/>
                <w:lang w:val="sk-SK"/>
              </w:rPr>
              <w:t xml:space="preserve"> a </w:t>
            </w:r>
            <w:r w:rsidRPr="00A87849">
              <w:rPr>
                <w:rFonts w:ascii="Times New Roman" w:hAnsi="Times New Roman"/>
                <w:sz w:val="24"/>
                <w:lang w:val="sk-SK"/>
              </w:rPr>
              <w:t>organizačné opatrenia na zabezpečenie nezávislosti pracovníka povereného preskúmaním modelov (validačný pracovník) od pracovníkov zodpovedných za vývoj</w:t>
            </w:r>
            <w:r w:rsidR="00A87849">
              <w:rPr>
                <w:rFonts w:ascii="Times New Roman" w:hAnsi="Times New Roman"/>
                <w:sz w:val="24"/>
                <w:lang w:val="sk-SK"/>
              </w:rPr>
              <w:t xml:space="preserve"> a </w:t>
            </w:r>
            <w:r w:rsidRPr="00A87849">
              <w:rPr>
                <w:rFonts w:ascii="Times New Roman" w:hAnsi="Times New Roman"/>
                <w:sz w:val="24"/>
                <w:lang w:val="sk-SK"/>
              </w:rPr>
              <w:t>kalibráciu modelov</w:t>
            </w:r>
            <w:r w:rsidR="00A87849">
              <w:rPr>
                <w:rFonts w:ascii="Times New Roman" w:hAnsi="Times New Roman"/>
                <w:sz w:val="24"/>
                <w:lang w:val="sk-SK"/>
              </w:rPr>
              <w:t>;</w:t>
            </w:r>
          </w:p>
          <w:p w14:paraId="74A45581" w14:textId="274B86E0" w:rsidR="00087388" w:rsidRPr="00A87849" w:rsidRDefault="00087388" w:rsidP="00087388">
            <w:pPr>
              <w:pStyle w:val="ListParagraph"/>
              <w:numPr>
                <w:ilvl w:val="0"/>
                <w:numId w:val="1"/>
              </w:numPr>
              <w:spacing w:after="120"/>
              <w:jc w:val="both"/>
              <w:rPr>
                <w:rFonts w:ascii="Times New Roman" w:hAnsi="Times New Roman"/>
                <w:sz w:val="24"/>
                <w:szCs w:val="24"/>
                <w:lang w:val="sk-SK"/>
              </w:rPr>
            </w:pPr>
            <w:r w:rsidRPr="00A87849">
              <w:rPr>
                <w:rFonts w:ascii="Times New Roman" w:hAnsi="Times New Roman"/>
                <w:sz w:val="24"/>
                <w:lang w:val="sk-SK"/>
              </w:rPr>
              <w:t>postup zabezpečenia zodpovednosti pracovníkov poverených vývojom</w:t>
            </w:r>
            <w:r w:rsidR="00A87849">
              <w:rPr>
                <w:rFonts w:ascii="Times New Roman" w:hAnsi="Times New Roman"/>
                <w:sz w:val="24"/>
                <w:lang w:val="sk-SK"/>
              </w:rPr>
              <w:t xml:space="preserve"> a </w:t>
            </w:r>
            <w:r w:rsidRPr="00A87849">
              <w:rPr>
                <w:rFonts w:ascii="Times New Roman" w:hAnsi="Times New Roman"/>
                <w:sz w:val="24"/>
                <w:lang w:val="sk-SK"/>
              </w:rPr>
              <w:t>preskúmaním modelov.</w:t>
            </w:r>
          </w:p>
        </w:tc>
      </w:tr>
      <w:tr w:rsidR="00344A92" w:rsidRPr="00A87849" w:rsidDel="00915DC9" w14:paraId="4E1160C1" w14:textId="77777777" w:rsidTr="63E31B68">
        <w:trPr>
          <w:trHeight w:val="973"/>
        </w:trPr>
        <w:tc>
          <w:tcPr>
            <w:tcW w:w="1363" w:type="dxa"/>
            <w:vAlign w:val="top"/>
          </w:tcPr>
          <w:p w14:paraId="0F95AF50" w14:textId="77777777" w:rsidR="00087388" w:rsidRPr="00A87849" w:rsidRDefault="00087388" w:rsidP="00725D4D">
            <w:pPr>
              <w:spacing w:after="120"/>
              <w:jc w:val="both"/>
              <w:rPr>
                <w:rFonts w:ascii="Times New Roman" w:hAnsi="Times New Roman" w:cs="Times New Roman"/>
                <w:sz w:val="24"/>
                <w:lang w:val="sk-SK"/>
              </w:rPr>
            </w:pPr>
            <w:r w:rsidRPr="00A87849">
              <w:rPr>
                <w:rFonts w:ascii="Times New Roman" w:hAnsi="Times New Roman"/>
                <w:sz w:val="24"/>
                <w:lang w:val="sk-SK"/>
              </w:rPr>
              <w:lastRenderedPageBreak/>
              <w:t>c)</w:t>
            </w:r>
          </w:p>
        </w:tc>
        <w:tc>
          <w:tcPr>
            <w:tcW w:w="1179" w:type="dxa"/>
          </w:tcPr>
          <w:p w14:paraId="4952FE1C" w14:textId="08E35EDB" w:rsidR="00087388" w:rsidRPr="00A87849" w:rsidRDefault="00087388" w:rsidP="63E31B68">
            <w:pPr>
              <w:spacing w:after="120"/>
              <w:jc w:val="both"/>
              <w:rPr>
                <w:rFonts w:ascii="Times New Roman" w:hAnsi="Times New Roman" w:cs="Times New Roman"/>
                <w:sz w:val="24"/>
                <w:lang w:val="sk-SK"/>
              </w:rPr>
            </w:pPr>
            <w:r w:rsidRPr="00A87849">
              <w:rPr>
                <w:rFonts w:ascii="Times New Roman" w:hAnsi="Times New Roman"/>
                <w:sz w:val="24"/>
                <w:lang w:val="sk-SK"/>
              </w:rPr>
              <w:t xml:space="preserve"> Článok 452 písm. d) CRR</w:t>
            </w:r>
          </w:p>
        </w:tc>
        <w:tc>
          <w:tcPr>
            <w:tcW w:w="7087" w:type="dxa"/>
          </w:tcPr>
          <w:p w14:paraId="5055C14F" w14:textId="707F1928" w:rsidR="00087388" w:rsidRPr="00A87849" w:rsidDel="00915DC9" w:rsidRDefault="00087388" w:rsidP="00725D4D">
            <w:pPr>
              <w:spacing w:after="120"/>
              <w:jc w:val="both"/>
              <w:rPr>
                <w:rFonts w:ascii="Times New Roman" w:hAnsi="Times New Roman" w:cs="Times New Roman"/>
                <w:sz w:val="24"/>
                <w:lang w:val="sk-SK"/>
              </w:rPr>
            </w:pPr>
            <w:r w:rsidRPr="00A87849">
              <w:rPr>
                <w:rFonts w:ascii="Times New Roman" w:hAnsi="Times New Roman"/>
                <w:sz w:val="24"/>
                <w:lang w:val="sk-SK"/>
              </w:rPr>
              <w:t>Inštitúcie špecifikujú úlohu týchto pracovníkov pri vývoji modelov, kalibrácii, schvaľovaní</w:t>
            </w:r>
            <w:r w:rsidR="00A87849">
              <w:rPr>
                <w:rFonts w:ascii="Times New Roman" w:hAnsi="Times New Roman"/>
                <w:sz w:val="24"/>
                <w:lang w:val="sk-SK"/>
              </w:rPr>
              <w:t xml:space="preserve"> a </w:t>
            </w:r>
            <w:r w:rsidRPr="00A87849">
              <w:rPr>
                <w:rFonts w:ascii="Times New Roman" w:hAnsi="Times New Roman"/>
                <w:sz w:val="24"/>
                <w:lang w:val="sk-SK"/>
              </w:rPr>
              <w:t>následných zmenách ratingových systémov.</w:t>
            </w:r>
          </w:p>
        </w:tc>
      </w:tr>
      <w:tr w:rsidR="00344A92" w:rsidRPr="00A87849" w14:paraId="570A3446" w14:textId="77777777" w:rsidTr="63E31B68">
        <w:trPr>
          <w:trHeight w:val="1265"/>
        </w:trPr>
        <w:tc>
          <w:tcPr>
            <w:tcW w:w="1363" w:type="dxa"/>
            <w:vAlign w:val="top"/>
          </w:tcPr>
          <w:p w14:paraId="6543C3DB" w14:textId="77777777" w:rsidR="00087388" w:rsidRPr="00A87849" w:rsidRDefault="00087388" w:rsidP="00725D4D">
            <w:pPr>
              <w:spacing w:after="120"/>
              <w:jc w:val="both"/>
              <w:rPr>
                <w:rFonts w:ascii="Times New Roman" w:hAnsi="Times New Roman" w:cs="Times New Roman"/>
                <w:sz w:val="24"/>
                <w:lang w:val="sk-SK"/>
              </w:rPr>
            </w:pPr>
            <w:r w:rsidRPr="00A87849">
              <w:rPr>
                <w:rFonts w:ascii="Times New Roman" w:hAnsi="Times New Roman"/>
                <w:sz w:val="24"/>
                <w:lang w:val="sk-SK"/>
              </w:rPr>
              <w:t>d)</w:t>
            </w:r>
          </w:p>
        </w:tc>
        <w:tc>
          <w:tcPr>
            <w:tcW w:w="1179" w:type="dxa"/>
          </w:tcPr>
          <w:p w14:paraId="21D15FC9" w14:textId="5BE178BF" w:rsidR="00087388" w:rsidRPr="00A87849" w:rsidRDefault="00087388" w:rsidP="63E31B68">
            <w:pPr>
              <w:spacing w:after="120"/>
              <w:jc w:val="both"/>
              <w:rPr>
                <w:rFonts w:ascii="Times New Roman" w:eastAsia="Times New Roman" w:hAnsi="Times New Roman" w:cs="Times New Roman"/>
                <w:sz w:val="24"/>
                <w:lang w:val="sk-SK"/>
              </w:rPr>
            </w:pPr>
            <w:r w:rsidRPr="00A87849">
              <w:rPr>
                <w:rFonts w:ascii="Times New Roman" w:hAnsi="Times New Roman"/>
                <w:sz w:val="24"/>
                <w:lang w:val="sk-SK"/>
              </w:rPr>
              <w:t>Článok 452 písm. e) CRR</w:t>
            </w:r>
          </w:p>
        </w:tc>
        <w:tc>
          <w:tcPr>
            <w:tcW w:w="7087" w:type="dxa"/>
          </w:tcPr>
          <w:p w14:paraId="08F33471" w14:textId="4D70E50D" w:rsidR="00087388" w:rsidRPr="00A87849" w:rsidRDefault="00087388" w:rsidP="11F50173">
            <w:pPr>
              <w:spacing w:after="120"/>
              <w:jc w:val="both"/>
              <w:rPr>
                <w:rFonts w:ascii="Times New Roman" w:hAnsi="Times New Roman" w:cs="Times New Roman"/>
                <w:sz w:val="24"/>
                <w:lang w:val="sk-SK"/>
              </w:rPr>
            </w:pPr>
            <w:r w:rsidRPr="00A87849">
              <w:rPr>
                <w:rFonts w:ascii="Times New Roman" w:hAnsi="Times New Roman"/>
                <w:sz w:val="24"/>
                <w:lang w:val="sk-SK"/>
              </w:rPr>
              <w:t>Inštitúcie zverejňujú rozsah</w:t>
            </w:r>
            <w:r w:rsidR="00A87849">
              <w:rPr>
                <w:rFonts w:ascii="Times New Roman" w:hAnsi="Times New Roman"/>
                <w:sz w:val="24"/>
                <w:lang w:val="sk-SK"/>
              </w:rPr>
              <w:t xml:space="preserve"> a </w:t>
            </w:r>
            <w:r w:rsidRPr="00A87849">
              <w:rPr>
                <w:rFonts w:ascii="Times New Roman" w:hAnsi="Times New Roman"/>
                <w:sz w:val="24"/>
                <w:lang w:val="sk-SK"/>
              </w:rPr>
              <w:t>hlavný obsah podávania správ zo strany manažmentu</w:t>
            </w:r>
            <w:r w:rsidR="00A87849">
              <w:rPr>
                <w:rFonts w:ascii="Times New Roman" w:hAnsi="Times New Roman"/>
                <w:sz w:val="24"/>
                <w:lang w:val="sk-SK"/>
              </w:rPr>
              <w:t xml:space="preserve"> v </w:t>
            </w:r>
            <w:r w:rsidRPr="00A87849">
              <w:rPr>
                <w:rFonts w:ascii="Times New Roman" w:hAnsi="Times New Roman"/>
                <w:sz w:val="24"/>
                <w:lang w:val="sk-SK"/>
              </w:rPr>
              <w:t>súvislosti</w:t>
            </w:r>
            <w:r w:rsidR="00A87849">
              <w:rPr>
                <w:rFonts w:ascii="Times New Roman" w:hAnsi="Times New Roman"/>
                <w:sz w:val="24"/>
                <w:lang w:val="sk-SK"/>
              </w:rPr>
              <w:t xml:space="preserve"> s </w:t>
            </w:r>
            <w:r w:rsidRPr="00A87849">
              <w:rPr>
                <w:rFonts w:ascii="Times New Roman" w:hAnsi="Times New Roman"/>
                <w:sz w:val="24"/>
                <w:lang w:val="sk-SK"/>
              </w:rPr>
              <w:t>modelmi IRB, ako sa uvádza</w:t>
            </w:r>
            <w:r w:rsidR="00A87849">
              <w:rPr>
                <w:rFonts w:ascii="Times New Roman" w:hAnsi="Times New Roman"/>
                <w:sz w:val="24"/>
                <w:lang w:val="sk-SK"/>
              </w:rPr>
              <w:t xml:space="preserve"> v </w:t>
            </w:r>
            <w:r w:rsidRPr="00A87849">
              <w:rPr>
                <w:rFonts w:ascii="Times New Roman" w:hAnsi="Times New Roman"/>
                <w:sz w:val="24"/>
                <w:lang w:val="sk-SK"/>
              </w:rPr>
              <w:t xml:space="preserve">článku 189 nariadenia (EÚ) </w:t>
            </w:r>
            <w:r w:rsidR="00A87849">
              <w:rPr>
                <w:rFonts w:ascii="Times New Roman" w:hAnsi="Times New Roman"/>
                <w:sz w:val="24"/>
                <w:lang w:val="sk-SK"/>
              </w:rPr>
              <w:t>č. </w:t>
            </w:r>
            <w:r w:rsidRPr="00A87849">
              <w:rPr>
                <w:rFonts w:ascii="Times New Roman" w:hAnsi="Times New Roman"/>
                <w:sz w:val="24"/>
                <w:lang w:val="sk-SK"/>
              </w:rPr>
              <w:t>575/2013, ako aj adresátov</w:t>
            </w:r>
            <w:r w:rsidR="00A87849">
              <w:rPr>
                <w:rFonts w:ascii="Times New Roman" w:hAnsi="Times New Roman"/>
                <w:sz w:val="24"/>
                <w:lang w:val="sk-SK"/>
              </w:rPr>
              <w:t xml:space="preserve"> a </w:t>
            </w:r>
            <w:r w:rsidRPr="00A87849">
              <w:rPr>
                <w:rFonts w:ascii="Times New Roman" w:hAnsi="Times New Roman"/>
                <w:sz w:val="24"/>
                <w:lang w:val="sk-SK"/>
              </w:rPr>
              <w:t xml:space="preserve">frekvenciu takéhoto podávania správ. </w:t>
            </w:r>
          </w:p>
        </w:tc>
      </w:tr>
      <w:tr w:rsidR="00087388" w:rsidRPr="00A87849" w14:paraId="69AD8BED" w14:textId="77777777" w:rsidTr="63E31B68">
        <w:trPr>
          <w:trHeight w:val="1405"/>
        </w:trPr>
        <w:tc>
          <w:tcPr>
            <w:tcW w:w="1363" w:type="dxa"/>
            <w:vAlign w:val="top"/>
          </w:tcPr>
          <w:p w14:paraId="35EE8C6D" w14:textId="77777777" w:rsidR="00087388" w:rsidRPr="00A87849" w:rsidRDefault="00087388" w:rsidP="00725D4D">
            <w:pPr>
              <w:spacing w:after="120"/>
              <w:jc w:val="both"/>
              <w:rPr>
                <w:rFonts w:ascii="Times New Roman" w:hAnsi="Times New Roman" w:cs="Times New Roman"/>
                <w:sz w:val="24"/>
                <w:lang w:val="sk-SK"/>
              </w:rPr>
            </w:pPr>
            <w:r w:rsidRPr="00A87849">
              <w:rPr>
                <w:rFonts w:ascii="Times New Roman" w:hAnsi="Times New Roman"/>
                <w:sz w:val="24"/>
                <w:lang w:val="sk-SK"/>
              </w:rPr>
              <w:t>e)</w:t>
            </w:r>
          </w:p>
        </w:tc>
        <w:tc>
          <w:tcPr>
            <w:tcW w:w="1179" w:type="dxa"/>
          </w:tcPr>
          <w:p w14:paraId="5E37D7DA" w14:textId="323FF31B" w:rsidR="00087388" w:rsidRPr="00A87849" w:rsidRDefault="00087388" w:rsidP="63E31B68">
            <w:pPr>
              <w:spacing w:after="120"/>
              <w:jc w:val="both"/>
              <w:rPr>
                <w:rFonts w:ascii="Times New Roman" w:hAnsi="Times New Roman" w:cs="Times New Roman"/>
                <w:sz w:val="24"/>
                <w:lang w:val="sk-SK"/>
              </w:rPr>
            </w:pPr>
            <w:r w:rsidRPr="00A87849">
              <w:rPr>
                <w:rFonts w:ascii="Times New Roman" w:hAnsi="Times New Roman"/>
                <w:sz w:val="24"/>
                <w:lang w:val="sk-SK"/>
              </w:rPr>
              <w:t>Článok 452 písm. f) CRR</w:t>
            </w:r>
          </w:p>
        </w:tc>
        <w:tc>
          <w:tcPr>
            <w:tcW w:w="7087" w:type="dxa"/>
          </w:tcPr>
          <w:p w14:paraId="65CDE9BD" w14:textId="79ED498F" w:rsidR="00A87849" w:rsidRDefault="00087388" w:rsidP="00725D4D">
            <w:pPr>
              <w:spacing w:after="120"/>
              <w:jc w:val="both"/>
              <w:rPr>
                <w:rFonts w:ascii="Times New Roman" w:hAnsi="Times New Roman"/>
                <w:sz w:val="24"/>
                <w:lang w:val="sk-SK"/>
              </w:rPr>
            </w:pPr>
            <w:r w:rsidRPr="00A87849">
              <w:rPr>
                <w:rFonts w:ascii="Times New Roman" w:hAnsi="Times New Roman"/>
                <w:sz w:val="24"/>
                <w:lang w:val="sk-SK"/>
              </w:rPr>
              <w:t>Zverejňovanie interných ratingových systémov podľa tried expozícií zahŕňa počet kľúčových modelov používaných</w:t>
            </w:r>
            <w:r w:rsidR="00A87849">
              <w:rPr>
                <w:rFonts w:ascii="Times New Roman" w:hAnsi="Times New Roman"/>
                <w:sz w:val="24"/>
                <w:lang w:val="sk-SK"/>
              </w:rPr>
              <w:t xml:space="preserve"> v </w:t>
            </w:r>
            <w:r w:rsidRPr="00A87849">
              <w:rPr>
                <w:rFonts w:ascii="Times New Roman" w:hAnsi="Times New Roman"/>
                <w:sz w:val="24"/>
                <w:lang w:val="sk-SK"/>
              </w:rPr>
              <w:t>každej triede expozícií pre jednotlivé druhy expozícií, so stručným opisom hlavných rozdielov medzi modelmi</w:t>
            </w:r>
            <w:r w:rsidR="00A87849">
              <w:rPr>
                <w:rFonts w:ascii="Times New Roman" w:hAnsi="Times New Roman"/>
                <w:sz w:val="24"/>
                <w:lang w:val="sk-SK"/>
              </w:rPr>
              <w:t xml:space="preserve"> v </w:t>
            </w:r>
            <w:r w:rsidRPr="00A87849">
              <w:rPr>
                <w:rFonts w:ascii="Times New Roman" w:hAnsi="Times New Roman"/>
                <w:sz w:val="24"/>
                <w:lang w:val="sk-SK"/>
              </w:rPr>
              <w:t>rámci rovnakej triedy expozícií. Obsahuje aj opis hlavných charakteristík kľúčových schválených modelov, najmä</w:t>
            </w:r>
            <w:r w:rsidR="00A87849">
              <w:rPr>
                <w:rFonts w:ascii="Times New Roman" w:hAnsi="Times New Roman"/>
                <w:sz w:val="24"/>
                <w:lang w:val="sk-SK"/>
              </w:rPr>
              <w:t>:</w:t>
            </w:r>
          </w:p>
          <w:p w14:paraId="5BE0FBBF" w14:textId="7726762D" w:rsidR="00A87849" w:rsidRDefault="00087388" w:rsidP="00725D4D">
            <w:pPr>
              <w:spacing w:after="120"/>
              <w:jc w:val="both"/>
              <w:rPr>
                <w:rFonts w:ascii="Times New Roman" w:hAnsi="Times New Roman"/>
                <w:sz w:val="24"/>
                <w:lang w:val="sk-SK"/>
              </w:rPr>
            </w:pPr>
            <w:r w:rsidRPr="00A87849">
              <w:rPr>
                <w:rFonts w:ascii="Times New Roman" w:hAnsi="Times New Roman"/>
                <w:sz w:val="24"/>
                <w:lang w:val="sk-SK"/>
              </w:rPr>
              <w:t>i) vymedzení, metód</w:t>
            </w:r>
            <w:r w:rsidR="00A87849">
              <w:rPr>
                <w:rFonts w:ascii="Times New Roman" w:hAnsi="Times New Roman"/>
                <w:sz w:val="24"/>
                <w:lang w:val="sk-SK"/>
              </w:rPr>
              <w:t xml:space="preserve"> a </w:t>
            </w:r>
            <w:r w:rsidRPr="00A87849">
              <w:rPr>
                <w:rFonts w:ascii="Times New Roman" w:hAnsi="Times New Roman"/>
                <w:sz w:val="24"/>
                <w:lang w:val="sk-SK"/>
              </w:rPr>
              <w:t>údajov pre odhad</w:t>
            </w:r>
            <w:r w:rsidR="00A87849">
              <w:rPr>
                <w:rFonts w:ascii="Times New Roman" w:hAnsi="Times New Roman"/>
                <w:sz w:val="24"/>
                <w:lang w:val="sk-SK"/>
              </w:rPr>
              <w:t xml:space="preserve"> a </w:t>
            </w:r>
            <w:r w:rsidRPr="00A87849">
              <w:rPr>
                <w:rFonts w:ascii="Times New Roman" w:hAnsi="Times New Roman"/>
                <w:sz w:val="24"/>
                <w:lang w:val="sk-SK"/>
              </w:rPr>
              <w:t>validáciu PD vrátane odhadu</w:t>
            </w:r>
            <w:r w:rsidR="00A87849">
              <w:rPr>
                <w:rFonts w:ascii="Times New Roman" w:hAnsi="Times New Roman"/>
                <w:sz w:val="24"/>
                <w:lang w:val="sk-SK"/>
              </w:rPr>
              <w:t xml:space="preserve"> a </w:t>
            </w:r>
            <w:r w:rsidRPr="00A87849">
              <w:rPr>
                <w:rFonts w:ascii="Times New Roman" w:hAnsi="Times New Roman"/>
                <w:sz w:val="24"/>
                <w:lang w:val="sk-SK"/>
              </w:rPr>
              <w:t>validácie PD pre portfóliá</w:t>
            </w:r>
            <w:r w:rsidR="00A87849">
              <w:rPr>
                <w:rFonts w:ascii="Times New Roman" w:hAnsi="Times New Roman"/>
                <w:sz w:val="24"/>
                <w:lang w:val="sk-SK"/>
              </w:rPr>
              <w:t xml:space="preserve"> s </w:t>
            </w:r>
            <w:r w:rsidRPr="00A87849">
              <w:rPr>
                <w:rFonts w:ascii="Times New Roman" w:hAnsi="Times New Roman"/>
                <w:sz w:val="24"/>
                <w:lang w:val="sk-SK"/>
              </w:rPr>
              <w:t>nízkym rizikom zlyhania, uplatniteľných regulačných dolných ohraničení</w:t>
            </w:r>
            <w:r w:rsidR="00A87849">
              <w:rPr>
                <w:rFonts w:ascii="Times New Roman" w:hAnsi="Times New Roman"/>
                <w:sz w:val="24"/>
                <w:lang w:val="sk-SK"/>
              </w:rPr>
              <w:t xml:space="preserve"> a </w:t>
            </w:r>
            <w:r w:rsidRPr="00A87849">
              <w:rPr>
                <w:rFonts w:ascii="Times New Roman" w:hAnsi="Times New Roman"/>
                <w:sz w:val="24"/>
                <w:lang w:val="sk-SK"/>
              </w:rPr>
              <w:t>faktorov pre rozdiely sledované medzi PD</w:t>
            </w:r>
            <w:r w:rsidR="00A87849">
              <w:rPr>
                <w:rFonts w:ascii="Times New Roman" w:hAnsi="Times New Roman"/>
                <w:sz w:val="24"/>
                <w:lang w:val="sk-SK"/>
              </w:rPr>
              <w:t xml:space="preserve"> a </w:t>
            </w:r>
            <w:r w:rsidRPr="00A87849">
              <w:rPr>
                <w:rFonts w:ascii="Times New Roman" w:hAnsi="Times New Roman"/>
                <w:sz w:val="24"/>
                <w:lang w:val="sk-SK"/>
              </w:rPr>
              <w:t>skutočnými mierami zlyhania aspoň za tri posledné tri roky</w:t>
            </w:r>
            <w:r w:rsidR="00A87849">
              <w:rPr>
                <w:rFonts w:ascii="Times New Roman" w:hAnsi="Times New Roman"/>
                <w:sz w:val="24"/>
                <w:lang w:val="sk-SK"/>
              </w:rPr>
              <w:t>;</w:t>
            </w:r>
          </w:p>
          <w:p w14:paraId="27EA5E57" w14:textId="29201D4D" w:rsidR="00A87849" w:rsidRDefault="00087388" w:rsidP="00725D4D">
            <w:pPr>
              <w:spacing w:after="120"/>
              <w:jc w:val="both"/>
              <w:rPr>
                <w:rFonts w:ascii="Times New Roman" w:hAnsi="Times New Roman"/>
                <w:sz w:val="24"/>
                <w:lang w:val="sk-SK"/>
              </w:rPr>
            </w:pPr>
            <w:r w:rsidRPr="00A87849">
              <w:rPr>
                <w:rFonts w:ascii="Times New Roman" w:hAnsi="Times New Roman"/>
                <w:sz w:val="24"/>
                <w:lang w:val="sk-SK"/>
              </w:rPr>
              <w:t>ii) ak je to uplatniteľné, vymedzení, metód</w:t>
            </w:r>
            <w:r w:rsidR="00A87849">
              <w:rPr>
                <w:rFonts w:ascii="Times New Roman" w:hAnsi="Times New Roman"/>
                <w:sz w:val="24"/>
                <w:lang w:val="sk-SK"/>
              </w:rPr>
              <w:t xml:space="preserve"> a </w:t>
            </w:r>
            <w:r w:rsidRPr="00A87849">
              <w:rPr>
                <w:rFonts w:ascii="Times New Roman" w:hAnsi="Times New Roman"/>
                <w:sz w:val="24"/>
                <w:lang w:val="sk-SK"/>
              </w:rPr>
              <w:t>údajov pre odhad</w:t>
            </w:r>
            <w:r w:rsidR="00A87849">
              <w:rPr>
                <w:rFonts w:ascii="Times New Roman" w:hAnsi="Times New Roman"/>
                <w:sz w:val="24"/>
                <w:lang w:val="sk-SK"/>
              </w:rPr>
              <w:t xml:space="preserve"> a </w:t>
            </w:r>
            <w:r w:rsidRPr="00A87849">
              <w:rPr>
                <w:rFonts w:ascii="Times New Roman" w:hAnsi="Times New Roman"/>
                <w:sz w:val="24"/>
                <w:lang w:val="sk-SK"/>
              </w:rPr>
              <w:t>validáciu LGD vrátane odhadu</w:t>
            </w:r>
            <w:r w:rsidR="00A87849">
              <w:rPr>
                <w:rFonts w:ascii="Times New Roman" w:hAnsi="Times New Roman"/>
                <w:sz w:val="24"/>
                <w:lang w:val="sk-SK"/>
              </w:rPr>
              <w:t xml:space="preserve"> a </w:t>
            </w:r>
            <w:r w:rsidRPr="00A87849">
              <w:rPr>
                <w:rFonts w:ascii="Times New Roman" w:hAnsi="Times New Roman"/>
                <w:sz w:val="24"/>
                <w:lang w:val="sk-SK"/>
              </w:rPr>
              <w:t>validácie LGD pri hospodárskom poklese, informácií</w:t>
            </w:r>
            <w:r w:rsidR="00A87849">
              <w:rPr>
                <w:rFonts w:ascii="Times New Roman" w:hAnsi="Times New Roman"/>
                <w:sz w:val="24"/>
                <w:lang w:val="sk-SK"/>
              </w:rPr>
              <w:t xml:space="preserve"> o </w:t>
            </w:r>
            <w:r w:rsidRPr="00A87849">
              <w:rPr>
                <w:rFonts w:ascii="Times New Roman" w:hAnsi="Times New Roman"/>
                <w:sz w:val="24"/>
                <w:lang w:val="sk-SK"/>
              </w:rPr>
              <w:t>tom, ako sa LGD odhadujú pre portfólio</w:t>
            </w:r>
            <w:r w:rsidR="00A87849">
              <w:rPr>
                <w:rFonts w:ascii="Times New Roman" w:hAnsi="Times New Roman"/>
                <w:sz w:val="24"/>
                <w:lang w:val="sk-SK"/>
              </w:rPr>
              <w:t xml:space="preserve"> s </w:t>
            </w:r>
            <w:r w:rsidRPr="00A87849">
              <w:rPr>
                <w:rFonts w:ascii="Times New Roman" w:hAnsi="Times New Roman"/>
                <w:sz w:val="24"/>
                <w:lang w:val="sk-SK"/>
              </w:rPr>
              <w:t>nízkym rizikom zlyhania,</w:t>
            </w:r>
            <w:r w:rsidR="00A87849">
              <w:rPr>
                <w:rFonts w:ascii="Times New Roman" w:hAnsi="Times New Roman"/>
                <w:sz w:val="24"/>
                <w:lang w:val="sk-SK"/>
              </w:rPr>
              <w:t xml:space="preserve"> a </w:t>
            </w:r>
            <w:r w:rsidRPr="00A87849">
              <w:rPr>
                <w:rFonts w:ascii="Times New Roman" w:hAnsi="Times New Roman"/>
                <w:sz w:val="24"/>
                <w:lang w:val="sk-SK"/>
              </w:rPr>
              <w:t>priemerný čas uplynutý medzi zlyhaním</w:t>
            </w:r>
            <w:r w:rsidR="00A87849">
              <w:rPr>
                <w:rFonts w:ascii="Times New Roman" w:hAnsi="Times New Roman"/>
                <w:sz w:val="24"/>
                <w:lang w:val="sk-SK"/>
              </w:rPr>
              <w:t xml:space="preserve"> a </w:t>
            </w:r>
            <w:r w:rsidRPr="00A87849">
              <w:rPr>
                <w:rFonts w:ascii="Times New Roman" w:hAnsi="Times New Roman"/>
                <w:sz w:val="24"/>
                <w:lang w:val="sk-SK"/>
              </w:rPr>
              <w:t>uzavretím expozície</w:t>
            </w:r>
            <w:r w:rsidR="00A87849">
              <w:rPr>
                <w:rFonts w:ascii="Times New Roman" w:hAnsi="Times New Roman"/>
                <w:sz w:val="24"/>
                <w:lang w:val="sk-SK"/>
              </w:rPr>
              <w:t>;</w:t>
            </w:r>
          </w:p>
          <w:p w14:paraId="1E7620D5" w14:textId="7210FA68" w:rsidR="00087388" w:rsidRPr="00A87849" w:rsidRDefault="00087388" w:rsidP="00725D4D">
            <w:pPr>
              <w:spacing w:after="120"/>
              <w:jc w:val="both"/>
              <w:rPr>
                <w:rFonts w:ascii="Times New Roman" w:hAnsi="Times New Roman" w:cs="Times New Roman"/>
                <w:sz w:val="24"/>
                <w:lang w:val="sk-SK"/>
              </w:rPr>
            </w:pPr>
            <w:r w:rsidRPr="00A87849">
              <w:rPr>
                <w:rFonts w:ascii="Times New Roman" w:hAnsi="Times New Roman"/>
                <w:sz w:val="24"/>
                <w:lang w:val="sk-SK"/>
              </w:rPr>
              <w:t>iii) vymedzení, metód</w:t>
            </w:r>
            <w:r w:rsidR="00A87849">
              <w:rPr>
                <w:rFonts w:ascii="Times New Roman" w:hAnsi="Times New Roman"/>
                <w:sz w:val="24"/>
                <w:lang w:val="sk-SK"/>
              </w:rPr>
              <w:t xml:space="preserve"> a </w:t>
            </w:r>
            <w:r w:rsidRPr="00A87849">
              <w:rPr>
                <w:rFonts w:ascii="Times New Roman" w:hAnsi="Times New Roman"/>
                <w:sz w:val="24"/>
                <w:lang w:val="sk-SK"/>
              </w:rPr>
              <w:t>údajov pre odhad</w:t>
            </w:r>
            <w:r w:rsidR="00A87849">
              <w:rPr>
                <w:rFonts w:ascii="Times New Roman" w:hAnsi="Times New Roman"/>
                <w:sz w:val="24"/>
                <w:lang w:val="sk-SK"/>
              </w:rPr>
              <w:t xml:space="preserve"> a </w:t>
            </w:r>
            <w:r w:rsidRPr="00A87849">
              <w:rPr>
                <w:rFonts w:ascii="Times New Roman" w:hAnsi="Times New Roman"/>
                <w:sz w:val="24"/>
                <w:lang w:val="sk-SK"/>
              </w:rPr>
              <w:t>validáciu konverzných faktorov vrátane predpokladov použitých pri odvodzovaní týchto odhadov.</w:t>
            </w:r>
          </w:p>
        </w:tc>
      </w:tr>
    </w:tbl>
    <w:p w14:paraId="5DAB6C7B" w14:textId="77777777" w:rsidR="00087388" w:rsidRPr="00A87849" w:rsidRDefault="00087388" w:rsidP="00087388">
      <w:pPr>
        <w:spacing w:after="120"/>
        <w:rPr>
          <w:rFonts w:ascii="Times New Roman" w:hAnsi="Times New Roman" w:cs="Times New Roman"/>
          <w:sz w:val="24"/>
        </w:rPr>
      </w:pPr>
    </w:p>
    <w:p w14:paraId="6E846DD6" w14:textId="4ECD14FC" w:rsidR="00087388" w:rsidRPr="00A87849" w:rsidRDefault="00087388" w:rsidP="00087388">
      <w:pPr>
        <w:spacing w:after="120"/>
        <w:rPr>
          <w:rFonts w:ascii="Times New Roman" w:hAnsi="Times New Roman" w:cs="Times New Roman"/>
          <w:sz w:val="24"/>
        </w:rPr>
      </w:pPr>
      <w:r w:rsidRPr="00A87849">
        <w:rPr>
          <w:rFonts w:ascii="Times New Roman" w:hAnsi="Times New Roman"/>
          <w:b/>
          <w:sz w:val="24"/>
        </w:rPr>
        <w:t>Vzor EU CR6 – Prístup IRB – Expozície voči kreditnému riziku podľa tried expozícií</w:t>
      </w:r>
      <w:r w:rsidR="00A87849">
        <w:rPr>
          <w:rFonts w:ascii="Times New Roman" w:hAnsi="Times New Roman"/>
          <w:b/>
          <w:sz w:val="24"/>
        </w:rPr>
        <w:t xml:space="preserve"> a </w:t>
      </w:r>
      <w:r w:rsidRPr="00A87849">
        <w:rPr>
          <w:rFonts w:ascii="Times New Roman" w:hAnsi="Times New Roman"/>
          <w:b/>
          <w:sz w:val="24"/>
        </w:rPr>
        <w:t>rozsahu PD. Vzor</w:t>
      </w:r>
      <w:r w:rsidR="00A87849">
        <w:rPr>
          <w:rFonts w:ascii="Times New Roman" w:hAnsi="Times New Roman"/>
          <w:b/>
          <w:sz w:val="24"/>
        </w:rPr>
        <w:t xml:space="preserve"> s </w:t>
      </w:r>
      <w:r w:rsidRPr="00A87849">
        <w:rPr>
          <w:rFonts w:ascii="Times New Roman" w:hAnsi="Times New Roman"/>
          <w:b/>
          <w:sz w:val="24"/>
        </w:rPr>
        <w:t>pevným formátom.</w:t>
      </w:r>
    </w:p>
    <w:p w14:paraId="362794A3" w14:textId="72AD83F0" w:rsidR="00A87849" w:rsidRDefault="00087388" w:rsidP="11F50173">
      <w:pPr>
        <w:pStyle w:val="ListParagraph"/>
        <w:numPr>
          <w:ilvl w:val="0"/>
          <w:numId w:val="7"/>
        </w:numPr>
        <w:spacing w:after="120"/>
        <w:jc w:val="both"/>
        <w:rPr>
          <w:rFonts w:ascii="Times New Roman" w:hAnsi="Times New Roman"/>
          <w:sz w:val="24"/>
        </w:rPr>
      </w:pPr>
      <w:r w:rsidRPr="00A87849">
        <w:rPr>
          <w:rFonts w:ascii="Times New Roman" w:hAnsi="Times New Roman"/>
          <w:sz w:val="24"/>
        </w:rPr>
        <w:t>Inštitúcie zverejňujú informácie</w:t>
      </w:r>
      <w:r w:rsidR="00A87849">
        <w:rPr>
          <w:rFonts w:ascii="Times New Roman" w:hAnsi="Times New Roman"/>
          <w:sz w:val="24"/>
        </w:rPr>
        <w:t xml:space="preserve"> o </w:t>
      </w:r>
      <w:r w:rsidRPr="00A87849">
        <w:rPr>
          <w:rFonts w:ascii="Times New Roman" w:hAnsi="Times New Roman"/>
          <w:sz w:val="24"/>
        </w:rPr>
        <w:t>hlavných parametroch používaných na výpočet kapitálových požiadaviek pre prístup IRB uvedené</w:t>
      </w:r>
      <w:r w:rsidR="00A87849">
        <w:rPr>
          <w:rFonts w:ascii="Times New Roman" w:hAnsi="Times New Roman"/>
          <w:sz w:val="24"/>
        </w:rPr>
        <w:t xml:space="preserve"> v </w:t>
      </w:r>
      <w:r w:rsidRPr="00A87849">
        <w:rPr>
          <w:rFonts w:ascii="Times New Roman" w:hAnsi="Times New Roman"/>
          <w:sz w:val="24"/>
        </w:rPr>
        <w:t xml:space="preserve">článku 452 písm. g) bodoch i) až v) nariadenia (EÚ) </w:t>
      </w:r>
      <w:r w:rsidR="00A87849">
        <w:rPr>
          <w:rFonts w:ascii="Times New Roman" w:hAnsi="Times New Roman"/>
          <w:sz w:val="24"/>
        </w:rPr>
        <w:t>č. </w:t>
      </w:r>
      <w:r w:rsidRPr="00A87849">
        <w:rPr>
          <w:rFonts w:ascii="Times New Roman" w:hAnsi="Times New Roman"/>
          <w:sz w:val="24"/>
        </w:rPr>
        <w:t>575/2013 podľa pokynov uvedených nižšie</w:t>
      </w:r>
      <w:r w:rsidR="00A87849">
        <w:rPr>
          <w:rFonts w:ascii="Times New Roman" w:hAnsi="Times New Roman"/>
          <w:sz w:val="24"/>
        </w:rPr>
        <w:t xml:space="preserve"> v </w:t>
      </w:r>
      <w:r w:rsidRPr="00A87849">
        <w:rPr>
          <w:rFonts w:ascii="Times New Roman" w:hAnsi="Times New Roman"/>
          <w:sz w:val="24"/>
        </w:rPr>
        <w:t>tejto prílohe</w:t>
      </w:r>
      <w:r w:rsidR="00A87849">
        <w:rPr>
          <w:rFonts w:ascii="Times New Roman" w:hAnsi="Times New Roman"/>
          <w:sz w:val="24"/>
        </w:rPr>
        <w:t xml:space="preserve"> s </w:t>
      </w:r>
      <w:r w:rsidRPr="00A87849">
        <w:rPr>
          <w:rFonts w:ascii="Times New Roman" w:hAnsi="Times New Roman"/>
          <w:sz w:val="24"/>
        </w:rPr>
        <w:t>cieľom vyplniť vzor EU CR6, ktorý je uvedený</w:t>
      </w:r>
      <w:r w:rsidR="00A87849">
        <w:rPr>
          <w:rFonts w:ascii="Times New Roman" w:hAnsi="Times New Roman"/>
          <w:sz w:val="24"/>
        </w:rPr>
        <w:t xml:space="preserve"> v </w:t>
      </w:r>
      <w:r w:rsidRPr="00A87849">
        <w:rPr>
          <w:rFonts w:ascii="Times New Roman" w:hAnsi="Times New Roman"/>
          <w:sz w:val="24"/>
        </w:rPr>
        <w:t>prílohe XXI dokumentu</w:t>
      </w:r>
      <w:r w:rsidR="00A87849">
        <w:rPr>
          <w:rFonts w:ascii="Times New Roman" w:hAnsi="Times New Roman"/>
          <w:sz w:val="24"/>
        </w:rPr>
        <w:t xml:space="preserve"> s </w:t>
      </w:r>
      <w:r w:rsidRPr="00A87849">
        <w:rPr>
          <w:rFonts w:ascii="Times New Roman" w:hAnsi="Times New Roman"/>
          <w:sz w:val="24"/>
        </w:rPr>
        <w:t>IT riešeniami orgánu EBA. Informácie zverejňované</w:t>
      </w:r>
      <w:r w:rsidR="00A87849">
        <w:rPr>
          <w:rFonts w:ascii="Times New Roman" w:hAnsi="Times New Roman"/>
          <w:sz w:val="24"/>
        </w:rPr>
        <w:t xml:space="preserve"> v </w:t>
      </w:r>
      <w:r w:rsidRPr="00A87849">
        <w:rPr>
          <w:rFonts w:ascii="Times New Roman" w:hAnsi="Times New Roman"/>
          <w:sz w:val="24"/>
        </w:rPr>
        <w:t>tomto vzore nezahŕňajú údaje</w:t>
      </w:r>
      <w:r w:rsidR="00A87849">
        <w:rPr>
          <w:rFonts w:ascii="Times New Roman" w:hAnsi="Times New Roman"/>
          <w:sz w:val="24"/>
        </w:rPr>
        <w:t xml:space="preserve"> o </w:t>
      </w:r>
      <w:r w:rsidRPr="00A87849">
        <w:rPr>
          <w:rFonts w:ascii="Times New Roman" w:hAnsi="Times New Roman"/>
          <w:sz w:val="24"/>
        </w:rPr>
        <w:t>špecializovanom financovaní uvedené</w:t>
      </w:r>
      <w:r w:rsidR="00A87849">
        <w:rPr>
          <w:rFonts w:ascii="Times New Roman" w:hAnsi="Times New Roman"/>
          <w:sz w:val="24"/>
        </w:rPr>
        <w:t xml:space="preserve"> v </w:t>
      </w:r>
      <w:r w:rsidRPr="00A87849">
        <w:rPr>
          <w:rFonts w:ascii="Times New Roman" w:hAnsi="Times New Roman"/>
          <w:sz w:val="24"/>
        </w:rPr>
        <w:t xml:space="preserve">článku 153 ods. 4 nariadenia (EÚ) </w:t>
      </w:r>
      <w:r w:rsidR="00A87849">
        <w:rPr>
          <w:rFonts w:ascii="Times New Roman" w:hAnsi="Times New Roman"/>
          <w:sz w:val="24"/>
        </w:rPr>
        <w:t>č. </w:t>
      </w:r>
      <w:r w:rsidRPr="00A87849">
        <w:rPr>
          <w:rFonts w:ascii="Times New Roman" w:hAnsi="Times New Roman"/>
          <w:sz w:val="24"/>
        </w:rPr>
        <w:t>575/2013.</w:t>
      </w:r>
      <w:r w:rsidR="00A87849">
        <w:rPr>
          <w:rFonts w:ascii="Times New Roman" w:hAnsi="Times New Roman"/>
          <w:sz w:val="24"/>
        </w:rPr>
        <w:t xml:space="preserve"> Z </w:t>
      </w:r>
      <w:r w:rsidRPr="00A87849">
        <w:rPr>
          <w:rFonts w:ascii="Times New Roman" w:hAnsi="Times New Roman"/>
          <w:sz w:val="24"/>
        </w:rPr>
        <w:t xml:space="preserve">tohto vzoru sú vylúčené expozície voči kreditnému riziku protistrany (CCR) [tretia časť hlava II kapitola 6 nariadenia (EÚ) </w:t>
      </w:r>
      <w:r w:rsidR="00A87849">
        <w:rPr>
          <w:rFonts w:ascii="Times New Roman" w:hAnsi="Times New Roman"/>
          <w:sz w:val="24"/>
        </w:rPr>
        <w:t>č. </w:t>
      </w:r>
      <w:r w:rsidRPr="00A87849">
        <w:rPr>
          <w:rFonts w:ascii="Times New Roman" w:hAnsi="Times New Roman"/>
          <w:sz w:val="24"/>
        </w:rPr>
        <w:t>575/2013], sekuritizačné expozície, iné aktíva, ktoré nemajú povahu kreditného záväzku, podniky kolektívneho investovania</w:t>
      </w:r>
      <w:r w:rsidR="00A87849">
        <w:rPr>
          <w:rFonts w:ascii="Times New Roman" w:hAnsi="Times New Roman"/>
          <w:sz w:val="24"/>
        </w:rPr>
        <w:t xml:space="preserve"> a </w:t>
      </w:r>
      <w:r w:rsidRPr="00A87849">
        <w:rPr>
          <w:rFonts w:ascii="Times New Roman" w:hAnsi="Times New Roman"/>
          <w:sz w:val="24"/>
        </w:rPr>
        <w:t>kapitálové expozície</w:t>
      </w:r>
      <w:r w:rsidR="00A87849">
        <w:rPr>
          <w:rFonts w:ascii="Times New Roman" w:hAnsi="Times New Roman"/>
          <w:sz w:val="24"/>
        </w:rPr>
        <w:t>.</w:t>
      </w:r>
    </w:p>
    <w:p w14:paraId="6A05A809" w14:textId="5DA24B17" w:rsidR="00087388" w:rsidRPr="00A87849" w:rsidRDefault="00087388" w:rsidP="00087388">
      <w:pPr>
        <w:spacing w:after="120"/>
        <w:rPr>
          <w:rFonts w:ascii="Times New Roman" w:hAnsi="Times New Roman" w:cs="Times New Roman"/>
          <w:sz w:val="24"/>
        </w:rPr>
      </w:pPr>
    </w:p>
    <w:p w14:paraId="5A39BBE3" w14:textId="77777777" w:rsidR="00087388" w:rsidRPr="00A87849"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A87849"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A87849" w:rsidRDefault="00087388" w:rsidP="00725D4D">
            <w:pPr>
              <w:autoSpaceDE w:val="0"/>
              <w:autoSpaceDN w:val="0"/>
              <w:adjustRightInd w:val="0"/>
              <w:spacing w:after="120"/>
              <w:rPr>
                <w:rFonts w:ascii="Times New Roman" w:hAnsi="Times New Roman" w:cs="Times New Roman"/>
                <w:b/>
                <w:sz w:val="24"/>
              </w:rPr>
            </w:pPr>
            <w:r w:rsidRPr="00A87849">
              <w:rPr>
                <w:rFonts w:ascii="Times New Roman" w:hAnsi="Times New Roman"/>
                <w:b/>
                <w:sz w:val="24"/>
              </w:rPr>
              <w:t>Odkaz na stĺpec</w:t>
            </w:r>
          </w:p>
        </w:tc>
        <w:tc>
          <w:tcPr>
            <w:tcW w:w="7483" w:type="dxa"/>
            <w:shd w:val="clear" w:color="auto" w:fill="D9D9D9" w:themeFill="background1" w:themeFillShade="D9"/>
          </w:tcPr>
          <w:p w14:paraId="5A879875" w14:textId="79BF4FA3" w:rsidR="00087388" w:rsidRPr="00A87849" w:rsidRDefault="00087388" w:rsidP="00725D4D">
            <w:pPr>
              <w:autoSpaceDE w:val="0"/>
              <w:autoSpaceDN w:val="0"/>
              <w:adjustRightInd w:val="0"/>
              <w:spacing w:after="120"/>
              <w:rPr>
                <w:rFonts w:ascii="Times New Roman" w:hAnsi="Times New Roman" w:cs="Times New Roman"/>
                <w:b/>
                <w:sz w:val="24"/>
              </w:rPr>
            </w:pPr>
            <w:r w:rsidRPr="00A87849">
              <w:rPr>
                <w:rFonts w:ascii="Times New Roman" w:hAnsi="Times New Roman"/>
                <w:b/>
                <w:sz w:val="24"/>
              </w:rPr>
              <w:t>Odkazy na právne predpisy</w:t>
            </w:r>
            <w:r w:rsidR="00A87849">
              <w:rPr>
                <w:rFonts w:ascii="Times New Roman" w:hAnsi="Times New Roman"/>
                <w:b/>
                <w:sz w:val="24"/>
              </w:rPr>
              <w:t xml:space="preserve"> a </w:t>
            </w:r>
            <w:r w:rsidRPr="00A87849">
              <w:rPr>
                <w:rFonts w:ascii="Times New Roman" w:hAnsi="Times New Roman"/>
                <w:b/>
                <w:sz w:val="24"/>
              </w:rPr>
              <w:t>pokyny</w:t>
            </w:r>
          </w:p>
        </w:tc>
      </w:tr>
      <w:tr w:rsidR="00087388" w:rsidRPr="00A87849" w14:paraId="29346F2B" w14:textId="77777777" w:rsidTr="60FDE7BB">
        <w:trPr>
          <w:trHeight w:val="238"/>
        </w:trPr>
        <w:tc>
          <w:tcPr>
            <w:tcW w:w="1555" w:type="dxa"/>
            <w:vMerge/>
          </w:tcPr>
          <w:p w14:paraId="41C8F396" w14:textId="77777777" w:rsidR="00087388" w:rsidRPr="00A87849"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A87849" w:rsidRDefault="00087388" w:rsidP="00725D4D">
            <w:pPr>
              <w:autoSpaceDE w:val="0"/>
              <w:autoSpaceDN w:val="0"/>
              <w:adjustRightInd w:val="0"/>
              <w:spacing w:after="120"/>
              <w:rPr>
                <w:rFonts w:ascii="Times New Roman" w:hAnsi="Times New Roman" w:cs="Times New Roman"/>
                <w:b/>
                <w:sz w:val="24"/>
              </w:rPr>
            </w:pPr>
            <w:r w:rsidRPr="00A87849">
              <w:rPr>
                <w:rFonts w:ascii="Times New Roman" w:hAnsi="Times New Roman"/>
                <w:b/>
                <w:sz w:val="24"/>
              </w:rPr>
              <w:t>Vysvetlenie</w:t>
            </w:r>
          </w:p>
        </w:tc>
      </w:tr>
      <w:tr w:rsidR="009610E4" w:rsidRPr="00A87849" w14:paraId="3E7B8EBB" w14:textId="77777777" w:rsidTr="60FDE7BB">
        <w:trPr>
          <w:trHeight w:val="841"/>
        </w:trPr>
        <w:tc>
          <w:tcPr>
            <w:tcW w:w="1555" w:type="dxa"/>
          </w:tcPr>
          <w:p w14:paraId="45F94F8F" w14:textId="10DE2BCE" w:rsidR="00087388" w:rsidRPr="00A87849" w:rsidRDefault="00087388" w:rsidP="00725D4D">
            <w:pPr>
              <w:pStyle w:val="Applicationdirecte"/>
              <w:spacing w:before="0"/>
            </w:pPr>
          </w:p>
        </w:tc>
        <w:tc>
          <w:tcPr>
            <w:tcW w:w="7483" w:type="dxa"/>
          </w:tcPr>
          <w:p w14:paraId="285BBBEE" w14:textId="77777777" w:rsidR="00087388" w:rsidRPr="00A87849" w:rsidRDefault="00087388" w:rsidP="00725D4D">
            <w:pPr>
              <w:pStyle w:val="Applicationdirecte"/>
              <w:spacing w:before="0"/>
              <w:rPr>
                <w:b/>
              </w:rPr>
            </w:pPr>
            <w:r w:rsidRPr="00A87849">
              <w:rPr>
                <w:b/>
              </w:rPr>
              <w:t>Rozsah PD</w:t>
            </w:r>
          </w:p>
          <w:p w14:paraId="0B5D39B9" w14:textId="57709E4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Ide</w:t>
            </w:r>
            <w:r w:rsidR="00A87849">
              <w:rPr>
                <w:rFonts w:ascii="Times New Roman" w:hAnsi="Times New Roman"/>
                <w:sz w:val="24"/>
              </w:rPr>
              <w:t xml:space="preserve"> o </w:t>
            </w:r>
            <w:r w:rsidRPr="00A87849">
              <w:rPr>
                <w:rFonts w:ascii="Times New Roman" w:hAnsi="Times New Roman"/>
                <w:sz w:val="24"/>
              </w:rPr>
              <w:t>pevný rozsah PD, ktorý sa nesmie meniť.</w:t>
            </w:r>
          </w:p>
          <w:p w14:paraId="5069DCCA" w14:textId="1EB98426" w:rsidR="00087388" w:rsidRPr="00A87849" w:rsidRDefault="00087388">
            <w:pPr>
              <w:pStyle w:val="Fait"/>
              <w:spacing w:before="0" w:after="120"/>
            </w:pPr>
            <w:r w:rsidRPr="00A87849">
              <w:lastRenderedPageBreak/>
              <w:t>Ak sú údaje</w:t>
            </w:r>
            <w:r w:rsidR="00A87849">
              <w:t xml:space="preserve"> o </w:t>
            </w:r>
            <w:r w:rsidRPr="00A87849">
              <w:t>expozíciách</w:t>
            </w:r>
            <w:r w:rsidR="00A87849">
              <w:t xml:space="preserve"> v </w:t>
            </w:r>
            <w:r w:rsidRPr="00A87849">
              <w:t>stave zlyhania</w:t>
            </w:r>
            <w:r w:rsidR="00A87849">
              <w:t xml:space="preserve"> v </w:t>
            </w:r>
            <w:r w:rsidRPr="00A87849">
              <w:t>súlade</w:t>
            </w:r>
            <w:r w:rsidR="00A87849">
              <w:t xml:space="preserve"> s </w:t>
            </w:r>
            <w:r w:rsidRPr="00A87849">
              <w:t xml:space="preserve">článkom 178 nariadenia (EÚ) </w:t>
            </w:r>
            <w:r w:rsidR="00A87849">
              <w:t>č. </w:t>
            </w:r>
            <w:r w:rsidRPr="00A87849">
              <w:t>575/2013 ďalej rozčlenené</w:t>
            </w:r>
            <w:r w:rsidR="00A87849">
              <w:t xml:space="preserve"> v </w:t>
            </w:r>
            <w:r w:rsidRPr="00A87849">
              <w:t>súlade</w:t>
            </w:r>
            <w:r w:rsidR="00A87849">
              <w:t xml:space="preserve"> s </w:t>
            </w:r>
            <w:r w:rsidRPr="00A87849">
              <w:t>možnými vymedzeniami kategórií expozícií</w:t>
            </w:r>
            <w:r w:rsidR="00A87849">
              <w:t xml:space="preserve"> v </w:t>
            </w:r>
            <w:r w:rsidRPr="00A87849">
              <w:t>stave zlyhania, vymedzenia kategórií expozícií</w:t>
            </w:r>
            <w:r w:rsidR="00A87849">
              <w:t xml:space="preserve"> v </w:t>
            </w:r>
            <w:r w:rsidRPr="00A87849">
              <w:t>stave zlyhania</w:t>
            </w:r>
            <w:r w:rsidR="00A87849">
              <w:t xml:space="preserve"> a </w:t>
            </w:r>
            <w:r w:rsidRPr="00A87849">
              <w:t>príslušné hodnoty sa vysvetľujú</w:t>
            </w:r>
            <w:r w:rsidR="00A87849">
              <w:t xml:space="preserve"> v </w:t>
            </w:r>
            <w:r w:rsidRPr="00A87849">
              <w:t>sprievodnom opise.</w:t>
            </w:r>
          </w:p>
          <w:p w14:paraId="00D99C0B" w14:textId="7672C5FD" w:rsidR="00087388" w:rsidRPr="00A87849" w:rsidRDefault="00087388" w:rsidP="00725D4D">
            <w:pPr>
              <w:pStyle w:val="Fait"/>
              <w:spacing w:before="0" w:after="120"/>
            </w:pPr>
            <w:r w:rsidRPr="00A87849">
              <w:t>Expozície sa zaraďujú do príslušnej skupiny pevného rozsahu PD na základe PD odhadovanej pre každého dlžníka zaradeného do tejto triedy expozícií (so zohľadnením prípadných substitučných účinkov</w:t>
            </w:r>
            <w:r w:rsidR="00A87849">
              <w:t xml:space="preserve"> v </w:t>
            </w:r>
            <w:r w:rsidRPr="00A87849">
              <w:t>dôsledku zmierňovania kreditného rizika). Všetky expozície</w:t>
            </w:r>
            <w:r w:rsidR="00A87849">
              <w:t xml:space="preserve"> v </w:t>
            </w:r>
            <w:r w:rsidRPr="00A87849">
              <w:t>stave zlyhania sa zahŕňajú do skupiny predstavujúcej PD na úrovni 100</w:t>
            </w:r>
            <w:r w:rsidR="00A87849">
              <w:t> %</w:t>
            </w:r>
            <w:r w:rsidRPr="00A87849">
              <w:t>.</w:t>
            </w:r>
          </w:p>
        </w:tc>
      </w:tr>
      <w:tr w:rsidR="009610E4" w:rsidRPr="00A87849" w14:paraId="57FFA5E6" w14:textId="77777777" w:rsidTr="60FDE7BB">
        <w:trPr>
          <w:trHeight w:val="1320"/>
        </w:trPr>
        <w:tc>
          <w:tcPr>
            <w:tcW w:w="1555" w:type="dxa"/>
          </w:tcPr>
          <w:p w14:paraId="20988227" w14:textId="6225DDEA" w:rsidR="00087388" w:rsidRPr="00A87849" w:rsidRDefault="00E643F5" w:rsidP="00725D4D">
            <w:pPr>
              <w:pStyle w:val="Applicationdirecte"/>
              <w:spacing w:before="0"/>
            </w:pPr>
            <w:r w:rsidRPr="00A87849">
              <w:lastRenderedPageBreak/>
              <w:t>a</w:t>
            </w:r>
          </w:p>
          <w:p w14:paraId="72A3D3EC" w14:textId="77777777" w:rsidR="00087388" w:rsidRPr="00A87849" w:rsidRDefault="00087388" w:rsidP="00725D4D">
            <w:pPr>
              <w:pStyle w:val="Applicationdirecte"/>
              <w:spacing w:before="0"/>
            </w:pPr>
          </w:p>
        </w:tc>
        <w:tc>
          <w:tcPr>
            <w:tcW w:w="7483" w:type="dxa"/>
          </w:tcPr>
          <w:p w14:paraId="393B4B60" w14:textId="77777777" w:rsidR="00087388" w:rsidRPr="00A87849" w:rsidRDefault="00087388" w:rsidP="00725D4D">
            <w:pPr>
              <w:pStyle w:val="Fait"/>
              <w:spacing w:before="0" w:after="120"/>
              <w:rPr>
                <w:b/>
              </w:rPr>
            </w:pPr>
            <w:r w:rsidRPr="00A87849">
              <w:rPr>
                <w:b/>
              </w:rPr>
              <w:t>Súvahové expozície</w:t>
            </w:r>
          </w:p>
          <w:p w14:paraId="27BE9730" w14:textId="4289DB28" w:rsidR="00087388" w:rsidRPr="00A87849" w:rsidRDefault="00087388">
            <w:pPr>
              <w:pStyle w:val="Fait"/>
              <w:spacing w:before="0" w:after="120"/>
            </w:pPr>
            <w:r w:rsidRPr="00A87849">
              <w:t>Hodnota expozície vypočítaná</w:t>
            </w:r>
            <w:r w:rsidR="00A87849">
              <w:t xml:space="preserve"> v </w:t>
            </w:r>
            <w:r w:rsidRPr="00A87849">
              <w:t>súlade</w:t>
            </w:r>
            <w:r w:rsidR="00A87849">
              <w:t xml:space="preserve"> s </w:t>
            </w:r>
            <w:r w:rsidRPr="00A87849">
              <w:t xml:space="preserve">článkom 166 ods. 1 až 7 nariadenia (EÚ) </w:t>
            </w:r>
            <w:r w:rsidR="00A87849">
              <w:t>č. </w:t>
            </w:r>
            <w:r w:rsidRPr="00A87849">
              <w:t>575/2013 bez zohľadnenia akýchkoľvek úprav kreditného rizika</w:t>
            </w:r>
            <w:r w:rsidR="00A87849">
              <w:t xml:space="preserve"> a </w:t>
            </w:r>
            <w:r w:rsidRPr="00A87849">
              <w:t>akýchkoľvek konverzných faktorov.</w:t>
            </w:r>
          </w:p>
        </w:tc>
      </w:tr>
      <w:tr w:rsidR="009610E4" w:rsidRPr="00A87849" w14:paraId="023C46E1" w14:textId="77777777" w:rsidTr="60FDE7BB">
        <w:trPr>
          <w:trHeight w:val="316"/>
        </w:trPr>
        <w:tc>
          <w:tcPr>
            <w:tcW w:w="1555" w:type="dxa"/>
          </w:tcPr>
          <w:p w14:paraId="7968FAB6" w14:textId="03D2485B" w:rsidR="00087388" w:rsidRPr="00A87849" w:rsidRDefault="00E643F5" w:rsidP="00725D4D">
            <w:pPr>
              <w:autoSpaceDE w:val="0"/>
              <w:autoSpaceDN w:val="0"/>
              <w:adjustRightInd w:val="0"/>
              <w:spacing w:after="120"/>
              <w:rPr>
                <w:rFonts w:ascii="Times New Roman" w:hAnsi="Times New Roman" w:cs="Times New Roman"/>
                <w:sz w:val="24"/>
              </w:rPr>
            </w:pPr>
            <w:r w:rsidRPr="00A87849">
              <w:rPr>
                <w:rFonts w:ascii="Times New Roman" w:hAnsi="Times New Roman"/>
                <w:sz w:val="24"/>
              </w:rPr>
              <w:t>b</w:t>
            </w:r>
          </w:p>
        </w:tc>
        <w:tc>
          <w:tcPr>
            <w:tcW w:w="7483" w:type="dxa"/>
          </w:tcPr>
          <w:p w14:paraId="4850F09F"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b/>
                <w:sz w:val="24"/>
              </w:rPr>
            </w:pPr>
            <w:r w:rsidRPr="00A87849">
              <w:rPr>
                <w:rFonts w:ascii="Times New Roman" w:hAnsi="Times New Roman"/>
                <w:b/>
                <w:sz w:val="24"/>
              </w:rPr>
              <w:t>Podsúvahové expozície pred uplatnením konverzných faktorov (CCF)</w:t>
            </w:r>
          </w:p>
          <w:p w14:paraId="6E470CA5" w14:textId="3BD8F2D6" w:rsidR="00087388" w:rsidRPr="00A87849" w:rsidRDefault="00087388" w:rsidP="11F50173">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Hodnota expozície</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166 ods. 1 až 7 nariadenia (EÚ) </w:t>
            </w:r>
            <w:r w:rsidR="00A87849">
              <w:rPr>
                <w:rFonts w:ascii="Times New Roman" w:hAnsi="Times New Roman"/>
                <w:sz w:val="24"/>
              </w:rPr>
              <w:t>č. </w:t>
            </w:r>
            <w:r w:rsidRPr="00A87849">
              <w:rPr>
                <w:rFonts w:ascii="Times New Roman" w:hAnsi="Times New Roman"/>
                <w:sz w:val="24"/>
              </w:rPr>
              <w:t>575/2013 bez zohľadnenia akýchkoľvek úprav kreditného rizika</w:t>
            </w:r>
            <w:r w:rsidR="00A87849">
              <w:rPr>
                <w:rFonts w:ascii="Times New Roman" w:hAnsi="Times New Roman"/>
                <w:sz w:val="24"/>
              </w:rPr>
              <w:t xml:space="preserve"> a </w:t>
            </w:r>
            <w:r w:rsidRPr="00A87849">
              <w:rPr>
                <w:rFonts w:ascii="Times New Roman" w:hAnsi="Times New Roman"/>
                <w:sz w:val="24"/>
              </w:rPr>
              <w:t>akýchkoľvek konverzných faktorov, vlastných odhadov či konverzných faktorov uvedených</w:t>
            </w:r>
            <w:r w:rsidR="00A87849">
              <w:rPr>
                <w:rFonts w:ascii="Times New Roman" w:hAnsi="Times New Roman"/>
                <w:sz w:val="24"/>
              </w:rPr>
              <w:t xml:space="preserve"> v </w:t>
            </w:r>
            <w:r w:rsidRPr="00A87849">
              <w:rPr>
                <w:rFonts w:ascii="Times New Roman" w:hAnsi="Times New Roman"/>
                <w:sz w:val="24"/>
              </w:rPr>
              <w:t xml:space="preserve">článku 166 ods. 8 nariadenia (EÚ) </w:t>
            </w:r>
            <w:r w:rsidR="00A87849">
              <w:rPr>
                <w:rFonts w:ascii="Times New Roman" w:hAnsi="Times New Roman"/>
                <w:sz w:val="24"/>
              </w:rPr>
              <w:t>č. </w:t>
            </w:r>
            <w:r w:rsidRPr="00A87849">
              <w:rPr>
                <w:rFonts w:ascii="Times New Roman" w:hAnsi="Times New Roman"/>
                <w:sz w:val="24"/>
              </w:rPr>
              <w:t>575/2013.</w:t>
            </w:r>
          </w:p>
          <w:p w14:paraId="4A39B318" w14:textId="58290B66" w:rsidR="00087388" w:rsidRPr="00A87849" w:rsidRDefault="00087388" w:rsidP="11F50173">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Podsúvahové expozície zahŕňajú všetky záväzné, ale nečerpané sumy</w:t>
            </w:r>
            <w:r w:rsidR="00A87849">
              <w:rPr>
                <w:rFonts w:ascii="Times New Roman" w:hAnsi="Times New Roman"/>
                <w:sz w:val="24"/>
              </w:rPr>
              <w:t xml:space="preserve"> a </w:t>
            </w:r>
            <w:r w:rsidRPr="00A87849">
              <w:rPr>
                <w:rFonts w:ascii="Times New Roman" w:hAnsi="Times New Roman"/>
                <w:sz w:val="24"/>
              </w:rPr>
              <w:t>všetky podsúvahové položky uvedené</w:t>
            </w:r>
            <w:r w:rsidR="00A87849">
              <w:rPr>
                <w:rFonts w:ascii="Times New Roman" w:hAnsi="Times New Roman"/>
                <w:sz w:val="24"/>
              </w:rPr>
              <w:t xml:space="preserve"> v </w:t>
            </w:r>
            <w:r w:rsidRPr="00A87849">
              <w:rPr>
                <w:rFonts w:ascii="Times New Roman" w:hAnsi="Times New Roman"/>
                <w:sz w:val="24"/>
              </w:rPr>
              <w:t>prílohe I</w:t>
            </w:r>
            <w:r w:rsidR="00A87849">
              <w:rPr>
                <w:rFonts w:ascii="Times New Roman" w:hAnsi="Times New Roman"/>
                <w:sz w:val="24"/>
              </w:rPr>
              <w:t xml:space="preserve"> k </w:t>
            </w:r>
            <w:r w:rsidRPr="00A87849">
              <w:rPr>
                <w:rFonts w:ascii="Times New Roman" w:hAnsi="Times New Roman"/>
                <w:sz w:val="24"/>
              </w:rPr>
              <w:t xml:space="preserve">nariadeniu (EÚ) </w:t>
            </w:r>
            <w:r w:rsidR="00A87849">
              <w:rPr>
                <w:rFonts w:ascii="Times New Roman" w:hAnsi="Times New Roman"/>
                <w:sz w:val="24"/>
              </w:rPr>
              <w:t>č. </w:t>
            </w:r>
            <w:r w:rsidRPr="00A87849">
              <w:rPr>
                <w:rFonts w:ascii="Times New Roman" w:hAnsi="Times New Roman"/>
                <w:sz w:val="24"/>
              </w:rPr>
              <w:t>575/2013.</w:t>
            </w:r>
          </w:p>
        </w:tc>
      </w:tr>
      <w:tr w:rsidR="009610E4" w:rsidRPr="00A87849" w14:paraId="43FD8B39" w14:textId="77777777" w:rsidTr="60FDE7BB">
        <w:trPr>
          <w:trHeight w:val="316"/>
        </w:trPr>
        <w:tc>
          <w:tcPr>
            <w:tcW w:w="1555" w:type="dxa"/>
          </w:tcPr>
          <w:p w14:paraId="5C2BBC0D" w14:textId="07ACE7EC" w:rsidR="00087388" w:rsidRPr="00A87849" w:rsidRDefault="00E643F5" w:rsidP="00725D4D">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t>c</w:t>
            </w:r>
          </w:p>
        </w:tc>
        <w:tc>
          <w:tcPr>
            <w:tcW w:w="7483" w:type="dxa"/>
          </w:tcPr>
          <w:p w14:paraId="27134C40"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b/>
                <w:sz w:val="24"/>
              </w:rPr>
            </w:pPr>
            <w:r w:rsidRPr="00A87849">
              <w:rPr>
                <w:rFonts w:ascii="Times New Roman" w:hAnsi="Times New Roman"/>
                <w:b/>
                <w:sz w:val="24"/>
              </w:rPr>
              <w:t>Expozíciami vážený priemerný CCF</w:t>
            </w:r>
          </w:p>
          <w:p w14:paraId="0D5A9915" w14:textId="4365CE92"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Pri všetkých expozíciách zahrnutých</w:t>
            </w:r>
            <w:r w:rsidR="00A87849">
              <w:rPr>
                <w:rFonts w:ascii="Times New Roman" w:hAnsi="Times New Roman"/>
                <w:sz w:val="24"/>
              </w:rPr>
              <w:t xml:space="preserve"> v </w:t>
            </w:r>
            <w:r w:rsidRPr="00A87849">
              <w:rPr>
                <w:rFonts w:ascii="Times New Roman" w:hAnsi="Times New Roman"/>
                <w:sz w:val="24"/>
              </w:rPr>
              <w:t>každej skupine pevnej stupnice PD priemerný konverzný faktor použitý inštitúciami pri ich výpočte hodnôt rizikovo vážených expozícií vážený podsúvahovou expozíciou pred uplatnením konverzného faktora úverov, ako sa uvádza</w:t>
            </w:r>
            <w:r w:rsidR="00A87849">
              <w:rPr>
                <w:rFonts w:ascii="Times New Roman" w:hAnsi="Times New Roman"/>
                <w:sz w:val="24"/>
              </w:rPr>
              <w:t xml:space="preserve"> v </w:t>
            </w:r>
            <w:r w:rsidRPr="00A87849">
              <w:rPr>
                <w:rFonts w:ascii="Times New Roman" w:hAnsi="Times New Roman"/>
                <w:sz w:val="24"/>
              </w:rPr>
              <w:t>stĺpci c tohto vzoru.</w:t>
            </w:r>
          </w:p>
        </w:tc>
      </w:tr>
      <w:tr w:rsidR="009610E4" w:rsidRPr="00A87849" w14:paraId="424E60D6" w14:textId="77777777" w:rsidTr="60FDE7BB">
        <w:trPr>
          <w:trHeight w:val="316"/>
        </w:trPr>
        <w:tc>
          <w:tcPr>
            <w:tcW w:w="1555" w:type="dxa"/>
          </w:tcPr>
          <w:p w14:paraId="02C161FA" w14:textId="0F4A049B" w:rsidR="00087388" w:rsidRPr="00A87849" w:rsidRDefault="00E643F5" w:rsidP="00725D4D">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t>d</w:t>
            </w:r>
          </w:p>
        </w:tc>
        <w:tc>
          <w:tcPr>
            <w:tcW w:w="7483" w:type="dxa"/>
          </w:tcPr>
          <w:p w14:paraId="4CF9B440" w14:textId="22216CF1" w:rsidR="00087388" w:rsidRPr="00A87849" w:rsidRDefault="00087388" w:rsidP="00725D4D">
            <w:pPr>
              <w:autoSpaceDE w:val="0"/>
              <w:autoSpaceDN w:val="0"/>
              <w:adjustRightInd w:val="0"/>
              <w:spacing w:after="120"/>
              <w:rPr>
                <w:rFonts w:ascii="Times New Roman" w:eastAsia="Times New Roman" w:hAnsi="Times New Roman" w:cs="Times New Roman"/>
                <w:b/>
                <w:sz w:val="24"/>
              </w:rPr>
            </w:pPr>
            <w:r w:rsidRPr="00A87849">
              <w:rPr>
                <w:rFonts w:ascii="Times New Roman" w:hAnsi="Times New Roman"/>
                <w:b/>
                <w:sz w:val="24"/>
              </w:rPr>
              <w:t>Hodnota expozície po uplatnení CCF</w:t>
            </w:r>
            <w:r w:rsidR="00A87849">
              <w:rPr>
                <w:rFonts w:ascii="Times New Roman" w:hAnsi="Times New Roman"/>
                <w:b/>
                <w:sz w:val="24"/>
              </w:rPr>
              <w:t xml:space="preserve"> a </w:t>
            </w:r>
            <w:r w:rsidRPr="00A87849">
              <w:rPr>
                <w:rFonts w:ascii="Times New Roman" w:hAnsi="Times New Roman"/>
                <w:b/>
                <w:sz w:val="24"/>
              </w:rPr>
              <w:t>po zmierňovaní kreditného rizika</w:t>
            </w:r>
          </w:p>
          <w:p w14:paraId="759BF3E5" w14:textId="5E082620" w:rsidR="00087388" w:rsidRPr="00A87849" w:rsidRDefault="00087388" w:rsidP="11F50173">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t>Hodnota expozície</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166 nariadenia (EÚ) </w:t>
            </w:r>
            <w:r w:rsidR="00A87849">
              <w:rPr>
                <w:rFonts w:ascii="Times New Roman" w:hAnsi="Times New Roman"/>
                <w:sz w:val="24"/>
              </w:rPr>
              <w:t>č. </w:t>
            </w:r>
            <w:r w:rsidRPr="00A87849">
              <w:rPr>
                <w:rFonts w:ascii="Times New Roman" w:hAnsi="Times New Roman"/>
                <w:sz w:val="24"/>
              </w:rPr>
              <w:t>575/2013.</w:t>
            </w:r>
          </w:p>
          <w:p w14:paraId="0953D1A1" w14:textId="44FD256C" w:rsidR="00087388" w:rsidRPr="00A87849" w:rsidRDefault="00087388" w:rsidP="11F50173">
            <w:pPr>
              <w:autoSpaceDE w:val="0"/>
              <w:autoSpaceDN w:val="0"/>
              <w:adjustRightInd w:val="0"/>
              <w:spacing w:after="120"/>
              <w:rPr>
                <w:rFonts w:ascii="Times New Roman" w:hAnsi="Times New Roman" w:cs="Times New Roman"/>
                <w:sz w:val="24"/>
              </w:rPr>
            </w:pPr>
            <w:r w:rsidRPr="00A87849">
              <w:rPr>
                <w:rFonts w:ascii="Times New Roman" w:hAnsi="Times New Roman"/>
                <w:sz w:val="24"/>
              </w:rPr>
              <w:t>Tento stĺpec zahŕňa súčet hodnoty expozície</w:t>
            </w:r>
            <w:r w:rsidR="00A87849">
              <w:rPr>
                <w:rFonts w:ascii="Times New Roman" w:hAnsi="Times New Roman"/>
                <w:sz w:val="24"/>
              </w:rPr>
              <w:t xml:space="preserve"> v </w:t>
            </w:r>
            <w:r w:rsidRPr="00A87849">
              <w:rPr>
                <w:rFonts w:ascii="Times New Roman" w:hAnsi="Times New Roman"/>
                <w:sz w:val="24"/>
              </w:rPr>
              <w:t>prípade súvahových expozícií</w:t>
            </w:r>
            <w:r w:rsidR="00A87849">
              <w:rPr>
                <w:rFonts w:ascii="Times New Roman" w:hAnsi="Times New Roman"/>
                <w:sz w:val="24"/>
              </w:rPr>
              <w:t xml:space="preserve"> a </w:t>
            </w:r>
            <w:r w:rsidRPr="00A87849">
              <w:rPr>
                <w:rFonts w:ascii="Times New Roman" w:hAnsi="Times New Roman"/>
                <w:sz w:val="24"/>
              </w:rPr>
              <w:t>podsúvahových expozícií po uplatnení konverzných faktorov</w:t>
            </w:r>
            <w:r w:rsidR="00A87849">
              <w:rPr>
                <w:rFonts w:ascii="Times New Roman" w:hAnsi="Times New Roman"/>
                <w:sz w:val="24"/>
              </w:rPr>
              <w:t xml:space="preserve"> a </w:t>
            </w:r>
            <w:r w:rsidRPr="00A87849">
              <w:rPr>
                <w:rFonts w:ascii="Times New Roman" w:hAnsi="Times New Roman"/>
                <w:sz w:val="24"/>
              </w:rPr>
              <w:t>percentuálnych podielov</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článkom 166 ods. 8</w:t>
            </w:r>
            <w:r w:rsidR="00A87849">
              <w:rPr>
                <w:rFonts w:ascii="Times New Roman" w:hAnsi="Times New Roman"/>
                <w:sz w:val="24"/>
              </w:rPr>
              <w:t xml:space="preserve"> a </w:t>
            </w:r>
            <w:r w:rsidRPr="00A87849">
              <w:rPr>
                <w:rFonts w:ascii="Times New Roman" w:hAnsi="Times New Roman"/>
                <w:sz w:val="24"/>
              </w:rPr>
              <w:t xml:space="preserve">9 nariadenia (EÚ) </w:t>
            </w:r>
            <w:r w:rsidR="00A87849">
              <w:rPr>
                <w:rFonts w:ascii="Times New Roman" w:hAnsi="Times New Roman"/>
                <w:sz w:val="24"/>
              </w:rPr>
              <w:t>č. </w:t>
            </w:r>
            <w:r w:rsidRPr="00A87849">
              <w:rPr>
                <w:rFonts w:ascii="Times New Roman" w:hAnsi="Times New Roman"/>
                <w:sz w:val="24"/>
              </w:rPr>
              <w:t>575/2013.</w:t>
            </w:r>
          </w:p>
        </w:tc>
      </w:tr>
      <w:tr w:rsidR="00087388" w:rsidRPr="00A87849" w14:paraId="03D4CBDA" w14:textId="77777777" w:rsidTr="60FDE7BB">
        <w:trPr>
          <w:trHeight w:val="695"/>
        </w:trPr>
        <w:tc>
          <w:tcPr>
            <w:tcW w:w="1555" w:type="dxa"/>
          </w:tcPr>
          <w:p w14:paraId="2EEE3EE6" w14:textId="498E6F5D" w:rsidR="00087388" w:rsidRPr="00A87849" w:rsidRDefault="00E643F5" w:rsidP="00725D4D">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t>e</w:t>
            </w:r>
          </w:p>
        </w:tc>
        <w:tc>
          <w:tcPr>
            <w:tcW w:w="7483" w:type="dxa"/>
          </w:tcPr>
          <w:p w14:paraId="4B042DBA"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b/>
                <w:sz w:val="24"/>
              </w:rPr>
            </w:pPr>
            <w:r w:rsidRPr="00A87849">
              <w:rPr>
                <w:rFonts w:ascii="Times New Roman" w:hAnsi="Times New Roman"/>
                <w:b/>
                <w:sz w:val="24"/>
              </w:rPr>
              <w:t>Expozíciami vážená priemerná PD (%)</w:t>
            </w:r>
          </w:p>
          <w:p w14:paraId="529D72CA" w14:textId="4A732F32"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Pri všetkých expozíciách zahrnutých</w:t>
            </w:r>
            <w:r w:rsidR="00A87849">
              <w:rPr>
                <w:rFonts w:ascii="Times New Roman" w:hAnsi="Times New Roman"/>
                <w:sz w:val="24"/>
              </w:rPr>
              <w:t xml:space="preserve"> v </w:t>
            </w:r>
            <w:r w:rsidRPr="00A87849">
              <w:rPr>
                <w:rFonts w:ascii="Times New Roman" w:hAnsi="Times New Roman"/>
                <w:sz w:val="24"/>
              </w:rPr>
              <w:t>každej skupine pevného rozsahu PD odhad priemernej PD každého dlžníka vážený hodnotou expozície po uplatnení konverzných faktorov úverov</w:t>
            </w:r>
            <w:r w:rsidR="00A87849">
              <w:rPr>
                <w:rFonts w:ascii="Times New Roman" w:hAnsi="Times New Roman"/>
                <w:sz w:val="24"/>
              </w:rPr>
              <w:t xml:space="preserve"> a </w:t>
            </w:r>
            <w:r w:rsidRPr="00A87849">
              <w:rPr>
                <w:rFonts w:ascii="Times New Roman" w:hAnsi="Times New Roman"/>
                <w:sz w:val="24"/>
              </w:rPr>
              <w:t>zmierňovania kreditného rizika, ako sa uvádza</w:t>
            </w:r>
            <w:r w:rsidR="00A87849">
              <w:rPr>
                <w:rFonts w:ascii="Times New Roman" w:hAnsi="Times New Roman"/>
                <w:sz w:val="24"/>
              </w:rPr>
              <w:t xml:space="preserve"> v </w:t>
            </w:r>
            <w:r w:rsidRPr="00A87849">
              <w:rPr>
                <w:rFonts w:ascii="Times New Roman" w:hAnsi="Times New Roman"/>
                <w:sz w:val="24"/>
              </w:rPr>
              <w:t>stĺpci e tohto vzoru.</w:t>
            </w:r>
          </w:p>
        </w:tc>
      </w:tr>
      <w:tr w:rsidR="009610E4" w:rsidRPr="00A87849" w14:paraId="114B33C3" w14:textId="77777777" w:rsidTr="60FDE7BB">
        <w:trPr>
          <w:trHeight w:val="316"/>
        </w:trPr>
        <w:tc>
          <w:tcPr>
            <w:tcW w:w="1555" w:type="dxa"/>
          </w:tcPr>
          <w:p w14:paraId="15EF8CF4" w14:textId="78532A1C" w:rsidR="00087388" w:rsidRPr="00A87849" w:rsidRDefault="00E643F5" w:rsidP="00725D4D">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t>f</w:t>
            </w:r>
          </w:p>
        </w:tc>
        <w:tc>
          <w:tcPr>
            <w:tcW w:w="7483" w:type="dxa"/>
          </w:tcPr>
          <w:p w14:paraId="0FCE60AF" w14:textId="77777777" w:rsidR="00087388" w:rsidRPr="00A87849" w:rsidRDefault="00087388" w:rsidP="00725D4D">
            <w:pPr>
              <w:autoSpaceDE w:val="0"/>
              <w:autoSpaceDN w:val="0"/>
              <w:adjustRightInd w:val="0"/>
              <w:spacing w:after="120"/>
              <w:rPr>
                <w:rFonts w:ascii="Times New Roman" w:eastAsia="Times New Roman" w:hAnsi="Times New Roman" w:cs="Times New Roman"/>
                <w:b/>
                <w:sz w:val="24"/>
              </w:rPr>
            </w:pPr>
            <w:r w:rsidRPr="00A87849">
              <w:rPr>
                <w:rFonts w:ascii="Times New Roman" w:hAnsi="Times New Roman"/>
                <w:b/>
                <w:sz w:val="24"/>
              </w:rPr>
              <w:t>Počet dlžníkov</w:t>
            </w:r>
          </w:p>
          <w:p w14:paraId="0F085D67" w14:textId="6F6570A2"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lastRenderedPageBreak/>
              <w:t>Počet právnych subjektov alebo dlžníkov priradených ku každej skupine pevného rozsahu PD, ktorí boli osobitne ohodnotení, bez ohľadu na počet jednotlivých poskytnutých úverov alebo expozícií.</w:t>
            </w:r>
          </w:p>
          <w:p w14:paraId="23AAE725" w14:textId="24175C2B" w:rsidR="00087388" w:rsidRPr="00A87849" w:rsidRDefault="00087388" w:rsidP="11F50173">
            <w:pPr>
              <w:spacing w:after="120"/>
              <w:jc w:val="both"/>
              <w:rPr>
                <w:rFonts w:ascii="Times New Roman" w:hAnsi="Times New Roman" w:cs="Times New Roman"/>
                <w:b/>
                <w:bCs/>
                <w:sz w:val="24"/>
              </w:rPr>
            </w:pPr>
            <w:r w:rsidRPr="00A87849">
              <w:rPr>
                <w:rFonts w:ascii="Times New Roman" w:hAnsi="Times New Roman"/>
                <w:sz w:val="24"/>
              </w:rPr>
              <w:t>So spoločnými dlžníkmi sa zaobchádza rovnako ako na účely kalibrácie PD. Ak sa jednotlivé expozície voči tomu istému dlžníkovi ohodnocujú osobitne, spočítavajú sa osobitne. Takáto situácia sa môže vyskytnúť</w:t>
            </w:r>
            <w:r w:rsidR="00A87849">
              <w:rPr>
                <w:rFonts w:ascii="Times New Roman" w:hAnsi="Times New Roman"/>
                <w:sz w:val="24"/>
              </w:rPr>
              <w:t xml:space="preserve"> v </w:t>
            </w:r>
            <w:r w:rsidRPr="00A87849">
              <w:rPr>
                <w:rFonts w:ascii="Times New Roman" w:hAnsi="Times New Roman"/>
                <w:sz w:val="24"/>
              </w:rPr>
              <w:t>rámci triedy retailových expozícií, ak sa vymedzenie zlyhania uplatňuje na úrovni individuálnych kreditných facilít</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178 ods. 1 poslednou vetou nariadenia (EÚ) </w:t>
            </w:r>
            <w:r w:rsidR="00A87849">
              <w:rPr>
                <w:rFonts w:ascii="Times New Roman" w:hAnsi="Times New Roman"/>
                <w:sz w:val="24"/>
              </w:rPr>
              <w:t>č. </w:t>
            </w:r>
            <w:r w:rsidRPr="00A87849">
              <w:rPr>
                <w:rFonts w:ascii="Times New Roman" w:hAnsi="Times New Roman"/>
                <w:sz w:val="24"/>
              </w:rPr>
              <w:t>575/2013, alebo ak sa samostatné expozície voči tomu istému dlžníkovi zaradia do rôznych ratingových stupňov dlžníkov</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172 ods. 1 písm. e) druhou vetou nariadenia (EÚ) </w:t>
            </w:r>
            <w:r w:rsidR="00A87849">
              <w:rPr>
                <w:rFonts w:ascii="Times New Roman" w:hAnsi="Times New Roman"/>
                <w:sz w:val="24"/>
              </w:rPr>
              <w:t>č. </w:t>
            </w:r>
            <w:r w:rsidRPr="00A87849">
              <w:rPr>
                <w:rFonts w:ascii="Times New Roman" w:hAnsi="Times New Roman"/>
                <w:sz w:val="24"/>
              </w:rPr>
              <w:t>575/2013</w:t>
            </w:r>
            <w:r w:rsidR="00A87849">
              <w:rPr>
                <w:rFonts w:ascii="Times New Roman" w:hAnsi="Times New Roman"/>
                <w:sz w:val="24"/>
              </w:rPr>
              <w:t xml:space="preserve"> v </w:t>
            </w:r>
            <w:r w:rsidRPr="00A87849">
              <w:rPr>
                <w:rFonts w:ascii="Times New Roman" w:hAnsi="Times New Roman"/>
                <w:sz w:val="24"/>
              </w:rPr>
              <w:t>iných triedach expozícií.</w:t>
            </w:r>
          </w:p>
        </w:tc>
      </w:tr>
      <w:tr w:rsidR="009610E4" w:rsidRPr="00A87849" w14:paraId="7ACEEA2D" w14:textId="77777777" w:rsidTr="60FDE7BB">
        <w:trPr>
          <w:trHeight w:val="695"/>
        </w:trPr>
        <w:tc>
          <w:tcPr>
            <w:tcW w:w="1555" w:type="dxa"/>
          </w:tcPr>
          <w:p w14:paraId="6A0A92FB" w14:textId="36574F86" w:rsidR="00087388" w:rsidRPr="00A87849" w:rsidRDefault="00E643F5" w:rsidP="00725D4D">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lastRenderedPageBreak/>
              <w:t>g</w:t>
            </w:r>
          </w:p>
        </w:tc>
        <w:tc>
          <w:tcPr>
            <w:tcW w:w="7483" w:type="dxa"/>
          </w:tcPr>
          <w:p w14:paraId="7DB67358" w14:textId="77777777" w:rsidR="00087388" w:rsidRPr="00A87849" w:rsidRDefault="00087388" w:rsidP="00725D4D">
            <w:pPr>
              <w:pStyle w:val="Fait"/>
              <w:spacing w:before="0" w:after="120"/>
              <w:rPr>
                <w:b/>
              </w:rPr>
            </w:pPr>
            <w:r w:rsidRPr="00A87849">
              <w:rPr>
                <w:b/>
              </w:rPr>
              <w:t>Expozíciami vážená priemerná LGD (%)</w:t>
            </w:r>
          </w:p>
          <w:p w14:paraId="35AF9A0B" w14:textId="034DF1F0"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Pri všetkých expozíciách zahrnutých</w:t>
            </w:r>
            <w:r w:rsidR="00A87849">
              <w:rPr>
                <w:rFonts w:ascii="Times New Roman" w:hAnsi="Times New Roman"/>
                <w:sz w:val="24"/>
              </w:rPr>
              <w:t xml:space="preserve"> v </w:t>
            </w:r>
            <w:r w:rsidRPr="00A87849">
              <w:rPr>
                <w:rFonts w:ascii="Times New Roman" w:hAnsi="Times New Roman"/>
                <w:sz w:val="24"/>
              </w:rPr>
              <w:t>každej skupine pevného rozsahu PD priemer odhadov LGD pre každú expozíciu vážený hodnotou expozície po uplatnení konverzných faktorov úverov</w:t>
            </w:r>
            <w:r w:rsidR="00A87849">
              <w:rPr>
                <w:rFonts w:ascii="Times New Roman" w:hAnsi="Times New Roman"/>
                <w:sz w:val="24"/>
              </w:rPr>
              <w:t xml:space="preserve"> a </w:t>
            </w:r>
            <w:r w:rsidRPr="00A87849">
              <w:rPr>
                <w:rFonts w:ascii="Times New Roman" w:hAnsi="Times New Roman"/>
                <w:sz w:val="24"/>
              </w:rPr>
              <w:t>po zmierňovaní kreditného rizika, ako sa uvádza</w:t>
            </w:r>
            <w:r w:rsidR="00A87849">
              <w:rPr>
                <w:rFonts w:ascii="Times New Roman" w:hAnsi="Times New Roman"/>
                <w:sz w:val="24"/>
              </w:rPr>
              <w:t xml:space="preserve"> v </w:t>
            </w:r>
            <w:r w:rsidRPr="00A87849">
              <w:rPr>
                <w:rFonts w:ascii="Times New Roman" w:hAnsi="Times New Roman"/>
                <w:sz w:val="24"/>
              </w:rPr>
              <w:t>stĺpci e tohto vzoru.</w:t>
            </w:r>
          </w:p>
          <w:p w14:paraId="322DD119" w14:textId="04F978E6" w:rsidR="00087388" w:rsidRPr="00A87849" w:rsidRDefault="00087388" w:rsidP="11F50173">
            <w:pPr>
              <w:spacing w:after="120"/>
              <w:jc w:val="both"/>
              <w:rPr>
                <w:rFonts w:ascii="Times New Roman" w:hAnsi="Times New Roman" w:cs="Times New Roman"/>
                <w:sz w:val="24"/>
              </w:rPr>
            </w:pPr>
            <w:r w:rsidRPr="00A87849">
              <w:rPr>
                <w:rFonts w:ascii="Times New Roman" w:hAnsi="Times New Roman"/>
                <w:sz w:val="24"/>
              </w:rPr>
              <w:t>Zverejňovaná LGD zodpovedá konečnému odhadu LGD použitému pri výpočte rizikovo vážených hodnôt získaných po zohľadnení všetkých účinkov zmierňovania kreditného rizika</w:t>
            </w:r>
            <w:r w:rsidR="00A87849">
              <w:rPr>
                <w:rFonts w:ascii="Times New Roman" w:hAnsi="Times New Roman"/>
                <w:sz w:val="24"/>
              </w:rPr>
              <w:t xml:space="preserve"> a </w:t>
            </w:r>
            <w:r w:rsidRPr="00A87849">
              <w:rPr>
                <w:rFonts w:ascii="Times New Roman" w:hAnsi="Times New Roman"/>
                <w:sz w:val="24"/>
              </w:rPr>
              <w:t>prípadne podmienok poklesu. Pri retailových expozíciách zabezpečených nehnuteľným majetkom sa</w:t>
            </w:r>
            <w:r w:rsidR="00A87849">
              <w:rPr>
                <w:rFonts w:ascii="Times New Roman" w:hAnsi="Times New Roman"/>
                <w:sz w:val="24"/>
              </w:rPr>
              <w:t xml:space="preserve"> v </w:t>
            </w:r>
            <w:r w:rsidRPr="00A87849">
              <w:rPr>
                <w:rFonts w:ascii="Times New Roman" w:hAnsi="Times New Roman"/>
                <w:sz w:val="24"/>
              </w:rPr>
              <w:t>prípade zverejňovanej LGD zohľadňujú dolné ohraničenia uvedené</w:t>
            </w:r>
            <w:r w:rsidR="00A87849">
              <w:rPr>
                <w:rFonts w:ascii="Times New Roman" w:hAnsi="Times New Roman"/>
                <w:sz w:val="24"/>
              </w:rPr>
              <w:t xml:space="preserve"> v </w:t>
            </w:r>
            <w:r w:rsidRPr="00A87849">
              <w:rPr>
                <w:rFonts w:ascii="Times New Roman" w:hAnsi="Times New Roman"/>
                <w:sz w:val="24"/>
              </w:rPr>
              <w:t xml:space="preserve">článku 164 ods. 4 nariadenia (EÚ) </w:t>
            </w:r>
            <w:r w:rsidR="00A87849">
              <w:rPr>
                <w:rFonts w:ascii="Times New Roman" w:hAnsi="Times New Roman"/>
                <w:sz w:val="24"/>
              </w:rPr>
              <w:t>č. </w:t>
            </w:r>
            <w:r w:rsidRPr="00A87849">
              <w:rPr>
                <w:rFonts w:ascii="Times New Roman" w:hAnsi="Times New Roman"/>
                <w:sz w:val="24"/>
              </w:rPr>
              <w:t>575/2013.</w:t>
            </w:r>
          </w:p>
          <w:p w14:paraId="2D98E957" w14:textId="1B2EE2E1" w:rsidR="00087388" w:rsidRPr="00A87849" w:rsidRDefault="00087388" w:rsidP="11F50173">
            <w:pPr>
              <w:spacing w:after="120"/>
              <w:jc w:val="both"/>
              <w:rPr>
                <w:rFonts w:ascii="Times New Roman" w:hAnsi="Times New Roman" w:cs="Times New Roman"/>
                <w:sz w:val="24"/>
              </w:rPr>
            </w:pPr>
            <w:r w:rsidRPr="00A87849">
              <w:rPr>
                <w:rFonts w:ascii="Times New Roman" w:hAnsi="Times New Roman"/>
                <w:sz w:val="24"/>
              </w:rPr>
              <w:t>V prípade expozícií, na ktoré sa vzťahuje prístup dvojnásobného zlyhania, zverejňovaná LGD zodpovedá LGD zvolenej</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161 ods. 4 nariadenia (EÚ) </w:t>
            </w:r>
            <w:r w:rsidR="00A87849">
              <w:rPr>
                <w:rFonts w:ascii="Times New Roman" w:hAnsi="Times New Roman"/>
                <w:sz w:val="24"/>
              </w:rPr>
              <w:t>č. </w:t>
            </w:r>
            <w:r w:rsidRPr="00A87849">
              <w:rPr>
                <w:rFonts w:ascii="Times New Roman" w:hAnsi="Times New Roman"/>
                <w:sz w:val="24"/>
              </w:rPr>
              <w:t>575/2013.</w:t>
            </w:r>
          </w:p>
          <w:p w14:paraId="1D3BC235" w14:textId="7435015A" w:rsidR="00087388" w:rsidRPr="00A87849" w:rsidRDefault="00087388" w:rsidP="11F50173">
            <w:pPr>
              <w:spacing w:after="120"/>
              <w:jc w:val="both"/>
              <w:rPr>
                <w:rFonts w:ascii="Times New Roman" w:hAnsi="Times New Roman" w:cs="Times New Roman"/>
                <w:sz w:val="24"/>
              </w:rPr>
            </w:pPr>
            <w:r w:rsidRPr="00A87849">
              <w:rPr>
                <w:rFonts w:ascii="Times New Roman" w:hAnsi="Times New Roman"/>
                <w:sz w:val="24"/>
              </w:rPr>
              <w:t>Pri expozíciách</w:t>
            </w:r>
            <w:r w:rsidR="00A87849">
              <w:rPr>
                <w:rFonts w:ascii="Times New Roman" w:hAnsi="Times New Roman"/>
                <w:sz w:val="24"/>
              </w:rPr>
              <w:t xml:space="preserve"> v </w:t>
            </w:r>
            <w:r w:rsidRPr="00A87849">
              <w:rPr>
                <w:rFonts w:ascii="Times New Roman" w:hAnsi="Times New Roman"/>
                <w:sz w:val="24"/>
              </w:rPr>
              <w:t>stave zlyhania podľa prístupu A-IRB sa zohľadňujú ustanovenia uvedené</w:t>
            </w:r>
            <w:r w:rsidR="00A87849">
              <w:rPr>
                <w:rFonts w:ascii="Times New Roman" w:hAnsi="Times New Roman"/>
                <w:sz w:val="24"/>
              </w:rPr>
              <w:t xml:space="preserve"> v </w:t>
            </w:r>
            <w:r w:rsidRPr="00A87849">
              <w:rPr>
                <w:rFonts w:ascii="Times New Roman" w:hAnsi="Times New Roman"/>
                <w:sz w:val="24"/>
              </w:rPr>
              <w:t xml:space="preserve">článku 181 ods. 1 písm. h) nariadenia (EÚ) </w:t>
            </w:r>
            <w:r w:rsidR="00A87849">
              <w:rPr>
                <w:rFonts w:ascii="Times New Roman" w:hAnsi="Times New Roman"/>
                <w:sz w:val="24"/>
              </w:rPr>
              <w:t>č. </w:t>
            </w:r>
            <w:r w:rsidRPr="00A87849">
              <w:rPr>
                <w:rFonts w:ascii="Times New Roman" w:hAnsi="Times New Roman"/>
                <w:sz w:val="24"/>
              </w:rPr>
              <w:t>575/2013. Zverejňovaná LGD zodpovedá odhadu LGD</w:t>
            </w:r>
            <w:r w:rsidR="00A87849">
              <w:rPr>
                <w:rFonts w:ascii="Times New Roman" w:hAnsi="Times New Roman"/>
                <w:sz w:val="24"/>
              </w:rPr>
              <w:t xml:space="preserve"> v </w:t>
            </w:r>
            <w:r w:rsidRPr="00A87849">
              <w:rPr>
                <w:rFonts w:ascii="Times New Roman" w:hAnsi="Times New Roman"/>
                <w:sz w:val="24"/>
              </w:rPr>
              <w:t>stave zlyhania</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príslušnými metodikami pre odhad.</w:t>
            </w:r>
          </w:p>
        </w:tc>
      </w:tr>
      <w:tr w:rsidR="009610E4" w:rsidRPr="00A87849" w14:paraId="3A4FB7CB" w14:textId="77777777" w:rsidTr="60FDE7BB">
        <w:trPr>
          <w:trHeight w:val="695"/>
        </w:trPr>
        <w:tc>
          <w:tcPr>
            <w:tcW w:w="1555" w:type="dxa"/>
          </w:tcPr>
          <w:p w14:paraId="5FDD1F99" w14:textId="3ABA492A" w:rsidR="00087388" w:rsidRPr="00A87849" w:rsidRDefault="00E643F5" w:rsidP="00725D4D">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t>h</w:t>
            </w:r>
          </w:p>
        </w:tc>
        <w:tc>
          <w:tcPr>
            <w:tcW w:w="7483" w:type="dxa"/>
          </w:tcPr>
          <w:p w14:paraId="4AE02F64"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b/>
                <w:sz w:val="24"/>
              </w:rPr>
            </w:pPr>
            <w:r w:rsidRPr="00A87849">
              <w:rPr>
                <w:rFonts w:ascii="Times New Roman" w:hAnsi="Times New Roman"/>
                <w:b/>
                <w:sz w:val="24"/>
              </w:rPr>
              <w:t>Expozíciami vážená priemerná splatnosť (v rokoch)</w:t>
            </w:r>
          </w:p>
          <w:p w14:paraId="5F0587B5" w14:textId="5576D17D"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Pri všetkých expozíciách zahrnutých</w:t>
            </w:r>
            <w:r w:rsidR="00A87849">
              <w:rPr>
                <w:rFonts w:ascii="Times New Roman" w:hAnsi="Times New Roman"/>
                <w:sz w:val="24"/>
              </w:rPr>
              <w:t xml:space="preserve"> v </w:t>
            </w:r>
            <w:r w:rsidRPr="00A87849">
              <w:rPr>
                <w:rFonts w:ascii="Times New Roman" w:hAnsi="Times New Roman"/>
                <w:sz w:val="24"/>
              </w:rPr>
              <w:t>každej skupine pevného rozsahu PD priemerná splatnosť každej expozície vážená hodnotou expozície po uplatnení konverzných faktorov úverov, ako sa uvádza</w:t>
            </w:r>
            <w:r w:rsidR="00A87849">
              <w:rPr>
                <w:rFonts w:ascii="Times New Roman" w:hAnsi="Times New Roman"/>
                <w:sz w:val="24"/>
              </w:rPr>
              <w:t xml:space="preserve"> v </w:t>
            </w:r>
            <w:r w:rsidRPr="00A87849">
              <w:rPr>
                <w:rFonts w:ascii="Times New Roman" w:hAnsi="Times New Roman"/>
                <w:sz w:val="24"/>
              </w:rPr>
              <w:t>stĺpci e tohto vzoru.</w:t>
            </w:r>
          </w:p>
          <w:p w14:paraId="279ADF5B" w14:textId="00859ED3" w:rsidR="00A87849" w:rsidRDefault="00087388" w:rsidP="11F50173">
            <w:pPr>
              <w:spacing w:after="120"/>
              <w:rPr>
                <w:rFonts w:ascii="Times New Roman" w:hAnsi="Times New Roman"/>
                <w:sz w:val="24"/>
              </w:rPr>
            </w:pPr>
            <w:r w:rsidRPr="00A87849">
              <w:rPr>
                <w:rFonts w:ascii="Times New Roman" w:hAnsi="Times New Roman"/>
                <w:sz w:val="24"/>
              </w:rPr>
              <w:t xml:space="preserve">Zverejňovaná hodnota splatnosti odzrkadľuje článok 162 nariadenia (EÚ) </w:t>
            </w:r>
            <w:r w:rsidR="00A87849">
              <w:rPr>
                <w:rFonts w:ascii="Times New Roman" w:hAnsi="Times New Roman"/>
                <w:sz w:val="24"/>
              </w:rPr>
              <w:t>č. </w:t>
            </w:r>
            <w:r w:rsidRPr="00A87849">
              <w:rPr>
                <w:rFonts w:ascii="Times New Roman" w:hAnsi="Times New Roman"/>
                <w:sz w:val="24"/>
              </w:rPr>
              <w:t>575/2013</w:t>
            </w:r>
            <w:r w:rsidR="00A87849">
              <w:rPr>
                <w:rFonts w:ascii="Times New Roman" w:hAnsi="Times New Roman"/>
                <w:sz w:val="24"/>
              </w:rPr>
              <w:t>.</w:t>
            </w:r>
          </w:p>
          <w:p w14:paraId="3D7CEB78" w14:textId="6B1BB6B1" w:rsidR="00087388" w:rsidRPr="00A87849" w:rsidRDefault="00087388" w:rsidP="00725D4D">
            <w:pPr>
              <w:spacing w:after="120"/>
              <w:rPr>
                <w:rFonts w:ascii="Times New Roman" w:hAnsi="Times New Roman" w:cs="Times New Roman"/>
                <w:sz w:val="24"/>
              </w:rPr>
            </w:pPr>
            <w:r w:rsidRPr="00A87849">
              <w:rPr>
                <w:rFonts w:ascii="Times New Roman" w:hAnsi="Times New Roman"/>
                <w:sz w:val="24"/>
              </w:rPr>
              <w:t>Priemerná splatnosť sa zverejňuje</w:t>
            </w:r>
            <w:r w:rsidR="00A87849">
              <w:rPr>
                <w:rFonts w:ascii="Times New Roman" w:hAnsi="Times New Roman"/>
                <w:sz w:val="24"/>
              </w:rPr>
              <w:t xml:space="preserve"> v </w:t>
            </w:r>
            <w:r w:rsidRPr="00A87849">
              <w:rPr>
                <w:rFonts w:ascii="Times New Roman" w:hAnsi="Times New Roman"/>
                <w:sz w:val="24"/>
              </w:rPr>
              <w:t>rokoch.</w:t>
            </w:r>
          </w:p>
          <w:p w14:paraId="5D1C7074" w14:textId="7C99562B" w:rsidR="00087388" w:rsidRPr="00A87849" w:rsidRDefault="00087388" w:rsidP="63E31B68">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Tieto údaje sa nezverejňujú pri hodnotách expozícií,</w:t>
            </w:r>
            <w:r w:rsidR="00A87849">
              <w:rPr>
                <w:rFonts w:ascii="Times New Roman" w:hAnsi="Times New Roman"/>
                <w:sz w:val="24"/>
              </w:rPr>
              <w:t xml:space="preserve"> v </w:t>
            </w:r>
            <w:r w:rsidRPr="00A87849">
              <w:rPr>
                <w:rFonts w:ascii="Times New Roman" w:hAnsi="Times New Roman"/>
                <w:sz w:val="24"/>
              </w:rPr>
              <w:t xml:space="preserve">prípade ktorých splatnosť nie je prvkom vo výpočte </w:t>
            </w:r>
            <w:r w:rsidRPr="00A87849">
              <w:rPr>
                <w:rStyle w:val="InstructionsTabelleText"/>
                <w:rFonts w:ascii="Times New Roman" w:hAnsi="Times New Roman"/>
                <w:sz w:val="24"/>
              </w:rPr>
              <w:t>hodnôt rizikovo vážených expozícií</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treťou časťou hlavou II kapitolou 3 nariadenia (EÚ) </w:t>
            </w:r>
            <w:r w:rsidR="00A87849">
              <w:rPr>
                <w:rFonts w:ascii="Times New Roman" w:hAnsi="Times New Roman"/>
                <w:sz w:val="24"/>
              </w:rPr>
              <w:t>č. </w:t>
            </w:r>
            <w:r w:rsidRPr="00A87849">
              <w:rPr>
                <w:rFonts w:ascii="Times New Roman" w:hAnsi="Times New Roman"/>
                <w:sz w:val="24"/>
              </w:rPr>
              <w:t>575/2013. Znamená to, že pre triedu expozícií „retail“ sa tento stĺpec nevypĺňa.</w:t>
            </w:r>
          </w:p>
        </w:tc>
      </w:tr>
      <w:tr w:rsidR="009610E4" w:rsidRPr="00A87849" w14:paraId="4C616055" w14:textId="77777777" w:rsidTr="60FDE7BB">
        <w:trPr>
          <w:trHeight w:val="695"/>
        </w:trPr>
        <w:tc>
          <w:tcPr>
            <w:tcW w:w="1555" w:type="dxa"/>
          </w:tcPr>
          <w:p w14:paraId="3886062F" w14:textId="61A30A29" w:rsidR="00087388" w:rsidRPr="00A87849" w:rsidDel="00F079B2" w:rsidRDefault="00E643F5" w:rsidP="00725D4D">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t>i</w:t>
            </w:r>
          </w:p>
        </w:tc>
        <w:tc>
          <w:tcPr>
            <w:tcW w:w="7483" w:type="dxa"/>
          </w:tcPr>
          <w:p w14:paraId="10CC1622"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b/>
                <w:sz w:val="24"/>
              </w:rPr>
            </w:pPr>
            <w:r w:rsidRPr="00A87849">
              <w:rPr>
                <w:rFonts w:ascii="Times New Roman" w:hAnsi="Times New Roman"/>
                <w:b/>
                <w:sz w:val="24"/>
              </w:rPr>
              <w:t>Hodnota rizikovo váženej expozície po uplatnení podporných faktorov</w:t>
            </w:r>
          </w:p>
          <w:p w14:paraId="32F4737E" w14:textId="70105FCD" w:rsidR="00087388" w:rsidRPr="00A87849" w:rsidRDefault="00087388" w:rsidP="11F50173">
            <w:pPr>
              <w:spacing w:after="120"/>
              <w:jc w:val="both"/>
              <w:rPr>
                <w:rFonts w:ascii="Times New Roman" w:eastAsia="Times New Roman" w:hAnsi="Times New Roman" w:cs="Times New Roman"/>
                <w:sz w:val="24"/>
              </w:rPr>
            </w:pPr>
            <w:r w:rsidRPr="00A87849">
              <w:rPr>
                <w:rFonts w:ascii="Times New Roman" w:hAnsi="Times New Roman"/>
                <w:sz w:val="24"/>
              </w:rPr>
              <w:t>Pri expozíciách voči ústredným vládam</w:t>
            </w:r>
            <w:r w:rsidR="00A87849">
              <w:rPr>
                <w:rFonts w:ascii="Times New Roman" w:hAnsi="Times New Roman"/>
                <w:sz w:val="24"/>
              </w:rPr>
              <w:t xml:space="preserve"> a </w:t>
            </w:r>
            <w:r w:rsidRPr="00A87849">
              <w:rPr>
                <w:rFonts w:ascii="Times New Roman" w:hAnsi="Times New Roman"/>
                <w:sz w:val="24"/>
              </w:rPr>
              <w:t>centrálnym bankám, inštitúciám</w:t>
            </w:r>
            <w:r w:rsidR="00A87849">
              <w:rPr>
                <w:rFonts w:ascii="Times New Roman" w:hAnsi="Times New Roman"/>
                <w:sz w:val="24"/>
              </w:rPr>
              <w:t xml:space="preserve"> a </w:t>
            </w:r>
            <w:r w:rsidRPr="00A87849">
              <w:rPr>
                <w:rFonts w:ascii="Times New Roman" w:hAnsi="Times New Roman"/>
                <w:sz w:val="24"/>
              </w:rPr>
              <w:t xml:space="preserve">podnikateľským subjektom hodnota rizikovo váženej expozície </w:t>
            </w:r>
            <w:r w:rsidRPr="00A87849">
              <w:rPr>
                <w:rFonts w:ascii="Times New Roman" w:hAnsi="Times New Roman"/>
                <w:sz w:val="24"/>
              </w:rPr>
              <w:lastRenderedPageBreak/>
              <w:t>vypočítaná</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153 ods. 1 až 4 nariadenia (EÚ) </w:t>
            </w:r>
            <w:r w:rsidR="00A87849">
              <w:rPr>
                <w:rFonts w:ascii="Times New Roman" w:hAnsi="Times New Roman"/>
                <w:sz w:val="24"/>
              </w:rPr>
              <w:t>č. </w:t>
            </w:r>
            <w:r w:rsidRPr="00A87849">
              <w:rPr>
                <w:rFonts w:ascii="Times New Roman" w:hAnsi="Times New Roman"/>
                <w:sz w:val="24"/>
              </w:rPr>
              <w:t>575/2013; pri retailových expozíciách hodnota rizikovo váženej expozície vypočítaná</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154 nariadenia (EÚ) </w:t>
            </w:r>
            <w:r w:rsidR="00A87849">
              <w:rPr>
                <w:rFonts w:ascii="Times New Roman" w:hAnsi="Times New Roman"/>
                <w:sz w:val="24"/>
              </w:rPr>
              <w:t>č. </w:t>
            </w:r>
            <w:r w:rsidRPr="00A87849">
              <w:rPr>
                <w:rFonts w:ascii="Times New Roman" w:hAnsi="Times New Roman"/>
                <w:sz w:val="24"/>
              </w:rPr>
              <w:t>575/2013.</w:t>
            </w:r>
          </w:p>
          <w:p w14:paraId="2EAE4CC0" w14:textId="6BD787B3" w:rsidR="00087388" w:rsidRPr="00A87849" w:rsidRDefault="00087388" w:rsidP="11F50173">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Zohľadňujú sa faktory na podporu MSP</w:t>
            </w:r>
            <w:r w:rsidR="00A87849">
              <w:rPr>
                <w:rFonts w:ascii="Times New Roman" w:hAnsi="Times New Roman"/>
                <w:sz w:val="24"/>
              </w:rPr>
              <w:t xml:space="preserve"> a </w:t>
            </w:r>
            <w:r w:rsidRPr="00A87849">
              <w:rPr>
                <w:rFonts w:ascii="Times New Roman" w:hAnsi="Times New Roman"/>
                <w:sz w:val="24"/>
              </w:rPr>
              <w:t>infraštruktúry</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článkami 501</w:t>
            </w:r>
            <w:r w:rsidR="00A87849">
              <w:rPr>
                <w:rFonts w:ascii="Times New Roman" w:hAnsi="Times New Roman"/>
                <w:sz w:val="24"/>
              </w:rPr>
              <w:t xml:space="preserve"> a </w:t>
            </w:r>
            <w:r w:rsidRPr="00A87849">
              <w:rPr>
                <w:rFonts w:ascii="Times New Roman" w:hAnsi="Times New Roman"/>
                <w:sz w:val="24"/>
              </w:rPr>
              <w:t xml:space="preserve">501a nariadenia (EÚ) </w:t>
            </w:r>
            <w:r w:rsidR="00A87849">
              <w:rPr>
                <w:rFonts w:ascii="Times New Roman" w:hAnsi="Times New Roman"/>
                <w:sz w:val="24"/>
              </w:rPr>
              <w:t>č. </w:t>
            </w:r>
            <w:r w:rsidRPr="00A87849">
              <w:rPr>
                <w:rFonts w:ascii="Times New Roman" w:hAnsi="Times New Roman"/>
                <w:sz w:val="24"/>
              </w:rPr>
              <w:t xml:space="preserve">575/2013. </w:t>
            </w:r>
          </w:p>
        </w:tc>
      </w:tr>
      <w:tr w:rsidR="00087388" w:rsidRPr="00A87849" w14:paraId="41B76A0A" w14:textId="77777777" w:rsidTr="60FDE7BB">
        <w:trPr>
          <w:trHeight w:val="695"/>
        </w:trPr>
        <w:tc>
          <w:tcPr>
            <w:tcW w:w="1555" w:type="dxa"/>
          </w:tcPr>
          <w:p w14:paraId="3BF6AD36" w14:textId="61857C15" w:rsidR="00087388" w:rsidRPr="00A87849" w:rsidRDefault="00E643F5" w:rsidP="00725D4D">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lastRenderedPageBreak/>
              <w:t>j</w:t>
            </w:r>
          </w:p>
        </w:tc>
        <w:tc>
          <w:tcPr>
            <w:tcW w:w="7483" w:type="dxa"/>
          </w:tcPr>
          <w:p w14:paraId="254CED4A" w14:textId="77777777"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b/>
                <w:sz w:val="24"/>
              </w:rPr>
              <w:t>Hustota hodnôt rizikovo vážených expozícií</w:t>
            </w:r>
          </w:p>
          <w:p w14:paraId="0A097DB5" w14:textId="0810F923" w:rsidR="00087388" w:rsidRPr="00A87849" w:rsidRDefault="00087388" w:rsidP="00725D4D">
            <w:pPr>
              <w:autoSpaceDE w:val="0"/>
              <w:autoSpaceDN w:val="0"/>
              <w:adjustRightInd w:val="0"/>
              <w:spacing w:after="120"/>
              <w:jc w:val="both"/>
              <w:rPr>
                <w:rFonts w:ascii="Times New Roman" w:hAnsi="Times New Roman" w:cs="Times New Roman"/>
                <w:b/>
                <w:sz w:val="24"/>
              </w:rPr>
            </w:pPr>
            <w:r w:rsidRPr="00A87849">
              <w:rPr>
                <w:rFonts w:ascii="Times New Roman" w:hAnsi="Times New Roman"/>
                <w:sz w:val="24"/>
              </w:rPr>
              <w:t>Pomer medzi súčtom hodnôt rizikovo vážených expozícií po uplatnení podporných faktorov, ako sa uvádza</w:t>
            </w:r>
            <w:r w:rsidR="00A87849">
              <w:rPr>
                <w:rFonts w:ascii="Times New Roman" w:hAnsi="Times New Roman"/>
                <w:sz w:val="24"/>
              </w:rPr>
              <w:t xml:space="preserve"> v </w:t>
            </w:r>
            <w:r w:rsidRPr="00A87849">
              <w:rPr>
                <w:rFonts w:ascii="Times New Roman" w:hAnsi="Times New Roman"/>
                <w:sz w:val="24"/>
              </w:rPr>
              <w:t>stĺpci</w:t>
            </w:r>
            <w:r w:rsidR="00A87849">
              <w:rPr>
                <w:rFonts w:ascii="Times New Roman" w:hAnsi="Times New Roman"/>
                <w:sz w:val="24"/>
              </w:rPr>
              <w:t xml:space="preserve"> i </w:t>
            </w:r>
            <w:r w:rsidRPr="00A87849">
              <w:rPr>
                <w:rFonts w:ascii="Times New Roman" w:hAnsi="Times New Roman"/>
                <w:sz w:val="24"/>
              </w:rPr>
              <w:t>tohto vzoru,</w:t>
            </w:r>
            <w:r w:rsidR="00A87849">
              <w:rPr>
                <w:rFonts w:ascii="Times New Roman" w:hAnsi="Times New Roman"/>
                <w:sz w:val="24"/>
              </w:rPr>
              <w:t xml:space="preserve"> a </w:t>
            </w:r>
            <w:r w:rsidRPr="00A87849">
              <w:rPr>
                <w:rFonts w:ascii="Times New Roman" w:hAnsi="Times New Roman"/>
                <w:sz w:val="24"/>
              </w:rPr>
              <w:t>hodnotou expozície, ako sa uvádza</w:t>
            </w:r>
            <w:r w:rsidR="00A87849">
              <w:rPr>
                <w:rFonts w:ascii="Times New Roman" w:hAnsi="Times New Roman"/>
                <w:sz w:val="24"/>
              </w:rPr>
              <w:t xml:space="preserve"> v </w:t>
            </w:r>
            <w:r w:rsidRPr="00A87849">
              <w:rPr>
                <w:rFonts w:ascii="Times New Roman" w:hAnsi="Times New Roman"/>
                <w:sz w:val="24"/>
              </w:rPr>
              <w:t>stĺpci d tohto vzoru.</w:t>
            </w:r>
          </w:p>
        </w:tc>
      </w:tr>
      <w:tr w:rsidR="009610E4" w:rsidRPr="00A87849" w14:paraId="3554034A" w14:textId="77777777" w:rsidTr="60FDE7BB">
        <w:trPr>
          <w:trHeight w:val="695"/>
        </w:trPr>
        <w:tc>
          <w:tcPr>
            <w:tcW w:w="1555" w:type="dxa"/>
          </w:tcPr>
          <w:p w14:paraId="201627B3" w14:textId="7AB25CBD" w:rsidR="00087388" w:rsidRPr="00A87849" w:rsidRDefault="00E643F5" w:rsidP="00725D4D">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t>k</w:t>
            </w:r>
          </w:p>
        </w:tc>
        <w:tc>
          <w:tcPr>
            <w:tcW w:w="7483" w:type="dxa"/>
          </w:tcPr>
          <w:p w14:paraId="2480350D" w14:textId="77777777" w:rsidR="00087388" w:rsidRPr="00A87849" w:rsidRDefault="00087388" w:rsidP="00725D4D">
            <w:pPr>
              <w:autoSpaceDE w:val="0"/>
              <w:autoSpaceDN w:val="0"/>
              <w:adjustRightInd w:val="0"/>
              <w:spacing w:after="120"/>
              <w:rPr>
                <w:rFonts w:ascii="Times New Roman" w:hAnsi="Times New Roman" w:cs="Times New Roman"/>
                <w:b/>
                <w:sz w:val="24"/>
              </w:rPr>
            </w:pPr>
            <w:r w:rsidRPr="00A87849">
              <w:rPr>
                <w:rFonts w:ascii="Times New Roman" w:hAnsi="Times New Roman"/>
                <w:b/>
                <w:sz w:val="24"/>
              </w:rPr>
              <w:t>Výška očakávaných strát</w:t>
            </w:r>
          </w:p>
          <w:p w14:paraId="3F5BAB26" w14:textId="60E6A740" w:rsidR="00087388" w:rsidRPr="00A87849" w:rsidRDefault="00087388" w:rsidP="11F50173">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t>Výška očakávanej straty vypočítaná</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158 nariadenia (EÚ) </w:t>
            </w:r>
            <w:r w:rsidR="00A87849">
              <w:rPr>
                <w:rFonts w:ascii="Times New Roman" w:hAnsi="Times New Roman"/>
                <w:sz w:val="24"/>
              </w:rPr>
              <w:t>č. </w:t>
            </w:r>
            <w:r w:rsidRPr="00A87849">
              <w:rPr>
                <w:rFonts w:ascii="Times New Roman" w:hAnsi="Times New Roman"/>
                <w:sz w:val="24"/>
              </w:rPr>
              <w:t>575/2013.</w:t>
            </w:r>
          </w:p>
          <w:p w14:paraId="04447CFA" w14:textId="4B584BB6" w:rsidR="00087388" w:rsidRPr="00A87849" w:rsidRDefault="00087388" w:rsidP="00725D4D">
            <w:pPr>
              <w:autoSpaceDE w:val="0"/>
              <w:autoSpaceDN w:val="0"/>
              <w:adjustRightInd w:val="0"/>
              <w:spacing w:after="120"/>
              <w:rPr>
                <w:rFonts w:ascii="Times New Roman" w:hAnsi="Times New Roman" w:cs="Times New Roman"/>
                <w:b/>
                <w:sz w:val="24"/>
              </w:rPr>
            </w:pPr>
            <w:r w:rsidRPr="00A87849">
              <w:rPr>
                <w:rFonts w:ascii="Times New Roman" w:hAnsi="Times New Roman"/>
                <w:sz w:val="24"/>
              </w:rPr>
              <w:t>Zverejňovaná výška očakávanej straty je založená na skutočných parametroch rizika, ktoré sa používajú</w:t>
            </w:r>
            <w:r w:rsidR="00A87849">
              <w:rPr>
                <w:rFonts w:ascii="Times New Roman" w:hAnsi="Times New Roman"/>
                <w:sz w:val="24"/>
              </w:rPr>
              <w:t xml:space="preserve"> v </w:t>
            </w:r>
            <w:r w:rsidRPr="00A87849">
              <w:rPr>
                <w:rFonts w:ascii="Times New Roman" w:hAnsi="Times New Roman"/>
                <w:sz w:val="24"/>
              </w:rPr>
              <w:t>internom ratingovom systéme schválenom dotknutým príslušným orgánom.</w:t>
            </w:r>
          </w:p>
        </w:tc>
      </w:tr>
      <w:tr w:rsidR="009610E4" w:rsidRPr="00A87849" w14:paraId="48A866E0" w14:textId="77777777" w:rsidTr="60FDE7BB">
        <w:trPr>
          <w:trHeight w:val="695"/>
        </w:trPr>
        <w:tc>
          <w:tcPr>
            <w:tcW w:w="1555" w:type="dxa"/>
          </w:tcPr>
          <w:p w14:paraId="748633DD" w14:textId="400B9BCC" w:rsidR="00087388" w:rsidRPr="00A87849" w:rsidRDefault="00E643F5" w:rsidP="00725D4D">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t>l</w:t>
            </w:r>
          </w:p>
        </w:tc>
        <w:tc>
          <w:tcPr>
            <w:tcW w:w="7483" w:type="dxa"/>
          </w:tcPr>
          <w:p w14:paraId="671BD8C8" w14:textId="3D4C0461" w:rsidR="00087388" w:rsidRPr="00A87849" w:rsidRDefault="00087388" w:rsidP="00725D4D">
            <w:pPr>
              <w:autoSpaceDE w:val="0"/>
              <w:autoSpaceDN w:val="0"/>
              <w:adjustRightInd w:val="0"/>
              <w:spacing w:after="120"/>
              <w:jc w:val="both"/>
              <w:rPr>
                <w:rFonts w:ascii="Times New Roman" w:hAnsi="Times New Roman" w:cs="Times New Roman"/>
                <w:b/>
                <w:sz w:val="24"/>
              </w:rPr>
            </w:pPr>
            <w:r w:rsidRPr="00A87849">
              <w:rPr>
                <w:rFonts w:ascii="Times New Roman" w:hAnsi="Times New Roman"/>
                <w:b/>
                <w:sz w:val="24"/>
              </w:rPr>
              <w:t>Úpravy ocenenia</w:t>
            </w:r>
            <w:r w:rsidR="00A87849">
              <w:rPr>
                <w:rFonts w:ascii="Times New Roman" w:hAnsi="Times New Roman"/>
                <w:b/>
                <w:sz w:val="24"/>
              </w:rPr>
              <w:t xml:space="preserve"> a </w:t>
            </w:r>
            <w:r w:rsidRPr="00A87849">
              <w:rPr>
                <w:rFonts w:ascii="Times New Roman" w:hAnsi="Times New Roman"/>
                <w:b/>
                <w:sz w:val="24"/>
              </w:rPr>
              <w:t>rezervy</w:t>
            </w:r>
          </w:p>
          <w:p w14:paraId="1A7911DD" w14:textId="2E7A89E0" w:rsidR="00087388" w:rsidRPr="00A87849" w:rsidRDefault="00087388" w:rsidP="11F50173">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Špecifické</w:t>
            </w:r>
            <w:r w:rsidR="00A87849">
              <w:rPr>
                <w:rFonts w:ascii="Times New Roman" w:hAnsi="Times New Roman"/>
                <w:sz w:val="24"/>
              </w:rPr>
              <w:t xml:space="preserve"> a </w:t>
            </w:r>
            <w:r w:rsidRPr="00A87849">
              <w:rPr>
                <w:rFonts w:ascii="Times New Roman" w:hAnsi="Times New Roman"/>
                <w:sz w:val="24"/>
              </w:rPr>
              <w:t>všeobecné úpravy kreditného rizika</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delegovaným nariadením Komisie (EÚ) </w:t>
            </w:r>
            <w:r w:rsidR="00A87849">
              <w:rPr>
                <w:rFonts w:ascii="Times New Roman" w:hAnsi="Times New Roman"/>
                <w:sz w:val="24"/>
              </w:rPr>
              <w:t>č. </w:t>
            </w:r>
            <w:r w:rsidRPr="00A87849">
              <w:rPr>
                <w:rFonts w:ascii="Times New Roman" w:hAnsi="Times New Roman"/>
                <w:sz w:val="24"/>
              </w:rPr>
              <w:t>183/2014</w:t>
            </w:r>
            <w:r w:rsidRPr="00A87849">
              <w:rPr>
                <w:rStyle w:val="FootnoteReference"/>
                <w:rFonts w:ascii="Times New Roman" w:hAnsi="Times New Roman" w:cs="Times New Roman"/>
              </w:rPr>
              <w:footnoteReference w:id="2"/>
            </w:r>
            <w:r w:rsidRPr="00A87849">
              <w:rPr>
                <w:rFonts w:ascii="Times New Roman" w:hAnsi="Times New Roman"/>
                <w:sz w:val="24"/>
              </w:rPr>
              <w:t>, dodatočné úpravy ocenenia</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článkami 34</w:t>
            </w:r>
            <w:r w:rsidR="00A87849">
              <w:rPr>
                <w:rFonts w:ascii="Times New Roman" w:hAnsi="Times New Roman"/>
                <w:sz w:val="24"/>
              </w:rPr>
              <w:t xml:space="preserve"> a </w:t>
            </w:r>
            <w:r w:rsidRPr="00A87849">
              <w:rPr>
                <w:rFonts w:ascii="Times New Roman" w:hAnsi="Times New Roman"/>
                <w:sz w:val="24"/>
              </w:rPr>
              <w:t xml:space="preserve">110 nariadenia (EÚ) </w:t>
            </w:r>
            <w:r w:rsidR="00A87849">
              <w:rPr>
                <w:rFonts w:ascii="Times New Roman" w:hAnsi="Times New Roman"/>
                <w:sz w:val="24"/>
              </w:rPr>
              <w:t>č. </w:t>
            </w:r>
            <w:r w:rsidRPr="00A87849">
              <w:rPr>
                <w:rFonts w:ascii="Times New Roman" w:hAnsi="Times New Roman"/>
                <w:sz w:val="24"/>
              </w:rPr>
              <w:t>575/2013, ako aj iné zníženia vlastných zdrojov súvisiace</w:t>
            </w:r>
            <w:r w:rsidR="00A87849">
              <w:rPr>
                <w:rFonts w:ascii="Times New Roman" w:hAnsi="Times New Roman"/>
                <w:sz w:val="24"/>
              </w:rPr>
              <w:t xml:space="preserve"> s </w:t>
            </w:r>
            <w:r w:rsidRPr="00A87849">
              <w:rPr>
                <w:rFonts w:ascii="Times New Roman" w:hAnsi="Times New Roman"/>
                <w:sz w:val="24"/>
              </w:rPr>
              <w:t>expozíciami priradenými ku každej skupine pevného rozsahu PD.</w:t>
            </w:r>
          </w:p>
          <w:p w14:paraId="32081103" w14:textId="0AFDA1DB" w:rsidR="00A87849" w:rsidRDefault="00087388" w:rsidP="11F50173">
            <w:pPr>
              <w:autoSpaceDE w:val="0"/>
              <w:autoSpaceDN w:val="0"/>
              <w:adjustRightInd w:val="0"/>
              <w:spacing w:after="120"/>
              <w:jc w:val="both"/>
              <w:rPr>
                <w:rFonts w:ascii="Times New Roman" w:hAnsi="Times New Roman"/>
                <w:sz w:val="24"/>
              </w:rPr>
            </w:pPr>
            <w:r w:rsidRPr="00A87849">
              <w:rPr>
                <w:rFonts w:ascii="Times New Roman" w:hAnsi="Times New Roman"/>
                <w:sz w:val="24"/>
              </w:rPr>
              <w:t>Tieto úpravy ocenenia</w:t>
            </w:r>
            <w:r w:rsidR="00A87849">
              <w:rPr>
                <w:rFonts w:ascii="Times New Roman" w:hAnsi="Times New Roman"/>
                <w:sz w:val="24"/>
              </w:rPr>
              <w:t xml:space="preserve"> a </w:t>
            </w:r>
            <w:r w:rsidRPr="00A87849">
              <w:rPr>
                <w:rFonts w:ascii="Times New Roman" w:hAnsi="Times New Roman"/>
                <w:sz w:val="24"/>
              </w:rPr>
              <w:t>rezervy sú tie úpravy ocenenia</w:t>
            </w:r>
            <w:r w:rsidR="00A87849">
              <w:rPr>
                <w:rFonts w:ascii="Times New Roman" w:hAnsi="Times New Roman"/>
                <w:sz w:val="24"/>
              </w:rPr>
              <w:t xml:space="preserve"> a </w:t>
            </w:r>
            <w:r w:rsidRPr="00A87849">
              <w:rPr>
                <w:rFonts w:ascii="Times New Roman" w:hAnsi="Times New Roman"/>
                <w:sz w:val="24"/>
              </w:rPr>
              <w:t xml:space="preserve">rezervy, ktoré sa zohľadňujú pri vykonávaní článku 159 nariadenia (EÚ) </w:t>
            </w:r>
            <w:r w:rsidR="00A87849">
              <w:rPr>
                <w:rFonts w:ascii="Times New Roman" w:hAnsi="Times New Roman"/>
                <w:sz w:val="24"/>
              </w:rPr>
              <w:t>č. </w:t>
            </w:r>
            <w:r w:rsidRPr="00A87849">
              <w:rPr>
                <w:rFonts w:ascii="Times New Roman" w:hAnsi="Times New Roman"/>
                <w:sz w:val="24"/>
              </w:rPr>
              <w:t>575/2013</w:t>
            </w:r>
            <w:r w:rsidR="00A87849">
              <w:rPr>
                <w:rFonts w:ascii="Times New Roman" w:hAnsi="Times New Roman"/>
                <w:sz w:val="24"/>
              </w:rPr>
              <w:t>.</w:t>
            </w:r>
          </w:p>
          <w:p w14:paraId="588D9146" w14:textId="4AFEAC71" w:rsidR="00087388" w:rsidRPr="00A87849" w:rsidRDefault="00087388" w:rsidP="00725D4D">
            <w:pPr>
              <w:autoSpaceDE w:val="0"/>
              <w:autoSpaceDN w:val="0"/>
              <w:adjustRightInd w:val="0"/>
              <w:spacing w:after="120"/>
              <w:jc w:val="both"/>
              <w:rPr>
                <w:rFonts w:ascii="Times New Roman" w:hAnsi="Times New Roman" w:cs="Times New Roman"/>
                <w:b/>
                <w:sz w:val="24"/>
              </w:rPr>
            </w:pPr>
            <w:r w:rsidRPr="00A87849">
              <w:rPr>
                <w:rFonts w:ascii="Times New Roman" w:hAnsi="Times New Roman"/>
                <w:sz w:val="24"/>
              </w:rPr>
              <w:t>Všeobecné rezervy sa zverejňujú priradením hodnoty na pomernom základe</w:t>
            </w:r>
            <w:r w:rsidR="00A87849">
              <w:rPr>
                <w:rFonts w:ascii="Times New Roman" w:hAnsi="Times New Roman"/>
                <w:sz w:val="24"/>
              </w:rPr>
              <w:t> </w:t>
            </w:r>
            <w:r w:rsidRPr="00A87849">
              <w:rPr>
                <w:rFonts w:ascii="Times New Roman" w:hAnsi="Times New Roman"/>
                <w:sz w:val="24"/>
              </w:rPr>
              <w:t>–</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očakávanou stratou rôznych ratingových stupňov dlžníkov.</w:t>
            </w:r>
          </w:p>
        </w:tc>
      </w:tr>
    </w:tbl>
    <w:p w14:paraId="0D0B940D" w14:textId="77777777" w:rsidR="00087388" w:rsidRPr="00A87849" w:rsidRDefault="00087388" w:rsidP="00087388">
      <w:pPr>
        <w:spacing w:after="120"/>
        <w:rPr>
          <w:rFonts w:ascii="Times New Roman" w:hAnsi="Times New Roman" w:cs="Times New Roman"/>
          <w:sz w:val="24"/>
        </w:rPr>
      </w:pPr>
    </w:p>
    <w:p w14:paraId="0E27B00A" w14:textId="77777777" w:rsidR="00087388" w:rsidRPr="00A8784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A87849"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A87849" w:rsidRDefault="00087388" w:rsidP="00725D4D">
            <w:pPr>
              <w:autoSpaceDE w:val="0"/>
              <w:autoSpaceDN w:val="0"/>
              <w:adjustRightInd w:val="0"/>
              <w:spacing w:after="120"/>
              <w:rPr>
                <w:rFonts w:ascii="Times New Roman" w:hAnsi="Times New Roman" w:cs="Times New Roman"/>
                <w:b/>
                <w:sz w:val="24"/>
              </w:rPr>
            </w:pPr>
            <w:r w:rsidRPr="00A87849">
              <w:rPr>
                <w:rFonts w:ascii="Times New Roman" w:hAnsi="Times New Roman"/>
                <w:b/>
                <w:sz w:val="24"/>
              </w:rPr>
              <w:t>Odkaz na riadok</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4B995E47" w:rsidR="00087388" w:rsidRPr="00A87849" w:rsidRDefault="00087388" w:rsidP="00725D4D">
            <w:pPr>
              <w:spacing w:after="120"/>
              <w:rPr>
                <w:rFonts w:ascii="Times New Roman" w:hAnsi="Times New Roman" w:cs="Times New Roman"/>
                <w:b/>
                <w:sz w:val="24"/>
              </w:rPr>
            </w:pPr>
            <w:r w:rsidRPr="00A87849">
              <w:rPr>
                <w:rFonts w:ascii="Times New Roman" w:hAnsi="Times New Roman"/>
                <w:b/>
                <w:sz w:val="24"/>
              </w:rPr>
              <w:t>Odkazy na právne predpisy</w:t>
            </w:r>
            <w:r w:rsidR="00A87849">
              <w:rPr>
                <w:rFonts w:ascii="Times New Roman" w:hAnsi="Times New Roman"/>
                <w:b/>
                <w:sz w:val="24"/>
              </w:rPr>
              <w:t xml:space="preserve"> a </w:t>
            </w:r>
            <w:r w:rsidRPr="00A87849">
              <w:rPr>
                <w:rFonts w:ascii="Times New Roman" w:hAnsi="Times New Roman"/>
                <w:b/>
                <w:sz w:val="24"/>
              </w:rPr>
              <w:t>pokyny</w:t>
            </w:r>
          </w:p>
        </w:tc>
      </w:tr>
      <w:tr w:rsidR="00087388" w:rsidRPr="00A87849" w14:paraId="55527BB7" w14:textId="77777777" w:rsidTr="11F50173">
        <w:trPr>
          <w:trHeight w:val="238"/>
        </w:trPr>
        <w:tc>
          <w:tcPr>
            <w:tcW w:w="1555" w:type="dxa"/>
            <w:vMerge/>
          </w:tcPr>
          <w:p w14:paraId="60061E4C" w14:textId="77777777" w:rsidR="00087388" w:rsidRPr="00A87849"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A87849" w:rsidRDefault="00087388" w:rsidP="00725D4D">
            <w:pPr>
              <w:autoSpaceDE w:val="0"/>
              <w:autoSpaceDN w:val="0"/>
              <w:adjustRightInd w:val="0"/>
              <w:spacing w:after="120"/>
              <w:rPr>
                <w:rFonts w:ascii="Times New Roman" w:hAnsi="Times New Roman" w:cs="Times New Roman"/>
                <w:color w:val="000000"/>
                <w:sz w:val="24"/>
              </w:rPr>
            </w:pPr>
            <w:r w:rsidRPr="00A87849">
              <w:rPr>
                <w:rFonts w:ascii="Times New Roman" w:hAnsi="Times New Roman"/>
                <w:b/>
                <w:sz w:val="24"/>
              </w:rPr>
              <w:t>Vysvetlenie</w:t>
            </w:r>
          </w:p>
        </w:tc>
      </w:tr>
      <w:tr w:rsidR="00087388" w:rsidRPr="00A87849" w14:paraId="0683DB1D" w14:textId="77777777" w:rsidTr="11F50173">
        <w:trPr>
          <w:trHeight w:val="1601"/>
        </w:trPr>
        <w:tc>
          <w:tcPr>
            <w:tcW w:w="1555" w:type="dxa"/>
          </w:tcPr>
          <w:p w14:paraId="25D2174C" w14:textId="77777777" w:rsidR="00087388" w:rsidRPr="00A87849" w:rsidRDefault="00087388" w:rsidP="00725D4D">
            <w:pPr>
              <w:spacing w:after="120"/>
              <w:jc w:val="both"/>
              <w:rPr>
                <w:rFonts w:ascii="Times New Roman" w:hAnsi="Times New Roman" w:cs="Times New Roman"/>
                <w:bCs/>
                <w:sz w:val="24"/>
              </w:rPr>
            </w:pPr>
            <w:r w:rsidRPr="00A87849">
              <w:rPr>
                <w:rFonts w:ascii="Times New Roman" w:hAnsi="Times New Roman"/>
                <w:sz w:val="24"/>
              </w:rPr>
              <w:t>Trieda expozícií X</w:t>
            </w:r>
          </w:p>
          <w:p w14:paraId="44EAFD9C" w14:textId="77777777" w:rsidR="00087388" w:rsidRPr="00A87849"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D3AF41A" w:rsidR="00087388" w:rsidRPr="00A87849" w:rsidRDefault="01E22573" w:rsidP="0F62C19C">
            <w:pPr>
              <w:spacing w:after="120"/>
              <w:jc w:val="both"/>
              <w:rPr>
                <w:rFonts w:ascii="Times New Roman" w:hAnsi="Times New Roman" w:cs="Times New Roman"/>
                <w:sz w:val="24"/>
              </w:rPr>
            </w:pPr>
            <w:r w:rsidRPr="00A87849">
              <w:rPr>
                <w:rFonts w:ascii="Times New Roman" w:hAnsi="Times New Roman"/>
                <w:sz w:val="24"/>
              </w:rPr>
              <w:t>Ak inštitúcie dostali povolenie používať vlastné LGD</w:t>
            </w:r>
            <w:r w:rsidR="00A87849">
              <w:rPr>
                <w:rFonts w:ascii="Times New Roman" w:hAnsi="Times New Roman"/>
                <w:sz w:val="24"/>
              </w:rPr>
              <w:t xml:space="preserve"> a </w:t>
            </w:r>
            <w:r w:rsidRPr="00A87849">
              <w:rPr>
                <w:rFonts w:ascii="Times New Roman" w:hAnsi="Times New Roman"/>
                <w:sz w:val="24"/>
              </w:rPr>
              <w:t>konverzné faktory na výpočet hodnôt rizikovo vážených expozícií, informácie vyžadované</w:t>
            </w:r>
            <w:r w:rsidR="00A87849">
              <w:rPr>
                <w:rFonts w:ascii="Times New Roman" w:hAnsi="Times New Roman"/>
                <w:sz w:val="24"/>
              </w:rPr>
              <w:t xml:space="preserve"> v </w:t>
            </w:r>
            <w:r w:rsidRPr="00A87849">
              <w:rPr>
                <w:rFonts w:ascii="Times New Roman" w:hAnsi="Times New Roman"/>
                <w:sz w:val="24"/>
              </w:rPr>
              <w:t>tomto vzore zverejňujú samostatne pre triedy expozícií, na ktoré sa vzťahuje dané povolenie (A-IRB). Pri triedach expozícií, pre ktoré inštitúcia nemá povolenie používať vlastné odhady LGD</w:t>
            </w:r>
            <w:r w:rsidR="00A87849">
              <w:rPr>
                <w:rFonts w:ascii="Times New Roman" w:hAnsi="Times New Roman"/>
                <w:sz w:val="24"/>
              </w:rPr>
              <w:t xml:space="preserve"> a </w:t>
            </w:r>
            <w:r w:rsidRPr="00A87849">
              <w:rPr>
                <w:rFonts w:ascii="Times New Roman" w:hAnsi="Times New Roman"/>
                <w:sz w:val="24"/>
              </w:rPr>
              <w:t>konverzných faktorov (F-IRB), inštitúcia zverejňuje informácie</w:t>
            </w:r>
            <w:r w:rsidR="00A87849">
              <w:rPr>
                <w:rFonts w:ascii="Times New Roman" w:hAnsi="Times New Roman"/>
                <w:sz w:val="24"/>
              </w:rPr>
              <w:t xml:space="preserve"> o </w:t>
            </w:r>
            <w:r w:rsidRPr="00A87849">
              <w:rPr>
                <w:rFonts w:ascii="Times New Roman" w:hAnsi="Times New Roman"/>
                <w:sz w:val="24"/>
              </w:rPr>
              <w:t>príslušných expozíciách samostatne</w:t>
            </w:r>
            <w:r w:rsidR="00A87849">
              <w:rPr>
                <w:rFonts w:ascii="Times New Roman" w:hAnsi="Times New Roman"/>
                <w:sz w:val="24"/>
              </w:rPr>
              <w:t xml:space="preserve"> s </w:t>
            </w:r>
            <w:r w:rsidRPr="00A87849">
              <w:rPr>
                <w:rFonts w:ascii="Times New Roman" w:hAnsi="Times New Roman"/>
                <w:sz w:val="24"/>
              </w:rPr>
              <w:t>použitím vzoru F-IRB. Ďalšie podrobné údaje</w:t>
            </w:r>
            <w:r w:rsidR="00A87849">
              <w:rPr>
                <w:rFonts w:ascii="Times New Roman" w:hAnsi="Times New Roman"/>
                <w:sz w:val="24"/>
              </w:rPr>
              <w:t xml:space="preserve"> o </w:t>
            </w:r>
            <w:r w:rsidRPr="00A87849">
              <w:rPr>
                <w:rFonts w:ascii="Times New Roman" w:hAnsi="Times New Roman"/>
                <w:sz w:val="24"/>
              </w:rPr>
              <w:t>triedach expozícií sú uvedené vo vzore EU CR7 – Pokyny pre prístup IRB.</w:t>
            </w:r>
          </w:p>
        </w:tc>
      </w:tr>
      <w:tr w:rsidR="009610E4" w:rsidRPr="00A87849" w14:paraId="4D85411B" w14:textId="77777777" w:rsidTr="11F50173">
        <w:trPr>
          <w:trHeight w:val="1124"/>
        </w:trPr>
        <w:tc>
          <w:tcPr>
            <w:tcW w:w="1555" w:type="dxa"/>
          </w:tcPr>
          <w:p w14:paraId="78D7738C" w14:textId="77777777"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lastRenderedPageBreak/>
              <w:t>A-IRB</w:t>
            </w:r>
          </w:p>
        </w:tc>
        <w:tc>
          <w:tcPr>
            <w:tcW w:w="7484" w:type="dxa"/>
          </w:tcPr>
          <w:p w14:paraId="516F4E04" w14:textId="77777777" w:rsidR="00087388" w:rsidRPr="00A87849" w:rsidRDefault="00087388" w:rsidP="00725D4D">
            <w:pPr>
              <w:spacing w:after="120"/>
              <w:jc w:val="both"/>
              <w:rPr>
                <w:rFonts w:ascii="Times New Roman" w:hAnsi="Times New Roman" w:cs="Times New Roman"/>
                <w:sz w:val="24"/>
              </w:rPr>
            </w:pPr>
            <w:r w:rsidRPr="00A87849">
              <w:rPr>
                <w:rFonts w:ascii="Times New Roman" w:hAnsi="Times New Roman"/>
                <w:b/>
                <w:sz w:val="24"/>
              </w:rPr>
              <w:t>Trieda expozícií X</w:t>
            </w:r>
          </w:p>
          <w:p w14:paraId="593ACEDE" w14:textId="3B44D13A" w:rsidR="009C2B0F" w:rsidRPr="00A87849" w:rsidRDefault="00087388" w:rsidP="11F50173">
            <w:pPr>
              <w:spacing w:after="120"/>
              <w:jc w:val="both"/>
              <w:rPr>
                <w:rFonts w:ascii="Times New Roman" w:eastAsia="Times New Roman" w:hAnsi="Times New Roman" w:cs="Times New Roman"/>
                <w:sz w:val="24"/>
              </w:rPr>
            </w:pPr>
            <w:r w:rsidRPr="00A87849">
              <w:rPr>
                <w:rFonts w:ascii="Times New Roman" w:hAnsi="Times New Roman"/>
                <w:sz w:val="24"/>
              </w:rPr>
              <w:t>Pre každú triedu expozícií uvedenú</w:t>
            </w:r>
            <w:r w:rsidR="00A87849">
              <w:rPr>
                <w:rFonts w:ascii="Times New Roman" w:hAnsi="Times New Roman"/>
                <w:sz w:val="24"/>
              </w:rPr>
              <w:t xml:space="preserve"> v </w:t>
            </w:r>
            <w:r w:rsidRPr="00A87849">
              <w:rPr>
                <w:rFonts w:ascii="Times New Roman" w:hAnsi="Times New Roman"/>
                <w:sz w:val="24"/>
              </w:rPr>
              <w:t xml:space="preserve">článku 147 ods. 2 nariadenia (EÚ) </w:t>
            </w:r>
            <w:r w:rsidR="00A87849">
              <w:rPr>
                <w:rFonts w:ascii="Times New Roman" w:hAnsi="Times New Roman"/>
                <w:sz w:val="24"/>
              </w:rPr>
              <w:t>č. </w:t>
            </w:r>
            <w:r w:rsidRPr="00A87849">
              <w:rPr>
                <w:rFonts w:ascii="Times New Roman" w:hAnsi="Times New Roman"/>
                <w:sz w:val="24"/>
              </w:rPr>
              <w:t>575/2013, okrem výnimiek uvedených vyššie, inštitúcie zverejňujú samostatný vzor</w:t>
            </w:r>
            <w:r w:rsidR="00A87849">
              <w:rPr>
                <w:rFonts w:ascii="Times New Roman" w:hAnsi="Times New Roman"/>
                <w:sz w:val="24"/>
              </w:rPr>
              <w:t xml:space="preserve"> s </w:t>
            </w:r>
            <w:r w:rsidRPr="00A87849">
              <w:rPr>
                <w:rFonts w:ascii="Times New Roman" w:hAnsi="Times New Roman"/>
                <w:sz w:val="24"/>
              </w:rPr>
              <w:t>ďalším rozčlenením týchto tried expozícií:</w:t>
            </w:r>
          </w:p>
          <w:p w14:paraId="6EECA9BF" w14:textId="6BF08A83" w:rsidR="00087388" w:rsidRPr="00A87849" w:rsidRDefault="00504A90" w:rsidP="00725D4D">
            <w:pPr>
              <w:spacing w:after="120"/>
              <w:jc w:val="both"/>
              <w:rPr>
                <w:rFonts w:ascii="Times New Roman" w:hAnsi="Times New Roman" w:cs="Times New Roman"/>
                <w:sz w:val="24"/>
              </w:rPr>
            </w:pPr>
            <w:r w:rsidRPr="00A87849">
              <w:rPr>
                <w:rFonts w:ascii="Times New Roman" w:hAnsi="Times New Roman"/>
                <w:sz w:val="24"/>
              </w:rPr>
              <w:t>–</w:t>
            </w:r>
            <w:r w:rsidR="00A87849">
              <w:rPr>
                <w:rFonts w:ascii="Times New Roman" w:hAnsi="Times New Roman"/>
                <w:sz w:val="24"/>
              </w:rPr>
              <w:t xml:space="preserve"> v </w:t>
            </w:r>
            <w:r w:rsidRPr="00A87849">
              <w:rPr>
                <w:rFonts w:ascii="Times New Roman" w:hAnsi="Times New Roman"/>
                <w:sz w:val="24"/>
              </w:rPr>
              <w:t>rámci triedy expozícií „expozície voči podnikateľským subjektom“ rozčlenenie</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článkom 147 ods. 2 písm. c) bodmi i), ii)</w:t>
            </w:r>
            <w:r w:rsidR="00A87849">
              <w:rPr>
                <w:rFonts w:ascii="Times New Roman" w:hAnsi="Times New Roman"/>
                <w:sz w:val="24"/>
              </w:rPr>
              <w:t xml:space="preserve"> a </w:t>
            </w:r>
            <w:r w:rsidRPr="00A87849">
              <w:rPr>
                <w:rFonts w:ascii="Times New Roman" w:hAnsi="Times New Roman"/>
                <w:sz w:val="24"/>
              </w:rPr>
              <w:t xml:space="preserve">iii) nariadenia (EÚ) </w:t>
            </w:r>
            <w:r w:rsidR="00A87849">
              <w:rPr>
                <w:rFonts w:ascii="Times New Roman" w:hAnsi="Times New Roman"/>
                <w:sz w:val="24"/>
              </w:rPr>
              <w:t>č. </w:t>
            </w:r>
            <w:r w:rsidRPr="00A87849">
              <w:rPr>
                <w:rFonts w:ascii="Times New Roman" w:hAnsi="Times New Roman"/>
                <w:sz w:val="24"/>
              </w:rPr>
              <w:t>575/2013;</w:t>
            </w:r>
          </w:p>
          <w:p w14:paraId="53FBB376" w14:textId="15F29F3A" w:rsidR="00A87849" w:rsidRDefault="00087388" w:rsidP="00725D4D">
            <w:pPr>
              <w:autoSpaceDE w:val="0"/>
              <w:autoSpaceDN w:val="0"/>
              <w:adjustRightInd w:val="0"/>
              <w:spacing w:after="120"/>
              <w:jc w:val="both"/>
              <w:rPr>
                <w:rFonts w:ascii="Times New Roman" w:hAnsi="Times New Roman"/>
                <w:sz w:val="24"/>
              </w:rPr>
            </w:pPr>
            <w:r w:rsidRPr="00A87849">
              <w:rPr>
                <w:rFonts w:ascii="Times New Roman" w:hAnsi="Times New Roman"/>
                <w:sz w:val="24"/>
              </w:rPr>
              <w:t>–</w:t>
            </w:r>
            <w:r w:rsidR="00A87849">
              <w:rPr>
                <w:rFonts w:ascii="Times New Roman" w:hAnsi="Times New Roman"/>
                <w:sz w:val="24"/>
              </w:rPr>
              <w:t xml:space="preserve"> v </w:t>
            </w:r>
            <w:r w:rsidRPr="00A87849">
              <w:rPr>
                <w:rFonts w:ascii="Times New Roman" w:hAnsi="Times New Roman"/>
                <w:sz w:val="24"/>
              </w:rPr>
              <w:t>rámci triedy expozícií „retailové expozície“ rozčlenenie</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článkom 147 ods. 2 písm. d) bodmi i), ii), iii)</w:t>
            </w:r>
            <w:r w:rsidR="00A87849">
              <w:rPr>
                <w:rFonts w:ascii="Times New Roman" w:hAnsi="Times New Roman"/>
                <w:sz w:val="24"/>
              </w:rPr>
              <w:t xml:space="preserve"> a </w:t>
            </w:r>
            <w:r w:rsidRPr="00A87849">
              <w:rPr>
                <w:rFonts w:ascii="Times New Roman" w:hAnsi="Times New Roman"/>
                <w:sz w:val="24"/>
              </w:rPr>
              <w:t xml:space="preserve">iv) nariadenia (EÚ) </w:t>
            </w:r>
            <w:r w:rsidR="00A87849">
              <w:rPr>
                <w:rFonts w:ascii="Times New Roman" w:hAnsi="Times New Roman"/>
                <w:sz w:val="24"/>
              </w:rPr>
              <w:t>č. </w:t>
            </w:r>
            <w:r w:rsidRPr="00A87849">
              <w:rPr>
                <w:rFonts w:ascii="Times New Roman" w:hAnsi="Times New Roman"/>
                <w:sz w:val="24"/>
              </w:rPr>
              <w:t>575/2013</w:t>
            </w:r>
            <w:r w:rsidR="00A87849">
              <w:rPr>
                <w:rFonts w:ascii="Times New Roman" w:hAnsi="Times New Roman"/>
                <w:sz w:val="24"/>
              </w:rPr>
              <w:t>.</w:t>
            </w:r>
          </w:p>
          <w:p w14:paraId="599F2D42" w14:textId="7A817894"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Riadok pre celkové expozície sa zahŕňa na konci každého samostatného vzoru pre každú triedu expozícií.</w:t>
            </w:r>
          </w:p>
        </w:tc>
      </w:tr>
      <w:tr w:rsidR="009610E4" w:rsidRPr="00A87849" w14:paraId="4E966BC0" w14:textId="77777777" w:rsidTr="11F50173">
        <w:trPr>
          <w:trHeight w:val="316"/>
        </w:trPr>
        <w:tc>
          <w:tcPr>
            <w:tcW w:w="1555" w:type="dxa"/>
          </w:tcPr>
          <w:p w14:paraId="6F4F3B3D" w14:textId="77777777" w:rsidR="00087388" w:rsidRPr="00A87849" w:rsidRDefault="00087388" w:rsidP="00725D4D">
            <w:pPr>
              <w:autoSpaceDE w:val="0"/>
              <w:autoSpaceDN w:val="0"/>
              <w:adjustRightInd w:val="0"/>
              <w:spacing w:after="120"/>
              <w:rPr>
                <w:rFonts w:ascii="Times New Roman" w:hAnsi="Times New Roman" w:cs="Times New Roman"/>
                <w:sz w:val="24"/>
              </w:rPr>
            </w:pPr>
            <w:r w:rsidRPr="00A87849">
              <w:rPr>
                <w:rFonts w:ascii="Times New Roman" w:hAnsi="Times New Roman"/>
                <w:sz w:val="24"/>
              </w:rPr>
              <w:t>F-IRB</w:t>
            </w:r>
          </w:p>
        </w:tc>
        <w:tc>
          <w:tcPr>
            <w:tcW w:w="7484" w:type="dxa"/>
          </w:tcPr>
          <w:p w14:paraId="4F6F9570" w14:textId="77777777" w:rsidR="00A87849" w:rsidRDefault="00087388" w:rsidP="00725D4D">
            <w:pPr>
              <w:spacing w:after="120"/>
              <w:jc w:val="both"/>
              <w:rPr>
                <w:rFonts w:ascii="Times New Roman" w:hAnsi="Times New Roman"/>
                <w:b/>
                <w:sz w:val="24"/>
              </w:rPr>
            </w:pPr>
            <w:r w:rsidRPr="00A87849">
              <w:rPr>
                <w:rFonts w:ascii="Times New Roman" w:hAnsi="Times New Roman"/>
                <w:b/>
                <w:sz w:val="24"/>
              </w:rPr>
              <w:t>Trieda expozícií X</w:t>
            </w:r>
          </w:p>
          <w:p w14:paraId="69353B77" w14:textId="1DC2F374" w:rsidR="00087388" w:rsidRPr="00A87849" w:rsidRDefault="00087388" w:rsidP="11F50173">
            <w:pPr>
              <w:spacing w:after="120"/>
              <w:jc w:val="both"/>
              <w:rPr>
                <w:rFonts w:ascii="Times New Roman" w:eastAsia="Times New Roman" w:hAnsi="Times New Roman" w:cs="Times New Roman"/>
                <w:sz w:val="24"/>
              </w:rPr>
            </w:pPr>
            <w:r w:rsidRPr="00A87849">
              <w:rPr>
                <w:rFonts w:ascii="Times New Roman" w:hAnsi="Times New Roman"/>
                <w:sz w:val="24"/>
              </w:rPr>
              <w:t>Pre každú triedu expozícií uvedenú</w:t>
            </w:r>
            <w:r w:rsidR="00A87849">
              <w:rPr>
                <w:rFonts w:ascii="Times New Roman" w:hAnsi="Times New Roman"/>
                <w:sz w:val="24"/>
              </w:rPr>
              <w:t xml:space="preserve"> v </w:t>
            </w:r>
            <w:r w:rsidRPr="00A87849">
              <w:rPr>
                <w:rFonts w:ascii="Times New Roman" w:hAnsi="Times New Roman"/>
                <w:sz w:val="24"/>
              </w:rPr>
              <w:t xml:space="preserve">článku 147 ods. 2 nariadenia (EÚ) </w:t>
            </w:r>
            <w:r w:rsidR="00A87849">
              <w:rPr>
                <w:rFonts w:ascii="Times New Roman" w:hAnsi="Times New Roman"/>
                <w:sz w:val="24"/>
              </w:rPr>
              <w:t>č. </w:t>
            </w:r>
            <w:r w:rsidRPr="00A87849">
              <w:rPr>
                <w:rFonts w:ascii="Times New Roman" w:hAnsi="Times New Roman"/>
                <w:sz w:val="24"/>
              </w:rPr>
              <w:t>575/2013, okrem výnimiek uvedených vyššie, inštitúcie zverejňujú samostatný vzor</w:t>
            </w:r>
            <w:r w:rsidR="00A87849">
              <w:rPr>
                <w:rFonts w:ascii="Times New Roman" w:hAnsi="Times New Roman"/>
                <w:sz w:val="24"/>
              </w:rPr>
              <w:t xml:space="preserve"> s </w:t>
            </w:r>
            <w:r w:rsidRPr="00A87849">
              <w:rPr>
                <w:rFonts w:ascii="Times New Roman" w:hAnsi="Times New Roman"/>
                <w:sz w:val="24"/>
              </w:rPr>
              <w:t>ďalším rozčlenením týchto tried expozícií:</w:t>
            </w:r>
          </w:p>
          <w:p w14:paraId="76DC65D8" w14:textId="517D4C83" w:rsidR="00504A90" w:rsidRPr="00A87849" w:rsidRDefault="4D7D683A" w:rsidP="11F50173">
            <w:pPr>
              <w:spacing w:after="120"/>
              <w:jc w:val="both"/>
              <w:rPr>
                <w:rFonts w:ascii="Times New Roman" w:hAnsi="Times New Roman" w:cs="Times New Roman"/>
                <w:sz w:val="24"/>
              </w:rPr>
            </w:pPr>
            <w:r w:rsidRPr="00A87849">
              <w:rPr>
                <w:rFonts w:ascii="Times New Roman" w:hAnsi="Times New Roman"/>
                <w:sz w:val="24"/>
              </w:rPr>
              <w:t>–</w:t>
            </w:r>
            <w:r w:rsidR="00A87849">
              <w:rPr>
                <w:rFonts w:ascii="Times New Roman" w:hAnsi="Times New Roman"/>
                <w:sz w:val="24"/>
              </w:rPr>
              <w:t xml:space="preserve"> v </w:t>
            </w:r>
            <w:r w:rsidRPr="00A87849">
              <w:rPr>
                <w:rFonts w:ascii="Times New Roman" w:hAnsi="Times New Roman"/>
                <w:sz w:val="24"/>
              </w:rPr>
              <w:t xml:space="preserve">rámci triedy expozícií „expozície voči podnikateľským subjektom“ [článok 147 ods. 2 nariadenia (EÚ) </w:t>
            </w:r>
            <w:r w:rsidR="00A87849">
              <w:rPr>
                <w:rFonts w:ascii="Times New Roman" w:hAnsi="Times New Roman"/>
                <w:sz w:val="24"/>
              </w:rPr>
              <w:t>č. </w:t>
            </w:r>
            <w:r w:rsidRPr="00A87849">
              <w:rPr>
                <w:rFonts w:ascii="Times New Roman" w:hAnsi="Times New Roman"/>
                <w:sz w:val="24"/>
              </w:rPr>
              <w:t>575/2013] rozčlenenie</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článkom 147 ods. 2 bodmi i), ii)</w:t>
            </w:r>
            <w:r w:rsidR="00A87849">
              <w:rPr>
                <w:rFonts w:ascii="Times New Roman" w:hAnsi="Times New Roman"/>
                <w:sz w:val="24"/>
              </w:rPr>
              <w:t xml:space="preserve"> a </w:t>
            </w:r>
            <w:r w:rsidRPr="00A87849">
              <w:rPr>
                <w:rFonts w:ascii="Times New Roman" w:hAnsi="Times New Roman"/>
                <w:sz w:val="24"/>
              </w:rPr>
              <w:t xml:space="preserve">iii) nariadenia (EÚ) </w:t>
            </w:r>
            <w:r w:rsidR="00A87849">
              <w:rPr>
                <w:rFonts w:ascii="Times New Roman" w:hAnsi="Times New Roman"/>
                <w:sz w:val="24"/>
              </w:rPr>
              <w:t>č. </w:t>
            </w:r>
            <w:r w:rsidRPr="00A87849">
              <w:rPr>
                <w:rFonts w:ascii="Times New Roman" w:hAnsi="Times New Roman"/>
                <w:sz w:val="24"/>
              </w:rPr>
              <w:t>575/2013.</w:t>
            </w:r>
          </w:p>
          <w:p w14:paraId="09F757E2" w14:textId="18231EDE" w:rsidR="00087388" w:rsidRPr="00A8784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A87849" w:rsidRDefault="00087388" w:rsidP="00087388">
      <w:pPr>
        <w:spacing w:after="120"/>
        <w:rPr>
          <w:rFonts w:ascii="Times New Roman" w:hAnsi="Times New Roman" w:cs="Times New Roman"/>
          <w:sz w:val="24"/>
        </w:rPr>
      </w:pPr>
    </w:p>
    <w:p w14:paraId="3DEEC669" w14:textId="77777777" w:rsidR="00087388" w:rsidRPr="00A87849" w:rsidRDefault="00087388" w:rsidP="00087388">
      <w:pPr>
        <w:spacing w:after="120"/>
        <w:rPr>
          <w:rFonts w:ascii="Times New Roman" w:hAnsi="Times New Roman" w:cs="Times New Roman"/>
          <w:sz w:val="24"/>
        </w:rPr>
      </w:pPr>
    </w:p>
    <w:p w14:paraId="5B489A8A" w14:textId="323440F3" w:rsidR="00087388" w:rsidRPr="00A87849" w:rsidRDefault="00087388" w:rsidP="00087388">
      <w:pPr>
        <w:spacing w:after="120"/>
        <w:rPr>
          <w:rFonts w:ascii="Times New Roman" w:hAnsi="Times New Roman" w:cs="Times New Roman"/>
          <w:b/>
          <w:sz w:val="24"/>
        </w:rPr>
      </w:pPr>
      <w:r w:rsidRPr="00A87849">
        <w:rPr>
          <w:rFonts w:ascii="Times New Roman" w:hAnsi="Times New Roman"/>
          <w:b/>
          <w:sz w:val="24"/>
        </w:rPr>
        <w:t>Vzor EU CR6-A – Prístup IRB – Rozsah použitia prístupov IRB</w:t>
      </w:r>
      <w:r w:rsidR="00A87849">
        <w:rPr>
          <w:rFonts w:ascii="Times New Roman" w:hAnsi="Times New Roman"/>
          <w:b/>
          <w:sz w:val="24"/>
        </w:rPr>
        <w:t xml:space="preserve"> a </w:t>
      </w:r>
      <w:r w:rsidRPr="00A87849">
        <w:rPr>
          <w:rFonts w:ascii="Times New Roman" w:hAnsi="Times New Roman"/>
          <w:b/>
          <w:sz w:val="24"/>
        </w:rPr>
        <w:t>SA. Vzor</w:t>
      </w:r>
      <w:r w:rsidR="00A87849">
        <w:rPr>
          <w:rFonts w:ascii="Times New Roman" w:hAnsi="Times New Roman"/>
          <w:b/>
          <w:sz w:val="24"/>
        </w:rPr>
        <w:t xml:space="preserve"> s </w:t>
      </w:r>
      <w:r w:rsidRPr="00A87849">
        <w:rPr>
          <w:rFonts w:ascii="Times New Roman" w:hAnsi="Times New Roman"/>
          <w:b/>
          <w:sz w:val="24"/>
        </w:rPr>
        <w:t>pevným formátom.</w:t>
      </w:r>
    </w:p>
    <w:p w14:paraId="3656B9AB" w14:textId="77777777" w:rsidR="00087388" w:rsidRPr="00A87849" w:rsidRDefault="00087388" w:rsidP="00087388">
      <w:pPr>
        <w:spacing w:after="120"/>
        <w:rPr>
          <w:rFonts w:ascii="Times New Roman" w:hAnsi="Times New Roman" w:cs="Times New Roman"/>
          <w:sz w:val="24"/>
        </w:rPr>
      </w:pPr>
    </w:p>
    <w:p w14:paraId="0F23DA47" w14:textId="778C156F" w:rsidR="00087388" w:rsidRPr="00A87849" w:rsidRDefault="01E22573" w:rsidP="003B7D6C">
      <w:pPr>
        <w:pStyle w:val="ListParagraph"/>
        <w:numPr>
          <w:ilvl w:val="0"/>
          <w:numId w:val="7"/>
        </w:numPr>
        <w:spacing w:after="120"/>
        <w:jc w:val="both"/>
        <w:rPr>
          <w:rFonts w:ascii="Times New Roman" w:hAnsi="Times New Roman"/>
          <w:sz w:val="24"/>
          <w:szCs w:val="24"/>
        </w:rPr>
      </w:pPr>
      <w:r w:rsidRPr="00A87849">
        <w:rPr>
          <w:rFonts w:ascii="Times New Roman" w:hAnsi="Times New Roman"/>
          <w:sz w:val="24"/>
        </w:rPr>
        <w:t>Inštitúcie, ktoré vypočítavajú hodnoty rizikovo vážených expozícií podľa prístupu IRB ku kreditnému riziku, zverejňujú informácie uvedené</w:t>
      </w:r>
      <w:r w:rsidR="00A87849">
        <w:rPr>
          <w:rFonts w:ascii="Times New Roman" w:hAnsi="Times New Roman"/>
          <w:sz w:val="24"/>
        </w:rPr>
        <w:t xml:space="preserve"> v </w:t>
      </w:r>
      <w:r w:rsidRPr="00A87849">
        <w:rPr>
          <w:rFonts w:ascii="Times New Roman" w:hAnsi="Times New Roman"/>
          <w:sz w:val="24"/>
        </w:rPr>
        <w:t xml:space="preserve">článku 452 písm. b) nariadenia (EÚ) </w:t>
      </w:r>
      <w:r w:rsidR="00A87849">
        <w:rPr>
          <w:rFonts w:ascii="Times New Roman" w:hAnsi="Times New Roman"/>
          <w:sz w:val="24"/>
        </w:rPr>
        <w:t>č. </w:t>
      </w:r>
      <w:r w:rsidRPr="00A87849">
        <w:rPr>
          <w:rFonts w:ascii="Times New Roman" w:hAnsi="Times New Roman"/>
          <w:sz w:val="24"/>
        </w:rPr>
        <w:t>575/2013 podľa pokynov uvedených nižšie</w:t>
      </w:r>
      <w:r w:rsidR="00A87849">
        <w:rPr>
          <w:rFonts w:ascii="Times New Roman" w:hAnsi="Times New Roman"/>
          <w:sz w:val="24"/>
        </w:rPr>
        <w:t xml:space="preserve"> v </w:t>
      </w:r>
      <w:r w:rsidRPr="00A87849">
        <w:rPr>
          <w:rFonts w:ascii="Times New Roman" w:hAnsi="Times New Roman"/>
          <w:sz w:val="24"/>
        </w:rPr>
        <w:t>tejto prílohe</w:t>
      </w:r>
      <w:r w:rsidR="00A87849">
        <w:rPr>
          <w:rFonts w:ascii="Times New Roman" w:hAnsi="Times New Roman"/>
          <w:sz w:val="24"/>
        </w:rPr>
        <w:t xml:space="preserve"> s </w:t>
      </w:r>
      <w:r w:rsidRPr="00A87849">
        <w:rPr>
          <w:rFonts w:ascii="Times New Roman" w:hAnsi="Times New Roman"/>
          <w:sz w:val="24"/>
        </w:rPr>
        <w:t>cieľom vyplniť vzor EU CR6-A, ktorý je uvedený</w:t>
      </w:r>
      <w:r w:rsidR="00A87849">
        <w:rPr>
          <w:rFonts w:ascii="Times New Roman" w:hAnsi="Times New Roman"/>
          <w:sz w:val="24"/>
        </w:rPr>
        <w:t xml:space="preserve"> v </w:t>
      </w:r>
      <w:r w:rsidRPr="00A87849">
        <w:rPr>
          <w:rFonts w:ascii="Times New Roman" w:hAnsi="Times New Roman"/>
          <w:sz w:val="24"/>
        </w:rPr>
        <w:t>prílohe XXI dokumentu</w:t>
      </w:r>
      <w:r w:rsidR="00A87849">
        <w:rPr>
          <w:rFonts w:ascii="Times New Roman" w:hAnsi="Times New Roman"/>
          <w:sz w:val="24"/>
        </w:rPr>
        <w:t xml:space="preserve"> s </w:t>
      </w:r>
      <w:r w:rsidRPr="00A87849">
        <w:rPr>
          <w:rFonts w:ascii="Times New Roman" w:hAnsi="Times New Roman"/>
          <w:sz w:val="24"/>
        </w:rPr>
        <w:t>IT riešeniami orgánu EBA.</w:t>
      </w:r>
    </w:p>
    <w:p w14:paraId="4B5E480E" w14:textId="4C439CD3" w:rsidR="00087388" w:rsidRPr="00A87849" w:rsidRDefault="00087388" w:rsidP="63E31B68">
      <w:pPr>
        <w:pStyle w:val="ListParagraph"/>
        <w:numPr>
          <w:ilvl w:val="0"/>
          <w:numId w:val="7"/>
        </w:numPr>
        <w:spacing w:after="120"/>
        <w:jc w:val="both"/>
        <w:rPr>
          <w:rFonts w:ascii="Times New Roman" w:hAnsi="Times New Roman"/>
          <w:sz w:val="24"/>
          <w:szCs w:val="24"/>
        </w:rPr>
      </w:pPr>
      <w:r w:rsidRPr="00A87849">
        <w:rPr>
          <w:rFonts w:ascii="Times New Roman" w:hAnsi="Times New Roman"/>
          <w:sz w:val="24"/>
        </w:rPr>
        <w:t>Na účely tohto vzoru inštitúcie zaraďujú svoje expozície, na ktoré sa vzťahuje štandardizovaný prístup stanovený</w:t>
      </w:r>
      <w:r w:rsidR="00A87849">
        <w:rPr>
          <w:rFonts w:ascii="Times New Roman" w:hAnsi="Times New Roman"/>
          <w:sz w:val="24"/>
        </w:rPr>
        <w:t xml:space="preserve"> v </w:t>
      </w:r>
      <w:r w:rsidRPr="00A87849">
        <w:rPr>
          <w:rFonts w:ascii="Times New Roman" w:hAnsi="Times New Roman"/>
          <w:sz w:val="24"/>
        </w:rPr>
        <w:t>tretej časti hlave II kapitole 2 alebo prístup IRB stanovený</w:t>
      </w:r>
      <w:r w:rsidR="00A87849">
        <w:rPr>
          <w:rFonts w:ascii="Times New Roman" w:hAnsi="Times New Roman"/>
          <w:sz w:val="24"/>
        </w:rPr>
        <w:t xml:space="preserve"> v </w:t>
      </w:r>
      <w:r w:rsidRPr="00A87849">
        <w:rPr>
          <w:rFonts w:ascii="Times New Roman" w:hAnsi="Times New Roman"/>
          <w:sz w:val="24"/>
        </w:rPr>
        <w:t>tretej časti hlave II kapitole 3, do tried expozícií vymedzených podľa prístupu IRB.</w:t>
      </w:r>
      <w:r w:rsidR="00A87849">
        <w:rPr>
          <w:rFonts w:ascii="Times New Roman" w:hAnsi="Times New Roman"/>
          <w:sz w:val="24"/>
        </w:rPr>
        <w:t xml:space="preserve"> Z </w:t>
      </w:r>
      <w:r w:rsidRPr="00A87849">
        <w:rPr>
          <w:rFonts w:ascii="Times New Roman" w:hAnsi="Times New Roman"/>
          <w:sz w:val="24"/>
        </w:rPr>
        <w:t xml:space="preserve">tohto vzoru sú vylúčené expozície voči kreditnému riziku protistrany (CCR) [tretia časť hlava II kapitola 6 nariadenia (EÚ) </w:t>
      </w:r>
      <w:r w:rsidR="00A87849">
        <w:rPr>
          <w:rFonts w:ascii="Times New Roman" w:hAnsi="Times New Roman"/>
          <w:sz w:val="24"/>
        </w:rPr>
        <w:t>č. </w:t>
      </w:r>
      <w:r w:rsidRPr="00A87849">
        <w:rPr>
          <w:rFonts w:ascii="Times New Roman" w:hAnsi="Times New Roman"/>
          <w:sz w:val="24"/>
        </w:rPr>
        <w:t>575/2013]</w:t>
      </w:r>
      <w:r w:rsidR="00A87849">
        <w:rPr>
          <w:rFonts w:ascii="Times New Roman" w:hAnsi="Times New Roman"/>
          <w:sz w:val="24"/>
        </w:rPr>
        <w:t xml:space="preserve"> a </w:t>
      </w:r>
      <w:r w:rsidRPr="00A87849">
        <w:rPr>
          <w:rFonts w:ascii="Times New Roman" w:hAnsi="Times New Roman"/>
          <w:sz w:val="24"/>
        </w:rPr>
        <w:t>sekuritizačné expozície.</w:t>
      </w:r>
    </w:p>
    <w:p w14:paraId="1865EDC4" w14:textId="43D461E2" w:rsidR="00087388" w:rsidRPr="00A87849" w:rsidRDefault="00087388" w:rsidP="11F50173">
      <w:pPr>
        <w:pStyle w:val="ListParagraph"/>
        <w:numPr>
          <w:ilvl w:val="0"/>
          <w:numId w:val="7"/>
        </w:numPr>
        <w:spacing w:after="120"/>
        <w:ind w:left="714" w:hanging="357"/>
        <w:jc w:val="both"/>
        <w:rPr>
          <w:rFonts w:ascii="Times New Roman" w:hAnsi="Times New Roman"/>
          <w:sz w:val="24"/>
          <w:szCs w:val="24"/>
        </w:rPr>
      </w:pPr>
      <w:r w:rsidRPr="00A87849">
        <w:rPr>
          <w:rFonts w:ascii="Times New Roman" w:hAnsi="Times New Roman"/>
          <w:sz w:val="24"/>
        </w:rPr>
        <w:t>Inštitúcie vysvetľujú</w:t>
      </w:r>
      <w:r w:rsidR="00A87849">
        <w:rPr>
          <w:rFonts w:ascii="Times New Roman" w:hAnsi="Times New Roman"/>
          <w:sz w:val="24"/>
        </w:rPr>
        <w:t xml:space="preserve"> v </w:t>
      </w:r>
      <w:r w:rsidRPr="00A87849">
        <w:rPr>
          <w:rFonts w:ascii="Times New Roman" w:hAnsi="Times New Roman"/>
          <w:sz w:val="24"/>
        </w:rPr>
        <w:t>sprievodnom opise</w:t>
      </w:r>
      <w:r w:rsidR="00A87849">
        <w:rPr>
          <w:rFonts w:ascii="Times New Roman" w:hAnsi="Times New Roman"/>
          <w:sz w:val="24"/>
        </w:rPr>
        <w:t xml:space="preserve"> k </w:t>
      </w:r>
      <w:r w:rsidRPr="00A87849">
        <w:rPr>
          <w:rFonts w:ascii="Times New Roman" w:hAnsi="Times New Roman"/>
          <w:sz w:val="24"/>
        </w:rPr>
        <w:t>danému vzoru akýkoľvek významný rozdiel medzi hodnotou expozície</w:t>
      </w:r>
      <w:r w:rsidR="00A87849">
        <w:rPr>
          <w:rFonts w:ascii="Times New Roman" w:hAnsi="Times New Roman"/>
          <w:sz w:val="24"/>
        </w:rPr>
        <w:t xml:space="preserve"> v </w:t>
      </w:r>
      <w:r w:rsidRPr="00A87849">
        <w:rPr>
          <w:rFonts w:ascii="Times New Roman" w:hAnsi="Times New Roman"/>
          <w:sz w:val="24"/>
        </w:rPr>
        <w:t>zmysle vymedzenia</w:t>
      </w:r>
      <w:r w:rsidR="00A87849">
        <w:rPr>
          <w:rFonts w:ascii="Times New Roman" w:hAnsi="Times New Roman"/>
          <w:sz w:val="24"/>
        </w:rPr>
        <w:t xml:space="preserve"> v </w:t>
      </w:r>
      <w:r w:rsidRPr="00A87849">
        <w:rPr>
          <w:rFonts w:ascii="Times New Roman" w:hAnsi="Times New Roman"/>
          <w:sz w:val="24"/>
        </w:rPr>
        <w:t>článku 166 pre expozície podľa IRB, ako sa uvádza</w:t>
      </w:r>
      <w:r w:rsidR="00A87849">
        <w:rPr>
          <w:rFonts w:ascii="Times New Roman" w:hAnsi="Times New Roman"/>
          <w:sz w:val="24"/>
        </w:rPr>
        <w:t xml:space="preserve"> v </w:t>
      </w:r>
      <w:r w:rsidRPr="00A87849">
        <w:rPr>
          <w:rFonts w:ascii="Times New Roman" w:hAnsi="Times New Roman"/>
          <w:sz w:val="24"/>
        </w:rPr>
        <w:t>stĺpci</w:t>
      </w:r>
      <w:r w:rsidR="00A87849">
        <w:rPr>
          <w:rFonts w:ascii="Times New Roman" w:hAnsi="Times New Roman"/>
          <w:sz w:val="24"/>
        </w:rPr>
        <w:t xml:space="preserve"> a </w:t>
      </w:r>
      <w:r w:rsidRPr="00A87849">
        <w:rPr>
          <w:rFonts w:ascii="Times New Roman" w:hAnsi="Times New Roman"/>
          <w:sz w:val="24"/>
        </w:rPr>
        <w:t>vzoru,</w:t>
      </w:r>
      <w:r w:rsidR="00A87849">
        <w:rPr>
          <w:rFonts w:ascii="Times New Roman" w:hAnsi="Times New Roman"/>
          <w:sz w:val="24"/>
        </w:rPr>
        <w:t xml:space="preserve"> a </w:t>
      </w:r>
      <w:r w:rsidRPr="00A87849">
        <w:rPr>
          <w:rFonts w:ascii="Times New Roman" w:hAnsi="Times New Roman"/>
          <w:sz w:val="24"/>
        </w:rPr>
        <w:t>hodnotou expozície pre tie isté expozície</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429 ods. 4 nariadenia (EÚ) </w:t>
      </w:r>
      <w:r w:rsidR="00A87849">
        <w:rPr>
          <w:rFonts w:ascii="Times New Roman" w:hAnsi="Times New Roman"/>
          <w:sz w:val="24"/>
        </w:rPr>
        <w:t>č. </w:t>
      </w:r>
      <w:r w:rsidRPr="00A87849">
        <w:rPr>
          <w:rFonts w:ascii="Times New Roman" w:hAnsi="Times New Roman"/>
          <w:sz w:val="24"/>
        </w:rPr>
        <w:t>575/2013, ako sa uvádza</w:t>
      </w:r>
      <w:r w:rsidR="00A87849">
        <w:rPr>
          <w:rFonts w:ascii="Times New Roman" w:hAnsi="Times New Roman"/>
          <w:sz w:val="24"/>
        </w:rPr>
        <w:t xml:space="preserve"> v </w:t>
      </w:r>
      <w:r w:rsidRPr="00A87849">
        <w:rPr>
          <w:rFonts w:ascii="Times New Roman" w:hAnsi="Times New Roman"/>
          <w:sz w:val="24"/>
        </w:rPr>
        <w:t>stĺpcoch b</w:t>
      </w:r>
      <w:r w:rsidR="00A87849">
        <w:rPr>
          <w:rFonts w:ascii="Times New Roman" w:hAnsi="Times New Roman"/>
          <w:sz w:val="24"/>
        </w:rPr>
        <w:t xml:space="preserve"> a </w:t>
      </w:r>
      <w:r w:rsidRPr="00A87849">
        <w:rPr>
          <w:rFonts w:ascii="Times New Roman" w:hAnsi="Times New Roman"/>
          <w:sz w:val="24"/>
        </w:rPr>
        <w:t>d tohto vzoru.</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A87849"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6F06D484" w:rsidR="00087388" w:rsidRPr="00A87849" w:rsidRDefault="00087388" w:rsidP="00A87849">
            <w:pPr>
              <w:keepNext/>
              <w:spacing w:after="120"/>
              <w:rPr>
                <w:rFonts w:ascii="Times New Roman" w:hAnsi="Times New Roman" w:cs="Times New Roman"/>
                <w:b/>
                <w:sz w:val="24"/>
              </w:rPr>
            </w:pPr>
            <w:r w:rsidRPr="00A87849">
              <w:rPr>
                <w:rFonts w:ascii="Times New Roman" w:hAnsi="Times New Roman"/>
                <w:b/>
                <w:sz w:val="24"/>
              </w:rPr>
              <w:lastRenderedPageBreak/>
              <w:t>Odkazy na právne predpisy</w:t>
            </w:r>
            <w:r w:rsidR="00A87849">
              <w:rPr>
                <w:rFonts w:ascii="Times New Roman" w:hAnsi="Times New Roman"/>
                <w:b/>
                <w:sz w:val="24"/>
              </w:rPr>
              <w:t xml:space="preserve"> a </w:t>
            </w:r>
            <w:r w:rsidRPr="00A87849">
              <w:rPr>
                <w:rFonts w:ascii="Times New Roman" w:hAnsi="Times New Roman"/>
                <w:b/>
                <w:sz w:val="24"/>
              </w:rPr>
              <w:t>pokyny</w:t>
            </w:r>
          </w:p>
        </w:tc>
      </w:tr>
      <w:tr w:rsidR="00087388" w:rsidRPr="00A87849"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A87849" w:rsidRDefault="00087388" w:rsidP="00725D4D">
            <w:pPr>
              <w:autoSpaceDE w:val="0"/>
              <w:autoSpaceDN w:val="0"/>
              <w:adjustRightInd w:val="0"/>
              <w:spacing w:after="120"/>
              <w:rPr>
                <w:rFonts w:ascii="Times New Roman" w:hAnsi="Times New Roman" w:cs="Times New Roman"/>
                <w:b/>
                <w:sz w:val="24"/>
              </w:rPr>
            </w:pPr>
            <w:r w:rsidRPr="00A87849">
              <w:rPr>
                <w:rFonts w:ascii="Times New Roman" w:hAnsi="Times New Roman"/>
                <w:b/>
                <w:sz w:val="24"/>
              </w:rPr>
              <w:t>Odkaz na stĺpec</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A87849" w:rsidRDefault="00087388" w:rsidP="00A87849">
            <w:pPr>
              <w:keepNext/>
              <w:autoSpaceDE w:val="0"/>
              <w:autoSpaceDN w:val="0"/>
              <w:adjustRightInd w:val="0"/>
              <w:spacing w:after="120"/>
              <w:rPr>
                <w:rFonts w:ascii="Times New Roman" w:hAnsi="Times New Roman" w:cs="Times New Roman"/>
                <w:color w:val="000000"/>
                <w:sz w:val="24"/>
              </w:rPr>
            </w:pPr>
            <w:r w:rsidRPr="00A87849">
              <w:rPr>
                <w:rFonts w:ascii="Times New Roman" w:hAnsi="Times New Roman"/>
                <w:b/>
                <w:sz w:val="24"/>
              </w:rPr>
              <w:t>Vysvetlenie</w:t>
            </w:r>
          </w:p>
        </w:tc>
      </w:tr>
      <w:tr w:rsidR="009610E4" w:rsidRPr="00A87849"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A87849" w:rsidRDefault="00087388" w:rsidP="00725D4D">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272418C9" w:rsidR="00087388" w:rsidRPr="00A87849" w:rsidRDefault="00B91174" w:rsidP="11F50173">
            <w:pPr>
              <w:autoSpaceDE w:val="0"/>
              <w:autoSpaceDN w:val="0"/>
              <w:adjustRightInd w:val="0"/>
              <w:spacing w:after="120"/>
              <w:jc w:val="both"/>
              <w:rPr>
                <w:rFonts w:ascii="Times New Roman" w:hAnsi="Times New Roman" w:cs="Times New Roman"/>
                <w:b/>
                <w:bCs/>
                <w:spacing w:val="-2"/>
                <w:sz w:val="24"/>
              </w:rPr>
            </w:pPr>
            <w:r w:rsidRPr="00A87849">
              <w:rPr>
                <w:rFonts w:ascii="Times New Roman" w:hAnsi="Times New Roman"/>
                <w:b/>
                <w:sz w:val="24"/>
              </w:rPr>
              <w:t>Celková hodnota expozície</w:t>
            </w:r>
            <w:r w:rsidR="00A87849">
              <w:rPr>
                <w:rFonts w:ascii="Times New Roman" w:hAnsi="Times New Roman"/>
                <w:b/>
                <w:sz w:val="24"/>
              </w:rPr>
              <w:t xml:space="preserve"> v </w:t>
            </w:r>
            <w:r w:rsidRPr="00A87849">
              <w:rPr>
                <w:rFonts w:ascii="Times New Roman" w:hAnsi="Times New Roman"/>
                <w:b/>
                <w:sz w:val="24"/>
              </w:rPr>
              <w:t>zmysle vymedzenia</w:t>
            </w:r>
            <w:r w:rsidR="00A87849">
              <w:rPr>
                <w:rFonts w:ascii="Times New Roman" w:hAnsi="Times New Roman"/>
                <w:b/>
                <w:sz w:val="24"/>
              </w:rPr>
              <w:t xml:space="preserve"> v </w:t>
            </w:r>
            <w:r w:rsidRPr="00A87849">
              <w:rPr>
                <w:rFonts w:ascii="Times New Roman" w:hAnsi="Times New Roman"/>
                <w:b/>
                <w:sz w:val="24"/>
              </w:rPr>
              <w:t>článku 166 CRR pre expozície, na ktoré sa uplatňuje prístup IRB</w:t>
            </w:r>
          </w:p>
          <w:p w14:paraId="22960DEC" w14:textId="58CFDAC7" w:rsidR="00087388" w:rsidRPr="00A87849" w:rsidRDefault="00087388" w:rsidP="11F50173">
            <w:pPr>
              <w:autoSpaceDE w:val="0"/>
              <w:autoSpaceDN w:val="0"/>
              <w:adjustRightInd w:val="0"/>
              <w:spacing w:after="120"/>
              <w:jc w:val="both"/>
              <w:rPr>
                <w:rFonts w:ascii="Times New Roman" w:hAnsi="Times New Roman" w:cs="Times New Roman"/>
                <w:spacing w:val="-2"/>
                <w:sz w:val="24"/>
              </w:rPr>
            </w:pPr>
            <w:r w:rsidRPr="00A87849">
              <w:rPr>
                <w:rFonts w:ascii="Times New Roman" w:hAnsi="Times New Roman"/>
                <w:sz w:val="24"/>
              </w:rPr>
              <w:t>Inštitúcie zverejňujú</w:t>
            </w:r>
            <w:r w:rsidR="00A87849">
              <w:rPr>
                <w:rFonts w:ascii="Times New Roman" w:hAnsi="Times New Roman"/>
                <w:sz w:val="24"/>
              </w:rPr>
              <w:t xml:space="preserve"> v </w:t>
            </w:r>
            <w:r w:rsidRPr="00A87849">
              <w:rPr>
                <w:rFonts w:ascii="Times New Roman" w:hAnsi="Times New Roman"/>
                <w:sz w:val="24"/>
              </w:rPr>
              <w:t>tomto stĺpci celkovú hodnotu expozície</w:t>
            </w:r>
            <w:r w:rsidR="00A87849">
              <w:rPr>
                <w:rFonts w:ascii="Times New Roman" w:hAnsi="Times New Roman"/>
                <w:sz w:val="24"/>
              </w:rPr>
              <w:t xml:space="preserve"> v </w:t>
            </w:r>
            <w:r w:rsidRPr="00A87849">
              <w:rPr>
                <w:rFonts w:ascii="Times New Roman" w:hAnsi="Times New Roman"/>
                <w:sz w:val="24"/>
              </w:rPr>
              <w:t>zmysle vymedzenia</w:t>
            </w:r>
            <w:r w:rsidR="00A87849">
              <w:rPr>
                <w:rFonts w:ascii="Times New Roman" w:hAnsi="Times New Roman"/>
                <w:sz w:val="24"/>
              </w:rPr>
              <w:t xml:space="preserve"> v </w:t>
            </w:r>
            <w:r w:rsidRPr="00A87849">
              <w:rPr>
                <w:rFonts w:ascii="Times New Roman" w:hAnsi="Times New Roman"/>
                <w:sz w:val="24"/>
              </w:rPr>
              <w:t xml:space="preserve">článku 166 nariadenia (EÚ) </w:t>
            </w:r>
            <w:r w:rsidR="00A87849">
              <w:rPr>
                <w:rFonts w:ascii="Times New Roman" w:hAnsi="Times New Roman"/>
                <w:sz w:val="24"/>
              </w:rPr>
              <w:t>č. </w:t>
            </w:r>
            <w:r w:rsidRPr="00A87849">
              <w:rPr>
                <w:rFonts w:ascii="Times New Roman" w:hAnsi="Times New Roman"/>
                <w:sz w:val="24"/>
              </w:rPr>
              <w:t>575/2013 len pre tie expozície, na ktoré sa uplatňuje prístup IRB.</w:t>
            </w:r>
          </w:p>
        </w:tc>
      </w:tr>
      <w:tr w:rsidR="009610E4" w:rsidRPr="00A87849"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A87849" w:rsidRDefault="00087388" w:rsidP="00725D4D">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3071087" w14:textId="339DAE1C" w:rsidR="00087388" w:rsidRPr="00A87849" w:rsidRDefault="00087388" w:rsidP="00725D4D">
            <w:pPr>
              <w:autoSpaceDE w:val="0"/>
              <w:autoSpaceDN w:val="0"/>
              <w:adjustRightInd w:val="0"/>
              <w:spacing w:after="120"/>
              <w:jc w:val="both"/>
              <w:rPr>
                <w:rFonts w:ascii="Times New Roman" w:hAnsi="Times New Roman" w:cs="Times New Roman"/>
                <w:b/>
                <w:spacing w:val="-2"/>
                <w:sz w:val="24"/>
              </w:rPr>
            </w:pPr>
            <w:r w:rsidRPr="00A87849">
              <w:rPr>
                <w:rFonts w:ascii="Times New Roman" w:hAnsi="Times New Roman"/>
                <w:b/>
                <w:sz w:val="24"/>
              </w:rPr>
              <w:t>Celková hodnota expozície pre expozície, na ktoré sa uplatňuje štandardizovaný prístup</w:t>
            </w:r>
            <w:r w:rsidR="00A87849">
              <w:rPr>
                <w:rFonts w:ascii="Times New Roman" w:hAnsi="Times New Roman"/>
                <w:b/>
                <w:sz w:val="24"/>
              </w:rPr>
              <w:t xml:space="preserve"> a </w:t>
            </w:r>
            <w:r w:rsidRPr="00A87849">
              <w:rPr>
                <w:rFonts w:ascii="Times New Roman" w:hAnsi="Times New Roman"/>
                <w:b/>
                <w:sz w:val="24"/>
              </w:rPr>
              <w:t>prístup IRB</w:t>
            </w:r>
          </w:p>
          <w:p w14:paraId="715E07E7" w14:textId="282F82A2" w:rsidR="00087388" w:rsidRPr="00A87849" w:rsidRDefault="00087388" w:rsidP="11F50173">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Inštitúcie používajú hodnotu expozície</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429 ods. 4 nariadenia (EÚ) </w:t>
            </w:r>
            <w:r w:rsidR="00A87849">
              <w:rPr>
                <w:rFonts w:ascii="Times New Roman" w:hAnsi="Times New Roman"/>
                <w:sz w:val="24"/>
              </w:rPr>
              <w:t>č. </w:t>
            </w:r>
            <w:r w:rsidRPr="00A87849">
              <w:rPr>
                <w:rFonts w:ascii="Times New Roman" w:hAnsi="Times New Roman"/>
                <w:sz w:val="24"/>
              </w:rPr>
              <w:t>575/2013</w:t>
            </w:r>
            <w:r w:rsidR="00A87849">
              <w:rPr>
                <w:rFonts w:ascii="Times New Roman" w:hAnsi="Times New Roman"/>
                <w:sz w:val="24"/>
              </w:rPr>
              <w:t xml:space="preserve"> s </w:t>
            </w:r>
            <w:r w:rsidRPr="00A87849">
              <w:rPr>
                <w:rFonts w:ascii="Times New Roman" w:hAnsi="Times New Roman"/>
                <w:sz w:val="24"/>
              </w:rPr>
              <w:t>cieľom zverejňovať celkovú hodnotu expozície,</w:t>
            </w:r>
            <w:r w:rsidR="00A87849">
              <w:rPr>
                <w:rFonts w:ascii="Times New Roman" w:hAnsi="Times New Roman"/>
                <w:sz w:val="24"/>
              </w:rPr>
              <w:t xml:space="preserve"> a </w:t>
            </w:r>
            <w:r w:rsidRPr="00A87849">
              <w:rPr>
                <w:rFonts w:ascii="Times New Roman" w:hAnsi="Times New Roman"/>
                <w:sz w:val="24"/>
              </w:rPr>
              <w:t xml:space="preserve">to vrátane expozícií podľa štandardizovaného prístupu, ako aj expozícií podľa prístupu IRB. </w:t>
            </w:r>
          </w:p>
        </w:tc>
      </w:tr>
      <w:tr w:rsidR="00087388" w:rsidRPr="00A87849"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A87849" w:rsidRDefault="00087388" w:rsidP="00725D4D">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A87849" w:rsidRDefault="00087388" w:rsidP="00725D4D">
            <w:pPr>
              <w:autoSpaceDE w:val="0"/>
              <w:autoSpaceDN w:val="0"/>
              <w:adjustRightInd w:val="0"/>
              <w:spacing w:after="120"/>
              <w:jc w:val="both"/>
              <w:rPr>
                <w:rFonts w:ascii="Times New Roman" w:hAnsi="Times New Roman" w:cs="Times New Roman"/>
                <w:b/>
                <w:spacing w:val="-2"/>
                <w:sz w:val="24"/>
              </w:rPr>
            </w:pPr>
            <w:r w:rsidRPr="00A87849">
              <w:rPr>
                <w:rFonts w:ascii="Times New Roman" w:hAnsi="Times New Roman"/>
                <w:b/>
                <w:sz w:val="24"/>
              </w:rPr>
              <w:t>Percentuálny podiel celkovej hodnoty expozície, na ktorú sa uplatňuje trvalé čiastočné používanie prístupu SA (%)</w:t>
            </w:r>
          </w:p>
          <w:p w14:paraId="2766CDC2" w14:textId="148C1970" w:rsidR="00087388" w:rsidRPr="00A87849" w:rsidRDefault="00087388" w:rsidP="63E31B68">
            <w:pPr>
              <w:spacing w:after="120"/>
              <w:jc w:val="both"/>
              <w:rPr>
                <w:rFonts w:ascii="Times New Roman" w:hAnsi="Times New Roman" w:cs="Times New Roman"/>
                <w:sz w:val="24"/>
              </w:rPr>
            </w:pPr>
            <w:r w:rsidRPr="00A87849">
              <w:rPr>
                <w:rFonts w:ascii="Times New Roman" w:hAnsi="Times New Roman"/>
                <w:sz w:val="24"/>
              </w:rPr>
              <w:t>Časť expozície pri každej triede expozícií, na ktorú sa vzťahuje štandardizovaný prístup [expozícia, na ktorú sa vzťahuje štandardizovaný prístup stanovený</w:t>
            </w:r>
            <w:r w:rsidR="00A87849">
              <w:rPr>
                <w:rFonts w:ascii="Times New Roman" w:hAnsi="Times New Roman"/>
                <w:sz w:val="24"/>
              </w:rPr>
              <w:t xml:space="preserve"> v </w:t>
            </w:r>
            <w:r w:rsidRPr="00A87849">
              <w:rPr>
                <w:rFonts w:ascii="Times New Roman" w:hAnsi="Times New Roman"/>
                <w:sz w:val="24"/>
              </w:rPr>
              <w:t>tretej časti hlave II kapitole 2</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rozsahom povolenia na trvalé čiastočné používanie štandardizovaného prístupu, ktoré udelil príslušný orgán</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150 nariadenia (EÚ) </w:t>
            </w:r>
            <w:r w:rsidR="00A87849">
              <w:rPr>
                <w:rFonts w:ascii="Times New Roman" w:hAnsi="Times New Roman"/>
                <w:sz w:val="24"/>
              </w:rPr>
              <w:t>č. </w:t>
            </w:r>
            <w:r w:rsidRPr="00A87849">
              <w:rPr>
                <w:rFonts w:ascii="Times New Roman" w:hAnsi="Times New Roman"/>
                <w:sz w:val="24"/>
              </w:rPr>
              <w:t>575/2013],</w:t>
            </w:r>
            <w:r w:rsidR="00A87849">
              <w:rPr>
                <w:rFonts w:ascii="Times New Roman" w:hAnsi="Times New Roman"/>
                <w:sz w:val="24"/>
              </w:rPr>
              <w:t xml:space="preserve"> v </w:t>
            </w:r>
            <w:r w:rsidRPr="00A87849">
              <w:rPr>
                <w:rFonts w:ascii="Times New Roman" w:hAnsi="Times New Roman"/>
                <w:sz w:val="24"/>
              </w:rPr>
              <w:t>pomere</w:t>
            </w:r>
            <w:r w:rsidR="00A87849">
              <w:rPr>
                <w:rFonts w:ascii="Times New Roman" w:hAnsi="Times New Roman"/>
                <w:sz w:val="24"/>
              </w:rPr>
              <w:t xml:space="preserve"> k </w:t>
            </w:r>
            <w:r w:rsidRPr="00A87849">
              <w:rPr>
                <w:rFonts w:ascii="Times New Roman" w:hAnsi="Times New Roman"/>
                <w:sz w:val="24"/>
              </w:rPr>
              <w:t>celkovej expozícii</w:t>
            </w:r>
            <w:r w:rsidR="00A87849">
              <w:rPr>
                <w:rFonts w:ascii="Times New Roman" w:hAnsi="Times New Roman"/>
                <w:sz w:val="24"/>
              </w:rPr>
              <w:t xml:space="preserve"> v </w:t>
            </w:r>
            <w:r w:rsidRPr="00A87849">
              <w:rPr>
                <w:rFonts w:ascii="Times New Roman" w:hAnsi="Times New Roman"/>
                <w:sz w:val="24"/>
              </w:rPr>
              <w:t>danej triede expozícií, ako sa uvádza</w:t>
            </w:r>
            <w:r w:rsidR="00A87849">
              <w:rPr>
                <w:rFonts w:ascii="Times New Roman" w:hAnsi="Times New Roman"/>
                <w:sz w:val="24"/>
              </w:rPr>
              <w:t xml:space="preserve"> v </w:t>
            </w:r>
            <w:r w:rsidRPr="00A87849">
              <w:rPr>
                <w:rFonts w:ascii="Times New Roman" w:hAnsi="Times New Roman"/>
                <w:sz w:val="24"/>
              </w:rPr>
              <w:t>stĺpci b tohto vzoru.</w:t>
            </w:r>
          </w:p>
        </w:tc>
      </w:tr>
      <w:tr w:rsidR="00087388" w:rsidRPr="00A87849"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A87849" w:rsidRDefault="00087388" w:rsidP="00725D4D">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A87849" w:rsidRDefault="00087388" w:rsidP="00725D4D">
            <w:pPr>
              <w:autoSpaceDE w:val="0"/>
              <w:autoSpaceDN w:val="0"/>
              <w:adjustRightInd w:val="0"/>
              <w:spacing w:after="120"/>
              <w:rPr>
                <w:rFonts w:ascii="Times New Roman" w:hAnsi="Times New Roman" w:cs="Times New Roman"/>
                <w:b/>
                <w:spacing w:val="-2"/>
                <w:sz w:val="24"/>
              </w:rPr>
            </w:pPr>
            <w:r w:rsidRPr="00A87849">
              <w:rPr>
                <w:rFonts w:ascii="Times New Roman" w:hAnsi="Times New Roman"/>
                <w:b/>
                <w:sz w:val="24"/>
              </w:rPr>
              <w:t>Percentuálny podiel celkovej hodnoty expozície, na ktorú sa uplatňuje prístup IRB (%)</w:t>
            </w:r>
          </w:p>
          <w:p w14:paraId="7F835ACD" w14:textId="0F044EA5" w:rsidR="00087388" w:rsidRPr="00A87849" w:rsidRDefault="00087388" w:rsidP="63E31B68">
            <w:pPr>
              <w:autoSpaceDE w:val="0"/>
              <w:autoSpaceDN w:val="0"/>
              <w:adjustRightInd w:val="0"/>
              <w:spacing w:after="120"/>
              <w:jc w:val="both"/>
              <w:rPr>
                <w:rFonts w:ascii="Times New Roman" w:hAnsi="Times New Roman" w:cs="Times New Roman"/>
                <w:spacing w:val="-2"/>
                <w:sz w:val="24"/>
              </w:rPr>
            </w:pPr>
            <w:r w:rsidRPr="00A87849">
              <w:rPr>
                <w:rFonts w:ascii="Times New Roman" w:hAnsi="Times New Roman"/>
                <w:sz w:val="24"/>
              </w:rPr>
              <w:t>Časť expozície pri každej triede expozícií, na ktorú sa uplatňuje prístup IRB (expozícia, na ktorú sa uplatňuje prístup IRB stanovený</w:t>
            </w:r>
            <w:r w:rsidR="00A87849">
              <w:rPr>
                <w:rFonts w:ascii="Times New Roman" w:hAnsi="Times New Roman"/>
                <w:sz w:val="24"/>
              </w:rPr>
              <w:t xml:space="preserve"> v </w:t>
            </w:r>
            <w:r w:rsidRPr="00A87849">
              <w:rPr>
                <w:rFonts w:ascii="Times New Roman" w:hAnsi="Times New Roman"/>
                <w:sz w:val="24"/>
              </w:rPr>
              <w:t>tretej časti hlave II kapitole 3,</w:t>
            </w:r>
            <w:r w:rsidR="00A87849">
              <w:rPr>
                <w:rFonts w:ascii="Times New Roman" w:hAnsi="Times New Roman"/>
                <w:sz w:val="24"/>
              </w:rPr>
              <w:t xml:space="preserve"> v </w:t>
            </w:r>
            <w:r w:rsidRPr="00A87849">
              <w:rPr>
                <w:rFonts w:ascii="Times New Roman" w:hAnsi="Times New Roman"/>
                <w:sz w:val="24"/>
              </w:rPr>
              <w:t>pomere</w:t>
            </w:r>
            <w:r w:rsidR="00A87849">
              <w:rPr>
                <w:rFonts w:ascii="Times New Roman" w:hAnsi="Times New Roman"/>
                <w:sz w:val="24"/>
              </w:rPr>
              <w:t xml:space="preserve"> k </w:t>
            </w:r>
            <w:r w:rsidRPr="00A87849">
              <w:rPr>
                <w:rFonts w:ascii="Times New Roman" w:hAnsi="Times New Roman"/>
                <w:sz w:val="24"/>
              </w:rPr>
              <w:t>celkovej expozícii</w:t>
            </w:r>
            <w:r w:rsidR="00A87849">
              <w:rPr>
                <w:rFonts w:ascii="Times New Roman" w:hAnsi="Times New Roman"/>
                <w:sz w:val="24"/>
              </w:rPr>
              <w:t xml:space="preserve"> v </w:t>
            </w:r>
            <w:r w:rsidRPr="00A87849">
              <w:rPr>
                <w:rFonts w:ascii="Times New Roman" w:hAnsi="Times New Roman"/>
                <w:sz w:val="24"/>
              </w:rPr>
              <w:t>danej triede expozícií), pri zohľadnení rozsahu povolenia, ktoré udelil príslušný orgán na používanie prístupu IRB</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143 nariadenia (EÚ) </w:t>
            </w:r>
            <w:r w:rsidR="00A87849">
              <w:rPr>
                <w:rFonts w:ascii="Times New Roman" w:hAnsi="Times New Roman"/>
                <w:sz w:val="24"/>
              </w:rPr>
              <w:t>č. </w:t>
            </w:r>
            <w:r w:rsidRPr="00A87849">
              <w:rPr>
                <w:rFonts w:ascii="Times New Roman" w:hAnsi="Times New Roman"/>
                <w:sz w:val="24"/>
              </w:rPr>
              <w:t>575/2013,</w:t>
            </w:r>
            <w:r w:rsidR="00A87849">
              <w:rPr>
                <w:rFonts w:ascii="Times New Roman" w:hAnsi="Times New Roman"/>
                <w:sz w:val="24"/>
              </w:rPr>
              <w:t xml:space="preserve"> v </w:t>
            </w:r>
            <w:r w:rsidRPr="00A87849">
              <w:rPr>
                <w:rFonts w:ascii="Times New Roman" w:hAnsi="Times New Roman"/>
                <w:sz w:val="24"/>
              </w:rPr>
              <w:t>pomere</w:t>
            </w:r>
            <w:r w:rsidR="00A87849">
              <w:rPr>
                <w:rFonts w:ascii="Times New Roman" w:hAnsi="Times New Roman"/>
                <w:sz w:val="24"/>
              </w:rPr>
              <w:t xml:space="preserve"> k </w:t>
            </w:r>
            <w:r w:rsidRPr="00A87849">
              <w:rPr>
                <w:rFonts w:ascii="Times New Roman" w:hAnsi="Times New Roman"/>
                <w:sz w:val="24"/>
              </w:rPr>
              <w:t>celkovej expozícii</w:t>
            </w:r>
            <w:r w:rsidR="00A87849">
              <w:rPr>
                <w:rFonts w:ascii="Times New Roman" w:hAnsi="Times New Roman"/>
                <w:sz w:val="24"/>
              </w:rPr>
              <w:t xml:space="preserve"> v </w:t>
            </w:r>
            <w:r w:rsidRPr="00A87849">
              <w:rPr>
                <w:rFonts w:ascii="Times New Roman" w:hAnsi="Times New Roman"/>
                <w:sz w:val="24"/>
              </w:rPr>
              <w:t>danej triede expozícií, ako sa uvádza</w:t>
            </w:r>
            <w:r w:rsidR="00A87849">
              <w:rPr>
                <w:rFonts w:ascii="Times New Roman" w:hAnsi="Times New Roman"/>
                <w:sz w:val="24"/>
              </w:rPr>
              <w:t xml:space="preserve"> v </w:t>
            </w:r>
            <w:r w:rsidRPr="00A87849">
              <w:rPr>
                <w:rFonts w:ascii="Times New Roman" w:hAnsi="Times New Roman"/>
                <w:sz w:val="24"/>
              </w:rPr>
              <w:t>stĺpci b tohto vzoru. To zahŕňa expozície, pri ktorých inštitúcie majú povolenie používať alebo nepoužívať svoje vlastné odhady LGD</w:t>
            </w:r>
            <w:r w:rsidR="00A87849">
              <w:rPr>
                <w:rFonts w:ascii="Times New Roman" w:hAnsi="Times New Roman"/>
                <w:sz w:val="24"/>
              </w:rPr>
              <w:t xml:space="preserve"> a </w:t>
            </w:r>
            <w:r w:rsidRPr="00A87849">
              <w:rPr>
                <w:rFonts w:ascii="Times New Roman" w:hAnsi="Times New Roman"/>
                <w:sz w:val="24"/>
              </w:rPr>
              <w:t>konverzných faktorov (F-IRB</w:t>
            </w:r>
            <w:r w:rsidR="00A87849">
              <w:rPr>
                <w:rFonts w:ascii="Times New Roman" w:hAnsi="Times New Roman"/>
                <w:sz w:val="24"/>
              </w:rPr>
              <w:t xml:space="preserve"> a </w:t>
            </w:r>
            <w:r w:rsidRPr="00A87849">
              <w:rPr>
                <w:rFonts w:ascii="Times New Roman" w:hAnsi="Times New Roman"/>
                <w:sz w:val="24"/>
              </w:rPr>
              <w:t>A-IRB), vrátane prístupu orgánov dohľadu spočívajúceho</w:t>
            </w:r>
            <w:r w:rsidR="00A87849">
              <w:rPr>
                <w:rFonts w:ascii="Times New Roman" w:hAnsi="Times New Roman"/>
                <w:sz w:val="24"/>
              </w:rPr>
              <w:t xml:space="preserve"> v </w:t>
            </w:r>
            <w:r w:rsidRPr="00A87849">
              <w:rPr>
                <w:rFonts w:ascii="Times New Roman" w:hAnsi="Times New Roman"/>
                <w:sz w:val="24"/>
              </w:rPr>
              <w:t>zaradení expozícií vo forme špecializovaného financovania</w:t>
            </w:r>
            <w:r w:rsidR="00A87849">
              <w:rPr>
                <w:rFonts w:ascii="Times New Roman" w:hAnsi="Times New Roman"/>
                <w:sz w:val="24"/>
              </w:rPr>
              <w:t xml:space="preserve"> a </w:t>
            </w:r>
            <w:r w:rsidRPr="00A87849">
              <w:rPr>
                <w:rFonts w:ascii="Times New Roman" w:hAnsi="Times New Roman"/>
                <w:sz w:val="24"/>
              </w:rPr>
              <w:t>kapitálových expozícií</w:t>
            </w:r>
            <w:r w:rsidR="00A87849">
              <w:rPr>
                <w:rFonts w:ascii="Times New Roman" w:hAnsi="Times New Roman"/>
                <w:sz w:val="24"/>
              </w:rPr>
              <w:t xml:space="preserve"> v </w:t>
            </w:r>
            <w:r w:rsidRPr="00A87849">
              <w:rPr>
                <w:rFonts w:ascii="Times New Roman" w:hAnsi="Times New Roman"/>
                <w:sz w:val="24"/>
              </w:rPr>
              <w:t>rámci jednoduchého prístupu založeného na použití rizikovej váhy.</w:t>
            </w:r>
          </w:p>
        </w:tc>
      </w:tr>
      <w:tr w:rsidR="00087388" w:rsidRPr="00A87849"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A87849" w:rsidRDefault="00087388" w:rsidP="00725D4D">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A87849" w:rsidRDefault="00087388" w:rsidP="00725D4D">
            <w:pPr>
              <w:autoSpaceDE w:val="0"/>
              <w:autoSpaceDN w:val="0"/>
              <w:adjustRightInd w:val="0"/>
              <w:spacing w:after="120"/>
              <w:jc w:val="both"/>
              <w:rPr>
                <w:rFonts w:ascii="Times New Roman" w:hAnsi="Times New Roman" w:cs="Times New Roman"/>
                <w:b/>
                <w:spacing w:val="-2"/>
                <w:sz w:val="24"/>
              </w:rPr>
            </w:pPr>
            <w:r w:rsidRPr="00A87849">
              <w:rPr>
                <w:rFonts w:ascii="Times New Roman" w:hAnsi="Times New Roman"/>
                <w:b/>
                <w:sz w:val="24"/>
              </w:rPr>
              <w:t>Percentuálny podiel celkovej hodnoty expozície, na ktorú sa vzťahuje plán zavádzania (%)</w:t>
            </w:r>
          </w:p>
          <w:p w14:paraId="2A8E1233" w14:textId="31B4FC35" w:rsidR="00087388" w:rsidRPr="00A87849" w:rsidRDefault="00087388" w:rsidP="63E31B68">
            <w:pPr>
              <w:autoSpaceDE w:val="0"/>
              <w:autoSpaceDN w:val="0"/>
              <w:adjustRightInd w:val="0"/>
              <w:spacing w:after="120"/>
              <w:jc w:val="both"/>
              <w:rPr>
                <w:rFonts w:ascii="Times New Roman" w:hAnsi="Times New Roman" w:cs="Times New Roman"/>
                <w:spacing w:val="-2"/>
                <w:sz w:val="24"/>
              </w:rPr>
            </w:pPr>
            <w:r w:rsidRPr="00A87849">
              <w:rPr>
                <w:rFonts w:ascii="Times New Roman" w:hAnsi="Times New Roman"/>
                <w:sz w:val="24"/>
              </w:rPr>
              <w:t xml:space="preserve">Časť expozície pri každej triede aktív, na ktorú sa vzťahuje postupná implementácia prístupu IRB podľa článku 148 nariadenia (EÚ) </w:t>
            </w:r>
            <w:r w:rsidR="00A87849">
              <w:rPr>
                <w:rFonts w:ascii="Times New Roman" w:hAnsi="Times New Roman"/>
                <w:sz w:val="24"/>
              </w:rPr>
              <w:t>č. </w:t>
            </w:r>
            <w:r w:rsidRPr="00A87849">
              <w:rPr>
                <w:rFonts w:ascii="Times New Roman" w:hAnsi="Times New Roman"/>
                <w:sz w:val="24"/>
              </w:rPr>
              <w:t>575/2013,</w:t>
            </w:r>
            <w:r w:rsidR="00A87849">
              <w:rPr>
                <w:rFonts w:ascii="Times New Roman" w:hAnsi="Times New Roman"/>
                <w:sz w:val="24"/>
              </w:rPr>
              <w:t xml:space="preserve"> v </w:t>
            </w:r>
            <w:r w:rsidRPr="00A87849">
              <w:rPr>
                <w:rFonts w:ascii="Times New Roman" w:hAnsi="Times New Roman"/>
                <w:sz w:val="24"/>
              </w:rPr>
              <w:t>pomere</w:t>
            </w:r>
            <w:r w:rsidR="00A87849">
              <w:rPr>
                <w:rFonts w:ascii="Times New Roman" w:hAnsi="Times New Roman"/>
                <w:sz w:val="24"/>
              </w:rPr>
              <w:t xml:space="preserve"> k </w:t>
            </w:r>
            <w:r w:rsidRPr="00A87849">
              <w:rPr>
                <w:rFonts w:ascii="Times New Roman" w:hAnsi="Times New Roman"/>
                <w:sz w:val="24"/>
              </w:rPr>
              <w:t>celkovej expozícii</w:t>
            </w:r>
            <w:r w:rsidR="00A87849">
              <w:rPr>
                <w:rFonts w:ascii="Times New Roman" w:hAnsi="Times New Roman"/>
                <w:sz w:val="24"/>
              </w:rPr>
              <w:t xml:space="preserve"> v </w:t>
            </w:r>
            <w:r w:rsidRPr="00A87849">
              <w:rPr>
                <w:rFonts w:ascii="Times New Roman" w:hAnsi="Times New Roman"/>
                <w:sz w:val="24"/>
              </w:rPr>
              <w:t>danej triede expozícií, ako sa uvádza</w:t>
            </w:r>
            <w:r w:rsidR="00A87849">
              <w:rPr>
                <w:rFonts w:ascii="Times New Roman" w:hAnsi="Times New Roman"/>
                <w:sz w:val="24"/>
              </w:rPr>
              <w:t xml:space="preserve"> v </w:t>
            </w:r>
            <w:r w:rsidRPr="00A87849">
              <w:rPr>
                <w:rFonts w:ascii="Times New Roman" w:hAnsi="Times New Roman"/>
                <w:sz w:val="24"/>
              </w:rPr>
              <w:t>stĺpci b. To zahŕňa:</w:t>
            </w:r>
          </w:p>
          <w:p w14:paraId="0A7D52D7" w14:textId="29E923D0" w:rsidR="00087388" w:rsidRPr="00A87849"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A87849">
              <w:rPr>
                <w:rFonts w:ascii="Times New Roman" w:hAnsi="Times New Roman"/>
                <w:sz w:val="24"/>
              </w:rPr>
              <w:lastRenderedPageBreak/>
              <w:t>expozície, pri ktorých inštitúcie plánujú uplatniť prístup IRB so svojimi vlastnými odhadmi LGD</w:t>
            </w:r>
            <w:r w:rsidR="00A87849">
              <w:rPr>
                <w:rFonts w:ascii="Times New Roman" w:hAnsi="Times New Roman"/>
                <w:sz w:val="24"/>
              </w:rPr>
              <w:t xml:space="preserve"> a </w:t>
            </w:r>
            <w:r w:rsidRPr="00A87849">
              <w:rPr>
                <w:rFonts w:ascii="Times New Roman" w:hAnsi="Times New Roman"/>
                <w:sz w:val="24"/>
              </w:rPr>
              <w:t>konverzných faktorov alebo bez nich (F-IRB alebo A-IRB);</w:t>
            </w:r>
          </w:p>
          <w:p w14:paraId="545F55BD" w14:textId="26DE0B8A" w:rsidR="00087388" w:rsidRPr="00A87849"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A87849">
              <w:rPr>
                <w:rFonts w:ascii="Times New Roman" w:hAnsi="Times New Roman"/>
                <w:sz w:val="24"/>
              </w:rPr>
              <w:t>Nevýznamné kapitálové expozície nezahrnuté</w:t>
            </w:r>
            <w:r w:rsidR="00A87849">
              <w:rPr>
                <w:rFonts w:ascii="Times New Roman" w:hAnsi="Times New Roman"/>
                <w:sz w:val="24"/>
              </w:rPr>
              <w:t xml:space="preserve"> v </w:t>
            </w:r>
            <w:r w:rsidRPr="00A87849">
              <w:rPr>
                <w:rFonts w:ascii="Times New Roman" w:hAnsi="Times New Roman"/>
                <w:sz w:val="24"/>
              </w:rPr>
              <w:t>stĺpcoch c</w:t>
            </w:r>
            <w:r w:rsidR="00A87849">
              <w:rPr>
                <w:rFonts w:ascii="Times New Roman" w:hAnsi="Times New Roman"/>
                <w:sz w:val="24"/>
              </w:rPr>
              <w:t xml:space="preserve"> a </w:t>
            </w:r>
            <w:r w:rsidRPr="00A87849">
              <w:rPr>
                <w:rFonts w:ascii="Times New Roman" w:hAnsi="Times New Roman"/>
                <w:sz w:val="24"/>
              </w:rPr>
              <w:t>d tohto vzoru;</w:t>
            </w:r>
          </w:p>
          <w:p w14:paraId="62816ED4" w14:textId="52604019" w:rsidR="00087388" w:rsidRPr="00A87849"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A87849">
              <w:rPr>
                <w:rFonts w:ascii="Times New Roman" w:hAnsi="Times New Roman"/>
                <w:sz w:val="24"/>
              </w:rPr>
              <w:t>expozície, na ktoré sa už uplatňuje prístup F-IRB, ak inštitúcia plánuje</w:t>
            </w:r>
            <w:r w:rsidR="00A87849">
              <w:rPr>
                <w:rFonts w:ascii="Times New Roman" w:hAnsi="Times New Roman"/>
                <w:sz w:val="24"/>
              </w:rPr>
              <w:t xml:space="preserve"> v </w:t>
            </w:r>
            <w:r w:rsidRPr="00A87849">
              <w:rPr>
                <w:rFonts w:ascii="Times New Roman" w:hAnsi="Times New Roman"/>
                <w:sz w:val="24"/>
              </w:rPr>
              <w:t>budúcnosti uplatňovať prístup A-IRB;</w:t>
            </w:r>
          </w:p>
          <w:p w14:paraId="3FD0FBD5" w14:textId="162AE3CA" w:rsidR="00087388" w:rsidRPr="00A87849" w:rsidRDefault="00087388" w:rsidP="00087388">
            <w:pPr>
              <w:pStyle w:val="ListParagraph"/>
              <w:numPr>
                <w:ilvl w:val="0"/>
                <w:numId w:val="3"/>
              </w:numPr>
              <w:spacing w:after="120"/>
              <w:jc w:val="both"/>
              <w:rPr>
                <w:rFonts w:ascii="Times New Roman" w:hAnsi="Times New Roman"/>
                <w:sz w:val="24"/>
              </w:rPr>
            </w:pPr>
            <w:r w:rsidRPr="00A87849">
              <w:rPr>
                <w:rFonts w:ascii="Times New Roman" w:hAnsi="Times New Roman"/>
                <w:sz w:val="24"/>
              </w:rPr>
              <w:t>expozície vo forme špecializovaného financovania, pri ktorých sa uplatňuje prístup orgánov dohľadu spočívajúci</w:t>
            </w:r>
            <w:r w:rsidR="00A87849">
              <w:rPr>
                <w:rFonts w:ascii="Times New Roman" w:hAnsi="Times New Roman"/>
                <w:sz w:val="24"/>
              </w:rPr>
              <w:t xml:space="preserve"> v </w:t>
            </w:r>
            <w:r w:rsidRPr="00A87849">
              <w:rPr>
                <w:rFonts w:ascii="Times New Roman" w:hAnsi="Times New Roman"/>
                <w:sz w:val="24"/>
              </w:rPr>
              <w:t>zaradení</w:t>
            </w:r>
            <w:r w:rsidR="00A87849">
              <w:rPr>
                <w:rFonts w:ascii="Times New Roman" w:hAnsi="Times New Roman"/>
                <w:sz w:val="24"/>
              </w:rPr>
              <w:t xml:space="preserve"> a </w:t>
            </w:r>
            <w:r w:rsidRPr="00A87849">
              <w:rPr>
                <w:rFonts w:ascii="Times New Roman" w:hAnsi="Times New Roman"/>
                <w:sz w:val="24"/>
              </w:rPr>
              <w:t>ktoré nie sú zahrnuté</w:t>
            </w:r>
            <w:r w:rsidR="00A87849">
              <w:rPr>
                <w:rFonts w:ascii="Times New Roman" w:hAnsi="Times New Roman"/>
                <w:sz w:val="24"/>
              </w:rPr>
              <w:t xml:space="preserve"> v </w:t>
            </w:r>
            <w:r w:rsidRPr="00A87849">
              <w:rPr>
                <w:rFonts w:ascii="Times New Roman" w:hAnsi="Times New Roman"/>
                <w:sz w:val="24"/>
              </w:rPr>
              <w:t>stĺpci d tohto vzoru.</w:t>
            </w:r>
          </w:p>
        </w:tc>
      </w:tr>
    </w:tbl>
    <w:p w14:paraId="45FB0818" w14:textId="77777777" w:rsidR="00087388" w:rsidRPr="00A87849"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A87849"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A87849" w:rsidRDefault="00087388" w:rsidP="00725D4D">
            <w:pPr>
              <w:autoSpaceDE w:val="0"/>
              <w:autoSpaceDN w:val="0"/>
              <w:adjustRightInd w:val="0"/>
              <w:spacing w:after="120"/>
              <w:rPr>
                <w:rFonts w:ascii="Times New Roman" w:hAnsi="Times New Roman" w:cs="Times New Roman"/>
                <w:b/>
                <w:sz w:val="24"/>
              </w:rPr>
            </w:pPr>
            <w:r w:rsidRPr="00A87849">
              <w:rPr>
                <w:rFonts w:ascii="Times New Roman" w:hAnsi="Times New Roman"/>
                <w:b/>
                <w:sz w:val="24"/>
              </w:rPr>
              <w:t>Číslo riadku</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4AAEC7A5" w:rsidR="00087388" w:rsidRPr="00A87849" w:rsidRDefault="00087388" w:rsidP="00725D4D">
            <w:pPr>
              <w:spacing w:after="120"/>
              <w:rPr>
                <w:rFonts w:ascii="Times New Roman" w:hAnsi="Times New Roman" w:cs="Times New Roman"/>
                <w:b/>
                <w:sz w:val="24"/>
              </w:rPr>
            </w:pPr>
            <w:r w:rsidRPr="00A87849">
              <w:rPr>
                <w:rFonts w:ascii="Times New Roman" w:hAnsi="Times New Roman"/>
                <w:b/>
                <w:sz w:val="24"/>
              </w:rPr>
              <w:t>Odkazy na právne predpisy</w:t>
            </w:r>
            <w:r w:rsidR="00A87849">
              <w:rPr>
                <w:rFonts w:ascii="Times New Roman" w:hAnsi="Times New Roman"/>
                <w:b/>
                <w:sz w:val="24"/>
              </w:rPr>
              <w:t xml:space="preserve"> a </w:t>
            </w:r>
            <w:r w:rsidRPr="00A87849">
              <w:rPr>
                <w:rFonts w:ascii="Times New Roman" w:hAnsi="Times New Roman"/>
                <w:b/>
                <w:sz w:val="24"/>
              </w:rPr>
              <w:t>pokyny</w:t>
            </w:r>
          </w:p>
        </w:tc>
      </w:tr>
      <w:tr w:rsidR="00087388" w:rsidRPr="00A87849" w14:paraId="555AFC23" w14:textId="77777777" w:rsidTr="0F62C19C">
        <w:trPr>
          <w:trHeight w:val="403"/>
        </w:trPr>
        <w:tc>
          <w:tcPr>
            <w:tcW w:w="1413" w:type="dxa"/>
            <w:vMerge/>
          </w:tcPr>
          <w:p w14:paraId="049F31CB" w14:textId="77777777" w:rsidR="00087388" w:rsidRPr="00A87849"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A87849" w:rsidRDefault="00087388" w:rsidP="00725D4D">
            <w:pPr>
              <w:autoSpaceDE w:val="0"/>
              <w:autoSpaceDN w:val="0"/>
              <w:adjustRightInd w:val="0"/>
              <w:spacing w:after="120"/>
              <w:rPr>
                <w:rFonts w:ascii="Times New Roman" w:hAnsi="Times New Roman" w:cs="Times New Roman"/>
                <w:color w:val="000000"/>
                <w:sz w:val="24"/>
              </w:rPr>
            </w:pPr>
            <w:r w:rsidRPr="00A87849">
              <w:rPr>
                <w:rFonts w:ascii="Times New Roman" w:hAnsi="Times New Roman"/>
                <w:b/>
                <w:sz w:val="24"/>
              </w:rPr>
              <w:t>Vysvetlenie</w:t>
            </w:r>
          </w:p>
        </w:tc>
      </w:tr>
      <w:tr w:rsidR="00087388" w:rsidRPr="00A87849" w14:paraId="6607530A" w14:textId="77777777" w:rsidTr="0F62C19C">
        <w:trPr>
          <w:trHeight w:val="316"/>
        </w:trPr>
        <w:tc>
          <w:tcPr>
            <w:tcW w:w="1413" w:type="dxa"/>
          </w:tcPr>
          <w:p w14:paraId="4EADCEC8" w14:textId="6D98E609" w:rsidR="00087388" w:rsidRPr="00A87849" w:rsidRDefault="001505CE"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1 – 8</w:t>
            </w:r>
          </w:p>
        </w:tc>
        <w:tc>
          <w:tcPr>
            <w:tcW w:w="7654" w:type="dxa"/>
          </w:tcPr>
          <w:p w14:paraId="0461CF21" w14:textId="3C5A86F2" w:rsidR="00087388" w:rsidRPr="00A87849" w:rsidRDefault="01E22573" w:rsidP="0F62C19C">
            <w:pPr>
              <w:spacing w:after="120"/>
              <w:jc w:val="both"/>
              <w:rPr>
                <w:rFonts w:ascii="Times New Roman" w:hAnsi="Times New Roman" w:cs="Times New Roman"/>
                <w:sz w:val="24"/>
              </w:rPr>
            </w:pPr>
            <w:r w:rsidRPr="00A87849">
              <w:rPr>
                <w:rFonts w:ascii="Times New Roman" w:hAnsi="Times New Roman"/>
                <w:sz w:val="24"/>
              </w:rPr>
              <w:t>Inštitúcie do vzoru CR 6-A zahŕňajú informácie podľa tried expozícií</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rozčlenením tried expozícií uvedeným</w:t>
            </w:r>
            <w:r w:rsidR="00A87849">
              <w:rPr>
                <w:rFonts w:ascii="Times New Roman" w:hAnsi="Times New Roman"/>
                <w:sz w:val="24"/>
              </w:rPr>
              <w:t xml:space="preserve"> v </w:t>
            </w:r>
            <w:r w:rsidRPr="00A87849">
              <w:rPr>
                <w:rFonts w:ascii="Times New Roman" w:hAnsi="Times New Roman"/>
                <w:sz w:val="24"/>
              </w:rPr>
              <w:t>riadkoch vzoru. Ďalšie podrobné údaje</w:t>
            </w:r>
            <w:r w:rsidR="00A87849">
              <w:rPr>
                <w:rFonts w:ascii="Times New Roman" w:hAnsi="Times New Roman"/>
                <w:sz w:val="24"/>
              </w:rPr>
              <w:t xml:space="preserve"> o </w:t>
            </w:r>
            <w:r w:rsidRPr="00A87849">
              <w:rPr>
                <w:rFonts w:ascii="Times New Roman" w:hAnsi="Times New Roman"/>
                <w:sz w:val="24"/>
              </w:rPr>
              <w:t>triedach expozícií sú uvedené</w:t>
            </w:r>
            <w:r w:rsidR="00A87849">
              <w:rPr>
                <w:rFonts w:ascii="Times New Roman" w:hAnsi="Times New Roman"/>
                <w:sz w:val="24"/>
              </w:rPr>
              <w:t xml:space="preserve"> v </w:t>
            </w:r>
            <w:r w:rsidRPr="00A87849">
              <w:rPr>
                <w:rFonts w:ascii="Times New Roman" w:hAnsi="Times New Roman"/>
                <w:sz w:val="24"/>
              </w:rPr>
              <w:t>pokynoch</w:t>
            </w:r>
            <w:r w:rsidR="00A87849">
              <w:rPr>
                <w:rFonts w:ascii="Times New Roman" w:hAnsi="Times New Roman"/>
                <w:sz w:val="24"/>
              </w:rPr>
              <w:t xml:space="preserve"> k </w:t>
            </w:r>
            <w:r w:rsidRPr="00A87849">
              <w:rPr>
                <w:rFonts w:ascii="Times New Roman" w:hAnsi="Times New Roman"/>
                <w:sz w:val="24"/>
              </w:rPr>
              <w:t>vzoru EU CR7 – Prístup IRB.</w:t>
            </w:r>
          </w:p>
        </w:tc>
      </w:tr>
    </w:tbl>
    <w:p w14:paraId="53128261" w14:textId="77777777" w:rsidR="00087388" w:rsidRPr="00A87849" w:rsidRDefault="00087388" w:rsidP="00087388">
      <w:pPr>
        <w:spacing w:after="120"/>
        <w:rPr>
          <w:rFonts w:ascii="Times New Roman" w:hAnsi="Times New Roman" w:cs="Times New Roman"/>
          <w:sz w:val="24"/>
        </w:rPr>
      </w:pPr>
    </w:p>
    <w:p w14:paraId="599DF724" w14:textId="5E399299" w:rsidR="00087388" w:rsidRPr="00A87849" w:rsidRDefault="00087388" w:rsidP="00087388">
      <w:pPr>
        <w:spacing w:after="120"/>
        <w:rPr>
          <w:rFonts w:ascii="Times New Roman" w:hAnsi="Times New Roman" w:cs="Times New Roman"/>
          <w:b/>
          <w:sz w:val="24"/>
        </w:rPr>
      </w:pPr>
      <w:r w:rsidRPr="00A87849">
        <w:rPr>
          <w:rFonts w:ascii="Times New Roman" w:hAnsi="Times New Roman"/>
          <w:b/>
          <w:sz w:val="24"/>
        </w:rPr>
        <w:t>Vzor EU CR7 – Prístup IRB – Vplyv kreditných derivátov používaných ako postupy zmierňovania kreditného rizika na hodnoty rizikovo vážených expozícií. Vzor</w:t>
      </w:r>
      <w:r w:rsidR="00A87849">
        <w:rPr>
          <w:rFonts w:ascii="Times New Roman" w:hAnsi="Times New Roman"/>
          <w:b/>
          <w:sz w:val="24"/>
        </w:rPr>
        <w:t xml:space="preserve"> s </w:t>
      </w:r>
      <w:r w:rsidRPr="00A87849">
        <w:rPr>
          <w:rFonts w:ascii="Times New Roman" w:hAnsi="Times New Roman"/>
          <w:b/>
          <w:sz w:val="24"/>
        </w:rPr>
        <w:t>pevným formátom.</w:t>
      </w:r>
    </w:p>
    <w:p w14:paraId="7B6AB97E" w14:textId="2BCB92A1" w:rsidR="00087388" w:rsidRPr="00A87849" w:rsidRDefault="00087388" w:rsidP="63E31B68">
      <w:pPr>
        <w:pStyle w:val="ListParagraph"/>
        <w:numPr>
          <w:ilvl w:val="0"/>
          <w:numId w:val="7"/>
        </w:numPr>
        <w:spacing w:after="120"/>
        <w:jc w:val="both"/>
        <w:rPr>
          <w:rFonts w:ascii="Times New Roman" w:hAnsi="Times New Roman"/>
          <w:sz w:val="24"/>
          <w:szCs w:val="24"/>
        </w:rPr>
      </w:pPr>
      <w:r w:rsidRPr="00A87849">
        <w:rPr>
          <w:rFonts w:ascii="Times New Roman" w:hAnsi="Times New Roman"/>
          <w:sz w:val="24"/>
        </w:rPr>
        <w:t>Inštitúcie zverejňujú informácie uvedené</w:t>
      </w:r>
      <w:r w:rsidR="00A87849">
        <w:rPr>
          <w:rFonts w:ascii="Times New Roman" w:hAnsi="Times New Roman"/>
          <w:sz w:val="24"/>
        </w:rPr>
        <w:t xml:space="preserve"> v </w:t>
      </w:r>
      <w:r w:rsidRPr="00A87849">
        <w:rPr>
          <w:rFonts w:ascii="Times New Roman" w:hAnsi="Times New Roman"/>
          <w:sz w:val="24"/>
        </w:rPr>
        <w:t xml:space="preserve">článku 453 písm. j) nariadenia (EÚ) </w:t>
      </w:r>
      <w:r w:rsidR="00A87849">
        <w:rPr>
          <w:rFonts w:ascii="Times New Roman" w:hAnsi="Times New Roman"/>
          <w:sz w:val="24"/>
        </w:rPr>
        <w:t>č. </w:t>
      </w:r>
      <w:r w:rsidRPr="00A87849">
        <w:rPr>
          <w:rFonts w:ascii="Times New Roman" w:hAnsi="Times New Roman"/>
          <w:sz w:val="24"/>
        </w:rPr>
        <w:t>575/2013 podľa pokynov uvedených nižšie</w:t>
      </w:r>
      <w:r w:rsidR="00A87849">
        <w:rPr>
          <w:rFonts w:ascii="Times New Roman" w:hAnsi="Times New Roman"/>
          <w:sz w:val="24"/>
        </w:rPr>
        <w:t xml:space="preserve"> v </w:t>
      </w:r>
      <w:r w:rsidRPr="00A87849">
        <w:rPr>
          <w:rFonts w:ascii="Times New Roman" w:hAnsi="Times New Roman"/>
          <w:sz w:val="24"/>
        </w:rPr>
        <w:t>tejto prílohe</w:t>
      </w:r>
      <w:r w:rsidR="00A87849">
        <w:rPr>
          <w:rFonts w:ascii="Times New Roman" w:hAnsi="Times New Roman"/>
          <w:sz w:val="24"/>
        </w:rPr>
        <w:t xml:space="preserve"> s </w:t>
      </w:r>
      <w:r w:rsidRPr="00A87849">
        <w:rPr>
          <w:rFonts w:ascii="Times New Roman" w:hAnsi="Times New Roman"/>
          <w:sz w:val="24"/>
        </w:rPr>
        <w:t>cieľom vyplniť vzor EU CR7, ktorý je uvedený</w:t>
      </w:r>
      <w:r w:rsidR="00A87849">
        <w:rPr>
          <w:rFonts w:ascii="Times New Roman" w:hAnsi="Times New Roman"/>
          <w:sz w:val="24"/>
        </w:rPr>
        <w:t xml:space="preserve"> v </w:t>
      </w:r>
      <w:r w:rsidRPr="00A87849">
        <w:rPr>
          <w:rFonts w:ascii="Times New Roman" w:hAnsi="Times New Roman"/>
          <w:sz w:val="24"/>
        </w:rPr>
        <w:t>prílohe XXI dokumentu</w:t>
      </w:r>
      <w:r w:rsidR="00A87849">
        <w:rPr>
          <w:rFonts w:ascii="Times New Roman" w:hAnsi="Times New Roman"/>
          <w:sz w:val="24"/>
        </w:rPr>
        <w:t xml:space="preserve"> s </w:t>
      </w:r>
      <w:r w:rsidRPr="00A87849">
        <w:rPr>
          <w:rFonts w:ascii="Times New Roman" w:hAnsi="Times New Roman"/>
          <w:sz w:val="24"/>
        </w:rPr>
        <w:t>IT riešeniami orgánu EBA. Inštitúcie dopĺňajú vzor opisom na vysvetlenie účinku kreditných derivátov na hodnoty rizikovo vážených expozícií.</w:t>
      </w:r>
      <w:r w:rsidR="00A87849">
        <w:rPr>
          <w:rFonts w:ascii="Times New Roman" w:hAnsi="Times New Roman"/>
          <w:sz w:val="24"/>
        </w:rPr>
        <w:t xml:space="preserve"> Z </w:t>
      </w:r>
      <w:r w:rsidRPr="00A87849">
        <w:rPr>
          <w:rFonts w:ascii="Times New Roman" w:hAnsi="Times New Roman"/>
          <w:sz w:val="24"/>
        </w:rPr>
        <w:t xml:space="preserve">tohto vzoru sú vylúčené expozície voči kreditnému riziku protistrany (CCR) [tretia časť hlava II kapitola 6 nariadenia (EÚ) </w:t>
      </w:r>
      <w:r w:rsidR="00A87849">
        <w:rPr>
          <w:rFonts w:ascii="Times New Roman" w:hAnsi="Times New Roman"/>
          <w:sz w:val="24"/>
        </w:rPr>
        <w:t>č. </w:t>
      </w:r>
      <w:r w:rsidRPr="00A87849">
        <w:rPr>
          <w:rFonts w:ascii="Times New Roman" w:hAnsi="Times New Roman"/>
          <w:sz w:val="24"/>
        </w:rPr>
        <w:t>575/2013], sekuritizačné expozície, iné aktíva, ktoré nemajú povahu kreditného záväzku, podniky kolektívneho investovania</w:t>
      </w:r>
      <w:r w:rsidR="00A87849">
        <w:rPr>
          <w:rFonts w:ascii="Times New Roman" w:hAnsi="Times New Roman"/>
          <w:sz w:val="24"/>
        </w:rPr>
        <w:t xml:space="preserve"> a </w:t>
      </w:r>
      <w:r w:rsidRPr="00A87849">
        <w:rPr>
          <w:rFonts w:ascii="Times New Roman" w:hAnsi="Times New Roman"/>
          <w:sz w:val="24"/>
        </w:rPr>
        <w:t>kapitálové expozície.</w:t>
      </w:r>
    </w:p>
    <w:p w14:paraId="62486C05" w14:textId="77777777" w:rsidR="00087388" w:rsidRPr="00A87849"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A87849"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A87849" w:rsidRDefault="00087388" w:rsidP="00725D4D">
            <w:pPr>
              <w:autoSpaceDE w:val="0"/>
              <w:autoSpaceDN w:val="0"/>
              <w:adjustRightInd w:val="0"/>
              <w:spacing w:after="120"/>
              <w:rPr>
                <w:rFonts w:ascii="Times New Roman" w:hAnsi="Times New Roman" w:cs="Times New Roman"/>
                <w:b/>
                <w:sz w:val="24"/>
              </w:rPr>
            </w:pPr>
            <w:r w:rsidRPr="00A87849">
              <w:rPr>
                <w:rFonts w:ascii="Times New Roman" w:hAnsi="Times New Roman"/>
                <w:b/>
                <w:sz w:val="24"/>
              </w:rPr>
              <w:t>Odkaz na stĺpec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56C46A85" w:rsidR="00087388" w:rsidRPr="00A87849" w:rsidRDefault="00087388" w:rsidP="00725D4D">
            <w:pPr>
              <w:spacing w:after="120"/>
              <w:rPr>
                <w:rFonts w:ascii="Times New Roman" w:hAnsi="Times New Roman" w:cs="Times New Roman"/>
                <w:b/>
                <w:sz w:val="24"/>
              </w:rPr>
            </w:pPr>
            <w:r w:rsidRPr="00A87849">
              <w:rPr>
                <w:rFonts w:ascii="Times New Roman" w:hAnsi="Times New Roman"/>
                <w:b/>
                <w:sz w:val="24"/>
              </w:rPr>
              <w:t>Odkazy na právne predpisy</w:t>
            </w:r>
            <w:r w:rsidR="00A87849">
              <w:rPr>
                <w:rFonts w:ascii="Times New Roman" w:hAnsi="Times New Roman"/>
                <w:b/>
                <w:sz w:val="24"/>
              </w:rPr>
              <w:t xml:space="preserve"> a </w:t>
            </w:r>
            <w:r w:rsidRPr="00A87849">
              <w:rPr>
                <w:rFonts w:ascii="Times New Roman" w:hAnsi="Times New Roman"/>
                <w:b/>
                <w:sz w:val="24"/>
              </w:rPr>
              <w:t>pokyny</w:t>
            </w:r>
          </w:p>
        </w:tc>
      </w:tr>
      <w:tr w:rsidR="00087388" w:rsidRPr="00A87849" w14:paraId="5C810547" w14:textId="77777777" w:rsidTr="63E31B68">
        <w:trPr>
          <w:trHeight w:val="741"/>
        </w:trPr>
        <w:tc>
          <w:tcPr>
            <w:tcW w:w="1413" w:type="dxa"/>
            <w:vMerge/>
          </w:tcPr>
          <w:p w14:paraId="4101652C" w14:textId="77777777" w:rsidR="00087388" w:rsidRPr="00A87849"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A87849" w:rsidRDefault="00087388" w:rsidP="00725D4D">
            <w:pPr>
              <w:autoSpaceDE w:val="0"/>
              <w:autoSpaceDN w:val="0"/>
              <w:adjustRightInd w:val="0"/>
              <w:spacing w:after="120"/>
              <w:rPr>
                <w:rFonts w:ascii="Times New Roman" w:hAnsi="Times New Roman" w:cs="Times New Roman"/>
                <w:color w:val="000000"/>
                <w:sz w:val="24"/>
              </w:rPr>
            </w:pPr>
            <w:r w:rsidRPr="00A87849">
              <w:rPr>
                <w:rFonts w:ascii="Times New Roman" w:hAnsi="Times New Roman"/>
                <w:b/>
                <w:sz w:val="24"/>
              </w:rPr>
              <w:t>Vysvetlenie</w:t>
            </w:r>
          </w:p>
        </w:tc>
      </w:tr>
      <w:tr w:rsidR="00087388" w:rsidRPr="00A87849" w14:paraId="49912972" w14:textId="77777777" w:rsidTr="63E31B68">
        <w:trPr>
          <w:trHeight w:val="316"/>
        </w:trPr>
        <w:tc>
          <w:tcPr>
            <w:tcW w:w="1413" w:type="dxa"/>
          </w:tcPr>
          <w:p w14:paraId="0E995611"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a</w:t>
            </w:r>
          </w:p>
        </w:tc>
        <w:tc>
          <w:tcPr>
            <w:tcW w:w="7654" w:type="dxa"/>
          </w:tcPr>
          <w:p w14:paraId="63722345" w14:textId="77777777" w:rsidR="00087388" w:rsidRPr="00A87849" w:rsidRDefault="00087388" w:rsidP="00725D4D">
            <w:pPr>
              <w:pStyle w:val="Default"/>
              <w:spacing w:after="120"/>
              <w:rPr>
                <w:rFonts w:ascii="Times New Roman" w:hAnsi="Times New Roman" w:cs="Times New Roman"/>
                <w:b/>
                <w:color w:val="auto"/>
              </w:rPr>
            </w:pPr>
            <w:r w:rsidRPr="00A87849">
              <w:rPr>
                <w:rFonts w:ascii="Times New Roman" w:hAnsi="Times New Roman"/>
                <w:b/>
                <w:color w:val="auto"/>
              </w:rPr>
              <w:t>Hodnota rizikovo váženej expozície pred uznaním kreditných derivátov</w:t>
            </w:r>
          </w:p>
          <w:p w14:paraId="42052019" w14:textId="0BE5AE80" w:rsidR="00087388" w:rsidRPr="00A87849" w:rsidRDefault="00087388" w:rsidP="00725D4D">
            <w:pPr>
              <w:pStyle w:val="Default"/>
              <w:spacing w:after="120"/>
              <w:rPr>
                <w:rFonts w:ascii="Times New Roman" w:hAnsi="Times New Roman" w:cs="Times New Roman"/>
              </w:rPr>
            </w:pPr>
            <w:r w:rsidRPr="00A87849">
              <w:rPr>
                <w:rFonts w:ascii="Times New Roman" w:hAnsi="Times New Roman"/>
                <w:color w:val="auto"/>
              </w:rPr>
              <w:t>Hypotetická hodnota rizikovo váženej expozície vypočítaná ako skutočná RWEA za predpokladu, že kreditný derivát nebol uznaný ako postup zmierňovania kreditného rizika, ako sa uvádza</w:t>
            </w:r>
            <w:r w:rsidR="00A87849">
              <w:rPr>
                <w:rFonts w:ascii="Times New Roman" w:hAnsi="Times New Roman"/>
                <w:color w:val="auto"/>
              </w:rPr>
              <w:t xml:space="preserve"> v </w:t>
            </w:r>
            <w:r w:rsidRPr="00A87849">
              <w:rPr>
                <w:rFonts w:ascii="Times New Roman" w:hAnsi="Times New Roman"/>
                <w:color w:val="auto"/>
              </w:rPr>
              <w:t xml:space="preserve">článku 204 nariadenia (EÚ) </w:t>
            </w:r>
            <w:r w:rsidR="00A87849">
              <w:rPr>
                <w:rFonts w:ascii="Times New Roman" w:hAnsi="Times New Roman"/>
                <w:color w:val="auto"/>
              </w:rPr>
              <w:t>č. </w:t>
            </w:r>
            <w:r w:rsidRPr="00A87849">
              <w:rPr>
                <w:rFonts w:ascii="Times New Roman" w:hAnsi="Times New Roman"/>
                <w:color w:val="auto"/>
              </w:rPr>
              <w:t>575/2013. Hodnoty sa uvádzajú</w:t>
            </w:r>
            <w:r w:rsidR="00A87849">
              <w:rPr>
                <w:rFonts w:ascii="Times New Roman" w:hAnsi="Times New Roman"/>
                <w:color w:val="auto"/>
              </w:rPr>
              <w:t xml:space="preserve"> v </w:t>
            </w:r>
            <w:r w:rsidRPr="00A87849">
              <w:rPr>
                <w:rFonts w:ascii="Times New Roman" w:hAnsi="Times New Roman"/>
                <w:color w:val="auto"/>
              </w:rPr>
              <w:t>triedach expozícií, ktoré sú relevantné pre expozície voči pôvodnému dlžníkovi.</w:t>
            </w:r>
          </w:p>
        </w:tc>
      </w:tr>
      <w:tr w:rsidR="00087388" w:rsidRPr="00A87849" w14:paraId="11D4D0CB" w14:textId="77777777" w:rsidTr="63E31B68">
        <w:trPr>
          <w:trHeight w:val="316"/>
        </w:trPr>
        <w:tc>
          <w:tcPr>
            <w:tcW w:w="1413" w:type="dxa"/>
          </w:tcPr>
          <w:p w14:paraId="71608CFE"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b</w:t>
            </w:r>
          </w:p>
        </w:tc>
        <w:tc>
          <w:tcPr>
            <w:tcW w:w="7654" w:type="dxa"/>
          </w:tcPr>
          <w:p w14:paraId="489B469A" w14:textId="77777777" w:rsidR="00087388" w:rsidRPr="00A87849" w:rsidRDefault="00087388" w:rsidP="00725D4D">
            <w:pPr>
              <w:spacing w:after="120"/>
              <w:jc w:val="both"/>
              <w:rPr>
                <w:rFonts w:ascii="Times New Roman" w:hAnsi="Times New Roman" w:cs="Times New Roman"/>
                <w:b/>
                <w:sz w:val="24"/>
              </w:rPr>
            </w:pPr>
            <w:r w:rsidRPr="00A87849">
              <w:rPr>
                <w:rFonts w:ascii="Times New Roman" w:hAnsi="Times New Roman"/>
                <w:b/>
                <w:sz w:val="24"/>
              </w:rPr>
              <w:t>Skutočná hodnota rizikovo váženej expozície</w:t>
            </w:r>
          </w:p>
          <w:p w14:paraId="414E9D56" w14:textId="6D446131" w:rsidR="00087388" w:rsidRPr="00A87849" w:rsidRDefault="00087388" w:rsidP="00725D4D">
            <w:pPr>
              <w:spacing w:after="120"/>
              <w:jc w:val="both"/>
              <w:rPr>
                <w:rFonts w:ascii="Times New Roman" w:hAnsi="Times New Roman" w:cs="Times New Roman"/>
                <w:sz w:val="24"/>
              </w:rPr>
            </w:pPr>
            <w:r w:rsidRPr="00A87849">
              <w:rPr>
                <w:rFonts w:ascii="Times New Roman" w:hAnsi="Times New Roman"/>
                <w:sz w:val="24"/>
              </w:rPr>
              <w:t>Hodnota rizikovo váženej expozície vypočítaná</w:t>
            </w:r>
            <w:r w:rsidR="00A87849">
              <w:rPr>
                <w:rFonts w:ascii="Times New Roman" w:hAnsi="Times New Roman"/>
                <w:sz w:val="24"/>
              </w:rPr>
              <w:t xml:space="preserve"> s </w:t>
            </w:r>
            <w:r w:rsidRPr="00A87849">
              <w:rPr>
                <w:rFonts w:ascii="Times New Roman" w:hAnsi="Times New Roman"/>
                <w:sz w:val="24"/>
              </w:rPr>
              <w:t xml:space="preserve">prihliadnutím na vplyv kreditných derivátov. Ak inštitúcie nahradia rizikovú váhu alebo parametre </w:t>
            </w:r>
            <w:r w:rsidRPr="00A87849">
              <w:rPr>
                <w:rFonts w:ascii="Times New Roman" w:hAnsi="Times New Roman"/>
                <w:sz w:val="24"/>
              </w:rPr>
              <w:lastRenderedPageBreak/>
              <w:t>rizika dlžníka rizikovou váhou alebo parametrami rizika poskytovateľa zabezpečenia, hodnoty rizikovo vážených expozícií sa uvádzajú</w:t>
            </w:r>
            <w:r w:rsidR="00A87849">
              <w:rPr>
                <w:rFonts w:ascii="Times New Roman" w:hAnsi="Times New Roman"/>
                <w:sz w:val="24"/>
              </w:rPr>
              <w:t xml:space="preserve"> v </w:t>
            </w:r>
            <w:r w:rsidRPr="00A87849">
              <w:rPr>
                <w:rFonts w:ascii="Times New Roman" w:hAnsi="Times New Roman"/>
                <w:sz w:val="24"/>
              </w:rPr>
              <w:t>triede expozícií relevantnej pre priame expozície voči poskytovateľovi zabezpečenia.</w:t>
            </w:r>
          </w:p>
        </w:tc>
      </w:tr>
    </w:tbl>
    <w:p w14:paraId="4B99056E" w14:textId="77777777" w:rsidR="00087388" w:rsidRPr="00A87849"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A87849"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A87849" w:rsidRDefault="00087388" w:rsidP="00725D4D">
            <w:pPr>
              <w:autoSpaceDE w:val="0"/>
              <w:autoSpaceDN w:val="0"/>
              <w:adjustRightInd w:val="0"/>
              <w:spacing w:after="120"/>
              <w:rPr>
                <w:rFonts w:ascii="Times New Roman" w:hAnsi="Times New Roman" w:cs="Times New Roman"/>
                <w:b/>
                <w:sz w:val="24"/>
              </w:rPr>
            </w:pPr>
            <w:r w:rsidRPr="00A87849">
              <w:rPr>
                <w:rFonts w:ascii="Times New Roman" w:hAnsi="Times New Roman"/>
                <w:b/>
                <w:sz w:val="24"/>
              </w:rPr>
              <w:t>Odkaz na riadok</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0CAEAC00" w:rsidR="00087388" w:rsidRPr="00A87849" w:rsidRDefault="00087388" w:rsidP="00725D4D">
            <w:pPr>
              <w:spacing w:after="120"/>
              <w:rPr>
                <w:rFonts w:ascii="Times New Roman" w:hAnsi="Times New Roman" w:cs="Times New Roman"/>
                <w:b/>
                <w:sz w:val="24"/>
              </w:rPr>
            </w:pPr>
            <w:r w:rsidRPr="00A87849">
              <w:rPr>
                <w:rFonts w:ascii="Times New Roman" w:hAnsi="Times New Roman"/>
                <w:b/>
                <w:sz w:val="24"/>
              </w:rPr>
              <w:t>Odkazy na právne predpisy</w:t>
            </w:r>
            <w:r w:rsidR="00A87849">
              <w:rPr>
                <w:rFonts w:ascii="Times New Roman" w:hAnsi="Times New Roman"/>
                <w:b/>
                <w:sz w:val="24"/>
              </w:rPr>
              <w:t xml:space="preserve"> a </w:t>
            </w:r>
            <w:r w:rsidRPr="00A87849">
              <w:rPr>
                <w:rFonts w:ascii="Times New Roman" w:hAnsi="Times New Roman"/>
                <w:b/>
                <w:sz w:val="24"/>
              </w:rPr>
              <w:t>pokyny</w:t>
            </w:r>
          </w:p>
        </w:tc>
      </w:tr>
      <w:tr w:rsidR="00087388" w:rsidRPr="00A87849" w14:paraId="32F2159D" w14:textId="77777777" w:rsidTr="0F62C19C">
        <w:trPr>
          <w:trHeight w:val="741"/>
        </w:trPr>
        <w:tc>
          <w:tcPr>
            <w:tcW w:w="1413" w:type="dxa"/>
            <w:vMerge/>
          </w:tcPr>
          <w:p w14:paraId="1299C43A" w14:textId="77777777" w:rsidR="00087388" w:rsidRPr="00A87849"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A87849" w:rsidRDefault="00087388" w:rsidP="00725D4D">
            <w:pPr>
              <w:autoSpaceDE w:val="0"/>
              <w:autoSpaceDN w:val="0"/>
              <w:adjustRightInd w:val="0"/>
              <w:spacing w:after="120"/>
              <w:rPr>
                <w:rFonts w:ascii="Times New Roman" w:hAnsi="Times New Roman" w:cs="Times New Roman"/>
                <w:color w:val="000000"/>
                <w:sz w:val="24"/>
              </w:rPr>
            </w:pPr>
            <w:r w:rsidRPr="00A87849">
              <w:rPr>
                <w:rFonts w:ascii="Times New Roman" w:hAnsi="Times New Roman"/>
                <w:b/>
                <w:sz w:val="24"/>
              </w:rPr>
              <w:t>Vysvetlenie</w:t>
            </w:r>
          </w:p>
        </w:tc>
      </w:tr>
      <w:tr w:rsidR="00087388" w:rsidRPr="00A87849" w14:paraId="474BA759" w14:textId="77777777" w:rsidTr="0F62C19C">
        <w:trPr>
          <w:trHeight w:val="316"/>
        </w:trPr>
        <w:tc>
          <w:tcPr>
            <w:tcW w:w="1413" w:type="dxa"/>
          </w:tcPr>
          <w:p w14:paraId="7EF76B82" w14:textId="59124E5B" w:rsidR="00087388" w:rsidRPr="00A87849" w:rsidRDefault="01E22573" w:rsidP="0F62C19C">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 xml:space="preserve">1, EU 1a, EU 1b, 2, EU 2a, EU 2b, 3, 5, EU 5a, EU 5b, EU 5c, 6, EU 6a, EU 6b, EU 6c, EU 8a, 9, 10, EU 10a, EU 10b, 17, 18 </w:t>
            </w:r>
          </w:p>
        </w:tc>
        <w:tc>
          <w:tcPr>
            <w:tcW w:w="7654" w:type="dxa"/>
          </w:tcPr>
          <w:p w14:paraId="4DC2E999" w14:textId="6AAE125D" w:rsidR="00A87849" w:rsidRDefault="01E22573" w:rsidP="00725D4D">
            <w:pPr>
              <w:pStyle w:val="Default"/>
              <w:spacing w:after="120"/>
              <w:jc w:val="both"/>
              <w:rPr>
                <w:rFonts w:ascii="Times New Roman" w:hAnsi="Times New Roman"/>
              </w:rPr>
            </w:pPr>
            <w:r w:rsidRPr="00A87849">
              <w:rPr>
                <w:rFonts w:ascii="Times New Roman" w:hAnsi="Times New Roman"/>
              </w:rPr>
              <w:t>Inštitúcie zahŕňajú rozčlenenie hodnoty rizikovo váženej expozície pred uznaním kreditných derivátov</w:t>
            </w:r>
            <w:r w:rsidR="00A87849">
              <w:rPr>
                <w:rFonts w:ascii="Times New Roman" w:hAnsi="Times New Roman"/>
              </w:rPr>
              <w:t xml:space="preserve"> a </w:t>
            </w:r>
            <w:r w:rsidRPr="00A87849">
              <w:rPr>
                <w:rFonts w:ascii="Times New Roman" w:hAnsi="Times New Roman"/>
              </w:rPr>
              <w:t>skutočnej rizikovo váženej expozície podľa triedy expozícií</w:t>
            </w:r>
            <w:r w:rsidR="00A87849">
              <w:rPr>
                <w:rFonts w:ascii="Times New Roman" w:hAnsi="Times New Roman"/>
              </w:rPr>
              <w:t xml:space="preserve"> v </w:t>
            </w:r>
            <w:r w:rsidRPr="00A87849">
              <w:rPr>
                <w:rFonts w:ascii="Times New Roman" w:hAnsi="Times New Roman"/>
              </w:rPr>
              <w:t>súlade</w:t>
            </w:r>
            <w:r w:rsidR="00A87849">
              <w:rPr>
                <w:rFonts w:ascii="Times New Roman" w:hAnsi="Times New Roman"/>
              </w:rPr>
              <w:t xml:space="preserve"> s </w:t>
            </w:r>
            <w:r w:rsidRPr="00A87849">
              <w:rPr>
                <w:rFonts w:ascii="Times New Roman" w:hAnsi="Times New Roman"/>
              </w:rPr>
              <w:t>triedami expozícií</w:t>
            </w:r>
            <w:r w:rsidR="00A87849">
              <w:rPr>
                <w:rFonts w:ascii="Times New Roman" w:hAnsi="Times New Roman"/>
              </w:rPr>
              <w:t xml:space="preserve"> a </w:t>
            </w:r>
            <w:r w:rsidRPr="00A87849">
              <w:rPr>
                <w:rFonts w:ascii="Times New Roman" w:hAnsi="Times New Roman"/>
              </w:rPr>
              <w:t>triedami podexpozícií uvedenými</w:t>
            </w:r>
            <w:r w:rsidR="00A87849">
              <w:rPr>
                <w:rFonts w:ascii="Times New Roman" w:hAnsi="Times New Roman"/>
              </w:rPr>
              <w:t xml:space="preserve"> v </w:t>
            </w:r>
            <w:r w:rsidRPr="00A87849">
              <w:rPr>
                <w:rFonts w:ascii="Times New Roman" w:hAnsi="Times New Roman"/>
              </w:rPr>
              <w:t xml:space="preserve">článku 147 ods. 2 nariadenia (EÚ) </w:t>
            </w:r>
            <w:r w:rsidR="00A87849">
              <w:rPr>
                <w:rFonts w:ascii="Times New Roman" w:hAnsi="Times New Roman"/>
              </w:rPr>
              <w:t>č. </w:t>
            </w:r>
            <w:r w:rsidRPr="00A87849">
              <w:rPr>
                <w:rFonts w:ascii="Times New Roman" w:hAnsi="Times New Roman"/>
              </w:rPr>
              <w:t>575/2013</w:t>
            </w:r>
            <w:r w:rsidR="00A87849">
              <w:rPr>
                <w:rFonts w:ascii="Times New Roman" w:hAnsi="Times New Roman"/>
              </w:rPr>
              <w:t xml:space="preserve"> a </w:t>
            </w:r>
            <w:r w:rsidRPr="00A87849">
              <w:rPr>
                <w:rFonts w:ascii="Times New Roman" w:hAnsi="Times New Roman"/>
              </w:rPr>
              <w:t>osobitne pre expozície podľa prístupu F-IRB</w:t>
            </w:r>
            <w:r w:rsidR="00A87849">
              <w:rPr>
                <w:rFonts w:ascii="Times New Roman" w:hAnsi="Times New Roman"/>
              </w:rPr>
              <w:t xml:space="preserve"> a </w:t>
            </w:r>
            <w:r w:rsidRPr="00A87849">
              <w:rPr>
                <w:rFonts w:ascii="Times New Roman" w:hAnsi="Times New Roman"/>
              </w:rPr>
              <w:t>expozície podľa prístupu A-IRB</w:t>
            </w:r>
            <w:r w:rsidR="00A87849">
              <w:rPr>
                <w:rFonts w:ascii="Times New Roman" w:hAnsi="Times New Roman"/>
              </w:rPr>
              <w:t>.</w:t>
            </w:r>
          </w:p>
          <w:p w14:paraId="2FECA712" w14:textId="37D9ECB9" w:rsidR="00087388" w:rsidRPr="00A87849" w:rsidRDefault="01E22573" w:rsidP="00725D4D">
            <w:pPr>
              <w:pStyle w:val="Default"/>
              <w:spacing w:after="120"/>
              <w:jc w:val="both"/>
              <w:rPr>
                <w:rFonts w:ascii="Times New Roman" w:hAnsi="Times New Roman" w:cs="Times New Roman"/>
                <w:color w:val="auto"/>
              </w:rPr>
            </w:pPr>
            <w:r w:rsidRPr="00A87849">
              <w:rPr>
                <w:rFonts w:ascii="Times New Roman" w:hAnsi="Times New Roman"/>
              </w:rPr>
              <w:t>Inštitúcie zverejňujú</w:t>
            </w:r>
            <w:r w:rsidR="00A87849">
              <w:rPr>
                <w:rFonts w:ascii="Times New Roman" w:hAnsi="Times New Roman"/>
              </w:rPr>
              <w:t xml:space="preserve"> v </w:t>
            </w:r>
            <w:r w:rsidRPr="00A87849">
              <w:rPr>
                <w:rFonts w:ascii="Times New Roman" w:hAnsi="Times New Roman"/>
              </w:rPr>
              <w:t>riadkoch 17</w:t>
            </w:r>
            <w:r w:rsidR="00A87849">
              <w:rPr>
                <w:rFonts w:ascii="Times New Roman" w:hAnsi="Times New Roman"/>
              </w:rPr>
              <w:t xml:space="preserve"> a </w:t>
            </w:r>
            <w:r w:rsidRPr="00A87849">
              <w:rPr>
                <w:rFonts w:ascii="Times New Roman" w:hAnsi="Times New Roman"/>
              </w:rPr>
              <w:t>18 tohto vzoru medzisúčty pre expozície podľa F-IRB</w:t>
            </w:r>
            <w:r w:rsidR="00A87849">
              <w:rPr>
                <w:rFonts w:ascii="Times New Roman" w:hAnsi="Times New Roman"/>
              </w:rPr>
              <w:t xml:space="preserve"> a </w:t>
            </w:r>
            <w:r w:rsidRPr="00A87849">
              <w:rPr>
                <w:rFonts w:ascii="Times New Roman" w:hAnsi="Times New Roman"/>
              </w:rPr>
              <w:t>pre expozície podľa A-IRB.</w:t>
            </w:r>
          </w:p>
          <w:p w14:paraId="27A0B0E7" w14:textId="5BE819C5" w:rsidR="00087388" w:rsidRPr="00A87849"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A87849" w14:paraId="1ADA600A" w14:textId="77777777" w:rsidTr="0F62C19C">
        <w:trPr>
          <w:trHeight w:val="316"/>
        </w:trPr>
        <w:tc>
          <w:tcPr>
            <w:tcW w:w="1413" w:type="dxa"/>
          </w:tcPr>
          <w:p w14:paraId="4DDBEF00" w14:textId="2664BDEA" w:rsidR="00B77F1A" w:rsidRPr="00A87849" w:rsidRDefault="00E65AFD"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 xml:space="preserve">5 </w:t>
            </w:r>
          </w:p>
        </w:tc>
        <w:tc>
          <w:tcPr>
            <w:tcW w:w="7654" w:type="dxa"/>
          </w:tcPr>
          <w:p w14:paraId="49FF129C" w14:textId="77777777" w:rsidR="001505CE" w:rsidRPr="00A87849" w:rsidRDefault="00B77F1A" w:rsidP="0F62C19C">
            <w:pPr>
              <w:pStyle w:val="Default"/>
              <w:spacing w:after="120"/>
              <w:jc w:val="both"/>
              <w:rPr>
                <w:rFonts w:ascii="Times New Roman" w:eastAsia="Times New Roman" w:hAnsi="Times New Roman" w:cs="Times New Roman"/>
                <w:b/>
                <w:bCs/>
              </w:rPr>
            </w:pPr>
            <w:r w:rsidRPr="00A87849">
              <w:rPr>
                <w:rFonts w:ascii="Times New Roman" w:hAnsi="Times New Roman"/>
                <w:b/>
              </w:rPr>
              <w:t>Podnikateľské subjekty – F-IRB</w:t>
            </w:r>
          </w:p>
          <w:p w14:paraId="2F95F6BA" w14:textId="73EFF597" w:rsidR="00B77F1A" w:rsidRPr="00A87849" w:rsidRDefault="001505CE" w:rsidP="0F62C19C">
            <w:pPr>
              <w:pStyle w:val="Default"/>
              <w:spacing w:after="120"/>
              <w:jc w:val="both"/>
              <w:rPr>
                <w:rFonts w:ascii="Times New Roman" w:eastAsia="Times New Roman" w:hAnsi="Times New Roman" w:cs="Times New Roman"/>
              </w:rPr>
            </w:pPr>
            <w:r w:rsidRPr="00A87849">
              <w:rPr>
                <w:rFonts w:ascii="Times New Roman" w:hAnsi="Times New Roman"/>
              </w:rPr>
              <w:t>Súčet expozícií</w:t>
            </w:r>
            <w:r w:rsidR="00A87849">
              <w:rPr>
                <w:rFonts w:ascii="Times New Roman" w:hAnsi="Times New Roman"/>
              </w:rPr>
              <w:t xml:space="preserve"> v </w:t>
            </w:r>
            <w:r w:rsidRPr="00A87849">
              <w:rPr>
                <w:rFonts w:ascii="Times New Roman" w:hAnsi="Times New Roman"/>
              </w:rPr>
              <w:t>riadkoch EU 5a, EU 5b, EU 5c.</w:t>
            </w:r>
          </w:p>
        </w:tc>
      </w:tr>
      <w:tr w:rsidR="00466600" w:rsidRPr="00A87849" w14:paraId="134EC7D3" w14:textId="77777777" w:rsidTr="0F62C19C">
        <w:trPr>
          <w:trHeight w:val="316"/>
        </w:trPr>
        <w:tc>
          <w:tcPr>
            <w:tcW w:w="1413" w:type="dxa"/>
          </w:tcPr>
          <w:p w14:paraId="12F8CE7D" w14:textId="161B207A" w:rsidR="00466600" w:rsidRPr="00A87849" w:rsidRDefault="004E2633" w:rsidP="0F62C19C">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6</w:t>
            </w:r>
          </w:p>
        </w:tc>
        <w:tc>
          <w:tcPr>
            <w:tcW w:w="7654" w:type="dxa"/>
          </w:tcPr>
          <w:p w14:paraId="166D59A5" w14:textId="77777777" w:rsidR="001505CE" w:rsidRPr="00A87849" w:rsidRDefault="004E2633" w:rsidP="0F62C19C">
            <w:pPr>
              <w:pStyle w:val="Default"/>
              <w:spacing w:after="120"/>
              <w:jc w:val="both"/>
              <w:rPr>
                <w:rFonts w:ascii="Times New Roman" w:eastAsia="Times New Roman" w:hAnsi="Times New Roman" w:cs="Times New Roman"/>
                <w:b/>
                <w:bCs/>
              </w:rPr>
            </w:pPr>
            <w:r w:rsidRPr="00A87849">
              <w:rPr>
                <w:rFonts w:ascii="Times New Roman" w:hAnsi="Times New Roman"/>
                <w:b/>
              </w:rPr>
              <w:t>Podnikateľské subjekty – A-IRB</w:t>
            </w:r>
          </w:p>
          <w:p w14:paraId="6C6DC143" w14:textId="387FEA08" w:rsidR="00725D4D" w:rsidRPr="00A87849" w:rsidRDefault="001505CE" w:rsidP="0F62C19C">
            <w:pPr>
              <w:pStyle w:val="Default"/>
              <w:spacing w:after="120"/>
              <w:jc w:val="both"/>
              <w:rPr>
                <w:rFonts w:ascii="Times New Roman" w:eastAsia="Times New Roman" w:hAnsi="Times New Roman" w:cs="Times New Roman"/>
              </w:rPr>
            </w:pPr>
            <w:r w:rsidRPr="00A87849">
              <w:rPr>
                <w:rFonts w:ascii="Times New Roman" w:hAnsi="Times New Roman"/>
              </w:rPr>
              <w:t>Súčet expozícií</w:t>
            </w:r>
            <w:r w:rsidR="00A87849">
              <w:rPr>
                <w:rFonts w:ascii="Times New Roman" w:hAnsi="Times New Roman"/>
              </w:rPr>
              <w:t xml:space="preserve"> v </w:t>
            </w:r>
            <w:r w:rsidRPr="00A87849">
              <w:rPr>
                <w:rFonts w:ascii="Times New Roman" w:hAnsi="Times New Roman"/>
              </w:rPr>
              <w:t xml:space="preserve">riadkoch EU 6a, EU 6b, EU 6c. </w:t>
            </w:r>
          </w:p>
        </w:tc>
      </w:tr>
      <w:tr w:rsidR="001E1AE0" w:rsidRPr="00A87849" w14:paraId="3596E494" w14:textId="77777777" w:rsidTr="0F62C19C">
        <w:trPr>
          <w:trHeight w:val="316"/>
        </w:trPr>
        <w:tc>
          <w:tcPr>
            <w:tcW w:w="1413" w:type="dxa"/>
          </w:tcPr>
          <w:p w14:paraId="3461D779" w14:textId="31BE3BED" w:rsidR="001E1AE0" w:rsidRPr="00A87849" w:rsidRDefault="00170359"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EU 8a</w:t>
            </w:r>
          </w:p>
        </w:tc>
        <w:tc>
          <w:tcPr>
            <w:tcW w:w="7654" w:type="dxa"/>
          </w:tcPr>
          <w:p w14:paraId="5EC39BD9" w14:textId="77777777" w:rsidR="001505CE" w:rsidRPr="00A87849" w:rsidRDefault="002C7F1A">
            <w:pPr>
              <w:autoSpaceDE w:val="0"/>
              <w:autoSpaceDN w:val="0"/>
              <w:adjustRightInd w:val="0"/>
              <w:spacing w:after="120"/>
              <w:jc w:val="both"/>
              <w:rPr>
                <w:rFonts w:ascii="Times New Roman" w:eastAsia="Times New Roman" w:hAnsi="Times New Roman" w:cs="Times New Roman"/>
                <w:b/>
                <w:bCs/>
              </w:rPr>
            </w:pPr>
            <w:r w:rsidRPr="00A87849">
              <w:rPr>
                <w:rFonts w:ascii="Times New Roman" w:hAnsi="Times New Roman"/>
                <w:b/>
              </w:rPr>
              <w:t>Retailové subjekty – A-IRB</w:t>
            </w:r>
          </w:p>
          <w:p w14:paraId="20E57CB1" w14:textId="654B3D6E" w:rsidR="001E1AE0" w:rsidRPr="00A87849" w:rsidRDefault="001505CE" w:rsidP="000A6489">
            <w:pPr>
              <w:autoSpaceDE w:val="0"/>
              <w:autoSpaceDN w:val="0"/>
              <w:adjustRightInd w:val="0"/>
              <w:spacing w:after="120"/>
              <w:jc w:val="both"/>
              <w:rPr>
                <w:rFonts w:ascii="Times New Roman" w:eastAsia="Times New Roman" w:hAnsi="Times New Roman" w:cs="Times New Roman"/>
              </w:rPr>
            </w:pPr>
            <w:r w:rsidRPr="00A87849">
              <w:rPr>
                <w:rFonts w:ascii="Times New Roman" w:hAnsi="Times New Roman"/>
              </w:rPr>
              <w:t>Súčet expozícií</w:t>
            </w:r>
            <w:r w:rsidR="00A87849">
              <w:rPr>
                <w:rFonts w:ascii="Times New Roman" w:hAnsi="Times New Roman"/>
              </w:rPr>
              <w:t xml:space="preserve"> v </w:t>
            </w:r>
            <w:r w:rsidRPr="00A87849">
              <w:rPr>
                <w:rFonts w:ascii="Times New Roman" w:hAnsi="Times New Roman"/>
              </w:rPr>
              <w:t>riadkoch 9, 10, EU 10a, EU 10b.</w:t>
            </w:r>
          </w:p>
        </w:tc>
      </w:tr>
      <w:tr w:rsidR="00087388" w:rsidRPr="00A87849" w14:paraId="163D0C9E" w14:textId="77777777" w:rsidTr="0F62C19C">
        <w:trPr>
          <w:trHeight w:val="316"/>
        </w:trPr>
        <w:tc>
          <w:tcPr>
            <w:tcW w:w="1413" w:type="dxa"/>
          </w:tcPr>
          <w:p w14:paraId="446DE71A" w14:textId="6B15494B" w:rsidR="00087388" w:rsidRPr="00A87849" w:rsidRDefault="7E7B1D6B">
            <w:pPr>
              <w:spacing w:after="120"/>
              <w:jc w:val="both"/>
              <w:rPr>
                <w:rFonts w:ascii="Times New Roman" w:eastAsia="Times New Roman" w:hAnsi="Times New Roman" w:cs="Times New Roman"/>
                <w:sz w:val="24"/>
              </w:rPr>
            </w:pPr>
            <w:r w:rsidRPr="00A87849">
              <w:rPr>
                <w:rFonts w:ascii="Times New Roman" w:hAnsi="Times New Roman"/>
                <w:sz w:val="24"/>
              </w:rPr>
              <w:t>19</w:t>
            </w:r>
          </w:p>
        </w:tc>
        <w:tc>
          <w:tcPr>
            <w:tcW w:w="7654" w:type="dxa"/>
          </w:tcPr>
          <w:p w14:paraId="44ECEAF5" w14:textId="77777777" w:rsidR="00A87849" w:rsidRDefault="00087388" w:rsidP="00725D4D">
            <w:pPr>
              <w:spacing w:after="120"/>
              <w:jc w:val="both"/>
              <w:rPr>
                <w:rFonts w:ascii="Times New Roman" w:hAnsi="Times New Roman"/>
                <w:sz w:val="24"/>
              </w:rPr>
            </w:pPr>
            <w:r w:rsidRPr="00A87849">
              <w:rPr>
                <w:rFonts w:ascii="Times New Roman" w:hAnsi="Times New Roman"/>
                <w:b/>
                <w:sz w:val="24"/>
              </w:rPr>
              <w:t>Celkové expozície</w:t>
            </w:r>
          </w:p>
          <w:p w14:paraId="135DA9C5" w14:textId="06C4BF56" w:rsidR="00A87849" w:rsidRDefault="00087388" w:rsidP="00725D4D">
            <w:pPr>
              <w:spacing w:after="120"/>
              <w:jc w:val="both"/>
              <w:rPr>
                <w:rFonts w:ascii="Times New Roman" w:hAnsi="Times New Roman"/>
                <w:sz w:val="24"/>
              </w:rPr>
            </w:pPr>
            <w:r w:rsidRPr="00A87849">
              <w:rPr>
                <w:rFonts w:ascii="Times New Roman" w:hAnsi="Times New Roman"/>
                <w:sz w:val="24"/>
              </w:rPr>
              <w:t>Celková hodnota rizikovo váženej expozície pred uznaním kreditných derivátov</w:t>
            </w:r>
            <w:r w:rsidR="00A87849">
              <w:rPr>
                <w:rFonts w:ascii="Times New Roman" w:hAnsi="Times New Roman"/>
                <w:sz w:val="24"/>
              </w:rPr>
              <w:t xml:space="preserve"> a </w:t>
            </w:r>
            <w:r w:rsidRPr="00A87849">
              <w:rPr>
                <w:rFonts w:ascii="Times New Roman" w:hAnsi="Times New Roman"/>
                <w:sz w:val="24"/>
              </w:rPr>
              <w:t>celková skutočná hodnota rizikovo váženej expozície pre všetky expozície podľa IRB (vrátane F-IRB</w:t>
            </w:r>
            <w:r w:rsidR="00A87849">
              <w:rPr>
                <w:rFonts w:ascii="Times New Roman" w:hAnsi="Times New Roman"/>
                <w:sz w:val="24"/>
              </w:rPr>
              <w:t xml:space="preserve"> a </w:t>
            </w:r>
            <w:r w:rsidRPr="00A87849">
              <w:rPr>
                <w:rFonts w:ascii="Times New Roman" w:hAnsi="Times New Roman"/>
                <w:sz w:val="24"/>
              </w:rPr>
              <w:t>A-IRB)</w:t>
            </w:r>
            <w:r w:rsidR="00A87849">
              <w:rPr>
                <w:rFonts w:ascii="Times New Roman" w:hAnsi="Times New Roman"/>
                <w:sz w:val="24"/>
              </w:rPr>
              <w:t>.</w:t>
            </w:r>
          </w:p>
          <w:p w14:paraId="472ACCEE" w14:textId="69D78A40" w:rsidR="00087388" w:rsidRPr="00A87849" w:rsidRDefault="00E60EAB" w:rsidP="00725D4D">
            <w:pPr>
              <w:spacing w:after="120"/>
              <w:jc w:val="both"/>
              <w:rPr>
                <w:rFonts w:ascii="Times New Roman" w:hAnsi="Times New Roman" w:cs="Times New Roman"/>
                <w:sz w:val="24"/>
              </w:rPr>
            </w:pPr>
            <w:r w:rsidRPr="00A87849">
              <w:rPr>
                <w:rFonts w:ascii="Times New Roman" w:hAnsi="Times New Roman"/>
                <w:sz w:val="24"/>
              </w:rPr>
              <w:t>Súčet expozícií</w:t>
            </w:r>
            <w:r w:rsidR="00A87849">
              <w:rPr>
                <w:rFonts w:ascii="Times New Roman" w:hAnsi="Times New Roman"/>
                <w:sz w:val="24"/>
              </w:rPr>
              <w:t xml:space="preserve"> v </w:t>
            </w:r>
            <w:r w:rsidRPr="00A87849">
              <w:rPr>
                <w:rFonts w:ascii="Times New Roman" w:hAnsi="Times New Roman"/>
                <w:sz w:val="24"/>
              </w:rPr>
              <w:t xml:space="preserve">riadkoch 1, EU 1a, EU 1b, 2, EU 2a, EU 2b, 3, 5, 6, EU 8a. </w:t>
            </w:r>
          </w:p>
        </w:tc>
      </w:tr>
    </w:tbl>
    <w:p w14:paraId="0FB78278" w14:textId="77777777" w:rsidR="00087388" w:rsidRPr="00A87849" w:rsidRDefault="00087388" w:rsidP="00087388">
      <w:pPr>
        <w:spacing w:after="120"/>
        <w:rPr>
          <w:rFonts w:ascii="Times New Roman" w:hAnsi="Times New Roman" w:cs="Times New Roman"/>
          <w:sz w:val="24"/>
        </w:rPr>
      </w:pPr>
    </w:p>
    <w:p w14:paraId="7459F9E1" w14:textId="77777777" w:rsidR="00A87849" w:rsidRDefault="00087388" w:rsidP="00087388">
      <w:pPr>
        <w:spacing w:after="120"/>
        <w:rPr>
          <w:rFonts w:ascii="Times New Roman" w:hAnsi="Times New Roman"/>
          <w:b/>
          <w:sz w:val="24"/>
        </w:rPr>
      </w:pPr>
      <w:r w:rsidRPr="00A87849">
        <w:rPr>
          <w:rFonts w:ascii="Times New Roman" w:hAnsi="Times New Roman"/>
          <w:b/>
          <w:sz w:val="24"/>
        </w:rPr>
        <w:t>Vzor EU CR7-A – prístup IRB – Zverejňovanie rozsahu používania postupov zmierňovania kreditného rizika</w:t>
      </w:r>
    </w:p>
    <w:p w14:paraId="2FAE17B8" w14:textId="23A2FC2B" w:rsidR="00A87849" w:rsidRDefault="00087388" w:rsidP="11F50173">
      <w:pPr>
        <w:pStyle w:val="ListParagraph"/>
        <w:numPr>
          <w:ilvl w:val="0"/>
          <w:numId w:val="7"/>
        </w:numPr>
        <w:spacing w:after="120"/>
        <w:ind w:left="714" w:hanging="357"/>
        <w:jc w:val="both"/>
        <w:rPr>
          <w:rFonts w:ascii="Times New Roman" w:hAnsi="Times New Roman"/>
          <w:sz w:val="24"/>
        </w:rPr>
      </w:pPr>
      <w:r w:rsidRPr="00A87849">
        <w:rPr>
          <w:rFonts w:ascii="Times New Roman" w:hAnsi="Times New Roman"/>
        </w:rPr>
        <w:t>Inštitúcie zverejňujú informácie uvedené</w:t>
      </w:r>
      <w:r w:rsidR="00A87849">
        <w:rPr>
          <w:rFonts w:ascii="Times New Roman" w:hAnsi="Times New Roman"/>
        </w:rPr>
        <w:t xml:space="preserve"> v </w:t>
      </w:r>
      <w:r w:rsidRPr="00A87849">
        <w:rPr>
          <w:rFonts w:ascii="Times New Roman" w:hAnsi="Times New Roman"/>
        </w:rPr>
        <w:t xml:space="preserve">článku 453 písm. g) nariadenia (EÚ) </w:t>
      </w:r>
      <w:r w:rsidR="00A87849">
        <w:rPr>
          <w:rFonts w:ascii="Times New Roman" w:hAnsi="Times New Roman"/>
        </w:rPr>
        <w:t>č. </w:t>
      </w:r>
      <w:r w:rsidRPr="00A87849">
        <w:rPr>
          <w:rFonts w:ascii="Times New Roman" w:hAnsi="Times New Roman"/>
        </w:rPr>
        <w:t xml:space="preserve">575/2013 </w:t>
      </w:r>
      <w:r w:rsidRPr="00A87849">
        <w:rPr>
          <w:rFonts w:ascii="Times New Roman" w:hAnsi="Times New Roman"/>
          <w:sz w:val="24"/>
        </w:rPr>
        <w:t>oddelene pre expozície podľa prístupu A-IRB</w:t>
      </w:r>
      <w:r w:rsidR="00A87849">
        <w:rPr>
          <w:rFonts w:ascii="Times New Roman" w:hAnsi="Times New Roman"/>
          <w:sz w:val="24"/>
        </w:rPr>
        <w:t xml:space="preserve"> a </w:t>
      </w:r>
      <w:r w:rsidRPr="00A87849">
        <w:rPr>
          <w:rFonts w:ascii="Times New Roman" w:hAnsi="Times New Roman"/>
          <w:sz w:val="24"/>
        </w:rPr>
        <w:t>prístupu F-IRB podľa pokynov uvedených nižšie</w:t>
      </w:r>
      <w:r w:rsidR="00A87849">
        <w:rPr>
          <w:rFonts w:ascii="Times New Roman" w:hAnsi="Times New Roman"/>
          <w:sz w:val="24"/>
        </w:rPr>
        <w:t xml:space="preserve"> v </w:t>
      </w:r>
      <w:r w:rsidRPr="00A87849">
        <w:rPr>
          <w:rFonts w:ascii="Times New Roman" w:hAnsi="Times New Roman"/>
          <w:sz w:val="24"/>
        </w:rPr>
        <w:t>tejto prílohe</w:t>
      </w:r>
      <w:r w:rsidR="00A87849">
        <w:rPr>
          <w:rFonts w:ascii="Times New Roman" w:hAnsi="Times New Roman"/>
          <w:sz w:val="24"/>
        </w:rPr>
        <w:t xml:space="preserve"> s </w:t>
      </w:r>
      <w:r w:rsidRPr="00A87849">
        <w:rPr>
          <w:rFonts w:ascii="Times New Roman" w:hAnsi="Times New Roman"/>
          <w:sz w:val="24"/>
        </w:rPr>
        <w:t>cieľom vyplniť vzor EU CR7-A, ktorý je uvedený</w:t>
      </w:r>
      <w:r w:rsidR="00A87849">
        <w:rPr>
          <w:rFonts w:ascii="Times New Roman" w:hAnsi="Times New Roman"/>
          <w:sz w:val="24"/>
        </w:rPr>
        <w:t xml:space="preserve"> v </w:t>
      </w:r>
      <w:r w:rsidRPr="00A87849">
        <w:rPr>
          <w:rFonts w:ascii="Times New Roman" w:hAnsi="Times New Roman"/>
          <w:sz w:val="24"/>
        </w:rPr>
        <w:t>prílohe XXI dokumentu</w:t>
      </w:r>
      <w:r w:rsidR="00A87849">
        <w:rPr>
          <w:rFonts w:ascii="Times New Roman" w:hAnsi="Times New Roman"/>
          <w:sz w:val="24"/>
        </w:rPr>
        <w:t xml:space="preserve"> s </w:t>
      </w:r>
      <w:r w:rsidRPr="00A87849">
        <w:rPr>
          <w:rFonts w:ascii="Times New Roman" w:hAnsi="Times New Roman"/>
          <w:sz w:val="24"/>
        </w:rPr>
        <w:t>IT riešeniami orgánu EBA. Ak sa položka financovaného zabezpečenia vzťahuje na viac ako jednu expozíciu, súčet expozícií, ktoré sa považujú za zabezpečené touto položkou, nesmie presiahnuť hodnotu položky zabezpečenia</w:t>
      </w:r>
      <w:r w:rsidR="00A87849">
        <w:rPr>
          <w:rFonts w:ascii="Times New Roman" w:hAnsi="Times New Roman"/>
          <w:sz w:val="24"/>
        </w:rPr>
        <w:t>.</w:t>
      </w:r>
    </w:p>
    <w:p w14:paraId="0F287152" w14:textId="1C9DB136" w:rsidR="00087388" w:rsidRPr="00A87849" w:rsidRDefault="00942C4C" w:rsidP="63E31B68">
      <w:pPr>
        <w:pStyle w:val="ListParagraph"/>
        <w:numPr>
          <w:ilvl w:val="0"/>
          <w:numId w:val="7"/>
        </w:numPr>
        <w:spacing w:after="120"/>
        <w:ind w:left="714" w:hanging="357"/>
        <w:jc w:val="both"/>
        <w:rPr>
          <w:rFonts w:ascii="Times New Roman" w:hAnsi="Times New Roman"/>
          <w:sz w:val="24"/>
          <w:szCs w:val="24"/>
        </w:rPr>
      </w:pPr>
      <w:r w:rsidRPr="00A87849">
        <w:rPr>
          <w:rFonts w:ascii="Times New Roman" w:hAnsi="Times New Roman"/>
          <w:sz w:val="24"/>
        </w:rPr>
        <w:t xml:space="preserve">Z tohto vzoru sú vylúčené expozície voči kreditnému riziku protistrany (CCR) [tretia časť hlava II kapitola 6 nariadenia (EÚ) </w:t>
      </w:r>
      <w:r w:rsidR="00A87849">
        <w:rPr>
          <w:rFonts w:ascii="Times New Roman" w:hAnsi="Times New Roman"/>
          <w:sz w:val="24"/>
        </w:rPr>
        <w:t>č. </w:t>
      </w:r>
      <w:r w:rsidRPr="00A87849">
        <w:rPr>
          <w:rFonts w:ascii="Times New Roman" w:hAnsi="Times New Roman"/>
          <w:sz w:val="24"/>
        </w:rPr>
        <w:t xml:space="preserve">575/2013], sekuritizačné expozície, iné </w:t>
      </w:r>
      <w:r w:rsidRPr="00A87849">
        <w:rPr>
          <w:rFonts w:ascii="Times New Roman" w:hAnsi="Times New Roman"/>
          <w:sz w:val="24"/>
        </w:rPr>
        <w:lastRenderedPageBreak/>
        <w:t>aktíva, ktoré nemajú povahu kreditného záväzku, podniky kolektívneho investovania</w:t>
      </w:r>
      <w:r w:rsidR="00A87849">
        <w:rPr>
          <w:rFonts w:ascii="Times New Roman" w:hAnsi="Times New Roman"/>
          <w:sz w:val="24"/>
        </w:rPr>
        <w:t xml:space="preserve"> a </w:t>
      </w:r>
      <w:r w:rsidRPr="00A87849">
        <w:rPr>
          <w:rFonts w:ascii="Times New Roman" w:hAnsi="Times New Roman"/>
          <w:sz w:val="24"/>
        </w:rPr>
        <w:t>kapitálové expozície.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A87849"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A87849" w:rsidRDefault="00087388" w:rsidP="00725D4D">
            <w:pPr>
              <w:autoSpaceDE w:val="0"/>
              <w:autoSpaceDN w:val="0"/>
              <w:adjustRightInd w:val="0"/>
              <w:spacing w:after="120"/>
              <w:rPr>
                <w:rFonts w:ascii="Times New Roman" w:hAnsi="Times New Roman" w:cs="Times New Roman"/>
                <w:b/>
                <w:sz w:val="24"/>
              </w:rPr>
            </w:pPr>
            <w:r w:rsidRPr="00A87849">
              <w:rPr>
                <w:rFonts w:ascii="Times New Roman" w:hAnsi="Times New Roman"/>
                <w:b/>
                <w:sz w:val="24"/>
              </w:rPr>
              <w:t>Odkaz na stĺpec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1BFB4AE" w:rsidR="00087388" w:rsidRPr="00A87849" w:rsidRDefault="00087388" w:rsidP="00725D4D">
            <w:pPr>
              <w:spacing w:after="120"/>
              <w:rPr>
                <w:rFonts w:ascii="Times New Roman" w:hAnsi="Times New Roman" w:cs="Times New Roman"/>
                <w:b/>
                <w:sz w:val="24"/>
              </w:rPr>
            </w:pPr>
            <w:r w:rsidRPr="00A87849">
              <w:rPr>
                <w:rFonts w:ascii="Times New Roman" w:hAnsi="Times New Roman"/>
                <w:b/>
                <w:sz w:val="24"/>
              </w:rPr>
              <w:t>Odkazy na právne predpisy</w:t>
            </w:r>
            <w:r w:rsidR="00A87849">
              <w:rPr>
                <w:rFonts w:ascii="Times New Roman" w:hAnsi="Times New Roman"/>
                <w:b/>
                <w:sz w:val="24"/>
              </w:rPr>
              <w:t xml:space="preserve"> a </w:t>
            </w:r>
            <w:r w:rsidRPr="00A87849">
              <w:rPr>
                <w:rFonts w:ascii="Times New Roman" w:hAnsi="Times New Roman"/>
                <w:b/>
                <w:sz w:val="24"/>
              </w:rPr>
              <w:t>pokyny</w:t>
            </w:r>
          </w:p>
        </w:tc>
      </w:tr>
      <w:tr w:rsidR="00087388" w:rsidRPr="00A87849" w14:paraId="47ABA6F8" w14:textId="77777777" w:rsidTr="11F50173">
        <w:trPr>
          <w:trHeight w:val="238"/>
        </w:trPr>
        <w:tc>
          <w:tcPr>
            <w:tcW w:w="1413" w:type="dxa"/>
            <w:vMerge/>
          </w:tcPr>
          <w:p w14:paraId="1FC39945" w14:textId="77777777" w:rsidR="00087388" w:rsidRPr="00A87849"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A87849" w:rsidRDefault="00087388" w:rsidP="00725D4D">
            <w:pPr>
              <w:autoSpaceDE w:val="0"/>
              <w:autoSpaceDN w:val="0"/>
              <w:adjustRightInd w:val="0"/>
              <w:spacing w:after="120"/>
              <w:rPr>
                <w:rFonts w:ascii="Times New Roman" w:hAnsi="Times New Roman" w:cs="Times New Roman"/>
                <w:color w:val="000000"/>
                <w:sz w:val="24"/>
              </w:rPr>
            </w:pPr>
            <w:r w:rsidRPr="00A87849">
              <w:rPr>
                <w:rFonts w:ascii="Times New Roman" w:hAnsi="Times New Roman"/>
                <w:b/>
                <w:sz w:val="24"/>
              </w:rPr>
              <w:t>Vysvetlenie</w:t>
            </w:r>
          </w:p>
        </w:tc>
      </w:tr>
      <w:tr w:rsidR="00087388" w:rsidRPr="00A87849" w14:paraId="0DD69BF7" w14:textId="77777777" w:rsidTr="11F50173">
        <w:trPr>
          <w:trHeight w:val="2388"/>
        </w:trPr>
        <w:tc>
          <w:tcPr>
            <w:tcW w:w="1413" w:type="dxa"/>
          </w:tcPr>
          <w:p w14:paraId="106CF623" w14:textId="77777777" w:rsidR="00087388" w:rsidRPr="00A87849" w:rsidRDefault="00087388" w:rsidP="00725D4D">
            <w:pPr>
              <w:spacing w:after="120"/>
              <w:jc w:val="both"/>
              <w:rPr>
                <w:rFonts w:ascii="Times New Roman" w:hAnsi="Times New Roman" w:cs="Times New Roman"/>
                <w:sz w:val="24"/>
              </w:rPr>
            </w:pPr>
            <w:r w:rsidRPr="00A87849">
              <w:rPr>
                <w:rFonts w:ascii="Times New Roman" w:hAnsi="Times New Roman"/>
                <w:sz w:val="24"/>
              </w:rPr>
              <w:t>a</w:t>
            </w:r>
          </w:p>
        </w:tc>
        <w:tc>
          <w:tcPr>
            <w:tcW w:w="7654" w:type="dxa"/>
          </w:tcPr>
          <w:p w14:paraId="595007CA" w14:textId="77777777" w:rsidR="00087388" w:rsidRPr="00A87849" w:rsidRDefault="00087388" w:rsidP="00725D4D">
            <w:pPr>
              <w:spacing w:after="120"/>
              <w:jc w:val="both"/>
              <w:rPr>
                <w:rFonts w:ascii="Times New Roman" w:hAnsi="Times New Roman" w:cs="Times New Roman"/>
                <w:b/>
                <w:sz w:val="24"/>
              </w:rPr>
            </w:pPr>
            <w:r w:rsidRPr="00A87849">
              <w:rPr>
                <w:rFonts w:ascii="Times New Roman" w:hAnsi="Times New Roman"/>
                <w:b/>
                <w:sz w:val="24"/>
              </w:rPr>
              <w:t>Celkové expozície</w:t>
            </w:r>
          </w:p>
          <w:p w14:paraId="11B4E377" w14:textId="7D819CC1" w:rsidR="00087388" w:rsidRPr="00A87849" w:rsidRDefault="00087388" w:rsidP="11F50173">
            <w:pPr>
              <w:spacing w:after="120"/>
              <w:jc w:val="both"/>
              <w:rPr>
                <w:rFonts w:ascii="Times New Roman" w:hAnsi="Times New Roman" w:cs="Times New Roman"/>
                <w:sz w:val="24"/>
              </w:rPr>
            </w:pPr>
            <w:r w:rsidRPr="00A87849">
              <w:rPr>
                <w:rFonts w:ascii="Times New Roman" w:hAnsi="Times New Roman"/>
                <w:sz w:val="24"/>
              </w:rPr>
              <w:t>Hodnota expozície (po uplatnení konverzných faktorov)</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článkami 166 až 167 nariadenia (EÚ) </w:t>
            </w:r>
            <w:r w:rsidR="00A87849">
              <w:rPr>
                <w:rFonts w:ascii="Times New Roman" w:hAnsi="Times New Roman"/>
                <w:sz w:val="24"/>
              </w:rPr>
              <w:t>č. </w:t>
            </w:r>
            <w:r w:rsidRPr="00A87849">
              <w:rPr>
                <w:rFonts w:ascii="Times New Roman" w:hAnsi="Times New Roman"/>
                <w:sz w:val="24"/>
              </w:rPr>
              <w:t>575/2013.</w:t>
            </w:r>
          </w:p>
          <w:p w14:paraId="130EEB9C" w14:textId="60AD5519" w:rsidR="00087388" w:rsidRPr="00A87849" w:rsidRDefault="00087388" w:rsidP="00725D4D">
            <w:pPr>
              <w:spacing w:after="120"/>
              <w:jc w:val="both"/>
              <w:rPr>
                <w:rFonts w:ascii="Times New Roman" w:hAnsi="Times New Roman" w:cs="Times New Roman"/>
                <w:sz w:val="24"/>
              </w:rPr>
            </w:pPr>
            <w:r w:rsidRPr="00A87849">
              <w:rPr>
                <w:rFonts w:ascii="Times New Roman" w:hAnsi="Times New Roman"/>
                <w:sz w:val="24"/>
              </w:rPr>
              <w:t>Expozície sa zverejňujú</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triedou expozícií uplatniteľnou na dlžníka bez zohľadnenia akýchkoľvek substitučných účinkov</w:t>
            </w:r>
            <w:r w:rsidR="00A87849">
              <w:rPr>
                <w:rFonts w:ascii="Times New Roman" w:hAnsi="Times New Roman"/>
                <w:sz w:val="24"/>
              </w:rPr>
              <w:t xml:space="preserve"> v </w:t>
            </w:r>
            <w:r w:rsidRPr="00A87849">
              <w:rPr>
                <w:rFonts w:ascii="Times New Roman" w:hAnsi="Times New Roman"/>
                <w:sz w:val="24"/>
              </w:rPr>
              <w:t>dôsledku existencie záruky.</w:t>
            </w:r>
          </w:p>
          <w:p w14:paraId="0DA44DEB" w14:textId="59B30F8D" w:rsidR="00087388" w:rsidRPr="00A87849" w:rsidRDefault="00087388" w:rsidP="11F50173">
            <w:pPr>
              <w:spacing w:after="120"/>
              <w:jc w:val="both"/>
              <w:rPr>
                <w:rFonts w:ascii="Times New Roman" w:hAnsi="Times New Roman" w:cs="Times New Roman"/>
                <w:sz w:val="24"/>
              </w:rPr>
            </w:pPr>
          </w:p>
        </w:tc>
      </w:tr>
      <w:tr w:rsidR="001505CE" w:rsidRPr="00A87849" w14:paraId="7AFD3E4E" w14:textId="77777777" w:rsidTr="11F50173">
        <w:trPr>
          <w:trHeight w:val="316"/>
        </w:trPr>
        <w:tc>
          <w:tcPr>
            <w:tcW w:w="1413" w:type="dxa"/>
          </w:tcPr>
          <w:p w14:paraId="100C137E"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b</w:t>
            </w:r>
          </w:p>
        </w:tc>
        <w:tc>
          <w:tcPr>
            <w:tcW w:w="7654" w:type="dxa"/>
          </w:tcPr>
          <w:p w14:paraId="5EBAC67F"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b/>
                <w:sz w:val="24"/>
              </w:rPr>
            </w:pPr>
            <w:r w:rsidRPr="00A87849">
              <w:rPr>
                <w:rFonts w:ascii="Times New Roman" w:hAnsi="Times New Roman"/>
                <w:b/>
                <w:sz w:val="24"/>
              </w:rPr>
              <w:t>FCP – Časť expozícií krytá finančným kolaterálom (%)</w:t>
            </w:r>
          </w:p>
          <w:p w14:paraId="05B7615D" w14:textId="67583CF6"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Percentuálny podiel expozícií zabezpečených finančným kolaterálom na celkových expozíciách, ako sú uvedené</w:t>
            </w:r>
            <w:r w:rsidR="00A87849">
              <w:rPr>
                <w:rFonts w:ascii="Times New Roman" w:hAnsi="Times New Roman"/>
                <w:sz w:val="24"/>
              </w:rPr>
              <w:t xml:space="preserve"> v </w:t>
            </w:r>
            <w:r w:rsidRPr="00A87849">
              <w:rPr>
                <w:rFonts w:ascii="Times New Roman" w:hAnsi="Times New Roman"/>
                <w:sz w:val="24"/>
              </w:rPr>
              <w:t>stĺpci</w:t>
            </w:r>
            <w:r w:rsidR="00A87849">
              <w:rPr>
                <w:rFonts w:ascii="Times New Roman" w:hAnsi="Times New Roman"/>
                <w:sz w:val="24"/>
              </w:rPr>
              <w:t xml:space="preserve"> a </w:t>
            </w:r>
            <w:r w:rsidRPr="00A87849">
              <w:rPr>
                <w:rFonts w:ascii="Times New Roman" w:hAnsi="Times New Roman"/>
                <w:sz w:val="24"/>
              </w:rPr>
              <w:t>tohto vzoru.</w:t>
            </w:r>
          </w:p>
          <w:p w14:paraId="1161AB0B" w14:textId="0388D0DF" w:rsidR="00087388" w:rsidRPr="00A87849" w:rsidRDefault="00087388" w:rsidP="11F50173">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Ak sú splnené všetky požiadavky stanovené</w:t>
            </w:r>
            <w:r w:rsidR="00A87849">
              <w:rPr>
                <w:rFonts w:ascii="Times New Roman" w:hAnsi="Times New Roman"/>
                <w:sz w:val="24"/>
              </w:rPr>
              <w:t xml:space="preserve"> v </w:t>
            </w:r>
            <w:r w:rsidRPr="00A87849">
              <w:rPr>
                <w:rFonts w:ascii="Times New Roman" w:hAnsi="Times New Roman"/>
                <w:sz w:val="24"/>
              </w:rPr>
              <w:t xml:space="preserve">článku 207 ods. 2 až 4 nariadenia (EÚ) </w:t>
            </w:r>
            <w:r w:rsidR="00A87849">
              <w:rPr>
                <w:rFonts w:ascii="Times New Roman" w:hAnsi="Times New Roman"/>
                <w:sz w:val="24"/>
              </w:rPr>
              <w:t>č. </w:t>
            </w:r>
            <w:r w:rsidRPr="00A87849">
              <w:rPr>
                <w:rFonts w:ascii="Times New Roman" w:hAnsi="Times New Roman"/>
                <w:sz w:val="24"/>
              </w:rPr>
              <w:t>575/2013, do čitateľa sa zahŕňa finančný kolaterál vrátane peňažného kolaterálu, dlhových cenných papierov</w:t>
            </w:r>
            <w:r w:rsidR="00A87849">
              <w:rPr>
                <w:rFonts w:ascii="Times New Roman" w:hAnsi="Times New Roman"/>
                <w:sz w:val="24"/>
              </w:rPr>
              <w:t xml:space="preserve"> a </w:t>
            </w:r>
            <w:r w:rsidRPr="00A87849">
              <w:rPr>
                <w:rFonts w:ascii="Times New Roman" w:hAnsi="Times New Roman"/>
                <w:sz w:val="24"/>
              </w:rPr>
              <w:t>zlata, ako sa uvádza</w:t>
            </w:r>
            <w:r w:rsidR="00A87849">
              <w:rPr>
                <w:rFonts w:ascii="Times New Roman" w:hAnsi="Times New Roman"/>
                <w:sz w:val="24"/>
              </w:rPr>
              <w:t xml:space="preserve"> v </w:t>
            </w:r>
            <w:r w:rsidRPr="00A87849">
              <w:rPr>
                <w:rFonts w:ascii="Times New Roman" w:hAnsi="Times New Roman"/>
                <w:sz w:val="24"/>
              </w:rPr>
              <w:t>článkoch 197</w:t>
            </w:r>
            <w:r w:rsidR="00A87849">
              <w:rPr>
                <w:rFonts w:ascii="Times New Roman" w:hAnsi="Times New Roman"/>
                <w:sz w:val="24"/>
              </w:rPr>
              <w:t xml:space="preserve"> a </w:t>
            </w:r>
            <w:r w:rsidRPr="00A87849">
              <w:rPr>
                <w:rFonts w:ascii="Times New Roman" w:hAnsi="Times New Roman"/>
                <w:sz w:val="24"/>
              </w:rPr>
              <w:t xml:space="preserve">198 nariadenia (EÚ) </w:t>
            </w:r>
            <w:r w:rsidR="00A87849">
              <w:rPr>
                <w:rFonts w:ascii="Times New Roman" w:hAnsi="Times New Roman"/>
                <w:sz w:val="24"/>
              </w:rPr>
              <w:t>č. </w:t>
            </w:r>
            <w:r w:rsidRPr="00A87849">
              <w:rPr>
                <w:rFonts w:ascii="Times New Roman" w:hAnsi="Times New Roman"/>
                <w:sz w:val="24"/>
              </w:rPr>
              <w:t>575/2013. Hodnota zverejňovaného kolaterálu je obmedzená na hodnotu expozície na úrovni jednotlivej expozície.</w:t>
            </w:r>
          </w:p>
          <w:p w14:paraId="4EB0550C" w14:textId="4CF92FF1" w:rsidR="00087388" w:rsidRPr="00A87849" w:rsidRDefault="00087388" w:rsidP="11F50173">
            <w:pPr>
              <w:spacing w:after="120"/>
              <w:jc w:val="both"/>
              <w:rPr>
                <w:rFonts w:ascii="Times New Roman" w:hAnsi="Times New Roman" w:cs="Times New Roman"/>
                <w:sz w:val="24"/>
              </w:rPr>
            </w:pPr>
            <w:r w:rsidRPr="00A87849">
              <w:rPr>
                <w:rFonts w:ascii="Times New Roman" w:hAnsi="Times New Roman"/>
                <w:sz w:val="24"/>
              </w:rPr>
              <w:t>Ak sa používajú vlastné odhady LGD: finančný kolaterál zohľadnený</w:t>
            </w:r>
            <w:r w:rsidR="00A87849">
              <w:rPr>
                <w:rFonts w:ascii="Times New Roman" w:hAnsi="Times New Roman"/>
                <w:sz w:val="24"/>
              </w:rPr>
              <w:t xml:space="preserve"> v </w:t>
            </w:r>
            <w:r w:rsidRPr="00A87849">
              <w:rPr>
                <w:rFonts w:ascii="Times New Roman" w:hAnsi="Times New Roman"/>
                <w:sz w:val="24"/>
              </w:rPr>
              <w:t>odhadoch LGD</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článkom 181 ods. 1 písm. e)</w:t>
            </w:r>
            <w:r w:rsidR="00A87849">
              <w:rPr>
                <w:rFonts w:ascii="Times New Roman" w:hAnsi="Times New Roman"/>
                <w:sz w:val="24"/>
              </w:rPr>
              <w:t xml:space="preserve"> a </w:t>
            </w:r>
            <w:r w:rsidRPr="00A87849">
              <w:rPr>
                <w:rFonts w:ascii="Times New Roman" w:hAnsi="Times New Roman"/>
                <w:sz w:val="24"/>
              </w:rPr>
              <w:t xml:space="preserve">f) nariadenia (EÚ) </w:t>
            </w:r>
            <w:r w:rsidR="00A87849">
              <w:rPr>
                <w:rFonts w:ascii="Times New Roman" w:hAnsi="Times New Roman"/>
                <w:sz w:val="24"/>
              </w:rPr>
              <w:t>č. </w:t>
            </w:r>
            <w:r w:rsidRPr="00A87849">
              <w:rPr>
                <w:rFonts w:ascii="Times New Roman" w:hAnsi="Times New Roman"/>
                <w:sz w:val="24"/>
              </w:rPr>
              <w:t xml:space="preserve">575/2013. Zverejňovanou hodnotou je odhadovaná trhová hodnota kolaterálu. </w:t>
            </w:r>
          </w:p>
        </w:tc>
      </w:tr>
      <w:tr w:rsidR="001505CE" w:rsidRPr="00A87849" w14:paraId="4DE8CE6C" w14:textId="77777777" w:rsidTr="11F50173">
        <w:trPr>
          <w:trHeight w:val="316"/>
        </w:trPr>
        <w:tc>
          <w:tcPr>
            <w:tcW w:w="1413" w:type="dxa"/>
          </w:tcPr>
          <w:p w14:paraId="66622524"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c</w:t>
            </w:r>
          </w:p>
        </w:tc>
        <w:tc>
          <w:tcPr>
            <w:tcW w:w="7654" w:type="dxa"/>
          </w:tcPr>
          <w:p w14:paraId="3502B039"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b/>
                <w:sz w:val="24"/>
              </w:rPr>
            </w:pPr>
            <w:r w:rsidRPr="00A87849">
              <w:rPr>
                <w:rFonts w:ascii="Times New Roman" w:hAnsi="Times New Roman"/>
                <w:b/>
                <w:sz w:val="24"/>
              </w:rPr>
              <w:t>FCP – Časť expozícií krytá iným prípustným kolaterálom (%)</w:t>
            </w:r>
          </w:p>
          <w:p w14:paraId="71F6D040" w14:textId="6EE35D85"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Percentuálny podiel expozícií zabezpečených iným prípustným kolaterálom na celkových expozíciách, ako sú uvedené</w:t>
            </w:r>
            <w:r w:rsidR="00A87849">
              <w:rPr>
                <w:rFonts w:ascii="Times New Roman" w:hAnsi="Times New Roman"/>
                <w:sz w:val="24"/>
              </w:rPr>
              <w:t xml:space="preserve"> v </w:t>
            </w:r>
            <w:r w:rsidRPr="00A87849">
              <w:rPr>
                <w:rFonts w:ascii="Times New Roman" w:hAnsi="Times New Roman"/>
                <w:sz w:val="24"/>
              </w:rPr>
              <w:t>stĺpci</w:t>
            </w:r>
            <w:r w:rsidR="00A87849">
              <w:rPr>
                <w:rFonts w:ascii="Times New Roman" w:hAnsi="Times New Roman"/>
                <w:sz w:val="24"/>
              </w:rPr>
              <w:t xml:space="preserve"> a </w:t>
            </w:r>
            <w:r w:rsidRPr="00A87849">
              <w:rPr>
                <w:rFonts w:ascii="Times New Roman" w:hAnsi="Times New Roman"/>
                <w:sz w:val="24"/>
              </w:rPr>
              <w:t>tohto vzoru.</w:t>
            </w:r>
          </w:p>
          <w:p w14:paraId="418B65DD" w14:textId="1983EB33"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Hodnoty zverejňované</w:t>
            </w:r>
            <w:r w:rsidR="00A87849">
              <w:rPr>
                <w:rFonts w:ascii="Times New Roman" w:hAnsi="Times New Roman"/>
                <w:sz w:val="24"/>
              </w:rPr>
              <w:t xml:space="preserve"> v </w:t>
            </w:r>
            <w:r w:rsidRPr="00A87849">
              <w:rPr>
                <w:rFonts w:ascii="Times New Roman" w:hAnsi="Times New Roman"/>
                <w:sz w:val="24"/>
              </w:rPr>
              <w:t>tomto stĺpci sú súčtom hodnôt</w:t>
            </w:r>
            <w:r w:rsidR="00A87849">
              <w:rPr>
                <w:rFonts w:ascii="Times New Roman" w:hAnsi="Times New Roman"/>
                <w:sz w:val="24"/>
              </w:rPr>
              <w:t xml:space="preserve"> v </w:t>
            </w:r>
            <w:r w:rsidRPr="00A87849">
              <w:rPr>
                <w:rFonts w:ascii="Times New Roman" w:hAnsi="Times New Roman"/>
                <w:sz w:val="24"/>
              </w:rPr>
              <w:t>stĺpcoch d až f tohto vzoru.</w:t>
            </w:r>
          </w:p>
          <w:p w14:paraId="2F6A5BCF" w14:textId="47E2F8E1" w:rsidR="00087388" w:rsidRPr="00A87849" w:rsidRDefault="00087388" w:rsidP="11F50173">
            <w:pPr>
              <w:spacing w:after="120"/>
              <w:rPr>
                <w:rFonts w:ascii="Times New Roman" w:hAnsi="Times New Roman" w:cs="Times New Roman"/>
                <w:sz w:val="24"/>
              </w:rPr>
            </w:pPr>
            <w:r w:rsidRPr="00A87849">
              <w:rPr>
                <w:rFonts w:ascii="Times New Roman" w:hAnsi="Times New Roman"/>
                <w:sz w:val="24"/>
              </w:rPr>
              <w:t xml:space="preserve">Keď sa nepoužívajú vlastné odhady LGD: článok 199 ods. 1 až 8 nariadenia (EÚ) </w:t>
            </w:r>
            <w:r w:rsidR="00A87849">
              <w:rPr>
                <w:rFonts w:ascii="Times New Roman" w:hAnsi="Times New Roman"/>
                <w:sz w:val="24"/>
              </w:rPr>
              <w:t>č. </w:t>
            </w:r>
            <w:r w:rsidRPr="00A87849">
              <w:rPr>
                <w:rFonts w:ascii="Times New Roman" w:hAnsi="Times New Roman"/>
                <w:sz w:val="24"/>
              </w:rPr>
              <w:t>575/2013</w:t>
            </w:r>
            <w:r w:rsidR="00A87849">
              <w:rPr>
                <w:rFonts w:ascii="Times New Roman" w:hAnsi="Times New Roman"/>
                <w:sz w:val="24"/>
              </w:rPr>
              <w:t xml:space="preserve"> a </w:t>
            </w:r>
            <w:r w:rsidRPr="00A87849">
              <w:rPr>
                <w:rFonts w:ascii="Times New Roman" w:hAnsi="Times New Roman"/>
                <w:sz w:val="24"/>
              </w:rPr>
              <w:t xml:space="preserve">článok 229 nariadenia (EÚ) </w:t>
            </w:r>
            <w:r w:rsidR="00A87849">
              <w:rPr>
                <w:rFonts w:ascii="Times New Roman" w:hAnsi="Times New Roman"/>
                <w:sz w:val="24"/>
              </w:rPr>
              <w:t>č. </w:t>
            </w:r>
            <w:r w:rsidRPr="00A87849">
              <w:rPr>
                <w:rFonts w:ascii="Times New Roman" w:hAnsi="Times New Roman"/>
                <w:sz w:val="24"/>
              </w:rPr>
              <w:t>575/2013.</w:t>
            </w:r>
          </w:p>
          <w:p w14:paraId="460C4DD2" w14:textId="713C0947" w:rsidR="00087388" w:rsidRPr="00A87849" w:rsidRDefault="00087388" w:rsidP="11F50173">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Keď sa používajú vlastné odhady LGD: iný kolaterál zohľadnený</w:t>
            </w:r>
            <w:r w:rsidR="00A87849">
              <w:rPr>
                <w:rFonts w:ascii="Times New Roman" w:hAnsi="Times New Roman"/>
                <w:sz w:val="24"/>
              </w:rPr>
              <w:t xml:space="preserve"> v </w:t>
            </w:r>
            <w:r w:rsidRPr="00A87849">
              <w:rPr>
                <w:rFonts w:ascii="Times New Roman" w:hAnsi="Times New Roman"/>
                <w:sz w:val="24"/>
              </w:rPr>
              <w:t>odhadoch LGD</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článkom 181 ods. 1 písm. e)</w:t>
            </w:r>
            <w:r w:rsidR="00A87849">
              <w:rPr>
                <w:rFonts w:ascii="Times New Roman" w:hAnsi="Times New Roman"/>
                <w:sz w:val="24"/>
              </w:rPr>
              <w:t xml:space="preserve"> a </w:t>
            </w:r>
            <w:r w:rsidRPr="00A87849">
              <w:rPr>
                <w:rFonts w:ascii="Times New Roman" w:hAnsi="Times New Roman"/>
                <w:sz w:val="24"/>
              </w:rPr>
              <w:t xml:space="preserve">f) nariadenia (EÚ) </w:t>
            </w:r>
            <w:r w:rsidR="00A87849">
              <w:rPr>
                <w:rFonts w:ascii="Times New Roman" w:hAnsi="Times New Roman"/>
                <w:sz w:val="24"/>
              </w:rPr>
              <w:t>č. </w:t>
            </w:r>
            <w:r w:rsidRPr="00A87849">
              <w:rPr>
                <w:rFonts w:ascii="Times New Roman" w:hAnsi="Times New Roman"/>
                <w:sz w:val="24"/>
              </w:rPr>
              <w:t>575/2013.</w:t>
            </w:r>
          </w:p>
        </w:tc>
      </w:tr>
      <w:tr w:rsidR="001505CE" w:rsidRPr="00A87849" w14:paraId="5E88B69B" w14:textId="77777777" w:rsidTr="11F50173">
        <w:trPr>
          <w:trHeight w:val="316"/>
        </w:trPr>
        <w:tc>
          <w:tcPr>
            <w:tcW w:w="1413" w:type="dxa"/>
          </w:tcPr>
          <w:p w14:paraId="62BAE319"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d</w:t>
            </w:r>
          </w:p>
        </w:tc>
        <w:tc>
          <w:tcPr>
            <w:tcW w:w="7654" w:type="dxa"/>
          </w:tcPr>
          <w:p w14:paraId="61EEB320"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b/>
                <w:sz w:val="24"/>
              </w:rPr>
            </w:pPr>
            <w:r w:rsidRPr="00A87849">
              <w:rPr>
                <w:rFonts w:ascii="Times New Roman" w:hAnsi="Times New Roman"/>
                <w:b/>
                <w:sz w:val="24"/>
              </w:rPr>
              <w:t>FCP – Časť expozícií krytá kolaterálom vo forme nehnuteľného majetku (%)</w:t>
            </w:r>
          </w:p>
          <w:p w14:paraId="64FF065B" w14:textId="637BF625" w:rsidR="00087388" w:rsidRPr="00A87849" w:rsidRDefault="00087388" w:rsidP="11F50173">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Percentuálny podiel expozícií zabezpečených kolaterálom vo forme nehnuteľného majetku vrátane prenájmu</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199 ods. 7 nariadenia (EÚ) </w:t>
            </w:r>
            <w:r w:rsidR="00A87849">
              <w:rPr>
                <w:rFonts w:ascii="Times New Roman" w:hAnsi="Times New Roman"/>
                <w:sz w:val="24"/>
              </w:rPr>
              <w:t>č. </w:t>
            </w:r>
            <w:r w:rsidRPr="00A87849">
              <w:rPr>
                <w:rFonts w:ascii="Times New Roman" w:hAnsi="Times New Roman"/>
                <w:sz w:val="24"/>
              </w:rPr>
              <w:t>575/2013 na celkových expozíciách, ako sú uvedené</w:t>
            </w:r>
            <w:r w:rsidR="00A87849">
              <w:rPr>
                <w:rFonts w:ascii="Times New Roman" w:hAnsi="Times New Roman"/>
                <w:sz w:val="24"/>
              </w:rPr>
              <w:t xml:space="preserve"> v </w:t>
            </w:r>
            <w:r w:rsidRPr="00A87849">
              <w:rPr>
                <w:rFonts w:ascii="Times New Roman" w:hAnsi="Times New Roman"/>
                <w:sz w:val="24"/>
              </w:rPr>
              <w:t>stĺpci</w:t>
            </w:r>
            <w:r w:rsidR="00A87849">
              <w:rPr>
                <w:rFonts w:ascii="Times New Roman" w:hAnsi="Times New Roman"/>
                <w:sz w:val="24"/>
              </w:rPr>
              <w:t xml:space="preserve"> a </w:t>
            </w:r>
            <w:r w:rsidRPr="00A87849">
              <w:rPr>
                <w:rFonts w:ascii="Times New Roman" w:hAnsi="Times New Roman"/>
                <w:sz w:val="24"/>
              </w:rPr>
              <w:t>tohto vzoru.</w:t>
            </w:r>
          </w:p>
          <w:p w14:paraId="18CE5325" w14:textId="59CCEF43" w:rsidR="00A87849" w:rsidRDefault="00087388" w:rsidP="11F50173">
            <w:pPr>
              <w:spacing w:after="120"/>
              <w:rPr>
                <w:rFonts w:ascii="Times New Roman" w:hAnsi="Times New Roman"/>
                <w:sz w:val="24"/>
              </w:rPr>
            </w:pPr>
            <w:r w:rsidRPr="00A87849">
              <w:rPr>
                <w:rFonts w:ascii="Times New Roman" w:hAnsi="Times New Roman"/>
                <w:sz w:val="24"/>
              </w:rPr>
              <w:t>Kolaterál vo forme nehnuteľného majetku sa zahŕňa do čitateľa, ak spĺňa všetky požiadavky prípustnosti stanovené</w:t>
            </w:r>
            <w:r w:rsidR="00A87849">
              <w:rPr>
                <w:rFonts w:ascii="Times New Roman" w:hAnsi="Times New Roman"/>
                <w:sz w:val="24"/>
              </w:rPr>
              <w:t xml:space="preserve"> v </w:t>
            </w:r>
            <w:r w:rsidRPr="00A87849">
              <w:rPr>
                <w:rFonts w:ascii="Times New Roman" w:hAnsi="Times New Roman"/>
                <w:sz w:val="24"/>
              </w:rPr>
              <w:t xml:space="preserve">článku 208 ods. 2 až 5 nariadenia (EÚ) </w:t>
            </w:r>
            <w:r w:rsidR="00A87849">
              <w:rPr>
                <w:rFonts w:ascii="Times New Roman" w:hAnsi="Times New Roman"/>
                <w:sz w:val="24"/>
              </w:rPr>
              <w:t>č. </w:t>
            </w:r>
            <w:r w:rsidRPr="00A87849">
              <w:rPr>
                <w:rFonts w:ascii="Times New Roman" w:hAnsi="Times New Roman"/>
                <w:sz w:val="24"/>
              </w:rPr>
              <w:t>575/2013</w:t>
            </w:r>
            <w:r w:rsidR="00A87849">
              <w:rPr>
                <w:rFonts w:ascii="Times New Roman" w:hAnsi="Times New Roman"/>
                <w:sz w:val="24"/>
              </w:rPr>
              <w:t>.</w:t>
            </w:r>
          </w:p>
          <w:p w14:paraId="0D11C6A7" w14:textId="7A2973C4" w:rsidR="00087388" w:rsidRPr="00A87849" w:rsidRDefault="00087388" w:rsidP="11F50173">
            <w:pPr>
              <w:autoSpaceDE w:val="0"/>
              <w:autoSpaceDN w:val="0"/>
              <w:adjustRightInd w:val="0"/>
              <w:spacing w:after="120"/>
              <w:jc w:val="both"/>
              <w:rPr>
                <w:rFonts w:ascii="Times New Roman" w:hAnsi="Times New Roman" w:cs="Times New Roman"/>
              </w:rPr>
            </w:pPr>
            <w:r w:rsidRPr="00A87849">
              <w:rPr>
                <w:rFonts w:ascii="Times New Roman" w:hAnsi="Times New Roman"/>
                <w:sz w:val="24"/>
              </w:rPr>
              <w:lastRenderedPageBreak/>
              <w:t>Prenájom nehnuteľného majetku sa zahŕňa do čitateľa, ak spĺňa všetky podmienky prípustnosti stanovené</w:t>
            </w:r>
            <w:r w:rsidR="00A87849">
              <w:rPr>
                <w:rFonts w:ascii="Times New Roman" w:hAnsi="Times New Roman"/>
                <w:sz w:val="24"/>
              </w:rPr>
              <w:t xml:space="preserve"> v </w:t>
            </w:r>
            <w:r w:rsidRPr="00A87849">
              <w:rPr>
                <w:rFonts w:ascii="Times New Roman" w:hAnsi="Times New Roman"/>
                <w:sz w:val="24"/>
              </w:rPr>
              <w:t xml:space="preserve">článku 211 nariadenia (EÚ) </w:t>
            </w:r>
            <w:r w:rsidR="00A87849">
              <w:rPr>
                <w:rFonts w:ascii="Times New Roman" w:hAnsi="Times New Roman"/>
                <w:sz w:val="24"/>
              </w:rPr>
              <w:t>č. </w:t>
            </w:r>
            <w:r w:rsidRPr="00A87849">
              <w:rPr>
                <w:rFonts w:ascii="Times New Roman" w:hAnsi="Times New Roman"/>
                <w:sz w:val="24"/>
              </w:rPr>
              <w:t>575/2013. Zverejňovaná hodnota kolaterálu je obmedzená na hodnotu expozície na úrovni jednotlivej expozície.</w:t>
            </w:r>
          </w:p>
        </w:tc>
      </w:tr>
      <w:tr w:rsidR="001505CE" w:rsidRPr="00A87849" w14:paraId="045325E6" w14:textId="77777777" w:rsidTr="11F50173">
        <w:trPr>
          <w:trHeight w:val="316"/>
        </w:trPr>
        <w:tc>
          <w:tcPr>
            <w:tcW w:w="1413" w:type="dxa"/>
          </w:tcPr>
          <w:p w14:paraId="6A2565D8"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lastRenderedPageBreak/>
              <w:t>e</w:t>
            </w:r>
          </w:p>
        </w:tc>
        <w:tc>
          <w:tcPr>
            <w:tcW w:w="7654" w:type="dxa"/>
          </w:tcPr>
          <w:p w14:paraId="5C213FCD"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b/>
                <w:sz w:val="24"/>
              </w:rPr>
            </w:pPr>
            <w:r w:rsidRPr="00A87849">
              <w:rPr>
                <w:rFonts w:ascii="Times New Roman" w:hAnsi="Times New Roman"/>
                <w:b/>
                <w:sz w:val="24"/>
              </w:rPr>
              <w:t>Časť expozícií krytá pohľadávkami (%)</w:t>
            </w:r>
          </w:p>
          <w:p w14:paraId="0746B807" w14:textId="11897E16" w:rsidR="00087388" w:rsidRPr="00A87849" w:rsidRDefault="00087388" w:rsidP="11F50173">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Percentuálny podiel expozícií zabezpečených pohľadávkami</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199 ods. 5 nariadenia (EÚ) </w:t>
            </w:r>
            <w:r w:rsidR="00A87849">
              <w:rPr>
                <w:rFonts w:ascii="Times New Roman" w:hAnsi="Times New Roman"/>
                <w:sz w:val="24"/>
              </w:rPr>
              <w:t>č. </w:t>
            </w:r>
            <w:r w:rsidRPr="00A87849">
              <w:rPr>
                <w:rFonts w:ascii="Times New Roman" w:hAnsi="Times New Roman"/>
                <w:sz w:val="24"/>
              </w:rPr>
              <w:t>575/2013 na celkových expozíciách, ako sú uvedené</w:t>
            </w:r>
            <w:r w:rsidR="00A87849">
              <w:rPr>
                <w:rFonts w:ascii="Times New Roman" w:hAnsi="Times New Roman"/>
                <w:sz w:val="24"/>
              </w:rPr>
              <w:t xml:space="preserve"> v </w:t>
            </w:r>
            <w:r w:rsidRPr="00A87849">
              <w:rPr>
                <w:rFonts w:ascii="Times New Roman" w:hAnsi="Times New Roman"/>
                <w:sz w:val="24"/>
              </w:rPr>
              <w:t>stĺpci</w:t>
            </w:r>
            <w:r w:rsidR="00A87849">
              <w:rPr>
                <w:rFonts w:ascii="Times New Roman" w:hAnsi="Times New Roman"/>
                <w:sz w:val="24"/>
              </w:rPr>
              <w:t xml:space="preserve"> a </w:t>
            </w:r>
            <w:r w:rsidRPr="00A87849">
              <w:rPr>
                <w:rFonts w:ascii="Times New Roman" w:hAnsi="Times New Roman"/>
                <w:sz w:val="24"/>
              </w:rPr>
              <w:t>tohto vzoru.</w:t>
            </w:r>
          </w:p>
          <w:p w14:paraId="710DCA31" w14:textId="189CFFF3" w:rsidR="00087388" w:rsidRPr="00A87849" w:rsidRDefault="00087388" w:rsidP="11F50173">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Pohľadávky sa zahŕňajú do čitateľa, ak spĺňajú všetky podmienky prípustnosti stanovené</w:t>
            </w:r>
            <w:r w:rsidR="00A87849">
              <w:rPr>
                <w:rFonts w:ascii="Times New Roman" w:hAnsi="Times New Roman"/>
                <w:sz w:val="24"/>
              </w:rPr>
              <w:t xml:space="preserve"> v </w:t>
            </w:r>
            <w:r w:rsidRPr="00A87849">
              <w:rPr>
                <w:rFonts w:ascii="Times New Roman" w:hAnsi="Times New Roman"/>
                <w:sz w:val="24"/>
              </w:rPr>
              <w:t xml:space="preserve">článku 209 nariadenia (EÚ) </w:t>
            </w:r>
            <w:r w:rsidR="00A87849">
              <w:rPr>
                <w:rFonts w:ascii="Times New Roman" w:hAnsi="Times New Roman"/>
                <w:sz w:val="24"/>
              </w:rPr>
              <w:t>č. </w:t>
            </w:r>
            <w:r w:rsidRPr="00A87849">
              <w:rPr>
                <w:rFonts w:ascii="Times New Roman" w:hAnsi="Times New Roman"/>
                <w:sz w:val="24"/>
              </w:rPr>
              <w:t>575/2013. Zverejňovaná hodnota kolaterálu je obmedzená na hodnotu expozície na úrovni jednotlivej expozície.</w:t>
            </w:r>
          </w:p>
        </w:tc>
      </w:tr>
      <w:tr w:rsidR="001505CE" w:rsidRPr="00A87849" w14:paraId="05320019" w14:textId="77777777" w:rsidTr="11F50173">
        <w:trPr>
          <w:trHeight w:val="316"/>
        </w:trPr>
        <w:tc>
          <w:tcPr>
            <w:tcW w:w="1413" w:type="dxa"/>
          </w:tcPr>
          <w:p w14:paraId="5F980064"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f</w:t>
            </w:r>
          </w:p>
        </w:tc>
        <w:tc>
          <w:tcPr>
            <w:tcW w:w="7654" w:type="dxa"/>
          </w:tcPr>
          <w:p w14:paraId="435EF86D"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b/>
                <w:sz w:val="24"/>
              </w:rPr>
            </w:pPr>
            <w:r w:rsidRPr="00A87849">
              <w:rPr>
                <w:rFonts w:ascii="Times New Roman" w:hAnsi="Times New Roman"/>
                <w:b/>
                <w:sz w:val="24"/>
              </w:rPr>
              <w:t>Časť expozícií krytá iným fyzickým kolaterálom (%)</w:t>
            </w:r>
          </w:p>
          <w:p w14:paraId="654C6C9C" w14:textId="450CC44F" w:rsidR="00087388" w:rsidRPr="00A87849" w:rsidRDefault="00087388" w:rsidP="11F50173">
            <w:pPr>
              <w:spacing w:after="120"/>
              <w:jc w:val="both"/>
              <w:rPr>
                <w:rFonts w:ascii="Times New Roman" w:hAnsi="Times New Roman" w:cs="Times New Roman"/>
                <w:sz w:val="24"/>
              </w:rPr>
            </w:pPr>
            <w:r w:rsidRPr="00A87849">
              <w:rPr>
                <w:rFonts w:ascii="Times New Roman" w:hAnsi="Times New Roman"/>
                <w:sz w:val="24"/>
              </w:rPr>
              <w:t>Percentuálny podiel expozícií zabezpečených iným fyzickým kolaterálom vrátane prenájmu uvedených kolaterálov</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článkom 199 ods. 6</w:t>
            </w:r>
            <w:r w:rsidR="00A87849">
              <w:rPr>
                <w:rFonts w:ascii="Times New Roman" w:hAnsi="Times New Roman"/>
                <w:sz w:val="24"/>
              </w:rPr>
              <w:t xml:space="preserve"> a </w:t>
            </w:r>
            <w:r w:rsidRPr="00A87849">
              <w:rPr>
                <w:rFonts w:ascii="Times New Roman" w:hAnsi="Times New Roman"/>
                <w:sz w:val="24"/>
              </w:rPr>
              <w:t xml:space="preserve">8 nariadenia (EÚ) </w:t>
            </w:r>
            <w:r w:rsidR="00A87849">
              <w:rPr>
                <w:rFonts w:ascii="Times New Roman" w:hAnsi="Times New Roman"/>
                <w:sz w:val="24"/>
              </w:rPr>
              <w:t>č. </w:t>
            </w:r>
            <w:r w:rsidRPr="00A87849">
              <w:rPr>
                <w:rFonts w:ascii="Times New Roman" w:hAnsi="Times New Roman"/>
                <w:sz w:val="24"/>
              </w:rPr>
              <w:t>575/2013 na celkových expozíciách, ako sú uvedené</w:t>
            </w:r>
            <w:r w:rsidR="00A87849">
              <w:rPr>
                <w:rFonts w:ascii="Times New Roman" w:hAnsi="Times New Roman"/>
                <w:sz w:val="24"/>
              </w:rPr>
              <w:t xml:space="preserve"> v </w:t>
            </w:r>
            <w:r w:rsidRPr="00A87849">
              <w:rPr>
                <w:rFonts w:ascii="Times New Roman" w:hAnsi="Times New Roman"/>
                <w:sz w:val="24"/>
              </w:rPr>
              <w:t>stĺpci</w:t>
            </w:r>
            <w:r w:rsidR="00A87849">
              <w:rPr>
                <w:rFonts w:ascii="Times New Roman" w:hAnsi="Times New Roman"/>
                <w:sz w:val="24"/>
              </w:rPr>
              <w:t xml:space="preserve"> a </w:t>
            </w:r>
            <w:r w:rsidRPr="00A87849">
              <w:rPr>
                <w:rFonts w:ascii="Times New Roman" w:hAnsi="Times New Roman"/>
                <w:sz w:val="24"/>
              </w:rPr>
              <w:t>tohto vzoru.</w:t>
            </w:r>
          </w:p>
          <w:p w14:paraId="082434AC" w14:textId="7BF37F50" w:rsidR="00087388" w:rsidRPr="00A87849" w:rsidRDefault="00087388" w:rsidP="11F50173">
            <w:pPr>
              <w:spacing w:after="120"/>
              <w:rPr>
                <w:rFonts w:ascii="Times New Roman" w:eastAsia="Times New Roman" w:hAnsi="Times New Roman" w:cs="Times New Roman"/>
                <w:sz w:val="24"/>
              </w:rPr>
            </w:pPr>
            <w:r w:rsidRPr="00A87849">
              <w:rPr>
                <w:rFonts w:ascii="Times New Roman" w:hAnsi="Times New Roman"/>
                <w:sz w:val="24"/>
              </w:rPr>
              <w:t>Ostatný fyzický kolaterál sa zahŕňa do čitateľa, ak spĺňa všetky podmienky prípustnosti stanovené</w:t>
            </w:r>
            <w:r w:rsidR="00A87849">
              <w:rPr>
                <w:rFonts w:ascii="Times New Roman" w:hAnsi="Times New Roman"/>
                <w:sz w:val="24"/>
              </w:rPr>
              <w:t xml:space="preserve"> v </w:t>
            </w:r>
            <w:r w:rsidRPr="00A87849">
              <w:rPr>
                <w:rFonts w:ascii="Times New Roman" w:hAnsi="Times New Roman"/>
                <w:sz w:val="24"/>
              </w:rPr>
              <w:t xml:space="preserve">článku 210 nariadenia (EÚ) </w:t>
            </w:r>
            <w:r w:rsidR="00A87849">
              <w:rPr>
                <w:rFonts w:ascii="Times New Roman" w:hAnsi="Times New Roman"/>
                <w:sz w:val="24"/>
              </w:rPr>
              <w:t>č. </w:t>
            </w:r>
            <w:r w:rsidRPr="00A87849">
              <w:rPr>
                <w:rFonts w:ascii="Times New Roman" w:hAnsi="Times New Roman"/>
                <w:sz w:val="24"/>
              </w:rPr>
              <w:t>575/2013. Zverejňovaná hodnota kolaterálu je obmedzená na hodnotu expozície na úrovni jednotlivej expozície.</w:t>
            </w:r>
          </w:p>
        </w:tc>
      </w:tr>
      <w:tr w:rsidR="00087388" w:rsidRPr="00A87849" w14:paraId="65908E13" w14:textId="77777777" w:rsidTr="11F50173">
        <w:trPr>
          <w:trHeight w:val="316"/>
        </w:trPr>
        <w:tc>
          <w:tcPr>
            <w:tcW w:w="1413" w:type="dxa"/>
          </w:tcPr>
          <w:p w14:paraId="0DB6C36A"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g</w:t>
            </w:r>
          </w:p>
        </w:tc>
        <w:tc>
          <w:tcPr>
            <w:tcW w:w="7654" w:type="dxa"/>
          </w:tcPr>
          <w:p w14:paraId="521635B5"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b/>
                <w:sz w:val="24"/>
              </w:rPr>
            </w:pPr>
            <w:r w:rsidRPr="00A87849">
              <w:rPr>
                <w:rFonts w:ascii="Times New Roman" w:hAnsi="Times New Roman"/>
                <w:b/>
                <w:sz w:val="24"/>
              </w:rPr>
              <w:t>FCP – Časť expozícií krytá iným financovaným zabezpečením (%)</w:t>
            </w:r>
          </w:p>
          <w:p w14:paraId="6C4231F8" w14:textId="131FDBDC"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Percentuálny podiel expozícií zabezpečených iným financovaným zabezpečením (FCP)</w:t>
            </w:r>
            <w:r w:rsidR="00A87849">
              <w:rPr>
                <w:rFonts w:ascii="Times New Roman" w:hAnsi="Times New Roman"/>
                <w:sz w:val="24"/>
              </w:rPr>
              <w:t xml:space="preserve"> k </w:t>
            </w:r>
            <w:r w:rsidRPr="00A87849">
              <w:rPr>
                <w:rFonts w:ascii="Times New Roman" w:hAnsi="Times New Roman"/>
                <w:sz w:val="24"/>
              </w:rPr>
              <w:t>celkovým expozíciám, ako sú uvedené</w:t>
            </w:r>
            <w:r w:rsidR="00A87849">
              <w:rPr>
                <w:rFonts w:ascii="Times New Roman" w:hAnsi="Times New Roman"/>
                <w:sz w:val="24"/>
              </w:rPr>
              <w:t xml:space="preserve"> v </w:t>
            </w:r>
            <w:r w:rsidRPr="00A87849">
              <w:rPr>
                <w:rFonts w:ascii="Times New Roman" w:hAnsi="Times New Roman"/>
                <w:sz w:val="24"/>
              </w:rPr>
              <w:t>stĺpci a.</w:t>
            </w:r>
          </w:p>
          <w:p w14:paraId="2C3D8A7E" w14:textId="6A85A790"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Hodnoty uvedené</w:t>
            </w:r>
            <w:r w:rsidR="00A87849">
              <w:rPr>
                <w:rFonts w:ascii="Times New Roman" w:hAnsi="Times New Roman"/>
                <w:sz w:val="24"/>
              </w:rPr>
              <w:t xml:space="preserve"> v </w:t>
            </w:r>
            <w:r w:rsidRPr="00A87849">
              <w:rPr>
                <w:rFonts w:ascii="Times New Roman" w:hAnsi="Times New Roman"/>
                <w:sz w:val="24"/>
              </w:rPr>
              <w:t>tomto stĺpci sú súčtom hodnôt</w:t>
            </w:r>
            <w:r w:rsidR="00A87849">
              <w:rPr>
                <w:rFonts w:ascii="Times New Roman" w:hAnsi="Times New Roman"/>
                <w:sz w:val="24"/>
              </w:rPr>
              <w:t xml:space="preserve"> v </w:t>
            </w:r>
            <w:r w:rsidRPr="00A87849">
              <w:rPr>
                <w:rFonts w:ascii="Times New Roman" w:hAnsi="Times New Roman"/>
                <w:sz w:val="24"/>
              </w:rPr>
              <w:t>stĺpcoch h,</w:t>
            </w:r>
            <w:r w:rsidR="00A87849">
              <w:rPr>
                <w:rFonts w:ascii="Times New Roman" w:hAnsi="Times New Roman"/>
                <w:sz w:val="24"/>
              </w:rPr>
              <w:t xml:space="preserve"> i a </w:t>
            </w:r>
            <w:r w:rsidRPr="00A87849">
              <w:rPr>
                <w:rFonts w:ascii="Times New Roman" w:hAnsi="Times New Roman"/>
                <w:sz w:val="24"/>
              </w:rPr>
              <w:t>j tohto vzoru.</w:t>
            </w:r>
          </w:p>
        </w:tc>
      </w:tr>
      <w:tr w:rsidR="001505CE" w:rsidRPr="00A87849" w14:paraId="5C2DC995" w14:textId="77777777" w:rsidTr="11F50173">
        <w:trPr>
          <w:trHeight w:val="316"/>
        </w:trPr>
        <w:tc>
          <w:tcPr>
            <w:tcW w:w="1413" w:type="dxa"/>
          </w:tcPr>
          <w:p w14:paraId="45EAADE1"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h</w:t>
            </w:r>
          </w:p>
          <w:p w14:paraId="0562CB0E"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b/>
                <w:sz w:val="24"/>
              </w:rPr>
            </w:pPr>
            <w:r w:rsidRPr="00A87849">
              <w:rPr>
                <w:rFonts w:ascii="Times New Roman" w:hAnsi="Times New Roman"/>
                <w:b/>
                <w:sz w:val="24"/>
              </w:rPr>
              <w:t>FCP – Časť expozícií krytá peňažnými vkladmi (%)</w:t>
            </w:r>
          </w:p>
          <w:p w14:paraId="62A65EE2" w14:textId="7E12A03F" w:rsidR="00A87849" w:rsidRDefault="00087388" w:rsidP="11F50173">
            <w:pPr>
              <w:spacing w:after="120"/>
              <w:jc w:val="both"/>
              <w:rPr>
                <w:rFonts w:ascii="Times New Roman" w:hAnsi="Times New Roman"/>
                <w:sz w:val="24"/>
              </w:rPr>
            </w:pPr>
            <w:r w:rsidRPr="00A87849">
              <w:rPr>
                <w:rFonts w:ascii="Times New Roman" w:hAnsi="Times New Roman"/>
                <w:sz w:val="24"/>
              </w:rPr>
              <w:t>Percentuálny podiel expozícií zabezpečených peňažnými prostriedkami alebo nástrojmi hotovostného typu</w:t>
            </w:r>
            <w:r w:rsidR="00A87849">
              <w:rPr>
                <w:rFonts w:ascii="Times New Roman" w:hAnsi="Times New Roman"/>
                <w:sz w:val="24"/>
              </w:rPr>
              <w:t xml:space="preserve"> v </w:t>
            </w:r>
            <w:r w:rsidRPr="00A87849">
              <w:rPr>
                <w:rFonts w:ascii="Times New Roman" w:hAnsi="Times New Roman"/>
                <w:sz w:val="24"/>
              </w:rPr>
              <w:t>držbe tretej strany, ktorá je inštitúciou, na celkových expozíciách, ako sú uvedené</w:t>
            </w:r>
            <w:r w:rsidR="00A87849">
              <w:rPr>
                <w:rFonts w:ascii="Times New Roman" w:hAnsi="Times New Roman"/>
                <w:sz w:val="24"/>
              </w:rPr>
              <w:t xml:space="preserve"> v </w:t>
            </w:r>
            <w:r w:rsidRPr="00A87849">
              <w:rPr>
                <w:rFonts w:ascii="Times New Roman" w:hAnsi="Times New Roman"/>
                <w:sz w:val="24"/>
              </w:rPr>
              <w:t>stĺpci</w:t>
            </w:r>
            <w:r w:rsidR="00A87849">
              <w:rPr>
                <w:rFonts w:ascii="Times New Roman" w:hAnsi="Times New Roman"/>
                <w:sz w:val="24"/>
              </w:rPr>
              <w:t xml:space="preserve"> a </w:t>
            </w:r>
            <w:r w:rsidRPr="00A87849">
              <w:rPr>
                <w:rFonts w:ascii="Times New Roman" w:hAnsi="Times New Roman"/>
                <w:sz w:val="24"/>
              </w:rPr>
              <w:t>tohto vzoru; iné financované zabezpečenie zahŕňa</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200 písm. a) nariadenia (EÚ) </w:t>
            </w:r>
            <w:r w:rsidR="00A87849">
              <w:rPr>
                <w:rFonts w:ascii="Times New Roman" w:hAnsi="Times New Roman"/>
                <w:sz w:val="24"/>
              </w:rPr>
              <w:t>č. </w:t>
            </w:r>
            <w:r w:rsidRPr="00A87849">
              <w:rPr>
                <w:rFonts w:ascii="Times New Roman" w:hAnsi="Times New Roman"/>
                <w:sz w:val="24"/>
              </w:rPr>
              <w:t>575/2013 peňažný vklad alebo nástroje hotovostného typu</w:t>
            </w:r>
            <w:r w:rsidR="00A87849">
              <w:rPr>
                <w:rFonts w:ascii="Times New Roman" w:hAnsi="Times New Roman"/>
                <w:sz w:val="24"/>
              </w:rPr>
              <w:t xml:space="preserve"> v </w:t>
            </w:r>
            <w:r w:rsidRPr="00A87849">
              <w:rPr>
                <w:rFonts w:ascii="Times New Roman" w:hAnsi="Times New Roman"/>
                <w:sz w:val="24"/>
              </w:rPr>
              <w:t>držbe tretej strany, ktorá je inštitúciou, na základe inej dohody než dohoda</w:t>
            </w:r>
            <w:r w:rsidR="00A87849">
              <w:rPr>
                <w:rFonts w:ascii="Times New Roman" w:hAnsi="Times New Roman"/>
                <w:sz w:val="24"/>
              </w:rPr>
              <w:t xml:space="preserve"> o </w:t>
            </w:r>
            <w:r w:rsidRPr="00A87849">
              <w:rPr>
                <w:rFonts w:ascii="Times New Roman" w:hAnsi="Times New Roman"/>
                <w:sz w:val="24"/>
              </w:rPr>
              <w:t>správe</w:t>
            </w:r>
            <w:r w:rsidR="00A87849">
              <w:rPr>
                <w:rFonts w:ascii="Times New Roman" w:hAnsi="Times New Roman"/>
                <w:sz w:val="24"/>
              </w:rPr>
              <w:t xml:space="preserve"> a </w:t>
            </w:r>
            <w:r w:rsidRPr="00A87849">
              <w:rPr>
                <w:rFonts w:ascii="Times New Roman" w:hAnsi="Times New Roman"/>
                <w:sz w:val="24"/>
              </w:rPr>
              <w:t>založené</w:t>
            </w:r>
            <w:r w:rsidR="00A87849">
              <w:rPr>
                <w:rFonts w:ascii="Times New Roman" w:hAnsi="Times New Roman"/>
                <w:sz w:val="24"/>
              </w:rPr>
              <w:t xml:space="preserve"> v </w:t>
            </w:r>
            <w:r w:rsidRPr="00A87849">
              <w:rPr>
                <w:rFonts w:ascii="Times New Roman" w:hAnsi="Times New Roman"/>
                <w:sz w:val="24"/>
              </w:rPr>
              <w:t>prospech požičiavajúcej inštitúcie</w:t>
            </w:r>
            <w:r w:rsidR="00A87849">
              <w:rPr>
                <w:rFonts w:ascii="Times New Roman" w:hAnsi="Times New Roman"/>
                <w:sz w:val="24"/>
              </w:rPr>
              <w:t>.</w:t>
            </w:r>
          </w:p>
          <w:p w14:paraId="7BA415CF" w14:textId="3E5875A7" w:rsidR="00087388" w:rsidRPr="00A87849" w:rsidRDefault="00087388" w:rsidP="00725D4D">
            <w:pPr>
              <w:spacing w:after="120"/>
              <w:jc w:val="both"/>
              <w:rPr>
                <w:rFonts w:ascii="Times New Roman" w:hAnsi="Times New Roman" w:cs="Times New Roman"/>
                <w:sz w:val="24"/>
              </w:rPr>
            </w:pPr>
            <w:r w:rsidRPr="00A87849">
              <w:rPr>
                <w:rFonts w:ascii="Times New Roman" w:hAnsi="Times New Roman"/>
                <w:sz w:val="24"/>
              </w:rPr>
              <w:t>Zverejňovaná hodnota kolaterálu je obmedzená na hodnotu expozície na úrovni jednotlivej expozície.</w:t>
            </w:r>
          </w:p>
        </w:tc>
      </w:tr>
      <w:tr w:rsidR="00087388" w:rsidRPr="00A87849" w14:paraId="7D60ED9D" w14:textId="77777777" w:rsidTr="11F50173">
        <w:trPr>
          <w:trHeight w:val="316"/>
        </w:trPr>
        <w:tc>
          <w:tcPr>
            <w:tcW w:w="1413" w:type="dxa"/>
          </w:tcPr>
          <w:p w14:paraId="3FABC7AD"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i</w:t>
            </w:r>
          </w:p>
        </w:tc>
        <w:tc>
          <w:tcPr>
            <w:tcW w:w="7654" w:type="dxa"/>
          </w:tcPr>
          <w:p w14:paraId="65B7276A"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b/>
                <w:sz w:val="24"/>
              </w:rPr>
            </w:pPr>
            <w:r w:rsidRPr="00A87849">
              <w:rPr>
                <w:rFonts w:ascii="Times New Roman" w:hAnsi="Times New Roman"/>
                <w:b/>
                <w:sz w:val="24"/>
              </w:rPr>
              <w:t>FCP – Časť expozícií krytá životnými poistkami (%)</w:t>
            </w:r>
          </w:p>
          <w:p w14:paraId="75F3E00A" w14:textId="1607ECB5"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Percentuálny podiel expozícií zabezpečených životnými poistkami na celkových expozíciách, ako sú uvedené</w:t>
            </w:r>
            <w:r w:rsidR="00A87849">
              <w:rPr>
                <w:rFonts w:ascii="Times New Roman" w:hAnsi="Times New Roman"/>
                <w:sz w:val="24"/>
              </w:rPr>
              <w:t xml:space="preserve"> v </w:t>
            </w:r>
            <w:r w:rsidRPr="00A87849">
              <w:rPr>
                <w:rFonts w:ascii="Times New Roman" w:hAnsi="Times New Roman"/>
                <w:sz w:val="24"/>
              </w:rPr>
              <w:t>stĺpci</w:t>
            </w:r>
            <w:r w:rsidR="00A87849">
              <w:rPr>
                <w:rFonts w:ascii="Times New Roman" w:hAnsi="Times New Roman"/>
                <w:sz w:val="24"/>
              </w:rPr>
              <w:t xml:space="preserve"> a </w:t>
            </w:r>
            <w:r w:rsidRPr="00A87849">
              <w:rPr>
                <w:rFonts w:ascii="Times New Roman" w:hAnsi="Times New Roman"/>
                <w:sz w:val="24"/>
              </w:rPr>
              <w:t>tohto vzoru.</w:t>
            </w:r>
          </w:p>
          <w:p w14:paraId="7C24938A" w14:textId="629A9E3D" w:rsidR="00087388" w:rsidRPr="00A87849" w:rsidRDefault="00087388" w:rsidP="11F50173">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Iné financované zabezpečenie zahŕňa</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200 písm. b) nariadenia (EÚ) </w:t>
            </w:r>
            <w:r w:rsidR="00A87849">
              <w:rPr>
                <w:rFonts w:ascii="Times New Roman" w:hAnsi="Times New Roman"/>
                <w:sz w:val="24"/>
              </w:rPr>
              <w:t>č. </w:t>
            </w:r>
            <w:r w:rsidRPr="00A87849">
              <w:rPr>
                <w:rFonts w:ascii="Times New Roman" w:hAnsi="Times New Roman"/>
                <w:sz w:val="24"/>
              </w:rPr>
              <w:t>575/2013 životné poistky založené</w:t>
            </w:r>
            <w:r w:rsidR="00A87849">
              <w:rPr>
                <w:rFonts w:ascii="Times New Roman" w:hAnsi="Times New Roman"/>
                <w:sz w:val="24"/>
              </w:rPr>
              <w:t xml:space="preserve"> v </w:t>
            </w:r>
            <w:r w:rsidRPr="00A87849">
              <w:rPr>
                <w:rFonts w:ascii="Times New Roman" w:hAnsi="Times New Roman"/>
                <w:sz w:val="24"/>
              </w:rPr>
              <w:t>prospech požičiavajúcej inštitúcie. Zverejňovaná hodnota kolaterálu je obmedzená na hodnotu expozície na úrovni jednotlivej expozície.</w:t>
            </w:r>
          </w:p>
        </w:tc>
      </w:tr>
      <w:tr w:rsidR="00087388" w:rsidRPr="00A87849" w14:paraId="54DFAC7F" w14:textId="77777777" w:rsidTr="11F50173">
        <w:trPr>
          <w:trHeight w:val="316"/>
        </w:trPr>
        <w:tc>
          <w:tcPr>
            <w:tcW w:w="1413" w:type="dxa"/>
          </w:tcPr>
          <w:p w14:paraId="3DC2D073"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lastRenderedPageBreak/>
              <w:t>j</w:t>
            </w:r>
          </w:p>
        </w:tc>
        <w:tc>
          <w:tcPr>
            <w:tcW w:w="7654" w:type="dxa"/>
          </w:tcPr>
          <w:p w14:paraId="21B136D1" w14:textId="17E34D89" w:rsidR="00087388" w:rsidRPr="00A87849" w:rsidRDefault="00087388" w:rsidP="00725D4D">
            <w:pPr>
              <w:autoSpaceDE w:val="0"/>
              <w:autoSpaceDN w:val="0"/>
              <w:adjustRightInd w:val="0"/>
              <w:spacing w:after="120"/>
              <w:jc w:val="both"/>
              <w:rPr>
                <w:rFonts w:ascii="Times New Roman" w:eastAsia="Times New Roman" w:hAnsi="Times New Roman" w:cs="Times New Roman"/>
                <w:b/>
                <w:sz w:val="24"/>
              </w:rPr>
            </w:pPr>
            <w:r w:rsidRPr="00A87849">
              <w:rPr>
                <w:rFonts w:ascii="Times New Roman" w:hAnsi="Times New Roman"/>
                <w:b/>
                <w:sz w:val="24"/>
              </w:rPr>
              <w:t>FCP – Časť expozícií krytá nástrojom</w:t>
            </w:r>
            <w:r w:rsidR="00A87849">
              <w:rPr>
                <w:rFonts w:ascii="Times New Roman" w:hAnsi="Times New Roman"/>
                <w:b/>
                <w:sz w:val="24"/>
              </w:rPr>
              <w:t xml:space="preserve"> v </w:t>
            </w:r>
            <w:r w:rsidRPr="00A87849">
              <w:rPr>
                <w:rFonts w:ascii="Times New Roman" w:hAnsi="Times New Roman"/>
                <w:b/>
                <w:sz w:val="24"/>
              </w:rPr>
              <w:t>držbe tretej strany (%)</w:t>
            </w:r>
          </w:p>
          <w:p w14:paraId="58C8EAE3" w14:textId="1F10D10B"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Percentuálny podiel expozícií zabezpečených kolaterálom vo forme nástrojov</w:t>
            </w:r>
            <w:r w:rsidR="00A87849">
              <w:rPr>
                <w:rFonts w:ascii="Times New Roman" w:hAnsi="Times New Roman"/>
                <w:sz w:val="24"/>
              </w:rPr>
              <w:t xml:space="preserve"> v </w:t>
            </w:r>
            <w:r w:rsidRPr="00A87849">
              <w:rPr>
                <w:rFonts w:ascii="Times New Roman" w:hAnsi="Times New Roman"/>
                <w:sz w:val="24"/>
              </w:rPr>
              <w:t>držbe tretej strany na celkových expozíciách, ako sú uvedené</w:t>
            </w:r>
            <w:r w:rsidR="00A87849">
              <w:rPr>
                <w:rFonts w:ascii="Times New Roman" w:hAnsi="Times New Roman"/>
                <w:sz w:val="24"/>
              </w:rPr>
              <w:t xml:space="preserve"> v </w:t>
            </w:r>
            <w:r w:rsidRPr="00A87849">
              <w:rPr>
                <w:rFonts w:ascii="Times New Roman" w:hAnsi="Times New Roman"/>
                <w:sz w:val="24"/>
              </w:rPr>
              <w:t>stĺpci</w:t>
            </w:r>
            <w:r w:rsidR="00A87849">
              <w:rPr>
                <w:rFonts w:ascii="Times New Roman" w:hAnsi="Times New Roman"/>
                <w:sz w:val="24"/>
              </w:rPr>
              <w:t xml:space="preserve"> a </w:t>
            </w:r>
            <w:r w:rsidRPr="00A87849">
              <w:rPr>
                <w:rFonts w:ascii="Times New Roman" w:hAnsi="Times New Roman"/>
                <w:sz w:val="24"/>
              </w:rPr>
              <w:t>tohto vzoru; časť expozícií krytá nástrojmi emitovanými treťou stranou</w:t>
            </w:r>
            <w:r w:rsidR="00A87849">
              <w:rPr>
                <w:rFonts w:ascii="Times New Roman" w:hAnsi="Times New Roman"/>
                <w:sz w:val="24"/>
              </w:rPr>
              <w:t xml:space="preserve"> v </w:t>
            </w:r>
            <w:r w:rsidRPr="00A87849">
              <w:rPr>
                <w:rFonts w:ascii="Times New Roman" w:hAnsi="Times New Roman"/>
                <w:sz w:val="24"/>
              </w:rPr>
              <w:t>pomere</w:t>
            </w:r>
            <w:r w:rsidR="00A87849">
              <w:rPr>
                <w:rFonts w:ascii="Times New Roman" w:hAnsi="Times New Roman"/>
                <w:sz w:val="24"/>
              </w:rPr>
              <w:t xml:space="preserve"> k </w:t>
            </w:r>
            <w:r w:rsidRPr="00A87849">
              <w:rPr>
                <w:rFonts w:ascii="Times New Roman" w:hAnsi="Times New Roman"/>
                <w:sz w:val="24"/>
              </w:rPr>
              <w:t>celkovým expozíciám.</w:t>
            </w:r>
          </w:p>
          <w:p w14:paraId="677167CD" w14:textId="33DE745E" w:rsidR="00087388" w:rsidRPr="00A87849" w:rsidRDefault="00087388" w:rsidP="11F50173">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Zverejňovaná hodnota zahŕňa</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200 písm. c) nariadenia (EÚ) </w:t>
            </w:r>
            <w:r w:rsidR="00A87849">
              <w:rPr>
                <w:rFonts w:ascii="Times New Roman" w:hAnsi="Times New Roman"/>
                <w:sz w:val="24"/>
              </w:rPr>
              <w:t>č. </w:t>
            </w:r>
            <w:r w:rsidRPr="00A87849">
              <w:rPr>
                <w:rFonts w:ascii="Times New Roman" w:hAnsi="Times New Roman"/>
                <w:sz w:val="24"/>
              </w:rPr>
              <w:t>575/2013 nástroje emitované treťou stranou, ktorá je inštitúciou, ktoré táto inštitúcia na požiadanie spätne odkúpi. Hodnota kolaterálu je obmedzená na hodnotu expozície na úrovni jednotlivej expozície.</w:t>
            </w:r>
            <w:r w:rsidR="00A87849">
              <w:rPr>
                <w:rFonts w:ascii="Times New Roman" w:hAnsi="Times New Roman"/>
                <w:sz w:val="24"/>
              </w:rPr>
              <w:t xml:space="preserve"> Z </w:t>
            </w:r>
            <w:r w:rsidRPr="00A87849">
              <w:rPr>
                <w:rFonts w:ascii="Times New Roman" w:hAnsi="Times New Roman"/>
                <w:sz w:val="24"/>
              </w:rPr>
              <w:t>percentuálneho podielu sú vylúčené tie expozície, na ktoré sa vzťahujú nástroje</w:t>
            </w:r>
            <w:r w:rsidR="00A87849">
              <w:rPr>
                <w:rFonts w:ascii="Times New Roman" w:hAnsi="Times New Roman"/>
                <w:sz w:val="24"/>
              </w:rPr>
              <w:t xml:space="preserve"> v </w:t>
            </w:r>
            <w:r w:rsidRPr="00A87849">
              <w:rPr>
                <w:rFonts w:ascii="Times New Roman" w:hAnsi="Times New Roman"/>
                <w:sz w:val="24"/>
              </w:rPr>
              <w:t>držbe tretej strany, ak</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232 ods. 4 nariadenia (EÚ) </w:t>
            </w:r>
            <w:r w:rsidR="00A87849">
              <w:rPr>
                <w:rFonts w:ascii="Times New Roman" w:hAnsi="Times New Roman"/>
                <w:sz w:val="24"/>
              </w:rPr>
              <w:t>č. </w:t>
            </w:r>
            <w:r w:rsidRPr="00A87849">
              <w:rPr>
                <w:rFonts w:ascii="Times New Roman" w:hAnsi="Times New Roman"/>
                <w:sz w:val="24"/>
              </w:rPr>
              <w:t xml:space="preserve">575/2013 inštitúcie považujú nástroje spätne odkúpené na požiadanie, ktoré sú prípustné podľa článku 200 písm. c) nariadenia (EÚ) </w:t>
            </w:r>
            <w:r w:rsidR="00A87849">
              <w:rPr>
                <w:rFonts w:ascii="Times New Roman" w:hAnsi="Times New Roman"/>
                <w:sz w:val="24"/>
              </w:rPr>
              <w:t>č. </w:t>
            </w:r>
            <w:r w:rsidRPr="00A87849">
              <w:rPr>
                <w:rFonts w:ascii="Times New Roman" w:hAnsi="Times New Roman"/>
                <w:sz w:val="24"/>
              </w:rPr>
              <w:t xml:space="preserve">575/2013, za záruku emitujúcej inštitúcie. </w:t>
            </w:r>
          </w:p>
        </w:tc>
      </w:tr>
      <w:tr w:rsidR="00087388" w:rsidRPr="00A87849" w14:paraId="0CC0E77F" w14:textId="77777777" w:rsidTr="11F50173">
        <w:trPr>
          <w:trHeight w:val="316"/>
        </w:trPr>
        <w:tc>
          <w:tcPr>
            <w:tcW w:w="1413" w:type="dxa"/>
          </w:tcPr>
          <w:p w14:paraId="636E6465"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k</w:t>
            </w:r>
          </w:p>
        </w:tc>
        <w:tc>
          <w:tcPr>
            <w:tcW w:w="7654" w:type="dxa"/>
          </w:tcPr>
          <w:p w14:paraId="62A78B77" w14:textId="77777777" w:rsidR="00087388" w:rsidRPr="00A87849" w:rsidRDefault="00087388" w:rsidP="00725D4D">
            <w:pPr>
              <w:spacing w:after="120"/>
              <w:rPr>
                <w:rFonts w:ascii="Times New Roman" w:hAnsi="Times New Roman" w:cs="Times New Roman"/>
                <w:b/>
                <w:sz w:val="24"/>
              </w:rPr>
            </w:pPr>
            <w:r w:rsidRPr="00A87849">
              <w:rPr>
                <w:rFonts w:ascii="Times New Roman" w:hAnsi="Times New Roman"/>
                <w:b/>
                <w:sz w:val="24"/>
              </w:rPr>
              <w:t>UFCP – Časť expozícií krytá zárukami (%)</w:t>
            </w:r>
          </w:p>
          <w:p w14:paraId="56D19BC5" w14:textId="4F4B7346" w:rsidR="00A87849" w:rsidRDefault="00087388" w:rsidP="00725D4D">
            <w:pPr>
              <w:autoSpaceDE w:val="0"/>
              <w:autoSpaceDN w:val="0"/>
              <w:adjustRightInd w:val="0"/>
              <w:spacing w:after="120"/>
              <w:jc w:val="both"/>
              <w:rPr>
                <w:rFonts w:ascii="Times New Roman" w:hAnsi="Times New Roman"/>
                <w:sz w:val="24"/>
              </w:rPr>
            </w:pPr>
            <w:r w:rsidRPr="00A87849">
              <w:rPr>
                <w:rFonts w:ascii="Times New Roman" w:hAnsi="Times New Roman"/>
                <w:sz w:val="24"/>
              </w:rPr>
              <w:t>Percentuálny podiel expozícií zabezpečených zárukami</w:t>
            </w:r>
            <w:r w:rsidR="00A87849">
              <w:rPr>
                <w:rFonts w:ascii="Times New Roman" w:hAnsi="Times New Roman"/>
                <w:sz w:val="24"/>
              </w:rPr>
              <w:t xml:space="preserve"> k </w:t>
            </w:r>
            <w:r w:rsidRPr="00A87849">
              <w:rPr>
                <w:rFonts w:ascii="Times New Roman" w:hAnsi="Times New Roman"/>
                <w:sz w:val="24"/>
              </w:rPr>
              <w:t>celkovým expozíciám, ako sú uvedené</w:t>
            </w:r>
            <w:r w:rsidR="00A87849">
              <w:rPr>
                <w:rFonts w:ascii="Times New Roman" w:hAnsi="Times New Roman"/>
                <w:sz w:val="24"/>
              </w:rPr>
              <w:t xml:space="preserve"> v </w:t>
            </w:r>
            <w:r w:rsidRPr="00A87849">
              <w:rPr>
                <w:rFonts w:ascii="Times New Roman" w:hAnsi="Times New Roman"/>
                <w:sz w:val="24"/>
              </w:rPr>
              <w:t>stĺpci</w:t>
            </w:r>
            <w:r w:rsidR="00A87849">
              <w:rPr>
                <w:rFonts w:ascii="Times New Roman" w:hAnsi="Times New Roman"/>
                <w:sz w:val="24"/>
              </w:rPr>
              <w:t xml:space="preserve"> a </w:t>
            </w:r>
            <w:r w:rsidRPr="00A87849">
              <w:rPr>
                <w:rFonts w:ascii="Times New Roman" w:hAnsi="Times New Roman"/>
                <w:sz w:val="24"/>
              </w:rPr>
              <w:t>tohto vzoru</w:t>
            </w:r>
            <w:r w:rsidR="00A87849">
              <w:rPr>
                <w:rFonts w:ascii="Times New Roman" w:hAnsi="Times New Roman"/>
                <w:sz w:val="24"/>
              </w:rPr>
              <w:t>.</w:t>
            </w:r>
          </w:p>
          <w:p w14:paraId="7DD6855D" w14:textId="75FBF47C" w:rsidR="00087388" w:rsidRPr="00A87849" w:rsidRDefault="00087388" w:rsidP="11F50173">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Záruky musia spĺňať požiadavku stanovenú</w:t>
            </w:r>
            <w:r w:rsidR="00A87849">
              <w:rPr>
                <w:rFonts w:ascii="Times New Roman" w:hAnsi="Times New Roman"/>
                <w:sz w:val="24"/>
              </w:rPr>
              <w:t xml:space="preserve"> v </w:t>
            </w:r>
            <w:r w:rsidRPr="00A87849">
              <w:rPr>
                <w:rFonts w:ascii="Times New Roman" w:hAnsi="Times New Roman"/>
                <w:sz w:val="24"/>
              </w:rPr>
              <w:t>článkoch 213, 214, 215</w:t>
            </w:r>
            <w:r w:rsidR="00A87849">
              <w:rPr>
                <w:rFonts w:ascii="Times New Roman" w:hAnsi="Times New Roman"/>
                <w:sz w:val="24"/>
              </w:rPr>
              <w:t xml:space="preserve"> a </w:t>
            </w:r>
            <w:r w:rsidRPr="00A87849">
              <w:rPr>
                <w:rFonts w:ascii="Times New Roman" w:hAnsi="Times New Roman"/>
                <w:sz w:val="24"/>
              </w:rPr>
              <w:t xml:space="preserve">článku 232 ods. 4 nariadenia (EÚ) </w:t>
            </w:r>
            <w:r w:rsidR="00A87849">
              <w:rPr>
                <w:rFonts w:ascii="Times New Roman" w:hAnsi="Times New Roman"/>
                <w:sz w:val="24"/>
              </w:rPr>
              <w:t>č. </w:t>
            </w:r>
            <w:r w:rsidRPr="00A87849">
              <w:rPr>
                <w:rFonts w:ascii="Times New Roman" w:hAnsi="Times New Roman"/>
                <w:sz w:val="24"/>
              </w:rPr>
              <w:t>575/2013. Hodnota záruk je obmedzená na hodnotu expozície na úrovni jednotlivej expozície.</w:t>
            </w:r>
          </w:p>
        </w:tc>
      </w:tr>
      <w:tr w:rsidR="00087388" w:rsidRPr="00A87849" w14:paraId="446F969B" w14:textId="77777777" w:rsidTr="11F50173">
        <w:trPr>
          <w:trHeight w:val="316"/>
        </w:trPr>
        <w:tc>
          <w:tcPr>
            <w:tcW w:w="1413" w:type="dxa"/>
          </w:tcPr>
          <w:p w14:paraId="6A7AFBC4"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l</w:t>
            </w:r>
          </w:p>
        </w:tc>
        <w:tc>
          <w:tcPr>
            <w:tcW w:w="7654" w:type="dxa"/>
          </w:tcPr>
          <w:p w14:paraId="777F7A4C" w14:textId="77777777" w:rsidR="00A87849" w:rsidRDefault="00087388" w:rsidP="00725D4D">
            <w:pPr>
              <w:spacing w:after="120"/>
              <w:rPr>
                <w:rFonts w:ascii="Times New Roman" w:hAnsi="Times New Roman"/>
                <w:b/>
                <w:sz w:val="24"/>
              </w:rPr>
            </w:pPr>
            <w:r w:rsidRPr="00A87849">
              <w:rPr>
                <w:rFonts w:ascii="Times New Roman" w:hAnsi="Times New Roman"/>
                <w:b/>
                <w:sz w:val="24"/>
              </w:rPr>
              <w:t>UFCP – Časť expozícií krytá kreditnými derivátmi (%)</w:t>
            </w:r>
          </w:p>
          <w:p w14:paraId="2A83C95A" w14:textId="3AD42440"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Percentuálny podiel expozícií zabezpečených kreditnými derivátmi na celkových expozíciách, ako sú uvedené</w:t>
            </w:r>
            <w:r w:rsidR="00A87849">
              <w:rPr>
                <w:rFonts w:ascii="Times New Roman" w:hAnsi="Times New Roman"/>
                <w:sz w:val="24"/>
              </w:rPr>
              <w:t xml:space="preserve"> v </w:t>
            </w:r>
            <w:r w:rsidRPr="00A87849">
              <w:rPr>
                <w:rFonts w:ascii="Times New Roman" w:hAnsi="Times New Roman"/>
                <w:sz w:val="24"/>
              </w:rPr>
              <w:t>stĺpci</w:t>
            </w:r>
            <w:r w:rsidR="00A87849">
              <w:rPr>
                <w:rFonts w:ascii="Times New Roman" w:hAnsi="Times New Roman"/>
                <w:sz w:val="24"/>
              </w:rPr>
              <w:t xml:space="preserve"> a </w:t>
            </w:r>
            <w:r w:rsidRPr="00A87849">
              <w:rPr>
                <w:rFonts w:ascii="Times New Roman" w:hAnsi="Times New Roman"/>
                <w:sz w:val="24"/>
              </w:rPr>
              <w:t>tohto vzoru.</w:t>
            </w:r>
          </w:p>
          <w:p w14:paraId="706FD0C7" w14:textId="77777777"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Kreditné deriváty zahŕňajú:</w:t>
            </w:r>
          </w:p>
          <w:p w14:paraId="05C376D5" w14:textId="77777777" w:rsidR="00A87849" w:rsidRDefault="00087388" w:rsidP="00725D4D">
            <w:pPr>
              <w:autoSpaceDE w:val="0"/>
              <w:autoSpaceDN w:val="0"/>
              <w:adjustRightInd w:val="0"/>
              <w:spacing w:after="120"/>
              <w:jc w:val="both"/>
              <w:rPr>
                <w:rFonts w:ascii="Times New Roman" w:hAnsi="Times New Roman"/>
                <w:sz w:val="24"/>
              </w:rPr>
            </w:pPr>
            <w:r w:rsidRPr="00A87849">
              <w:rPr>
                <w:rFonts w:ascii="Times New Roman" w:hAnsi="Times New Roman"/>
                <w:sz w:val="24"/>
              </w:rPr>
              <w:t>– swapy na kreditné zlyhanie,</w:t>
            </w:r>
          </w:p>
          <w:p w14:paraId="29113A8D" w14:textId="7083A7A6"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 swapy na celkový výnos,</w:t>
            </w:r>
          </w:p>
          <w:p w14:paraId="15063D98" w14:textId="0DF0D7E2"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 dlhové nástroje viazané na úver</w:t>
            </w:r>
            <w:r w:rsidR="00A87849">
              <w:rPr>
                <w:rFonts w:ascii="Times New Roman" w:hAnsi="Times New Roman"/>
                <w:sz w:val="24"/>
              </w:rPr>
              <w:t xml:space="preserve"> v </w:t>
            </w:r>
            <w:r w:rsidRPr="00A87849">
              <w:rPr>
                <w:rFonts w:ascii="Times New Roman" w:hAnsi="Times New Roman"/>
                <w:sz w:val="24"/>
              </w:rPr>
              <w:t>rozsahu ich hotovostného krytia.</w:t>
            </w:r>
          </w:p>
          <w:p w14:paraId="51DCACDF" w14:textId="53824D96" w:rsidR="00087388" w:rsidRPr="00A87849" w:rsidRDefault="00087388" w:rsidP="00C96694">
            <w:pPr>
              <w:autoSpaceDE w:val="0"/>
              <w:autoSpaceDN w:val="0"/>
              <w:adjustRightInd w:val="0"/>
              <w:spacing w:after="120"/>
              <w:ind w:left="720"/>
              <w:jc w:val="both"/>
              <w:rPr>
                <w:rFonts w:ascii="Times New Roman" w:hAnsi="Times New Roman" w:cs="Times New Roman"/>
                <w:sz w:val="24"/>
              </w:rPr>
            </w:pPr>
            <w:r w:rsidRPr="00A87849">
              <w:rPr>
                <w:rFonts w:ascii="Times New Roman" w:hAnsi="Times New Roman"/>
                <w:sz w:val="24"/>
              </w:rPr>
              <w:t>Tieto nástroje musia spĺňať požiadavku stanovenú</w:t>
            </w:r>
            <w:r w:rsidR="00A87849">
              <w:rPr>
                <w:rFonts w:ascii="Times New Roman" w:hAnsi="Times New Roman"/>
                <w:sz w:val="24"/>
              </w:rPr>
              <w:t xml:space="preserve"> v </w:t>
            </w:r>
            <w:r w:rsidRPr="00A87849">
              <w:rPr>
                <w:rFonts w:ascii="Times New Roman" w:hAnsi="Times New Roman"/>
                <w:sz w:val="24"/>
              </w:rPr>
              <w:t>článku 204 ods. 1</w:t>
            </w:r>
            <w:r w:rsidR="00A87849">
              <w:rPr>
                <w:rFonts w:ascii="Times New Roman" w:hAnsi="Times New Roman"/>
                <w:sz w:val="24"/>
              </w:rPr>
              <w:t xml:space="preserve"> a </w:t>
            </w:r>
            <w:r w:rsidRPr="00A87849">
              <w:rPr>
                <w:rFonts w:ascii="Times New Roman" w:hAnsi="Times New Roman"/>
                <w:sz w:val="24"/>
              </w:rPr>
              <w:t>2, článkoch 213</w:t>
            </w:r>
            <w:r w:rsidR="00A87849">
              <w:rPr>
                <w:rFonts w:ascii="Times New Roman" w:hAnsi="Times New Roman"/>
                <w:sz w:val="24"/>
              </w:rPr>
              <w:t xml:space="preserve"> a </w:t>
            </w:r>
            <w:r w:rsidRPr="00A87849">
              <w:rPr>
                <w:rFonts w:ascii="Times New Roman" w:hAnsi="Times New Roman"/>
                <w:sz w:val="24"/>
              </w:rPr>
              <w:t xml:space="preserve">216 nariadenia (EÚ) </w:t>
            </w:r>
            <w:r w:rsidR="00A87849">
              <w:rPr>
                <w:rFonts w:ascii="Times New Roman" w:hAnsi="Times New Roman"/>
                <w:sz w:val="24"/>
              </w:rPr>
              <w:t>č. </w:t>
            </w:r>
            <w:r w:rsidRPr="00A87849">
              <w:rPr>
                <w:rFonts w:ascii="Times New Roman" w:hAnsi="Times New Roman"/>
                <w:sz w:val="24"/>
              </w:rPr>
              <w:t>575/2013. Hodnota kreditných derivátov je obmedzená na hodnotu expozície na úrovni jednotlivej expozície.</w:t>
            </w:r>
          </w:p>
        </w:tc>
      </w:tr>
      <w:tr w:rsidR="00087388" w:rsidRPr="00A87849" w14:paraId="50B2D825" w14:textId="77777777" w:rsidTr="11F50173">
        <w:trPr>
          <w:trHeight w:val="316"/>
        </w:trPr>
        <w:tc>
          <w:tcPr>
            <w:tcW w:w="1413" w:type="dxa"/>
          </w:tcPr>
          <w:p w14:paraId="7C47E027"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m</w:t>
            </w:r>
          </w:p>
        </w:tc>
        <w:tc>
          <w:tcPr>
            <w:tcW w:w="7654" w:type="dxa"/>
          </w:tcPr>
          <w:p w14:paraId="719A479C" w14:textId="77777777" w:rsidR="00087388" w:rsidRPr="00A87849" w:rsidRDefault="00087388" w:rsidP="00725D4D">
            <w:pPr>
              <w:autoSpaceDE w:val="0"/>
              <w:autoSpaceDN w:val="0"/>
              <w:adjustRightInd w:val="0"/>
              <w:spacing w:after="120"/>
              <w:jc w:val="both"/>
              <w:rPr>
                <w:rFonts w:ascii="Times New Roman" w:hAnsi="Times New Roman" w:cs="Times New Roman"/>
                <w:b/>
                <w:sz w:val="24"/>
              </w:rPr>
            </w:pPr>
            <w:r w:rsidRPr="00A87849">
              <w:rPr>
                <w:rFonts w:ascii="Times New Roman" w:hAnsi="Times New Roman"/>
                <w:b/>
                <w:sz w:val="24"/>
              </w:rPr>
              <w:t>RWEA bez substitučných účinkov (len účinky zníženia)</w:t>
            </w:r>
          </w:p>
          <w:p w14:paraId="774E7285" w14:textId="7096791F" w:rsidR="00087388" w:rsidRPr="00A87849" w:rsidRDefault="00087388" w:rsidP="11F50173">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Hodnoty rizikovo vážených expozícií vypočítané</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článkom 92 ods. 4 písm. a)</w:t>
            </w:r>
            <w:r w:rsidR="00A87849">
              <w:rPr>
                <w:rFonts w:ascii="Times New Roman" w:hAnsi="Times New Roman"/>
                <w:sz w:val="24"/>
              </w:rPr>
              <w:t xml:space="preserve"> a </w:t>
            </w:r>
            <w:r w:rsidRPr="00A87849">
              <w:rPr>
                <w:rFonts w:ascii="Times New Roman" w:hAnsi="Times New Roman"/>
                <w:sz w:val="24"/>
              </w:rPr>
              <w:t xml:space="preserve">g) nariadenia (EÚ) </w:t>
            </w:r>
            <w:r w:rsidR="00A87849">
              <w:rPr>
                <w:rFonts w:ascii="Times New Roman" w:hAnsi="Times New Roman"/>
                <w:sz w:val="24"/>
              </w:rPr>
              <w:t>č. </w:t>
            </w:r>
            <w:r w:rsidRPr="00A87849">
              <w:rPr>
                <w:rFonts w:ascii="Times New Roman" w:hAnsi="Times New Roman"/>
                <w:sz w:val="24"/>
              </w:rPr>
              <w:t>575/2013 vrátane akéhokoľvek zníženia RWEA</w:t>
            </w:r>
            <w:r w:rsidR="00A87849">
              <w:rPr>
                <w:rFonts w:ascii="Times New Roman" w:hAnsi="Times New Roman"/>
                <w:sz w:val="24"/>
              </w:rPr>
              <w:t xml:space="preserve"> v </w:t>
            </w:r>
            <w:r w:rsidRPr="00A87849">
              <w:rPr>
                <w:rFonts w:ascii="Times New Roman" w:hAnsi="Times New Roman"/>
                <w:sz w:val="24"/>
              </w:rPr>
              <w:t>dôsledku existencie financovaného alebo nefinancovaného zabezpečenia,</w:t>
            </w:r>
            <w:r w:rsidR="00A87849">
              <w:rPr>
                <w:rFonts w:ascii="Times New Roman" w:hAnsi="Times New Roman"/>
                <w:sz w:val="24"/>
              </w:rPr>
              <w:t xml:space="preserve"> a </w:t>
            </w:r>
            <w:r w:rsidRPr="00A87849">
              <w:rPr>
                <w:rFonts w:ascii="Times New Roman" w:hAnsi="Times New Roman"/>
                <w:sz w:val="24"/>
              </w:rPr>
              <w:t>to vrátane prípadov, keď sa PD</w:t>
            </w:r>
            <w:r w:rsidR="00A87849">
              <w:rPr>
                <w:rFonts w:ascii="Times New Roman" w:hAnsi="Times New Roman"/>
                <w:sz w:val="24"/>
              </w:rPr>
              <w:t xml:space="preserve"> a </w:t>
            </w:r>
            <w:r w:rsidRPr="00A87849">
              <w:rPr>
                <w:rFonts w:ascii="Times New Roman" w:hAnsi="Times New Roman"/>
                <w:sz w:val="24"/>
              </w:rPr>
              <w:t>LGD alebo riziková váha nahrádzajú</w:t>
            </w:r>
            <w:r w:rsidR="00A87849">
              <w:rPr>
                <w:rFonts w:ascii="Times New Roman" w:hAnsi="Times New Roman"/>
                <w:sz w:val="24"/>
              </w:rPr>
              <w:t xml:space="preserve"> v </w:t>
            </w:r>
            <w:r w:rsidRPr="00A87849">
              <w:rPr>
                <w:rFonts w:ascii="Times New Roman" w:hAnsi="Times New Roman"/>
                <w:sz w:val="24"/>
              </w:rPr>
              <w:t>dôsledku existencie nefinancovaného zabezpečenia. Napriek tomu sa expozície vo všetkých prípadoch vrátane prípadov, keď sa používa substitučný prístup, zverejňujú</w:t>
            </w:r>
            <w:r w:rsidR="00A87849">
              <w:rPr>
                <w:rFonts w:ascii="Times New Roman" w:hAnsi="Times New Roman"/>
                <w:sz w:val="24"/>
              </w:rPr>
              <w:t xml:space="preserve"> v </w:t>
            </w:r>
            <w:r w:rsidRPr="00A87849">
              <w:rPr>
                <w:rFonts w:ascii="Times New Roman" w:hAnsi="Times New Roman"/>
                <w:sz w:val="24"/>
              </w:rPr>
              <w:t>pôvodných triedach expozícií uplatniteľných na dlžníka.</w:t>
            </w:r>
          </w:p>
        </w:tc>
      </w:tr>
      <w:tr w:rsidR="00087388" w:rsidRPr="00A87849" w14:paraId="710037D4" w14:textId="77777777" w:rsidTr="11F50173">
        <w:trPr>
          <w:trHeight w:val="316"/>
        </w:trPr>
        <w:tc>
          <w:tcPr>
            <w:tcW w:w="1413" w:type="dxa"/>
          </w:tcPr>
          <w:p w14:paraId="3FB8B379"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n</w:t>
            </w:r>
          </w:p>
        </w:tc>
        <w:tc>
          <w:tcPr>
            <w:tcW w:w="7654" w:type="dxa"/>
          </w:tcPr>
          <w:p w14:paraId="25AEECEC"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b/>
                <w:sz w:val="24"/>
              </w:rPr>
            </w:pPr>
            <w:r w:rsidRPr="00A87849">
              <w:rPr>
                <w:rFonts w:ascii="Times New Roman" w:hAnsi="Times New Roman"/>
                <w:b/>
                <w:sz w:val="24"/>
              </w:rPr>
              <w:t>RWEA so substitučnými účinkami (účinky zníženia aj substitučné účinky)</w:t>
            </w:r>
          </w:p>
          <w:p w14:paraId="154D0450" w14:textId="502F9F0E" w:rsidR="00087388" w:rsidRPr="00A87849" w:rsidRDefault="00087388" w:rsidP="11F50173">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lastRenderedPageBreak/>
              <w:t>Hodnoty rizikovo vážených expozícií vypočítané</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článkami 153 až 157 nariadenia (EÚ) </w:t>
            </w:r>
            <w:r w:rsidR="00A87849">
              <w:rPr>
                <w:rFonts w:ascii="Times New Roman" w:hAnsi="Times New Roman"/>
                <w:sz w:val="24"/>
              </w:rPr>
              <w:t>č. </w:t>
            </w:r>
            <w:r w:rsidRPr="00A87849">
              <w:rPr>
                <w:rFonts w:ascii="Times New Roman" w:hAnsi="Times New Roman"/>
                <w:sz w:val="24"/>
              </w:rPr>
              <w:t>575/2013 vrátane akéhokoľvek zníženia RWEA</w:t>
            </w:r>
            <w:r w:rsidR="00A87849">
              <w:rPr>
                <w:rFonts w:ascii="Times New Roman" w:hAnsi="Times New Roman"/>
                <w:sz w:val="24"/>
              </w:rPr>
              <w:t xml:space="preserve"> v </w:t>
            </w:r>
            <w:r w:rsidRPr="00A87849">
              <w:rPr>
                <w:rFonts w:ascii="Times New Roman" w:hAnsi="Times New Roman"/>
                <w:sz w:val="24"/>
              </w:rPr>
              <w:t>dôsledku existencie financovaného alebo nefinancovaného zabezpečenia. Ak sa PD</w:t>
            </w:r>
            <w:r w:rsidR="00A87849">
              <w:rPr>
                <w:rFonts w:ascii="Times New Roman" w:hAnsi="Times New Roman"/>
                <w:sz w:val="24"/>
              </w:rPr>
              <w:t xml:space="preserve"> a </w:t>
            </w:r>
            <w:r w:rsidRPr="00A87849">
              <w:rPr>
                <w:rFonts w:ascii="Times New Roman" w:hAnsi="Times New Roman"/>
                <w:sz w:val="24"/>
              </w:rPr>
              <w:t>LGD alebo riziková váha nahrádzajú</w:t>
            </w:r>
            <w:r w:rsidR="00A87849">
              <w:rPr>
                <w:rFonts w:ascii="Times New Roman" w:hAnsi="Times New Roman"/>
                <w:sz w:val="24"/>
              </w:rPr>
              <w:t xml:space="preserve"> v </w:t>
            </w:r>
            <w:r w:rsidRPr="00A87849">
              <w:rPr>
                <w:rFonts w:ascii="Times New Roman" w:hAnsi="Times New Roman"/>
                <w:sz w:val="24"/>
              </w:rPr>
              <w:t>dôsledku existencie nefinancovaného zabezpečenia, expozície sa zverejňujú</w:t>
            </w:r>
            <w:r w:rsidR="00A87849">
              <w:rPr>
                <w:rFonts w:ascii="Times New Roman" w:hAnsi="Times New Roman"/>
                <w:sz w:val="24"/>
              </w:rPr>
              <w:t xml:space="preserve"> v </w:t>
            </w:r>
            <w:r w:rsidRPr="00A87849">
              <w:rPr>
                <w:rFonts w:ascii="Times New Roman" w:hAnsi="Times New Roman"/>
                <w:sz w:val="24"/>
              </w:rPr>
              <w:t>triede expozícií uplatniteľnej na poskytovateľa zabezpečenia.</w:t>
            </w:r>
          </w:p>
        </w:tc>
      </w:tr>
    </w:tbl>
    <w:p w14:paraId="34CE0A41" w14:textId="77777777" w:rsidR="00087388" w:rsidRPr="00A87849"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A87849"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A87849" w:rsidRDefault="00087388" w:rsidP="00725D4D">
            <w:pPr>
              <w:autoSpaceDE w:val="0"/>
              <w:autoSpaceDN w:val="0"/>
              <w:adjustRightInd w:val="0"/>
              <w:spacing w:after="120"/>
              <w:rPr>
                <w:rFonts w:ascii="Times New Roman" w:hAnsi="Times New Roman" w:cs="Times New Roman"/>
                <w:b/>
                <w:sz w:val="24"/>
              </w:rPr>
            </w:pPr>
            <w:r w:rsidRPr="00A87849">
              <w:rPr>
                <w:rFonts w:ascii="Times New Roman" w:hAnsi="Times New Roman"/>
                <w:b/>
                <w:sz w:val="24"/>
              </w:rPr>
              <w:t>Odkaz na riadok</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55C4237A" w:rsidR="00087388" w:rsidRPr="00A87849" w:rsidRDefault="00087388" w:rsidP="00725D4D">
            <w:pPr>
              <w:spacing w:after="120"/>
              <w:rPr>
                <w:rFonts w:ascii="Times New Roman" w:hAnsi="Times New Roman" w:cs="Times New Roman"/>
                <w:b/>
                <w:sz w:val="24"/>
              </w:rPr>
            </w:pPr>
            <w:r w:rsidRPr="00A87849">
              <w:rPr>
                <w:rFonts w:ascii="Times New Roman" w:hAnsi="Times New Roman"/>
                <w:b/>
                <w:sz w:val="24"/>
              </w:rPr>
              <w:t>Odkazy na právne predpisy</w:t>
            </w:r>
            <w:r w:rsidR="00A87849">
              <w:rPr>
                <w:rFonts w:ascii="Times New Roman" w:hAnsi="Times New Roman"/>
                <w:b/>
                <w:sz w:val="24"/>
              </w:rPr>
              <w:t xml:space="preserve"> a </w:t>
            </w:r>
            <w:r w:rsidRPr="00A87849">
              <w:rPr>
                <w:rFonts w:ascii="Times New Roman" w:hAnsi="Times New Roman"/>
                <w:b/>
                <w:sz w:val="24"/>
              </w:rPr>
              <w:t>pokyny</w:t>
            </w:r>
          </w:p>
        </w:tc>
      </w:tr>
      <w:tr w:rsidR="00087388" w:rsidRPr="00A87849" w14:paraId="65737CE2" w14:textId="77777777" w:rsidTr="11F50173">
        <w:trPr>
          <w:trHeight w:val="237"/>
        </w:trPr>
        <w:tc>
          <w:tcPr>
            <w:tcW w:w="1413" w:type="dxa"/>
            <w:vMerge/>
          </w:tcPr>
          <w:p w14:paraId="62EBF3C5" w14:textId="77777777" w:rsidR="00087388" w:rsidRPr="00A87849"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A87849" w:rsidRDefault="00087388" w:rsidP="00725D4D">
            <w:pPr>
              <w:autoSpaceDE w:val="0"/>
              <w:autoSpaceDN w:val="0"/>
              <w:adjustRightInd w:val="0"/>
              <w:spacing w:after="120"/>
              <w:rPr>
                <w:rFonts w:ascii="Times New Roman" w:hAnsi="Times New Roman" w:cs="Times New Roman"/>
                <w:color w:val="000000"/>
                <w:sz w:val="24"/>
              </w:rPr>
            </w:pPr>
            <w:r w:rsidRPr="00A87849">
              <w:rPr>
                <w:rFonts w:ascii="Times New Roman" w:hAnsi="Times New Roman"/>
                <w:b/>
                <w:sz w:val="24"/>
              </w:rPr>
              <w:t>Vysvetlenie</w:t>
            </w:r>
          </w:p>
        </w:tc>
      </w:tr>
      <w:tr w:rsidR="00087388" w:rsidRPr="00A87849" w14:paraId="1BA109EF" w14:textId="77777777" w:rsidTr="11F50173">
        <w:trPr>
          <w:trHeight w:val="316"/>
        </w:trPr>
        <w:tc>
          <w:tcPr>
            <w:tcW w:w="1413" w:type="dxa"/>
          </w:tcPr>
          <w:p w14:paraId="29D6B04F"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 xml:space="preserve"> </w:t>
            </w:r>
          </w:p>
        </w:tc>
        <w:tc>
          <w:tcPr>
            <w:tcW w:w="7654" w:type="dxa"/>
          </w:tcPr>
          <w:p w14:paraId="15A76DE6" w14:textId="553C5777" w:rsidR="00087388" w:rsidRPr="00A87849" w:rsidRDefault="00087388" w:rsidP="00725D4D">
            <w:pPr>
              <w:pStyle w:val="Default"/>
              <w:spacing w:after="120"/>
              <w:jc w:val="both"/>
              <w:rPr>
                <w:rFonts w:ascii="Times New Roman" w:hAnsi="Times New Roman" w:cs="Times New Roman"/>
              </w:rPr>
            </w:pPr>
            <w:r w:rsidRPr="00A87849">
              <w:rPr>
                <w:rFonts w:ascii="Times New Roman" w:hAnsi="Times New Roman"/>
              </w:rPr>
              <w:t>Toto zverejnenie sa vykonáva osobitne pre expozície podľa prístupu A-IRB, prístupu F-IRB, ako aj špecializované financovanie, pri ktorom sa uplatňuje prístup spočívajúci</w:t>
            </w:r>
            <w:r w:rsidR="00A87849">
              <w:rPr>
                <w:rFonts w:ascii="Times New Roman" w:hAnsi="Times New Roman"/>
              </w:rPr>
              <w:t xml:space="preserve"> v </w:t>
            </w:r>
            <w:r w:rsidRPr="00A87849">
              <w:rPr>
                <w:rFonts w:ascii="Times New Roman" w:hAnsi="Times New Roman"/>
              </w:rPr>
              <w:t>zaradení,</w:t>
            </w:r>
            <w:r w:rsidR="00A87849">
              <w:rPr>
                <w:rFonts w:ascii="Times New Roman" w:hAnsi="Times New Roman"/>
              </w:rPr>
              <w:t xml:space="preserve"> a </w:t>
            </w:r>
            <w:r w:rsidRPr="00A87849">
              <w:rPr>
                <w:rFonts w:ascii="Times New Roman" w:hAnsi="Times New Roman"/>
              </w:rPr>
              <w:t>kapitálové expozície.</w:t>
            </w:r>
            <w:r w:rsidRPr="00A87849">
              <w:tab/>
            </w:r>
          </w:p>
        </w:tc>
      </w:tr>
      <w:tr w:rsidR="00087388" w:rsidRPr="00A87849" w14:paraId="1A2F0F2D" w14:textId="77777777" w:rsidTr="11F50173">
        <w:trPr>
          <w:trHeight w:val="316"/>
        </w:trPr>
        <w:tc>
          <w:tcPr>
            <w:tcW w:w="1413" w:type="dxa"/>
          </w:tcPr>
          <w:p w14:paraId="6D98A12B"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 xml:space="preserve"> A-IRB</w:t>
            </w:r>
          </w:p>
        </w:tc>
        <w:tc>
          <w:tcPr>
            <w:tcW w:w="7654" w:type="dxa"/>
          </w:tcPr>
          <w:p w14:paraId="60E08693" w14:textId="6476CC1B" w:rsidR="00A87849" w:rsidRDefault="00087388" w:rsidP="11F50173">
            <w:pPr>
              <w:pStyle w:val="Default"/>
              <w:spacing w:after="120"/>
              <w:rPr>
                <w:rFonts w:ascii="Times New Roman" w:hAnsi="Times New Roman"/>
              </w:rPr>
            </w:pPr>
            <w:r w:rsidRPr="00A87849">
              <w:rPr>
                <w:rFonts w:ascii="Times New Roman" w:hAnsi="Times New Roman"/>
              </w:rPr>
              <w:t>Inštitúcie zahŕňajú informácie</w:t>
            </w:r>
            <w:r w:rsidR="00A87849">
              <w:rPr>
                <w:rFonts w:ascii="Times New Roman" w:hAnsi="Times New Roman"/>
              </w:rPr>
              <w:t xml:space="preserve"> o </w:t>
            </w:r>
            <w:r w:rsidRPr="00A87849">
              <w:rPr>
                <w:rFonts w:ascii="Times New Roman" w:hAnsi="Times New Roman"/>
              </w:rPr>
              <w:t>postupoch zmierňovania kreditného rizika zahrnutých</w:t>
            </w:r>
            <w:r w:rsidR="00A87849">
              <w:rPr>
                <w:rFonts w:ascii="Times New Roman" w:hAnsi="Times New Roman"/>
              </w:rPr>
              <w:t xml:space="preserve"> v </w:t>
            </w:r>
            <w:r w:rsidRPr="00A87849">
              <w:rPr>
                <w:rFonts w:ascii="Times New Roman" w:hAnsi="Times New Roman"/>
              </w:rPr>
              <w:t>tomto vzore podľa triedy expozícií</w:t>
            </w:r>
            <w:r w:rsidR="00A87849">
              <w:rPr>
                <w:rFonts w:ascii="Times New Roman" w:hAnsi="Times New Roman"/>
              </w:rPr>
              <w:t xml:space="preserve"> v </w:t>
            </w:r>
            <w:r w:rsidRPr="00A87849">
              <w:rPr>
                <w:rFonts w:ascii="Times New Roman" w:hAnsi="Times New Roman"/>
              </w:rPr>
              <w:t>súlade</w:t>
            </w:r>
            <w:r w:rsidR="00A87849">
              <w:rPr>
                <w:rFonts w:ascii="Times New Roman" w:hAnsi="Times New Roman"/>
              </w:rPr>
              <w:t xml:space="preserve"> s </w:t>
            </w:r>
            <w:r w:rsidRPr="00A87849">
              <w:rPr>
                <w:rFonts w:ascii="Times New Roman" w:hAnsi="Times New Roman"/>
              </w:rPr>
              <w:t>triedami expozícií uvedenými</w:t>
            </w:r>
            <w:r w:rsidR="00A87849">
              <w:rPr>
                <w:rFonts w:ascii="Times New Roman" w:hAnsi="Times New Roman"/>
              </w:rPr>
              <w:t xml:space="preserve"> v </w:t>
            </w:r>
            <w:r w:rsidRPr="00A87849">
              <w:rPr>
                <w:rFonts w:ascii="Times New Roman" w:hAnsi="Times New Roman"/>
              </w:rPr>
              <w:t xml:space="preserve">článku 147 ods. 2 nariadenia (EÚ) </w:t>
            </w:r>
            <w:r w:rsidR="00A87849">
              <w:rPr>
                <w:rFonts w:ascii="Times New Roman" w:hAnsi="Times New Roman"/>
              </w:rPr>
              <w:t>č. </w:t>
            </w:r>
            <w:r w:rsidRPr="00A87849">
              <w:rPr>
                <w:rFonts w:ascii="Times New Roman" w:hAnsi="Times New Roman"/>
              </w:rPr>
              <w:t>575/2013</w:t>
            </w:r>
            <w:r w:rsidR="00A87849">
              <w:rPr>
                <w:rFonts w:ascii="Times New Roman" w:hAnsi="Times New Roman"/>
              </w:rPr>
              <w:t xml:space="preserve"> s </w:t>
            </w:r>
            <w:r w:rsidRPr="00A87849">
              <w:rPr>
                <w:rFonts w:ascii="Times New Roman" w:hAnsi="Times New Roman"/>
              </w:rPr>
              <w:t>ďalším rozčlenením pre tieto triedy expozícií</w:t>
            </w:r>
            <w:r w:rsidR="00A87849">
              <w:rPr>
                <w:rFonts w:ascii="Times New Roman" w:hAnsi="Times New Roman"/>
              </w:rPr>
              <w:t>:</w:t>
            </w:r>
          </w:p>
          <w:p w14:paraId="397AD12E" w14:textId="640CAEBF" w:rsidR="00CB5E48" w:rsidRPr="00A87849" w:rsidRDefault="00CB5E48" w:rsidP="00CB5E48">
            <w:pPr>
              <w:spacing w:after="120"/>
              <w:jc w:val="both"/>
              <w:rPr>
                <w:rFonts w:ascii="Times New Roman" w:hAnsi="Times New Roman" w:cs="Times New Roman"/>
                <w:sz w:val="24"/>
              </w:rPr>
            </w:pPr>
            <w:r w:rsidRPr="00A87849">
              <w:rPr>
                <w:rFonts w:ascii="Times New Roman" w:hAnsi="Times New Roman"/>
                <w:sz w:val="24"/>
              </w:rPr>
              <w:t>–</w:t>
            </w:r>
            <w:r w:rsidR="00A87849">
              <w:rPr>
                <w:rFonts w:ascii="Times New Roman" w:hAnsi="Times New Roman"/>
                <w:sz w:val="24"/>
              </w:rPr>
              <w:t xml:space="preserve"> v </w:t>
            </w:r>
            <w:r w:rsidRPr="00A87849">
              <w:rPr>
                <w:rFonts w:ascii="Times New Roman" w:hAnsi="Times New Roman"/>
                <w:sz w:val="24"/>
              </w:rPr>
              <w:t>rámci triedy expozícií „expozície voči podnikateľským subjektom“ rozčlenenie</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článkom 147 ods. 2 písm. c) bodmi i), ii)</w:t>
            </w:r>
            <w:r w:rsidR="00A87849">
              <w:rPr>
                <w:rFonts w:ascii="Times New Roman" w:hAnsi="Times New Roman"/>
                <w:sz w:val="24"/>
              </w:rPr>
              <w:t xml:space="preserve"> a </w:t>
            </w:r>
            <w:r w:rsidRPr="00A87849">
              <w:rPr>
                <w:rFonts w:ascii="Times New Roman" w:hAnsi="Times New Roman"/>
                <w:sz w:val="24"/>
              </w:rPr>
              <w:t>iii);</w:t>
            </w:r>
          </w:p>
          <w:p w14:paraId="6C25BE4E" w14:textId="5DFA1091" w:rsidR="00CB5E48" w:rsidRPr="00A87849" w:rsidRDefault="00CB5E48" w:rsidP="00CB5E48">
            <w:pPr>
              <w:pStyle w:val="Default"/>
              <w:spacing w:after="120"/>
              <w:rPr>
                <w:rFonts w:ascii="Times New Roman" w:eastAsia="Times New Roman" w:hAnsi="Times New Roman" w:cs="Times New Roman"/>
                <w:iCs/>
              </w:rPr>
            </w:pPr>
            <w:r w:rsidRPr="00A87849">
              <w:rPr>
                <w:rFonts w:ascii="Times New Roman" w:hAnsi="Times New Roman"/>
              </w:rPr>
              <w:t>–</w:t>
            </w:r>
            <w:r w:rsidR="00A87849">
              <w:rPr>
                <w:rFonts w:ascii="Times New Roman" w:hAnsi="Times New Roman"/>
              </w:rPr>
              <w:t xml:space="preserve"> v </w:t>
            </w:r>
            <w:r w:rsidRPr="00A87849">
              <w:rPr>
                <w:rFonts w:ascii="Times New Roman" w:hAnsi="Times New Roman"/>
              </w:rPr>
              <w:t>rámci triedy expozícií „retailové expozície“ rozčlenenie</w:t>
            </w:r>
            <w:r w:rsidR="00A87849">
              <w:rPr>
                <w:rFonts w:ascii="Times New Roman" w:hAnsi="Times New Roman"/>
              </w:rPr>
              <w:t xml:space="preserve"> v </w:t>
            </w:r>
            <w:r w:rsidRPr="00A87849">
              <w:rPr>
                <w:rFonts w:ascii="Times New Roman" w:hAnsi="Times New Roman"/>
              </w:rPr>
              <w:t>súlade</w:t>
            </w:r>
            <w:r w:rsidR="00A87849">
              <w:rPr>
                <w:rFonts w:ascii="Times New Roman" w:hAnsi="Times New Roman"/>
              </w:rPr>
              <w:t xml:space="preserve"> s </w:t>
            </w:r>
            <w:r w:rsidRPr="00A87849">
              <w:rPr>
                <w:rFonts w:ascii="Times New Roman" w:hAnsi="Times New Roman"/>
              </w:rPr>
              <w:t>článkom 147 ods. 2 písm. d) bodmi i), ii), iii)</w:t>
            </w:r>
            <w:r w:rsidR="00A87849">
              <w:rPr>
                <w:rFonts w:ascii="Times New Roman" w:hAnsi="Times New Roman"/>
              </w:rPr>
              <w:t xml:space="preserve"> a </w:t>
            </w:r>
            <w:r w:rsidRPr="00A87849">
              <w:rPr>
                <w:rFonts w:ascii="Times New Roman" w:hAnsi="Times New Roman"/>
              </w:rPr>
              <w:t>iv).</w:t>
            </w:r>
          </w:p>
          <w:p w14:paraId="356BC85D" w14:textId="554860E0" w:rsidR="00087388" w:rsidRPr="00A8784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A87849" w14:paraId="22CBC58A" w14:textId="77777777" w:rsidTr="11F50173">
        <w:trPr>
          <w:trHeight w:val="316"/>
        </w:trPr>
        <w:tc>
          <w:tcPr>
            <w:tcW w:w="1413" w:type="dxa"/>
          </w:tcPr>
          <w:p w14:paraId="2946DB82"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F-IRB</w:t>
            </w:r>
          </w:p>
        </w:tc>
        <w:tc>
          <w:tcPr>
            <w:tcW w:w="7654" w:type="dxa"/>
          </w:tcPr>
          <w:p w14:paraId="744D4D70" w14:textId="40423FC6" w:rsidR="00A87849" w:rsidRDefault="00087388" w:rsidP="11F50173">
            <w:pPr>
              <w:pStyle w:val="Default"/>
              <w:spacing w:after="120"/>
              <w:rPr>
                <w:rFonts w:ascii="Times New Roman" w:hAnsi="Times New Roman"/>
              </w:rPr>
            </w:pPr>
            <w:r w:rsidRPr="00A87849">
              <w:rPr>
                <w:rFonts w:ascii="Times New Roman" w:hAnsi="Times New Roman"/>
              </w:rPr>
              <w:t>Inštitúcie zahŕňajú informácie</w:t>
            </w:r>
            <w:r w:rsidR="00A87849">
              <w:rPr>
                <w:rFonts w:ascii="Times New Roman" w:hAnsi="Times New Roman"/>
              </w:rPr>
              <w:t xml:space="preserve"> o </w:t>
            </w:r>
            <w:r w:rsidRPr="00A87849">
              <w:rPr>
                <w:rFonts w:ascii="Times New Roman" w:hAnsi="Times New Roman"/>
              </w:rPr>
              <w:t>postupoch zmierňovania kreditného rizika zahrnutých</w:t>
            </w:r>
            <w:r w:rsidR="00A87849">
              <w:rPr>
                <w:rFonts w:ascii="Times New Roman" w:hAnsi="Times New Roman"/>
              </w:rPr>
              <w:t xml:space="preserve"> v </w:t>
            </w:r>
            <w:r w:rsidRPr="00A87849">
              <w:rPr>
                <w:rFonts w:ascii="Times New Roman" w:hAnsi="Times New Roman"/>
              </w:rPr>
              <w:t>tomto vzore podľa triedy expozícií</w:t>
            </w:r>
            <w:r w:rsidR="00A87849">
              <w:rPr>
                <w:rFonts w:ascii="Times New Roman" w:hAnsi="Times New Roman"/>
              </w:rPr>
              <w:t xml:space="preserve"> v </w:t>
            </w:r>
            <w:r w:rsidRPr="00A87849">
              <w:rPr>
                <w:rFonts w:ascii="Times New Roman" w:hAnsi="Times New Roman"/>
              </w:rPr>
              <w:t>súlade</w:t>
            </w:r>
            <w:r w:rsidR="00A87849">
              <w:rPr>
                <w:rFonts w:ascii="Times New Roman" w:hAnsi="Times New Roman"/>
              </w:rPr>
              <w:t xml:space="preserve"> s </w:t>
            </w:r>
            <w:r w:rsidRPr="00A87849">
              <w:rPr>
                <w:rFonts w:ascii="Times New Roman" w:hAnsi="Times New Roman"/>
              </w:rPr>
              <w:t>triedami expozícií uvedenými</w:t>
            </w:r>
            <w:r w:rsidR="00A87849">
              <w:rPr>
                <w:rFonts w:ascii="Times New Roman" w:hAnsi="Times New Roman"/>
              </w:rPr>
              <w:t xml:space="preserve"> v </w:t>
            </w:r>
            <w:r w:rsidRPr="00A87849">
              <w:rPr>
                <w:rFonts w:ascii="Times New Roman" w:hAnsi="Times New Roman"/>
              </w:rPr>
              <w:t xml:space="preserve">článku 147 ods. 2 nariadenia (EÚ) </w:t>
            </w:r>
            <w:r w:rsidR="00A87849">
              <w:rPr>
                <w:rFonts w:ascii="Times New Roman" w:hAnsi="Times New Roman"/>
              </w:rPr>
              <w:t>č. </w:t>
            </w:r>
            <w:r w:rsidRPr="00A87849">
              <w:rPr>
                <w:rFonts w:ascii="Times New Roman" w:hAnsi="Times New Roman"/>
              </w:rPr>
              <w:t>575/2013</w:t>
            </w:r>
            <w:r w:rsidR="00A87849">
              <w:rPr>
                <w:rFonts w:ascii="Times New Roman" w:hAnsi="Times New Roman"/>
              </w:rPr>
              <w:t xml:space="preserve"> s </w:t>
            </w:r>
            <w:r w:rsidRPr="00A87849">
              <w:rPr>
                <w:rFonts w:ascii="Times New Roman" w:hAnsi="Times New Roman"/>
              </w:rPr>
              <w:t>ďalším rozčlenením pre túto triedu expozícií</w:t>
            </w:r>
            <w:r w:rsidR="00A87849">
              <w:rPr>
                <w:rFonts w:ascii="Times New Roman" w:hAnsi="Times New Roman"/>
              </w:rPr>
              <w:t>:</w:t>
            </w:r>
          </w:p>
          <w:p w14:paraId="45A5AA8D" w14:textId="73C87FD7" w:rsidR="00CB5E48" w:rsidRPr="00A87849" w:rsidRDefault="00CB5E48" w:rsidP="00CB5E48">
            <w:pPr>
              <w:spacing w:after="120"/>
              <w:jc w:val="both"/>
              <w:rPr>
                <w:rFonts w:ascii="Times New Roman" w:hAnsi="Times New Roman" w:cs="Times New Roman"/>
                <w:sz w:val="24"/>
              </w:rPr>
            </w:pPr>
            <w:r w:rsidRPr="00A87849">
              <w:rPr>
                <w:rFonts w:ascii="Times New Roman" w:hAnsi="Times New Roman"/>
                <w:sz w:val="24"/>
              </w:rPr>
              <w:t>–</w:t>
            </w:r>
            <w:r w:rsidR="00A87849">
              <w:rPr>
                <w:rFonts w:ascii="Times New Roman" w:hAnsi="Times New Roman"/>
                <w:sz w:val="24"/>
              </w:rPr>
              <w:t xml:space="preserve"> v </w:t>
            </w:r>
            <w:r w:rsidRPr="00A87849">
              <w:rPr>
                <w:rFonts w:ascii="Times New Roman" w:hAnsi="Times New Roman"/>
                <w:sz w:val="24"/>
              </w:rPr>
              <w:t>rámci triedy expozícií „expozície voči podnikateľským subjektom“ rozčlenenie</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článkom 147 ods. 2 písm. c) bodmi i), ii)</w:t>
            </w:r>
            <w:r w:rsidR="00A87849">
              <w:rPr>
                <w:rFonts w:ascii="Times New Roman" w:hAnsi="Times New Roman"/>
                <w:sz w:val="24"/>
              </w:rPr>
              <w:t xml:space="preserve"> a </w:t>
            </w:r>
            <w:r w:rsidRPr="00A87849">
              <w:rPr>
                <w:rFonts w:ascii="Times New Roman" w:hAnsi="Times New Roman"/>
                <w:sz w:val="24"/>
              </w:rPr>
              <w:t>iii).</w:t>
            </w:r>
          </w:p>
          <w:p w14:paraId="4A3F3760" w14:textId="4750808D" w:rsidR="00087388" w:rsidRPr="00A87849"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sidRPr="00A87849">
              <w:rPr>
                <w:rFonts w:ascii="Times New Roman" w:hAnsi="Times New Roman"/>
              </w:rPr>
              <w:t xml:space="preserve"> </w:t>
            </w:r>
          </w:p>
        </w:tc>
      </w:tr>
    </w:tbl>
    <w:p w14:paraId="54A7C5EA" w14:textId="6CAC75E2" w:rsidR="00A87849" w:rsidRDefault="00087388" w:rsidP="00087388">
      <w:pPr>
        <w:spacing w:before="240" w:after="120"/>
        <w:rPr>
          <w:rFonts w:ascii="Times New Roman" w:hAnsi="Times New Roman"/>
          <w:b/>
          <w:sz w:val="24"/>
        </w:rPr>
      </w:pPr>
      <w:r w:rsidRPr="00A87849">
        <w:rPr>
          <w:rFonts w:ascii="Times New Roman" w:hAnsi="Times New Roman"/>
          <w:b/>
          <w:sz w:val="24"/>
        </w:rPr>
        <w:t>Vzor EU CR8 – Výkazy peňažných tokov RWEA expozícií voči kreditnému riziku</w:t>
      </w:r>
      <w:r w:rsidR="00A87849">
        <w:rPr>
          <w:rFonts w:ascii="Times New Roman" w:hAnsi="Times New Roman"/>
          <w:b/>
          <w:sz w:val="24"/>
        </w:rPr>
        <w:t xml:space="preserve"> v </w:t>
      </w:r>
      <w:r w:rsidRPr="00A87849">
        <w:rPr>
          <w:rFonts w:ascii="Times New Roman" w:hAnsi="Times New Roman"/>
          <w:b/>
          <w:sz w:val="24"/>
        </w:rPr>
        <w:t>rámci prístupu IRB. Vzor</w:t>
      </w:r>
      <w:r w:rsidR="00A87849">
        <w:rPr>
          <w:rFonts w:ascii="Times New Roman" w:hAnsi="Times New Roman"/>
          <w:b/>
          <w:sz w:val="24"/>
        </w:rPr>
        <w:t xml:space="preserve"> s </w:t>
      </w:r>
      <w:r w:rsidRPr="00A87849">
        <w:rPr>
          <w:rFonts w:ascii="Times New Roman" w:hAnsi="Times New Roman"/>
          <w:b/>
          <w:sz w:val="24"/>
        </w:rPr>
        <w:t>pevným formátom</w:t>
      </w:r>
      <w:r w:rsidR="00A87849">
        <w:rPr>
          <w:rFonts w:ascii="Times New Roman" w:hAnsi="Times New Roman"/>
          <w:b/>
          <w:sz w:val="24"/>
        </w:rPr>
        <w:t>.</w:t>
      </w:r>
    </w:p>
    <w:p w14:paraId="6726176A" w14:textId="1CA1C88A" w:rsidR="00087388" w:rsidRPr="00A87849" w:rsidRDefault="00087388" w:rsidP="11F50173">
      <w:pPr>
        <w:pStyle w:val="ListParagraph"/>
        <w:numPr>
          <w:ilvl w:val="0"/>
          <w:numId w:val="7"/>
        </w:numPr>
        <w:spacing w:after="120"/>
        <w:ind w:left="714" w:hanging="357"/>
        <w:jc w:val="both"/>
        <w:rPr>
          <w:rFonts w:ascii="Times New Roman" w:hAnsi="Times New Roman"/>
          <w:sz w:val="24"/>
          <w:szCs w:val="24"/>
        </w:rPr>
      </w:pPr>
      <w:r w:rsidRPr="00A87849">
        <w:rPr>
          <w:rFonts w:ascii="Times New Roman" w:hAnsi="Times New Roman"/>
          <w:sz w:val="24"/>
        </w:rPr>
        <w:t>Inštitúcie zverejňujú informácie uvedené</w:t>
      </w:r>
      <w:r w:rsidR="00A87849">
        <w:rPr>
          <w:rFonts w:ascii="Times New Roman" w:hAnsi="Times New Roman"/>
          <w:sz w:val="24"/>
        </w:rPr>
        <w:t xml:space="preserve"> v </w:t>
      </w:r>
      <w:r w:rsidRPr="00A87849">
        <w:rPr>
          <w:rFonts w:ascii="Times New Roman" w:hAnsi="Times New Roman"/>
          <w:sz w:val="24"/>
        </w:rPr>
        <w:t xml:space="preserve">článku 438 písm. h) nariadenia (EÚ) </w:t>
      </w:r>
      <w:r w:rsidR="00A87849">
        <w:rPr>
          <w:rFonts w:ascii="Times New Roman" w:hAnsi="Times New Roman"/>
          <w:sz w:val="24"/>
        </w:rPr>
        <w:t>č. </w:t>
      </w:r>
      <w:r w:rsidRPr="00A87849">
        <w:rPr>
          <w:rFonts w:ascii="Times New Roman" w:hAnsi="Times New Roman"/>
          <w:sz w:val="24"/>
        </w:rPr>
        <w:t>575/2013 podľa pokynov uvedených nižšie</w:t>
      </w:r>
      <w:r w:rsidR="00A87849">
        <w:rPr>
          <w:rFonts w:ascii="Times New Roman" w:hAnsi="Times New Roman"/>
          <w:sz w:val="24"/>
        </w:rPr>
        <w:t xml:space="preserve"> v </w:t>
      </w:r>
      <w:r w:rsidRPr="00A87849">
        <w:rPr>
          <w:rFonts w:ascii="Times New Roman" w:hAnsi="Times New Roman"/>
          <w:sz w:val="24"/>
        </w:rPr>
        <w:t>tejto prílohe</w:t>
      </w:r>
      <w:r w:rsidR="00A87849">
        <w:rPr>
          <w:rFonts w:ascii="Times New Roman" w:hAnsi="Times New Roman"/>
          <w:sz w:val="24"/>
        </w:rPr>
        <w:t xml:space="preserve"> s </w:t>
      </w:r>
      <w:r w:rsidRPr="00A87849">
        <w:rPr>
          <w:rFonts w:ascii="Times New Roman" w:hAnsi="Times New Roman"/>
          <w:sz w:val="24"/>
        </w:rPr>
        <w:t>cieľom vyplniť vzor EU CR8, ktorý je uvedený</w:t>
      </w:r>
      <w:r w:rsidR="00A87849">
        <w:rPr>
          <w:rFonts w:ascii="Times New Roman" w:hAnsi="Times New Roman"/>
          <w:sz w:val="24"/>
        </w:rPr>
        <w:t xml:space="preserve"> v </w:t>
      </w:r>
      <w:r w:rsidRPr="00A87849">
        <w:rPr>
          <w:rFonts w:ascii="Times New Roman" w:hAnsi="Times New Roman"/>
          <w:sz w:val="24"/>
        </w:rPr>
        <w:t>prílohe XXI dokumentu</w:t>
      </w:r>
      <w:r w:rsidR="00A87849">
        <w:rPr>
          <w:rFonts w:ascii="Times New Roman" w:hAnsi="Times New Roman"/>
          <w:sz w:val="24"/>
        </w:rPr>
        <w:t xml:space="preserve"> s </w:t>
      </w:r>
      <w:r w:rsidRPr="00A87849">
        <w:rPr>
          <w:rFonts w:ascii="Times New Roman" w:hAnsi="Times New Roman"/>
          <w:sz w:val="24"/>
        </w:rPr>
        <w:t>IT riešeniami orgánu EBA.</w:t>
      </w:r>
      <w:r w:rsidR="00A87849">
        <w:rPr>
          <w:rFonts w:ascii="Times New Roman" w:hAnsi="Times New Roman"/>
          <w:sz w:val="24"/>
        </w:rPr>
        <w:t xml:space="preserve"> Z </w:t>
      </w:r>
      <w:r w:rsidRPr="00A87849">
        <w:rPr>
          <w:rFonts w:ascii="Times New Roman" w:hAnsi="Times New Roman"/>
          <w:sz w:val="24"/>
        </w:rPr>
        <w:t>informácií</w:t>
      </w:r>
      <w:r w:rsidR="00A87849">
        <w:rPr>
          <w:rFonts w:ascii="Times New Roman" w:hAnsi="Times New Roman"/>
          <w:sz w:val="24"/>
        </w:rPr>
        <w:t xml:space="preserve"> v </w:t>
      </w:r>
      <w:r w:rsidRPr="00A87849">
        <w:rPr>
          <w:rFonts w:ascii="Times New Roman" w:hAnsi="Times New Roman"/>
          <w:sz w:val="24"/>
        </w:rPr>
        <w:t xml:space="preserve">tomto vzore sú vylúčené expozície voči kreditnému riziku protistrany (CCR) [tretia časť hlava II kapitola 6 nariadenia (EÚ) </w:t>
      </w:r>
      <w:r w:rsidR="00A87849">
        <w:rPr>
          <w:rFonts w:ascii="Times New Roman" w:hAnsi="Times New Roman"/>
          <w:sz w:val="24"/>
        </w:rPr>
        <w:t>č. </w:t>
      </w:r>
      <w:r w:rsidRPr="00A87849">
        <w:rPr>
          <w:rFonts w:ascii="Times New Roman" w:hAnsi="Times New Roman"/>
          <w:sz w:val="24"/>
        </w:rPr>
        <w:t>575/2013].</w:t>
      </w:r>
    </w:p>
    <w:p w14:paraId="260EF26D" w14:textId="5FCB3A08" w:rsidR="00087388" w:rsidRPr="00A87849" w:rsidRDefault="00087388" w:rsidP="003B7D6C">
      <w:pPr>
        <w:pStyle w:val="ListParagraph"/>
        <w:numPr>
          <w:ilvl w:val="0"/>
          <w:numId w:val="7"/>
        </w:numPr>
        <w:spacing w:after="120"/>
        <w:jc w:val="both"/>
        <w:rPr>
          <w:rFonts w:ascii="Times New Roman" w:hAnsi="Times New Roman"/>
          <w:sz w:val="24"/>
          <w:szCs w:val="24"/>
        </w:rPr>
      </w:pPr>
      <w:r w:rsidRPr="00A87849">
        <w:rPr>
          <w:rFonts w:ascii="Times New Roman" w:hAnsi="Times New Roman"/>
          <w:sz w:val="24"/>
        </w:rPr>
        <w:t>Inštitúcie zverejňujú peňažné toky RWEA ako zmeny medzi hodnotami rizikovo vážených expozícií ku koncu referenčného obdobia zverejňovania informácií (ako sa uvádza nižšie</w:t>
      </w:r>
      <w:r w:rsidR="00A87849">
        <w:rPr>
          <w:rFonts w:ascii="Times New Roman" w:hAnsi="Times New Roman"/>
          <w:sz w:val="24"/>
        </w:rPr>
        <w:t xml:space="preserve"> v </w:t>
      </w:r>
      <w:r w:rsidRPr="00A87849">
        <w:rPr>
          <w:rFonts w:ascii="Times New Roman" w:hAnsi="Times New Roman"/>
          <w:sz w:val="24"/>
        </w:rPr>
        <w:t>riadku 9 tohto vzoru)</w:t>
      </w:r>
      <w:r w:rsidR="00A87849">
        <w:rPr>
          <w:rFonts w:ascii="Times New Roman" w:hAnsi="Times New Roman"/>
          <w:sz w:val="24"/>
        </w:rPr>
        <w:t xml:space="preserve"> a </w:t>
      </w:r>
      <w:r w:rsidRPr="00A87849">
        <w:rPr>
          <w:rFonts w:ascii="Times New Roman" w:hAnsi="Times New Roman"/>
          <w:sz w:val="24"/>
        </w:rPr>
        <w:t>hodnotami vážených expozícií ku koncu predchádzajúceho referenčného obdobia zverejňovania informácií (ako sa uvádza nižšie</w:t>
      </w:r>
      <w:r w:rsidR="00A87849">
        <w:rPr>
          <w:rFonts w:ascii="Times New Roman" w:hAnsi="Times New Roman"/>
          <w:sz w:val="24"/>
        </w:rPr>
        <w:t xml:space="preserve"> v </w:t>
      </w:r>
      <w:r w:rsidRPr="00A87849">
        <w:rPr>
          <w:rFonts w:ascii="Times New Roman" w:hAnsi="Times New Roman"/>
          <w:sz w:val="24"/>
        </w:rPr>
        <w:t>riadku 1 tohto vzoru;</w:t>
      </w:r>
      <w:r w:rsidR="00A87849">
        <w:rPr>
          <w:rFonts w:ascii="Times New Roman" w:hAnsi="Times New Roman"/>
          <w:color w:val="000000" w:themeColor="text1"/>
          <w:sz w:val="24"/>
        </w:rPr>
        <w:t xml:space="preserve"> v </w:t>
      </w:r>
      <w:r w:rsidRPr="00A87849">
        <w:rPr>
          <w:rFonts w:ascii="Times New Roman" w:hAnsi="Times New Roman"/>
          <w:color w:val="000000" w:themeColor="text1"/>
          <w:sz w:val="24"/>
        </w:rPr>
        <w:t>prípade štvrťročného zverejňovania informácií je to koniec štvrťroka pred štvrťrokom referenčného obdobia zverejňovania informácií). Inštitúcie môžu svoje zverejnenia</w:t>
      </w:r>
      <w:r w:rsidR="00A87849">
        <w:rPr>
          <w:rFonts w:ascii="Times New Roman" w:hAnsi="Times New Roman"/>
          <w:color w:val="000000" w:themeColor="text1"/>
          <w:sz w:val="24"/>
        </w:rPr>
        <w:t xml:space="preserve"> v </w:t>
      </w:r>
      <w:r w:rsidRPr="00A87849">
        <w:rPr>
          <w:rFonts w:ascii="Times New Roman" w:hAnsi="Times New Roman"/>
          <w:color w:val="000000" w:themeColor="text1"/>
          <w:sz w:val="24"/>
        </w:rPr>
        <w:t>rámci piliera 3 doplniť zverejnením rovnakých informácií za tri predchádzajúce štvrťroky.</w:t>
      </w:r>
    </w:p>
    <w:p w14:paraId="502EB8C1" w14:textId="249B10D3" w:rsidR="00087388" w:rsidRPr="00A87849" w:rsidRDefault="00087388" w:rsidP="003B7D6C">
      <w:pPr>
        <w:pStyle w:val="ListParagraph"/>
        <w:numPr>
          <w:ilvl w:val="0"/>
          <w:numId w:val="7"/>
        </w:numPr>
        <w:spacing w:after="120"/>
        <w:ind w:left="714" w:hanging="357"/>
        <w:jc w:val="both"/>
        <w:rPr>
          <w:rFonts w:ascii="Times New Roman" w:hAnsi="Times New Roman"/>
          <w:sz w:val="24"/>
        </w:rPr>
      </w:pPr>
      <w:r w:rsidRPr="00A87849">
        <w:rPr>
          <w:rFonts w:ascii="Times New Roman" w:hAnsi="Times New Roman"/>
          <w:sz w:val="24"/>
        </w:rPr>
        <w:lastRenderedPageBreak/>
        <w:t>Inštitúcie dopĺňajú vzor slovným komentárom na vysvetlenie číselných údajov uvedených</w:t>
      </w:r>
      <w:r w:rsidR="00A87849">
        <w:rPr>
          <w:rFonts w:ascii="Times New Roman" w:hAnsi="Times New Roman"/>
          <w:sz w:val="24"/>
        </w:rPr>
        <w:t xml:space="preserve"> v </w:t>
      </w:r>
      <w:r w:rsidRPr="00A87849">
        <w:rPr>
          <w:rFonts w:ascii="Times New Roman" w:hAnsi="Times New Roman"/>
          <w:sz w:val="24"/>
        </w:rPr>
        <w:t>riadku 8 tohto vzoru, t. j. akýchkoľvek iných faktorov, ktoré významne prispievajú</w:t>
      </w:r>
      <w:r w:rsidR="00A87849">
        <w:rPr>
          <w:rFonts w:ascii="Times New Roman" w:hAnsi="Times New Roman"/>
          <w:sz w:val="24"/>
        </w:rPr>
        <w:t xml:space="preserve"> k </w:t>
      </w:r>
      <w:r w:rsidRPr="00A87849">
        <w:rPr>
          <w:rFonts w:ascii="Times New Roman" w:hAnsi="Times New Roman"/>
          <w:sz w:val="24"/>
        </w:rPr>
        <w:t xml:space="preserve">zmenám RWEA.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A87849"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A87849" w:rsidRDefault="00087388" w:rsidP="00725D4D">
            <w:pPr>
              <w:autoSpaceDE w:val="0"/>
              <w:autoSpaceDN w:val="0"/>
              <w:adjustRightInd w:val="0"/>
              <w:spacing w:after="120"/>
              <w:rPr>
                <w:rFonts w:ascii="Times New Roman" w:hAnsi="Times New Roman" w:cs="Times New Roman"/>
                <w:b/>
                <w:sz w:val="24"/>
              </w:rPr>
            </w:pPr>
            <w:r w:rsidRPr="00A87849">
              <w:rPr>
                <w:rFonts w:ascii="Times New Roman" w:hAnsi="Times New Roman"/>
                <w:b/>
                <w:sz w:val="24"/>
              </w:rPr>
              <w:t>Odkaz na stĺpec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0D45C1DA" w:rsidR="00087388" w:rsidRPr="00A87849" w:rsidRDefault="00087388" w:rsidP="00725D4D">
            <w:pPr>
              <w:spacing w:after="120"/>
              <w:rPr>
                <w:rFonts w:ascii="Times New Roman" w:hAnsi="Times New Roman" w:cs="Times New Roman"/>
                <w:b/>
                <w:sz w:val="24"/>
              </w:rPr>
            </w:pPr>
            <w:r w:rsidRPr="00A87849">
              <w:rPr>
                <w:rFonts w:ascii="Times New Roman" w:hAnsi="Times New Roman"/>
                <w:b/>
                <w:sz w:val="24"/>
              </w:rPr>
              <w:t>Odkazy na právne predpisy</w:t>
            </w:r>
            <w:r w:rsidR="00A87849">
              <w:rPr>
                <w:rFonts w:ascii="Times New Roman" w:hAnsi="Times New Roman"/>
                <w:b/>
                <w:sz w:val="24"/>
              </w:rPr>
              <w:t xml:space="preserve"> a </w:t>
            </w:r>
            <w:r w:rsidRPr="00A87849">
              <w:rPr>
                <w:rFonts w:ascii="Times New Roman" w:hAnsi="Times New Roman"/>
                <w:b/>
                <w:sz w:val="24"/>
              </w:rPr>
              <w:t>pokyny</w:t>
            </w:r>
          </w:p>
        </w:tc>
      </w:tr>
      <w:tr w:rsidR="00087388" w:rsidRPr="00A87849" w14:paraId="6A28C393" w14:textId="77777777" w:rsidTr="63E31B68">
        <w:trPr>
          <w:trHeight w:val="420"/>
        </w:trPr>
        <w:tc>
          <w:tcPr>
            <w:tcW w:w="1413" w:type="dxa"/>
            <w:vMerge/>
          </w:tcPr>
          <w:p w14:paraId="5997CC1D" w14:textId="77777777" w:rsidR="00087388" w:rsidRPr="00A87849"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A87849" w:rsidRDefault="00087388" w:rsidP="00725D4D">
            <w:pPr>
              <w:autoSpaceDE w:val="0"/>
              <w:autoSpaceDN w:val="0"/>
              <w:adjustRightInd w:val="0"/>
              <w:spacing w:after="120"/>
              <w:rPr>
                <w:rFonts w:ascii="Times New Roman" w:hAnsi="Times New Roman" w:cs="Times New Roman"/>
                <w:color w:val="000000"/>
                <w:sz w:val="24"/>
              </w:rPr>
            </w:pPr>
            <w:r w:rsidRPr="00A87849">
              <w:rPr>
                <w:rFonts w:ascii="Times New Roman" w:hAnsi="Times New Roman"/>
                <w:b/>
                <w:sz w:val="24"/>
              </w:rPr>
              <w:t>Vysvetlenie</w:t>
            </w:r>
          </w:p>
        </w:tc>
      </w:tr>
      <w:tr w:rsidR="00087388" w:rsidRPr="00A87849" w14:paraId="696BA88B" w14:textId="77777777" w:rsidTr="63E31B68">
        <w:trPr>
          <w:trHeight w:val="741"/>
        </w:trPr>
        <w:tc>
          <w:tcPr>
            <w:tcW w:w="1413" w:type="dxa"/>
            <w:shd w:val="clear" w:color="auto" w:fill="auto"/>
          </w:tcPr>
          <w:p w14:paraId="1C8780F8"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a</w:t>
            </w:r>
          </w:p>
        </w:tc>
        <w:tc>
          <w:tcPr>
            <w:tcW w:w="7654" w:type="dxa"/>
            <w:shd w:val="clear" w:color="auto" w:fill="auto"/>
          </w:tcPr>
          <w:p w14:paraId="491809DE"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b/>
                <w:sz w:val="24"/>
              </w:rPr>
            </w:pPr>
            <w:r w:rsidRPr="00A87849">
              <w:rPr>
                <w:rFonts w:ascii="Times New Roman" w:hAnsi="Times New Roman"/>
                <w:b/>
                <w:sz w:val="24"/>
              </w:rPr>
              <w:t>Hodnota rizikovo váženej expozície</w:t>
            </w:r>
          </w:p>
          <w:p w14:paraId="46440802" w14:textId="0E63F6D4" w:rsidR="00087388" w:rsidRPr="00A87849" w:rsidRDefault="00087388" w:rsidP="11F50173">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Celková hodnota rizikovo váženej expozície pre kreditné riziko vypočítaná podľa prístupu IRB</w:t>
            </w:r>
            <w:r w:rsidR="00A87849">
              <w:rPr>
                <w:rFonts w:ascii="Times New Roman" w:hAnsi="Times New Roman"/>
                <w:sz w:val="24"/>
              </w:rPr>
              <w:t xml:space="preserve"> s </w:t>
            </w:r>
            <w:r w:rsidRPr="00A87849">
              <w:rPr>
                <w:rFonts w:ascii="Times New Roman" w:hAnsi="Times New Roman"/>
                <w:sz w:val="24"/>
              </w:rPr>
              <w:t>prihliadnutím na podporné faktory</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článkami 501</w:t>
            </w:r>
            <w:r w:rsidR="00A87849">
              <w:rPr>
                <w:rFonts w:ascii="Times New Roman" w:hAnsi="Times New Roman"/>
                <w:sz w:val="24"/>
              </w:rPr>
              <w:t xml:space="preserve"> a </w:t>
            </w:r>
            <w:r w:rsidRPr="00A87849">
              <w:rPr>
                <w:rFonts w:ascii="Times New Roman" w:hAnsi="Times New Roman"/>
                <w:sz w:val="24"/>
              </w:rPr>
              <w:t xml:space="preserve">501a nariadenia (EÚ) </w:t>
            </w:r>
            <w:r w:rsidR="00A87849">
              <w:rPr>
                <w:rFonts w:ascii="Times New Roman" w:hAnsi="Times New Roman"/>
                <w:sz w:val="24"/>
              </w:rPr>
              <w:t>č. </w:t>
            </w:r>
            <w:r w:rsidRPr="00A87849">
              <w:rPr>
                <w:rFonts w:ascii="Times New Roman" w:hAnsi="Times New Roman"/>
                <w:sz w:val="24"/>
              </w:rPr>
              <w:t>575/2013.</w:t>
            </w:r>
          </w:p>
        </w:tc>
      </w:tr>
    </w:tbl>
    <w:p w14:paraId="110FFD37" w14:textId="77777777" w:rsidR="00087388" w:rsidRPr="00A87849"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A87849"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A87849" w:rsidRDefault="00087388" w:rsidP="00725D4D">
            <w:pPr>
              <w:autoSpaceDE w:val="0"/>
              <w:autoSpaceDN w:val="0"/>
              <w:adjustRightInd w:val="0"/>
              <w:spacing w:after="120"/>
              <w:rPr>
                <w:rFonts w:ascii="Times New Roman" w:hAnsi="Times New Roman" w:cs="Times New Roman"/>
                <w:b/>
                <w:sz w:val="24"/>
              </w:rPr>
            </w:pPr>
            <w:r w:rsidRPr="00A87849">
              <w:rPr>
                <w:rFonts w:ascii="Times New Roman" w:hAnsi="Times New Roman"/>
                <w:b/>
                <w:sz w:val="24"/>
              </w:rPr>
              <w:t>Číslo riadku</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61078C7C" w:rsidR="00087388" w:rsidRPr="00A87849" w:rsidRDefault="00087388" w:rsidP="00725D4D">
            <w:pPr>
              <w:spacing w:after="120"/>
              <w:rPr>
                <w:rFonts w:ascii="Times New Roman" w:hAnsi="Times New Roman" w:cs="Times New Roman"/>
                <w:b/>
                <w:sz w:val="24"/>
              </w:rPr>
            </w:pPr>
            <w:r w:rsidRPr="00A87849">
              <w:rPr>
                <w:rFonts w:ascii="Times New Roman" w:hAnsi="Times New Roman"/>
                <w:b/>
                <w:sz w:val="24"/>
              </w:rPr>
              <w:t>Odkazy na právne predpisy</w:t>
            </w:r>
            <w:r w:rsidR="00A87849">
              <w:rPr>
                <w:rFonts w:ascii="Times New Roman" w:hAnsi="Times New Roman"/>
                <w:b/>
                <w:sz w:val="24"/>
              </w:rPr>
              <w:t xml:space="preserve"> a </w:t>
            </w:r>
            <w:r w:rsidRPr="00A87849">
              <w:rPr>
                <w:rFonts w:ascii="Times New Roman" w:hAnsi="Times New Roman"/>
                <w:b/>
                <w:sz w:val="24"/>
              </w:rPr>
              <w:t>pokyny</w:t>
            </w:r>
          </w:p>
        </w:tc>
      </w:tr>
      <w:tr w:rsidR="00087388" w:rsidRPr="00A87849"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A87849"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A87849" w:rsidRDefault="00087388" w:rsidP="00725D4D">
            <w:pPr>
              <w:autoSpaceDE w:val="0"/>
              <w:autoSpaceDN w:val="0"/>
              <w:adjustRightInd w:val="0"/>
              <w:spacing w:after="120"/>
              <w:rPr>
                <w:rFonts w:ascii="Times New Roman" w:hAnsi="Times New Roman" w:cs="Times New Roman"/>
                <w:color w:val="000000"/>
                <w:sz w:val="24"/>
              </w:rPr>
            </w:pPr>
            <w:r w:rsidRPr="00A87849">
              <w:rPr>
                <w:rFonts w:ascii="Times New Roman" w:hAnsi="Times New Roman"/>
                <w:b/>
                <w:sz w:val="24"/>
              </w:rPr>
              <w:t>Vysvetlenie</w:t>
            </w:r>
          </w:p>
        </w:tc>
      </w:tr>
      <w:tr w:rsidR="00087388" w:rsidRPr="00A87849" w14:paraId="11662F61" w14:textId="77777777" w:rsidTr="00725D4D">
        <w:trPr>
          <w:trHeight w:val="741"/>
        </w:trPr>
        <w:tc>
          <w:tcPr>
            <w:tcW w:w="1413" w:type="dxa"/>
            <w:shd w:val="clear" w:color="auto" w:fill="auto"/>
          </w:tcPr>
          <w:p w14:paraId="649841BE"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1</w:t>
            </w:r>
          </w:p>
        </w:tc>
        <w:tc>
          <w:tcPr>
            <w:tcW w:w="7654" w:type="dxa"/>
            <w:shd w:val="clear" w:color="auto" w:fill="auto"/>
          </w:tcPr>
          <w:p w14:paraId="4B69D0F8"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b/>
                <w:sz w:val="24"/>
              </w:rPr>
            </w:pPr>
            <w:r w:rsidRPr="00A87849">
              <w:rPr>
                <w:rFonts w:ascii="Times New Roman" w:hAnsi="Times New Roman"/>
                <w:b/>
                <w:sz w:val="24"/>
              </w:rPr>
              <w:t>Hodnota rizikovo vážených expozícií ku koncu predchádzajúceho obdobia zverejňovania informácií</w:t>
            </w:r>
          </w:p>
        </w:tc>
      </w:tr>
      <w:tr w:rsidR="00087388" w:rsidRPr="00A87849" w14:paraId="59797D53" w14:textId="77777777" w:rsidTr="00725D4D">
        <w:trPr>
          <w:trHeight w:val="316"/>
        </w:trPr>
        <w:tc>
          <w:tcPr>
            <w:tcW w:w="1413" w:type="dxa"/>
          </w:tcPr>
          <w:p w14:paraId="18F999B5"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2</w:t>
            </w:r>
          </w:p>
        </w:tc>
        <w:tc>
          <w:tcPr>
            <w:tcW w:w="7654" w:type="dxa"/>
          </w:tcPr>
          <w:p w14:paraId="60C0E4F2" w14:textId="77777777" w:rsidR="00087388" w:rsidRPr="00A87849" w:rsidRDefault="00087388" w:rsidP="00725D4D">
            <w:pPr>
              <w:spacing w:after="120"/>
              <w:jc w:val="both"/>
              <w:rPr>
                <w:rFonts w:ascii="Times New Roman" w:eastAsiaTheme="minorHAnsi" w:hAnsi="Times New Roman" w:cs="Times New Roman"/>
                <w:b/>
                <w:sz w:val="24"/>
              </w:rPr>
            </w:pPr>
            <w:r w:rsidRPr="00A87849">
              <w:rPr>
                <w:rFonts w:ascii="Times New Roman" w:hAnsi="Times New Roman"/>
                <w:b/>
                <w:sz w:val="24"/>
              </w:rPr>
              <w:t>Objem aktív (+/–)</w:t>
            </w:r>
          </w:p>
          <w:p w14:paraId="2A1C0F3D" w14:textId="4D61FB62" w:rsidR="00087388" w:rsidRPr="00A87849" w:rsidRDefault="00087388" w:rsidP="00725D4D">
            <w:pPr>
              <w:spacing w:after="120"/>
              <w:jc w:val="both"/>
              <w:rPr>
                <w:rFonts w:ascii="Times New Roman" w:eastAsiaTheme="minorHAnsi" w:hAnsi="Times New Roman" w:cs="Times New Roman"/>
                <w:sz w:val="24"/>
              </w:rPr>
            </w:pPr>
            <w:r w:rsidRPr="00A87849">
              <w:rPr>
                <w:rFonts w:ascii="Times New Roman" w:hAnsi="Times New Roman"/>
                <w:sz w:val="24"/>
              </w:rPr>
              <w:t>Zmena hodnoty rizikovo váženej expozície medzi koncom predchádzajúceho obdobia zverejňovania informácií</w:t>
            </w:r>
            <w:r w:rsidR="00A87849">
              <w:rPr>
                <w:rFonts w:ascii="Times New Roman" w:hAnsi="Times New Roman"/>
                <w:sz w:val="24"/>
              </w:rPr>
              <w:t xml:space="preserve"> a </w:t>
            </w:r>
            <w:r w:rsidRPr="00A87849">
              <w:rPr>
                <w:rFonts w:ascii="Times New Roman" w:hAnsi="Times New Roman"/>
                <w:sz w:val="24"/>
              </w:rPr>
              <w:t>koncom bežného obdobia zverejňovania informácií</w:t>
            </w:r>
            <w:r w:rsidR="00A87849">
              <w:rPr>
                <w:rFonts w:ascii="Times New Roman" w:hAnsi="Times New Roman"/>
                <w:sz w:val="24"/>
              </w:rPr>
              <w:t xml:space="preserve"> z </w:t>
            </w:r>
            <w:r w:rsidRPr="00A87849">
              <w:rPr>
                <w:rFonts w:ascii="Times New Roman" w:hAnsi="Times New Roman"/>
                <w:sz w:val="24"/>
              </w:rPr>
              <w:t>dôvodu objemu aktív, t. j. organické zmeny rozsahu</w:t>
            </w:r>
            <w:r w:rsidR="00A87849">
              <w:rPr>
                <w:rFonts w:ascii="Times New Roman" w:hAnsi="Times New Roman"/>
                <w:sz w:val="24"/>
              </w:rPr>
              <w:t xml:space="preserve"> a </w:t>
            </w:r>
            <w:r w:rsidRPr="00A87849">
              <w:rPr>
                <w:rFonts w:ascii="Times New Roman" w:hAnsi="Times New Roman"/>
                <w:sz w:val="24"/>
              </w:rPr>
              <w:t>zloženia knihy (vrátane vzniku nových podnikov</w:t>
            </w:r>
            <w:r w:rsidR="00A87849">
              <w:rPr>
                <w:rFonts w:ascii="Times New Roman" w:hAnsi="Times New Roman"/>
                <w:sz w:val="24"/>
              </w:rPr>
              <w:t xml:space="preserve"> a </w:t>
            </w:r>
            <w:r w:rsidRPr="00A87849">
              <w:rPr>
                <w:rFonts w:ascii="Times New Roman" w:hAnsi="Times New Roman"/>
                <w:sz w:val="24"/>
              </w:rPr>
              <w:t>splatných úverov), ale bez zmien rozsahu knihy</w:t>
            </w:r>
            <w:r w:rsidR="00A87849">
              <w:rPr>
                <w:rFonts w:ascii="Times New Roman" w:hAnsi="Times New Roman"/>
                <w:sz w:val="24"/>
              </w:rPr>
              <w:t xml:space="preserve"> z </w:t>
            </w:r>
            <w:r w:rsidRPr="00A87849">
              <w:rPr>
                <w:rFonts w:ascii="Times New Roman" w:hAnsi="Times New Roman"/>
                <w:sz w:val="24"/>
              </w:rPr>
              <w:t>dôvodu nadobudnutia</w:t>
            </w:r>
            <w:r w:rsidR="00A87849">
              <w:rPr>
                <w:rFonts w:ascii="Times New Roman" w:hAnsi="Times New Roman"/>
                <w:sz w:val="24"/>
              </w:rPr>
              <w:t xml:space="preserve"> a </w:t>
            </w:r>
            <w:r w:rsidRPr="00A87849">
              <w:rPr>
                <w:rFonts w:ascii="Times New Roman" w:hAnsi="Times New Roman"/>
                <w:sz w:val="24"/>
              </w:rPr>
              <w:t>odpredaja subjektov.</w:t>
            </w:r>
          </w:p>
          <w:p w14:paraId="21CFBD20" w14:textId="6610CB79" w:rsidR="00087388" w:rsidRPr="00A87849" w:rsidRDefault="00087388" w:rsidP="00725D4D">
            <w:pPr>
              <w:spacing w:after="120"/>
              <w:jc w:val="both"/>
              <w:rPr>
                <w:rFonts w:ascii="Times New Roman" w:hAnsi="Times New Roman" w:cs="Times New Roman"/>
                <w:sz w:val="24"/>
              </w:rPr>
            </w:pPr>
            <w:r w:rsidRPr="00A87849">
              <w:rPr>
                <w:rFonts w:ascii="Times New Roman" w:hAnsi="Times New Roman"/>
                <w:sz w:val="24"/>
              </w:rPr>
              <w:t>Zvýšenia hodnôt rizikovo vážených expozícií sa zverejňujú ako kladná hodnota</w:t>
            </w:r>
            <w:r w:rsidR="00A87849">
              <w:rPr>
                <w:rFonts w:ascii="Times New Roman" w:hAnsi="Times New Roman"/>
                <w:sz w:val="24"/>
              </w:rPr>
              <w:t xml:space="preserve"> a </w:t>
            </w:r>
            <w:r w:rsidRPr="00A87849">
              <w:rPr>
                <w:rFonts w:ascii="Times New Roman" w:hAnsi="Times New Roman"/>
                <w:sz w:val="24"/>
              </w:rPr>
              <w:t>zníženia hodnôt rizikovo vážených expozícií sa zverejňujú ako záporná hodnota.</w:t>
            </w:r>
          </w:p>
        </w:tc>
      </w:tr>
      <w:tr w:rsidR="00087388" w:rsidRPr="00A87849" w14:paraId="563DB604" w14:textId="77777777" w:rsidTr="00725D4D">
        <w:trPr>
          <w:trHeight w:val="316"/>
        </w:trPr>
        <w:tc>
          <w:tcPr>
            <w:tcW w:w="1413" w:type="dxa"/>
          </w:tcPr>
          <w:p w14:paraId="5FCD5EC4"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3</w:t>
            </w:r>
          </w:p>
        </w:tc>
        <w:tc>
          <w:tcPr>
            <w:tcW w:w="7654" w:type="dxa"/>
          </w:tcPr>
          <w:p w14:paraId="7D0F2796" w14:textId="77777777" w:rsidR="00087388" w:rsidRPr="00A87849" w:rsidRDefault="00087388" w:rsidP="00725D4D">
            <w:pPr>
              <w:autoSpaceDE w:val="0"/>
              <w:autoSpaceDN w:val="0"/>
              <w:adjustRightInd w:val="0"/>
              <w:spacing w:after="120"/>
              <w:jc w:val="both"/>
              <w:rPr>
                <w:rFonts w:ascii="Times New Roman" w:eastAsiaTheme="minorHAnsi" w:hAnsi="Times New Roman" w:cs="Times New Roman"/>
                <w:b/>
                <w:sz w:val="24"/>
              </w:rPr>
            </w:pPr>
            <w:r w:rsidRPr="00A87849">
              <w:rPr>
                <w:rFonts w:ascii="Times New Roman" w:hAnsi="Times New Roman"/>
                <w:b/>
                <w:sz w:val="24"/>
              </w:rPr>
              <w:t>Kvalita aktív (+/–)</w:t>
            </w:r>
          </w:p>
          <w:p w14:paraId="43D5054C" w14:textId="0FFBB069"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Zmena hodnoty rizikovo váženej expozície medzi koncom predchádzajúceho obdobia zverejňovania informácií</w:t>
            </w:r>
            <w:r w:rsidR="00A87849">
              <w:rPr>
                <w:rFonts w:ascii="Times New Roman" w:hAnsi="Times New Roman"/>
                <w:sz w:val="24"/>
              </w:rPr>
              <w:t xml:space="preserve"> a </w:t>
            </w:r>
            <w:r w:rsidRPr="00A87849">
              <w:rPr>
                <w:rFonts w:ascii="Times New Roman" w:hAnsi="Times New Roman"/>
                <w:sz w:val="24"/>
              </w:rPr>
              <w:t>koncom bežného obdobia zverejňovania informácií</w:t>
            </w:r>
            <w:r w:rsidR="00A87849">
              <w:rPr>
                <w:rFonts w:ascii="Times New Roman" w:hAnsi="Times New Roman"/>
                <w:sz w:val="24"/>
              </w:rPr>
              <w:t xml:space="preserve"> z </w:t>
            </w:r>
            <w:r w:rsidRPr="00A87849">
              <w:rPr>
                <w:rFonts w:ascii="Times New Roman" w:hAnsi="Times New Roman"/>
                <w:sz w:val="24"/>
              </w:rPr>
              <w:t>dôvodu kvality aktív, t. j. zmeny posudzovanej kvality aktív inštitúcie</w:t>
            </w:r>
            <w:r w:rsidR="00A87849">
              <w:rPr>
                <w:rFonts w:ascii="Times New Roman" w:hAnsi="Times New Roman"/>
                <w:sz w:val="24"/>
              </w:rPr>
              <w:t xml:space="preserve"> z </w:t>
            </w:r>
            <w:r w:rsidRPr="00A87849">
              <w:rPr>
                <w:rFonts w:ascii="Times New Roman" w:hAnsi="Times New Roman"/>
                <w:sz w:val="24"/>
              </w:rPr>
              <w:t>dôvodu zmien rizika dlžníka, ako je napríklad migrácia ratingových stupňov alebo podobné účinky.</w:t>
            </w:r>
          </w:p>
          <w:p w14:paraId="28EE5ACA" w14:textId="5A2CCC2F"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Zvýšenia hodnôt rizikovo vážených expozícií sa zverejňujú ako kladná hodnota</w:t>
            </w:r>
            <w:r w:rsidR="00A87849">
              <w:rPr>
                <w:rFonts w:ascii="Times New Roman" w:hAnsi="Times New Roman"/>
                <w:sz w:val="24"/>
              </w:rPr>
              <w:t xml:space="preserve"> a </w:t>
            </w:r>
            <w:r w:rsidRPr="00A87849">
              <w:rPr>
                <w:rFonts w:ascii="Times New Roman" w:hAnsi="Times New Roman"/>
                <w:sz w:val="24"/>
              </w:rPr>
              <w:t>zníženia hodnôt rizikovo vážených expozícií sa zverejňujú ako záporná hodnota.</w:t>
            </w:r>
          </w:p>
        </w:tc>
      </w:tr>
      <w:tr w:rsidR="00087388" w:rsidRPr="00A87849" w14:paraId="246C06C0" w14:textId="77777777" w:rsidTr="00725D4D">
        <w:trPr>
          <w:trHeight w:val="316"/>
        </w:trPr>
        <w:tc>
          <w:tcPr>
            <w:tcW w:w="1413" w:type="dxa"/>
          </w:tcPr>
          <w:p w14:paraId="2598DEE6"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4</w:t>
            </w:r>
          </w:p>
        </w:tc>
        <w:tc>
          <w:tcPr>
            <w:tcW w:w="7654" w:type="dxa"/>
          </w:tcPr>
          <w:p w14:paraId="0F384F28" w14:textId="77777777" w:rsidR="00087388" w:rsidRPr="00A87849" w:rsidRDefault="00087388" w:rsidP="00725D4D">
            <w:pPr>
              <w:autoSpaceDE w:val="0"/>
              <w:autoSpaceDN w:val="0"/>
              <w:adjustRightInd w:val="0"/>
              <w:spacing w:after="120"/>
              <w:jc w:val="both"/>
              <w:rPr>
                <w:rFonts w:ascii="Times New Roman" w:eastAsiaTheme="minorHAnsi" w:hAnsi="Times New Roman" w:cs="Times New Roman"/>
                <w:b/>
                <w:sz w:val="24"/>
              </w:rPr>
            </w:pPr>
            <w:r w:rsidRPr="00A87849">
              <w:rPr>
                <w:rFonts w:ascii="Times New Roman" w:hAnsi="Times New Roman"/>
                <w:b/>
                <w:sz w:val="24"/>
              </w:rPr>
              <w:t>Aktualizácie modelu (+/–)</w:t>
            </w:r>
          </w:p>
          <w:p w14:paraId="0BE2CFF4" w14:textId="79A23BD2"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Zmena hodnoty rizikovo váženej expozície medzi koncom predchádzajúceho obdobia zverejňovania informácií</w:t>
            </w:r>
            <w:r w:rsidR="00A87849">
              <w:rPr>
                <w:rFonts w:ascii="Times New Roman" w:hAnsi="Times New Roman"/>
                <w:sz w:val="24"/>
              </w:rPr>
              <w:t xml:space="preserve"> a </w:t>
            </w:r>
            <w:r w:rsidRPr="00A87849">
              <w:rPr>
                <w:rFonts w:ascii="Times New Roman" w:hAnsi="Times New Roman"/>
                <w:sz w:val="24"/>
              </w:rPr>
              <w:t>koncom bežného obdobia zverejňovania informácií</w:t>
            </w:r>
            <w:r w:rsidR="00A87849">
              <w:rPr>
                <w:rFonts w:ascii="Times New Roman" w:hAnsi="Times New Roman"/>
                <w:sz w:val="24"/>
              </w:rPr>
              <w:t xml:space="preserve"> z </w:t>
            </w:r>
            <w:r w:rsidRPr="00A87849">
              <w:rPr>
                <w:rFonts w:ascii="Times New Roman" w:hAnsi="Times New Roman"/>
                <w:sz w:val="24"/>
              </w:rPr>
              <w:t>dôvodu aktualizácií modelu, t. j. zmeny</w:t>
            </w:r>
            <w:r w:rsidR="00A87849">
              <w:rPr>
                <w:rFonts w:ascii="Times New Roman" w:hAnsi="Times New Roman"/>
                <w:sz w:val="24"/>
              </w:rPr>
              <w:t xml:space="preserve"> z </w:t>
            </w:r>
            <w:r w:rsidRPr="00A87849">
              <w:rPr>
                <w:rFonts w:ascii="Times New Roman" w:hAnsi="Times New Roman"/>
                <w:sz w:val="24"/>
              </w:rPr>
              <w:t>dôvodu zavádzania nových modelov, zmien modelov, zmien</w:t>
            </w:r>
            <w:r w:rsidR="00A87849">
              <w:rPr>
                <w:rFonts w:ascii="Times New Roman" w:hAnsi="Times New Roman"/>
                <w:sz w:val="24"/>
              </w:rPr>
              <w:t xml:space="preserve"> v </w:t>
            </w:r>
            <w:r w:rsidRPr="00A87849">
              <w:rPr>
                <w:rFonts w:ascii="Times New Roman" w:hAnsi="Times New Roman"/>
                <w:sz w:val="24"/>
              </w:rPr>
              <w:t>rozsahu modelu alebo akýchkoľvek iných zmien zameraných na riešenie nedostatkov modelu.</w:t>
            </w:r>
          </w:p>
          <w:p w14:paraId="13E221C1" w14:textId="60B8AB11"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Zvýšenia hodnôt rizikovo vážených expozícií sa zverejňujú ako kladná hodnota</w:t>
            </w:r>
            <w:r w:rsidR="00A87849">
              <w:rPr>
                <w:rFonts w:ascii="Times New Roman" w:hAnsi="Times New Roman"/>
                <w:sz w:val="24"/>
              </w:rPr>
              <w:t xml:space="preserve"> a </w:t>
            </w:r>
            <w:r w:rsidRPr="00A87849">
              <w:rPr>
                <w:rFonts w:ascii="Times New Roman" w:hAnsi="Times New Roman"/>
                <w:sz w:val="24"/>
              </w:rPr>
              <w:t>zníženia hodnôt rizikovo vážených expozícií sa zverejňujú ako záporná hodnota.</w:t>
            </w:r>
          </w:p>
        </w:tc>
      </w:tr>
      <w:tr w:rsidR="00087388" w:rsidRPr="00A87849" w14:paraId="24D67283" w14:textId="77777777" w:rsidTr="00725D4D">
        <w:trPr>
          <w:trHeight w:val="316"/>
        </w:trPr>
        <w:tc>
          <w:tcPr>
            <w:tcW w:w="1413" w:type="dxa"/>
          </w:tcPr>
          <w:p w14:paraId="44240AAE"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lastRenderedPageBreak/>
              <w:t>5</w:t>
            </w:r>
          </w:p>
        </w:tc>
        <w:tc>
          <w:tcPr>
            <w:tcW w:w="7654" w:type="dxa"/>
          </w:tcPr>
          <w:p w14:paraId="150AE3DE" w14:textId="15C75377" w:rsidR="00087388" w:rsidRPr="00A87849" w:rsidRDefault="00087388" w:rsidP="00725D4D">
            <w:pPr>
              <w:autoSpaceDE w:val="0"/>
              <w:autoSpaceDN w:val="0"/>
              <w:adjustRightInd w:val="0"/>
              <w:spacing w:after="120"/>
              <w:jc w:val="both"/>
              <w:rPr>
                <w:rFonts w:ascii="Times New Roman" w:eastAsiaTheme="minorHAnsi" w:hAnsi="Times New Roman" w:cs="Times New Roman"/>
                <w:b/>
                <w:sz w:val="24"/>
              </w:rPr>
            </w:pPr>
            <w:r w:rsidRPr="00A87849">
              <w:rPr>
                <w:rFonts w:ascii="Times New Roman" w:hAnsi="Times New Roman"/>
                <w:b/>
                <w:sz w:val="24"/>
              </w:rPr>
              <w:t>Metodika</w:t>
            </w:r>
            <w:r w:rsidR="00A87849">
              <w:rPr>
                <w:rFonts w:ascii="Times New Roman" w:hAnsi="Times New Roman"/>
                <w:b/>
                <w:sz w:val="24"/>
              </w:rPr>
              <w:t xml:space="preserve"> a </w:t>
            </w:r>
            <w:r w:rsidRPr="00A87849">
              <w:rPr>
                <w:rFonts w:ascii="Times New Roman" w:hAnsi="Times New Roman"/>
                <w:b/>
                <w:sz w:val="24"/>
              </w:rPr>
              <w:t>politika (+/–)</w:t>
            </w:r>
          </w:p>
          <w:p w14:paraId="2B9722BD" w14:textId="35349495"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Zmena hodnoty rizikovo váženej expozície medzi koncom predchádzajúceho obdobia zverejňovania informácií</w:t>
            </w:r>
            <w:r w:rsidR="00A87849">
              <w:rPr>
                <w:rFonts w:ascii="Times New Roman" w:hAnsi="Times New Roman"/>
                <w:sz w:val="24"/>
              </w:rPr>
              <w:t xml:space="preserve"> a </w:t>
            </w:r>
            <w:r w:rsidRPr="00A87849">
              <w:rPr>
                <w:rFonts w:ascii="Times New Roman" w:hAnsi="Times New Roman"/>
                <w:sz w:val="24"/>
              </w:rPr>
              <w:t>koncom bežného obdobia zverejňovania informácií</w:t>
            </w:r>
            <w:r w:rsidR="00A87849">
              <w:rPr>
                <w:rFonts w:ascii="Times New Roman" w:hAnsi="Times New Roman"/>
                <w:sz w:val="24"/>
              </w:rPr>
              <w:t xml:space="preserve"> z </w:t>
            </w:r>
            <w:r w:rsidRPr="00A87849">
              <w:rPr>
                <w:rFonts w:ascii="Times New Roman" w:hAnsi="Times New Roman"/>
                <w:sz w:val="24"/>
              </w:rPr>
              <w:t>dôvodu metodiky</w:t>
            </w:r>
            <w:r w:rsidR="00A87849">
              <w:rPr>
                <w:rFonts w:ascii="Times New Roman" w:hAnsi="Times New Roman"/>
                <w:sz w:val="24"/>
              </w:rPr>
              <w:t xml:space="preserve"> a </w:t>
            </w:r>
            <w:r w:rsidRPr="00A87849">
              <w:rPr>
                <w:rFonts w:ascii="Times New Roman" w:hAnsi="Times New Roman"/>
                <w:sz w:val="24"/>
              </w:rPr>
              <w:t>politiky, t. j. zmeny</w:t>
            </w:r>
            <w:r w:rsidR="00A87849">
              <w:rPr>
                <w:rFonts w:ascii="Times New Roman" w:hAnsi="Times New Roman"/>
                <w:sz w:val="24"/>
              </w:rPr>
              <w:t xml:space="preserve"> z </w:t>
            </w:r>
            <w:r w:rsidRPr="00A87849">
              <w:rPr>
                <w:rFonts w:ascii="Times New Roman" w:hAnsi="Times New Roman"/>
                <w:sz w:val="24"/>
              </w:rPr>
              <w:t>dôvodu zmien</w:t>
            </w:r>
            <w:r w:rsidR="00A87849">
              <w:rPr>
                <w:rFonts w:ascii="Times New Roman" w:hAnsi="Times New Roman"/>
                <w:sz w:val="24"/>
              </w:rPr>
              <w:t xml:space="preserve"> v </w:t>
            </w:r>
            <w:r w:rsidRPr="00A87849">
              <w:rPr>
                <w:rFonts w:ascii="Times New Roman" w:hAnsi="Times New Roman"/>
                <w:sz w:val="24"/>
              </w:rPr>
              <w:t>metodike výpočtov, ktoré boli vyvolané zmenami regulačnej politiky vrátane revízií existujúcich právnych predpisov</w:t>
            </w:r>
            <w:r w:rsidR="00A87849">
              <w:rPr>
                <w:rFonts w:ascii="Times New Roman" w:hAnsi="Times New Roman"/>
                <w:sz w:val="24"/>
              </w:rPr>
              <w:t xml:space="preserve"> a </w:t>
            </w:r>
            <w:r w:rsidRPr="00A87849">
              <w:rPr>
                <w:rFonts w:ascii="Times New Roman" w:hAnsi="Times New Roman"/>
                <w:sz w:val="24"/>
              </w:rPr>
              <w:t>nových právnych predpisov, okrem zmien modelov, ktoré sú zahrnuté</w:t>
            </w:r>
            <w:r w:rsidR="00A87849">
              <w:rPr>
                <w:rFonts w:ascii="Times New Roman" w:hAnsi="Times New Roman"/>
                <w:sz w:val="24"/>
              </w:rPr>
              <w:t xml:space="preserve"> v </w:t>
            </w:r>
            <w:r w:rsidRPr="00A87849">
              <w:rPr>
                <w:rFonts w:ascii="Times New Roman" w:hAnsi="Times New Roman"/>
                <w:sz w:val="24"/>
              </w:rPr>
              <w:t>riadku 4 tohto vzoru.</w:t>
            </w:r>
          </w:p>
          <w:p w14:paraId="559030D9" w14:textId="32F72B7C"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Zvýšenia hodnôt rizikovo vážených expozícií sa zverejňujú ako kladná hodnota</w:t>
            </w:r>
            <w:r w:rsidR="00A87849">
              <w:rPr>
                <w:rFonts w:ascii="Times New Roman" w:hAnsi="Times New Roman"/>
                <w:sz w:val="24"/>
              </w:rPr>
              <w:t xml:space="preserve"> a </w:t>
            </w:r>
            <w:r w:rsidRPr="00A87849">
              <w:rPr>
                <w:rFonts w:ascii="Times New Roman" w:hAnsi="Times New Roman"/>
                <w:sz w:val="24"/>
              </w:rPr>
              <w:t>zníženia hodnôt rizikovo vážených expozícií sa zverejňujú ako záporná hodnota.</w:t>
            </w:r>
          </w:p>
        </w:tc>
      </w:tr>
      <w:tr w:rsidR="00087388" w:rsidRPr="00A87849" w14:paraId="51E21477" w14:textId="77777777" w:rsidTr="00725D4D">
        <w:trPr>
          <w:trHeight w:val="316"/>
        </w:trPr>
        <w:tc>
          <w:tcPr>
            <w:tcW w:w="1413" w:type="dxa"/>
          </w:tcPr>
          <w:p w14:paraId="29B4EA11"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6</w:t>
            </w:r>
          </w:p>
        </w:tc>
        <w:tc>
          <w:tcPr>
            <w:tcW w:w="7654" w:type="dxa"/>
          </w:tcPr>
          <w:p w14:paraId="3E99C6D0" w14:textId="2F652130" w:rsidR="00087388" w:rsidRPr="00A87849" w:rsidRDefault="00087388" w:rsidP="00725D4D">
            <w:pPr>
              <w:autoSpaceDE w:val="0"/>
              <w:autoSpaceDN w:val="0"/>
              <w:adjustRightInd w:val="0"/>
              <w:spacing w:after="120"/>
              <w:jc w:val="both"/>
              <w:rPr>
                <w:rFonts w:ascii="Times New Roman" w:eastAsiaTheme="minorHAnsi" w:hAnsi="Times New Roman" w:cs="Times New Roman"/>
                <w:b/>
                <w:sz w:val="24"/>
              </w:rPr>
            </w:pPr>
            <w:r w:rsidRPr="00A87849">
              <w:rPr>
                <w:rFonts w:ascii="Times New Roman" w:hAnsi="Times New Roman"/>
                <w:b/>
                <w:sz w:val="24"/>
              </w:rPr>
              <w:t>Nadobudnutia</w:t>
            </w:r>
            <w:r w:rsidR="00A87849">
              <w:rPr>
                <w:rFonts w:ascii="Times New Roman" w:hAnsi="Times New Roman"/>
                <w:b/>
                <w:sz w:val="24"/>
              </w:rPr>
              <w:t xml:space="preserve"> a </w:t>
            </w:r>
            <w:r w:rsidRPr="00A87849">
              <w:rPr>
                <w:rFonts w:ascii="Times New Roman" w:hAnsi="Times New Roman"/>
                <w:b/>
                <w:sz w:val="24"/>
              </w:rPr>
              <w:t>odpredaje (+/–)</w:t>
            </w:r>
          </w:p>
          <w:p w14:paraId="0B857E34" w14:textId="41AA5F5D"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Zmena hodnoty rizikovo váženej expozície medzi koncom predchádzajúceho obdobia zverejňovania informácií</w:t>
            </w:r>
            <w:r w:rsidR="00A87849">
              <w:rPr>
                <w:rFonts w:ascii="Times New Roman" w:hAnsi="Times New Roman"/>
                <w:sz w:val="24"/>
              </w:rPr>
              <w:t xml:space="preserve"> a </w:t>
            </w:r>
            <w:r w:rsidRPr="00A87849">
              <w:rPr>
                <w:rFonts w:ascii="Times New Roman" w:hAnsi="Times New Roman"/>
                <w:sz w:val="24"/>
              </w:rPr>
              <w:t>koncom bežného obdobia zverejňovania informácií</w:t>
            </w:r>
            <w:r w:rsidR="00A87849">
              <w:rPr>
                <w:rFonts w:ascii="Times New Roman" w:hAnsi="Times New Roman"/>
                <w:sz w:val="24"/>
              </w:rPr>
              <w:t xml:space="preserve"> z </w:t>
            </w:r>
            <w:r w:rsidRPr="00A87849">
              <w:rPr>
                <w:rFonts w:ascii="Times New Roman" w:hAnsi="Times New Roman"/>
                <w:sz w:val="24"/>
              </w:rPr>
              <w:t>dôvodu nadobudnutí</w:t>
            </w:r>
            <w:r w:rsidR="00A87849">
              <w:rPr>
                <w:rFonts w:ascii="Times New Roman" w:hAnsi="Times New Roman"/>
                <w:sz w:val="24"/>
              </w:rPr>
              <w:t xml:space="preserve"> a </w:t>
            </w:r>
            <w:r w:rsidRPr="00A87849">
              <w:rPr>
                <w:rFonts w:ascii="Times New Roman" w:hAnsi="Times New Roman"/>
                <w:sz w:val="24"/>
              </w:rPr>
              <w:t>odpredajov, t. j. zmeny rozsahu knihy</w:t>
            </w:r>
            <w:r w:rsidR="00A87849">
              <w:rPr>
                <w:rFonts w:ascii="Times New Roman" w:hAnsi="Times New Roman"/>
                <w:sz w:val="24"/>
              </w:rPr>
              <w:t xml:space="preserve"> z </w:t>
            </w:r>
            <w:r w:rsidRPr="00A87849">
              <w:rPr>
                <w:rFonts w:ascii="Times New Roman" w:hAnsi="Times New Roman"/>
                <w:sz w:val="24"/>
              </w:rPr>
              <w:t>dôvodu nadobudnutí a/alebo odpredajov.</w:t>
            </w:r>
          </w:p>
          <w:p w14:paraId="660182EF" w14:textId="2743F4CA"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Zvýšenia hodnôt rizikovo vážených expozícií sa zverejňujú ako kladná hodnota</w:t>
            </w:r>
            <w:r w:rsidR="00A87849">
              <w:rPr>
                <w:rFonts w:ascii="Times New Roman" w:hAnsi="Times New Roman"/>
                <w:sz w:val="24"/>
              </w:rPr>
              <w:t xml:space="preserve"> a </w:t>
            </w:r>
            <w:r w:rsidRPr="00A87849">
              <w:rPr>
                <w:rFonts w:ascii="Times New Roman" w:hAnsi="Times New Roman"/>
                <w:sz w:val="24"/>
              </w:rPr>
              <w:t>zníženia hodnôt rizikovo vážených expozícií sa zverejňujú ako záporná hodnota.</w:t>
            </w:r>
          </w:p>
        </w:tc>
      </w:tr>
      <w:tr w:rsidR="00087388" w:rsidRPr="00A87849" w14:paraId="6913EE24" w14:textId="77777777" w:rsidTr="00725D4D">
        <w:trPr>
          <w:trHeight w:val="316"/>
        </w:trPr>
        <w:tc>
          <w:tcPr>
            <w:tcW w:w="1413" w:type="dxa"/>
          </w:tcPr>
          <w:p w14:paraId="75697EEC"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7</w:t>
            </w:r>
          </w:p>
        </w:tc>
        <w:tc>
          <w:tcPr>
            <w:tcW w:w="7654" w:type="dxa"/>
          </w:tcPr>
          <w:p w14:paraId="5714E8D3" w14:textId="77777777" w:rsidR="00087388" w:rsidRPr="00A87849" w:rsidRDefault="00087388" w:rsidP="00725D4D">
            <w:pPr>
              <w:autoSpaceDE w:val="0"/>
              <w:autoSpaceDN w:val="0"/>
              <w:adjustRightInd w:val="0"/>
              <w:spacing w:after="120"/>
              <w:jc w:val="both"/>
              <w:rPr>
                <w:rFonts w:ascii="Times New Roman" w:eastAsiaTheme="minorHAnsi" w:hAnsi="Times New Roman" w:cs="Times New Roman"/>
                <w:b/>
                <w:sz w:val="24"/>
              </w:rPr>
            </w:pPr>
            <w:r w:rsidRPr="00A87849">
              <w:rPr>
                <w:rFonts w:ascii="Times New Roman" w:hAnsi="Times New Roman"/>
                <w:b/>
                <w:sz w:val="24"/>
              </w:rPr>
              <w:t>Pohyby výmenných kurzov (+/–)</w:t>
            </w:r>
          </w:p>
          <w:p w14:paraId="67D51F33" w14:textId="673AC888"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Zmena hodnoty rizikovo váženej expozície medzi koncom predchádzajúceho obdobia zverejňovania informácií</w:t>
            </w:r>
            <w:r w:rsidR="00A87849">
              <w:rPr>
                <w:rFonts w:ascii="Times New Roman" w:hAnsi="Times New Roman"/>
                <w:sz w:val="24"/>
              </w:rPr>
              <w:t xml:space="preserve"> a </w:t>
            </w:r>
            <w:r w:rsidRPr="00A87849">
              <w:rPr>
                <w:rFonts w:ascii="Times New Roman" w:hAnsi="Times New Roman"/>
                <w:sz w:val="24"/>
              </w:rPr>
              <w:t>koncom bežného obdobia zverejňovania informácií</w:t>
            </w:r>
            <w:r w:rsidR="00A87849">
              <w:rPr>
                <w:rFonts w:ascii="Times New Roman" w:hAnsi="Times New Roman"/>
                <w:sz w:val="24"/>
              </w:rPr>
              <w:t xml:space="preserve"> z </w:t>
            </w:r>
            <w:r w:rsidRPr="00A87849">
              <w:rPr>
                <w:rFonts w:ascii="Times New Roman" w:hAnsi="Times New Roman"/>
                <w:sz w:val="24"/>
              </w:rPr>
              <w:t>dôvodu pohybov výmenných kurzov, t. j. zmeny vyplývajúce</w:t>
            </w:r>
            <w:r w:rsidR="00A87849">
              <w:rPr>
                <w:rFonts w:ascii="Times New Roman" w:hAnsi="Times New Roman"/>
                <w:sz w:val="24"/>
              </w:rPr>
              <w:t xml:space="preserve"> z </w:t>
            </w:r>
            <w:r w:rsidRPr="00A87849">
              <w:rPr>
                <w:rFonts w:ascii="Times New Roman" w:hAnsi="Times New Roman"/>
                <w:sz w:val="24"/>
              </w:rPr>
              <w:t>pohybov</w:t>
            </w:r>
            <w:r w:rsidR="00A87849">
              <w:rPr>
                <w:rFonts w:ascii="Times New Roman" w:hAnsi="Times New Roman"/>
                <w:sz w:val="24"/>
              </w:rPr>
              <w:t xml:space="preserve"> v </w:t>
            </w:r>
            <w:r w:rsidRPr="00A87849">
              <w:rPr>
                <w:rFonts w:ascii="Times New Roman" w:hAnsi="Times New Roman"/>
                <w:sz w:val="24"/>
              </w:rPr>
              <w:t>prepočte cudzích mien.</w:t>
            </w:r>
          </w:p>
          <w:p w14:paraId="5F610B2C" w14:textId="1088B040"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Zvýšenia hodnôt rizikovo vážených expozícií sa zverejňujú ako kladná hodnota</w:t>
            </w:r>
            <w:r w:rsidR="00A87849">
              <w:rPr>
                <w:rFonts w:ascii="Times New Roman" w:hAnsi="Times New Roman"/>
                <w:sz w:val="24"/>
              </w:rPr>
              <w:t xml:space="preserve"> a </w:t>
            </w:r>
            <w:r w:rsidRPr="00A87849">
              <w:rPr>
                <w:rFonts w:ascii="Times New Roman" w:hAnsi="Times New Roman"/>
                <w:sz w:val="24"/>
              </w:rPr>
              <w:t>zníženia hodnôt rizikovo vážených expozícií sa zverejňujú ako záporná hodnota.</w:t>
            </w:r>
          </w:p>
        </w:tc>
      </w:tr>
      <w:tr w:rsidR="00087388" w:rsidRPr="00A87849" w14:paraId="5FF1230F" w14:textId="77777777" w:rsidTr="00725D4D">
        <w:trPr>
          <w:trHeight w:val="316"/>
        </w:trPr>
        <w:tc>
          <w:tcPr>
            <w:tcW w:w="1413" w:type="dxa"/>
          </w:tcPr>
          <w:p w14:paraId="44B0A208"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8</w:t>
            </w:r>
          </w:p>
        </w:tc>
        <w:tc>
          <w:tcPr>
            <w:tcW w:w="7654" w:type="dxa"/>
          </w:tcPr>
          <w:p w14:paraId="10E83E94" w14:textId="77777777" w:rsidR="00087388" w:rsidRPr="00A87849" w:rsidRDefault="00087388" w:rsidP="00725D4D">
            <w:pPr>
              <w:autoSpaceDE w:val="0"/>
              <w:autoSpaceDN w:val="0"/>
              <w:adjustRightInd w:val="0"/>
              <w:spacing w:after="120"/>
              <w:jc w:val="both"/>
              <w:rPr>
                <w:rFonts w:ascii="Times New Roman" w:eastAsiaTheme="minorHAnsi" w:hAnsi="Times New Roman" w:cs="Times New Roman"/>
                <w:b/>
                <w:sz w:val="24"/>
              </w:rPr>
            </w:pPr>
            <w:r w:rsidRPr="00A87849">
              <w:rPr>
                <w:rFonts w:ascii="Times New Roman" w:hAnsi="Times New Roman"/>
                <w:b/>
                <w:sz w:val="24"/>
              </w:rPr>
              <w:t>Ostatné (+/–)</w:t>
            </w:r>
          </w:p>
          <w:p w14:paraId="5C061979" w14:textId="77F5726D"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Zmena hodnoty rizikovo váženej expozície medzi koncom predchádzajúceho obdobia zverejňovania informácií</w:t>
            </w:r>
            <w:r w:rsidR="00A87849">
              <w:rPr>
                <w:rFonts w:ascii="Times New Roman" w:hAnsi="Times New Roman"/>
                <w:sz w:val="24"/>
              </w:rPr>
              <w:t xml:space="preserve"> a </w:t>
            </w:r>
            <w:r w:rsidRPr="00A87849">
              <w:rPr>
                <w:rFonts w:ascii="Times New Roman" w:hAnsi="Times New Roman"/>
                <w:sz w:val="24"/>
              </w:rPr>
              <w:t>koncom bežného obdobia zverejňovania informácií</w:t>
            </w:r>
            <w:r w:rsidR="00A87849">
              <w:rPr>
                <w:rFonts w:ascii="Times New Roman" w:hAnsi="Times New Roman"/>
                <w:sz w:val="24"/>
              </w:rPr>
              <w:t xml:space="preserve"> z </w:t>
            </w:r>
            <w:r w:rsidRPr="00A87849">
              <w:rPr>
                <w:rFonts w:ascii="Times New Roman" w:hAnsi="Times New Roman"/>
                <w:sz w:val="24"/>
              </w:rPr>
              <w:t>dôvodu iných faktorov.</w:t>
            </w:r>
          </w:p>
          <w:p w14:paraId="34BDA16D" w14:textId="68DA8EE4"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Táto kategória sa používa na zachytenie zmien, ktoré nemožno zaradiť do žiadnej inej kategórie.</w:t>
            </w:r>
            <w:r w:rsidR="00A87849">
              <w:rPr>
                <w:rFonts w:ascii="Times New Roman" w:hAnsi="Times New Roman"/>
                <w:sz w:val="24"/>
              </w:rPr>
              <w:t xml:space="preserve"> V </w:t>
            </w:r>
            <w:r w:rsidRPr="00A87849">
              <w:rPr>
                <w:rFonts w:ascii="Times New Roman" w:hAnsi="Times New Roman"/>
                <w:sz w:val="24"/>
              </w:rPr>
              <w:t>sprievodnom opise</w:t>
            </w:r>
            <w:r w:rsidR="00A87849">
              <w:rPr>
                <w:rFonts w:ascii="Times New Roman" w:hAnsi="Times New Roman"/>
                <w:sz w:val="24"/>
              </w:rPr>
              <w:t xml:space="preserve"> k </w:t>
            </w:r>
            <w:r w:rsidRPr="00A87849">
              <w:rPr>
                <w:rFonts w:ascii="Times New Roman" w:hAnsi="Times New Roman"/>
                <w:sz w:val="24"/>
              </w:rPr>
              <w:t>tomuto vzoru inštitúcie podrobnejšie opisujú akékoľvek iné významné faktory pohybov rizikovo vážených hodnôt za obdobie zverejňovania informácií, ktoré sú zahrnuté</w:t>
            </w:r>
            <w:r w:rsidR="00A87849">
              <w:rPr>
                <w:rFonts w:ascii="Times New Roman" w:hAnsi="Times New Roman"/>
                <w:sz w:val="24"/>
              </w:rPr>
              <w:t xml:space="preserve"> v </w:t>
            </w:r>
            <w:r w:rsidRPr="00A87849">
              <w:rPr>
                <w:rFonts w:ascii="Times New Roman" w:hAnsi="Times New Roman"/>
                <w:sz w:val="24"/>
              </w:rPr>
              <w:t>tomto riadku.</w:t>
            </w:r>
          </w:p>
          <w:p w14:paraId="745C38A5" w14:textId="42746BAB"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Zvýšenia hodnôt rizikovo vážených expozícií sa zverejňujú ako kladná hodnota</w:t>
            </w:r>
            <w:r w:rsidR="00A87849">
              <w:rPr>
                <w:rFonts w:ascii="Times New Roman" w:hAnsi="Times New Roman"/>
                <w:sz w:val="24"/>
              </w:rPr>
              <w:t xml:space="preserve"> a </w:t>
            </w:r>
            <w:r w:rsidRPr="00A87849">
              <w:rPr>
                <w:rFonts w:ascii="Times New Roman" w:hAnsi="Times New Roman"/>
                <w:sz w:val="24"/>
              </w:rPr>
              <w:t>zníženia hodnôt rizikovo vážených expozícií sa zverejňujú ako záporná hodnota.</w:t>
            </w:r>
          </w:p>
        </w:tc>
      </w:tr>
      <w:tr w:rsidR="00087388" w:rsidRPr="00A87849" w14:paraId="11D0A84D" w14:textId="77777777" w:rsidTr="00725D4D">
        <w:trPr>
          <w:trHeight w:val="316"/>
        </w:trPr>
        <w:tc>
          <w:tcPr>
            <w:tcW w:w="1413" w:type="dxa"/>
          </w:tcPr>
          <w:p w14:paraId="089009E4"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9</w:t>
            </w:r>
          </w:p>
        </w:tc>
        <w:tc>
          <w:tcPr>
            <w:tcW w:w="7654" w:type="dxa"/>
          </w:tcPr>
          <w:p w14:paraId="119A2FF3" w14:textId="77777777" w:rsidR="00087388" w:rsidRPr="00A87849" w:rsidRDefault="00087388" w:rsidP="00725D4D">
            <w:pPr>
              <w:autoSpaceDE w:val="0"/>
              <w:autoSpaceDN w:val="0"/>
              <w:adjustRightInd w:val="0"/>
              <w:spacing w:after="120"/>
              <w:jc w:val="both"/>
              <w:rPr>
                <w:rFonts w:ascii="Times New Roman" w:hAnsi="Times New Roman" w:cs="Times New Roman"/>
                <w:b/>
                <w:sz w:val="24"/>
              </w:rPr>
            </w:pPr>
            <w:r w:rsidRPr="00A87849">
              <w:rPr>
                <w:rFonts w:ascii="Times New Roman" w:hAnsi="Times New Roman"/>
                <w:b/>
                <w:sz w:val="24"/>
              </w:rPr>
              <w:t>Hodnota rizikovo vážených expozícií ku koncu obdobia zverejňovania informácií</w:t>
            </w:r>
          </w:p>
        </w:tc>
      </w:tr>
    </w:tbl>
    <w:p w14:paraId="3FE9F23F" w14:textId="77777777" w:rsidR="00087388" w:rsidRPr="00A87849" w:rsidRDefault="00087388" w:rsidP="00087388">
      <w:pPr>
        <w:spacing w:after="120"/>
        <w:rPr>
          <w:rFonts w:ascii="Times New Roman" w:hAnsi="Times New Roman" w:cs="Times New Roman"/>
          <w:sz w:val="24"/>
        </w:rPr>
      </w:pPr>
    </w:p>
    <w:p w14:paraId="7B31A0E0" w14:textId="4A8CEF03" w:rsidR="00087388" w:rsidRPr="00A87849" w:rsidRDefault="00087388" w:rsidP="00F53B7D">
      <w:pPr>
        <w:keepNext/>
        <w:spacing w:after="120"/>
        <w:rPr>
          <w:rFonts w:ascii="Times New Roman" w:hAnsi="Times New Roman" w:cs="Times New Roman"/>
          <w:sz w:val="24"/>
        </w:rPr>
      </w:pPr>
      <w:r w:rsidRPr="00A87849">
        <w:rPr>
          <w:rFonts w:ascii="Times New Roman" w:hAnsi="Times New Roman"/>
          <w:b/>
          <w:sz w:val="24"/>
        </w:rPr>
        <w:lastRenderedPageBreak/>
        <w:t xml:space="preserve">Vzor EU CR9 </w:t>
      </w:r>
      <w:r w:rsidRPr="00A87849">
        <w:tab/>
      </w:r>
      <w:r w:rsidRPr="00A87849">
        <w:rPr>
          <w:rFonts w:ascii="Times New Roman" w:hAnsi="Times New Roman"/>
          <w:b/>
          <w:sz w:val="24"/>
        </w:rPr>
        <w:t xml:space="preserve"> – prístup IRB – spätné testovanie PD podľa tried expozícií. Vzor</w:t>
      </w:r>
      <w:r w:rsidR="00A87849">
        <w:rPr>
          <w:rFonts w:ascii="Times New Roman" w:hAnsi="Times New Roman"/>
          <w:b/>
          <w:sz w:val="24"/>
        </w:rPr>
        <w:t xml:space="preserve"> s </w:t>
      </w:r>
      <w:r w:rsidRPr="00A87849">
        <w:rPr>
          <w:rFonts w:ascii="Times New Roman" w:hAnsi="Times New Roman"/>
          <w:b/>
          <w:sz w:val="24"/>
        </w:rPr>
        <w:t>pevným formátom.</w:t>
      </w:r>
    </w:p>
    <w:p w14:paraId="69FFE888" w14:textId="3A678C75" w:rsidR="00A87849" w:rsidRDefault="00087388" w:rsidP="00F53B7D">
      <w:pPr>
        <w:pStyle w:val="ListParagraph"/>
        <w:keepNext/>
        <w:numPr>
          <w:ilvl w:val="0"/>
          <w:numId w:val="7"/>
        </w:numPr>
        <w:spacing w:after="120"/>
        <w:ind w:left="714" w:hanging="357"/>
        <w:jc w:val="both"/>
        <w:rPr>
          <w:rFonts w:ascii="Times New Roman" w:hAnsi="Times New Roman"/>
          <w:sz w:val="24"/>
        </w:rPr>
      </w:pPr>
      <w:r w:rsidRPr="00A87849">
        <w:rPr>
          <w:rFonts w:ascii="Times New Roman" w:hAnsi="Times New Roman"/>
          <w:sz w:val="24"/>
        </w:rPr>
        <w:t>Inštitúcie zverejňujú informácie uvedené</w:t>
      </w:r>
      <w:r w:rsidR="00A87849">
        <w:rPr>
          <w:rFonts w:ascii="Times New Roman" w:hAnsi="Times New Roman"/>
          <w:sz w:val="24"/>
        </w:rPr>
        <w:t xml:space="preserve"> v </w:t>
      </w:r>
      <w:r w:rsidRPr="00A87849">
        <w:rPr>
          <w:rFonts w:ascii="Times New Roman" w:hAnsi="Times New Roman"/>
          <w:sz w:val="24"/>
        </w:rPr>
        <w:t xml:space="preserve">článku 452 písm. h) nariadenia (EÚ) </w:t>
      </w:r>
      <w:r w:rsidR="00A87849">
        <w:rPr>
          <w:rFonts w:ascii="Times New Roman" w:hAnsi="Times New Roman"/>
          <w:sz w:val="24"/>
        </w:rPr>
        <w:t>č. </w:t>
      </w:r>
      <w:r w:rsidRPr="00A87849">
        <w:rPr>
          <w:rFonts w:ascii="Times New Roman" w:hAnsi="Times New Roman"/>
          <w:sz w:val="24"/>
        </w:rPr>
        <w:t>575/2013 podľa pokynov uvedených nižšie</w:t>
      </w:r>
      <w:r w:rsidR="00A87849">
        <w:rPr>
          <w:rFonts w:ascii="Times New Roman" w:hAnsi="Times New Roman"/>
          <w:sz w:val="24"/>
        </w:rPr>
        <w:t xml:space="preserve"> v </w:t>
      </w:r>
      <w:r w:rsidRPr="00A87849">
        <w:rPr>
          <w:rFonts w:ascii="Times New Roman" w:hAnsi="Times New Roman"/>
          <w:sz w:val="24"/>
        </w:rPr>
        <w:t>tejto prílohe</w:t>
      </w:r>
      <w:r w:rsidR="00A87849">
        <w:rPr>
          <w:rFonts w:ascii="Times New Roman" w:hAnsi="Times New Roman"/>
          <w:sz w:val="24"/>
        </w:rPr>
        <w:t xml:space="preserve"> s </w:t>
      </w:r>
      <w:r w:rsidRPr="00A87849">
        <w:rPr>
          <w:rFonts w:ascii="Times New Roman" w:hAnsi="Times New Roman"/>
          <w:sz w:val="24"/>
        </w:rPr>
        <w:t>cieľom vyplniť vzor EU CR9, ktorý je uvedený</w:t>
      </w:r>
      <w:r w:rsidR="00A87849">
        <w:rPr>
          <w:rFonts w:ascii="Times New Roman" w:hAnsi="Times New Roman"/>
          <w:sz w:val="24"/>
        </w:rPr>
        <w:t xml:space="preserve"> v </w:t>
      </w:r>
      <w:r w:rsidRPr="00A87849">
        <w:rPr>
          <w:rFonts w:ascii="Times New Roman" w:hAnsi="Times New Roman"/>
          <w:sz w:val="24"/>
        </w:rPr>
        <w:t>prílohe XXI dokumentu</w:t>
      </w:r>
      <w:r w:rsidR="00A87849">
        <w:rPr>
          <w:rFonts w:ascii="Times New Roman" w:hAnsi="Times New Roman"/>
          <w:sz w:val="24"/>
        </w:rPr>
        <w:t xml:space="preserve"> s </w:t>
      </w:r>
      <w:r w:rsidRPr="00A87849">
        <w:rPr>
          <w:rFonts w:ascii="Times New Roman" w:hAnsi="Times New Roman"/>
          <w:sz w:val="24"/>
        </w:rPr>
        <w:t>IT riešeniami orgánu EBA. Keď inštitúcia používa prístup F-IRB aj prístup A-IRB, zverejňuje dva samostatné súbory vzorov, jeden pre F-IRB</w:t>
      </w:r>
      <w:r w:rsidR="00A87849">
        <w:rPr>
          <w:rFonts w:ascii="Times New Roman" w:hAnsi="Times New Roman"/>
          <w:sz w:val="24"/>
        </w:rPr>
        <w:t xml:space="preserve"> a </w:t>
      </w:r>
      <w:r w:rsidRPr="00A87849">
        <w:rPr>
          <w:rFonts w:ascii="Times New Roman" w:hAnsi="Times New Roman"/>
          <w:sz w:val="24"/>
        </w:rPr>
        <w:t>druhý pre A-IRB,</w:t>
      </w:r>
      <w:r w:rsidR="00A87849">
        <w:rPr>
          <w:rFonts w:ascii="Times New Roman" w:hAnsi="Times New Roman"/>
          <w:sz w:val="24"/>
        </w:rPr>
        <w:t xml:space="preserve"> s </w:t>
      </w:r>
      <w:r w:rsidRPr="00A87849">
        <w:rPr>
          <w:rFonts w:ascii="Times New Roman" w:hAnsi="Times New Roman"/>
          <w:sz w:val="24"/>
        </w:rPr>
        <w:t>jedným vzorom pre každú triedu expozícií</w:t>
      </w:r>
      <w:r w:rsidR="00A87849">
        <w:rPr>
          <w:rFonts w:ascii="Times New Roman" w:hAnsi="Times New Roman"/>
          <w:sz w:val="24"/>
        </w:rPr>
        <w:t xml:space="preserve"> v </w:t>
      </w:r>
      <w:r w:rsidRPr="00A87849">
        <w:rPr>
          <w:rFonts w:ascii="Times New Roman" w:hAnsi="Times New Roman"/>
          <w:sz w:val="24"/>
        </w:rPr>
        <w:t>každom súbore</w:t>
      </w:r>
      <w:r w:rsidR="00A87849">
        <w:rPr>
          <w:rFonts w:ascii="Times New Roman" w:hAnsi="Times New Roman"/>
          <w:sz w:val="24"/>
        </w:rPr>
        <w:t>.</w:t>
      </w:r>
    </w:p>
    <w:p w14:paraId="5F352546" w14:textId="07B00775" w:rsidR="00087388" w:rsidRPr="00A87849" w:rsidRDefault="00087388" w:rsidP="003B7D6C">
      <w:pPr>
        <w:pStyle w:val="ListParagraph"/>
        <w:numPr>
          <w:ilvl w:val="0"/>
          <w:numId w:val="7"/>
        </w:numPr>
        <w:spacing w:after="120"/>
        <w:ind w:left="714" w:hanging="357"/>
        <w:jc w:val="both"/>
        <w:rPr>
          <w:rFonts w:ascii="Times New Roman" w:hAnsi="Times New Roman"/>
          <w:sz w:val="24"/>
        </w:rPr>
      </w:pPr>
      <w:r w:rsidRPr="00A87849">
        <w:rPr>
          <w:rFonts w:ascii="Times New Roman" w:hAnsi="Times New Roman"/>
          <w:sz w:val="24"/>
        </w:rPr>
        <w:t>Inštitúcia zohľadňuje modely použité</w:t>
      </w:r>
      <w:r w:rsidR="00A87849">
        <w:rPr>
          <w:rFonts w:ascii="Times New Roman" w:hAnsi="Times New Roman"/>
          <w:sz w:val="24"/>
        </w:rPr>
        <w:t xml:space="preserve"> v </w:t>
      </w:r>
      <w:r w:rsidRPr="00A87849">
        <w:rPr>
          <w:rFonts w:ascii="Times New Roman" w:hAnsi="Times New Roman"/>
          <w:sz w:val="24"/>
        </w:rPr>
        <w:t>rámci každej triedy expozícií</w:t>
      </w:r>
      <w:r w:rsidR="00A87849">
        <w:rPr>
          <w:rFonts w:ascii="Times New Roman" w:hAnsi="Times New Roman"/>
          <w:sz w:val="24"/>
        </w:rPr>
        <w:t xml:space="preserve"> a </w:t>
      </w:r>
      <w:r w:rsidRPr="00A87849">
        <w:rPr>
          <w:rFonts w:ascii="Times New Roman" w:hAnsi="Times New Roman"/>
          <w:sz w:val="24"/>
        </w:rPr>
        <w:t>vysvetľuje percentuálny podiel hodnoty rizikovo váženej expozície príslušnej triedy expozícií, na ktorú sa modely vzťahujú</w:t>
      </w:r>
      <w:r w:rsidR="00A87849">
        <w:rPr>
          <w:rFonts w:ascii="Times New Roman" w:hAnsi="Times New Roman"/>
          <w:sz w:val="24"/>
        </w:rPr>
        <w:t xml:space="preserve"> a v </w:t>
      </w:r>
      <w:r w:rsidRPr="00A87849">
        <w:rPr>
          <w:rFonts w:ascii="Times New Roman" w:hAnsi="Times New Roman"/>
          <w:sz w:val="24"/>
        </w:rPr>
        <w:t>súvislosti</w:t>
      </w:r>
      <w:r w:rsidR="00A87849">
        <w:rPr>
          <w:rFonts w:ascii="Times New Roman" w:hAnsi="Times New Roman"/>
          <w:sz w:val="24"/>
        </w:rPr>
        <w:t xml:space="preserve"> s </w:t>
      </w:r>
      <w:r w:rsidRPr="00A87849">
        <w:rPr>
          <w:rFonts w:ascii="Times New Roman" w:hAnsi="Times New Roman"/>
          <w:sz w:val="24"/>
        </w:rPr>
        <w:t>ktorou sa tu zverejňujú výsledky spätného testovania.</w:t>
      </w:r>
    </w:p>
    <w:p w14:paraId="2E6B6B1C" w14:textId="26F9FE07" w:rsidR="00087388" w:rsidRPr="00A87849" w:rsidRDefault="00087388" w:rsidP="003B7D6C">
      <w:pPr>
        <w:pStyle w:val="ListParagraph"/>
        <w:numPr>
          <w:ilvl w:val="0"/>
          <w:numId w:val="7"/>
        </w:numPr>
        <w:spacing w:after="120"/>
        <w:ind w:left="714" w:hanging="357"/>
        <w:jc w:val="both"/>
        <w:rPr>
          <w:rFonts w:ascii="Times New Roman" w:hAnsi="Times New Roman"/>
          <w:sz w:val="24"/>
        </w:rPr>
      </w:pPr>
      <w:r w:rsidRPr="00A87849">
        <w:rPr>
          <w:rFonts w:ascii="Times New Roman" w:hAnsi="Times New Roman"/>
          <w:sz w:val="24"/>
        </w:rPr>
        <w:t>Inštitúcie</w:t>
      </w:r>
      <w:r w:rsidR="00A87849">
        <w:rPr>
          <w:rFonts w:ascii="Times New Roman" w:hAnsi="Times New Roman"/>
          <w:sz w:val="24"/>
        </w:rPr>
        <w:t xml:space="preserve"> v </w:t>
      </w:r>
      <w:r w:rsidRPr="00A87849">
        <w:rPr>
          <w:rFonts w:ascii="Times New Roman" w:hAnsi="Times New Roman"/>
          <w:sz w:val="24"/>
        </w:rPr>
        <w:t>sprievodnom opise vysvetľujú celkový počet dlžníkov, ktorí majú</w:t>
      </w:r>
      <w:r w:rsidR="00A87849">
        <w:rPr>
          <w:rFonts w:ascii="Times New Roman" w:hAnsi="Times New Roman"/>
          <w:sz w:val="24"/>
        </w:rPr>
        <w:t xml:space="preserve"> k </w:t>
      </w:r>
      <w:r w:rsidRPr="00A87849">
        <w:rPr>
          <w:rFonts w:ascii="Times New Roman" w:hAnsi="Times New Roman"/>
          <w:sz w:val="24"/>
        </w:rPr>
        <w:t>dátumu zverejnenia krátkodobé zmluvy, pričom uvádzajú, ktoré triedy expozícií zahŕňajú väčší počet dlžníkov</w:t>
      </w:r>
      <w:r w:rsidR="00A87849">
        <w:rPr>
          <w:rFonts w:ascii="Times New Roman" w:hAnsi="Times New Roman"/>
          <w:sz w:val="24"/>
        </w:rPr>
        <w:t xml:space="preserve"> s </w:t>
      </w:r>
      <w:r w:rsidRPr="00A87849">
        <w:rPr>
          <w:rFonts w:ascii="Times New Roman" w:hAnsi="Times New Roman"/>
          <w:sz w:val="24"/>
        </w:rPr>
        <w:t>krátkodobými zmluvami. Krátkodobé zmluvy sa vzťahujú na zmluvy, ktorých zostatková splatnosť je kratšia ako 12 mesiacov. Inštitúcie takisto vysvetľujú, či výpočet dlhodobých priemerných mier PD zahŕňa prekrývajúce sa intervaly.</w:t>
      </w:r>
    </w:p>
    <w:p w14:paraId="244DFC0D" w14:textId="3ADF760E" w:rsidR="00087388" w:rsidRPr="00A87849" w:rsidRDefault="00087388" w:rsidP="63E31B68">
      <w:pPr>
        <w:pStyle w:val="ListParagraph"/>
        <w:numPr>
          <w:ilvl w:val="0"/>
          <w:numId w:val="7"/>
        </w:numPr>
        <w:spacing w:after="120"/>
        <w:jc w:val="both"/>
        <w:rPr>
          <w:rFonts w:ascii="Times New Roman" w:hAnsi="Times New Roman"/>
          <w:sz w:val="24"/>
          <w:szCs w:val="24"/>
        </w:rPr>
      </w:pPr>
      <w:r w:rsidRPr="00A87849">
        <w:rPr>
          <w:rFonts w:ascii="Times New Roman" w:hAnsi="Times New Roman"/>
          <w:sz w:val="24"/>
        </w:rPr>
        <w:t xml:space="preserve">Z tohto vzoru sú vylúčené expozície voči kreditnému riziku protistrany (CCR) [tretia časť hlava II kapitola 6 nariadenia (EÚ) </w:t>
      </w:r>
      <w:r w:rsidR="00A87849">
        <w:rPr>
          <w:rFonts w:ascii="Times New Roman" w:hAnsi="Times New Roman"/>
          <w:sz w:val="24"/>
        </w:rPr>
        <w:t>č. </w:t>
      </w:r>
      <w:r w:rsidRPr="00A87849">
        <w:rPr>
          <w:rFonts w:ascii="Times New Roman" w:hAnsi="Times New Roman"/>
          <w:sz w:val="24"/>
        </w:rPr>
        <w:t>575/2013], sekuritizačné pozície, iné aktíva, ktoré nemajú povahu kreditného záväzku,</w:t>
      </w:r>
      <w:r w:rsidR="00A87849">
        <w:rPr>
          <w:rFonts w:ascii="Times New Roman" w:hAnsi="Times New Roman"/>
          <w:sz w:val="24"/>
        </w:rPr>
        <w:t xml:space="preserve"> a </w:t>
      </w:r>
      <w:r w:rsidRPr="00A87849">
        <w:rPr>
          <w:rFonts w:ascii="Times New Roman" w:hAnsi="Times New Roman"/>
          <w:sz w:val="24"/>
        </w:rPr>
        <w:t>kapitálové expozície.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A87849"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A87849" w:rsidRDefault="00087388" w:rsidP="00725D4D">
            <w:pPr>
              <w:autoSpaceDE w:val="0"/>
              <w:autoSpaceDN w:val="0"/>
              <w:adjustRightInd w:val="0"/>
              <w:spacing w:after="120"/>
              <w:rPr>
                <w:rFonts w:ascii="Times New Roman" w:hAnsi="Times New Roman" w:cs="Times New Roman"/>
                <w:b/>
                <w:sz w:val="24"/>
              </w:rPr>
            </w:pPr>
            <w:r w:rsidRPr="00A87849">
              <w:rPr>
                <w:rFonts w:ascii="Times New Roman" w:hAnsi="Times New Roman"/>
                <w:b/>
                <w:sz w:val="24"/>
              </w:rPr>
              <w:t>Odkaz na stĺpec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04551BCC" w:rsidR="00087388" w:rsidRPr="00A87849" w:rsidRDefault="00087388" w:rsidP="00725D4D">
            <w:pPr>
              <w:spacing w:after="120"/>
              <w:rPr>
                <w:rFonts w:ascii="Times New Roman" w:hAnsi="Times New Roman" w:cs="Times New Roman"/>
                <w:b/>
                <w:sz w:val="24"/>
              </w:rPr>
            </w:pPr>
            <w:r w:rsidRPr="00A87849">
              <w:rPr>
                <w:rFonts w:ascii="Times New Roman" w:hAnsi="Times New Roman"/>
                <w:b/>
                <w:sz w:val="24"/>
              </w:rPr>
              <w:t>Odkazy na právne predpisy</w:t>
            </w:r>
            <w:r w:rsidR="00A87849">
              <w:rPr>
                <w:rFonts w:ascii="Times New Roman" w:hAnsi="Times New Roman"/>
                <w:b/>
                <w:sz w:val="24"/>
              </w:rPr>
              <w:t xml:space="preserve"> a </w:t>
            </w:r>
            <w:r w:rsidRPr="00A87849">
              <w:rPr>
                <w:rFonts w:ascii="Times New Roman" w:hAnsi="Times New Roman"/>
                <w:b/>
                <w:sz w:val="24"/>
              </w:rPr>
              <w:t>pokyny</w:t>
            </w:r>
          </w:p>
        </w:tc>
      </w:tr>
      <w:tr w:rsidR="00087388" w:rsidRPr="00A87849" w14:paraId="3B7C1677" w14:textId="77777777" w:rsidTr="11F50173">
        <w:trPr>
          <w:trHeight w:val="351"/>
        </w:trPr>
        <w:tc>
          <w:tcPr>
            <w:tcW w:w="1413" w:type="dxa"/>
            <w:vMerge/>
          </w:tcPr>
          <w:p w14:paraId="1F72F646" w14:textId="77777777" w:rsidR="00087388" w:rsidRPr="00A87849"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A87849" w:rsidRDefault="00087388" w:rsidP="00725D4D">
            <w:pPr>
              <w:autoSpaceDE w:val="0"/>
              <w:autoSpaceDN w:val="0"/>
              <w:adjustRightInd w:val="0"/>
              <w:spacing w:after="120"/>
              <w:rPr>
                <w:rFonts w:ascii="Times New Roman" w:hAnsi="Times New Roman" w:cs="Times New Roman"/>
                <w:color w:val="000000"/>
                <w:sz w:val="24"/>
              </w:rPr>
            </w:pPr>
            <w:r w:rsidRPr="00A87849">
              <w:rPr>
                <w:rFonts w:ascii="Times New Roman" w:hAnsi="Times New Roman"/>
                <w:b/>
                <w:sz w:val="24"/>
              </w:rPr>
              <w:t>Vysvetlenie</w:t>
            </w:r>
          </w:p>
        </w:tc>
      </w:tr>
      <w:tr w:rsidR="00087388" w:rsidRPr="00A87849" w14:paraId="2516DD80" w14:textId="77777777" w:rsidTr="11F50173">
        <w:trPr>
          <w:trHeight w:val="841"/>
        </w:trPr>
        <w:tc>
          <w:tcPr>
            <w:tcW w:w="1413" w:type="dxa"/>
          </w:tcPr>
          <w:p w14:paraId="2C96E729" w14:textId="77777777" w:rsidR="00087388" w:rsidRPr="00A87849" w:rsidRDefault="00087388" w:rsidP="00725D4D">
            <w:pPr>
              <w:pStyle w:val="Applicationdirecte"/>
              <w:spacing w:before="0"/>
            </w:pPr>
            <w:r w:rsidRPr="00A87849">
              <w:t>a (A-IRB)</w:t>
            </w:r>
          </w:p>
        </w:tc>
        <w:tc>
          <w:tcPr>
            <w:tcW w:w="7626" w:type="dxa"/>
          </w:tcPr>
          <w:p w14:paraId="24AC189A" w14:textId="77777777" w:rsidR="00087388" w:rsidRPr="00A87849" w:rsidRDefault="00087388" w:rsidP="00725D4D">
            <w:pPr>
              <w:spacing w:after="120"/>
              <w:jc w:val="both"/>
              <w:rPr>
                <w:rFonts w:ascii="Times New Roman" w:hAnsi="Times New Roman" w:cs="Times New Roman"/>
                <w:b/>
                <w:sz w:val="24"/>
              </w:rPr>
            </w:pPr>
            <w:r w:rsidRPr="00A87849">
              <w:rPr>
                <w:rFonts w:ascii="Times New Roman" w:hAnsi="Times New Roman"/>
                <w:b/>
                <w:sz w:val="24"/>
              </w:rPr>
              <w:t>Triedy expozícií</w:t>
            </w:r>
          </w:p>
          <w:p w14:paraId="35F33CE2" w14:textId="6189CEE5" w:rsidR="00A87849" w:rsidRDefault="00087388" w:rsidP="000A6489">
            <w:pPr>
              <w:spacing w:after="120"/>
              <w:rPr>
                <w:rFonts w:ascii="Times New Roman" w:hAnsi="Times New Roman"/>
                <w:sz w:val="24"/>
              </w:rPr>
            </w:pPr>
            <w:r w:rsidRPr="00A87849">
              <w:rPr>
                <w:rFonts w:ascii="Times New Roman" w:hAnsi="Times New Roman"/>
                <w:sz w:val="24"/>
              </w:rPr>
              <w:t>Inštitúcie zverejňujú pre každú triedu expozícií uvedenú</w:t>
            </w:r>
            <w:r w:rsidR="00A87849">
              <w:rPr>
                <w:rFonts w:ascii="Times New Roman" w:hAnsi="Times New Roman"/>
                <w:sz w:val="24"/>
              </w:rPr>
              <w:t xml:space="preserve"> v </w:t>
            </w:r>
            <w:r w:rsidRPr="00A87849">
              <w:rPr>
                <w:rFonts w:ascii="Times New Roman" w:hAnsi="Times New Roman"/>
                <w:sz w:val="24"/>
              </w:rPr>
              <w:t xml:space="preserve">článku 147 ods. 2 nariadenia (EÚ) </w:t>
            </w:r>
            <w:r w:rsidR="00A87849">
              <w:rPr>
                <w:rFonts w:ascii="Times New Roman" w:hAnsi="Times New Roman"/>
                <w:sz w:val="24"/>
              </w:rPr>
              <w:t>č. </w:t>
            </w:r>
            <w:r w:rsidRPr="00A87849">
              <w:rPr>
                <w:rFonts w:ascii="Times New Roman" w:hAnsi="Times New Roman"/>
                <w:sz w:val="24"/>
              </w:rPr>
              <w:t>575/2013 samostatný vzor</w:t>
            </w:r>
            <w:r w:rsidR="00A87849">
              <w:rPr>
                <w:rFonts w:ascii="Times New Roman" w:hAnsi="Times New Roman"/>
                <w:sz w:val="24"/>
              </w:rPr>
              <w:t xml:space="preserve"> s </w:t>
            </w:r>
            <w:r w:rsidRPr="00A87849">
              <w:rPr>
                <w:rFonts w:ascii="Times New Roman" w:hAnsi="Times New Roman"/>
                <w:sz w:val="24"/>
              </w:rPr>
              <w:t>ďalším rozčlenením týchto tried expozícií</w:t>
            </w:r>
            <w:r w:rsidR="00A87849">
              <w:rPr>
                <w:rFonts w:ascii="Times New Roman" w:hAnsi="Times New Roman"/>
                <w:sz w:val="24"/>
              </w:rPr>
              <w:t>:</w:t>
            </w:r>
          </w:p>
          <w:p w14:paraId="20D6AF46" w14:textId="46D1F08D" w:rsidR="00CB5E48" w:rsidRPr="00A87849" w:rsidRDefault="00CB5E48" w:rsidP="00CB5E48">
            <w:pPr>
              <w:spacing w:after="120"/>
              <w:jc w:val="both"/>
              <w:rPr>
                <w:rFonts w:ascii="Times New Roman" w:hAnsi="Times New Roman" w:cs="Times New Roman"/>
                <w:sz w:val="24"/>
              </w:rPr>
            </w:pPr>
            <w:r w:rsidRPr="00A87849">
              <w:rPr>
                <w:rFonts w:ascii="Times New Roman" w:hAnsi="Times New Roman"/>
                <w:sz w:val="24"/>
              </w:rPr>
              <w:t>–</w:t>
            </w:r>
            <w:r w:rsidR="00A87849">
              <w:rPr>
                <w:rFonts w:ascii="Times New Roman" w:hAnsi="Times New Roman"/>
                <w:sz w:val="24"/>
              </w:rPr>
              <w:t xml:space="preserve"> v </w:t>
            </w:r>
            <w:r w:rsidRPr="00A87849">
              <w:rPr>
                <w:rFonts w:ascii="Times New Roman" w:hAnsi="Times New Roman"/>
                <w:sz w:val="24"/>
              </w:rPr>
              <w:t>rámci triedy expozícií „expozície voči podnikateľským subjektom“ rozčlenenie</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článkom 147 ods. 2 písm. c) bodmi i), ii)</w:t>
            </w:r>
            <w:r w:rsidR="00A87849">
              <w:rPr>
                <w:rFonts w:ascii="Times New Roman" w:hAnsi="Times New Roman"/>
                <w:sz w:val="24"/>
              </w:rPr>
              <w:t xml:space="preserve"> a </w:t>
            </w:r>
            <w:r w:rsidRPr="00A87849">
              <w:rPr>
                <w:rFonts w:ascii="Times New Roman" w:hAnsi="Times New Roman"/>
                <w:sz w:val="24"/>
              </w:rPr>
              <w:t>iii).</w:t>
            </w:r>
          </w:p>
          <w:p w14:paraId="3497FEF0" w14:textId="2C77E1EC" w:rsidR="00087388" w:rsidRPr="00A87849" w:rsidRDefault="001505CE" w:rsidP="000A6489">
            <w:pPr>
              <w:autoSpaceDE w:val="0"/>
              <w:autoSpaceDN w:val="0"/>
              <w:adjustRightInd w:val="0"/>
              <w:spacing w:after="120"/>
              <w:jc w:val="both"/>
              <w:rPr>
                <w:rFonts w:ascii="Times New Roman" w:hAnsi="Times New Roman" w:cs="Times New Roman"/>
                <w:sz w:val="24"/>
              </w:rPr>
            </w:pPr>
            <w:r w:rsidRPr="00A87849">
              <w:rPr>
                <w:rFonts w:ascii="Times New Roman" w:hAnsi="Times New Roman"/>
              </w:rPr>
              <w:t>–</w:t>
            </w:r>
            <w:r w:rsidR="00A87849">
              <w:rPr>
                <w:rFonts w:ascii="Times New Roman" w:hAnsi="Times New Roman"/>
              </w:rPr>
              <w:t xml:space="preserve"> v </w:t>
            </w:r>
            <w:r w:rsidRPr="00A87849">
              <w:rPr>
                <w:rFonts w:ascii="Times New Roman" w:hAnsi="Times New Roman"/>
              </w:rPr>
              <w:t>rámci triedy expozícií „retailové expozície“ rozčlenenie</w:t>
            </w:r>
            <w:r w:rsidR="00A87849">
              <w:rPr>
                <w:rFonts w:ascii="Times New Roman" w:hAnsi="Times New Roman"/>
              </w:rPr>
              <w:t xml:space="preserve"> v </w:t>
            </w:r>
            <w:r w:rsidRPr="00A87849">
              <w:rPr>
                <w:rFonts w:ascii="Times New Roman" w:hAnsi="Times New Roman"/>
              </w:rPr>
              <w:t>súlade</w:t>
            </w:r>
            <w:r w:rsidR="00A87849">
              <w:rPr>
                <w:rFonts w:ascii="Times New Roman" w:hAnsi="Times New Roman"/>
              </w:rPr>
              <w:t xml:space="preserve"> s </w:t>
            </w:r>
            <w:r w:rsidRPr="00A87849">
              <w:rPr>
                <w:rFonts w:ascii="Times New Roman" w:hAnsi="Times New Roman"/>
              </w:rPr>
              <w:t>článkom 147 ods. 2 písm. d) bodmi i), ii), iii)</w:t>
            </w:r>
            <w:r w:rsidR="00A87849">
              <w:rPr>
                <w:rFonts w:ascii="Times New Roman" w:hAnsi="Times New Roman"/>
              </w:rPr>
              <w:t xml:space="preserve"> a </w:t>
            </w:r>
            <w:r w:rsidRPr="00A87849">
              <w:rPr>
                <w:rFonts w:ascii="Times New Roman" w:hAnsi="Times New Roman"/>
              </w:rPr>
              <w:t>iv).</w:t>
            </w:r>
          </w:p>
        </w:tc>
      </w:tr>
      <w:tr w:rsidR="00087388" w:rsidRPr="00A87849" w14:paraId="2396F8AA" w14:textId="77777777" w:rsidTr="11F50173">
        <w:trPr>
          <w:trHeight w:val="841"/>
        </w:trPr>
        <w:tc>
          <w:tcPr>
            <w:tcW w:w="1413" w:type="dxa"/>
          </w:tcPr>
          <w:p w14:paraId="4237E745" w14:textId="77777777" w:rsidR="00087388" w:rsidRPr="00A87849" w:rsidRDefault="00087388" w:rsidP="00725D4D">
            <w:pPr>
              <w:pStyle w:val="Applicationdirecte"/>
              <w:spacing w:before="0"/>
            </w:pPr>
            <w:r w:rsidRPr="00A87849">
              <w:t>a (F-IRB)</w:t>
            </w:r>
          </w:p>
        </w:tc>
        <w:tc>
          <w:tcPr>
            <w:tcW w:w="7626" w:type="dxa"/>
          </w:tcPr>
          <w:p w14:paraId="7E69C8DB" w14:textId="77777777" w:rsidR="00087388" w:rsidRPr="00A87849" w:rsidRDefault="00087388" w:rsidP="00725D4D">
            <w:pPr>
              <w:spacing w:after="120"/>
              <w:jc w:val="both"/>
              <w:rPr>
                <w:rFonts w:ascii="Times New Roman" w:hAnsi="Times New Roman" w:cs="Times New Roman"/>
                <w:b/>
                <w:sz w:val="24"/>
              </w:rPr>
            </w:pPr>
            <w:r w:rsidRPr="00A87849">
              <w:rPr>
                <w:rFonts w:ascii="Times New Roman" w:hAnsi="Times New Roman"/>
                <w:b/>
                <w:sz w:val="24"/>
              </w:rPr>
              <w:t>Triedy expozícií</w:t>
            </w:r>
          </w:p>
          <w:p w14:paraId="74D84A0D" w14:textId="00B5D7C1" w:rsidR="00087388" w:rsidRPr="00A87849" w:rsidRDefault="00087388" w:rsidP="11F50173">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Inštitúcie zverejňujú pre každú triedu expozícií uvedenú</w:t>
            </w:r>
            <w:r w:rsidR="00A87849">
              <w:rPr>
                <w:rFonts w:ascii="Times New Roman" w:hAnsi="Times New Roman"/>
                <w:sz w:val="24"/>
              </w:rPr>
              <w:t xml:space="preserve"> v </w:t>
            </w:r>
            <w:r w:rsidRPr="00A87849">
              <w:rPr>
                <w:rFonts w:ascii="Times New Roman" w:hAnsi="Times New Roman"/>
                <w:sz w:val="24"/>
              </w:rPr>
              <w:t xml:space="preserve">článku 147 ods. 2 nariadenia (EÚ) </w:t>
            </w:r>
            <w:r w:rsidR="00A87849">
              <w:rPr>
                <w:rFonts w:ascii="Times New Roman" w:hAnsi="Times New Roman"/>
                <w:sz w:val="24"/>
              </w:rPr>
              <w:t>č. </w:t>
            </w:r>
            <w:r w:rsidRPr="00A87849">
              <w:rPr>
                <w:rFonts w:ascii="Times New Roman" w:hAnsi="Times New Roman"/>
                <w:sz w:val="24"/>
              </w:rPr>
              <w:t>575/2013 samostatný vzor</w:t>
            </w:r>
            <w:r w:rsidR="00A87849">
              <w:rPr>
                <w:rFonts w:ascii="Times New Roman" w:hAnsi="Times New Roman"/>
                <w:sz w:val="24"/>
              </w:rPr>
              <w:t xml:space="preserve"> s </w:t>
            </w:r>
            <w:r w:rsidRPr="00A87849">
              <w:rPr>
                <w:rFonts w:ascii="Times New Roman" w:hAnsi="Times New Roman"/>
                <w:sz w:val="24"/>
              </w:rPr>
              <w:t>ďalším rozčlenením týchto tried expozícií:</w:t>
            </w:r>
          </w:p>
          <w:p w14:paraId="2AD4AA46" w14:textId="6D894305" w:rsidR="00CB5E48" w:rsidRPr="00A87849" w:rsidRDefault="00CB5E48" w:rsidP="00CB5E48">
            <w:pPr>
              <w:spacing w:after="120"/>
              <w:jc w:val="both"/>
              <w:rPr>
                <w:rFonts w:ascii="Times New Roman" w:hAnsi="Times New Roman" w:cs="Times New Roman"/>
                <w:sz w:val="24"/>
              </w:rPr>
            </w:pPr>
            <w:r w:rsidRPr="00A87849">
              <w:rPr>
                <w:rFonts w:ascii="Times New Roman" w:hAnsi="Times New Roman"/>
                <w:sz w:val="24"/>
              </w:rPr>
              <w:t>–</w:t>
            </w:r>
            <w:r w:rsidR="00A87849">
              <w:rPr>
                <w:rFonts w:ascii="Times New Roman" w:hAnsi="Times New Roman"/>
                <w:sz w:val="24"/>
              </w:rPr>
              <w:t xml:space="preserve"> v </w:t>
            </w:r>
            <w:r w:rsidRPr="00A87849">
              <w:rPr>
                <w:rFonts w:ascii="Times New Roman" w:hAnsi="Times New Roman"/>
                <w:sz w:val="24"/>
              </w:rPr>
              <w:t>rámci triedy expozícií „expozície voči podnikateľským subjektom“ rozčlenenie</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článkom 147 ods. 2 písm. c) bodmi i), ii)</w:t>
            </w:r>
            <w:r w:rsidR="00A87849">
              <w:rPr>
                <w:rFonts w:ascii="Times New Roman" w:hAnsi="Times New Roman"/>
                <w:sz w:val="24"/>
              </w:rPr>
              <w:t xml:space="preserve"> a </w:t>
            </w:r>
            <w:r w:rsidRPr="00A87849">
              <w:rPr>
                <w:rFonts w:ascii="Times New Roman" w:hAnsi="Times New Roman"/>
                <w:sz w:val="24"/>
              </w:rPr>
              <w:t>iii).</w:t>
            </w:r>
          </w:p>
          <w:p w14:paraId="01792FD8" w14:textId="4F8E6E73" w:rsidR="00087388" w:rsidRPr="00A8784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A87849" w14:paraId="378B22BB" w14:textId="77777777" w:rsidTr="11F50173">
        <w:trPr>
          <w:trHeight w:val="841"/>
        </w:trPr>
        <w:tc>
          <w:tcPr>
            <w:tcW w:w="1413" w:type="dxa"/>
          </w:tcPr>
          <w:p w14:paraId="305C6D05" w14:textId="77777777" w:rsidR="00087388" w:rsidRPr="00A87849" w:rsidRDefault="00087388" w:rsidP="00725D4D">
            <w:pPr>
              <w:pStyle w:val="Applicationdirecte"/>
              <w:spacing w:before="0"/>
            </w:pPr>
            <w:r w:rsidRPr="00A87849">
              <w:t xml:space="preserve"> b</w:t>
            </w:r>
          </w:p>
        </w:tc>
        <w:tc>
          <w:tcPr>
            <w:tcW w:w="7626" w:type="dxa"/>
          </w:tcPr>
          <w:p w14:paraId="0D2F2153" w14:textId="77777777" w:rsidR="00087388" w:rsidRPr="00A87849" w:rsidRDefault="00087388" w:rsidP="00725D4D">
            <w:pPr>
              <w:pStyle w:val="Applicationdirecte"/>
              <w:spacing w:before="0"/>
              <w:rPr>
                <w:b/>
              </w:rPr>
            </w:pPr>
            <w:r w:rsidRPr="00A87849">
              <w:rPr>
                <w:b/>
              </w:rPr>
              <w:t>Rozsah PD</w:t>
            </w:r>
          </w:p>
          <w:p w14:paraId="1AEE4784" w14:textId="5BEE7615"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Ide</w:t>
            </w:r>
            <w:r w:rsidR="00A87849">
              <w:rPr>
                <w:rFonts w:ascii="Times New Roman" w:hAnsi="Times New Roman"/>
                <w:sz w:val="24"/>
              </w:rPr>
              <w:t xml:space="preserve"> o </w:t>
            </w:r>
            <w:r w:rsidRPr="00A87849">
              <w:rPr>
                <w:rFonts w:ascii="Times New Roman" w:hAnsi="Times New Roman"/>
                <w:sz w:val="24"/>
              </w:rPr>
              <w:t>pevný rozsah PD, ktorý sa nesmie meniť.</w:t>
            </w:r>
          </w:p>
          <w:p w14:paraId="5C4179D2" w14:textId="413EA044" w:rsidR="00087388" w:rsidRPr="00A87849" w:rsidRDefault="00087388" w:rsidP="00725D4D">
            <w:pPr>
              <w:spacing w:after="120"/>
              <w:jc w:val="both"/>
              <w:rPr>
                <w:rFonts w:ascii="Times New Roman" w:hAnsi="Times New Roman" w:cs="Times New Roman"/>
                <w:sz w:val="24"/>
              </w:rPr>
            </w:pPr>
            <w:r w:rsidRPr="00A87849">
              <w:rPr>
                <w:rFonts w:ascii="Times New Roman" w:hAnsi="Times New Roman"/>
                <w:sz w:val="24"/>
              </w:rPr>
              <w:t xml:space="preserve">Expozície sa zaraďujú do príslušnej skupiny pevného rozsahu PD na základe PD odhadovanej na začiatku obdobia zverejňovania informácií pre každého dlžníka zaradeného do tejto triedy expozícií (bez zohľadnenia substitučných </w:t>
            </w:r>
            <w:r w:rsidRPr="00A87849">
              <w:rPr>
                <w:rFonts w:ascii="Times New Roman" w:hAnsi="Times New Roman"/>
                <w:sz w:val="24"/>
              </w:rPr>
              <w:lastRenderedPageBreak/>
              <w:t>účinkov</w:t>
            </w:r>
            <w:r w:rsidR="00A87849">
              <w:rPr>
                <w:rFonts w:ascii="Times New Roman" w:hAnsi="Times New Roman"/>
                <w:sz w:val="24"/>
              </w:rPr>
              <w:t xml:space="preserve"> z </w:t>
            </w:r>
            <w:r w:rsidRPr="00A87849">
              <w:rPr>
                <w:rFonts w:ascii="Times New Roman" w:hAnsi="Times New Roman"/>
                <w:sz w:val="24"/>
              </w:rPr>
              <w:t>dôvodu zmierňovania kreditného rizika).  Všetky expozície</w:t>
            </w:r>
            <w:r w:rsidR="00A87849">
              <w:rPr>
                <w:rFonts w:ascii="Times New Roman" w:hAnsi="Times New Roman"/>
                <w:sz w:val="24"/>
              </w:rPr>
              <w:t xml:space="preserve"> v </w:t>
            </w:r>
            <w:r w:rsidRPr="00A87849">
              <w:rPr>
                <w:rFonts w:ascii="Times New Roman" w:hAnsi="Times New Roman"/>
                <w:sz w:val="24"/>
              </w:rPr>
              <w:t>stave zlyhania sa zahŕňajú do skupiny predstavujúcej PD na úrovni 100</w:t>
            </w:r>
            <w:r w:rsidR="00A87849">
              <w:rPr>
                <w:rFonts w:ascii="Times New Roman" w:hAnsi="Times New Roman"/>
                <w:sz w:val="24"/>
              </w:rPr>
              <w:t> %</w:t>
            </w:r>
            <w:r w:rsidRPr="00A87849">
              <w:rPr>
                <w:rFonts w:ascii="Times New Roman" w:hAnsi="Times New Roman"/>
                <w:sz w:val="24"/>
              </w:rPr>
              <w:t>.</w:t>
            </w:r>
          </w:p>
        </w:tc>
      </w:tr>
      <w:tr w:rsidR="00087388" w:rsidRPr="00A87849" w14:paraId="2DDDAD83" w14:textId="77777777" w:rsidTr="11F50173">
        <w:trPr>
          <w:trHeight w:val="554"/>
        </w:trPr>
        <w:tc>
          <w:tcPr>
            <w:tcW w:w="1413" w:type="dxa"/>
          </w:tcPr>
          <w:p w14:paraId="214A12E9" w14:textId="77777777" w:rsidR="00087388" w:rsidRPr="00A87849" w:rsidRDefault="00087388" w:rsidP="00725D4D">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lastRenderedPageBreak/>
              <w:t>c, d</w:t>
            </w:r>
          </w:p>
        </w:tc>
        <w:tc>
          <w:tcPr>
            <w:tcW w:w="7626" w:type="dxa"/>
          </w:tcPr>
          <w:p w14:paraId="11C6CB32" w14:textId="77777777" w:rsidR="00087388" w:rsidRPr="00A87849" w:rsidRDefault="00087388" w:rsidP="00725D4D">
            <w:pPr>
              <w:autoSpaceDE w:val="0"/>
              <w:autoSpaceDN w:val="0"/>
              <w:adjustRightInd w:val="0"/>
              <w:spacing w:after="120"/>
              <w:jc w:val="both"/>
              <w:rPr>
                <w:rFonts w:ascii="Times New Roman" w:hAnsi="Times New Roman" w:cs="Times New Roman"/>
                <w:b/>
                <w:sz w:val="24"/>
              </w:rPr>
            </w:pPr>
            <w:r w:rsidRPr="00A87849">
              <w:rPr>
                <w:rFonts w:ascii="Times New Roman" w:hAnsi="Times New Roman"/>
                <w:b/>
                <w:sz w:val="24"/>
              </w:rPr>
              <w:t>Počet dlžníkov ku koncu predchádzajúceho roka</w:t>
            </w:r>
          </w:p>
          <w:p w14:paraId="1DD023C5" w14:textId="77777777" w:rsidR="00A87849" w:rsidRDefault="00087388" w:rsidP="00725D4D">
            <w:pPr>
              <w:autoSpaceDE w:val="0"/>
              <w:autoSpaceDN w:val="0"/>
              <w:adjustRightInd w:val="0"/>
              <w:spacing w:after="120"/>
              <w:jc w:val="both"/>
              <w:rPr>
                <w:rFonts w:ascii="Times New Roman" w:hAnsi="Times New Roman"/>
                <w:sz w:val="24"/>
              </w:rPr>
            </w:pPr>
            <w:r w:rsidRPr="00A87849">
              <w:rPr>
                <w:rFonts w:ascii="Times New Roman" w:hAnsi="Times New Roman"/>
                <w:sz w:val="24"/>
              </w:rPr>
              <w:t>Inštitúcie zverejňujú tieto dva súbory informácií</w:t>
            </w:r>
            <w:r w:rsidR="00A87849">
              <w:rPr>
                <w:rFonts w:ascii="Times New Roman" w:hAnsi="Times New Roman"/>
                <w:sz w:val="24"/>
              </w:rPr>
              <w:t>:</w:t>
            </w:r>
          </w:p>
          <w:p w14:paraId="337D986F" w14:textId="4F73855D" w:rsidR="00087388" w:rsidRPr="00A87849"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sidRPr="00A87849">
              <w:rPr>
                <w:rFonts w:ascii="Times New Roman" w:hAnsi="Times New Roman"/>
                <w:sz w:val="24"/>
              </w:rPr>
              <w:t>počet dlžníkov ku koncu predchádzajúceho roka (stĺpec C tohto vzoru);</w:t>
            </w:r>
          </w:p>
          <w:p w14:paraId="2A725C42" w14:textId="77777777" w:rsidR="00A87849" w:rsidRDefault="00087388" w:rsidP="000A6489">
            <w:pPr>
              <w:pStyle w:val="ListParagraph"/>
              <w:autoSpaceDE w:val="0"/>
              <w:autoSpaceDN w:val="0"/>
              <w:adjustRightInd w:val="0"/>
              <w:spacing w:after="120"/>
              <w:ind w:left="598"/>
              <w:jc w:val="both"/>
              <w:rPr>
                <w:rFonts w:ascii="Times New Roman" w:hAnsi="Times New Roman"/>
                <w:sz w:val="24"/>
              </w:rPr>
            </w:pPr>
            <w:r w:rsidRPr="00A87849">
              <w:rPr>
                <w:rFonts w:ascii="Times New Roman" w:hAnsi="Times New Roman"/>
                <w:sz w:val="24"/>
              </w:rPr>
              <w:t>počet dlžníkov, ktorí podliehajú zverejňovaniu, ku koncu predchádzajúceho roka</w:t>
            </w:r>
            <w:r w:rsidR="00A87849">
              <w:rPr>
                <w:rFonts w:ascii="Times New Roman" w:hAnsi="Times New Roman"/>
                <w:sz w:val="24"/>
              </w:rPr>
              <w:t>.</w:t>
            </w:r>
          </w:p>
          <w:p w14:paraId="2C3FAF78" w14:textId="4195698F" w:rsidR="00087388" w:rsidRPr="00A87849"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sidRPr="00A87849">
              <w:rPr>
                <w:rFonts w:ascii="Times New Roman" w:hAnsi="Times New Roman"/>
                <w:sz w:val="24"/>
              </w:rPr>
              <w:t>V oboch prípadoch sa zahŕňajú všetci dlžníci, ktorí majú</w:t>
            </w:r>
            <w:r w:rsidR="00A87849">
              <w:rPr>
                <w:rFonts w:ascii="Times New Roman" w:hAnsi="Times New Roman"/>
                <w:sz w:val="24"/>
              </w:rPr>
              <w:t xml:space="preserve"> v </w:t>
            </w:r>
            <w:r w:rsidRPr="00A87849">
              <w:rPr>
                <w:rFonts w:ascii="Times New Roman" w:hAnsi="Times New Roman"/>
                <w:sz w:val="24"/>
              </w:rPr>
              <w:t>príslušnom čase kreditný záväzok.</w:t>
            </w:r>
          </w:p>
          <w:p w14:paraId="389A83F1" w14:textId="77777777" w:rsidR="00A87849" w:rsidRDefault="00087388" w:rsidP="000A6489">
            <w:pPr>
              <w:pStyle w:val="ListParagraph"/>
              <w:autoSpaceDE w:val="0"/>
              <w:autoSpaceDN w:val="0"/>
              <w:adjustRightInd w:val="0"/>
              <w:spacing w:after="120"/>
              <w:ind w:left="598"/>
              <w:jc w:val="both"/>
              <w:rPr>
                <w:rFonts w:ascii="Times New Roman" w:hAnsi="Times New Roman"/>
                <w:sz w:val="24"/>
              </w:rPr>
            </w:pPr>
            <w:r w:rsidRPr="00A87849">
              <w:rPr>
                <w:rFonts w:ascii="Times New Roman" w:hAnsi="Times New Roman"/>
                <w:sz w:val="24"/>
              </w:rPr>
              <w:t>Inštitúcie zverejňujú počet právnych subjektov alebo dlžníkov priradených ku koncu predchádzajúceho roka ku každej skupine pevného rozsahu PD, ktorí boli osobitne ohodnotení, bez ohľadu na počet jednotlivých poskytnutých úverov alebo expozícií</w:t>
            </w:r>
            <w:r w:rsidR="00A87849">
              <w:rPr>
                <w:rFonts w:ascii="Times New Roman" w:hAnsi="Times New Roman"/>
                <w:sz w:val="24"/>
              </w:rPr>
              <w:t>.</w:t>
            </w:r>
          </w:p>
          <w:p w14:paraId="48067599" w14:textId="7D9212EA" w:rsidR="00A87849" w:rsidRDefault="00087388" w:rsidP="000A6489">
            <w:pPr>
              <w:pStyle w:val="ListParagraph"/>
              <w:autoSpaceDE w:val="0"/>
              <w:autoSpaceDN w:val="0"/>
              <w:adjustRightInd w:val="0"/>
              <w:spacing w:after="120"/>
              <w:ind w:left="598"/>
              <w:jc w:val="both"/>
              <w:rPr>
                <w:rFonts w:ascii="Times New Roman" w:hAnsi="Times New Roman"/>
                <w:sz w:val="24"/>
              </w:rPr>
            </w:pPr>
            <w:r w:rsidRPr="00A87849">
              <w:rPr>
                <w:rFonts w:ascii="Times New Roman" w:hAnsi="Times New Roman"/>
                <w:sz w:val="24"/>
              </w:rPr>
              <w:t>So spoločnými dlžníkmi sa zaobchádza rovnako ako na účely kalibrácie PD. Ak sa jednotlivé expozície voči tomu istému dlžníkovi ohodnocujú osobitne, spočítavajú sa osobitne. Takáto situácia môže nastať</w:t>
            </w:r>
            <w:r w:rsidR="00A87849">
              <w:rPr>
                <w:rFonts w:ascii="Times New Roman" w:hAnsi="Times New Roman"/>
                <w:sz w:val="24"/>
              </w:rPr>
              <w:t xml:space="preserve"> v </w:t>
            </w:r>
            <w:r w:rsidRPr="00A87849">
              <w:rPr>
                <w:rFonts w:ascii="Times New Roman" w:hAnsi="Times New Roman"/>
                <w:sz w:val="24"/>
              </w:rPr>
              <w:t>rámci triedy retailových expozícií, ak sa vymedzenie zlyhania uplatňuje na úrovni individuálnych kreditných facilít</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178 ods. 1 poslednou vetou nariadenia (EÚ) </w:t>
            </w:r>
            <w:r w:rsidR="00A87849">
              <w:rPr>
                <w:rFonts w:ascii="Times New Roman" w:hAnsi="Times New Roman"/>
                <w:sz w:val="24"/>
              </w:rPr>
              <w:t>č. </w:t>
            </w:r>
            <w:r w:rsidRPr="00A87849">
              <w:rPr>
                <w:rFonts w:ascii="Times New Roman" w:hAnsi="Times New Roman"/>
                <w:sz w:val="24"/>
              </w:rPr>
              <w:t>575/2013. Takáto situácia môže nastať aj vtedy, ak sa samostatné expozície voči tomu istému dlžníkovi zaradia do rôznych ratingových stupňov dlžníkov</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172 ods. 1 písm. e) druhou vetou nariadenia (EÚ) </w:t>
            </w:r>
            <w:r w:rsidR="00A87849">
              <w:rPr>
                <w:rFonts w:ascii="Times New Roman" w:hAnsi="Times New Roman"/>
                <w:sz w:val="24"/>
              </w:rPr>
              <w:t>č. </w:t>
            </w:r>
            <w:r w:rsidRPr="00A87849">
              <w:rPr>
                <w:rFonts w:ascii="Times New Roman" w:hAnsi="Times New Roman"/>
                <w:sz w:val="24"/>
              </w:rPr>
              <w:t>575/2013</w:t>
            </w:r>
            <w:r w:rsidR="00A87849">
              <w:rPr>
                <w:rFonts w:ascii="Times New Roman" w:hAnsi="Times New Roman"/>
                <w:sz w:val="24"/>
              </w:rPr>
              <w:t xml:space="preserve"> v </w:t>
            </w:r>
            <w:r w:rsidRPr="00A87849">
              <w:rPr>
                <w:rFonts w:ascii="Times New Roman" w:hAnsi="Times New Roman"/>
                <w:sz w:val="24"/>
              </w:rPr>
              <w:t>iných triedach expozícií</w:t>
            </w:r>
            <w:r w:rsidR="00A87849">
              <w:rPr>
                <w:rFonts w:ascii="Times New Roman" w:hAnsi="Times New Roman"/>
                <w:sz w:val="24"/>
              </w:rPr>
              <w:t>;</w:t>
            </w:r>
          </w:p>
          <w:p w14:paraId="5F6ED66A" w14:textId="6531F164" w:rsidR="001505CE" w:rsidRPr="00A87849" w:rsidRDefault="00087388" w:rsidP="000A6489">
            <w:pPr>
              <w:pStyle w:val="ListParagraph"/>
              <w:numPr>
                <w:ilvl w:val="0"/>
                <w:numId w:val="4"/>
              </w:numPr>
              <w:spacing w:after="120"/>
              <w:ind w:left="598" w:hanging="598"/>
              <w:jc w:val="both"/>
              <w:rPr>
                <w:rFonts w:ascii="Times New Roman" w:hAnsi="Times New Roman"/>
                <w:sz w:val="24"/>
              </w:rPr>
            </w:pPr>
            <w:r w:rsidRPr="00A87849">
              <w:rPr>
                <w:rFonts w:ascii="Times New Roman" w:hAnsi="Times New Roman"/>
                <w:sz w:val="24"/>
              </w:rPr>
              <w:t>z čoho počet dlžníkov, ktorí zlyhali počas roka predchádzajúceho dátumu zverejnenia (stĺpec d tohto vzoru).</w:t>
            </w:r>
          </w:p>
          <w:p w14:paraId="42A4D76F" w14:textId="7CA0860D" w:rsidR="00087388" w:rsidRPr="00A87849" w:rsidRDefault="00087388" w:rsidP="000A6489">
            <w:pPr>
              <w:pStyle w:val="ListParagraph"/>
              <w:spacing w:after="120"/>
              <w:ind w:left="598"/>
              <w:jc w:val="both"/>
              <w:rPr>
                <w:rFonts w:ascii="Times New Roman" w:hAnsi="Times New Roman"/>
                <w:sz w:val="24"/>
              </w:rPr>
            </w:pPr>
            <w:r w:rsidRPr="00A87849">
              <w:rPr>
                <w:rFonts w:ascii="Times New Roman" w:hAnsi="Times New Roman"/>
                <w:sz w:val="24"/>
              </w:rPr>
              <w:t>Ide</w:t>
            </w:r>
            <w:r w:rsidR="00A87849">
              <w:rPr>
                <w:rFonts w:ascii="Times New Roman" w:hAnsi="Times New Roman"/>
                <w:sz w:val="24"/>
              </w:rPr>
              <w:t xml:space="preserve"> o </w:t>
            </w:r>
            <w:r w:rsidRPr="00A87849">
              <w:rPr>
                <w:rFonts w:ascii="Times New Roman" w:hAnsi="Times New Roman"/>
                <w:sz w:val="24"/>
              </w:rPr>
              <w:t>podmnožinu stĺpca C tohto vzoru, ktorá predstavuje počet dlžníkov, ktorí počas roka zlyhali. Zlyhania sa určujú</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 xml:space="preserve">článkom 178 nariadenia (EÚ) </w:t>
            </w:r>
            <w:r w:rsidR="00A87849">
              <w:rPr>
                <w:rFonts w:ascii="Times New Roman" w:hAnsi="Times New Roman"/>
                <w:sz w:val="24"/>
              </w:rPr>
              <w:t>č. </w:t>
            </w:r>
            <w:r w:rsidRPr="00A87849">
              <w:rPr>
                <w:rFonts w:ascii="Times New Roman" w:hAnsi="Times New Roman"/>
                <w:sz w:val="24"/>
              </w:rPr>
              <w:t>575/2013. Každý dlžník, ktorý zlyhal, sa započítava do čitateľa</w:t>
            </w:r>
            <w:r w:rsidR="00A87849">
              <w:rPr>
                <w:rFonts w:ascii="Times New Roman" w:hAnsi="Times New Roman"/>
                <w:sz w:val="24"/>
              </w:rPr>
              <w:t xml:space="preserve"> a </w:t>
            </w:r>
            <w:r w:rsidRPr="00A87849">
              <w:rPr>
                <w:rFonts w:ascii="Times New Roman" w:hAnsi="Times New Roman"/>
                <w:sz w:val="24"/>
              </w:rPr>
              <w:t>menovateľa pri výpočte jednoročnej miery zlyhania len raz,</w:t>
            </w:r>
            <w:r w:rsidR="00A87849">
              <w:rPr>
                <w:rFonts w:ascii="Times New Roman" w:hAnsi="Times New Roman"/>
                <w:sz w:val="24"/>
              </w:rPr>
              <w:t xml:space="preserve"> a </w:t>
            </w:r>
            <w:r w:rsidRPr="00A87849">
              <w:rPr>
                <w:rFonts w:ascii="Times New Roman" w:hAnsi="Times New Roman"/>
                <w:sz w:val="24"/>
              </w:rPr>
              <w:t>to aj vtedy, ak dlžník počas príslušného jednoročného obdobia zlyhal viac ako raz.</w:t>
            </w:r>
          </w:p>
        </w:tc>
      </w:tr>
      <w:tr w:rsidR="00087388" w:rsidRPr="00A87849" w14:paraId="677F40C0" w14:textId="77777777" w:rsidTr="11F50173">
        <w:trPr>
          <w:trHeight w:val="316"/>
        </w:trPr>
        <w:tc>
          <w:tcPr>
            <w:tcW w:w="1413" w:type="dxa"/>
          </w:tcPr>
          <w:p w14:paraId="6D57B0F0" w14:textId="77777777" w:rsidR="00087388" w:rsidRPr="00A87849" w:rsidRDefault="00087388" w:rsidP="00725D4D">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t>e</w:t>
            </w:r>
          </w:p>
        </w:tc>
        <w:tc>
          <w:tcPr>
            <w:tcW w:w="7626" w:type="dxa"/>
          </w:tcPr>
          <w:p w14:paraId="585D55D1" w14:textId="77777777" w:rsidR="00087388" w:rsidRPr="00A87849" w:rsidRDefault="00087388" w:rsidP="00725D4D">
            <w:pPr>
              <w:autoSpaceDE w:val="0"/>
              <w:autoSpaceDN w:val="0"/>
              <w:adjustRightInd w:val="0"/>
              <w:spacing w:after="120"/>
              <w:jc w:val="both"/>
              <w:rPr>
                <w:rFonts w:ascii="Times New Roman" w:hAnsi="Times New Roman" w:cs="Times New Roman"/>
                <w:b/>
                <w:sz w:val="24"/>
              </w:rPr>
            </w:pPr>
            <w:r w:rsidRPr="00A87849">
              <w:rPr>
                <w:rFonts w:ascii="Times New Roman" w:hAnsi="Times New Roman"/>
                <w:b/>
                <w:sz w:val="24"/>
              </w:rPr>
              <w:t>Pozorovaná priemerná miera zlyhania</w:t>
            </w:r>
          </w:p>
          <w:p w14:paraId="342F1D67" w14:textId="7D98A064" w:rsidR="00087388" w:rsidRPr="00A87849" w:rsidRDefault="00087388" w:rsidP="11F50173">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Aritmetický priemer jednoročných mier zlyhania</w:t>
            </w:r>
            <w:r w:rsidR="00A87849">
              <w:rPr>
                <w:rFonts w:ascii="Times New Roman" w:hAnsi="Times New Roman"/>
                <w:sz w:val="24"/>
              </w:rPr>
              <w:t xml:space="preserve"> v </w:t>
            </w:r>
            <w:r w:rsidRPr="00A87849">
              <w:rPr>
                <w:rFonts w:ascii="Times New Roman" w:hAnsi="Times New Roman"/>
                <w:sz w:val="24"/>
              </w:rPr>
              <w:t>zmysle vymedzenia</w:t>
            </w:r>
            <w:r w:rsidR="00A87849">
              <w:rPr>
                <w:rFonts w:ascii="Times New Roman" w:hAnsi="Times New Roman"/>
                <w:sz w:val="24"/>
              </w:rPr>
              <w:t xml:space="preserve"> v </w:t>
            </w:r>
            <w:r w:rsidRPr="00A87849">
              <w:rPr>
                <w:rFonts w:ascii="Times New Roman" w:hAnsi="Times New Roman"/>
                <w:sz w:val="24"/>
              </w:rPr>
              <w:t xml:space="preserve">článku 4 ods. 1 bode 78 nariadenia (EÚ) </w:t>
            </w:r>
            <w:r w:rsidR="00A87849">
              <w:rPr>
                <w:rFonts w:ascii="Times New Roman" w:hAnsi="Times New Roman"/>
                <w:sz w:val="24"/>
              </w:rPr>
              <w:t>č. </w:t>
            </w:r>
            <w:r w:rsidRPr="00A87849">
              <w:rPr>
                <w:rFonts w:ascii="Times New Roman" w:hAnsi="Times New Roman"/>
                <w:sz w:val="24"/>
              </w:rPr>
              <w:t>575/2013, pozorovaných</w:t>
            </w:r>
            <w:r w:rsidR="00A87849">
              <w:rPr>
                <w:rFonts w:ascii="Times New Roman" w:hAnsi="Times New Roman"/>
                <w:sz w:val="24"/>
              </w:rPr>
              <w:t xml:space="preserve"> v </w:t>
            </w:r>
            <w:r w:rsidRPr="00A87849">
              <w:rPr>
                <w:rFonts w:ascii="Times New Roman" w:hAnsi="Times New Roman"/>
                <w:sz w:val="24"/>
              </w:rPr>
              <w:t>rámci dostupného súboru údajov.</w:t>
            </w:r>
          </w:p>
          <w:p w14:paraId="4FD8B958" w14:textId="77777777"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Inštitúcie pri výpočte jednoročných mier zlyhania zabezpečujú obe tieto skutočnosti:</w:t>
            </w:r>
          </w:p>
          <w:p w14:paraId="4172021F" w14:textId="2A975F5F"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a) že menovateľ pozostáva</w:t>
            </w:r>
            <w:r w:rsidR="00A87849">
              <w:rPr>
                <w:rFonts w:ascii="Times New Roman" w:hAnsi="Times New Roman"/>
                <w:sz w:val="24"/>
              </w:rPr>
              <w:t xml:space="preserve"> z </w:t>
            </w:r>
            <w:r w:rsidRPr="00A87849">
              <w:rPr>
                <w:rFonts w:ascii="Times New Roman" w:hAnsi="Times New Roman"/>
                <w:sz w:val="24"/>
              </w:rPr>
              <w:t>počtu dlžníkov, ktorí nezlyhali,</w:t>
            </w:r>
            <w:r w:rsidR="00A87849">
              <w:rPr>
                <w:rFonts w:ascii="Times New Roman" w:hAnsi="Times New Roman"/>
                <w:sz w:val="24"/>
              </w:rPr>
              <w:t xml:space="preserve"> s </w:t>
            </w:r>
            <w:r w:rsidRPr="00A87849">
              <w:rPr>
                <w:rFonts w:ascii="Times New Roman" w:hAnsi="Times New Roman"/>
                <w:sz w:val="24"/>
              </w:rPr>
              <w:t>akýmkoľvek kreditným záväzkom pozorovaným na začiatku jednoročného obdobia pozorovania (začiatok predchádzajúceho obdobia zverejňovania informácií, t. j. začiatok roka pred referenčným dátumom zverejňovania informácií);</w:t>
            </w:r>
            <w:r w:rsidR="00A87849">
              <w:rPr>
                <w:rFonts w:ascii="Times New Roman" w:hAnsi="Times New Roman"/>
                <w:sz w:val="24"/>
              </w:rPr>
              <w:t xml:space="preserve"> v </w:t>
            </w:r>
            <w:r w:rsidRPr="00A87849">
              <w:rPr>
                <w:rFonts w:ascii="Times New Roman" w:hAnsi="Times New Roman"/>
                <w:sz w:val="24"/>
              </w:rPr>
              <w:t>tejto súvislosti sa kreditný záväzok vzťahuje na obe tieto položky: i) každú súvahovú položku vrátane akejkoľvek hodnoty istiny, úroku</w:t>
            </w:r>
            <w:r w:rsidR="00A87849">
              <w:rPr>
                <w:rFonts w:ascii="Times New Roman" w:hAnsi="Times New Roman"/>
                <w:sz w:val="24"/>
              </w:rPr>
              <w:t xml:space="preserve"> a </w:t>
            </w:r>
            <w:r w:rsidRPr="00A87849">
              <w:rPr>
                <w:rFonts w:ascii="Times New Roman" w:hAnsi="Times New Roman"/>
                <w:sz w:val="24"/>
              </w:rPr>
              <w:t xml:space="preserve">poplatkov; ii) </w:t>
            </w:r>
            <w:r w:rsidRPr="00A87849">
              <w:rPr>
                <w:rFonts w:ascii="Times New Roman" w:hAnsi="Times New Roman"/>
                <w:sz w:val="24"/>
              </w:rPr>
              <w:lastRenderedPageBreak/>
              <w:t>všetky podsúvahové položky vrátane záruk vydaných inštitúciou ako ručiteľom;</w:t>
            </w:r>
          </w:p>
          <w:p w14:paraId="4D080CCD" w14:textId="1B16427F" w:rsidR="00087388" w:rsidRPr="00A87849" w:rsidRDefault="00087388" w:rsidP="00725D4D">
            <w:pPr>
              <w:autoSpaceDE w:val="0"/>
              <w:autoSpaceDN w:val="0"/>
              <w:adjustRightInd w:val="0"/>
              <w:spacing w:after="120"/>
              <w:jc w:val="both"/>
              <w:rPr>
                <w:rFonts w:ascii="Times New Roman" w:hAnsi="Times New Roman" w:cs="Times New Roman"/>
                <w:sz w:val="24"/>
              </w:rPr>
            </w:pPr>
            <w:r w:rsidRPr="00A87849">
              <w:rPr>
                <w:rFonts w:ascii="Times New Roman" w:hAnsi="Times New Roman"/>
                <w:sz w:val="24"/>
              </w:rPr>
              <w:t>b) že do čitateľa sú zahrnutí všetci tí dlžníci zohľadnení</w:t>
            </w:r>
            <w:r w:rsidR="00A87849">
              <w:rPr>
                <w:rFonts w:ascii="Times New Roman" w:hAnsi="Times New Roman"/>
                <w:sz w:val="24"/>
              </w:rPr>
              <w:t xml:space="preserve"> v </w:t>
            </w:r>
            <w:r w:rsidRPr="00A87849">
              <w:rPr>
                <w:rFonts w:ascii="Times New Roman" w:hAnsi="Times New Roman"/>
                <w:sz w:val="24"/>
              </w:rPr>
              <w:t>menovateli,</w:t>
            </w:r>
            <w:r w:rsidR="00A87849">
              <w:rPr>
                <w:rFonts w:ascii="Times New Roman" w:hAnsi="Times New Roman"/>
                <w:sz w:val="24"/>
              </w:rPr>
              <w:t xml:space="preserve"> v </w:t>
            </w:r>
            <w:r w:rsidRPr="00A87849">
              <w:rPr>
                <w:rFonts w:ascii="Times New Roman" w:hAnsi="Times New Roman"/>
                <w:sz w:val="24"/>
              </w:rPr>
              <w:t>prípade ktorých došlo počas jednoročného obdobia pozorovania (rok pred referenčným dátumom zverejňovania informácií) aspoň</w:t>
            </w:r>
            <w:r w:rsidR="00A87849">
              <w:rPr>
                <w:rFonts w:ascii="Times New Roman" w:hAnsi="Times New Roman"/>
                <w:sz w:val="24"/>
              </w:rPr>
              <w:t xml:space="preserve"> k </w:t>
            </w:r>
            <w:r w:rsidRPr="00A87849">
              <w:rPr>
                <w:rFonts w:ascii="Times New Roman" w:hAnsi="Times New Roman"/>
                <w:sz w:val="24"/>
              </w:rPr>
              <w:t>jednému zlyhaniu.</w:t>
            </w:r>
          </w:p>
          <w:p w14:paraId="44140519" w14:textId="7C28AECC" w:rsidR="00087388" w:rsidRPr="00A87849" w:rsidRDefault="00087388" w:rsidP="00725D4D">
            <w:pPr>
              <w:spacing w:after="120"/>
              <w:jc w:val="both"/>
              <w:rPr>
                <w:rFonts w:ascii="Times New Roman" w:hAnsi="Times New Roman" w:cs="Times New Roman"/>
                <w:sz w:val="24"/>
              </w:rPr>
            </w:pPr>
            <w:r w:rsidRPr="00A87849">
              <w:rPr>
                <w:rFonts w:ascii="Times New Roman" w:hAnsi="Times New Roman"/>
                <w:sz w:val="24"/>
              </w:rPr>
              <w:t>Inštitúcie si na výpočet pozorovanej priemernej miery zlyhania zvolia vhodný prístup,</w:t>
            </w:r>
            <w:r w:rsidR="00A87849">
              <w:rPr>
                <w:rFonts w:ascii="Times New Roman" w:hAnsi="Times New Roman"/>
                <w:sz w:val="24"/>
              </w:rPr>
              <w:t xml:space="preserve"> a </w:t>
            </w:r>
            <w:r w:rsidRPr="00A87849">
              <w:rPr>
                <w:rFonts w:ascii="Times New Roman" w:hAnsi="Times New Roman"/>
                <w:sz w:val="24"/>
              </w:rPr>
              <w:t>to spomedzi prístupu založeného na prekrývajúcich sa jednoročných intervaloch</w:t>
            </w:r>
            <w:r w:rsidR="00A87849">
              <w:rPr>
                <w:rFonts w:ascii="Times New Roman" w:hAnsi="Times New Roman"/>
                <w:sz w:val="24"/>
              </w:rPr>
              <w:t xml:space="preserve"> a </w:t>
            </w:r>
            <w:r w:rsidRPr="00A87849">
              <w:rPr>
                <w:rFonts w:ascii="Times New Roman" w:hAnsi="Times New Roman"/>
                <w:sz w:val="24"/>
              </w:rPr>
              <w:t>prístupu založeného na neprekrývajúcich sa jednoročných intervaloch.</w:t>
            </w:r>
          </w:p>
        </w:tc>
      </w:tr>
      <w:tr w:rsidR="00087388" w:rsidRPr="00A87849" w14:paraId="1417BA0F" w14:textId="77777777" w:rsidTr="11F50173">
        <w:trPr>
          <w:trHeight w:val="316"/>
        </w:trPr>
        <w:tc>
          <w:tcPr>
            <w:tcW w:w="1413" w:type="dxa"/>
          </w:tcPr>
          <w:p w14:paraId="41B9DDB7" w14:textId="77777777" w:rsidR="00087388" w:rsidRPr="00A87849" w:rsidRDefault="00087388" w:rsidP="00725D4D">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lastRenderedPageBreak/>
              <w:t>f</w:t>
            </w:r>
          </w:p>
        </w:tc>
        <w:tc>
          <w:tcPr>
            <w:tcW w:w="7626" w:type="dxa"/>
          </w:tcPr>
          <w:p w14:paraId="537B3C8C" w14:textId="77777777" w:rsidR="00087388" w:rsidRPr="00A87849" w:rsidRDefault="00087388" w:rsidP="00725D4D">
            <w:pPr>
              <w:autoSpaceDE w:val="0"/>
              <w:autoSpaceDN w:val="0"/>
              <w:adjustRightInd w:val="0"/>
              <w:spacing w:after="120"/>
              <w:jc w:val="both"/>
              <w:rPr>
                <w:rFonts w:ascii="Times New Roman" w:eastAsia="Times New Roman" w:hAnsi="Times New Roman" w:cs="Times New Roman"/>
                <w:b/>
                <w:sz w:val="24"/>
              </w:rPr>
            </w:pPr>
            <w:r w:rsidRPr="00A87849">
              <w:rPr>
                <w:rFonts w:ascii="Times New Roman" w:hAnsi="Times New Roman"/>
                <w:b/>
                <w:sz w:val="24"/>
              </w:rPr>
              <w:t>Expozíciami vážená priemerná PD (%)</w:t>
            </w:r>
          </w:p>
          <w:p w14:paraId="5F0530EE" w14:textId="47391FCF"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Expozíciami vážená priemerná PD (%), ako sa uvádza</w:t>
            </w:r>
            <w:r w:rsidR="00A87849">
              <w:rPr>
                <w:rFonts w:ascii="Times New Roman" w:hAnsi="Times New Roman"/>
                <w:sz w:val="24"/>
              </w:rPr>
              <w:t xml:space="preserve"> v </w:t>
            </w:r>
            <w:r w:rsidRPr="00A87849">
              <w:rPr>
                <w:rFonts w:ascii="Times New Roman" w:hAnsi="Times New Roman"/>
                <w:sz w:val="24"/>
              </w:rPr>
              <w:t>stĺpci f vzoru EU CR6; pri všetkých expozíciách zahrnutých</w:t>
            </w:r>
            <w:r w:rsidR="00A87849">
              <w:rPr>
                <w:rFonts w:ascii="Times New Roman" w:hAnsi="Times New Roman"/>
                <w:sz w:val="24"/>
              </w:rPr>
              <w:t xml:space="preserve"> v </w:t>
            </w:r>
            <w:r w:rsidRPr="00A87849">
              <w:rPr>
                <w:rFonts w:ascii="Times New Roman" w:hAnsi="Times New Roman"/>
                <w:sz w:val="24"/>
              </w:rPr>
              <w:t>každej skupine pevného rozsahu PD odhad priemernej PD každého dlžníka vážený hodnotou expozície po uplatnení konverzných faktorov úverov</w:t>
            </w:r>
            <w:r w:rsidR="00A87849">
              <w:rPr>
                <w:rFonts w:ascii="Times New Roman" w:hAnsi="Times New Roman"/>
                <w:sz w:val="24"/>
              </w:rPr>
              <w:t xml:space="preserve"> a </w:t>
            </w:r>
            <w:r w:rsidRPr="00A87849">
              <w:rPr>
                <w:rFonts w:ascii="Times New Roman" w:hAnsi="Times New Roman"/>
                <w:sz w:val="24"/>
              </w:rPr>
              <w:t>zmierňovania kreditného rizika, ako sa uvádza</w:t>
            </w:r>
            <w:r w:rsidR="00A87849">
              <w:rPr>
                <w:rFonts w:ascii="Times New Roman" w:hAnsi="Times New Roman"/>
                <w:sz w:val="24"/>
              </w:rPr>
              <w:t xml:space="preserve"> v </w:t>
            </w:r>
            <w:r w:rsidRPr="00A87849">
              <w:rPr>
                <w:rFonts w:ascii="Times New Roman" w:hAnsi="Times New Roman"/>
                <w:sz w:val="24"/>
              </w:rPr>
              <w:t>stĺpci e vzoru EU CR6.</w:t>
            </w:r>
          </w:p>
        </w:tc>
      </w:tr>
      <w:tr w:rsidR="00087388" w:rsidRPr="00A87849" w14:paraId="6ADAC8CF" w14:textId="77777777" w:rsidTr="11F50173">
        <w:trPr>
          <w:trHeight w:val="316"/>
        </w:trPr>
        <w:tc>
          <w:tcPr>
            <w:tcW w:w="1413" w:type="dxa"/>
          </w:tcPr>
          <w:p w14:paraId="0CC8436E" w14:textId="77777777" w:rsidR="00087388" w:rsidRPr="00A87849" w:rsidRDefault="00087388" w:rsidP="00725D4D">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t>g</w:t>
            </w:r>
          </w:p>
        </w:tc>
        <w:tc>
          <w:tcPr>
            <w:tcW w:w="7626" w:type="dxa"/>
          </w:tcPr>
          <w:p w14:paraId="601A7E32" w14:textId="1B335B77" w:rsidR="00087388" w:rsidRPr="00A87849" w:rsidRDefault="00087388" w:rsidP="00725D4D">
            <w:pPr>
              <w:autoSpaceDE w:val="0"/>
              <w:autoSpaceDN w:val="0"/>
              <w:adjustRightInd w:val="0"/>
              <w:spacing w:after="120"/>
              <w:rPr>
                <w:rFonts w:ascii="Times New Roman" w:eastAsia="Times New Roman" w:hAnsi="Times New Roman" w:cs="Times New Roman"/>
                <w:b/>
                <w:sz w:val="24"/>
              </w:rPr>
            </w:pPr>
            <w:r w:rsidRPr="00A87849">
              <w:rPr>
                <w:rFonts w:ascii="Times New Roman" w:hAnsi="Times New Roman"/>
                <w:b/>
                <w:sz w:val="24"/>
              </w:rPr>
              <w:t>Priemerná PD</w:t>
            </w:r>
            <w:r w:rsidR="00A87849">
              <w:rPr>
                <w:rFonts w:ascii="Times New Roman" w:hAnsi="Times New Roman"/>
                <w:b/>
                <w:sz w:val="24"/>
              </w:rPr>
              <w:t xml:space="preserve"> k </w:t>
            </w:r>
            <w:r w:rsidRPr="00A87849">
              <w:rPr>
                <w:rFonts w:ascii="Times New Roman" w:hAnsi="Times New Roman"/>
                <w:b/>
                <w:sz w:val="24"/>
              </w:rPr>
              <w:t>dátumu zverejnenia (%)</w:t>
            </w:r>
          </w:p>
          <w:p w14:paraId="5B9AD608" w14:textId="3478DAF4" w:rsidR="00087388" w:rsidRPr="00A87849" w:rsidRDefault="00087388" w:rsidP="00725D4D">
            <w:pPr>
              <w:autoSpaceDE w:val="0"/>
              <w:autoSpaceDN w:val="0"/>
              <w:adjustRightInd w:val="0"/>
              <w:spacing w:after="120"/>
              <w:jc w:val="both"/>
              <w:rPr>
                <w:rFonts w:ascii="Times New Roman" w:eastAsia="Times New Roman" w:hAnsi="Times New Roman" w:cs="Times New Roman"/>
                <w:sz w:val="24"/>
              </w:rPr>
            </w:pPr>
            <w:r w:rsidRPr="00A87849">
              <w:rPr>
                <w:rFonts w:ascii="Times New Roman" w:hAnsi="Times New Roman"/>
                <w:sz w:val="24"/>
              </w:rPr>
              <w:t>Aritmetický priemer PD na začiatku obdobia zverejňovania informácií dlžníkov, ktorí patria do skupiny pevného rozsahu PD</w:t>
            </w:r>
            <w:r w:rsidR="00A87849">
              <w:rPr>
                <w:rFonts w:ascii="Times New Roman" w:hAnsi="Times New Roman"/>
                <w:sz w:val="24"/>
              </w:rPr>
              <w:t xml:space="preserve"> a </w:t>
            </w:r>
            <w:r w:rsidRPr="00A87849">
              <w:rPr>
                <w:rFonts w:ascii="Times New Roman" w:hAnsi="Times New Roman"/>
                <w:sz w:val="24"/>
              </w:rPr>
              <w:t>sú započítaní</w:t>
            </w:r>
            <w:r w:rsidR="00A87849">
              <w:rPr>
                <w:rFonts w:ascii="Times New Roman" w:hAnsi="Times New Roman"/>
                <w:sz w:val="24"/>
              </w:rPr>
              <w:t xml:space="preserve"> v </w:t>
            </w:r>
            <w:r w:rsidRPr="00A87849">
              <w:rPr>
                <w:rFonts w:ascii="Times New Roman" w:hAnsi="Times New Roman"/>
                <w:sz w:val="24"/>
              </w:rPr>
              <w:t>stĺpci d (priemer vážený počtom dlžníkov).</w:t>
            </w:r>
          </w:p>
        </w:tc>
      </w:tr>
      <w:tr w:rsidR="00087388" w:rsidRPr="00A87849" w14:paraId="7D0D4738" w14:textId="77777777" w:rsidTr="11F50173">
        <w:trPr>
          <w:trHeight w:val="316"/>
        </w:trPr>
        <w:tc>
          <w:tcPr>
            <w:tcW w:w="1413" w:type="dxa"/>
          </w:tcPr>
          <w:p w14:paraId="7FCD0B2E" w14:textId="77777777" w:rsidR="00087388" w:rsidRPr="00A87849" w:rsidRDefault="00087388" w:rsidP="00725D4D">
            <w:pPr>
              <w:autoSpaceDE w:val="0"/>
              <w:autoSpaceDN w:val="0"/>
              <w:adjustRightInd w:val="0"/>
              <w:spacing w:after="120"/>
              <w:rPr>
                <w:rFonts w:ascii="Times New Roman" w:eastAsia="Times New Roman" w:hAnsi="Times New Roman" w:cs="Times New Roman"/>
                <w:sz w:val="24"/>
              </w:rPr>
            </w:pPr>
            <w:r w:rsidRPr="00A87849">
              <w:rPr>
                <w:rFonts w:ascii="Times New Roman" w:hAnsi="Times New Roman"/>
                <w:sz w:val="24"/>
              </w:rPr>
              <w:t>h</w:t>
            </w:r>
          </w:p>
        </w:tc>
        <w:tc>
          <w:tcPr>
            <w:tcW w:w="7626" w:type="dxa"/>
          </w:tcPr>
          <w:p w14:paraId="295C6402" w14:textId="77777777" w:rsidR="00087388" w:rsidRPr="00A87849" w:rsidRDefault="00087388" w:rsidP="00725D4D">
            <w:pPr>
              <w:spacing w:after="120"/>
              <w:rPr>
                <w:rFonts w:ascii="Times New Roman" w:eastAsia="Times New Roman" w:hAnsi="Times New Roman" w:cs="Times New Roman"/>
                <w:b/>
                <w:sz w:val="24"/>
              </w:rPr>
            </w:pPr>
            <w:r w:rsidRPr="00A87849">
              <w:rPr>
                <w:rFonts w:ascii="Times New Roman" w:hAnsi="Times New Roman"/>
                <w:b/>
                <w:sz w:val="24"/>
              </w:rPr>
              <w:t>Priemerná historická ročná miera zlyhania (%)</w:t>
            </w:r>
          </w:p>
          <w:p w14:paraId="399DE4C9" w14:textId="7DA98262" w:rsidR="00087388" w:rsidRPr="00A87849" w:rsidRDefault="00087388" w:rsidP="00725D4D">
            <w:pPr>
              <w:spacing w:after="120"/>
              <w:jc w:val="both"/>
              <w:rPr>
                <w:rFonts w:ascii="Times New Roman" w:eastAsia="Times New Roman" w:hAnsi="Times New Roman" w:cs="Times New Roman"/>
                <w:sz w:val="24"/>
              </w:rPr>
            </w:pPr>
            <w:r w:rsidRPr="00A87849">
              <w:rPr>
                <w:rFonts w:ascii="Times New Roman" w:hAnsi="Times New Roman"/>
                <w:sz w:val="24"/>
              </w:rPr>
              <w:t>Jednoduchý priemer ročnej miery zlyhania aspoň za posledných päť rokov (dlžníci na začiatku každého roka, ktorí počas daného roka zlyhali/celkový počet dlžníkov na začiatku roka).</w:t>
            </w:r>
          </w:p>
          <w:p w14:paraId="19B9AA5D" w14:textId="6392AD21" w:rsidR="00087388" w:rsidRPr="00A87849" w:rsidRDefault="00087388" w:rsidP="00725D4D">
            <w:pPr>
              <w:spacing w:after="120"/>
              <w:jc w:val="both"/>
              <w:rPr>
                <w:rFonts w:ascii="Times New Roman" w:hAnsi="Times New Roman" w:cs="Times New Roman"/>
                <w:sz w:val="24"/>
              </w:rPr>
            </w:pPr>
            <w:r w:rsidRPr="00A87849">
              <w:rPr>
                <w:rFonts w:ascii="Times New Roman" w:hAnsi="Times New Roman"/>
                <w:sz w:val="24"/>
              </w:rPr>
              <w:t>Inštitúcia môže použiť dlhšie historické obdobie, ktoré je</w:t>
            </w:r>
            <w:r w:rsidR="00A87849">
              <w:rPr>
                <w:rFonts w:ascii="Times New Roman" w:hAnsi="Times New Roman"/>
                <w:sz w:val="24"/>
              </w:rPr>
              <w:t xml:space="preserve"> v </w:t>
            </w:r>
            <w:r w:rsidRPr="00A87849">
              <w:rPr>
                <w:rFonts w:ascii="Times New Roman" w:hAnsi="Times New Roman"/>
                <w:sz w:val="24"/>
              </w:rPr>
              <w:t>súlade so skutočnou praxou inštitúcie</w:t>
            </w:r>
            <w:r w:rsidR="00A87849">
              <w:rPr>
                <w:rFonts w:ascii="Times New Roman" w:hAnsi="Times New Roman"/>
                <w:sz w:val="24"/>
              </w:rPr>
              <w:t xml:space="preserve"> v </w:t>
            </w:r>
            <w:r w:rsidRPr="00A87849">
              <w:rPr>
                <w:rFonts w:ascii="Times New Roman" w:hAnsi="Times New Roman"/>
                <w:sz w:val="24"/>
              </w:rPr>
              <w:t>oblasti riadenia rizík. Ak inštitúcia používa dlhšie historické obdobie, vysvetlí</w:t>
            </w:r>
            <w:r w:rsidR="00A87849">
              <w:rPr>
                <w:rFonts w:ascii="Times New Roman" w:hAnsi="Times New Roman"/>
                <w:sz w:val="24"/>
              </w:rPr>
              <w:t xml:space="preserve"> a </w:t>
            </w:r>
            <w:r w:rsidRPr="00A87849">
              <w:rPr>
                <w:rFonts w:ascii="Times New Roman" w:hAnsi="Times New Roman"/>
                <w:sz w:val="24"/>
              </w:rPr>
              <w:t>objasní to</w:t>
            </w:r>
            <w:r w:rsidR="00A87849">
              <w:rPr>
                <w:rFonts w:ascii="Times New Roman" w:hAnsi="Times New Roman"/>
                <w:sz w:val="24"/>
              </w:rPr>
              <w:t xml:space="preserve"> v </w:t>
            </w:r>
            <w:r w:rsidRPr="00A87849">
              <w:rPr>
                <w:rFonts w:ascii="Times New Roman" w:hAnsi="Times New Roman"/>
                <w:sz w:val="24"/>
              </w:rPr>
              <w:t>sprievodnom opise</w:t>
            </w:r>
            <w:r w:rsidR="00A87849">
              <w:rPr>
                <w:rFonts w:ascii="Times New Roman" w:hAnsi="Times New Roman"/>
                <w:sz w:val="24"/>
              </w:rPr>
              <w:t xml:space="preserve"> k </w:t>
            </w:r>
            <w:r w:rsidRPr="00A87849">
              <w:rPr>
                <w:rFonts w:ascii="Times New Roman" w:hAnsi="Times New Roman"/>
                <w:sz w:val="24"/>
              </w:rPr>
              <w:t>danému vzoru.</w:t>
            </w:r>
          </w:p>
        </w:tc>
      </w:tr>
    </w:tbl>
    <w:p w14:paraId="61CDCEAD" w14:textId="77777777" w:rsidR="00087388" w:rsidRPr="00A87849" w:rsidRDefault="00087388" w:rsidP="00087388">
      <w:pPr>
        <w:spacing w:after="120"/>
        <w:rPr>
          <w:rFonts w:ascii="Times New Roman" w:hAnsi="Times New Roman" w:cs="Times New Roman"/>
          <w:sz w:val="24"/>
        </w:rPr>
      </w:pPr>
    </w:p>
    <w:p w14:paraId="6BB9E253" w14:textId="77777777" w:rsidR="00087388" w:rsidRPr="00A87849" w:rsidRDefault="00087388" w:rsidP="00087388">
      <w:pPr>
        <w:spacing w:after="120"/>
        <w:rPr>
          <w:rFonts w:ascii="Times New Roman" w:hAnsi="Times New Roman" w:cs="Times New Roman"/>
          <w:sz w:val="24"/>
        </w:rPr>
      </w:pPr>
    </w:p>
    <w:p w14:paraId="212C2C1E" w14:textId="6AD67CE5" w:rsidR="00087388" w:rsidRPr="00A87849" w:rsidRDefault="00087388" w:rsidP="11F50173">
      <w:pPr>
        <w:spacing w:after="120"/>
        <w:rPr>
          <w:rFonts w:ascii="Times New Roman" w:hAnsi="Times New Roman" w:cs="Times New Roman"/>
          <w:b/>
          <w:bCs/>
          <w:sz w:val="24"/>
        </w:rPr>
      </w:pPr>
      <w:r w:rsidRPr="00A87849">
        <w:rPr>
          <w:rFonts w:ascii="Times New Roman" w:hAnsi="Times New Roman"/>
          <w:b/>
          <w:sz w:val="24"/>
        </w:rPr>
        <w:t>Vzor EU CR9.1 – Prístup IRB – Spätné testovanie PD podľa tried expozícií [len pre odhady PD</w:t>
      </w:r>
      <w:r w:rsidR="00A87849">
        <w:rPr>
          <w:rFonts w:ascii="Times New Roman" w:hAnsi="Times New Roman"/>
          <w:b/>
          <w:sz w:val="24"/>
        </w:rPr>
        <w:t xml:space="preserve"> v </w:t>
      </w:r>
      <w:r w:rsidRPr="00A87849">
        <w:rPr>
          <w:rFonts w:ascii="Times New Roman" w:hAnsi="Times New Roman"/>
          <w:b/>
          <w:sz w:val="24"/>
        </w:rPr>
        <w:t>súlade</w:t>
      </w:r>
      <w:r w:rsidR="00A87849">
        <w:rPr>
          <w:rFonts w:ascii="Times New Roman" w:hAnsi="Times New Roman"/>
          <w:b/>
          <w:sz w:val="24"/>
        </w:rPr>
        <w:t xml:space="preserve"> s </w:t>
      </w:r>
      <w:r w:rsidRPr="00A87849">
        <w:rPr>
          <w:rFonts w:ascii="Times New Roman" w:hAnsi="Times New Roman"/>
          <w:b/>
          <w:sz w:val="24"/>
        </w:rPr>
        <w:t>článkom 180 ods. 1 písm. f) CRR]</w:t>
      </w:r>
    </w:p>
    <w:p w14:paraId="23DE523C" w14:textId="77777777" w:rsidR="00087388" w:rsidRPr="00A87849" w:rsidRDefault="00087388" w:rsidP="00087388">
      <w:pPr>
        <w:spacing w:after="120"/>
        <w:rPr>
          <w:rFonts w:ascii="Times New Roman" w:hAnsi="Times New Roman" w:cs="Times New Roman"/>
          <w:sz w:val="24"/>
        </w:rPr>
      </w:pPr>
    </w:p>
    <w:p w14:paraId="36D4065A" w14:textId="46F6FBBC" w:rsidR="00087388" w:rsidRPr="00A87849" w:rsidRDefault="00087388" w:rsidP="11F50173">
      <w:pPr>
        <w:pStyle w:val="ListParagraph"/>
        <w:numPr>
          <w:ilvl w:val="0"/>
          <w:numId w:val="7"/>
        </w:numPr>
        <w:spacing w:after="120"/>
        <w:ind w:left="714" w:hanging="357"/>
        <w:jc w:val="both"/>
        <w:rPr>
          <w:rFonts w:ascii="Times New Roman" w:hAnsi="Times New Roman"/>
          <w:sz w:val="24"/>
          <w:szCs w:val="24"/>
        </w:rPr>
      </w:pPr>
      <w:r w:rsidRPr="00A87849">
        <w:rPr>
          <w:rFonts w:ascii="Times New Roman" w:hAnsi="Times New Roman"/>
          <w:sz w:val="24"/>
        </w:rPr>
        <w:t xml:space="preserve">V prípade, že inštitúcie pri odhade PD uplatňujú článok 180 ods. 1 písm. f) nariadenia (EÚ) </w:t>
      </w:r>
      <w:r w:rsidR="00A87849">
        <w:rPr>
          <w:rFonts w:ascii="Times New Roman" w:hAnsi="Times New Roman"/>
          <w:sz w:val="24"/>
        </w:rPr>
        <w:t>č. </w:t>
      </w:r>
      <w:r w:rsidRPr="00A87849">
        <w:rPr>
          <w:rFonts w:ascii="Times New Roman" w:hAnsi="Times New Roman"/>
          <w:sz w:val="24"/>
        </w:rPr>
        <w:t>575/2013, zverejňujú popri vzore EU CR9 aj informácie vo vzore EU CR9.1,</w:t>
      </w:r>
      <w:r w:rsidR="00A87849">
        <w:rPr>
          <w:rFonts w:ascii="Times New Roman" w:hAnsi="Times New Roman"/>
          <w:sz w:val="24"/>
        </w:rPr>
        <w:t xml:space="preserve"> a </w:t>
      </w:r>
      <w:r w:rsidRPr="00A87849">
        <w:rPr>
          <w:rFonts w:ascii="Times New Roman" w:hAnsi="Times New Roman"/>
          <w:sz w:val="24"/>
        </w:rPr>
        <w:t>to len pre odhady PD</w:t>
      </w:r>
      <w:r w:rsidR="00A87849">
        <w:rPr>
          <w:rFonts w:ascii="Times New Roman" w:hAnsi="Times New Roman"/>
          <w:sz w:val="24"/>
        </w:rPr>
        <w:t xml:space="preserve"> v </w:t>
      </w:r>
      <w:r w:rsidRPr="00A87849">
        <w:rPr>
          <w:rFonts w:ascii="Times New Roman" w:hAnsi="Times New Roman"/>
          <w:sz w:val="24"/>
        </w:rPr>
        <w:t>súlade</w:t>
      </w:r>
      <w:r w:rsidR="00A87849">
        <w:rPr>
          <w:rFonts w:ascii="Times New Roman" w:hAnsi="Times New Roman"/>
          <w:sz w:val="24"/>
        </w:rPr>
        <w:t xml:space="preserve"> s </w:t>
      </w:r>
      <w:r w:rsidRPr="00A87849">
        <w:rPr>
          <w:rFonts w:ascii="Times New Roman" w:hAnsi="Times New Roman"/>
          <w:sz w:val="24"/>
        </w:rPr>
        <w:t>tým istým článkom. Inštrukcie sú rovnaké ako pri vzore EU CR9</w:t>
      </w:r>
      <w:r w:rsidR="00A87849">
        <w:rPr>
          <w:rFonts w:ascii="Times New Roman" w:hAnsi="Times New Roman"/>
          <w:sz w:val="24"/>
        </w:rPr>
        <w:t xml:space="preserve"> s </w:t>
      </w:r>
      <w:r w:rsidRPr="00A87849">
        <w:rPr>
          <w:rFonts w:ascii="Times New Roman" w:hAnsi="Times New Roman"/>
          <w:sz w:val="24"/>
        </w:rPr>
        <w:t>týmito výnimkami:</w:t>
      </w:r>
    </w:p>
    <w:p w14:paraId="6A14E435" w14:textId="0F5354B9" w:rsidR="00087388" w:rsidRPr="00A87849" w:rsidRDefault="00087388" w:rsidP="000A6489">
      <w:pPr>
        <w:pStyle w:val="ListParagraph"/>
        <w:numPr>
          <w:ilvl w:val="1"/>
          <w:numId w:val="7"/>
        </w:numPr>
        <w:spacing w:after="120"/>
        <w:jc w:val="both"/>
        <w:rPr>
          <w:rFonts w:ascii="Times New Roman" w:hAnsi="Times New Roman"/>
          <w:sz w:val="24"/>
        </w:rPr>
      </w:pPr>
      <w:r w:rsidRPr="00A87849">
        <w:rPr>
          <w:rFonts w:ascii="Times New Roman" w:hAnsi="Times New Roman"/>
          <w:sz w:val="24"/>
        </w:rPr>
        <w:t>inštitúcie zverejňujú</w:t>
      </w:r>
      <w:r w:rsidR="00A87849">
        <w:rPr>
          <w:rFonts w:ascii="Times New Roman" w:hAnsi="Times New Roman"/>
          <w:sz w:val="24"/>
        </w:rPr>
        <w:t xml:space="preserve"> v </w:t>
      </w:r>
      <w:r w:rsidRPr="00A87849">
        <w:rPr>
          <w:rFonts w:ascii="Times New Roman" w:hAnsi="Times New Roman"/>
          <w:sz w:val="24"/>
        </w:rPr>
        <w:t>stĺpci b tohto vzoru rozsahy PD</w:t>
      </w:r>
      <w:r w:rsidR="00A87849">
        <w:rPr>
          <w:rFonts w:ascii="Times New Roman" w:hAnsi="Times New Roman"/>
          <w:sz w:val="24"/>
        </w:rPr>
        <w:t xml:space="preserve"> v </w:t>
      </w:r>
      <w:r w:rsidRPr="00A87849">
        <w:rPr>
          <w:rFonts w:ascii="Times New Roman" w:hAnsi="Times New Roman"/>
          <w:sz w:val="24"/>
        </w:rPr>
        <w:t>súlade so svojimi internými stupňami, ktoré priraďujú</w:t>
      </w:r>
      <w:r w:rsidR="00A87849">
        <w:rPr>
          <w:rFonts w:ascii="Times New Roman" w:hAnsi="Times New Roman"/>
          <w:sz w:val="24"/>
        </w:rPr>
        <w:t xml:space="preserve"> k </w:t>
      </w:r>
      <w:r w:rsidRPr="00A87849">
        <w:rPr>
          <w:rFonts w:ascii="Times New Roman" w:hAnsi="Times New Roman"/>
          <w:sz w:val="24"/>
        </w:rPr>
        <w:t>stupnici používanej externou ECAI, namiesto pevného externého rozsahu PD;</w:t>
      </w:r>
    </w:p>
    <w:p w14:paraId="281A45A2" w14:textId="66AF5383" w:rsidR="00087388" w:rsidRPr="00A87849" w:rsidRDefault="00087388" w:rsidP="000A6489">
      <w:pPr>
        <w:pStyle w:val="ListParagraph"/>
        <w:numPr>
          <w:ilvl w:val="1"/>
          <w:numId w:val="7"/>
        </w:numPr>
        <w:spacing w:after="120"/>
        <w:jc w:val="both"/>
        <w:rPr>
          <w:rFonts w:ascii="Times New Roman" w:hAnsi="Times New Roman"/>
          <w:sz w:val="24"/>
          <w:szCs w:val="24"/>
        </w:rPr>
      </w:pPr>
      <w:r w:rsidRPr="00A87849">
        <w:rPr>
          <w:rFonts w:ascii="Times New Roman" w:hAnsi="Times New Roman"/>
          <w:sz w:val="24"/>
        </w:rPr>
        <w:t xml:space="preserve">inštitúcie zverejňujú jeden stĺpec za každú zohľadnenú ECAI podľa článku 180 ods. 1 nariadenia (EÚ) </w:t>
      </w:r>
      <w:r w:rsidR="00A87849">
        <w:rPr>
          <w:rFonts w:ascii="Times New Roman" w:hAnsi="Times New Roman"/>
          <w:sz w:val="24"/>
        </w:rPr>
        <w:t>č. </w:t>
      </w:r>
      <w:r w:rsidRPr="00A87849">
        <w:rPr>
          <w:rFonts w:ascii="Times New Roman" w:hAnsi="Times New Roman"/>
          <w:sz w:val="24"/>
        </w:rPr>
        <w:t>575/2013. Inštitúcie zahŕňajú do týchto stĺpcov externý rating, ku ktorému sa priraďujú ich interné rozsahy PD.</w:t>
      </w:r>
      <w:r w:rsidRPr="00A87849">
        <w:tab/>
      </w:r>
    </w:p>
    <w:p w14:paraId="52E56223" w14:textId="77777777" w:rsidR="00087388" w:rsidRPr="00F53B7D" w:rsidRDefault="00087388" w:rsidP="000A6489">
      <w:pPr>
        <w:spacing w:after="120"/>
        <w:jc w:val="both"/>
        <w:rPr>
          <w:rFonts w:ascii="Times New Roman" w:hAnsi="Times New Roman" w:cs="Times New Roman"/>
          <w:sz w:val="2"/>
          <w:szCs w:val="2"/>
        </w:rPr>
      </w:pPr>
    </w:p>
    <w:p w14:paraId="07547A01" w14:textId="77777777" w:rsidR="00993FC2" w:rsidRPr="00F53B7D" w:rsidRDefault="00993FC2">
      <w:pPr>
        <w:rPr>
          <w:rFonts w:ascii="Times New Roman" w:hAnsi="Times New Roman" w:cs="Times New Roman"/>
          <w:sz w:val="2"/>
          <w:szCs w:val="2"/>
        </w:rPr>
      </w:pPr>
    </w:p>
    <w:sectPr w:rsidR="00993FC2" w:rsidRPr="00F53B7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5A593" w14:textId="77777777" w:rsidR="002C6259" w:rsidRDefault="002C6259" w:rsidP="00087388">
      <w:r>
        <w:separator/>
      </w:r>
    </w:p>
  </w:endnote>
  <w:endnote w:type="continuationSeparator" w:id="0">
    <w:p w14:paraId="67EA1027" w14:textId="77777777" w:rsidR="002C6259" w:rsidRDefault="002C6259"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t>1</w:t>
        </w:r>
        <w:r>
          <w:t>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7131E" w14:textId="77777777" w:rsidR="002C6259" w:rsidRDefault="002C6259" w:rsidP="00087388">
      <w:r>
        <w:separator/>
      </w:r>
    </w:p>
  </w:footnote>
  <w:footnote w:type="continuationSeparator" w:id="0">
    <w:p w14:paraId="72B2D9B2" w14:textId="77777777" w:rsidR="002C6259" w:rsidRDefault="002C6259" w:rsidP="00087388">
      <w:r>
        <w:continuationSeparator/>
      </w:r>
    </w:p>
  </w:footnote>
  <w:footnote w:id="1">
    <w:p w14:paraId="3798489D" w14:textId="14816AC9" w:rsidR="00725D4D" w:rsidRPr="00A87849" w:rsidRDefault="00725D4D" w:rsidP="00087388">
      <w:pPr>
        <w:pStyle w:val="FootnoteText"/>
        <w:rPr>
          <w:rFonts w:cstheme="minorHAnsi"/>
        </w:rPr>
      </w:pPr>
      <w:r w:rsidRPr="00A87849">
        <w:rPr>
          <w:rStyle w:val="FootnoteReference"/>
          <w:rFonts w:cstheme="minorHAnsi"/>
        </w:rPr>
        <w:footnoteRef/>
      </w:r>
      <w:r w:rsidRPr="00A87849">
        <w:tab/>
        <w:t>Nariadenie Európskeho parlamentu</w:t>
      </w:r>
      <w:r w:rsidR="00A87849">
        <w:t xml:space="preserve"> a </w:t>
      </w:r>
      <w:r w:rsidRPr="00A87849">
        <w:t xml:space="preserve">Rady (EÚ) </w:t>
      </w:r>
      <w:r w:rsidR="00A87849">
        <w:t>č. </w:t>
      </w:r>
      <w:r w:rsidRPr="00A87849">
        <w:t>575/2013</w:t>
      </w:r>
      <w:r w:rsidR="00A87849">
        <w:t xml:space="preserve"> z </w:t>
      </w:r>
      <w:r w:rsidRPr="00A87849">
        <w:t>26</w:t>
      </w:r>
      <w:r w:rsidR="00A87849">
        <w:t>. júna</w:t>
      </w:r>
      <w:r w:rsidRPr="00A87849">
        <w:t xml:space="preserve"> 2013</w:t>
      </w:r>
      <w:r w:rsidR="00A87849">
        <w:t xml:space="preserve"> o </w:t>
      </w:r>
      <w:r w:rsidRPr="00A87849">
        <w:t>prudenciálnych požiadavkách na úverové inštitúcie</w:t>
      </w:r>
      <w:r w:rsidR="00A87849">
        <w:t xml:space="preserve"> a o </w:t>
      </w:r>
      <w:r w:rsidRPr="00A87849">
        <w:t xml:space="preserve">zmene nariadenia (EÚ) </w:t>
      </w:r>
      <w:r w:rsidR="00A87849">
        <w:t>č. </w:t>
      </w:r>
      <w:r w:rsidRPr="00A87849">
        <w:t xml:space="preserve">648/2012, zmenené nariadením (EÚ) 2024/1623 </w:t>
      </w:r>
      <w:r w:rsidR="005B2B59" w:rsidRPr="00A87849">
        <w:t>[</w:t>
      </w:r>
      <w:hyperlink r:id="rId1" w:history="1">
        <w:r w:rsidRPr="00A87849">
          <w:rPr>
            <w:rStyle w:val="Hyperlink"/>
            <w:color w:val="800080"/>
          </w:rPr>
          <w:t>Ú. v. EÚ L 176, 27.6.2013, s. 1</w:t>
        </w:r>
      </w:hyperlink>
      <w:r w:rsidRPr="00A87849">
        <w:rPr>
          <w:color w:val="800080"/>
          <w:u w:val="single"/>
        </w:rPr>
        <w:t xml:space="preserve">; </w:t>
      </w:r>
      <w:hyperlink r:id="rId2" w:history="1">
        <w:r w:rsidRPr="00A87849">
          <w:rPr>
            <w:rStyle w:val="Hyperlink"/>
          </w:rPr>
          <w:t>Nariadenie (EÚ) 2024/1623 – SK – EUR-Lex (europa.eu)</w:t>
        </w:r>
      </w:hyperlink>
      <w:r w:rsidR="005B2B59" w:rsidRPr="00A87849">
        <w:rPr>
          <w:color w:val="444444"/>
        </w:rPr>
        <w:t>]</w:t>
      </w:r>
      <w:r w:rsidRPr="00A87849">
        <w:t>.</w:t>
      </w:r>
    </w:p>
  </w:footnote>
  <w:footnote w:id="2">
    <w:p w14:paraId="015156CF" w14:textId="5DB5D2C8" w:rsidR="00725D4D" w:rsidRPr="00A87849" w:rsidRDefault="00725D4D" w:rsidP="00087388">
      <w:pPr>
        <w:pStyle w:val="FootnoteText"/>
        <w:rPr>
          <w:rFonts w:cstheme="minorHAnsi"/>
        </w:rPr>
      </w:pPr>
      <w:r w:rsidRPr="00A87849">
        <w:rPr>
          <w:rStyle w:val="FootnoteReference"/>
          <w:rFonts w:cstheme="minorHAnsi"/>
        </w:rPr>
        <w:footnoteRef/>
      </w:r>
      <w:r w:rsidRPr="00A87849">
        <w:t xml:space="preserve"> </w:t>
      </w:r>
      <w:r w:rsidRPr="00A87849">
        <w:tab/>
      </w:r>
      <w:r w:rsidRPr="00A87849">
        <w:t xml:space="preserve">DELEGOVANÉ NARIADENIE KOMISIE (EÚ) </w:t>
      </w:r>
      <w:r w:rsidR="00A87849">
        <w:t>č. </w:t>
      </w:r>
      <w:r w:rsidRPr="00A87849">
        <w:t>183/2014</w:t>
      </w:r>
      <w:r w:rsidR="00A87849">
        <w:t xml:space="preserve"> z </w:t>
      </w:r>
      <w:r w:rsidRPr="00A87849">
        <w:t>20</w:t>
      </w:r>
      <w:r w:rsidR="00A87849">
        <w:t>. decembra</w:t>
      </w:r>
      <w:r w:rsidRPr="00A87849">
        <w:t xml:space="preserve"> 2013, ktorým sa dopĺňa nariadenie Európskeho parlamentu</w:t>
      </w:r>
      <w:r w:rsidR="00A87849">
        <w:t xml:space="preserve"> a </w:t>
      </w:r>
      <w:r w:rsidRPr="00A87849">
        <w:t xml:space="preserve">Rady (EÚ) </w:t>
      </w:r>
      <w:r w:rsidR="00A87849">
        <w:t>č. </w:t>
      </w:r>
      <w:r w:rsidRPr="00A87849">
        <w:t>575/2013</w:t>
      </w:r>
      <w:r w:rsidR="00A87849">
        <w:t xml:space="preserve"> o </w:t>
      </w:r>
      <w:r w:rsidRPr="00A87849">
        <w:t>prudenciálnych požiadavkách na úverové inštitúcie</w:t>
      </w:r>
      <w:r w:rsidR="00A87849">
        <w:t xml:space="preserve"> a </w:t>
      </w:r>
      <w:r w:rsidRPr="00A87849">
        <w:t>investičné spoločnosti, pokiaľ ide</w:t>
      </w:r>
      <w:r w:rsidR="00A87849">
        <w:t xml:space="preserve"> o </w:t>
      </w:r>
      <w:r w:rsidRPr="00A87849">
        <w:t>regulačné technické predpisy na presné stanovenie výpočtu špecifických</w:t>
      </w:r>
      <w:r w:rsidR="00A87849">
        <w:t xml:space="preserve"> a </w:t>
      </w:r>
      <w:r w:rsidRPr="00A87849">
        <w:t>všeobecných úprav kreditného rizika (Ú. v. EÚ L 57, 27.2.2014,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EBA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1149F0" id="_x0000_t202" coordsize="21600,21600" o:spt="202" path="m,l,21600r21600,l21600,xe">
              <v:stroke joinstyle="miter"/>
              <v:path gradientshapeok="t" o:connecttype="rect"/>
            </v:shapetype>
            <v:shape id="Text Box 5" o:spid="_x0000_s1026" type="#_x0000_t202" alt="EBA Bežné použiti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EBA Bežné použitie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0E405DF4"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r w:rsidR="00A87849">
                            <w:rPr>
                              <w:rFonts w:ascii="Calibri" w:hAnsi="Calibri"/>
                              <w:color w:val="000000"/>
                              <w:sz w:val="24"/>
                            </w:rPr>
                            <w:t>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3D7B59" id="_x0000_t202" coordsize="21600,21600" o:spt="202" path="m,l,21600r21600,l21600,xe">
              <v:stroke joinstyle="miter"/>
              <v:path gradientshapeok="t" o:connecttype="rect"/>
            </v:shapetype>
            <v:shape id="Text Box 6" o:spid="_x0000_s1027" type="#_x0000_t202" alt="EBA Bežné použiti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0E405DF4"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r w:rsidR="00A87849">
                      <w:rPr>
                        <w:rFonts w:ascii="Calibri" w:hAnsi="Calibri"/>
                        <w:color w:val="000000"/>
                        <w:sz w:val="24"/>
                      </w:rPr>
                      <w:t>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EBA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52EC3A" id="_x0000_t202" coordsize="21600,21600" o:spt="202" path="m,l,21600r21600,l21600,xe">
              <v:stroke joinstyle="miter"/>
              <v:path gradientshapeok="t" o:connecttype="rect"/>
            </v:shapetype>
            <v:shape id="Text Box 4" o:spid="_x0000_s1028" type="#_x0000_t202" alt="EBA Bežné použiti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EBA Bežné použitie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63AC555A"/>
    <w:lvl w:ilvl="0" w:tplc="A70882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610A3DC8"/>
    <w:lvl w:ilvl="0" w:tplc="A70882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6259"/>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2B59"/>
    <w:rsid w:val="005B3DED"/>
    <w:rsid w:val="005C42F4"/>
    <w:rsid w:val="006570F0"/>
    <w:rsid w:val="006624F7"/>
    <w:rsid w:val="00671381"/>
    <w:rsid w:val="00681803"/>
    <w:rsid w:val="006A55A0"/>
    <w:rsid w:val="006C6639"/>
    <w:rsid w:val="006F5EDB"/>
    <w:rsid w:val="0070051C"/>
    <w:rsid w:val="007025DE"/>
    <w:rsid w:val="007028BF"/>
    <w:rsid w:val="00725D4D"/>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610E4"/>
    <w:rsid w:val="00993FC2"/>
    <w:rsid w:val="009A30F2"/>
    <w:rsid w:val="009C2B0F"/>
    <w:rsid w:val="00A11C69"/>
    <w:rsid w:val="00A44186"/>
    <w:rsid w:val="00A70408"/>
    <w:rsid w:val="00A75907"/>
    <w:rsid w:val="00A87849"/>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601AF"/>
    <w:rsid w:val="00C96694"/>
    <w:rsid w:val="00CB5E48"/>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91213"/>
    <w:rsid w:val="00EA36B5"/>
    <w:rsid w:val="00EE4075"/>
    <w:rsid w:val="00EF5AE5"/>
    <w:rsid w:val="00F1728C"/>
    <w:rsid w:val="00F17498"/>
    <w:rsid w:val="00F34968"/>
    <w:rsid w:val="00F53B7D"/>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sk-S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K/TXT/?uri=OJ:L_202401623" TargetMode="External"/><Relationship Id="rId1" Type="http://schemas.openxmlformats.org/officeDocument/2006/relationships/hyperlink" Target="https://eur-lex.europa.eu/legal-content/SK/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AA92A7-A391-4EBE-B152-0521457B028D}"/>
</file>

<file path=customXml/itemProps2.xml><?xml version="1.0" encoding="utf-8"?>
<ds:datastoreItem xmlns:ds="http://schemas.openxmlformats.org/officeDocument/2006/customXml" ds:itemID="{A833D476-936A-405B-A018-4EDFB210BCD8}"/>
</file>

<file path=customXml/itemProps3.xml><?xml version="1.0" encoding="utf-8"?>
<ds:datastoreItem xmlns:ds="http://schemas.openxmlformats.org/officeDocument/2006/customXml" ds:itemID="{6785144F-7471-4754-8D9A-519917E01049}"/>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6271</Words>
  <Characters>36943</Characters>
  <Application>Microsoft Office Word</Application>
  <DocSecurity>0</DocSecurity>
  <Lines>901</Lines>
  <Paragraphs>396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2024-10-18T10:37:00Z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