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0ADA6" w14:textId="77777777" w:rsidR="00166FFE" w:rsidRPr="004325DC" w:rsidRDefault="00A1733E" w:rsidP="006A78BA">
      <w:pPr>
        <w:pStyle w:val="Annexetitre"/>
        <w:rPr>
          <w:sz w:val="28"/>
          <w:szCs w:val="28"/>
          <w:u w:val="none"/>
        </w:rPr>
      </w:pPr>
      <w:r w:rsidRPr="004325DC">
        <w:rPr>
          <w:sz w:val="28"/>
          <w:u w:val="none"/>
        </w:rPr>
        <w:t>ZAŁĄCZNIK II</w:t>
      </w:r>
    </w:p>
    <w:p w14:paraId="3EED48F6" w14:textId="77777777" w:rsidR="00A1733E" w:rsidRPr="004325DC" w:rsidRDefault="00A1733E" w:rsidP="006A78BA">
      <w:pPr>
        <w:pStyle w:val="Annexetitre"/>
        <w:rPr>
          <w:u w:val="none"/>
        </w:rPr>
      </w:pPr>
      <w:r w:rsidRPr="004325DC">
        <w:rPr>
          <w:u w:val="none"/>
        </w:rPr>
        <w:t>„ZAŁĄCZNIK XXXVIII</w:t>
      </w:r>
    </w:p>
    <w:p w14:paraId="77F10DF1" w14:textId="10384F48" w:rsidR="006A78BA" w:rsidRPr="004325DC" w:rsidRDefault="0078309E" w:rsidP="006A78BA">
      <w:pPr>
        <w:pStyle w:val="Annexetitre"/>
        <w:rPr>
          <w:u w:val="none"/>
        </w:rPr>
      </w:pPr>
      <w:r w:rsidRPr="004325DC">
        <w:rPr>
          <w:u w:val="none"/>
        </w:rPr>
        <w:t>Instrukcje dotyczące ujawniania informacji we wzorach dotyczących ryzyka stopy procentowej w odniesieniu do pozycji nieuwzględnionych w portfelu handlowym</w:t>
      </w:r>
    </w:p>
    <w:p w14:paraId="09721089" w14:textId="77777777" w:rsidR="006A78BA" w:rsidRPr="004325DC" w:rsidRDefault="006A78BA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47A0C8EE" w14:textId="01383A2B" w:rsidR="00CD3692" w:rsidRPr="004325DC" w:rsidRDefault="00166FFE" w:rsidP="00CD3692">
      <w:pPr>
        <w:rPr>
          <w:rFonts w:ascii="Times New Roman" w:hAnsi="Times New Roman"/>
          <w:bCs/>
          <w:sz w:val="24"/>
        </w:rPr>
      </w:pPr>
      <w:r w:rsidRPr="004325DC">
        <w:rPr>
          <w:rFonts w:ascii="Times New Roman" w:hAnsi="Times New Roman"/>
          <w:b/>
          <w:sz w:val="24"/>
        </w:rPr>
        <w:t xml:space="preserve">Instrukcje dotyczące ujawniania informacji we wzorze EU IRRBBA </w:t>
      </w:r>
    </w:p>
    <w:p w14:paraId="7E4925DA" w14:textId="77777777" w:rsidR="00CD3692" w:rsidRPr="004325DC" w:rsidRDefault="00CD3692" w:rsidP="00CD3692">
      <w:pPr>
        <w:rPr>
          <w:rFonts w:ascii="Times New Roman" w:hAnsi="Times New Roman"/>
          <w:bCs/>
          <w:sz w:val="24"/>
        </w:rPr>
      </w:pPr>
    </w:p>
    <w:p w14:paraId="31D9779B" w14:textId="7383F91C" w:rsidR="00580D58" w:rsidRPr="004325DC" w:rsidRDefault="00580D58" w:rsidP="00470043">
      <w:pPr>
        <w:spacing w:after="120"/>
        <w:jc w:val="both"/>
        <w:rPr>
          <w:rFonts w:ascii="Calibri" w:eastAsia="Times New Roman" w:hAnsi="Calibri" w:cs="Times New Roman"/>
          <w:color w:val="000000"/>
          <w:szCs w:val="22"/>
        </w:rPr>
      </w:pPr>
      <w:r w:rsidRPr="004325DC">
        <w:rPr>
          <w:rFonts w:ascii="Times New Roman" w:hAnsi="Times New Roman"/>
          <w:sz w:val="24"/>
        </w:rPr>
        <w:t>Instytucje ujawniają określone poniżej informacje jakościowe na podstawie swojej metodyki wewnętrznych systemów pomiaru ryzyka – w zależności od przypadku, standardowej metodyki lub uproszczonej standardowej metodyki, zgodnie z art. 84 dyrektywy 2013/36/UE.</w:t>
      </w:r>
    </w:p>
    <w:p w14:paraId="3D633743" w14:textId="14CE6FC2" w:rsidR="00C07A00" w:rsidRPr="004325DC" w:rsidRDefault="0017255F" w:rsidP="000D6C4D">
      <w:pPr>
        <w:jc w:val="both"/>
        <w:rPr>
          <w:rFonts w:ascii="Times New Roman" w:hAnsi="Times New Roman" w:cs="Times New Roman"/>
          <w:sz w:val="24"/>
        </w:rPr>
      </w:pPr>
      <w:r w:rsidRPr="004325DC">
        <w:rPr>
          <w:rFonts w:ascii="Times New Roman" w:hAnsi="Times New Roman"/>
          <w:sz w:val="24"/>
        </w:rPr>
        <w:t xml:space="preserve">Instrukcje te opracowano na podstawie wymogów określonych w art. 448 rozporządzenia (UE) nr 575/2013 oraz zgodnie z bazylejskim standardem ujawniania informacji (filar 3). </w:t>
      </w:r>
    </w:p>
    <w:p w14:paraId="4EA230EE" w14:textId="77777777" w:rsidR="000D6C4D" w:rsidRPr="004325DC" w:rsidRDefault="000D6C4D" w:rsidP="000D6C4D">
      <w:pPr>
        <w:jc w:val="both"/>
      </w:pPr>
    </w:p>
    <w:tbl>
      <w:tblPr>
        <w:tblW w:w="8926" w:type="dxa"/>
        <w:tblLook w:val="04A0" w:firstRow="1" w:lastRow="0" w:firstColumn="1" w:lastColumn="0" w:noHBand="0" w:noVBand="1"/>
      </w:tblPr>
      <w:tblGrid>
        <w:gridCol w:w="1555"/>
        <w:gridCol w:w="7371"/>
      </w:tblGrid>
      <w:tr w:rsidR="00CD3692" w:rsidRPr="004325DC" w14:paraId="5A9E0A69" w14:textId="77777777" w:rsidTr="00F930E4">
        <w:trPr>
          <w:trHeight w:val="330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FC1AD4" w14:textId="77777777" w:rsidR="00CD3692" w:rsidRPr="004325DC" w:rsidRDefault="00CD3692" w:rsidP="00F930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 w:rsidRPr="004325DC">
              <w:rPr>
                <w:rFonts w:ascii="Times New Roman" w:hAnsi="Times New Roman"/>
                <w:b/>
                <w:color w:val="000000"/>
              </w:rPr>
              <w:t>Odniesienia prawne i instrukcje</w:t>
            </w:r>
          </w:p>
        </w:tc>
      </w:tr>
      <w:tr w:rsidR="00CD3692" w:rsidRPr="004325DC" w14:paraId="254CB684" w14:textId="77777777" w:rsidTr="00F930E4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023E59" w14:textId="77777777" w:rsidR="00CD3692" w:rsidRPr="004325DC" w:rsidRDefault="00CD3692" w:rsidP="00F930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 w:rsidRPr="004325DC">
              <w:rPr>
                <w:rFonts w:ascii="Times New Roman" w:hAnsi="Times New Roman"/>
                <w:b/>
                <w:color w:val="000000"/>
              </w:rPr>
              <w:t>Oznaczenie wiersza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1EE539" w14:textId="77777777" w:rsidR="00CD3692" w:rsidRPr="004325DC" w:rsidRDefault="00CD3692" w:rsidP="00F930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 w:rsidRPr="004325DC">
              <w:rPr>
                <w:rFonts w:ascii="Times New Roman" w:hAnsi="Times New Roman"/>
                <w:b/>
                <w:color w:val="000000"/>
              </w:rPr>
              <w:t>Wyjaśnienie</w:t>
            </w:r>
          </w:p>
        </w:tc>
      </w:tr>
      <w:tr w:rsidR="00FC2089" w:rsidRPr="004325DC" w14:paraId="5BBA757F" w14:textId="77777777" w:rsidTr="00C143B2">
        <w:trPr>
          <w:trHeight w:val="244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5657E" w14:textId="73DDAA01" w:rsidR="00FC2089" w:rsidRPr="004325DC" w:rsidRDefault="00FC2089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4325DC">
              <w:rPr>
                <w:rFonts w:ascii="Times New Roman" w:hAnsi="Times New Roman"/>
                <w:color w:val="000000"/>
              </w:rPr>
              <w:t>a)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47E25" w14:textId="66C09E90" w:rsidR="00FC2089" w:rsidRPr="004325DC" w:rsidRDefault="00465DF4" w:rsidP="00F930E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 w:rsidRPr="004325DC">
              <w:rPr>
                <w:rFonts w:ascii="Times New Roman" w:hAnsi="Times New Roman"/>
                <w:b/>
                <w:color w:val="000000"/>
                <w:sz w:val="24"/>
              </w:rPr>
              <w:t>Opis sposobu, w jaki instytucja definiuje IRRBB do celów kontroli i pomiaru ryzyka</w:t>
            </w:r>
          </w:p>
          <w:p w14:paraId="3FB34713" w14:textId="03A80E6F" w:rsidR="00FC2089" w:rsidRPr="004325DC" w:rsidRDefault="00133E44" w:rsidP="00721AD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 w:rsidRPr="004325DC">
              <w:rPr>
                <w:rFonts w:ascii="Times New Roman" w:hAnsi="Times New Roman"/>
                <w:color w:val="000000"/>
              </w:rPr>
              <w:t>Zgodnie z art. 448 ust. 1 lit. e) rozporządzenia (UE) nr 575/2013 instytucje mają przedstawić ogólny opis sposobu definiowania, pomiaru, ograniczania i kontroli ryzyka stopy procentowej z tytułu ich działalności w ramach portfela bankowego do celów przeglądu przeprowadzanego przez właściwe organy zgodnie z art. 84 dyrektywy 2013/36/UE.</w:t>
            </w:r>
          </w:p>
        </w:tc>
      </w:tr>
      <w:tr w:rsidR="00465DF4" w:rsidRPr="004325DC" w14:paraId="68082CB2" w14:textId="77777777" w:rsidTr="00F930E4">
        <w:trPr>
          <w:trHeight w:val="301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795CC" w14:textId="1C705731" w:rsidR="00465DF4" w:rsidRPr="004325DC" w:rsidRDefault="00465DF4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4325DC">
              <w:rPr>
                <w:rFonts w:ascii="Times New Roman" w:hAnsi="Times New Roman"/>
                <w:color w:val="000000"/>
              </w:rPr>
              <w:t>b)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EFF4A" w14:textId="20E6E488" w:rsidR="00465DF4" w:rsidRPr="004325DC" w:rsidRDefault="00EA2452" w:rsidP="00F930E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 w:rsidRPr="004325DC">
              <w:rPr>
                <w:rFonts w:ascii="Times New Roman" w:hAnsi="Times New Roman"/>
                <w:b/>
                <w:color w:val="000000"/>
                <w:sz w:val="24"/>
              </w:rPr>
              <w:t>Opis ogólnych strategii instytucji w zakresie zarządzania IRRBB i ich ograniczania</w:t>
            </w:r>
          </w:p>
          <w:p w14:paraId="204A9378" w14:textId="5470BAC2" w:rsidR="005F58E6" w:rsidRPr="004325DC" w:rsidRDefault="005F58E6" w:rsidP="007012E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 w:rsidRPr="004325DC">
              <w:rPr>
                <w:rFonts w:ascii="Times New Roman" w:hAnsi="Times New Roman"/>
                <w:color w:val="000000"/>
              </w:rPr>
              <w:t>Zgodnie z art. 448 ust. 1 lit. f) rozporządzenia (UE) nr 575/2013 instytucje przedstawiają opis ogólnych strategii zarządzania IRRBB i ich ograniczania, obejmujących: monitorowanie bilansowej wartości zaktualizowanej kapitału i wyniku odsetkowego netto w odniesieniu do ustalonych limitów, praktyki w zakresie zabezpieczania, przeprowadzanie testów warunków skrajnych, analizę wyników, rolę niezależnego audytu, rolę i praktyki komitetu ds. zarządzania aktywami i pasywami, praktyki instytucji mające na celu zapewnienie odpowiedniej walidacji modelu oraz terminowe aktualizacje modelu w odpowiedzi na zmieniające się warunki rynkowe.</w:t>
            </w:r>
          </w:p>
        </w:tc>
      </w:tr>
      <w:tr w:rsidR="00EA2452" w:rsidRPr="004325DC" w14:paraId="00B80900" w14:textId="77777777" w:rsidTr="00C41D59">
        <w:trPr>
          <w:trHeight w:val="84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763AB" w14:textId="4C8DCD01" w:rsidR="00EA2452" w:rsidRPr="004325DC" w:rsidRDefault="00EA2452" w:rsidP="00EA245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4325DC">
              <w:rPr>
                <w:rFonts w:ascii="Times New Roman" w:hAnsi="Times New Roman"/>
                <w:color w:val="000000"/>
              </w:rPr>
              <w:t>c)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8C5C7" w14:textId="77777777" w:rsidR="008F617B" w:rsidRPr="004325DC" w:rsidRDefault="008F617B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  <w:lang w:eastAsia="en-GB"/>
              </w:rPr>
            </w:pPr>
          </w:p>
          <w:p w14:paraId="074838C9" w14:textId="79671406" w:rsidR="00716636" w:rsidRPr="004325DC" w:rsidRDefault="00716636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2"/>
              </w:rPr>
            </w:pPr>
            <w:r w:rsidRPr="004325DC">
              <w:rPr>
                <w:rFonts w:ascii="Times New Roman" w:hAnsi="Times New Roman"/>
                <w:b/>
                <w:color w:val="000000"/>
              </w:rPr>
              <w:t>Częstotliwość obliczania miar IRRBB instytucji oraz opis szczególnych miar, które instytucja stosuje do pomiaru swojej wrażliwości na IRRBB</w:t>
            </w:r>
          </w:p>
          <w:p w14:paraId="6FC20A2F" w14:textId="7F1E505C" w:rsidR="00EA2452" w:rsidRPr="004325DC" w:rsidRDefault="00716636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4325DC">
              <w:rPr>
                <w:rFonts w:ascii="Times New Roman" w:hAnsi="Times New Roman"/>
                <w:color w:val="000000"/>
              </w:rPr>
              <w:t>Zgodnie z art. 448 ust. 1 lit. e) pkt (i) i (v) rozporządzenia (UE) nr 575/2013 instytucje przedstawiają ogólny opis szczególnych miar ryzyka, które stosują do oceny zmian w swojej bilansowej wartości zaktualizowanej kapitału i w swoim wyniku odsetkowym netto, oraz wskazują częstotliwość dokonywania oceny ryzyk stopy procentowej.</w:t>
            </w:r>
          </w:p>
          <w:p w14:paraId="3C576B31" w14:textId="6E0F133A" w:rsidR="0013410F" w:rsidRPr="004325DC" w:rsidRDefault="0013410F" w:rsidP="00721ADE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4325DC">
              <w:rPr>
                <w:rFonts w:ascii="Times New Roman" w:hAnsi="Times New Roman"/>
                <w:color w:val="000000"/>
              </w:rPr>
              <w:t xml:space="preserve">Zgodnie z art. 448 ust. 2 rozporządzenia (UE) nr 575/2013 opis szczególnych miar ryzyka stosowanych do pomiaru wrażliwości na IRRBB nie ma zastosowania do </w:t>
            </w:r>
            <w:r w:rsidRPr="004325DC">
              <w:rPr>
                <w:rFonts w:ascii="Times New Roman" w:hAnsi="Times New Roman"/>
                <w:color w:val="000000"/>
              </w:rPr>
              <w:lastRenderedPageBreak/>
              <w:t>instytucji stosujących standardową metodykę lub uproszczoną standardową metodykę, o których mowa w art. 84 ust. 1 dyrektywy 2013/36/UE.</w:t>
            </w:r>
          </w:p>
        </w:tc>
      </w:tr>
      <w:tr w:rsidR="00716636" w:rsidRPr="004325DC" w14:paraId="3452DFD3" w14:textId="77777777" w:rsidTr="00C143B2">
        <w:trPr>
          <w:trHeight w:val="197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3A998" w14:textId="3472E13E" w:rsidR="00716636" w:rsidRPr="004325DC" w:rsidRDefault="00716636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4325DC">
              <w:rPr>
                <w:rFonts w:ascii="Times New Roman" w:hAnsi="Times New Roman"/>
                <w:color w:val="000000"/>
              </w:rPr>
              <w:lastRenderedPageBreak/>
              <w:t>d)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EC818" w14:textId="713F89A4" w:rsidR="00716636" w:rsidRPr="004325DC" w:rsidRDefault="00716636" w:rsidP="0071663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 w:rsidRPr="004325DC">
              <w:rPr>
                <w:rFonts w:ascii="Times New Roman" w:hAnsi="Times New Roman"/>
                <w:b/>
                <w:color w:val="000000"/>
                <w:sz w:val="24"/>
              </w:rPr>
              <w:t>Opis scenariuszy wstrząsu dotyczących stóp procentowych i scenariuszy warunków skrajnych, które instytucja stosuje do oceny zmian w bilansowej wartości zaktualizowanej kapitału i w wyniku odsetkowym netto (w stosownych przypadkach)</w:t>
            </w:r>
          </w:p>
          <w:p w14:paraId="24AB856B" w14:textId="5DBA799D" w:rsidR="00716636" w:rsidRPr="004325DC" w:rsidRDefault="00716636" w:rsidP="0022665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4325DC">
              <w:rPr>
                <w:rFonts w:ascii="Times New Roman" w:hAnsi="Times New Roman"/>
                <w:color w:val="000000"/>
              </w:rPr>
              <w:t>Zgodnie z art. 448 ust. 1 lit. e) pkt (iii) rozporządzenia (UE) nr 575/2013 instytucje przedstawiają ogólny opis scenariuszy wstrząsu dotyczących stóp procentowych, które stosują, aby oszacować ryzyka stopy procentowej.</w:t>
            </w:r>
          </w:p>
          <w:p w14:paraId="05DE1832" w14:textId="3AF43FAB" w:rsidR="0013410F" w:rsidRPr="004325DC" w:rsidRDefault="0013410F" w:rsidP="00721AD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 w:rsidRPr="004325DC">
              <w:rPr>
                <w:rFonts w:ascii="Times New Roman" w:hAnsi="Times New Roman"/>
                <w:color w:val="000000"/>
              </w:rPr>
              <w:t>Zgodnie z art. 448 ust. 2 rozporządzenia (UE) nr 575/2013 te wymogi dotyczące ujawniania informacji nie mają zastosowania do instytucji stosujących standardową metodykę lub uproszczoną standardową metodykę, o których mowa w art. 84 ust. 1 dyrektywy 2013/36/UE.</w:t>
            </w:r>
          </w:p>
        </w:tc>
      </w:tr>
      <w:tr w:rsidR="00716636" w:rsidRPr="004325DC" w14:paraId="7F74CA5A" w14:textId="77777777" w:rsidTr="00005B93">
        <w:trPr>
          <w:trHeight w:val="296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10618" w14:textId="7713D88E" w:rsidR="00716636" w:rsidRPr="004325DC" w:rsidRDefault="00716636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4325DC">
              <w:rPr>
                <w:rFonts w:ascii="Times New Roman" w:hAnsi="Times New Roman"/>
                <w:color w:val="000000"/>
              </w:rPr>
              <w:t>e)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6C839" w14:textId="00FE41FE" w:rsidR="0094340A" w:rsidRPr="004325DC" w:rsidRDefault="0094340A" w:rsidP="00F930E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 w:rsidRPr="004325DC">
              <w:rPr>
                <w:rFonts w:ascii="Times New Roman" w:hAnsi="Times New Roman"/>
                <w:b/>
                <w:color w:val="000000"/>
                <w:sz w:val="24"/>
              </w:rPr>
              <w:t>Opis kluczowych założeń na potrzeby modelowania i założeń parametrycznych innych niż założenia stosowane do celów ujawniania informacji w wzorze EU IRRBB1 (w stosownych przypadkach)</w:t>
            </w:r>
          </w:p>
          <w:p w14:paraId="15A00557" w14:textId="4EC63038" w:rsidR="00716636" w:rsidRPr="004325DC" w:rsidRDefault="0094340A" w:rsidP="0094340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4325DC">
              <w:rPr>
                <w:rFonts w:ascii="Times New Roman" w:hAnsi="Times New Roman"/>
                <w:color w:val="000000"/>
              </w:rPr>
              <w:t>Zgodnie z art. 448 ust. 1 lit. e) pkt (ii) rozporządzenia (UE) nr 575/2013, jeżeli kluczowe założenia na potrzeby modelowania i założenia parametryczne stosowane w wewnętrznych systemach pomiaru instytucji różnią się od założeń, o których mowa w art. 98 ust. 5a dyrektywy 2013/36/UE, stosowanych do celów ujawniania informacji we wzorze EU IRRBB1, instytucja przedstawia ogólny opis tych założeń, łącznie z uzasadnieniem tych różnic (np. dane historyczne, opublikowane badania, osąd i analizy zarządcze itp.).</w:t>
            </w:r>
          </w:p>
          <w:p w14:paraId="3FF39A57" w14:textId="5F109832" w:rsidR="003B1160" w:rsidRPr="004325DC" w:rsidRDefault="0013410F" w:rsidP="00721AD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 w:rsidRPr="004325DC">
              <w:rPr>
                <w:rFonts w:ascii="Times New Roman" w:hAnsi="Times New Roman"/>
                <w:color w:val="000000"/>
              </w:rPr>
              <w:t>Zgodnie z art. 448 ust. 2 rozporządzenia (UE) nr 575/2013 te wymogi dotyczące ujawniania informacji nie mają zastosowania do instytucji stosujących standardową metodykę lub uproszczoną standardową metodykę, o których mowa w art. 84 ust. 1 dyrektywy 2013/36/UE.</w:t>
            </w:r>
          </w:p>
        </w:tc>
      </w:tr>
      <w:tr w:rsidR="0094340A" w:rsidRPr="004325DC" w14:paraId="766E1A7E" w14:textId="77777777" w:rsidTr="00005B93">
        <w:trPr>
          <w:trHeight w:val="230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9BE99" w14:textId="6073D3B2" w:rsidR="0094340A" w:rsidRPr="004325DC" w:rsidRDefault="0094340A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4325DC">
              <w:rPr>
                <w:rFonts w:ascii="Times New Roman" w:hAnsi="Times New Roman"/>
                <w:color w:val="000000"/>
              </w:rPr>
              <w:t>f)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4639B" w14:textId="05CA8B66" w:rsidR="0094340A" w:rsidRPr="004325DC" w:rsidRDefault="001A6E70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2"/>
              </w:rPr>
            </w:pPr>
            <w:r w:rsidRPr="004325DC">
              <w:rPr>
                <w:rFonts w:ascii="Times New Roman" w:hAnsi="Times New Roman"/>
                <w:b/>
                <w:color w:val="000000"/>
              </w:rPr>
              <w:t>Ogólny opis sposobu, w jaki instytucja zabezpiecza się przed IRRBB, a także związane z tym podejście księgowe (w stosownych przypadkach)</w:t>
            </w:r>
          </w:p>
          <w:p w14:paraId="70B99ACF" w14:textId="007FE981" w:rsidR="0094340A" w:rsidRPr="004325DC" w:rsidRDefault="001A6E70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4325DC">
              <w:rPr>
                <w:rFonts w:ascii="Times New Roman" w:hAnsi="Times New Roman"/>
                <w:color w:val="000000"/>
              </w:rPr>
              <w:t>W szczególności, zgodnie z art. 448 ust. 1 lit. e) pkt (iv) rozporządzenia (UE) nr 575/2013, instytucje określają skutki zastosowania instrumentów zabezpieczających przed swoimi ryzykami stopy procentowej, w tym wewnętrznych instrumentów zabezpieczających, które spełniają wymogi określone w art. 106 ust. 3 rozporządzenia (UE) nr 575/2013.</w:t>
            </w:r>
          </w:p>
          <w:p w14:paraId="4C51BA8A" w14:textId="2771AF79" w:rsidR="0013410F" w:rsidRPr="004325DC" w:rsidRDefault="0013410F" w:rsidP="00721ADE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4325DC">
              <w:rPr>
                <w:rFonts w:ascii="Times New Roman" w:hAnsi="Times New Roman"/>
                <w:color w:val="000000"/>
              </w:rPr>
              <w:t>Zgodnie z art. 448 ust. 2 rozporządzenia (UE) nr 575/2013 te wymogi dotyczące ujawniania informacji nie mają zastosowania do instytucji stosujących standardową metodykę lub uproszczoną standardową metodykę, o których mowa w art. 84 ust. 1 dyrektywy 2013/36/UE.</w:t>
            </w:r>
          </w:p>
        </w:tc>
      </w:tr>
      <w:tr w:rsidR="00CD3692" w:rsidRPr="004325DC" w14:paraId="6344348E" w14:textId="77777777" w:rsidTr="0064412E">
        <w:trPr>
          <w:trHeight w:val="140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B4B5" w14:textId="349E9B67" w:rsidR="00CD3692" w:rsidRPr="004325DC" w:rsidRDefault="00CF6849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4325DC">
              <w:rPr>
                <w:rFonts w:ascii="Times New Roman" w:hAnsi="Times New Roman"/>
                <w:color w:val="000000"/>
              </w:rPr>
              <w:t>g)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3390" w14:textId="6E2E0F9E" w:rsidR="00CD3692" w:rsidRPr="004325DC" w:rsidRDefault="00EA1CF8" w:rsidP="00B650A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 w:rsidRPr="004325DC">
              <w:rPr>
                <w:rFonts w:ascii="Times New Roman" w:hAnsi="Times New Roman"/>
                <w:b/>
                <w:color w:val="000000"/>
                <w:sz w:val="24"/>
              </w:rPr>
              <w:t>Opis kluczowych założeń na potrzeby modelowania i założeń parametrycznych stosowanych do celów ujawniania informacji na temat miar IRRBB w wzorze EU IRRBB1 (w stosownych przypadkach)</w:t>
            </w:r>
          </w:p>
          <w:p w14:paraId="083A4172" w14:textId="093A90CF" w:rsidR="00CD3692" w:rsidRPr="004325DC" w:rsidRDefault="00133E44" w:rsidP="00B650A9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4325DC">
              <w:rPr>
                <w:rFonts w:ascii="Times New Roman" w:hAnsi="Times New Roman"/>
                <w:color w:val="000000"/>
              </w:rPr>
              <w:t xml:space="preserve">Zgodnie z art. 448 ust. 1 lit. c) rozporządzenia (UE) nr 575/2013 instytucje przedstawiają ogólny opis kluczowych założeń na potrzeby modelowania i założeń parametrycznych innych niż te, o których mowa w art. 98 ust. 5a lit. b) i c) dyrektywy 2013/36/UE, stosowanych do obliczania zmian w bilansowej </w:t>
            </w:r>
            <w:r w:rsidRPr="004325DC">
              <w:rPr>
                <w:rFonts w:ascii="Times New Roman" w:hAnsi="Times New Roman"/>
                <w:color w:val="000000"/>
              </w:rPr>
              <w:lastRenderedPageBreak/>
              <w:t>wartości zaktualizowanej kapitału i w wyniku odsetkowym netto we wzorze EU IRRBB1. Ten ogólny opis musi obejmować przynajmniej:</w:t>
            </w:r>
          </w:p>
          <w:p w14:paraId="26388E97" w14:textId="6114187E" w:rsidR="00843F8C" w:rsidRPr="004325DC" w:rsidRDefault="0016128F" w:rsidP="00B650A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4325DC">
              <w:rPr>
                <w:rFonts w:ascii="Times New Roman" w:hAnsi="Times New Roman"/>
                <w:color w:val="000000"/>
              </w:rPr>
              <w:t>sposób określenia średniego terminu zapadalności po przeszacowaniu, przypisanego depozytom o nieustalonym terminie zapadalności, w tym wszelkie unikalne cechy produktu, które mają wpływ na zakładaną datę przeszacowania uwzględniającą zachowania klientów;</w:t>
            </w:r>
          </w:p>
          <w:p w14:paraId="01CB0AA3" w14:textId="2D904141" w:rsidR="00843F8C" w:rsidRPr="004325DC" w:rsidRDefault="00843F8C" w:rsidP="00B650A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4325DC">
              <w:rPr>
                <w:rFonts w:ascii="Times New Roman" w:hAnsi="Times New Roman"/>
                <w:color w:val="000000"/>
              </w:rPr>
              <w:t>metodykę zastosowaną do oszacowania odsetka kredytów spłaconych przedterminowo lub odsetka depozytów terminowych wycofanych przedterminowo, a także inne istotne założenia;</w:t>
            </w:r>
          </w:p>
          <w:p w14:paraId="1BD4D78B" w14:textId="273602CC" w:rsidR="00AE69B7" w:rsidRPr="004325DC" w:rsidRDefault="00745B25" w:rsidP="00B650A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4325DC">
              <w:rPr>
                <w:rFonts w:ascii="Times New Roman" w:hAnsi="Times New Roman"/>
                <w:color w:val="000000"/>
              </w:rPr>
              <w:t>wszelkie inne założenia, w tym dotyczące instrumentów z elementami uwzględniającymi zachowania klientów, które mają istotny wpływ na miary IRRBB ujawnione we wzorze EU IRRBB1, w tym wyjaśnienie, dlaczego są one istotne.</w:t>
            </w:r>
          </w:p>
          <w:p w14:paraId="2195D942" w14:textId="77777777" w:rsidR="005E2B3A" w:rsidRPr="004325DC" w:rsidRDefault="005E2B3A" w:rsidP="00B650A9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  <w:lang w:eastAsia="en-GB"/>
              </w:rPr>
            </w:pPr>
          </w:p>
          <w:p w14:paraId="5155CA71" w14:textId="23D5624A" w:rsidR="005E2B3A" w:rsidRPr="004325DC" w:rsidRDefault="005E2B3A" w:rsidP="00721ADE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4325DC">
              <w:rPr>
                <w:rFonts w:ascii="Times New Roman" w:hAnsi="Times New Roman"/>
                <w:color w:val="000000"/>
              </w:rPr>
              <w:t>Zgodnie z art. 448 ust. 2 rozporządzenia (UE) nr 575/2013 te wymogi dotyczące ujawniania informacji nie mają zastosowania do instytucji stosujących standardową metodykę lub uproszczoną standardową metodykę, o których mowa w art. 84 ust. 1 dyrektywy 2013/36/UE.</w:t>
            </w:r>
          </w:p>
        </w:tc>
      </w:tr>
      <w:tr w:rsidR="00CD3692" w:rsidRPr="004325DC" w14:paraId="124DC3B1" w14:textId="77777777" w:rsidTr="00F930E4">
        <w:trPr>
          <w:trHeight w:val="189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24D2" w14:textId="3A2AB43A" w:rsidR="00CD3692" w:rsidRPr="004325DC" w:rsidRDefault="00C143B2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4325DC">
              <w:rPr>
                <w:rFonts w:ascii="Times New Roman" w:hAnsi="Times New Roman"/>
                <w:color w:val="000000"/>
              </w:rPr>
              <w:lastRenderedPageBreak/>
              <w:t>h)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4F6D" w14:textId="6C923999" w:rsidR="003C310D" w:rsidRPr="004325DC" w:rsidRDefault="003C310D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 w:rsidRPr="004325DC">
              <w:rPr>
                <w:rFonts w:ascii="Times New Roman" w:hAnsi="Times New Roman"/>
                <w:b/>
                <w:color w:val="000000"/>
                <w:sz w:val="24"/>
              </w:rPr>
              <w:t>Wyjaśnienie znaczenia miar IRRBB i ich istotnych zmian od momentu przekazania wcześniejszych informacji</w:t>
            </w:r>
          </w:p>
          <w:p w14:paraId="79D598A4" w14:textId="45AA4311" w:rsidR="00CD3692" w:rsidRPr="004325DC" w:rsidRDefault="00133E44" w:rsidP="00942E61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4325DC">
              <w:rPr>
                <w:rFonts w:ascii="Times New Roman" w:hAnsi="Times New Roman"/>
                <w:color w:val="000000"/>
              </w:rPr>
              <w:t>Zgodnie z art. 448 ust. 1 lit. d) rozporządzenia (UE) nr 575/2013 instytucje przedstawiają ogólne wyjaśnienie znaczenia miar IRRBB ujawnionych we wzorze EU IRRBB1 oraz wszelkie istotne zmiany tych miar IRRBB od poprzedniego dnia odniesienia dotyczącego ujawniania informacji.</w:t>
            </w:r>
          </w:p>
        </w:tc>
      </w:tr>
      <w:tr w:rsidR="007573CB" w:rsidRPr="004325DC" w14:paraId="7AE95BD0" w14:textId="77777777" w:rsidTr="004F5466">
        <w:trPr>
          <w:trHeight w:val="156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EE7D5" w14:textId="3CB7C340" w:rsidR="007573CB" w:rsidRPr="004325DC" w:rsidRDefault="00912FEC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4325DC">
              <w:rPr>
                <w:rFonts w:ascii="Times New Roman" w:hAnsi="Times New Roman"/>
                <w:color w:val="000000"/>
              </w:rPr>
              <w:t>i)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4BD64" w14:textId="782047AF" w:rsidR="007573CB" w:rsidRPr="004325DC" w:rsidRDefault="007573CB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 w:rsidRPr="004325DC">
              <w:rPr>
                <w:rFonts w:ascii="Times New Roman" w:hAnsi="Times New Roman"/>
                <w:b/>
                <w:color w:val="000000"/>
                <w:sz w:val="24"/>
              </w:rPr>
              <w:t>Wszelkie inne istotne informacje dotyczące miar IRRBB ujawnionych we wzorze EU IRRBB1 (opcjonalnie)</w:t>
            </w:r>
          </w:p>
          <w:p w14:paraId="4A261DD1" w14:textId="6EDF41BA" w:rsidR="007F15BF" w:rsidRPr="004325DC" w:rsidRDefault="007573CB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4325DC">
              <w:rPr>
                <w:rFonts w:ascii="Times New Roman" w:hAnsi="Times New Roman"/>
                <w:color w:val="000000"/>
              </w:rPr>
              <w:t xml:space="preserve">Wszelkie inne istotne informacje, które instytucje zamierzają ujawnić w odniesieniu do miar IRRBB ujętych we wzorze EU IRRBB1. </w:t>
            </w:r>
          </w:p>
          <w:p w14:paraId="10A0910D" w14:textId="21A84150" w:rsidR="007573CB" w:rsidRPr="004325DC" w:rsidRDefault="002B630E" w:rsidP="002B630E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4325DC">
              <w:rPr>
                <w:rFonts w:ascii="Times New Roman" w:hAnsi="Times New Roman"/>
                <w:color w:val="000000"/>
              </w:rPr>
              <w:t>.</w:t>
            </w:r>
            <w:r w:rsidRPr="004325DC">
              <w:t xml:space="preserve"> </w:t>
            </w:r>
            <w:r w:rsidRPr="004325DC">
              <w:rPr>
                <w:rFonts w:ascii="Times New Roman" w:hAnsi="Times New Roman"/>
                <w:color w:val="000000"/>
              </w:rPr>
              <w:t xml:space="preserve">Do czasu rozpoczęcia stosowania kryteriów zawartych w wytycznych określonych w art. 84 ust. 6 dyrektywy 2013/36/UE oraz dalszych elementów wymienionych w art. 98 ust. 5a dyrektywy 2013/36/UE instytucje ujawniają parametry wykorzystywane na potrzeby scenariuszy wstrząsu stosowanych do celów nadzorczych, definicję wyniku odsetkowego netto, którą stosują, oraz wszelkie inne istotne informacje pozwalające zrozumieć, w jaki sposób we wzorze EU IRRBB1 obliczono zmiany w wyniku odsetkowym netto. </w:t>
            </w:r>
          </w:p>
        </w:tc>
      </w:tr>
      <w:tr w:rsidR="004F5466" w:rsidRPr="004325DC" w14:paraId="3C02208B" w14:textId="77777777" w:rsidTr="004F5466">
        <w:trPr>
          <w:trHeight w:val="156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3EA22" w14:textId="39D45DCA" w:rsidR="004F5466" w:rsidRPr="004325DC" w:rsidRDefault="00EA1CF8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4325DC">
              <w:rPr>
                <w:rFonts w:ascii="Times New Roman" w:hAnsi="Times New Roman"/>
                <w:color w:val="000000"/>
              </w:rPr>
              <w:t>1), 2)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AF10" w14:textId="2D31C73F" w:rsidR="00065C44" w:rsidRPr="004325DC" w:rsidRDefault="00EA1CF8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 w:rsidRPr="004325DC">
              <w:rPr>
                <w:rFonts w:ascii="Times New Roman" w:hAnsi="Times New Roman"/>
                <w:b/>
                <w:color w:val="000000"/>
                <w:sz w:val="24"/>
              </w:rPr>
              <w:t>Ujawnienie informacji na temat średniego i najdłuższego terminu zapadalności po przeszacowaniu przypisanego depozytom o nieustalonym terminie zapadalności</w:t>
            </w:r>
          </w:p>
          <w:p w14:paraId="48FA0E44" w14:textId="035E5E4B" w:rsidR="004F5466" w:rsidRPr="004325DC" w:rsidRDefault="00065C44" w:rsidP="00942E61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 w:rsidRPr="004325DC">
              <w:rPr>
                <w:rFonts w:ascii="Times New Roman" w:hAnsi="Times New Roman"/>
                <w:color w:val="000000"/>
              </w:rPr>
              <w:t>Zgodnie z art. 448 ust. 1 lit. g) rozporządzenia (UE) nr 575/2013 instytucje ujawniają średni i najdłuższy termin zapadalności po przeszacowaniu przypisany depozytom o nieustalonym terminie zapadalności przyjmowanym od kontrahentów detalicznych i niefinansowych kontrahentów hurtowych. Ujawniane informacje odnoszą się oddzielnie zarówno do kwoty głównej, jak i do pełnej kwoty depozytów o nieustalonym terminie zapadalności przyjmowanych od detalicznych i niefinansowych kontrahentów hurtowych.</w:t>
            </w:r>
          </w:p>
        </w:tc>
      </w:tr>
    </w:tbl>
    <w:p w14:paraId="7CCC608C" w14:textId="665437C9" w:rsidR="00CD3692" w:rsidRPr="004325DC" w:rsidRDefault="00CD3692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47ECF7AE" w14:textId="68E6A9FF" w:rsidR="00CD3692" w:rsidRPr="004325DC" w:rsidRDefault="00CD3692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2CCE4A80" w14:textId="7996A576" w:rsidR="00CD3692" w:rsidRPr="004325DC" w:rsidRDefault="00CD3692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23569941" w14:textId="4C420FFB" w:rsidR="000D6C4D" w:rsidRPr="004325DC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1D6BE0F5" w14:textId="4EA1E980" w:rsidR="000D6C4D" w:rsidRPr="004325DC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3487ACD1" w14:textId="53FD952F" w:rsidR="000D6C4D" w:rsidRPr="004325DC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4250FBF3" w14:textId="37DE64E1" w:rsidR="000D6C4D" w:rsidRPr="004325DC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69D0F024" w14:textId="0F997E35" w:rsidR="000D6C4D" w:rsidRPr="004325DC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0E8B64AA" w14:textId="14A18415" w:rsidR="000D6C4D" w:rsidRPr="004325DC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1354E78F" w14:textId="3B4408D4" w:rsidR="000D6C4D" w:rsidRPr="004325DC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3C13897A" w14:textId="548DECB4" w:rsidR="000D6C4D" w:rsidRPr="004325DC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63BE97FF" w14:textId="21D9ECFA" w:rsidR="000D6C4D" w:rsidRPr="004325DC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4064F668" w14:textId="77777777" w:rsidR="000D6C4D" w:rsidRPr="004325DC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287F28AF" w14:textId="08831685" w:rsidR="0054744B" w:rsidRPr="004325DC" w:rsidRDefault="00906CCA" w:rsidP="0054744B">
      <w:pPr>
        <w:jc w:val="both"/>
        <w:rPr>
          <w:rFonts w:ascii="Times New Roman" w:hAnsi="Times New Roman"/>
          <w:bCs/>
          <w:sz w:val="24"/>
        </w:rPr>
      </w:pPr>
      <w:r w:rsidRPr="004325DC">
        <w:rPr>
          <w:rFonts w:ascii="Times New Roman" w:hAnsi="Times New Roman"/>
          <w:b/>
          <w:sz w:val="24"/>
        </w:rPr>
        <w:t xml:space="preserve">Instrukcje dotyczące ujawniania informacji we wzorze EU IRRBB1 </w:t>
      </w:r>
    </w:p>
    <w:p w14:paraId="31489412" w14:textId="77777777" w:rsidR="0054744B" w:rsidRPr="004325DC" w:rsidRDefault="0054744B" w:rsidP="0054744B">
      <w:pPr>
        <w:ind w:left="360"/>
        <w:jc w:val="both"/>
        <w:rPr>
          <w:rFonts w:ascii="Times New Roman" w:hAnsi="Times New Roman"/>
          <w:bCs/>
          <w:sz w:val="24"/>
        </w:rPr>
      </w:pPr>
    </w:p>
    <w:p w14:paraId="341C6BAB" w14:textId="32CD6F45" w:rsidR="00580D58" w:rsidRPr="004325DC" w:rsidRDefault="00580D58" w:rsidP="000D6C4D">
      <w:pPr>
        <w:ind w:left="360"/>
        <w:jc w:val="both"/>
        <w:rPr>
          <w:bCs/>
        </w:rPr>
      </w:pPr>
    </w:p>
    <w:p w14:paraId="59C5AC78" w14:textId="3F3BF0EE" w:rsidR="00AC7CEB" w:rsidRPr="004325DC" w:rsidRDefault="00580D58" w:rsidP="0064406C">
      <w:pPr>
        <w:numPr>
          <w:ilvl w:val="0"/>
          <w:numId w:val="9"/>
        </w:numPr>
        <w:jc w:val="both"/>
        <w:rPr>
          <w:rFonts w:ascii="Times New Roman" w:hAnsi="Times New Roman"/>
          <w:bCs/>
          <w:sz w:val="24"/>
        </w:rPr>
      </w:pPr>
      <w:r w:rsidRPr="004325DC">
        <w:rPr>
          <w:rFonts w:ascii="Times New Roman" w:hAnsi="Times New Roman"/>
        </w:rPr>
        <w:t>Instytucje oceniają ryzyko stopy procentowej z tytułu ich działalności w ramach portfela bankowego na podstawie swojej metodyki wewnętrznych systemów pomiaru ryzyka, standardowej metodyki lub uproszczonej standardowej metodyki, w stosownych przypadkach, zgodnie z definicją w art. 84 dyrektywy 2013/36/UE, uwzględniając scenariusze wstrząsu stosowane do celów nadzorczych oraz wspólne założenia na potrzeby modelowania i założenia parametryczne zdefiniowane w art. 98 ust. 5a dyrektywy 2013/36/UE.</w:t>
      </w:r>
    </w:p>
    <w:p w14:paraId="18595772" w14:textId="50D032F2" w:rsidR="00580D58" w:rsidRPr="004325DC" w:rsidRDefault="00580D58" w:rsidP="000D6C4D">
      <w:pPr>
        <w:ind w:left="360"/>
        <w:jc w:val="both"/>
        <w:rPr>
          <w:rFonts w:ascii="Times New Roman" w:hAnsi="Times New Roman"/>
          <w:bCs/>
          <w:sz w:val="24"/>
        </w:rPr>
      </w:pPr>
    </w:p>
    <w:p w14:paraId="5E3F5B28" w14:textId="0B4D03FC" w:rsidR="00AC7CEB" w:rsidRPr="004325DC" w:rsidRDefault="00AC7CEB" w:rsidP="0064406C">
      <w:pPr>
        <w:numPr>
          <w:ilvl w:val="0"/>
          <w:numId w:val="9"/>
        </w:numPr>
        <w:jc w:val="both"/>
        <w:rPr>
          <w:rFonts w:ascii="Times New Roman" w:hAnsi="Times New Roman"/>
          <w:bCs/>
          <w:sz w:val="24"/>
        </w:rPr>
      </w:pPr>
      <w:r w:rsidRPr="004325DC">
        <w:rPr>
          <w:rFonts w:ascii="Times New Roman" w:hAnsi="Times New Roman"/>
          <w:sz w:val="24"/>
        </w:rPr>
        <w:t xml:space="preserve">Instrukcje te opracowano na podstawie wymogów określonych w art. 448 rozporządzenia (UE) nr 575/2013 oraz zgodnie z bazylejskim standardem ujawniania informacji (filar 3). </w:t>
      </w:r>
    </w:p>
    <w:p w14:paraId="71B54BD0" w14:textId="77777777" w:rsidR="00227FDC" w:rsidRPr="004325DC" w:rsidRDefault="00227FDC" w:rsidP="00A81E4E">
      <w:pPr>
        <w:jc w:val="both"/>
        <w:rPr>
          <w:rFonts w:ascii="Times New Roman" w:hAnsi="Times New Roman"/>
          <w:bCs/>
          <w:sz w:val="24"/>
        </w:rPr>
      </w:pPr>
    </w:p>
    <w:p w14:paraId="532A60CC" w14:textId="38E17551" w:rsidR="0054744B" w:rsidRPr="004325DC" w:rsidRDefault="005B5611" w:rsidP="0064406C">
      <w:pPr>
        <w:numPr>
          <w:ilvl w:val="0"/>
          <w:numId w:val="9"/>
        </w:numPr>
        <w:jc w:val="both"/>
        <w:rPr>
          <w:rFonts w:ascii="Times New Roman" w:hAnsi="Times New Roman"/>
          <w:bCs/>
          <w:sz w:val="24"/>
        </w:rPr>
      </w:pPr>
      <w:r w:rsidRPr="004325DC">
        <w:rPr>
          <w:rFonts w:ascii="Times New Roman" w:hAnsi="Times New Roman"/>
          <w:sz w:val="24"/>
        </w:rPr>
        <w:t>Instytucje, które przedstawiają informacje po raz pierwszy, nie są zobowiązane do przedstawiania informacji za poprzedni okres.</w:t>
      </w:r>
    </w:p>
    <w:p w14:paraId="4329A1AB" w14:textId="77777777" w:rsidR="00CE0D17" w:rsidRPr="004325DC" w:rsidRDefault="00CE0D17" w:rsidP="00CE0D17">
      <w:pPr>
        <w:pStyle w:val="ListParagraph"/>
        <w:rPr>
          <w:rFonts w:ascii="Times New Roman" w:hAnsi="Times New Roman"/>
          <w:bCs/>
          <w:sz w:val="24"/>
        </w:rPr>
      </w:pPr>
    </w:p>
    <w:p w14:paraId="6EDD9A3D" w14:textId="77777777" w:rsidR="0060489A" w:rsidRPr="004325DC" w:rsidRDefault="0060489A"/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7768"/>
      </w:tblGrid>
      <w:tr w:rsidR="0054744B" w:rsidRPr="004325DC" w14:paraId="4761A8A4" w14:textId="77777777" w:rsidTr="0095024C">
        <w:trPr>
          <w:trHeight w:val="377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73110B" w14:textId="04B554CD" w:rsidR="0054744B" w:rsidRPr="004325DC" w:rsidRDefault="0054744B" w:rsidP="0054744B">
            <w:pPr>
              <w:pStyle w:val="TableTitle"/>
              <w:jc w:val="left"/>
              <w:rPr>
                <w:rFonts w:ascii="Times New Roman" w:hAnsi="Times New Roman"/>
                <w:noProof w:val="0"/>
                <w:sz w:val="24"/>
              </w:rPr>
            </w:pPr>
            <w:r w:rsidRPr="004325DC">
              <w:rPr>
                <w:rFonts w:ascii="Times New Roman" w:hAnsi="Times New Roman"/>
                <w:noProof w:val="0"/>
              </w:rPr>
              <w:t>Instrukcje wypełniania wzoru EU IRRBB1 na potrzeby ujawniania informacji</w:t>
            </w:r>
          </w:p>
        </w:tc>
      </w:tr>
      <w:tr w:rsidR="0054744B" w:rsidRPr="004325DC" w14:paraId="4DCD406D" w14:textId="77777777" w:rsidTr="007C351F">
        <w:trPr>
          <w:trHeight w:val="238"/>
        </w:trPr>
        <w:tc>
          <w:tcPr>
            <w:tcW w:w="1271" w:type="dxa"/>
            <w:tcBorders>
              <w:bottom w:val="nil"/>
            </w:tcBorders>
            <w:shd w:val="clear" w:color="auto" w:fill="D9D9D9" w:themeFill="background1" w:themeFillShade="D9"/>
          </w:tcPr>
          <w:p w14:paraId="088F66A9" w14:textId="77777777" w:rsidR="0054744B" w:rsidRPr="004325DC" w:rsidRDefault="0054744B" w:rsidP="006048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2"/>
              </w:rPr>
            </w:pPr>
            <w:r w:rsidRPr="004325DC">
              <w:rPr>
                <w:rFonts w:ascii="Times New Roman" w:hAnsi="Times New Roman"/>
                <w:b/>
              </w:rPr>
              <w:t>Kolumna</w:t>
            </w:r>
          </w:p>
        </w:tc>
        <w:tc>
          <w:tcPr>
            <w:tcW w:w="7768" w:type="dxa"/>
            <w:tcBorders>
              <w:bottom w:val="nil"/>
            </w:tcBorders>
            <w:shd w:val="clear" w:color="auto" w:fill="D9D9D9" w:themeFill="background1" w:themeFillShade="D9"/>
          </w:tcPr>
          <w:p w14:paraId="00621506" w14:textId="77777777" w:rsidR="0054744B" w:rsidRPr="004325DC" w:rsidRDefault="0054744B" w:rsidP="006048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4325DC">
              <w:rPr>
                <w:rFonts w:ascii="Times New Roman" w:hAnsi="Times New Roman"/>
                <w:b/>
              </w:rPr>
              <w:t>Wyjaśnienie</w:t>
            </w:r>
          </w:p>
        </w:tc>
      </w:tr>
      <w:tr w:rsidR="0054744B" w:rsidRPr="004325DC" w14:paraId="53AAFC46" w14:textId="77777777" w:rsidTr="007C351F">
        <w:trPr>
          <w:trHeight w:val="238"/>
        </w:trPr>
        <w:tc>
          <w:tcPr>
            <w:tcW w:w="1271" w:type="dxa"/>
            <w:shd w:val="clear" w:color="auto" w:fill="FFFFFF" w:themeFill="background1"/>
          </w:tcPr>
          <w:p w14:paraId="562D66BF" w14:textId="1E0A8346" w:rsidR="0054744B" w:rsidRPr="004325DC" w:rsidRDefault="00316B9A" w:rsidP="00F55DB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25DC">
              <w:rPr>
                <w:rFonts w:ascii="Times New Roman" w:hAnsi="Times New Roman"/>
                <w:b/>
              </w:rPr>
              <w:t>a, b</w:t>
            </w:r>
          </w:p>
        </w:tc>
        <w:tc>
          <w:tcPr>
            <w:tcW w:w="7768" w:type="dxa"/>
            <w:shd w:val="clear" w:color="auto" w:fill="FFFFFF" w:themeFill="background1"/>
          </w:tcPr>
          <w:p w14:paraId="26CB8AC0" w14:textId="3A3B49B8" w:rsidR="00793890" w:rsidRPr="004325DC" w:rsidRDefault="004E6BD5" w:rsidP="0060489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004325DC">
              <w:rPr>
                <w:rFonts w:ascii="Times New Roman" w:hAnsi="Times New Roman"/>
                <w:b/>
              </w:rPr>
              <w:t>Zmiany w bilansowej wartości zaktualizowanej kapitału</w:t>
            </w:r>
          </w:p>
          <w:p w14:paraId="7E84F9AE" w14:textId="3C5E67A3" w:rsidR="002F2E04" w:rsidRPr="004325DC" w:rsidRDefault="009C3247" w:rsidP="009C3247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 w:rsidRPr="004325DC">
              <w:rPr>
                <w:rFonts w:ascii="Times New Roman" w:hAnsi="Times New Roman"/>
              </w:rPr>
              <w:t xml:space="preserve">Art. 448 ust. 1 lit. a) rozporządzenia (UE) nr 575/2013. </w:t>
            </w:r>
          </w:p>
          <w:p w14:paraId="4C9FBFE2" w14:textId="0CBAAF6F" w:rsidR="009C2377" w:rsidRPr="004325DC" w:rsidRDefault="009C3247" w:rsidP="009C3247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 w:rsidRPr="004325DC">
              <w:rPr>
                <w:rFonts w:ascii="Times New Roman" w:hAnsi="Times New Roman"/>
              </w:rPr>
              <w:t>Instytucje zgłaszają zmiany w bilansowej wartości zaktualizowanej kapitału w ramach każdego scenariusza wstrząsu dotyczącego stóp procentowych stosowanego do celów nadzorczych, za bieżący i poprzedni okres, zgodnie z wymogami określonymi w art. 84 i art. 98 ust. 5 dyrektywy 2013/36/UE.</w:t>
            </w:r>
          </w:p>
          <w:p w14:paraId="6996A7A9" w14:textId="72F54AA8" w:rsidR="009D7A7D" w:rsidRPr="004325DC" w:rsidRDefault="009D7A7D" w:rsidP="009D7A7D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4744B" w:rsidRPr="004325DC" w14:paraId="6583A42B" w14:textId="77777777" w:rsidTr="007C351F">
        <w:trPr>
          <w:trHeight w:val="238"/>
        </w:trPr>
        <w:tc>
          <w:tcPr>
            <w:tcW w:w="1271" w:type="dxa"/>
            <w:shd w:val="clear" w:color="auto" w:fill="FFFFFF" w:themeFill="background1"/>
          </w:tcPr>
          <w:p w14:paraId="619CE943" w14:textId="5F0011ED" w:rsidR="0054744B" w:rsidRPr="004325DC" w:rsidRDefault="00316B9A" w:rsidP="0060489A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25DC">
              <w:rPr>
                <w:rFonts w:ascii="Times New Roman" w:hAnsi="Times New Roman"/>
                <w:b/>
              </w:rPr>
              <w:t>c, d</w:t>
            </w:r>
          </w:p>
        </w:tc>
        <w:tc>
          <w:tcPr>
            <w:tcW w:w="7768" w:type="dxa"/>
            <w:shd w:val="clear" w:color="auto" w:fill="FFFFFF" w:themeFill="background1"/>
          </w:tcPr>
          <w:p w14:paraId="5BAD9564" w14:textId="213A9B28" w:rsidR="00305C67" w:rsidRPr="004325DC" w:rsidRDefault="00316B9A" w:rsidP="00305C6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004325DC">
              <w:rPr>
                <w:rFonts w:ascii="Times New Roman" w:hAnsi="Times New Roman"/>
                <w:b/>
              </w:rPr>
              <w:t>Zmiany w wyniku odsetkowym netto</w:t>
            </w:r>
          </w:p>
          <w:p w14:paraId="0ED8B6C6" w14:textId="70E8F948" w:rsidR="002F2E04" w:rsidRPr="004325DC" w:rsidRDefault="00CE0D17" w:rsidP="00B81100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 w:rsidRPr="004325DC">
              <w:rPr>
                <w:rFonts w:ascii="Times New Roman" w:hAnsi="Times New Roman"/>
              </w:rPr>
              <w:t xml:space="preserve">Art. 448 ust. 1 lit. b) rozporządzenia (UE) nr 575/2013. </w:t>
            </w:r>
          </w:p>
          <w:p w14:paraId="629DC825" w14:textId="34B035B2" w:rsidR="008E005A" w:rsidRPr="004325DC" w:rsidRDefault="00CE0D17" w:rsidP="00B81100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 w:rsidRPr="004325DC">
              <w:rPr>
                <w:rFonts w:ascii="Times New Roman" w:hAnsi="Times New Roman"/>
              </w:rPr>
              <w:t xml:space="preserve">Instytucje zgłaszają zmiany w wyniku odsetkowym netto w ramach dwóch określonych we wzorze scenariuszy wstrząsu dotyczącego stóp procentowych stosowanych do celów nadzorczych, za bieżący i poprzedni okres, zgodnie z wymogami określonymi w art. 84 i art. 98 ust. 5 dyrektywy 2013/36/UE. </w:t>
            </w:r>
          </w:p>
          <w:p w14:paraId="2D49064E" w14:textId="1AFABC17" w:rsidR="00C41D59" w:rsidRPr="004325DC" w:rsidRDefault="00C24484" w:rsidP="00C24484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 w:rsidRPr="004325DC">
              <w:rPr>
                <w:rFonts w:ascii="Times New Roman" w:hAnsi="Times New Roman"/>
                <w:color w:val="000000"/>
              </w:rPr>
              <w:t xml:space="preserve"> </w:t>
            </w:r>
            <w:r w:rsidRPr="004325DC">
              <w:rPr>
                <w:rFonts w:ascii="Times New Roman" w:hAnsi="Times New Roman"/>
              </w:rPr>
              <w:t xml:space="preserve">Do czasu rozpoczęcia stosowania kryteriów zawartych w wytycznych określonych w art. 84 ust. 6 dyrektywy 2013/36/UE oraz dalszych elementów wymienionych w art. 98 ust. 5a dyrektywy 2013/36/UE instytucje opisują w pkt (i) tabeli EU IRRBBA stosowane przez nie definicję i kluczowe cechy wyniku odsetkowego netto (scenariusze, założenia i horyzonty czasowe wyniku odsetkowego netto) lub, jeżeli pozostawiają te kolumny puste, podają w pkt (i) tabeli EU IRRBBA uzasadnienie. </w:t>
            </w:r>
          </w:p>
        </w:tc>
      </w:tr>
      <w:tr w:rsidR="00227FDC" w:rsidRPr="004325DC" w14:paraId="55BAD1A1" w14:textId="77777777" w:rsidTr="00A81E4E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7CBAA6" w14:textId="77777777" w:rsidR="00227FDC" w:rsidRPr="004325DC" w:rsidRDefault="00227FDC" w:rsidP="00A81E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2"/>
              </w:rPr>
            </w:pPr>
            <w:r w:rsidRPr="004325DC">
              <w:rPr>
                <w:rFonts w:ascii="Times New Roman" w:hAnsi="Times New Roman"/>
                <w:b/>
              </w:rPr>
              <w:t xml:space="preserve">Wiersz 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112B66" w14:textId="77777777" w:rsidR="00227FDC" w:rsidRPr="004325DC" w:rsidRDefault="00227FDC" w:rsidP="00A81E4E">
            <w:pPr>
              <w:rPr>
                <w:rFonts w:ascii="Times New Roman" w:hAnsi="Times New Roman" w:cs="Times New Roman"/>
                <w:b/>
                <w:szCs w:val="22"/>
              </w:rPr>
            </w:pPr>
            <w:r w:rsidRPr="004325DC">
              <w:rPr>
                <w:rFonts w:ascii="Times New Roman" w:hAnsi="Times New Roman"/>
                <w:b/>
              </w:rPr>
              <w:t>Wyjaśnienie</w:t>
            </w:r>
          </w:p>
        </w:tc>
      </w:tr>
      <w:tr w:rsidR="00227FDC" w:rsidRPr="004325DC" w14:paraId="58E34903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08E4B4" w14:textId="7F6176AD" w:rsidR="00227FDC" w:rsidRPr="004325D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25DC">
              <w:rPr>
                <w:rFonts w:ascii="Times New Roman" w:hAnsi="Times New Roman"/>
                <w:b/>
              </w:rPr>
              <w:lastRenderedPageBreak/>
              <w:t>1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3AB7B7" w14:textId="385B87B7" w:rsidR="00227FDC" w:rsidRPr="004325DC" w:rsidRDefault="003E3A89" w:rsidP="0060489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004325DC">
              <w:rPr>
                <w:rFonts w:ascii="Times New Roman" w:hAnsi="Times New Roman"/>
                <w:b/>
              </w:rPr>
              <w:t xml:space="preserve">Równoległy wzrost szoku </w:t>
            </w:r>
          </w:p>
          <w:p w14:paraId="460792B5" w14:textId="200E6EE9" w:rsidR="0080384B" w:rsidRPr="004325DC" w:rsidRDefault="00615DB8" w:rsidP="00B9107D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 w:rsidRPr="004325DC">
              <w:rPr>
                <w:rFonts w:ascii="Times New Roman" w:hAnsi="Times New Roman"/>
              </w:rPr>
              <w:t xml:space="preserve">Instytucje ujawniają zmiany w bilansowej wartości zaktualizowanej kapitału oraz zmiany w wyniku odsetkowym netto przy szoku w postaci stałego równoległego wzrostu zarówno krótko-, jak i długoterminowych stóp procentowych. </w:t>
            </w:r>
          </w:p>
          <w:p w14:paraId="2AA6B7BB" w14:textId="14575B1E" w:rsidR="0084271D" w:rsidRPr="004325DC" w:rsidRDefault="00C24484" w:rsidP="00C24484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 w:rsidRPr="004325DC">
              <w:rPr>
                <w:rFonts w:ascii="Times New Roman" w:hAnsi="Times New Roman"/>
              </w:rPr>
              <w:t xml:space="preserve"> Do czasu rozpoczęcia stosowania kryteriów zawartych w wytycznych określonych w art. 84 ust. 6 dyrektywy 2013/36/UE oraz dalszych elementów wymienionych w art. 98 ust. 5a dyrektywy 2013/36/UE parametry stosowane w tym scenariuszu opisuje się w pkt (i) tabeli EU IRRBBA.</w:t>
            </w:r>
          </w:p>
        </w:tc>
      </w:tr>
      <w:tr w:rsidR="00227FDC" w:rsidRPr="004325DC" w14:paraId="544FB1F8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74EE41" w14:textId="424C34BA" w:rsidR="00227FDC" w:rsidRPr="004325D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25D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E4F83F" w14:textId="3625939B" w:rsidR="00227FDC" w:rsidRPr="004325DC" w:rsidRDefault="003E3A89" w:rsidP="0060489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004325DC">
              <w:rPr>
                <w:rFonts w:ascii="Times New Roman" w:hAnsi="Times New Roman"/>
                <w:b/>
              </w:rPr>
              <w:t xml:space="preserve">Równoległy spadek szoku </w:t>
            </w:r>
          </w:p>
          <w:p w14:paraId="1C16CAC1" w14:textId="764F4FC2" w:rsidR="0080384B" w:rsidRPr="004325DC" w:rsidRDefault="0084271D" w:rsidP="00B9107D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 w:rsidRPr="004325DC">
              <w:rPr>
                <w:rFonts w:ascii="Times New Roman" w:hAnsi="Times New Roman"/>
              </w:rPr>
              <w:t xml:space="preserve">Instytucje ujawniają zmiany w bilansowej wartości zaktualizowanej kapitału oraz zmiany w wyniku odsetkowym netto przy szoku w postaci stałego równoległego spadku zarówno krótko-, jak i długoterminowych stóp procentowych. </w:t>
            </w:r>
          </w:p>
          <w:p w14:paraId="3D14716A" w14:textId="5D1C74C8" w:rsidR="0084271D" w:rsidRPr="004325DC" w:rsidRDefault="00C24484" w:rsidP="00C24484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 w:rsidRPr="004325DC">
              <w:rPr>
                <w:rFonts w:ascii="Times New Roman" w:hAnsi="Times New Roman"/>
              </w:rPr>
              <w:t xml:space="preserve">Do czasu rozpoczęcia stosowania kryteriów zawartych w wytycznych określonych w art. 84 ust. 6 dyrektywy 2013/36/UE oraz dalszych elementów wymienionych w art. 98 ust. 5a dyrektywy 2013/36/UE parametry stosowane w tym scenariuszu opisuje się w pkt (i) tabeli EU IRRBBA. </w:t>
            </w:r>
          </w:p>
        </w:tc>
      </w:tr>
      <w:tr w:rsidR="00227FDC" w:rsidRPr="004325DC" w14:paraId="39F33934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B555B" w14:textId="0BCBC177" w:rsidR="00227FDC" w:rsidRPr="004325D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25DC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B64ADF" w14:textId="1E50F678" w:rsidR="00227FDC" w:rsidRPr="004325DC" w:rsidRDefault="003E3A89" w:rsidP="00227FDC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2"/>
                <w:szCs w:val="22"/>
                <w:u w:val="none"/>
              </w:rPr>
            </w:pPr>
            <w:r w:rsidRPr="004325DC">
              <w:rPr>
                <w:rStyle w:val="InstructionsTabelleberschrift"/>
                <w:rFonts w:ascii="Times New Roman" w:hAnsi="Times New Roman"/>
                <w:sz w:val="22"/>
                <w:u w:val="none"/>
              </w:rPr>
              <w:t xml:space="preserve">Spadek stóp krótkoterminowych i wzrost stóp długoterminowych (ang. </w:t>
            </w:r>
            <w:r w:rsidRPr="004325DC">
              <w:rPr>
                <w:rStyle w:val="InstructionsTabelleberschrift"/>
                <w:rFonts w:ascii="Times New Roman" w:hAnsi="Times New Roman"/>
                <w:i/>
                <w:sz w:val="22"/>
                <w:u w:val="none"/>
              </w:rPr>
              <w:t>steepener</w:t>
            </w:r>
            <w:r w:rsidRPr="004325DC">
              <w:rPr>
                <w:rStyle w:val="InstructionsTabelleberschrift"/>
                <w:rFonts w:ascii="Times New Roman" w:hAnsi="Times New Roman"/>
                <w:sz w:val="22"/>
                <w:u w:val="none"/>
              </w:rPr>
              <w:t>)</w:t>
            </w:r>
          </w:p>
          <w:p w14:paraId="1FAE89D5" w14:textId="27B90C73" w:rsidR="0080384B" w:rsidRPr="004325DC" w:rsidRDefault="003F5907" w:rsidP="00B9107D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4325DC">
              <w:rPr>
                <w:rFonts w:ascii="Times New Roman" w:hAnsi="Times New Roman"/>
              </w:rPr>
              <w:t xml:space="preserve">Instytucje ujawniają zmiany bilansowej wartości zaktualizowanej kapitału w ramach scenariusza spadku stóp krótkoterminowych i wzrostu stóp długoterminowych. </w:t>
            </w:r>
          </w:p>
          <w:p w14:paraId="2B14043C" w14:textId="013A1877" w:rsidR="0084271D" w:rsidRPr="004325DC" w:rsidRDefault="00C24484" w:rsidP="00C2448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4325DC">
              <w:rPr>
                <w:rFonts w:ascii="Times New Roman" w:hAnsi="Times New Roman"/>
              </w:rPr>
              <w:t xml:space="preserve"> Do czasu rozpoczęcia stosowania kryteriów zawartych w wytycznych określonych w art. 84 ust. 6 dyrektywy 2013/36/UE oraz dalszych elementów wymienionych w art. 98 ust. 5a dyrektywy 2013/36/UE parametry stosowane w tym scenariuszu opisuje się w pkt (i) tabeli EU IRRBBA. </w:t>
            </w:r>
          </w:p>
        </w:tc>
      </w:tr>
      <w:tr w:rsidR="00227FDC" w:rsidRPr="004325DC" w14:paraId="6BC8352B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65DB3" w14:textId="300BBE37" w:rsidR="00227FDC" w:rsidRPr="004325D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25D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585C1" w14:textId="65969A28" w:rsidR="00227FDC" w:rsidRPr="004325DC" w:rsidRDefault="003E3A89" w:rsidP="00227FDC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2"/>
                <w:szCs w:val="22"/>
                <w:u w:val="none"/>
              </w:rPr>
            </w:pPr>
            <w:r w:rsidRPr="004325DC">
              <w:rPr>
                <w:rStyle w:val="InstructionsTabelleberschrift"/>
                <w:rFonts w:ascii="Times New Roman" w:hAnsi="Times New Roman"/>
                <w:sz w:val="22"/>
                <w:u w:val="none"/>
              </w:rPr>
              <w:t xml:space="preserve">Wzrost stóp krótkoterminowych i spadek stóp długoterminowych (ang. </w:t>
            </w:r>
            <w:r w:rsidRPr="004325DC">
              <w:rPr>
                <w:rStyle w:val="InstructionsTabelleberschrift"/>
                <w:rFonts w:ascii="Times New Roman" w:hAnsi="Times New Roman"/>
                <w:i/>
                <w:sz w:val="22"/>
                <w:u w:val="none"/>
              </w:rPr>
              <w:t>flattener</w:t>
            </w:r>
            <w:r w:rsidRPr="004325DC">
              <w:rPr>
                <w:rStyle w:val="InstructionsTabelleberschrift"/>
                <w:rFonts w:ascii="Times New Roman" w:hAnsi="Times New Roman"/>
                <w:sz w:val="22"/>
                <w:u w:val="none"/>
              </w:rPr>
              <w:t>)</w:t>
            </w:r>
          </w:p>
          <w:p w14:paraId="3D4F63A7" w14:textId="2CC94F2B" w:rsidR="0080384B" w:rsidRPr="004325DC" w:rsidRDefault="003F5907" w:rsidP="003F590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4325DC">
              <w:rPr>
                <w:rFonts w:ascii="Times New Roman" w:hAnsi="Times New Roman"/>
              </w:rPr>
              <w:t xml:space="preserve">Instytucje ujawniają zmiany bilansowej wartości zaktualizowanej kapitału w ramach scenariusza wzrostu stóp krótkoterminowych i spadku stóp długoterminowych. </w:t>
            </w:r>
          </w:p>
          <w:p w14:paraId="68AA63EC" w14:textId="159AECB7" w:rsidR="003C7BCD" w:rsidRPr="004325DC" w:rsidRDefault="00C24484" w:rsidP="00C2448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4325DC">
              <w:rPr>
                <w:rFonts w:ascii="Times New Roman" w:hAnsi="Times New Roman"/>
              </w:rPr>
              <w:t xml:space="preserve">Do czasu rozpoczęcia stosowania kryteriów zawartych w wytycznych określonych w art. 84 ust. 6 dyrektywy 2013/36/UE oraz dalszych elementów wymienionych w art. 98 ust. 5a dyrektywy 2013/36/UE parametry stosowane w tym scenariuszu opisuje się w pkt (i) tabeli EU IRRBBA. </w:t>
            </w:r>
          </w:p>
        </w:tc>
      </w:tr>
      <w:tr w:rsidR="00227FDC" w:rsidRPr="004325DC" w14:paraId="5A47760B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AC9AB1" w14:textId="59E27251" w:rsidR="00227FDC" w:rsidRPr="004325D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25DC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B7840B" w14:textId="0C1AAD14" w:rsidR="00227FDC" w:rsidRPr="004325DC" w:rsidRDefault="003E3A89" w:rsidP="0060489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004325DC">
              <w:rPr>
                <w:rFonts w:ascii="Times New Roman" w:hAnsi="Times New Roman"/>
                <w:b/>
              </w:rPr>
              <w:t>Wzrost stóp krótkoterminowych</w:t>
            </w:r>
          </w:p>
          <w:p w14:paraId="68A86533" w14:textId="7377DB6E" w:rsidR="0080384B" w:rsidRPr="004325DC" w:rsidRDefault="003F5907" w:rsidP="003F590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4325DC">
              <w:rPr>
                <w:rFonts w:ascii="Times New Roman" w:hAnsi="Times New Roman"/>
              </w:rPr>
              <w:t xml:space="preserve">Instytucje ujawniają zmiany w bilansowej wartości zaktualizowanej kapitału w ramach scenariusza wzrostu stóp krótkoterminowych. </w:t>
            </w:r>
          </w:p>
          <w:p w14:paraId="6A69073C" w14:textId="59D58E63" w:rsidR="003C7BCD" w:rsidRPr="004325DC" w:rsidRDefault="00C24484" w:rsidP="00C2448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004325DC">
              <w:rPr>
                <w:rFonts w:ascii="Times New Roman" w:hAnsi="Times New Roman"/>
              </w:rPr>
              <w:t xml:space="preserve">Do czasu rozpoczęcia stosowania kryteriów zawartych w wytycznych określonych w art. 84 ust. 6 dyrektywy 2013/36/UE oraz dalszych elementów wymienionych w art. 98 ust. 5a dyrektywy 2013/36/UE parametry stosowane w tym scenariuszu opisuje się w pkt (i) tabeli EU IRRBBA. </w:t>
            </w:r>
          </w:p>
        </w:tc>
      </w:tr>
      <w:tr w:rsidR="00CE0D17" w:rsidRPr="004325DC" w14:paraId="54BF60AA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DA67F" w14:textId="4CEC3E89" w:rsidR="00CE0D17" w:rsidRPr="004325DC" w:rsidRDefault="00CE0D17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25D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8A263" w14:textId="77777777" w:rsidR="00CE0D17" w:rsidRPr="004325DC" w:rsidRDefault="003E3A89" w:rsidP="0060489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004325DC">
              <w:rPr>
                <w:rFonts w:ascii="Times New Roman" w:hAnsi="Times New Roman"/>
                <w:b/>
              </w:rPr>
              <w:t>Spadek stóp krótkoterminowych</w:t>
            </w:r>
          </w:p>
          <w:p w14:paraId="52648BA1" w14:textId="70C444CA" w:rsidR="0080384B" w:rsidRPr="004325DC" w:rsidRDefault="003F5907" w:rsidP="003F590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4325DC">
              <w:rPr>
                <w:rFonts w:ascii="Times New Roman" w:hAnsi="Times New Roman"/>
              </w:rPr>
              <w:t xml:space="preserve">Instytucje ujawniają zmiany bilansowej wartości zaktualizowanej kapitału w ramach scenariusza spadku stóp krótkoterminowych. </w:t>
            </w:r>
          </w:p>
          <w:p w14:paraId="45792CFB" w14:textId="3D985205" w:rsidR="003C7BCD" w:rsidRPr="004325DC" w:rsidRDefault="00C24484" w:rsidP="00C2448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004325DC">
              <w:rPr>
                <w:rFonts w:ascii="Times New Roman" w:hAnsi="Times New Roman"/>
              </w:rPr>
              <w:t xml:space="preserve">Do czasu rozpoczęcia stosowania kryteriów zawartych w wytycznych określonych w art. 84 ust. 6 dyrektywy 2013/36/UE oraz dalszych elementów wymienionych w art. 98 ust. 5a dyrektywy 2013/36/UE parametry stosowane w tym scenariuszu opisuje się w pkt (i) tabeli EU IRRBBA. </w:t>
            </w:r>
          </w:p>
        </w:tc>
      </w:tr>
    </w:tbl>
    <w:p w14:paraId="3452EC82" w14:textId="7F3D1507" w:rsidR="00FE2CB5" w:rsidRPr="004325DC" w:rsidRDefault="00FE2CB5" w:rsidP="00FE2CB5">
      <w:pPr>
        <w:jc w:val="both"/>
        <w:rPr>
          <w:rFonts w:ascii="Calibri" w:eastAsia="Times New Roman" w:hAnsi="Calibri" w:cs="Times New Roman"/>
          <w:color w:val="000000"/>
          <w:szCs w:val="22"/>
          <w:lang w:eastAsia="en-GB"/>
        </w:rPr>
      </w:pPr>
    </w:p>
    <w:p w14:paraId="7DD927F3" w14:textId="7DB8FF08" w:rsidR="00FE2CB5" w:rsidRPr="004325DC" w:rsidRDefault="005B5611" w:rsidP="00A81E4E">
      <w:r w:rsidRPr="004325DC">
        <w:t>”</w:t>
      </w:r>
    </w:p>
    <w:sectPr w:rsidR="00FE2CB5" w:rsidRPr="004325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B82AC" w14:textId="77777777" w:rsidR="00B86ED4" w:rsidRPr="004325DC" w:rsidRDefault="00B86ED4" w:rsidP="003B5C57">
      <w:r w:rsidRPr="004325DC">
        <w:separator/>
      </w:r>
    </w:p>
  </w:endnote>
  <w:endnote w:type="continuationSeparator" w:id="0">
    <w:p w14:paraId="76F692C0" w14:textId="77777777" w:rsidR="00B86ED4" w:rsidRPr="004325DC" w:rsidRDefault="00B86ED4" w:rsidP="003B5C57">
      <w:r w:rsidRPr="004325D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2C445" w14:textId="77777777" w:rsidR="004B327C" w:rsidRPr="004325DC" w:rsidRDefault="004B32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B5D18" w14:textId="77777777" w:rsidR="004B327C" w:rsidRPr="004325DC" w:rsidRDefault="004B32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6B9CC" w14:textId="77777777" w:rsidR="004B327C" w:rsidRPr="004325DC" w:rsidRDefault="004B32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7AD1B" w14:textId="77777777" w:rsidR="00B86ED4" w:rsidRPr="004325DC" w:rsidRDefault="00B86ED4" w:rsidP="003B5C57">
      <w:r w:rsidRPr="004325DC">
        <w:separator/>
      </w:r>
    </w:p>
  </w:footnote>
  <w:footnote w:type="continuationSeparator" w:id="0">
    <w:p w14:paraId="14714B02" w14:textId="77777777" w:rsidR="00B86ED4" w:rsidRPr="004325DC" w:rsidRDefault="00B86ED4" w:rsidP="003B5C57">
      <w:r w:rsidRPr="004325D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E0BA4" w14:textId="77777777" w:rsidR="004B327C" w:rsidRPr="004325DC" w:rsidRDefault="004B32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53384" w14:textId="77777777" w:rsidR="004B327C" w:rsidRPr="004325DC" w:rsidRDefault="004B32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2324C" w14:textId="77777777" w:rsidR="004B327C" w:rsidRPr="004325DC" w:rsidRDefault="004B32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820"/>
    <w:multiLevelType w:val="hybridMultilevel"/>
    <w:tmpl w:val="9008071A"/>
    <w:lvl w:ilvl="0" w:tplc="328800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667BC"/>
    <w:multiLevelType w:val="hybridMultilevel"/>
    <w:tmpl w:val="A320B384"/>
    <w:lvl w:ilvl="0" w:tplc="0809001B">
      <w:start w:val="1"/>
      <w:numFmt w:val="low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" w15:restartNumberingAfterBreak="0">
    <w:nsid w:val="2466072A"/>
    <w:multiLevelType w:val="multilevel"/>
    <w:tmpl w:val="3566011E"/>
    <w:lvl w:ilvl="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07845AC"/>
    <w:multiLevelType w:val="hybridMultilevel"/>
    <w:tmpl w:val="98463E24"/>
    <w:lvl w:ilvl="0" w:tplc="6CE4CC1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CD6352"/>
    <w:multiLevelType w:val="hybridMultilevel"/>
    <w:tmpl w:val="89E0F2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" w15:restartNumberingAfterBreak="0">
    <w:nsid w:val="60BC6196"/>
    <w:multiLevelType w:val="hybridMultilevel"/>
    <w:tmpl w:val="3566011E"/>
    <w:lvl w:ilvl="0" w:tplc="A9A821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D1428"/>
    <w:multiLevelType w:val="hybridMultilevel"/>
    <w:tmpl w:val="3566011E"/>
    <w:lvl w:ilvl="0" w:tplc="A9A821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4767C0"/>
    <w:multiLevelType w:val="hybridMultilevel"/>
    <w:tmpl w:val="89E0F2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num w:numId="1" w16cid:durableId="953631649">
    <w:abstractNumId w:val="8"/>
  </w:num>
  <w:num w:numId="2" w16cid:durableId="108428473">
    <w:abstractNumId w:val="3"/>
  </w:num>
  <w:num w:numId="3" w16cid:durableId="1506825789">
    <w:abstractNumId w:val="1"/>
  </w:num>
  <w:num w:numId="4" w16cid:durableId="1222056558">
    <w:abstractNumId w:val="0"/>
  </w:num>
  <w:num w:numId="5" w16cid:durableId="1317808160">
    <w:abstractNumId w:val="6"/>
  </w:num>
  <w:num w:numId="6" w16cid:durableId="866916623">
    <w:abstractNumId w:val="2"/>
  </w:num>
  <w:num w:numId="7" w16cid:durableId="1316373722">
    <w:abstractNumId w:val="7"/>
  </w:num>
  <w:num w:numId="8" w16cid:durableId="1658069802">
    <w:abstractNumId w:val="4"/>
  </w:num>
  <w:num w:numId="9" w16cid:durableId="7117312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4744B"/>
    <w:rsid w:val="00005B93"/>
    <w:rsid w:val="00013240"/>
    <w:rsid w:val="00025422"/>
    <w:rsid w:val="000469EE"/>
    <w:rsid w:val="00047E00"/>
    <w:rsid w:val="00053035"/>
    <w:rsid w:val="00060307"/>
    <w:rsid w:val="0006327F"/>
    <w:rsid w:val="00063CE6"/>
    <w:rsid w:val="00065C44"/>
    <w:rsid w:val="00067516"/>
    <w:rsid w:val="000A10FC"/>
    <w:rsid w:val="000A53EF"/>
    <w:rsid w:val="000B212C"/>
    <w:rsid w:val="000B28B3"/>
    <w:rsid w:val="000D6C4D"/>
    <w:rsid w:val="000F5EAA"/>
    <w:rsid w:val="000F6E3B"/>
    <w:rsid w:val="000F720A"/>
    <w:rsid w:val="0010640D"/>
    <w:rsid w:val="00110370"/>
    <w:rsid w:val="00111970"/>
    <w:rsid w:val="001163B7"/>
    <w:rsid w:val="00125B00"/>
    <w:rsid w:val="00133E44"/>
    <w:rsid w:val="0013410F"/>
    <w:rsid w:val="00146A3F"/>
    <w:rsid w:val="00146DB4"/>
    <w:rsid w:val="0016128F"/>
    <w:rsid w:val="00166CAA"/>
    <w:rsid w:val="00166FFE"/>
    <w:rsid w:val="00167A62"/>
    <w:rsid w:val="0017255F"/>
    <w:rsid w:val="00177088"/>
    <w:rsid w:val="001810BE"/>
    <w:rsid w:val="00186FD4"/>
    <w:rsid w:val="00187547"/>
    <w:rsid w:val="0019262D"/>
    <w:rsid w:val="001A538C"/>
    <w:rsid w:val="001A6E70"/>
    <w:rsid w:val="001A7DE4"/>
    <w:rsid w:val="001D0BA8"/>
    <w:rsid w:val="001D3283"/>
    <w:rsid w:val="001E248D"/>
    <w:rsid w:val="001E68FA"/>
    <w:rsid w:val="001F11D4"/>
    <w:rsid w:val="001F2FE9"/>
    <w:rsid w:val="00226654"/>
    <w:rsid w:val="00227A69"/>
    <w:rsid w:val="00227FDC"/>
    <w:rsid w:val="0024072B"/>
    <w:rsid w:val="002711B6"/>
    <w:rsid w:val="00271375"/>
    <w:rsid w:val="00292CEC"/>
    <w:rsid w:val="002931F0"/>
    <w:rsid w:val="002B52BC"/>
    <w:rsid w:val="002B630E"/>
    <w:rsid w:val="002B6C39"/>
    <w:rsid w:val="002D655D"/>
    <w:rsid w:val="002E597B"/>
    <w:rsid w:val="002E7E2E"/>
    <w:rsid w:val="002F10D0"/>
    <w:rsid w:val="002F2E04"/>
    <w:rsid w:val="002F726C"/>
    <w:rsid w:val="00305C67"/>
    <w:rsid w:val="0031221C"/>
    <w:rsid w:val="00316B9A"/>
    <w:rsid w:val="003364BD"/>
    <w:rsid w:val="00367A62"/>
    <w:rsid w:val="0037080E"/>
    <w:rsid w:val="00371201"/>
    <w:rsid w:val="00371886"/>
    <w:rsid w:val="0038371B"/>
    <w:rsid w:val="003942C9"/>
    <w:rsid w:val="003A2001"/>
    <w:rsid w:val="003A5365"/>
    <w:rsid w:val="003B1160"/>
    <w:rsid w:val="003B4F8B"/>
    <w:rsid w:val="003B5C57"/>
    <w:rsid w:val="003C03B3"/>
    <w:rsid w:val="003C310D"/>
    <w:rsid w:val="003C78DE"/>
    <w:rsid w:val="003C7BCD"/>
    <w:rsid w:val="003D086C"/>
    <w:rsid w:val="003E1403"/>
    <w:rsid w:val="003E3A89"/>
    <w:rsid w:val="003F5907"/>
    <w:rsid w:val="004018B3"/>
    <w:rsid w:val="00416C73"/>
    <w:rsid w:val="0042024E"/>
    <w:rsid w:val="00426CEC"/>
    <w:rsid w:val="0043059C"/>
    <w:rsid w:val="004325DC"/>
    <w:rsid w:val="0045248D"/>
    <w:rsid w:val="00453AC4"/>
    <w:rsid w:val="00465DF4"/>
    <w:rsid w:val="00470043"/>
    <w:rsid w:val="00482070"/>
    <w:rsid w:val="004858AF"/>
    <w:rsid w:val="00487F1C"/>
    <w:rsid w:val="0049568B"/>
    <w:rsid w:val="004979A6"/>
    <w:rsid w:val="004A12CC"/>
    <w:rsid w:val="004B0B2A"/>
    <w:rsid w:val="004B327C"/>
    <w:rsid w:val="004D27DD"/>
    <w:rsid w:val="004E2266"/>
    <w:rsid w:val="004E6BD5"/>
    <w:rsid w:val="004F5466"/>
    <w:rsid w:val="00503DC1"/>
    <w:rsid w:val="00504410"/>
    <w:rsid w:val="00512477"/>
    <w:rsid w:val="00520421"/>
    <w:rsid w:val="00523FE8"/>
    <w:rsid w:val="005470E3"/>
    <w:rsid w:val="0054744B"/>
    <w:rsid w:val="00550EA4"/>
    <w:rsid w:val="00565F5A"/>
    <w:rsid w:val="00573FD3"/>
    <w:rsid w:val="00580D58"/>
    <w:rsid w:val="00586B82"/>
    <w:rsid w:val="00593C4B"/>
    <w:rsid w:val="00595903"/>
    <w:rsid w:val="005A5573"/>
    <w:rsid w:val="005B367A"/>
    <w:rsid w:val="005B5611"/>
    <w:rsid w:val="005D48C1"/>
    <w:rsid w:val="005E2B3A"/>
    <w:rsid w:val="005F4729"/>
    <w:rsid w:val="005F58E6"/>
    <w:rsid w:val="006001A4"/>
    <w:rsid w:val="00604339"/>
    <w:rsid w:val="0060489A"/>
    <w:rsid w:val="00607494"/>
    <w:rsid w:val="00615DB8"/>
    <w:rsid w:val="00616CF0"/>
    <w:rsid w:val="0064406C"/>
    <w:rsid w:val="0064412E"/>
    <w:rsid w:val="006473E8"/>
    <w:rsid w:val="00653207"/>
    <w:rsid w:val="00681608"/>
    <w:rsid w:val="00697A36"/>
    <w:rsid w:val="006A78BA"/>
    <w:rsid w:val="006B3947"/>
    <w:rsid w:val="006C2CA1"/>
    <w:rsid w:val="006C6FD2"/>
    <w:rsid w:val="006D4BE6"/>
    <w:rsid w:val="006D6B49"/>
    <w:rsid w:val="006D6C52"/>
    <w:rsid w:val="006F391A"/>
    <w:rsid w:val="006F69ED"/>
    <w:rsid w:val="007012E2"/>
    <w:rsid w:val="00711138"/>
    <w:rsid w:val="00716636"/>
    <w:rsid w:val="00721ADE"/>
    <w:rsid w:val="007269B1"/>
    <w:rsid w:val="00745B25"/>
    <w:rsid w:val="007573CB"/>
    <w:rsid w:val="00763C4D"/>
    <w:rsid w:val="00765030"/>
    <w:rsid w:val="007700DF"/>
    <w:rsid w:val="00775FD9"/>
    <w:rsid w:val="0078309E"/>
    <w:rsid w:val="00793890"/>
    <w:rsid w:val="007A1366"/>
    <w:rsid w:val="007A4AA0"/>
    <w:rsid w:val="007A7AFA"/>
    <w:rsid w:val="007B3033"/>
    <w:rsid w:val="007C351F"/>
    <w:rsid w:val="007D1AE4"/>
    <w:rsid w:val="007F15BF"/>
    <w:rsid w:val="007F71C4"/>
    <w:rsid w:val="0080384B"/>
    <w:rsid w:val="00804CDC"/>
    <w:rsid w:val="008220B0"/>
    <w:rsid w:val="00834F07"/>
    <w:rsid w:val="00835D8A"/>
    <w:rsid w:val="0084271D"/>
    <w:rsid w:val="00842C3A"/>
    <w:rsid w:val="00843F8C"/>
    <w:rsid w:val="00844CC6"/>
    <w:rsid w:val="00862897"/>
    <w:rsid w:val="0086459A"/>
    <w:rsid w:val="0087249C"/>
    <w:rsid w:val="008766A5"/>
    <w:rsid w:val="00885EBE"/>
    <w:rsid w:val="0088622B"/>
    <w:rsid w:val="00886EB3"/>
    <w:rsid w:val="008A053C"/>
    <w:rsid w:val="008A5827"/>
    <w:rsid w:val="008B589A"/>
    <w:rsid w:val="008E005A"/>
    <w:rsid w:val="008F617B"/>
    <w:rsid w:val="00904C4D"/>
    <w:rsid w:val="00906CCA"/>
    <w:rsid w:val="00912FEC"/>
    <w:rsid w:val="009222ED"/>
    <w:rsid w:val="00925221"/>
    <w:rsid w:val="00926D41"/>
    <w:rsid w:val="00942E61"/>
    <w:rsid w:val="0094340A"/>
    <w:rsid w:val="0094354B"/>
    <w:rsid w:val="00947B6C"/>
    <w:rsid w:val="0095024C"/>
    <w:rsid w:val="00952741"/>
    <w:rsid w:val="009528FB"/>
    <w:rsid w:val="0095538A"/>
    <w:rsid w:val="0095708D"/>
    <w:rsid w:val="00976355"/>
    <w:rsid w:val="0098778C"/>
    <w:rsid w:val="009A3E6C"/>
    <w:rsid w:val="009A42C9"/>
    <w:rsid w:val="009C2377"/>
    <w:rsid w:val="009C3247"/>
    <w:rsid w:val="009D1BA6"/>
    <w:rsid w:val="009D7A7D"/>
    <w:rsid w:val="00A0381B"/>
    <w:rsid w:val="00A05663"/>
    <w:rsid w:val="00A1733E"/>
    <w:rsid w:val="00A2202B"/>
    <w:rsid w:val="00A22F00"/>
    <w:rsid w:val="00A56B74"/>
    <w:rsid w:val="00A64295"/>
    <w:rsid w:val="00A67645"/>
    <w:rsid w:val="00A77093"/>
    <w:rsid w:val="00A81E4E"/>
    <w:rsid w:val="00A8375D"/>
    <w:rsid w:val="00A930B2"/>
    <w:rsid w:val="00AB382F"/>
    <w:rsid w:val="00AC7CEB"/>
    <w:rsid w:val="00AC7DCE"/>
    <w:rsid w:val="00AD6D9C"/>
    <w:rsid w:val="00AE69B7"/>
    <w:rsid w:val="00AF252C"/>
    <w:rsid w:val="00AF3439"/>
    <w:rsid w:val="00B4159D"/>
    <w:rsid w:val="00B44524"/>
    <w:rsid w:val="00B54332"/>
    <w:rsid w:val="00B56EBF"/>
    <w:rsid w:val="00B650A9"/>
    <w:rsid w:val="00B66A3D"/>
    <w:rsid w:val="00B81100"/>
    <w:rsid w:val="00B82005"/>
    <w:rsid w:val="00B8650B"/>
    <w:rsid w:val="00B86ED4"/>
    <w:rsid w:val="00B9107D"/>
    <w:rsid w:val="00B923DC"/>
    <w:rsid w:val="00B94237"/>
    <w:rsid w:val="00BB39FB"/>
    <w:rsid w:val="00BB574D"/>
    <w:rsid w:val="00BC025C"/>
    <w:rsid w:val="00BF2E73"/>
    <w:rsid w:val="00C006B4"/>
    <w:rsid w:val="00C07A00"/>
    <w:rsid w:val="00C143B2"/>
    <w:rsid w:val="00C1556C"/>
    <w:rsid w:val="00C206DE"/>
    <w:rsid w:val="00C24484"/>
    <w:rsid w:val="00C307AB"/>
    <w:rsid w:val="00C41D59"/>
    <w:rsid w:val="00C42692"/>
    <w:rsid w:val="00C4502B"/>
    <w:rsid w:val="00C4547F"/>
    <w:rsid w:val="00C612FA"/>
    <w:rsid w:val="00C71181"/>
    <w:rsid w:val="00C76C94"/>
    <w:rsid w:val="00C77A9E"/>
    <w:rsid w:val="00CA2AD5"/>
    <w:rsid w:val="00CD3692"/>
    <w:rsid w:val="00CD7E9B"/>
    <w:rsid w:val="00CE0D17"/>
    <w:rsid w:val="00CF6849"/>
    <w:rsid w:val="00D14F4A"/>
    <w:rsid w:val="00D267B0"/>
    <w:rsid w:val="00D31F66"/>
    <w:rsid w:val="00D6257E"/>
    <w:rsid w:val="00D6294D"/>
    <w:rsid w:val="00D727B4"/>
    <w:rsid w:val="00D76DCA"/>
    <w:rsid w:val="00D7725E"/>
    <w:rsid w:val="00D97456"/>
    <w:rsid w:val="00DB6997"/>
    <w:rsid w:val="00DC1B4D"/>
    <w:rsid w:val="00DD20B0"/>
    <w:rsid w:val="00DF18F3"/>
    <w:rsid w:val="00DF58CB"/>
    <w:rsid w:val="00E0485C"/>
    <w:rsid w:val="00E05113"/>
    <w:rsid w:val="00E0540C"/>
    <w:rsid w:val="00E05823"/>
    <w:rsid w:val="00E22DED"/>
    <w:rsid w:val="00E251C6"/>
    <w:rsid w:val="00E4184D"/>
    <w:rsid w:val="00E47444"/>
    <w:rsid w:val="00E74FF6"/>
    <w:rsid w:val="00E825AF"/>
    <w:rsid w:val="00EA0ADF"/>
    <w:rsid w:val="00EA1CF8"/>
    <w:rsid w:val="00EA2452"/>
    <w:rsid w:val="00EA5AA0"/>
    <w:rsid w:val="00EA5C4B"/>
    <w:rsid w:val="00EC3E7F"/>
    <w:rsid w:val="00EE3ECC"/>
    <w:rsid w:val="00EF335F"/>
    <w:rsid w:val="00F01CEA"/>
    <w:rsid w:val="00F070E6"/>
    <w:rsid w:val="00F10FFC"/>
    <w:rsid w:val="00F24E72"/>
    <w:rsid w:val="00F441CD"/>
    <w:rsid w:val="00F470EA"/>
    <w:rsid w:val="00F55DB0"/>
    <w:rsid w:val="00F666E7"/>
    <w:rsid w:val="00F720A8"/>
    <w:rsid w:val="00F931AD"/>
    <w:rsid w:val="00FA7485"/>
    <w:rsid w:val="00FB03B8"/>
    <w:rsid w:val="00FB0584"/>
    <w:rsid w:val="00FC2089"/>
    <w:rsid w:val="00FC55A8"/>
    <w:rsid w:val="00FD20DB"/>
    <w:rsid w:val="00FD6A8F"/>
    <w:rsid w:val="00FD7503"/>
    <w:rsid w:val="00FE2CB5"/>
    <w:rsid w:val="00FF0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26743B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744B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itle">
    <w:name w:val="TableTitle"/>
    <w:basedOn w:val="Normal"/>
    <w:next w:val="Normal"/>
    <w:link w:val="TableTitleChar"/>
    <w:rsid w:val="0054744B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sid w:val="0054744B"/>
    <w:rPr>
      <w:rFonts w:ascii="Arial" w:eastAsia="MS Mincho" w:hAnsi="Arial" w:cs="Times New Roman"/>
      <w:b/>
      <w:noProof/>
      <w:szCs w:val="20"/>
    </w:rPr>
  </w:style>
  <w:style w:type="character" w:customStyle="1" w:styleId="InstructionsTabelleberschrift">
    <w:name w:val="Instructions Tabelle Überschrift"/>
    <w:qFormat/>
    <w:rsid w:val="00BB39F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BB39FB"/>
    <w:rPr>
      <w:rFonts w:ascii="Verdana" w:hAnsi="Verdana" w:cs="Times New Roman"/>
      <w:sz w:val="20"/>
    </w:rPr>
  </w:style>
  <w:style w:type="paragraph" w:customStyle="1" w:styleId="InstructionsText2">
    <w:name w:val="Instructions Text 2"/>
    <w:basedOn w:val="Normal"/>
    <w:qFormat/>
    <w:rsid w:val="002B52BC"/>
    <w:pPr>
      <w:numPr>
        <w:numId w:val="2"/>
      </w:numPr>
      <w:spacing w:after="240"/>
      <w:jc w:val="both"/>
    </w:pPr>
    <w:rPr>
      <w:rFonts w:ascii="Times New Roman" w:eastAsia="Times New Roman" w:hAnsi="Times New Roman" w:cs="Times New Roman"/>
      <w:sz w:val="24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E058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58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5823"/>
    <w:rPr>
      <w:rFonts w:eastAsiaTheme="minorEastAsia"/>
      <w:sz w:val="20"/>
      <w:szCs w:val="20"/>
      <w:lang w:val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8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823"/>
    <w:rPr>
      <w:rFonts w:eastAsiaTheme="minorEastAsia"/>
      <w:b/>
      <w:bCs/>
      <w:sz w:val="20"/>
      <w:szCs w:val="20"/>
      <w:lang w:val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58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823"/>
    <w:rPr>
      <w:rFonts w:ascii="Segoe UI" w:eastAsiaTheme="minorEastAsia" w:hAnsi="Segoe UI" w:cs="Segoe UI"/>
      <w:sz w:val="18"/>
      <w:szCs w:val="18"/>
      <w:lang w:val="pl-PL"/>
    </w:rPr>
  </w:style>
  <w:style w:type="paragraph" w:styleId="ListParagraph">
    <w:name w:val="List Paragraph"/>
    <w:basedOn w:val="Normal"/>
    <w:uiPriority w:val="34"/>
    <w:qFormat/>
    <w:rsid w:val="00A81E4E"/>
    <w:pPr>
      <w:ind w:left="720"/>
      <w:contextualSpacing/>
    </w:pPr>
  </w:style>
  <w:style w:type="paragraph" w:customStyle="1" w:styleId="Annexetitre">
    <w:name w:val="Annexe titre"/>
    <w:basedOn w:val="Normal"/>
    <w:next w:val="Normal"/>
    <w:rsid w:val="006A78BA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CM1">
    <w:name w:val="CM1"/>
    <w:basedOn w:val="Normal"/>
    <w:next w:val="Normal"/>
    <w:uiPriority w:val="99"/>
    <w:rsid w:val="00065C44"/>
    <w:pPr>
      <w:autoSpaceDE w:val="0"/>
      <w:autoSpaceDN w:val="0"/>
      <w:adjustRightInd w:val="0"/>
    </w:pPr>
    <w:rPr>
      <w:rFonts w:ascii="Times New Roman" w:eastAsiaTheme="minorHAnsi" w:hAnsi="Times New Roman" w:cs="Times New Roman"/>
      <w:sz w:val="24"/>
    </w:rPr>
  </w:style>
  <w:style w:type="paragraph" w:customStyle="1" w:styleId="CM3">
    <w:name w:val="CM3"/>
    <w:basedOn w:val="Normal"/>
    <w:next w:val="Normal"/>
    <w:uiPriority w:val="99"/>
    <w:rsid w:val="00065C44"/>
    <w:pPr>
      <w:autoSpaceDE w:val="0"/>
      <w:autoSpaceDN w:val="0"/>
      <w:adjustRightInd w:val="0"/>
    </w:pPr>
    <w:rPr>
      <w:rFonts w:ascii="Times New Roman" w:eastAsiaTheme="minorHAnsi" w:hAnsi="Times New Roman" w:cs="Times New Roman"/>
      <w:sz w:val="24"/>
    </w:rPr>
  </w:style>
  <w:style w:type="paragraph" w:styleId="Revision">
    <w:name w:val="Revision"/>
    <w:hidden/>
    <w:uiPriority w:val="99"/>
    <w:semiHidden/>
    <w:rsid w:val="00F441CD"/>
    <w:pPr>
      <w:spacing w:after="0" w:line="240" w:lineRule="auto"/>
    </w:pPr>
    <w:rPr>
      <w:rFonts w:eastAsiaTheme="minorEastAsia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16CF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B32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327C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4B32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327C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1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9A7153-8381-41E6-B52D-20FA0B8D4F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0C0EF0-3F5D-4D13-ABFF-F182CDA02E51}"/>
</file>

<file path=customXml/itemProps3.xml><?xml version="1.0" encoding="utf-8"?>
<ds:datastoreItem xmlns:ds="http://schemas.openxmlformats.org/officeDocument/2006/customXml" ds:itemID="{C338261F-4A9D-4E2F-92DA-370AD1B02A77}"/>
</file>

<file path=customXml/itemProps4.xml><?xml version="1.0" encoding="utf-8"?>
<ds:datastoreItem xmlns:ds="http://schemas.openxmlformats.org/officeDocument/2006/customXml" ds:itemID="{F4D5375F-8CE9-4386-9E50-9DC3A861CC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1835</Words>
  <Characters>11729</Characters>
  <Application>Microsoft Office Word</Application>
  <DocSecurity>0</DocSecurity>
  <Lines>260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2022-01-27T09:43:00Z</dcterms:created>
  <dcterms:modified xsi:type="dcterms:W3CDTF">2024-10-17T13:03:00Z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2024-10-15T14:27:29Z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4fa4019d-862f-4dac-ac46-88c2d6c28d77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