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2A518F" w:rsidRDefault="0005278F" w:rsidP="0005278F">
      <w:pPr>
        <w:pStyle w:val="Annexetitre"/>
        <w:spacing w:before="0"/>
      </w:pPr>
      <w:r w:rsidRPr="002A518F">
        <w:t>ANHANG XX – Erläuterungen zur Offenlegung der Verwendung des Standardansatzes für das Kreditrisiko (ohne Gegenparteiausfallrisiko und Verbriefungspositionen)</w:t>
      </w:r>
    </w:p>
    <w:p w14:paraId="137E3944" w14:textId="77777777" w:rsidR="0005278F" w:rsidRPr="002A518F" w:rsidRDefault="0005278F" w:rsidP="0005278F">
      <w:pPr>
        <w:spacing w:after="120"/>
        <w:rPr>
          <w:rFonts w:ascii="Times New Roman" w:hAnsi="Times New Roman" w:cs="Times New Roman"/>
          <w:sz w:val="24"/>
        </w:rPr>
      </w:pPr>
    </w:p>
    <w:p w14:paraId="137E3945" w14:textId="67437BFC" w:rsidR="0005278F" w:rsidRPr="002A518F" w:rsidRDefault="0005278F" w:rsidP="0005278F">
      <w:pPr>
        <w:pStyle w:val="ListParagraph"/>
        <w:numPr>
          <w:ilvl w:val="0"/>
          <w:numId w:val="1"/>
        </w:numPr>
        <w:spacing w:after="120"/>
        <w:ind w:left="425" w:hanging="357"/>
        <w:jc w:val="both"/>
        <w:rPr>
          <w:rFonts w:ascii="Times New Roman" w:hAnsi="Times New Roman"/>
          <w:sz w:val="24"/>
        </w:rPr>
      </w:pPr>
      <w:r w:rsidRPr="002A518F">
        <w:rPr>
          <w:rFonts w:ascii="Times New Roman" w:hAnsi="Times New Roman"/>
          <w:sz w:val="24"/>
        </w:rPr>
        <w:t>Instrumente, die Teil 3 Titel II Kapitel 6 der Verordnung (EU) 575/2013 („CRR“)</w:t>
      </w:r>
      <w:r w:rsidRPr="002A518F">
        <w:rPr>
          <w:rStyle w:val="FootnoteReference"/>
          <w:rFonts w:ascii="Times New Roman" w:hAnsi="Times New Roman"/>
        </w:rPr>
        <w:footnoteReference w:id="2"/>
      </w:r>
      <w:r w:rsidRPr="002A518F">
        <w:rPr>
          <w:rFonts w:ascii="Times New Roman" w:hAnsi="Times New Roman"/>
          <w:sz w:val="24"/>
        </w:rPr>
        <w:t xml:space="preserve"> („Gegenparteiausfallrisiko“) unterliegen, sowie Instrumente, für die die Anforderungen von Teil 3 Titel II Kapitel 5 der Verordnung (EU) 575/2013 („Verbriefung“) gelten, werden in den Meldebögen, für die dieser Anhang Erläuterungen liefert, nicht erfasst.</w:t>
      </w:r>
    </w:p>
    <w:p w14:paraId="137E3946" w14:textId="77777777" w:rsidR="0005278F" w:rsidRPr="002A518F" w:rsidRDefault="0005278F" w:rsidP="0005278F">
      <w:pPr>
        <w:spacing w:after="120"/>
        <w:rPr>
          <w:rFonts w:ascii="Times New Roman" w:hAnsi="Times New Roman" w:cs="Times New Roman"/>
          <w:b/>
          <w:sz w:val="24"/>
        </w:rPr>
      </w:pPr>
      <w:r w:rsidRPr="002A518F">
        <w:rPr>
          <w:rFonts w:ascii="Times New Roman" w:hAnsi="Times New Roman"/>
          <w:b/>
          <w:sz w:val="24"/>
        </w:rPr>
        <w:t xml:space="preserve">Tabelle EU CRD – Qualitative Offenlegungspflichten im Zusammenhang mit dem Standardansatz. </w:t>
      </w:r>
      <w:r w:rsidRPr="002A518F">
        <w:rPr>
          <w:rFonts w:ascii="Times New Roman" w:hAnsi="Times New Roman"/>
          <w:sz w:val="24"/>
        </w:rPr>
        <w:t>Format: Flexibel.</w:t>
      </w:r>
    </w:p>
    <w:p w14:paraId="137E3947" w14:textId="5594AA8B" w:rsidR="0005278F" w:rsidRPr="002A518F" w:rsidRDefault="0005278F" w:rsidP="0005278F">
      <w:pPr>
        <w:pStyle w:val="ListParagraph"/>
        <w:numPr>
          <w:ilvl w:val="0"/>
          <w:numId w:val="1"/>
        </w:numPr>
        <w:spacing w:after="120"/>
        <w:ind w:left="425" w:hanging="357"/>
        <w:jc w:val="both"/>
        <w:rPr>
          <w:rFonts w:ascii="Times New Roman" w:hAnsi="Times New Roman"/>
          <w:sz w:val="24"/>
        </w:rPr>
      </w:pPr>
      <w:r w:rsidRPr="002A518F">
        <w:rPr>
          <w:rFonts w:ascii="Times New Roman" w:hAnsi="Times New Roman"/>
          <w:sz w:val="24"/>
        </w:rPr>
        <w:t>Die Institute legen die in Artikel 444 Buchstaben a bis d der Verordnung (EU) Nr. 575/2013 genannten Informationen offen, indem sie die Tabelle EU CRD in Anhang XIX der EBA-IT-Lösungen nach Maßgabe der im vorliegenden Anhang enthaltenen Erläuterungen ausfüllen.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2A518F"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2A518F" w:rsidRDefault="0005278F" w:rsidP="004F3087">
            <w:pPr>
              <w:autoSpaceDE w:val="0"/>
              <w:autoSpaceDN w:val="0"/>
              <w:adjustRightInd w:val="0"/>
              <w:spacing w:after="120"/>
              <w:rPr>
                <w:rFonts w:ascii="Times New Roman" w:hAnsi="Times New Roman" w:cs="Times New Roman"/>
                <w:b/>
                <w:sz w:val="24"/>
              </w:rPr>
            </w:pPr>
            <w:r w:rsidRPr="002A518F">
              <w:rPr>
                <w:rFonts w:ascii="Times New Roman" w:hAnsi="Times New Roman"/>
                <w:b/>
                <w:sz w:val="24"/>
              </w:rPr>
              <w:t>Zeile</w:t>
            </w:r>
          </w:p>
          <w:p w14:paraId="137E3949" w14:textId="77777777" w:rsidR="0005278F" w:rsidRPr="002A518F"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2A518F" w:rsidRDefault="0005278F" w:rsidP="004F3087">
            <w:pPr>
              <w:spacing w:after="120"/>
              <w:rPr>
                <w:rFonts w:ascii="Times New Roman" w:hAnsi="Times New Roman" w:cs="Times New Roman"/>
                <w:b/>
                <w:sz w:val="24"/>
              </w:rPr>
            </w:pPr>
            <w:r w:rsidRPr="002A518F">
              <w:rPr>
                <w:rFonts w:ascii="Times New Roman" w:hAnsi="Times New Roman"/>
                <w:b/>
                <w:sz w:val="24"/>
              </w:rPr>
              <w:t>Verweise auf Rechtsvorschriften und Erläuterungen</w:t>
            </w:r>
          </w:p>
        </w:tc>
      </w:tr>
      <w:tr w:rsidR="0005278F" w:rsidRPr="002A518F"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2A518F"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2A518F" w:rsidRDefault="0005278F" w:rsidP="004F3087">
            <w:pPr>
              <w:spacing w:after="120"/>
              <w:rPr>
                <w:rFonts w:ascii="Times New Roman" w:hAnsi="Times New Roman" w:cs="Times New Roman"/>
                <w:b/>
                <w:sz w:val="24"/>
              </w:rPr>
            </w:pPr>
            <w:r w:rsidRPr="002A518F">
              <w:rPr>
                <w:rFonts w:ascii="Times New Roman" w:hAnsi="Times New Roman"/>
                <w:b/>
                <w:sz w:val="24"/>
              </w:rPr>
              <w:t>Erläuterung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2A518F"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2A518F" w:rsidRDefault="0005278F" w:rsidP="004F3087">
            <w:pPr>
              <w:spacing w:after="120"/>
              <w:jc w:val="center"/>
              <w:rPr>
                <w:rFonts w:ascii="Times New Roman" w:hAnsi="Times New Roman" w:cs="Times New Roman"/>
                <w:sz w:val="24"/>
                <w:lang w:val="de-DE"/>
              </w:rPr>
            </w:pPr>
            <w:r w:rsidRPr="002A518F">
              <w:rPr>
                <w:rFonts w:ascii="Times New Roman" w:hAnsi="Times New Roman"/>
                <w:lang w:val="de-DE"/>
              </w:rPr>
              <w:t>a)</w:t>
            </w:r>
          </w:p>
        </w:tc>
        <w:tc>
          <w:tcPr>
            <w:tcW w:w="3118" w:type="dxa"/>
            <w:tcBorders>
              <w:top w:val="single" w:sz="4" w:space="0" w:color="auto"/>
              <w:left w:val="single" w:sz="4" w:space="0" w:color="auto"/>
              <w:right w:val="single" w:sz="4" w:space="0" w:color="auto"/>
            </w:tcBorders>
          </w:tcPr>
          <w:p w14:paraId="137E3950" w14:textId="77777777" w:rsidR="0005278F" w:rsidRPr="002A518F" w:rsidRDefault="0005278F" w:rsidP="004F3087">
            <w:pPr>
              <w:spacing w:after="120"/>
              <w:jc w:val="both"/>
              <w:rPr>
                <w:rFonts w:ascii="Times New Roman" w:hAnsi="Times New Roman" w:cs="Times New Roman"/>
                <w:sz w:val="24"/>
                <w:lang w:val="de-DE"/>
              </w:rPr>
            </w:pPr>
            <w:r w:rsidRPr="002A518F">
              <w:rPr>
                <w:rFonts w:ascii="Times New Roman" w:hAnsi="Times New Roman"/>
                <w:sz w:val="24"/>
                <w:lang w:val="de-DE"/>
              </w:rPr>
              <w:t>Artikel 444 Buchstabe a CRR</w:t>
            </w:r>
          </w:p>
        </w:tc>
        <w:tc>
          <w:tcPr>
            <w:tcW w:w="4546" w:type="dxa"/>
            <w:tcBorders>
              <w:top w:val="single" w:sz="4" w:space="0" w:color="auto"/>
              <w:left w:val="single" w:sz="4" w:space="0" w:color="auto"/>
              <w:right w:val="single" w:sz="4" w:space="0" w:color="auto"/>
            </w:tcBorders>
          </w:tcPr>
          <w:p w14:paraId="137E3951" w14:textId="26938830" w:rsidR="0005278F" w:rsidRPr="002A518F" w:rsidRDefault="0005278F" w:rsidP="004F3087">
            <w:pPr>
              <w:spacing w:after="120"/>
              <w:jc w:val="both"/>
              <w:rPr>
                <w:rFonts w:ascii="Times New Roman" w:hAnsi="Times New Roman" w:cs="Times New Roman"/>
                <w:sz w:val="24"/>
                <w:lang w:val="de-DE"/>
              </w:rPr>
            </w:pPr>
            <w:r w:rsidRPr="002A518F">
              <w:rPr>
                <w:rFonts w:ascii="Times New Roman" w:hAnsi="Times New Roman"/>
                <w:sz w:val="24"/>
                <w:lang w:val="de-DE"/>
              </w:rPr>
              <w:t>Die Institute legen die Namen der benannten externen Ratingagenturen (ECAI) und Exportversicherungsagenturen (ECA) sowie die Gründe für etwaige Änderungen dieser Benennungen im Verlauf des Offenlegungszeitraums offen.</w:t>
            </w:r>
          </w:p>
        </w:tc>
      </w:tr>
      <w:tr w:rsidR="0005278F" w:rsidRPr="002A518F" w14:paraId="137E3956" w14:textId="77777777" w:rsidTr="00FB64CF">
        <w:trPr>
          <w:trHeight w:val="1492"/>
        </w:trPr>
        <w:tc>
          <w:tcPr>
            <w:tcW w:w="1408" w:type="dxa"/>
            <w:vAlign w:val="top"/>
          </w:tcPr>
          <w:p w14:paraId="137E3953" w14:textId="77777777" w:rsidR="0005278F" w:rsidRPr="002A518F" w:rsidRDefault="0005278F" w:rsidP="004F3087">
            <w:pPr>
              <w:spacing w:after="120"/>
              <w:jc w:val="center"/>
              <w:rPr>
                <w:rFonts w:ascii="Times New Roman" w:hAnsi="Times New Roman" w:cs="Times New Roman"/>
                <w:sz w:val="24"/>
                <w:lang w:val="de-DE"/>
              </w:rPr>
            </w:pPr>
            <w:r w:rsidRPr="002A518F">
              <w:rPr>
                <w:rFonts w:ascii="Times New Roman" w:hAnsi="Times New Roman"/>
                <w:lang w:val="de-DE"/>
              </w:rPr>
              <w:t>b)</w:t>
            </w:r>
          </w:p>
        </w:tc>
        <w:tc>
          <w:tcPr>
            <w:tcW w:w="3118" w:type="dxa"/>
          </w:tcPr>
          <w:p w14:paraId="137E3954" w14:textId="77777777" w:rsidR="0005278F" w:rsidRPr="002A518F" w:rsidRDefault="0005278F" w:rsidP="004F3087">
            <w:pPr>
              <w:spacing w:after="120"/>
              <w:jc w:val="both"/>
              <w:rPr>
                <w:rFonts w:ascii="Times New Roman" w:hAnsi="Times New Roman" w:cs="Times New Roman"/>
                <w:sz w:val="24"/>
                <w:lang w:val="de-DE"/>
              </w:rPr>
            </w:pPr>
            <w:r w:rsidRPr="002A518F">
              <w:rPr>
                <w:rFonts w:ascii="Times New Roman" w:hAnsi="Times New Roman"/>
                <w:sz w:val="24"/>
                <w:lang w:val="de-DE"/>
              </w:rPr>
              <w:t>Artikel 444 Buchstabe b CRR</w:t>
            </w:r>
          </w:p>
        </w:tc>
        <w:tc>
          <w:tcPr>
            <w:tcW w:w="4546" w:type="dxa"/>
          </w:tcPr>
          <w:p w14:paraId="137E3955" w14:textId="04DC724E" w:rsidR="0005278F" w:rsidRPr="002A518F" w:rsidRDefault="0005278F">
            <w:pPr>
              <w:spacing w:after="120"/>
              <w:jc w:val="both"/>
              <w:rPr>
                <w:rFonts w:ascii="Times New Roman" w:hAnsi="Times New Roman" w:cs="Times New Roman"/>
                <w:sz w:val="24"/>
                <w:lang w:val="de-DE"/>
              </w:rPr>
            </w:pPr>
            <w:r w:rsidRPr="002A518F">
              <w:rPr>
                <w:rFonts w:ascii="Times New Roman" w:hAnsi="Times New Roman"/>
                <w:sz w:val="24"/>
                <w:lang w:val="de-DE"/>
              </w:rPr>
              <w:t>Die Institute geben die in Artikel 112 der Verordnung (EU) 575/2013 spezifizierten Risikopositionsklassen an, für die die Institute die risikogewichteten Positionsbeträge gemäß Teil 3 Titel II Kapitel 2 CRR unter Verwendung der Bonitätsbewertung der benannten ECAI oder ECA berechnen.</w:t>
            </w:r>
          </w:p>
        </w:tc>
      </w:tr>
      <w:tr w:rsidR="0005278F" w:rsidRPr="002A518F" w:rsidDel="00915DC9" w14:paraId="137E395A" w14:textId="77777777" w:rsidTr="00FB64CF">
        <w:trPr>
          <w:trHeight w:val="973"/>
        </w:trPr>
        <w:tc>
          <w:tcPr>
            <w:tcW w:w="1408" w:type="dxa"/>
            <w:vAlign w:val="top"/>
          </w:tcPr>
          <w:p w14:paraId="137E3957" w14:textId="6B9106A6" w:rsidR="0005278F" w:rsidRPr="002A518F" w:rsidRDefault="0005278F" w:rsidP="004F3087">
            <w:pPr>
              <w:spacing w:after="120"/>
              <w:jc w:val="center"/>
              <w:rPr>
                <w:rFonts w:ascii="Times New Roman" w:hAnsi="Times New Roman" w:cs="Times New Roman"/>
                <w:sz w:val="24"/>
                <w:lang w:val="de-DE"/>
              </w:rPr>
            </w:pPr>
            <w:r w:rsidRPr="002A518F">
              <w:rPr>
                <w:rFonts w:ascii="Times New Roman" w:hAnsi="Times New Roman"/>
                <w:lang w:val="de-DE"/>
              </w:rPr>
              <w:t>c)</w:t>
            </w:r>
          </w:p>
        </w:tc>
        <w:tc>
          <w:tcPr>
            <w:tcW w:w="3118" w:type="dxa"/>
          </w:tcPr>
          <w:p w14:paraId="137E3958" w14:textId="77777777" w:rsidR="0005278F" w:rsidRPr="002A518F" w:rsidRDefault="0005278F" w:rsidP="004F3087">
            <w:pPr>
              <w:spacing w:after="120"/>
              <w:jc w:val="both"/>
              <w:rPr>
                <w:rFonts w:ascii="Times New Roman" w:hAnsi="Times New Roman" w:cs="Times New Roman"/>
                <w:sz w:val="24"/>
                <w:lang w:val="de-DE"/>
              </w:rPr>
            </w:pPr>
            <w:r w:rsidRPr="002A518F">
              <w:rPr>
                <w:rFonts w:ascii="Times New Roman" w:hAnsi="Times New Roman"/>
                <w:sz w:val="24"/>
                <w:lang w:val="de-DE"/>
              </w:rPr>
              <w:t>Artikel 444 Buchstabe c CRR</w:t>
            </w:r>
          </w:p>
        </w:tc>
        <w:tc>
          <w:tcPr>
            <w:tcW w:w="4546" w:type="dxa"/>
          </w:tcPr>
          <w:p w14:paraId="137E3959" w14:textId="5469201A" w:rsidR="0005278F" w:rsidRPr="002A518F" w:rsidDel="00915DC9" w:rsidRDefault="0005278F" w:rsidP="004F3087">
            <w:pPr>
              <w:spacing w:after="120"/>
              <w:jc w:val="both"/>
              <w:rPr>
                <w:rFonts w:ascii="Times New Roman" w:hAnsi="Times New Roman" w:cs="Times New Roman"/>
                <w:sz w:val="24"/>
                <w:lang w:val="de-DE"/>
              </w:rPr>
            </w:pPr>
            <w:r w:rsidRPr="002A518F">
              <w:rPr>
                <w:rFonts w:ascii="Times New Roman" w:hAnsi="Times New Roman"/>
                <w:sz w:val="24"/>
                <w:lang w:val="de-DE"/>
              </w:rPr>
              <w:t>Wenn zur Bestimmung des Risikogewichts, das gemäß Artikel 139 von Teil 3 Titel II Kapitel 2 der Verordnung (EU) 575/2013 einer Risikoposition, die nicht Teil des Handelsbuchs ist, zuzuordnen ist, Bonitätsbewertungen von Emittenten oder Emissionen herangezogen werden, beschreiben die Institute das angewandte Verfahren.</w:t>
            </w:r>
          </w:p>
        </w:tc>
      </w:tr>
      <w:tr w:rsidR="0005278F" w:rsidRPr="002A518F" w14:paraId="137E395E" w14:textId="77777777" w:rsidTr="00FB64CF">
        <w:trPr>
          <w:trHeight w:val="1265"/>
        </w:trPr>
        <w:tc>
          <w:tcPr>
            <w:tcW w:w="1408" w:type="dxa"/>
            <w:vAlign w:val="top"/>
          </w:tcPr>
          <w:p w14:paraId="137E395B" w14:textId="77777777" w:rsidR="0005278F" w:rsidRPr="002A518F" w:rsidRDefault="0005278F" w:rsidP="004F3087">
            <w:pPr>
              <w:spacing w:after="120"/>
              <w:jc w:val="center"/>
              <w:rPr>
                <w:rFonts w:ascii="Times New Roman" w:hAnsi="Times New Roman" w:cs="Times New Roman"/>
                <w:sz w:val="24"/>
                <w:lang w:val="de-DE"/>
              </w:rPr>
            </w:pPr>
            <w:r w:rsidRPr="002A518F">
              <w:rPr>
                <w:rFonts w:ascii="Times New Roman" w:hAnsi="Times New Roman"/>
                <w:lang w:val="de-DE"/>
              </w:rPr>
              <w:lastRenderedPageBreak/>
              <w:t>d)</w:t>
            </w:r>
          </w:p>
        </w:tc>
        <w:tc>
          <w:tcPr>
            <w:tcW w:w="3118" w:type="dxa"/>
          </w:tcPr>
          <w:p w14:paraId="137E395C" w14:textId="77777777" w:rsidR="0005278F" w:rsidRPr="002A518F" w:rsidRDefault="0005278F" w:rsidP="004F3087">
            <w:pPr>
              <w:spacing w:after="120"/>
              <w:jc w:val="both"/>
              <w:rPr>
                <w:rFonts w:ascii="Times New Roman" w:hAnsi="Times New Roman" w:cs="Times New Roman"/>
                <w:sz w:val="24"/>
                <w:lang w:val="de-DE"/>
              </w:rPr>
            </w:pPr>
            <w:r w:rsidRPr="002A518F">
              <w:rPr>
                <w:rFonts w:ascii="Times New Roman" w:hAnsi="Times New Roman"/>
                <w:sz w:val="24"/>
                <w:lang w:val="de-DE"/>
              </w:rPr>
              <w:t>Artikel 444 Buchstabe d CRR</w:t>
            </w:r>
          </w:p>
        </w:tc>
        <w:tc>
          <w:tcPr>
            <w:tcW w:w="4546" w:type="dxa"/>
          </w:tcPr>
          <w:p w14:paraId="137E395D" w14:textId="1819DE26" w:rsidR="0005278F" w:rsidRPr="002A518F" w:rsidRDefault="0005278F">
            <w:pPr>
              <w:spacing w:after="120"/>
              <w:jc w:val="both"/>
              <w:rPr>
                <w:rFonts w:ascii="Times New Roman" w:hAnsi="Times New Roman" w:cs="Times New Roman"/>
                <w:sz w:val="24"/>
                <w:lang w:val="de-DE"/>
              </w:rPr>
            </w:pPr>
            <w:r w:rsidRPr="002A518F">
              <w:rPr>
                <w:rFonts w:ascii="Times New Roman" w:hAnsi="Times New Roman"/>
                <w:sz w:val="24"/>
                <w:lang w:val="de-DE"/>
              </w:rPr>
              <w:t xml:space="preserve">Die Institute geben für jede der in Artikel 112 der Verordnung (EU) 575/2013 spezifizierten Risikopositionsklassen die alphanumerische Skala jeder benannten ECAI/ECA (siehe Zeile a dieses Meldebogens) unter Angabe der Risikogewichtungen an, die den Bonitätsstufen nach Teil 3 Titel II Kapitel 2 der </w:t>
            </w:r>
            <w:r w:rsidRPr="002A518F">
              <w:rPr>
                <w:rFonts w:ascii="Times New Roman" w:hAnsi="Times New Roman"/>
                <w:color w:val="000000" w:themeColor="text1"/>
                <w:sz w:val="24"/>
                <w:lang w:val="de-DE"/>
              </w:rPr>
              <w:t>Verordnung (EU) 575/2013</w:t>
            </w:r>
            <w:r w:rsidRPr="002A518F">
              <w:rPr>
                <w:rFonts w:ascii="Times New Roman" w:hAnsi="Times New Roman"/>
                <w:sz w:val="24"/>
                <w:lang w:val="de-DE"/>
              </w:rPr>
              <w:t xml:space="preserve"> entsprechen (es sei denn, das Institut hält sich an die von der EBA veröffentlichte Standardzuordnung).</w:t>
            </w:r>
          </w:p>
        </w:tc>
      </w:tr>
    </w:tbl>
    <w:p w14:paraId="137E395F" w14:textId="77777777" w:rsidR="0005278F" w:rsidRPr="002A518F" w:rsidRDefault="0005278F" w:rsidP="0005278F">
      <w:pPr>
        <w:spacing w:after="120"/>
        <w:rPr>
          <w:rFonts w:ascii="Times New Roman" w:hAnsi="Times New Roman" w:cs="Times New Roman"/>
          <w:sz w:val="24"/>
        </w:rPr>
      </w:pPr>
    </w:p>
    <w:p w14:paraId="137E3960" w14:textId="77777777" w:rsidR="0005278F" w:rsidRPr="002A518F" w:rsidRDefault="0005278F" w:rsidP="0005278F">
      <w:pPr>
        <w:spacing w:after="120"/>
        <w:rPr>
          <w:rFonts w:ascii="Times New Roman" w:hAnsi="Times New Roman" w:cs="Times New Roman"/>
          <w:sz w:val="24"/>
        </w:rPr>
      </w:pPr>
    </w:p>
    <w:p w14:paraId="137E3961" w14:textId="77777777" w:rsidR="0005278F" w:rsidRPr="002A518F" w:rsidRDefault="0005278F" w:rsidP="0005278F">
      <w:pPr>
        <w:spacing w:after="120"/>
        <w:rPr>
          <w:rFonts w:ascii="Times New Roman" w:hAnsi="Times New Roman" w:cs="Times New Roman"/>
          <w:sz w:val="24"/>
        </w:rPr>
      </w:pPr>
      <w:r w:rsidRPr="002A518F">
        <w:rPr>
          <w:rFonts w:ascii="Times New Roman" w:hAnsi="Times New Roman"/>
          <w:b/>
          <w:sz w:val="24"/>
        </w:rPr>
        <w:t>Meldebogen EU CR4 – Kreditrisiko und Wirkung der Kreditrisikominderung.</w:t>
      </w:r>
      <w:r w:rsidRPr="002A518F">
        <w:rPr>
          <w:rFonts w:ascii="Times New Roman" w:hAnsi="Times New Roman"/>
          <w:sz w:val="24"/>
        </w:rPr>
        <w:t xml:space="preserve"> Format: Unveränderlich.</w:t>
      </w:r>
    </w:p>
    <w:p w14:paraId="137E3962" w14:textId="789BFD53" w:rsidR="0005278F" w:rsidRPr="002A518F" w:rsidRDefault="0005278F" w:rsidP="5A0D947F">
      <w:pPr>
        <w:pStyle w:val="ListParagraph"/>
        <w:numPr>
          <w:ilvl w:val="0"/>
          <w:numId w:val="1"/>
        </w:numPr>
        <w:spacing w:after="120"/>
        <w:ind w:left="425" w:hanging="357"/>
        <w:jc w:val="both"/>
        <w:rPr>
          <w:rFonts w:ascii="Times New Roman" w:hAnsi="Times New Roman"/>
          <w:sz w:val="24"/>
          <w:szCs w:val="24"/>
        </w:rPr>
      </w:pPr>
      <w:r w:rsidRPr="002A518F">
        <w:rPr>
          <w:rFonts w:ascii="Times New Roman" w:hAnsi="Times New Roman"/>
          <w:sz w:val="24"/>
        </w:rPr>
        <w:t xml:space="preserve">Institute, die die risikogewichteten Positionsbeträge für das Kreditrisiko gemäß Teil 3 Titel II Kapitel 2 der </w:t>
      </w:r>
      <w:r w:rsidRPr="002A518F">
        <w:rPr>
          <w:rFonts w:ascii="Times New Roman" w:hAnsi="Times New Roman"/>
          <w:color w:val="000000" w:themeColor="text1"/>
          <w:sz w:val="24"/>
        </w:rPr>
        <w:t>Verordnung (EU) 575/2013</w:t>
      </w:r>
      <w:r w:rsidRPr="002A518F">
        <w:rPr>
          <w:rFonts w:ascii="Times New Roman" w:hAnsi="Times New Roman"/>
          <w:sz w:val="24"/>
        </w:rPr>
        <w:t xml:space="preserve"> berechnen, legen die in Artikel 453 Buchstaben g, h und i der </w:t>
      </w:r>
      <w:r w:rsidRPr="002A518F">
        <w:rPr>
          <w:rFonts w:ascii="Times New Roman" w:hAnsi="Times New Roman"/>
          <w:color w:val="000000" w:themeColor="text1"/>
          <w:sz w:val="24"/>
        </w:rPr>
        <w:t>Verordnung (EU) 575/2013</w:t>
      </w:r>
      <w:r w:rsidRPr="002A518F">
        <w:rPr>
          <w:rFonts w:ascii="Times New Roman" w:hAnsi="Times New Roman"/>
          <w:sz w:val="24"/>
        </w:rPr>
        <w:t xml:space="preserve"> und Artikel 444 Buchstabe e der </w:t>
      </w:r>
      <w:r w:rsidRPr="002A518F">
        <w:rPr>
          <w:rFonts w:ascii="Times New Roman" w:hAnsi="Times New Roman"/>
          <w:color w:val="000000" w:themeColor="text1"/>
          <w:sz w:val="24"/>
        </w:rPr>
        <w:t>Verordnung (EU) 575/2013</w:t>
      </w:r>
      <w:r w:rsidRPr="002A518F">
        <w:rPr>
          <w:rFonts w:ascii="Times New Roman" w:hAnsi="Times New Roman"/>
          <w:sz w:val="24"/>
        </w:rPr>
        <w:t xml:space="preserve"> genannten Informationen offen, indem sie den Meldebogen EU CR4 in Anhang XIX der IT-Lösungen der EBA nach Maßgabe der im vorliegenden Anhang enthaltenen Erläuterungen ausfüllen.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2A518F"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2A518F" w:rsidRDefault="0005278F" w:rsidP="004F3087">
            <w:pPr>
              <w:autoSpaceDE w:val="0"/>
              <w:autoSpaceDN w:val="0"/>
              <w:adjustRightInd w:val="0"/>
              <w:spacing w:after="120"/>
              <w:rPr>
                <w:rFonts w:ascii="Times New Roman" w:hAnsi="Times New Roman" w:cs="Times New Roman"/>
                <w:b/>
                <w:sz w:val="24"/>
              </w:rPr>
            </w:pPr>
            <w:r w:rsidRPr="002A518F">
              <w:rPr>
                <w:rFonts w:ascii="Times New Roman" w:hAnsi="Times New Roman"/>
                <w:b/>
                <w:sz w:val="24"/>
              </w:rPr>
              <w:t>Spalte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2A518F" w:rsidRDefault="0005278F" w:rsidP="004F3087">
            <w:pPr>
              <w:spacing w:after="120"/>
              <w:rPr>
                <w:rFonts w:ascii="Times New Roman" w:hAnsi="Times New Roman" w:cs="Times New Roman"/>
                <w:b/>
                <w:sz w:val="24"/>
              </w:rPr>
            </w:pPr>
            <w:r w:rsidRPr="002A518F">
              <w:rPr>
                <w:rFonts w:ascii="Times New Roman" w:hAnsi="Times New Roman"/>
                <w:b/>
                <w:sz w:val="24"/>
              </w:rPr>
              <w:t>Rechtsgrundlagen und Erläuterungen</w:t>
            </w:r>
          </w:p>
        </w:tc>
      </w:tr>
      <w:tr w:rsidR="0005278F" w:rsidRPr="002A518F" w14:paraId="137E3968" w14:textId="77777777" w:rsidTr="5A0D947F">
        <w:trPr>
          <w:trHeight w:val="277"/>
        </w:trPr>
        <w:tc>
          <w:tcPr>
            <w:tcW w:w="1413" w:type="dxa"/>
            <w:vMerge/>
          </w:tcPr>
          <w:p w14:paraId="137E3966" w14:textId="77777777" w:rsidR="0005278F" w:rsidRPr="002A518F"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2A518F" w:rsidRDefault="0005278F" w:rsidP="004F3087">
            <w:pPr>
              <w:spacing w:after="120"/>
              <w:rPr>
                <w:rFonts w:ascii="Times New Roman" w:hAnsi="Times New Roman" w:cs="Times New Roman"/>
                <w:b/>
                <w:sz w:val="24"/>
              </w:rPr>
            </w:pPr>
            <w:r w:rsidRPr="002A518F">
              <w:rPr>
                <w:rFonts w:ascii="Times New Roman" w:hAnsi="Times New Roman"/>
                <w:b/>
                <w:sz w:val="24"/>
              </w:rPr>
              <w:t>Erläuterung</w:t>
            </w:r>
          </w:p>
        </w:tc>
      </w:tr>
      <w:tr w:rsidR="0005278F" w:rsidRPr="002A518F" w14:paraId="137E396C" w14:textId="77777777" w:rsidTr="5A0D947F">
        <w:trPr>
          <w:trHeight w:val="316"/>
        </w:trPr>
        <w:tc>
          <w:tcPr>
            <w:tcW w:w="1413" w:type="dxa"/>
            <w:vAlign w:val="center"/>
          </w:tcPr>
          <w:p w14:paraId="137E3969" w14:textId="77777777" w:rsidR="0005278F" w:rsidRPr="002A518F" w:rsidRDefault="0005278F" w:rsidP="004F3087">
            <w:pPr>
              <w:autoSpaceDE w:val="0"/>
              <w:autoSpaceDN w:val="0"/>
              <w:adjustRightInd w:val="0"/>
              <w:spacing w:after="120"/>
              <w:rPr>
                <w:rFonts w:ascii="Times New Roman" w:eastAsia="Times New Roman" w:hAnsi="Times New Roman" w:cs="Times New Roman"/>
                <w:sz w:val="24"/>
              </w:rPr>
            </w:pPr>
            <w:r w:rsidRPr="002A518F">
              <w:rPr>
                <w:rFonts w:ascii="Times New Roman" w:hAnsi="Times New Roman"/>
                <w:sz w:val="24"/>
              </w:rPr>
              <w:t>a</w:t>
            </w:r>
          </w:p>
        </w:tc>
        <w:tc>
          <w:tcPr>
            <w:tcW w:w="7654" w:type="dxa"/>
          </w:tcPr>
          <w:p w14:paraId="137E396A" w14:textId="336C1A0B" w:rsidR="0005278F" w:rsidRPr="002A518F" w:rsidRDefault="0005278F" w:rsidP="004F3087">
            <w:pPr>
              <w:autoSpaceDE w:val="0"/>
              <w:autoSpaceDN w:val="0"/>
              <w:adjustRightInd w:val="0"/>
              <w:spacing w:after="120"/>
              <w:jc w:val="both"/>
              <w:rPr>
                <w:rFonts w:ascii="Times New Roman" w:eastAsia="Times New Roman" w:hAnsi="Times New Roman" w:cs="Times New Roman"/>
                <w:b/>
                <w:iCs/>
                <w:sz w:val="24"/>
              </w:rPr>
            </w:pPr>
            <w:r w:rsidRPr="002A518F">
              <w:rPr>
                <w:rFonts w:ascii="Times New Roman" w:hAnsi="Times New Roman"/>
                <w:b/>
                <w:sz w:val="24"/>
              </w:rPr>
              <w:t>Risikopositionen vor CCF und CRM – Bilanzielle Risikopositionen:</w:t>
            </w:r>
          </w:p>
          <w:p w14:paraId="137E396B" w14:textId="552FE15A" w:rsidR="0005278F" w:rsidRPr="002A518F" w:rsidRDefault="0005278F" w:rsidP="0027241B">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 xml:space="preserve">Die Institute legen den bilanziellen Risikopositionswert gemäß dem aufsichtsrechtlichen Konsolidierungskreis im Einklang mit Artikel 111 der </w:t>
            </w:r>
            <w:r w:rsidRPr="002A518F">
              <w:rPr>
                <w:rFonts w:ascii="Times New Roman" w:hAnsi="Times New Roman"/>
                <w:color w:val="000000" w:themeColor="text1"/>
                <w:sz w:val="24"/>
              </w:rPr>
              <w:t>Verordnung (EU) 575/2013</w:t>
            </w:r>
            <w:r w:rsidRPr="002A518F">
              <w:rPr>
                <w:rFonts w:ascii="Times New Roman" w:hAnsi="Times New Roman"/>
                <w:sz w:val="24"/>
              </w:rPr>
              <w:t xml:space="preserve"> nach spezifischen Kreditrisikoanpassungen gemäß Artikel 110 der </w:t>
            </w:r>
            <w:r w:rsidRPr="002A518F">
              <w:rPr>
                <w:rFonts w:ascii="Times New Roman" w:hAnsi="Times New Roman"/>
                <w:color w:val="000000" w:themeColor="text1"/>
                <w:sz w:val="24"/>
              </w:rPr>
              <w:t>Verordnung (EU) 575/2013</w:t>
            </w:r>
            <w:r w:rsidRPr="002A518F">
              <w:rPr>
                <w:rFonts w:ascii="Times New Roman" w:hAnsi="Times New Roman"/>
                <w:sz w:val="24"/>
              </w:rPr>
              <w:t xml:space="preserve">, zusätzlichen Bewertungsanpassungen gemäß den Artikeln 34 und 105 der </w:t>
            </w:r>
            <w:r w:rsidRPr="002A518F">
              <w:rPr>
                <w:rFonts w:ascii="Times New Roman" w:hAnsi="Times New Roman"/>
                <w:color w:val="000000" w:themeColor="text1"/>
                <w:sz w:val="24"/>
              </w:rPr>
              <w:t>Verordnung (EU) 575/2013</w:t>
            </w:r>
            <w:r w:rsidRPr="002A518F">
              <w:rPr>
                <w:rFonts w:ascii="Times New Roman" w:hAnsi="Times New Roman"/>
                <w:sz w:val="24"/>
              </w:rPr>
              <w:t xml:space="preserve">, Abzügen gemäß Artikel 36 Absatz 1 Buchstabe m der </w:t>
            </w:r>
            <w:r w:rsidRPr="002A518F">
              <w:rPr>
                <w:rFonts w:ascii="Times New Roman" w:hAnsi="Times New Roman"/>
                <w:color w:val="000000" w:themeColor="text1"/>
                <w:sz w:val="24"/>
              </w:rPr>
              <w:t>Verordnung (EU) 575/2013</w:t>
            </w:r>
            <w:r w:rsidRPr="002A518F">
              <w:rPr>
                <w:rFonts w:ascii="Times New Roman" w:hAnsi="Times New Roman"/>
                <w:sz w:val="24"/>
              </w:rPr>
              <w:t xml:space="preserve">, Senkungen der Eigenmittel und Abschreibungen (nach Definition des geltenden Rechnungslegungsrahmens), aber vor i) der Anwendung der im selben Artikel definierten Kreditumrechnungsfaktoren und ii) der Anwendung von Kreditrisikominderungstechniken gemäß Teil 3 Titel II Kapitel 4 der Verordnung (EU) 575/2013 offen. Für Risikopositionswerte bei Leasingverhältnissen gilt Artikel 134 Absatz 7 der </w:t>
            </w:r>
            <w:r w:rsidRPr="002A518F">
              <w:rPr>
                <w:rFonts w:ascii="Times New Roman" w:hAnsi="Times New Roman"/>
                <w:color w:val="000000" w:themeColor="text1"/>
                <w:sz w:val="24"/>
              </w:rPr>
              <w:t>Verordnung (EU) 575/2013</w:t>
            </w:r>
            <w:r w:rsidRPr="002A518F">
              <w:rPr>
                <w:rFonts w:ascii="Times New Roman" w:hAnsi="Times New Roman"/>
                <w:sz w:val="24"/>
              </w:rPr>
              <w:t>.</w:t>
            </w:r>
          </w:p>
        </w:tc>
      </w:tr>
      <w:tr w:rsidR="0005278F" w:rsidRPr="002A518F" w14:paraId="137E3970" w14:textId="77777777" w:rsidTr="5A0D947F">
        <w:trPr>
          <w:trHeight w:val="316"/>
        </w:trPr>
        <w:tc>
          <w:tcPr>
            <w:tcW w:w="1413" w:type="dxa"/>
            <w:vAlign w:val="center"/>
          </w:tcPr>
          <w:p w14:paraId="137E396D" w14:textId="77777777" w:rsidR="0005278F" w:rsidRPr="002A518F" w:rsidRDefault="0005278F" w:rsidP="004F3087">
            <w:pPr>
              <w:autoSpaceDE w:val="0"/>
              <w:autoSpaceDN w:val="0"/>
              <w:adjustRightInd w:val="0"/>
              <w:spacing w:after="120"/>
              <w:rPr>
                <w:rFonts w:ascii="Times New Roman" w:eastAsia="Times New Roman" w:hAnsi="Times New Roman" w:cs="Times New Roman"/>
                <w:sz w:val="24"/>
              </w:rPr>
            </w:pPr>
            <w:r w:rsidRPr="002A518F">
              <w:rPr>
                <w:rFonts w:ascii="Times New Roman" w:hAnsi="Times New Roman"/>
                <w:sz w:val="24"/>
              </w:rPr>
              <w:t>b</w:t>
            </w:r>
          </w:p>
        </w:tc>
        <w:tc>
          <w:tcPr>
            <w:tcW w:w="7654" w:type="dxa"/>
          </w:tcPr>
          <w:p w14:paraId="137E396E" w14:textId="77777777" w:rsidR="0005278F" w:rsidRPr="002A518F" w:rsidRDefault="0005278F" w:rsidP="004F3087">
            <w:pPr>
              <w:autoSpaceDE w:val="0"/>
              <w:autoSpaceDN w:val="0"/>
              <w:adjustRightInd w:val="0"/>
              <w:spacing w:after="120"/>
              <w:jc w:val="both"/>
              <w:rPr>
                <w:rFonts w:ascii="Times New Roman" w:eastAsia="Times New Roman" w:hAnsi="Times New Roman" w:cs="Times New Roman"/>
                <w:b/>
                <w:iCs/>
                <w:sz w:val="24"/>
              </w:rPr>
            </w:pPr>
            <w:r w:rsidRPr="002A518F">
              <w:rPr>
                <w:rFonts w:ascii="Times New Roman" w:hAnsi="Times New Roman"/>
                <w:b/>
                <w:sz w:val="24"/>
              </w:rPr>
              <w:t>Risikopositionen vor CCF und CRM – Außerbilanzielle Risikopositionen:</w:t>
            </w:r>
          </w:p>
          <w:p w14:paraId="137E396F" w14:textId="70A24ABD" w:rsidR="0005278F" w:rsidRPr="002A518F" w:rsidRDefault="0005278F" w:rsidP="5A0D947F">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Die Institute legen den außerbilanziellen Risikopositionswert gemäß dem aufsichtsrechtlichen Konsolidierungskreis nach Abzug der spezifischen Kreditrisikoanpassungen und nach den Abzügen gemäß Artikel 36 Absatz 1 Buchstabe m</w:t>
            </w:r>
            <w:r w:rsidRPr="002A518F">
              <w:rPr>
                <w:rFonts w:ascii="Times New Roman" w:hAnsi="Times New Roman"/>
                <w:color w:val="498205"/>
                <w:sz w:val="24"/>
              </w:rPr>
              <w:t xml:space="preserve"> </w:t>
            </w:r>
            <w:r w:rsidRPr="002A518F">
              <w:rPr>
                <w:rFonts w:ascii="Times New Roman" w:hAnsi="Times New Roman"/>
                <w:sz w:val="24"/>
              </w:rPr>
              <w:t xml:space="preserve">der Verordnung (EU) 575/2013, aber vor der Anwendung von Kreditumrechnungsfaktoren gemäß Artikel 111 der Verordnung (EU) 575/2013 und vor der Anwendung von </w:t>
            </w:r>
            <w:r w:rsidRPr="002A518F">
              <w:rPr>
                <w:rFonts w:ascii="Times New Roman" w:hAnsi="Times New Roman"/>
                <w:sz w:val="24"/>
              </w:rPr>
              <w:lastRenderedPageBreak/>
              <w:t>Kreditrisikominderungstechniken (in Anwendung von Teil 3 Titel II Kapitel 4 der Verordnung (EU) 575/2013) offen.</w:t>
            </w:r>
          </w:p>
        </w:tc>
      </w:tr>
      <w:tr w:rsidR="0005278F" w:rsidRPr="002A518F" w14:paraId="137E3974" w14:textId="77777777" w:rsidTr="5A0D947F">
        <w:trPr>
          <w:trHeight w:val="316"/>
        </w:trPr>
        <w:tc>
          <w:tcPr>
            <w:tcW w:w="1413" w:type="dxa"/>
            <w:vAlign w:val="center"/>
          </w:tcPr>
          <w:p w14:paraId="137E3971" w14:textId="77777777" w:rsidR="0005278F" w:rsidRPr="002A518F" w:rsidRDefault="0005278F" w:rsidP="004F3087">
            <w:pPr>
              <w:autoSpaceDE w:val="0"/>
              <w:autoSpaceDN w:val="0"/>
              <w:adjustRightInd w:val="0"/>
              <w:spacing w:after="120"/>
              <w:rPr>
                <w:rFonts w:ascii="Times New Roman" w:eastAsia="Times New Roman" w:hAnsi="Times New Roman" w:cs="Times New Roman"/>
                <w:sz w:val="24"/>
              </w:rPr>
            </w:pPr>
            <w:r w:rsidRPr="002A518F">
              <w:rPr>
                <w:rFonts w:ascii="Times New Roman" w:hAnsi="Times New Roman"/>
                <w:sz w:val="24"/>
              </w:rPr>
              <w:lastRenderedPageBreak/>
              <w:t>c</w:t>
            </w:r>
          </w:p>
        </w:tc>
        <w:tc>
          <w:tcPr>
            <w:tcW w:w="7654" w:type="dxa"/>
          </w:tcPr>
          <w:p w14:paraId="137E3972" w14:textId="77777777" w:rsidR="0005278F" w:rsidRPr="002A518F" w:rsidRDefault="0005278F" w:rsidP="004F3087">
            <w:pPr>
              <w:autoSpaceDE w:val="0"/>
              <w:autoSpaceDN w:val="0"/>
              <w:adjustRightInd w:val="0"/>
              <w:spacing w:after="120"/>
              <w:jc w:val="both"/>
              <w:rPr>
                <w:rFonts w:ascii="Times New Roman" w:eastAsia="Times New Roman" w:hAnsi="Times New Roman" w:cs="Times New Roman"/>
                <w:b/>
                <w:iCs/>
                <w:sz w:val="24"/>
              </w:rPr>
            </w:pPr>
            <w:r w:rsidRPr="002A518F">
              <w:rPr>
                <w:rFonts w:ascii="Times New Roman" w:hAnsi="Times New Roman"/>
                <w:b/>
                <w:sz w:val="24"/>
              </w:rPr>
              <w:t xml:space="preserve">Risikopositionen nach CCF und CRM – Bilanzielle Risikopositionen: </w:t>
            </w:r>
          </w:p>
          <w:p w14:paraId="137E3973" w14:textId="3965907F" w:rsidR="0005278F" w:rsidRPr="002A518F" w:rsidRDefault="0005278F" w:rsidP="5A0D947F">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Die Institute legen den Betrag des bilanziellen Risikopositionswerts gemäß dem aufsichtsrechtlichen Konsolidierungskreis (im Einklang mit Artikel 111</w:t>
            </w:r>
            <w:r w:rsidRPr="002A518F">
              <w:rPr>
                <w:rFonts w:ascii="Times New Roman" w:hAnsi="Times New Roman"/>
                <w:color w:val="498205"/>
                <w:sz w:val="24"/>
              </w:rPr>
              <w:t xml:space="preserve"> </w:t>
            </w:r>
            <w:r w:rsidRPr="002A518F">
              <w:rPr>
                <w:rFonts w:ascii="Times New Roman" w:hAnsi="Times New Roman"/>
                <w:sz w:val="24"/>
              </w:rPr>
              <w:t>der Verordnung (EU) 575/2013) nach spezifischen Kreditrisikoanpassungen gemäß Artikel 110 der Verordnung (EU) 575/2013, zusätzlichen Bewertungsanpassungen gemäß den Artikeln 34 und 105 der Verordnung (EU) 575/2013, Abzügen gemäß Artikel 36 Absatz 1 Buchstabe m der Verordnung (EU) 575/2013, sonstigen Senkungen der Eigenmittel und Abschreibungen gemäß den Definitionen im einschlägigen Rechnungslegungsrahmen und nach Anwendung sämtlicher kreditrisikomindernder Faktoren sowie Kreditumrechnungsfaktoren offen. Dies ist der Betrag, auf den die Risikogewichte (gemäß Artikel 113 der Verordnung (EU) 575/2013 und Teil 3 Titel II Kapitel 2 Abschnitt 2 der Verordnung (EU) 575/2013) angewandt werden. Es handelt es sich dabei um einen Nettokreditäquivalenzbetrag, nach Anwendung der Kreditrisikominderungstechniken und des Kreditumrechnungsfaktors.</w:t>
            </w:r>
          </w:p>
        </w:tc>
      </w:tr>
      <w:tr w:rsidR="0005278F" w:rsidRPr="002A518F" w14:paraId="137E3978" w14:textId="77777777" w:rsidTr="5A0D947F">
        <w:trPr>
          <w:trHeight w:val="316"/>
        </w:trPr>
        <w:tc>
          <w:tcPr>
            <w:tcW w:w="1413" w:type="dxa"/>
            <w:vAlign w:val="center"/>
          </w:tcPr>
          <w:p w14:paraId="137E3975" w14:textId="77777777" w:rsidR="0005278F" w:rsidRPr="002A518F" w:rsidRDefault="0005278F" w:rsidP="004F3087">
            <w:pPr>
              <w:autoSpaceDE w:val="0"/>
              <w:autoSpaceDN w:val="0"/>
              <w:adjustRightInd w:val="0"/>
              <w:spacing w:after="120"/>
              <w:rPr>
                <w:rFonts w:ascii="Times New Roman" w:eastAsia="Times New Roman" w:hAnsi="Times New Roman" w:cs="Times New Roman"/>
                <w:sz w:val="24"/>
              </w:rPr>
            </w:pPr>
            <w:r w:rsidRPr="002A518F">
              <w:rPr>
                <w:rFonts w:ascii="Times New Roman" w:hAnsi="Times New Roman"/>
                <w:sz w:val="24"/>
              </w:rPr>
              <w:t>d</w:t>
            </w:r>
          </w:p>
        </w:tc>
        <w:tc>
          <w:tcPr>
            <w:tcW w:w="7654" w:type="dxa"/>
          </w:tcPr>
          <w:p w14:paraId="137E3976" w14:textId="28E50CDE" w:rsidR="0005278F" w:rsidRPr="002A518F" w:rsidRDefault="0005278F" w:rsidP="004F3087">
            <w:pPr>
              <w:autoSpaceDE w:val="0"/>
              <w:autoSpaceDN w:val="0"/>
              <w:adjustRightInd w:val="0"/>
              <w:spacing w:after="120"/>
              <w:jc w:val="both"/>
              <w:rPr>
                <w:rFonts w:ascii="Times New Roman" w:eastAsia="Times New Roman" w:hAnsi="Times New Roman" w:cs="Times New Roman"/>
                <w:b/>
                <w:iCs/>
                <w:sz w:val="24"/>
              </w:rPr>
            </w:pPr>
            <w:r w:rsidRPr="002A518F">
              <w:rPr>
                <w:rFonts w:ascii="Times New Roman" w:hAnsi="Times New Roman"/>
                <w:b/>
                <w:sz w:val="24"/>
              </w:rPr>
              <w:t>Risikopositionen nach CCF und CRM – Außerbilanzielle Risikopositionen:</w:t>
            </w:r>
          </w:p>
          <w:p w14:paraId="137E3977" w14:textId="3A31757C" w:rsidR="0005278F" w:rsidRPr="002A518F" w:rsidRDefault="0005278F" w:rsidP="5A0D947F">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Die Institute legen den Betrag des außerbilanziellen Risikopositionswerts nach den in der Delegierten Verordnung (EU) Nr. 183/2014 der Kommission</w:t>
            </w:r>
            <w:r w:rsidRPr="002A518F">
              <w:rPr>
                <w:rStyle w:val="FootnoteReference"/>
                <w:rFonts w:ascii="Times New Roman" w:eastAsia="Times New Roman" w:hAnsi="Times New Roman" w:cs="Times New Roman"/>
              </w:rPr>
              <w:footnoteReference w:id="3"/>
            </w:r>
            <w:r w:rsidRPr="002A518F">
              <w:rPr>
                <w:rFonts w:ascii="Times New Roman" w:hAnsi="Times New Roman"/>
                <w:sz w:val="24"/>
              </w:rPr>
              <w:t xml:space="preserve"> definierten Kreditrisikoanpassungen, zusätzlichen Bewertungsanpassungen und sonstigen Senkungen der Eigenmittel und nach Anwendung sämtlicher kreditrisikomindernder Faktoren und Kreditumrechnungsfaktoren offen. Dies ist der Betrag, auf den die Risikogewichte (gemäß Artikel 113 der Verordnung (EU) 575/2013 und Teil 3 Titel II Kapitel 2 Abschnitt 2 CRR) angewandt werden. Es handelt es sich dabei um einen Nettokreditäquivalenzbetrag, nach Anwendung der Kreditrisikominderungstechniken und des Kreditumrechnungsfaktors.</w:t>
            </w:r>
          </w:p>
        </w:tc>
      </w:tr>
      <w:tr w:rsidR="0005278F" w:rsidRPr="002A518F" w14:paraId="137E397C" w14:textId="77777777" w:rsidTr="5A0D947F">
        <w:trPr>
          <w:trHeight w:val="316"/>
        </w:trPr>
        <w:tc>
          <w:tcPr>
            <w:tcW w:w="1413" w:type="dxa"/>
            <w:vAlign w:val="center"/>
          </w:tcPr>
          <w:p w14:paraId="137E3979" w14:textId="77777777" w:rsidR="0005278F" w:rsidRPr="002A518F" w:rsidRDefault="0005278F" w:rsidP="004F3087">
            <w:pPr>
              <w:autoSpaceDE w:val="0"/>
              <w:autoSpaceDN w:val="0"/>
              <w:adjustRightInd w:val="0"/>
              <w:spacing w:after="120"/>
              <w:rPr>
                <w:rFonts w:ascii="Times New Roman" w:eastAsia="Times New Roman" w:hAnsi="Times New Roman" w:cs="Times New Roman"/>
                <w:sz w:val="24"/>
              </w:rPr>
            </w:pPr>
            <w:r w:rsidRPr="002A518F">
              <w:rPr>
                <w:rFonts w:ascii="Times New Roman" w:hAnsi="Times New Roman"/>
                <w:sz w:val="24"/>
              </w:rPr>
              <w:t>e</w:t>
            </w:r>
          </w:p>
        </w:tc>
        <w:tc>
          <w:tcPr>
            <w:tcW w:w="7654" w:type="dxa"/>
          </w:tcPr>
          <w:p w14:paraId="137E397A" w14:textId="77777777" w:rsidR="0005278F" w:rsidRPr="002A518F" w:rsidRDefault="0005278F" w:rsidP="004F3087">
            <w:pPr>
              <w:autoSpaceDE w:val="0"/>
              <w:autoSpaceDN w:val="0"/>
              <w:adjustRightInd w:val="0"/>
              <w:spacing w:after="120"/>
              <w:jc w:val="both"/>
              <w:rPr>
                <w:rFonts w:ascii="Times New Roman" w:eastAsia="Times New Roman" w:hAnsi="Times New Roman" w:cs="Times New Roman"/>
                <w:b/>
                <w:iCs/>
                <w:sz w:val="24"/>
              </w:rPr>
            </w:pPr>
            <w:r w:rsidRPr="002A518F">
              <w:rPr>
                <w:rFonts w:ascii="Times New Roman" w:hAnsi="Times New Roman"/>
                <w:b/>
                <w:sz w:val="24"/>
              </w:rPr>
              <w:t>RWEA</w:t>
            </w:r>
          </w:p>
          <w:p w14:paraId="137E397B" w14:textId="1F9983D6" w:rsidR="0005278F" w:rsidRPr="002A518F" w:rsidRDefault="0005278F" w:rsidP="004F3087">
            <w:pPr>
              <w:autoSpaceDE w:val="0"/>
              <w:autoSpaceDN w:val="0"/>
              <w:adjustRightInd w:val="0"/>
              <w:spacing w:after="120"/>
              <w:jc w:val="both"/>
              <w:rPr>
                <w:rFonts w:ascii="Times New Roman" w:eastAsia="Times New Roman" w:hAnsi="Times New Roman" w:cs="Times New Roman"/>
                <w:iCs/>
                <w:sz w:val="24"/>
              </w:rPr>
            </w:pPr>
            <w:r w:rsidRPr="002A518F">
              <w:rPr>
                <w:rFonts w:ascii="Times New Roman" w:hAnsi="Times New Roman"/>
                <w:sz w:val="24"/>
              </w:rPr>
              <w:t>Auszuweisen sind die gemäß Teil 3 Titel II Kapitel 2 Abschnitt 2 der Verordnung (EU) 575/2013 berechneten risikogewichteten Positionsbeträge (RWEA).</w:t>
            </w:r>
          </w:p>
        </w:tc>
      </w:tr>
      <w:tr w:rsidR="0005278F" w:rsidRPr="002A518F" w14:paraId="137E3981" w14:textId="77777777" w:rsidTr="5A0D947F">
        <w:trPr>
          <w:trHeight w:val="316"/>
        </w:trPr>
        <w:tc>
          <w:tcPr>
            <w:tcW w:w="1413" w:type="dxa"/>
            <w:vAlign w:val="center"/>
          </w:tcPr>
          <w:p w14:paraId="137E397D" w14:textId="77777777" w:rsidR="0005278F" w:rsidRPr="002A518F" w:rsidRDefault="0005278F" w:rsidP="004F3087">
            <w:pPr>
              <w:autoSpaceDE w:val="0"/>
              <w:autoSpaceDN w:val="0"/>
              <w:adjustRightInd w:val="0"/>
              <w:spacing w:after="120"/>
              <w:rPr>
                <w:rFonts w:ascii="Times New Roman" w:eastAsia="Times New Roman" w:hAnsi="Times New Roman" w:cs="Times New Roman"/>
                <w:sz w:val="24"/>
              </w:rPr>
            </w:pPr>
            <w:r w:rsidRPr="002A518F">
              <w:rPr>
                <w:rFonts w:ascii="Times New Roman" w:hAnsi="Times New Roman"/>
                <w:sz w:val="24"/>
              </w:rPr>
              <w:t>f</w:t>
            </w:r>
          </w:p>
        </w:tc>
        <w:tc>
          <w:tcPr>
            <w:tcW w:w="7654" w:type="dxa"/>
          </w:tcPr>
          <w:p w14:paraId="137E397E" w14:textId="77777777" w:rsidR="0005278F" w:rsidRPr="002A518F" w:rsidRDefault="0005278F" w:rsidP="004F3087">
            <w:pPr>
              <w:autoSpaceDE w:val="0"/>
              <w:autoSpaceDN w:val="0"/>
              <w:adjustRightInd w:val="0"/>
              <w:spacing w:after="120"/>
              <w:jc w:val="both"/>
              <w:rPr>
                <w:rFonts w:ascii="Times New Roman" w:eastAsia="Times New Roman" w:hAnsi="Times New Roman" w:cs="Times New Roman"/>
                <w:b/>
                <w:iCs/>
                <w:sz w:val="24"/>
              </w:rPr>
            </w:pPr>
            <w:r w:rsidRPr="002A518F">
              <w:rPr>
                <w:rFonts w:ascii="Times New Roman" w:hAnsi="Times New Roman"/>
                <w:b/>
                <w:sz w:val="24"/>
              </w:rPr>
              <w:t>RWEA-Dichte</w:t>
            </w:r>
          </w:p>
          <w:p w14:paraId="137E397F" w14:textId="77777777" w:rsidR="0005278F" w:rsidRPr="002A518F" w:rsidRDefault="0005278F" w:rsidP="004F3087">
            <w:pPr>
              <w:autoSpaceDE w:val="0"/>
              <w:autoSpaceDN w:val="0"/>
              <w:adjustRightInd w:val="0"/>
              <w:spacing w:after="120"/>
              <w:jc w:val="both"/>
              <w:rPr>
                <w:rFonts w:ascii="Times New Roman" w:eastAsia="Times New Roman" w:hAnsi="Times New Roman" w:cs="Times New Roman"/>
                <w:iCs/>
                <w:sz w:val="24"/>
              </w:rPr>
            </w:pPr>
            <w:r w:rsidRPr="002A518F">
              <w:rPr>
                <w:rFonts w:ascii="Times New Roman" w:hAnsi="Times New Roman"/>
                <w:sz w:val="24"/>
              </w:rPr>
              <w:t>(Spalte e/Spalten (c + d) dieses Meldebogens)</w:t>
            </w:r>
          </w:p>
          <w:p w14:paraId="137E3980" w14:textId="77777777" w:rsidR="0005278F" w:rsidRPr="002A518F" w:rsidRDefault="0005278F" w:rsidP="004F3087">
            <w:pPr>
              <w:autoSpaceDE w:val="0"/>
              <w:autoSpaceDN w:val="0"/>
              <w:adjustRightInd w:val="0"/>
              <w:spacing w:after="120"/>
              <w:jc w:val="both"/>
              <w:rPr>
                <w:rFonts w:ascii="Times New Roman" w:eastAsia="Times New Roman" w:hAnsi="Times New Roman" w:cs="Times New Roman"/>
                <w:iCs/>
                <w:sz w:val="24"/>
              </w:rPr>
            </w:pPr>
            <w:r w:rsidRPr="002A518F">
              <w:rPr>
                <w:rFonts w:ascii="Times New Roman" w:hAnsi="Times New Roman"/>
                <w:sz w:val="24"/>
              </w:rPr>
              <w:t>Der Wert wird berechnet, indem die RWEA der jeweiligen Risikopositionsklasse (Spalte e dieses Meldebogens) durch den Betrag der jeweiligen Risikopositionen nach Berücksichtigung aller kreditrisikomindernden Faktoren und Kreditumrechnungsfaktoren (Summe der Beträge in den Spalten c und d dieses Meldebogens) dividiert werden.</w:t>
            </w:r>
          </w:p>
        </w:tc>
      </w:tr>
    </w:tbl>
    <w:p w14:paraId="137E3982" w14:textId="664BD25D" w:rsidR="0005278F" w:rsidRPr="002A518F"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2A518F"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2A518F" w:rsidRDefault="005A70FA" w:rsidP="00A518F7">
            <w:pPr>
              <w:spacing w:after="120"/>
              <w:rPr>
                <w:rFonts w:ascii="Times New Roman" w:hAnsi="Times New Roman" w:cs="Times New Roman"/>
                <w:b/>
                <w:sz w:val="24"/>
              </w:rPr>
            </w:pPr>
            <w:r w:rsidRPr="002A518F">
              <w:rPr>
                <w:rFonts w:ascii="Times New Roman" w:hAnsi="Times New Roman"/>
                <w:b/>
                <w:sz w:val="24"/>
              </w:rPr>
              <w:t>Rechtsgrundlagen und Erläuterungen</w:t>
            </w:r>
          </w:p>
        </w:tc>
      </w:tr>
      <w:tr w:rsidR="00535F36" w:rsidRPr="002A518F" w14:paraId="15637106" w14:textId="77777777" w:rsidTr="005A70FA">
        <w:trPr>
          <w:trHeight w:val="336"/>
        </w:trPr>
        <w:tc>
          <w:tcPr>
            <w:tcW w:w="1413" w:type="dxa"/>
            <w:shd w:val="clear" w:color="auto" w:fill="D9D9D9" w:themeFill="background1" w:themeFillShade="D9"/>
          </w:tcPr>
          <w:p w14:paraId="0281A12B" w14:textId="26D7D1F8" w:rsidR="00535F36" w:rsidRPr="002A518F" w:rsidRDefault="005A70FA" w:rsidP="00A518F7">
            <w:pPr>
              <w:autoSpaceDE w:val="0"/>
              <w:autoSpaceDN w:val="0"/>
              <w:adjustRightInd w:val="0"/>
              <w:spacing w:after="120"/>
              <w:rPr>
                <w:rFonts w:ascii="Times New Roman" w:hAnsi="Times New Roman" w:cs="Times New Roman"/>
                <w:b/>
                <w:sz w:val="24"/>
              </w:rPr>
            </w:pPr>
            <w:r w:rsidRPr="002A518F">
              <w:rPr>
                <w:rFonts w:ascii="Times New Roman" w:hAnsi="Times New Roman"/>
                <w:b/>
                <w:sz w:val="24"/>
              </w:rPr>
              <w:t>Zeile</w:t>
            </w:r>
          </w:p>
        </w:tc>
        <w:tc>
          <w:tcPr>
            <w:tcW w:w="7654" w:type="dxa"/>
            <w:tcBorders>
              <w:left w:val="single" w:sz="4" w:space="0" w:color="auto"/>
            </w:tcBorders>
            <w:shd w:val="clear" w:color="auto" w:fill="D9D9D9" w:themeFill="background1" w:themeFillShade="D9"/>
          </w:tcPr>
          <w:p w14:paraId="4210B102" w14:textId="77777777" w:rsidR="00535F36" w:rsidRPr="002A518F" w:rsidRDefault="00535F36" w:rsidP="00A518F7">
            <w:pPr>
              <w:autoSpaceDE w:val="0"/>
              <w:autoSpaceDN w:val="0"/>
              <w:adjustRightInd w:val="0"/>
              <w:spacing w:after="120"/>
              <w:rPr>
                <w:rFonts w:ascii="Times New Roman" w:hAnsi="Times New Roman" w:cs="Times New Roman"/>
                <w:color w:val="000000"/>
                <w:sz w:val="24"/>
              </w:rPr>
            </w:pPr>
            <w:r w:rsidRPr="002A518F">
              <w:rPr>
                <w:rFonts w:ascii="Times New Roman" w:hAnsi="Times New Roman"/>
                <w:b/>
                <w:sz w:val="24"/>
              </w:rPr>
              <w:t>Erläuterung</w:t>
            </w:r>
          </w:p>
        </w:tc>
      </w:tr>
      <w:tr w:rsidR="00535F36" w:rsidRPr="002A518F" w14:paraId="7FCC92DA" w14:textId="77777777" w:rsidTr="5A0D947F">
        <w:trPr>
          <w:trHeight w:val="699"/>
        </w:trPr>
        <w:tc>
          <w:tcPr>
            <w:tcW w:w="1413" w:type="dxa"/>
            <w:shd w:val="clear" w:color="auto" w:fill="auto"/>
          </w:tcPr>
          <w:p w14:paraId="22F3AEC0" w14:textId="7AD9382B" w:rsidR="00535F36" w:rsidRPr="002A518F" w:rsidRDefault="00926A01" w:rsidP="00FB64CF">
            <w:pPr>
              <w:autoSpaceDE w:val="0"/>
              <w:autoSpaceDN w:val="0"/>
              <w:adjustRightInd w:val="0"/>
              <w:spacing w:after="120"/>
              <w:rPr>
                <w:rFonts w:ascii="Times New Roman" w:eastAsia="Times New Roman" w:hAnsi="Times New Roman" w:cs="Times New Roman"/>
                <w:sz w:val="24"/>
              </w:rPr>
            </w:pPr>
            <w:r w:rsidRPr="002A518F">
              <w:rPr>
                <w:rFonts w:ascii="Times New Roman" w:hAnsi="Times New Roman"/>
                <w:sz w:val="24"/>
              </w:rPr>
              <w:t>1, EU 2a, EU 2b, 3, EU 3a, 4, 5, 6, EU 7a, EU 7b, 8, 9, 10, EU 10a, EU 10b, EU 10c</w:t>
            </w:r>
          </w:p>
        </w:tc>
        <w:tc>
          <w:tcPr>
            <w:tcW w:w="7654" w:type="dxa"/>
            <w:shd w:val="clear" w:color="auto" w:fill="auto"/>
          </w:tcPr>
          <w:p w14:paraId="7983BEBC" w14:textId="762B6BF3" w:rsidR="00535F36" w:rsidRPr="002A518F" w:rsidRDefault="00535F36" w:rsidP="00A518F7">
            <w:pPr>
              <w:spacing w:after="120"/>
              <w:jc w:val="both"/>
              <w:rPr>
                <w:rFonts w:ascii="Times New Roman" w:hAnsi="Times New Roman" w:cs="Times New Roman"/>
                <w:sz w:val="24"/>
              </w:rPr>
            </w:pPr>
            <w:r w:rsidRPr="002A518F">
              <w:rPr>
                <w:rFonts w:ascii="Times New Roman" w:hAnsi="Times New Roman"/>
                <w:sz w:val="24"/>
              </w:rPr>
              <w:t>Risikopositionsklassen nach Artikel 112 der Verordnung (EU) Nr. 575/2013.</w:t>
            </w:r>
          </w:p>
          <w:p w14:paraId="4E391AF9" w14:textId="6574451E" w:rsidR="00535F36" w:rsidRPr="002A518F" w:rsidRDefault="5682D6C4" w:rsidP="5A0D947F">
            <w:pPr>
              <w:spacing w:after="120"/>
              <w:jc w:val="both"/>
              <w:rPr>
                <w:rFonts w:ascii="Times New Roman" w:eastAsia="Times New Roman" w:hAnsi="Times New Roman" w:cs="Times New Roman"/>
                <w:sz w:val="24"/>
              </w:rPr>
            </w:pPr>
            <w:r w:rsidRPr="002A518F">
              <w:rPr>
                <w:rFonts w:ascii="Times New Roman" w:hAnsi="Times New Roman"/>
                <w:sz w:val="24"/>
              </w:rPr>
              <w:t>Risikopositionen, die der in Artikel 112 Buchstabe m der Verordnung (EU) Nr. 575/2013 genannten Risikopositionsklasse „Positionen, die Verbriefungspositionen darstellen“ zugeordnet sind, werden nicht berücksichtigt.</w:t>
            </w:r>
          </w:p>
        </w:tc>
      </w:tr>
      <w:tr w:rsidR="00C337F1" w:rsidRPr="002A518F" w14:paraId="64CF4F9F" w14:textId="77777777" w:rsidTr="5A0D947F">
        <w:trPr>
          <w:trHeight w:val="699"/>
        </w:trPr>
        <w:tc>
          <w:tcPr>
            <w:tcW w:w="1413" w:type="dxa"/>
            <w:shd w:val="clear" w:color="auto" w:fill="auto"/>
          </w:tcPr>
          <w:p w14:paraId="7981A2E1" w14:textId="3F1FF913" w:rsidR="00C337F1" w:rsidRPr="002A518F" w:rsidRDefault="00C337F1"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2</w:t>
            </w:r>
          </w:p>
        </w:tc>
        <w:tc>
          <w:tcPr>
            <w:tcW w:w="7654" w:type="dxa"/>
            <w:shd w:val="clear" w:color="auto" w:fill="auto"/>
          </w:tcPr>
          <w:p w14:paraId="2853DB1C" w14:textId="6EED0555" w:rsidR="00FF5357" w:rsidRPr="002A518F" w:rsidRDefault="002A2B60" w:rsidP="00535F36">
            <w:pPr>
              <w:spacing w:after="120"/>
              <w:jc w:val="both"/>
              <w:rPr>
                <w:rFonts w:ascii="Times New Roman" w:eastAsiaTheme="minorHAnsi" w:hAnsi="Times New Roman" w:cs="Times New Roman"/>
                <w:sz w:val="24"/>
              </w:rPr>
            </w:pPr>
            <w:r w:rsidRPr="002A518F">
              <w:rPr>
                <w:rFonts w:ascii="Times New Roman" w:hAnsi="Times New Roman"/>
                <w:b/>
                <w:sz w:val="24"/>
              </w:rPr>
              <w:t>Nicht zentralstaatliche öffentliche Stellen</w:t>
            </w:r>
          </w:p>
          <w:p w14:paraId="7D529948" w14:textId="15F28325" w:rsidR="00C337F1" w:rsidRPr="002A518F" w:rsidRDefault="00FF5357" w:rsidP="00535F36">
            <w:pPr>
              <w:spacing w:after="120"/>
              <w:jc w:val="both"/>
              <w:rPr>
                <w:rFonts w:ascii="Times New Roman" w:eastAsiaTheme="minorHAnsi" w:hAnsi="Times New Roman" w:cs="Times New Roman"/>
                <w:sz w:val="24"/>
              </w:rPr>
            </w:pPr>
            <w:r w:rsidRPr="002A518F">
              <w:rPr>
                <w:rFonts w:ascii="Times New Roman" w:hAnsi="Times New Roman"/>
                <w:sz w:val="24"/>
              </w:rPr>
              <w:t>Summe der Risikopositionen der Zeilen EU 2a und EU 2b.</w:t>
            </w:r>
          </w:p>
        </w:tc>
      </w:tr>
      <w:tr w:rsidR="00535F36" w:rsidRPr="002A518F" w14:paraId="3305E816" w14:textId="77777777" w:rsidTr="5A0D947F">
        <w:trPr>
          <w:trHeight w:val="699"/>
        </w:trPr>
        <w:tc>
          <w:tcPr>
            <w:tcW w:w="1413" w:type="dxa"/>
            <w:shd w:val="clear" w:color="auto" w:fill="auto"/>
          </w:tcPr>
          <w:p w14:paraId="2D1E255D" w14:textId="6DDF26D9"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EU 2 a</w:t>
            </w:r>
          </w:p>
        </w:tc>
        <w:tc>
          <w:tcPr>
            <w:tcW w:w="7654" w:type="dxa"/>
            <w:shd w:val="clear" w:color="auto" w:fill="auto"/>
          </w:tcPr>
          <w:p w14:paraId="17AB2AE5" w14:textId="139DE043" w:rsidR="00FF5357" w:rsidRPr="002A518F" w:rsidRDefault="5682D6C4" w:rsidP="5A0D947F">
            <w:pPr>
              <w:spacing w:after="120"/>
              <w:jc w:val="both"/>
              <w:rPr>
                <w:rFonts w:ascii="Times New Roman" w:hAnsi="Times New Roman" w:cs="Times New Roman"/>
                <w:b/>
                <w:bCs/>
                <w:sz w:val="24"/>
              </w:rPr>
            </w:pPr>
            <w:r w:rsidRPr="002A518F">
              <w:rPr>
                <w:rFonts w:ascii="Times New Roman" w:hAnsi="Times New Roman"/>
                <w:b/>
                <w:sz w:val="24"/>
              </w:rPr>
              <w:t>Regionale oder lokale Gebietskörperschaften</w:t>
            </w:r>
          </w:p>
          <w:p w14:paraId="788C221F" w14:textId="7A4CC33A" w:rsidR="00535F36" w:rsidRPr="002A518F" w:rsidRDefault="00FF5357" w:rsidP="5A0D947F">
            <w:pPr>
              <w:spacing w:after="120"/>
              <w:jc w:val="both"/>
              <w:rPr>
                <w:rFonts w:ascii="Times New Roman" w:hAnsi="Times New Roman" w:cs="Times New Roman"/>
                <w:sz w:val="24"/>
              </w:rPr>
            </w:pPr>
            <w:r w:rsidRPr="002A518F">
              <w:rPr>
                <w:rFonts w:ascii="Times New Roman" w:hAnsi="Times New Roman"/>
                <w:sz w:val="24"/>
              </w:rPr>
              <w:t>Risikopositionen nach Artikel 112 Buchstabe b der Verordnung (EU) Nr. 575/2013 und Artikel 115 Absätze -1, 1, 3, 4 und 5 der Verordnung (EU) Nr. 575/2013 (Risikopositionen nach dem Standardansatz)</w:t>
            </w:r>
            <w:r w:rsidRPr="002A518F">
              <w:rPr>
                <w:rFonts w:ascii="Times New Roman" w:hAnsi="Times New Roman"/>
              </w:rPr>
              <w:t>.</w:t>
            </w:r>
          </w:p>
        </w:tc>
      </w:tr>
      <w:tr w:rsidR="00535F36" w:rsidRPr="002A518F" w14:paraId="6406D71A" w14:textId="77777777" w:rsidTr="5A0D947F">
        <w:trPr>
          <w:trHeight w:val="699"/>
        </w:trPr>
        <w:tc>
          <w:tcPr>
            <w:tcW w:w="1413" w:type="dxa"/>
            <w:shd w:val="clear" w:color="auto" w:fill="auto"/>
          </w:tcPr>
          <w:p w14:paraId="0C866ADB" w14:textId="153184B7"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EU 2b</w:t>
            </w:r>
          </w:p>
        </w:tc>
        <w:tc>
          <w:tcPr>
            <w:tcW w:w="7654" w:type="dxa"/>
            <w:shd w:val="clear" w:color="auto" w:fill="auto"/>
          </w:tcPr>
          <w:p w14:paraId="0E9CAEB2" w14:textId="6DEA80C7" w:rsidR="00FF5357" w:rsidRPr="002A518F" w:rsidRDefault="5682D6C4" w:rsidP="5A0D947F">
            <w:pPr>
              <w:spacing w:after="120"/>
              <w:jc w:val="both"/>
              <w:rPr>
                <w:rFonts w:ascii="Times New Roman" w:hAnsi="Times New Roman" w:cs="Times New Roman"/>
                <w:sz w:val="24"/>
              </w:rPr>
            </w:pPr>
            <w:r w:rsidRPr="002A518F">
              <w:rPr>
                <w:rFonts w:ascii="Times New Roman" w:hAnsi="Times New Roman"/>
                <w:b/>
                <w:sz w:val="24"/>
              </w:rPr>
              <w:t>Öffentliche Stellen</w:t>
            </w:r>
          </w:p>
          <w:p w14:paraId="1BBE065D" w14:textId="524818C4" w:rsidR="00535F36" w:rsidRPr="002A518F" w:rsidRDefault="00FF5357" w:rsidP="5A0D947F">
            <w:pPr>
              <w:spacing w:after="120"/>
              <w:jc w:val="both"/>
              <w:rPr>
                <w:rFonts w:ascii="Times New Roman" w:hAnsi="Times New Roman" w:cs="Times New Roman"/>
                <w:sz w:val="24"/>
              </w:rPr>
            </w:pPr>
            <w:r w:rsidRPr="002A518F">
              <w:rPr>
                <w:rFonts w:ascii="Times New Roman" w:hAnsi="Times New Roman"/>
                <w:sz w:val="24"/>
              </w:rPr>
              <w:t>Risikopositionen nach Artikel 4 Absatz 1 Nummer 8 der Verordnung (EU) Nr. 575/2013, Artikel 112 Buchstabe c und Artikel 116 Absätze 1, 2, 3, 4 und 5 der Verordnung (EU) Nr. 575/2013 (Risikopositionen nach dem Standardansatz).</w:t>
            </w:r>
          </w:p>
        </w:tc>
      </w:tr>
      <w:tr w:rsidR="00535F36" w:rsidRPr="002A518F" w14:paraId="273E3177" w14:textId="77777777" w:rsidTr="5A0D947F">
        <w:trPr>
          <w:trHeight w:val="699"/>
        </w:trPr>
        <w:tc>
          <w:tcPr>
            <w:tcW w:w="1413" w:type="dxa"/>
            <w:shd w:val="clear" w:color="auto" w:fill="auto"/>
          </w:tcPr>
          <w:p w14:paraId="265F0472" w14:textId="1D4E7D2F"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6</w:t>
            </w:r>
          </w:p>
        </w:tc>
        <w:tc>
          <w:tcPr>
            <w:tcW w:w="7654" w:type="dxa"/>
            <w:shd w:val="clear" w:color="auto" w:fill="auto"/>
          </w:tcPr>
          <w:p w14:paraId="78704303" w14:textId="585B441C" w:rsidR="00FF5357" w:rsidRPr="002A518F" w:rsidRDefault="5682D6C4" w:rsidP="5A0D947F">
            <w:pPr>
              <w:spacing w:after="120"/>
              <w:jc w:val="both"/>
              <w:rPr>
                <w:rFonts w:ascii="Times New Roman" w:hAnsi="Times New Roman" w:cs="Times New Roman"/>
                <w:sz w:val="24"/>
              </w:rPr>
            </w:pPr>
            <w:r w:rsidRPr="002A518F">
              <w:rPr>
                <w:rFonts w:ascii="Times New Roman" w:hAnsi="Times New Roman"/>
                <w:b/>
                <w:sz w:val="24"/>
              </w:rPr>
              <w:t>Unternehmen</w:t>
            </w:r>
          </w:p>
          <w:p w14:paraId="263A5792" w14:textId="0257AF9A" w:rsidR="00535F36" w:rsidRPr="002A518F" w:rsidRDefault="00FF5357" w:rsidP="5A0D947F">
            <w:pPr>
              <w:spacing w:after="120"/>
              <w:jc w:val="both"/>
              <w:rPr>
                <w:rFonts w:ascii="Times New Roman" w:hAnsi="Times New Roman" w:cs="Times New Roman"/>
                <w:sz w:val="24"/>
              </w:rPr>
            </w:pPr>
            <w:r w:rsidRPr="002A518F">
              <w:rPr>
                <w:rFonts w:ascii="Times New Roman" w:hAnsi="Times New Roman"/>
                <w:sz w:val="24"/>
              </w:rPr>
              <w:t>Risikopositionen nach Artikel 112 Buchstabe g und Artikel 122 der Verordnung (EU) 575/2013.</w:t>
            </w:r>
          </w:p>
        </w:tc>
      </w:tr>
      <w:tr w:rsidR="00535F36" w:rsidRPr="002A518F" w14:paraId="10225A37" w14:textId="77777777" w:rsidTr="5A0D947F">
        <w:trPr>
          <w:trHeight w:val="699"/>
        </w:trPr>
        <w:tc>
          <w:tcPr>
            <w:tcW w:w="1413" w:type="dxa"/>
            <w:shd w:val="clear" w:color="auto" w:fill="auto"/>
          </w:tcPr>
          <w:p w14:paraId="05AFD83A" w14:textId="41C4FD2E"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6.1</w:t>
            </w:r>
          </w:p>
        </w:tc>
        <w:tc>
          <w:tcPr>
            <w:tcW w:w="7654" w:type="dxa"/>
            <w:shd w:val="clear" w:color="auto" w:fill="auto"/>
          </w:tcPr>
          <w:p w14:paraId="520CB388" w14:textId="38E1D245" w:rsidR="00FF5357" w:rsidRPr="002A518F" w:rsidRDefault="00FF5357" w:rsidP="5A0D947F">
            <w:pPr>
              <w:spacing w:after="120"/>
              <w:jc w:val="both"/>
              <w:rPr>
                <w:rFonts w:ascii="Times New Roman" w:hAnsi="Times New Roman" w:cs="Times New Roman"/>
                <w:b/>
                <w:bCs/>
                <w:sz w:val="24"/>
              </w:rPr>
            </w:pPr>
            <w:r w:rsidRPr="002A518F">
              <w:rPr>
                <w:rFonts w:ascii="Times New Roman" w:hAnsi="Times New Roman"/>
                <w:sz w:val="24"/>
              </w:rPr>
              <w:t xml:space="preserve"> </w:t>
            </w:r>
            <w:r w:rsidRPr="002A518F">
              <w:rPr>
                <w:rFonts w:ascii="Times New Roman" w:hAnsi="Times New Roman"/>
                <w:b/>
                <w:sz w:val="24"/>
              </w:rPr>
              <w:t>Davon: Spezialfinanzierung</w:t>
            </w:r>
          </w:p>
          <w:p w14:paraId="4606DB92" w14:textId="6A3BD835" w:rsidR="00535F36" w:rsidRPr="002A518F" w:rsidRDefault="00FF5357" w:rsidP="5A0D947F">
            <w:pPr>
              <w:spacing w:after="120"/>
              <w:jc w:val="both"/>
              <w:rPr>
                <w:rFonts w:ascii="Times New Roman" w:hAnsi="Times New Roman" w:cs="Times New Roman"/>
                <w:sz w:val="24"/>
              </w:rPr>
            </w:pPr>
            <w:r w:rsidRPr="002A518F">
              <w:rPr>
                <w:rFonts w:ascii="Times New Roman" w:hAnsi="Times New Roman"/>
                <w:sz w:val="24"/>
              </w:rPr>
              <w:t>Risikopositionen nach Artikel 122a der Verordnung (EU) Nr. 575/2013.</w:t>
            </w:r>
          </w:p>
        </w:tc>
      </w:tr>
      <w:tr w:rsidR="00535F36" w:rsidRPr="002A518F" w14:paraId="2FFFC133" w14:textId="77777777" w:rsidTr="5A0D947F">
        <w:trPr>
          <w:trHeight w:val="699"/>
        </w:trPr>
        <w:tc>
          <w:tcPr>
            <w:tcW w:w="1413" w:type="dxa"/>
            <w:shd w:val="clear" w:color="auto" w:fill="auto"/>
          </w:tcPr>
          <w:p w14:paraId="10EBB238" w14:textId="1ADD0383"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7</w:t>
            </w:r>
          </w:p>
        </w:tc>
        <w:tc>
          <w:tcPr>
            <w:tcW w:w="7654" w:type="dxa"/>
            <w:shd w:val="clear" w:color="auto" w:fill="auto"/>
          </w:tcPr>
          <w:p w14:paraId="47E0CC5E" w14:textId="38F4C285" w:rsidR="00FF5357" w:rsidRPr="002A518F" w:rsidRDefault="00535F36" w:rsidP="00535F36">
            <w:pPr>
              <w:spacing w:after="120"/>
              <w:jc w:val="both"/>
              <w:rPr>
                <w:rFonts w:ascii="Times New Roman" w:eastAsiaTheme="minorHAnsi" w:hAnsi="Times New Roman" w:cs="Times New Roman"/>
                <w:b/>
                <w:bCs/>
                <w:sz w:val="24"/>
              </w:rPr>
            </w:pPr>
            <w:r w:rsidRPr="002A518F">
              <w:rPr>
                <w:rFonts w:ascii="Times New Roman" w:hAnsi="Times New Roman"/>
                <w:b/>
                <w:sz w:val="24"/>
              </w:rPr>
              <w:t>Aus nachrangigen Schuldtiteln bestehende Risikopositionen und Beteiligungen</w:t>
            </w:r>
          </w:p>
          <w:p w14:paraId="3D20D7B3" w14:textId="20D736B2" w:rsidR="00535F36" w:rsidRPr="002A518F" w:rsidRDefault="00FF5357" w:rsidP="00535F36">
            <w:pPr>
              <w:spacing w:after="120"/>
              <w:jc w:val="both"/>
              <w:rPr>
                <w:rFonts w:ascii="Times New Roman" w:eastAsiaTheme="minorHAnsi" w:hAnsi="Times New Roman" w:cs="Times New Roman"/>
                <w:sz w:val="24"/>
              </w:rPr>
            </w:pPr>
            <w:r w:rsidRPr="002A518F">
              <w:rPr>
                <w:rFonts w:ascii="Times New Roman" w:hAnsi="Times New Roman"/>
                <w:sz w:val="24"/>
              </w:rPr>
              <w:t>Summe der Risikopositionen der Zeilen EU 7a und EU 7b.</w:t>
            </w:r>
          </w:p>
        </w:tc>
      </w:tr>
      <w:tr w:rsidR="00535F36" w:rsidRPr="002A518F" w14:paraId="18C3B0E5" w14:textId="77777777" w:rsidTr="5A0D947F">
        <w:trPr>
          <w:trHeight w:val="699"/>
        </w:trPr>
        <w:tc>
          <w:tcPr>
            <w:tcW w:w="1413" w:type="dxa"/>
            <w:shd w:val="clear" w:color="auto" w:fill="auto"/>
          </w:tcPr>
          <w:p w14:paraId="01A38CD6" w14:textId="4158C34A"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EU 7a</w:t>
            </w:r>
          </w:p>
        </w:tc>
        <w:tc>
          <w:tcPr>
            <w:tcW w:w="7654" w:type="dxa"/>
            <w:shd w:val="clear" w:color="auto" w:fill="auto"/>
          </w:tcPr>
          <w:p w14:paraId="235943EF" w14:textId="7B59FDFD" w:rsidR="00FF5357" w:rsidRPr="002A518F" w:rsidRDefault="5682D6C4" w:rsidP="5A0D947F">
            <w:pPr>
              <w:spacing w:after="120"/>
              <w:jc w:val="both"/>
              <w:rPr>
                <w:rFonts w:ascii="Times New Roman" w:hAnsi="Times New Roman" w:cs="Times New Roman"/>
                <w:b/>
                <w:bCs/>
                <w:sz w:val="24"/>
              </w:rPr>
            </w:pPr>
            <w:r w:rsidRPr="002A518F">
              <w:rPr>
                <w:rFonts w:ascii="Times New Roman" w:hAnsi="Times New Roman"/>
                <w:b/>
                <w:sz w:val="24"/>
              </w:rPr>
              <w:t>Aus nachrangigen Schuldtiteln bestehende Risikopositionen</w:t>
            </w:r>
          </w:p>
          <w:p w14:paraId="7A5E8FE8" w14:textId="01CEFAA6" w:rsidR="00535F36" w:rsidRPr="002A518F" w:rsidRDefault="00FF5357" w:rsidP="5A0D947F">
            <w:pPr>
              <w:spacing w:after="120"/>
              <w:jc w:val="both"/>
              <w:rPr>
                <w:rFonts w:ascii="Times New Roman" w:hAnsi="Times New Roman" w:cs="Times New Roman"/>
                <w:sz w:val="24"/>
              </w:rPr>
            </w:pPr>
            <w:r w:rsidRPr="002A518F">
              <w:rPr>
                <w:rFonts w:ascii="Times New Roman" w:hAnsi="Times New Roman"/>
                <w:sz w:val="24"/>
              </w:rPr>
              <w:t>Risikopositionen nach Artikel 112 Buchstabe k der Verordnung (EU) Nr. 575/2013 und nach Artikel 128 der Verordnung (EU) 575/2013.</w:t>
            </w:r>
          </w:p>
        </w:tc>
      </w:tr>
      <w:tr w:rsidR="00535F36" w:rsidRPr="002A518F" w14:paraId="66F33C3B" w14:textId="77777777" w:rsidTr="5A0D947F">
        <w:trPr>
          <w:trHeight w:val="699"/>
        </w:trPr>
        <w:tc>
          <w:tcPr>
            <w:tcW w:w="1413" w:type="dxa"/>
            <w:shd w:val="clear" w:color="auto" w:fill="auto"/>
          </w:tcPr>
          <w:p w14:paraId="2665F8B7" w14:textId="5328C121"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EU 7b</w:t>
            </w:r>
          </w:p>
        </w:tc>
        <w:tc>
          <w:tcPr>
            <w:tcW w:w="7654" w:type="dxa"/>
            <w:shd w:val="clear" w:color="auto" w:fill="auto"/>
          </w:tcPr>
          <w:p w14:paraId="3BED8548" w14:textId="18A49974" w:rsidR="00FF5357" w:rsidRPr="002A518F" w:rsidRDefault="5682D6C4" w:rsidP="5A0D947F">
            <w:pPr>
              <w:spacing w:after="120"/>
              <w:jc w:val="both"/>
              <w:rPr>
                <w:rFonts w:ascii="Times New Roman" w:hAnsi="Times New Roman" w:cs="Times New Roman"/>
                <w:b/>
                <w:bCs/>
                <w:sz w:val="24"/>
              </w:rPr>
            </w:pPr>
            <w:r w:rsidRPr="002A518F">
              <w:rPr>
                <w:rFonts w:ascii="Times New Roman" w:hAnsi="Times New Roman"/>
                <w:b/>
                <w:sz w:val="24"/>
              </w:rPr>
              <w:t>Beteiligungen</w:t>
            </w:r>
          </w:p>
          <w:p w14:paraId="31034ED0" w14:textId="7C726DCB" w:rsidR="00535F36" w:rsidRPr="002A518F" w:rsidRDefault="00FF5357" w:rsidP="5A0D947F">
            <w:pPr>
              <w:spacing w:after="120"/>
              <w:jc w:val="both"/>
              <w:rPr>
                <w:rFonts w:ascii="Times New Roman" w:hAnsi="Times New Roman" w:cs="Times New Roman"/>
                <w:sz w:val="24"/>
              </w:rPr>
            </w:pPr>
            <w:r w:rsidRPr="002A518F">
              <w:rPr>
                <w:rFonts w:ascii="Times New Roman" w:hAnsi="Times New Roman"/>
                <w:sz w:val="24"/>
              </w:rPr>
              <w:t>Risikopositionen nach Artikel 112 Buchstabe p der Verordnung (EU) Nr. 575/2013 und nach Artikel 133 Absatz 1 der Verordnung (EU) 575/2013.</w:t>
            </w:r>
          </w:p>
        </w:tc>
      </w:tr>
      <w:tr w:rsidR="00535F36" w:rsidRPr="002A518F" w14:paraId="19C205C7" w14:textId="77777777" w:rsidTr="5A0D947F">
        <w:trPr>
          <w:trHeight w:val="699"/>
        </w:trPr>
        <w:tc>
          <w:tcPr>
            <w:tcW w:w="1413" w:type="dxa"/>
            <w:shd w:val="clear" w:color="auto" w:fill="auto"/>
          </w:tcPr>
          <w:p w14:paraId="778DE6F5" w14:textId="772D6892"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w:t>
            </w:r>
          </w:p>
        </w:tc>
        <w:tc>
          <w:tcPr>
            <w:tcW w:w="7654" w:type="dxa"/>
            <w:shd w:val="clear" w:color="auto" w:fill="auto"/>
          </w:tcPr>
          <w:p w14:paraId="1AD83094" w14:textId="3714119C" w:rsidR="007F1438" w:rsidRPr="002A518F" w:rsidRDefault="5682D6C4" w:rsidP="5A0D947F">
            <w:pPr>
              <w:spacing w:after="120"/>
              <w:jc w:val="both"/>
              <w:rPr>
                <w:rFonts w:ascii="Times New Roman" w:hAnsi="Times New Roman" w:cs="Times New Roman"/>
                <w:b/>
                <w:bCs/>
                <w:sz w:val="24"/>
              </w:rPr>
            </w:pPr>
            <w:r w:rsidRPr="002A518F">
              <w:rPr>
                <w:rFonts w:ascii="Times New Roman" w:hAnsi="Times New Roman"/>
                <w:b/>
                <w:sz w:val="24"/>
              </w:rPr>
              <w:t>Durch Grundpfandrechte auf Immobilien besicherte Risikopositionen und ADC-Risikopositionen</w:t>
            </w:r>
          </w:p>
          <w:p w14:paraId="01108BAD" w14:textId="4050BCB7" w:rsidR="00535F36" w:rsidRPr="002A518F" w:rsidRDefault="007F1438" w:rsidP="5A0D947F">
            <w:pPr>
              <w:spacing w:after="120"/>
              <w:jc w:val="both"/>
              <w:rPr>
                <w:rFonts w:ascii="Times New Roman" w:hAnsi="Times New Roman" w:cs="Times New Roman"/>
                <w:sz w:val="24"/>
              </w:rPr>
            </w:pPr>
            <w:r w:rsidRPr="002A518F">
              <w:rPr>
                <w:rFonts w:ascii="Times New Roman" w:hAnsi="Times New Roman"/>
                <w:sz w:val="24"/>
              </w:rPr>
              <w:t xml:space="preserve">Hier sind durch Immobilien besicherte Risikopositionen im Sinne von Artikel 4 Absatz 1 Nummern 75 bis 75f der Verordnung (EU) Nr. 575/2013 </w:t>
            </w:r>
            <w:r w:rsidRPr="002A518F">
              <w:rPr>
                <w:rFonts w:ascii="Times New Roman" w:hAnsi="Times New Roman"/>
                <w:sz w:val="24"/>
              </w:rPr>
              <w:lastRenderedPageBreak/>
              <w:t>und Risikopositionen im Sinne von Artikel 4 Absatz 1 Nummer 78a der Verordnung (EU) Nr. 575/2013 auszuweisen.</w:t>
            </w:r>
          </w:p>
          <w:p w14:paraId="19E24D73" w14:textId="74648A73" w:rsidR="00D60B05" w:rsidRPr="002A518F" w:rsidRDefault="00D60B05" w:rsidP="00535F36">
            <w:pPr>
              <w:spacing w:after="120"/>
              <w:jc w:val="both"/>
              <w:rPr>
                <w:rFonts w:ascii="Times New Roman" w:eastAsiaTheme="minorHAnsi" w:hAnsi="Times New Roman" w:cs="Times New Roman"/>
                <w:sz w:val="24"/>
              </w:rPr>
            </w:pPr>
            <w:r w:rsidRPr="002A518F">
              <w:rPr>
                <w:rFonts w:ascii="Times New Roman" w:hAnsi="Times New Roman"/>
                <w:sz w:val="24"/>
              </w:rPr>
              <w:t>Diese Zeile enthält die Summe der Zeilen 9.1, 9.2, 9.3, 9.4 und 9.5.</w:t>
            </w:r>
          </w:p>
        </w:tc>
      </w:tr>
      <w:tr w:rsidR="00535F36" w:rsidRPr="002A518F" w14:paraId="02ECFA10" w14:textId="77777777" w:rsidTr="5A0D947F">
        <w:trPr>
          <w:trHeight w:val="699"/>
        </w:trPr>
        <w:tc>
          <w:tcPr>
            <w:tcW w:w="1413" w:type="dxa"/>
            <w:shd w:val="clear" w:color="auto" w:fill="auto"/>
          </w:tcPr>
          <w:p w14:paraId="64CD7987" w14:textId="5265FA6A"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lastRenderedPageBreak/>
              <w:t>9.1</w:t>
            </w:r>
          </w:p>
        </w:tc>
        <w:tc>
          <w:tcPr>
            <w:tcW w:w="7654" w:type="dxa"/>
            <w:shd w:val="clear" w:color="auto" w:fill="auto"/>
          </w:tcPr>
          <w:p w14:paraId="767946BA" w14:textId="417EA438" w:rsidR="007F1438" w:rsidRPr="002A518F" w:rsidRDefault="00535F36" w:rsidP="00535F36">
            <w:pPr>
              <w:spacing w:after="120"/>
              <w:jc w:val="both"/>
              <w:rPr>
                <w:rFonts w:ascii="Times New Roman" w:eastAsiaTheme="minorHAnsi" w:hAnsi="Times New Roman" w:cs="Times New Roman"/>
                <w:b/>
                <w:bCs/>
                <w:sz w:val="24"/>
              </w:rPr>
            </w:pPr>
            <w:r w:rsidRPr="002A518F">
              <w:rPr>
                <w:rFonts w:ascii="Times New Roman" w:hAnsi="Times New Roman"/>
                <w:b/>
                <w:sz w:val="24"/>
              </w:rPr>
              <w:t>Durch Grundpfandrechte auf Wohnimmobilien besicherte Nicht-IPRE-Risikopositionen</w:t>
            </w:r>
          </w:p>
          <w:p w14:paraId="4DB2B534" w14:textId="5136C073" w:rsidR="00535F36" w:rsidRPr="002A518F" w:rsidRDefault="007F1438" w:rsidP="00535F36">
            <w:pPr>
              <w:spacing w:after="120"/>
              <w:jc w:val="both"/>
              <w:rPr>
                <w:rFonts w:ascii="Times New Roman" w:hAnsi="Times New Roman" w:cs="Times New Roman"/>
                <w:bCs/>
                <w:sz w:val="24"/>
              </w:rPr>
            </w:pPr>
            <w:r w:rsidRPr="002A518F">
              <w:rPr>
                <w:rFonts w:ascii="Times New Roman" w:hAnsi="Times New Roman"/>
                <w:sz w:val="24"/>
              </w:rPr>
              <w:t>Risikopositionen, die gemäß Artikel 125 Absatz 1 der Verordnung (EU) Nr. 575/2013 behandelt werden, sind hier auszuweisen.</w:t>
            </w:r>
          </w:p>
          <w:p w14:paraId="39BC2BE6" w14:textId="40A39FE4" w:rsidR="00FD6952" w:rsidRPr="002A518F" w:rsidRDefault="00FD6952" w:rsidP="00FB64CF">
            <w:pPr>
              <w:spacing w:after="120"/>
              <w:jc w:val="both"/>
              <w:rPr>
                <w:rFonts w:eastAsiaTheme="minorHAnsi"/>
              </w:rPr>
            </w:pPr>
            <w:r w:rsidRPr="002A518F">
              <w:rPr>
                <w:rFonts w:ascii="Times New Roman" w:hAnsi="Times New Roman"/>
                <w:sz w:val="24"/>
              </w:rPr>
              <w:t>In dieser Zeile ebenfalls anzugeben ist/sind: sonstige durch Grundpfandrechte auf Wohnimmobilien besicherte Nicht-IPRE-Risikopositionen, die die Bedingungen des Artikels 124 Absatz 3 nicht erfüllen, oder jeder Teil einer Nicht-ADC-Risikoposition, der den Nominalbetrag des in Artikel 124 Absatz 1 Buchstabe a der Verordnung (EU) Nr. 575/2013 genannten Grundpfandrechts übersteigt.</w:t>
            </w:r>
          </w:p>
        </w:tc>
      </w:tr>
      <w:tr w:rsidR="00535F36" w:rsidRPr="002A518F" w14:paraId="095056BC" w14:textId="77777777" w:rsidTr="5A0D947F">
        <w:trPr>
          <w:trHeight w:val="699"/>
        </w:trPr>
        <w:tc>
          <w:tcPr>
            <w:tcW w:w="1413" w:type="dxa"/>
            <w:shd w:val="clear" w:color="auto" w:fill="auto"/>
          </w:tcPr>
          <w:p w14:paraId="5841F3AE" w14:textId="39B6E246"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9.2</w:t>
            </w:r>
          </w:p>
        </w:tc>
        <w:tc>
          <w:tcPr>
            <w:tcW w:w="7654" w:type="dxa"/>
            <w:shd w:val="clear" w:color="auto" w:fill="auto"/>
          </w:tcPr>
          <w:p w14:paraId="0A4DA91A" w14:textId="6039BA7A" w:rsidR="007F1438" w:rsidRPr="002A518F" w:rsidRDefault="5682D6C4" w:rsidP="5A0D947F">
            <w:pPr>
              <w:spacing w:after="120"/>
              <w:jc w:val="both"/>
              <w:rPr>
                <w:rFonts w:ascii="Times New Roman" w:hAnsi="Times New Roman" w:cs="Times New Roman"/>
                <w:b/>
                <w:bCs/>
                <w:sz w:val="24"/>
              </w:rPr>
            </w:pPr>
            <w:r w:rsidRPr="002A518F">
              <w:rPr>
                <w:rFonts w:ascii="Times New Roman" w:hAnsi="Times New Roman"/>
                <w:b/>
                <w:sz w:val="24"/>
              </w:rPr>
              <w:t>Durch Grundpfandrechte auf Wohnimmobilien besicherte IPRE-Risikopositionen</w:t>
            </w:r>
          </w:p>
          <w:p w14:paraId="683E626E" w14:textId="03E1AF1F" w:rsidR="00535F36" w:rsidRPr="002A518F" w:rsidRDefault="007F1438" w:rsidP="5A0D947F">
            <w:pPr>
              <w:spacing w:after="120"/>
              <w:jc w:val="both"/>
              <w:rPr>
                <w:rFonts w:ascii="Times New Roman" w:hAnsi="Times New Roman" w:cs="Times New Roman"/>
                <w:sz w:val="24"/>
              </w:rPr>
            </w:pPr>
            <w:r w:rsidRPr="002A518F">
              <w:rPr>
                <w:rFonts w:ascii="Times New Roman" w:hAnsi="Times New Roman"/>
                <w:sz w:val="24"/>
              </w:rPr>
              <w:t>Hier sind nur Risikopositionen auszuweisen, die der Definition in Artikel 4 Absatz 1 Nummer 75b der Verordnung (EU) Nr. 575/2013 entsprechen, einschließlich IPRE-Risikopositionen, die eine der in Artikel 124 Absatz 2 Buchstabe a Ziffer ii Nummern 1 bis 4 der Verordnung (EU) Nr. 575/2013 festgelegten Bedingungen erfüllen; IPRE-Risikopositionen, wenn die Ausnahmeregelung nach Artikel 125 Absatz 2 der Verordnung (EU) Nr. 575/2013 Anwendung findet.</w:t>
            </w:r>
          </w:p>
          <w:p w14:paraId="752E3912" w14:textId="33220D5C" w:rsidR="00900E99" w:rsidRPr="002A518F" w:rsidRDefault="00900E99" w:rsidP="5A0D947F">
            <w:pPr>
              <w:spacing w:after="120"/>
              <w:jc w:val="both"/>
              <w:rPr>
                <w:rFonts w:ascii="Times New Roman" w:hAnsi="Times New Roman" w:cs="Times New Roman"/>
                <w:sz w:val="24"/>
              </w:rPr>
            </w:pPr>
            <w:r w:rsidRPr="002A518F">
              <w:rPr>
                <w:rFonts w:ascii="Times New Roman" w:hAnsi="Times New Roman"/>
                <w:sz w:val="24"/>
              </w:rPr>
              <w:t>In dieser Zeile sind sonstige durch Grundpfandrechte auf Wohnimmobilien besicherte IPRE-Risikopositionen offenzulegen, die die Bedingungen des Artikels 124 Absatz 3 nicht erfüllen, oder jeder Teil einer Nicht-ADC-Risikoposition, der den Nominalbetrag des in Artikel 124 Absatz 1 Buchstabe b der Verordnung (EU) Nr. 575/2013 genannten Grundpfandrechts übersteigt.</w:t>
            </w:r>
          </w:p>
        </w:tc>
      </w:tr>
      <w:tr w:rsidR="00535F36" w:rsidRPr="002A518F" w14:paraId="52BA9448" w14:textId="77777777" w:rsidTr="5A0D947F">
        <w:trPr>
          <w:trHeight w:val="699"/>
        </w:trPr>
        <w:tc>
          <w:tcPr>
            <w:tcW w:w="1413" w:type="dxa"/>
            <w:shd w:val="clear" w:color="auto" w:fill="auto"/>
          </w:tcPr>
          <w:p w14:paraId="6A1C330D" w14:textId="5A3E34A5"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9.3</w:t>
            </w:r>
          </w:p>
        </w:tc>
        <w:tc>
          <w:tcPr>
            <w:tcW w:w="7654" w:type="dxa"/>
            <w:shd w:val="clear" w:color="auto" w:fill="auto"/>
          </w:tcPr>
          <w:p w14:paraId="4E2BB22E" w14:textId="5020530A" w:rsidR="007F1438" w:rsidRPr="002A518F" w:rsidRDefault="00535F36" w:rsidP="00535F36">
            <w:pPr>
              <w:spacing w:after="120"/>
              <w:jc w:val="both"/>
              <w:rPr>
                <w:rFonts w:ascii="Times New Roman" w:eastAsiaTheme="minorHAnsi" w:hAnsi="Times New Roman" w:cs="Times New Roman"/>
                <w:b/>
                <w:bCs/>
                <w:sz w:val="24"/>
              </w:rPr>
            </w:pPr>
            <w:r w:rsidRPr="002A518F">
              <w:rPr>
                <w:rFonts w:ascii="Times New Roman" w:hAnsi="Times New Roman"/>
                <w:b/>
                <w:sz w:val="24"/>
              </w:rPr>
              <w:t>Durch Grundpfandrechte auf Gewerbeimmobilien besicherte Nicht-IPRE-Risikopositionen</w:t>
            </w:r>
          </w:p>
          <w:p w14:paraId="599BA328" w14:textId="126EA28D" w:rsidR="00535F36" w:rsidRPr="002A518F" w:rsidRDefault="007F1438" w:rsidP="00535F36">
            <w:pPr>
              <w:spacing w:after="120"/>
              <w:jc w:val="both"/>
              <w:rPr>
                <w:rFonts w:ascii="Times New Roman" w:hAnsi="Times New Roman" w:cs="Times New Roman"/>
                <w:bCs/>
                <w:sz w:val="24"/>
              </w:rPr>
            </w:pPr>
            <w:r w:rsidRPr="002A518F">
              <w:rPr>
                <w:rFonts w:ascii="Times New Roman" w:hAnsi="Times New Roman"/>
                <w:sz w:val="24"/>
              </w:rPr>
              <w:t>Risikopositionen, die gemäß Artikel 126 Absatz 1 der Verordnung (EU) Nr. 575/2013 behandelt werden, sind hier auszuweisen.</w:t>
            </w:r>
          </w:p>
          <w:p w14:paraId="56DF61DF" w14:textId="3ED6FADA" w:rsidR="00A93447" w:rsidRPr="002A518F" w:rsidRDefault="00A93447" w:rsidP="00900E99">
            <w:pPr>
              <w:spacing w:after="120"/>
              <w:jc w:val="both"/>
              <w:rPr>
                <w:rFonts w:ascii="Times New Roman" w:eastAsiaTheme="minorHAnsi" w:hAnsi="Times New Roman"/>
                <w:sz w:val="24"/>
              </w:rPr>
            </w:pPr>
            <w:r w:rsidRPr="002A518F">
              <w:rPr>
                <w:rFonts w:ascii="Times New Roman" w:hAnsi="Times New Roman"/>
                <w:sz w:val="24"/>
              </w:rPr>
              <w:t>In dieser Zeile ebenfalls anzugeben ist/sind: sonstige durch Grundpfandrechte auf Gewerbeimmobilien besicherte Nicht-IPRE-Risikopositionen, die die Bedingungen des Artikels 124 Absatz 3 nicht erfüllen, oder jeder Teil einer Nicht-ADC-Risikoposition, der den Nominalbetrag des in Artikel 124 Absatz 1 Buchstabe a der Verordnung (EU) Nr. 575/2013 genannten Grundpfandrechts übersteigt.</w:t>
            </w:r>
          </w:p>
        </w:tc>
      </w:tr>
      <w:tr w:rsidR="00535F36" w:rsidRPr="002A518F" w14:paraId="134726BE" w14:textId="77777777" w:rsidTr="5A0D947F">
        <w:trPr>
          <w:trHeight w:val="699"/>
        </w:trPr>
        <w:tc>
          <w:tcPr>
            <w:tcW w:w="1413" w:type="dxa"/>
            <w:shd w:val="clear" w:color="auto" w:fill="auto"/>
          </w:tcPr>
          <w:p w14:paraId="5AD77A0D" w14:textId="22AC797D" w:rsidR="00535F36" w:rsidRPr="002A518F" w:rsidRDefault="00535F36"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9.4</w:t>
            </w:r>
          </w:p>
        </w:tc>
        <w:tc>
          <w:tcPr>
            <w:tcW w:w="7654" w:type="dxa"/>
            <w:shd w:val="clear" w:color="auto" w:fill="auto"/>
          </w:tcPr>
          <w:p w14:paraId="606B4A71" w14:textId="586254A3" w:rsidR="00FB4914" w:rsidRPr="002A518F" w:rsidRDefault="5682D6C4" w:rsidP="5A0D947F">
            <w:pPr>
              <w:spacing w:after="120"/>
              <w:jc w:val="both"/>
              <w:rPr>
                <w:rFonts w:ascii="Times New Roman" w:hAnsi="Times New Roman" w:cs="Times New Roman"/>
                <w:b/>
                <w:bCs/>
                <w:sz w:val="24"/>
              </w:rPr>
            </w:pPr>
            <w:r w:rsidRPr="002A518F">
              <w:rPr>
                <w:rFonts w:ascii="Times New Roman" w:hAnsi="Times New Roman"/>
                <w:b/>
                <w:sz w:val="24"/>
              </w:rPr>
              <w:t>Durch Grundpfandrechte auf Gewerbeimmobilien besicherte IPRE-Risikopositionen</w:t>
            </w:r>
          </w:p>
          <w:p w14:paraId="570AD855" w14:textId="377A4690" w:rsidR="00535F36" w:rsidRPr="002A518F" w:rsidRDefault="00FB4914" w:rsidP="5A0D947F">
            <w:pPr>
              <w:spacing w:after="120"/>
              <w:jc w:val="both"/>
              <w:rPr>
                <w:rFonts w:ascii="Times New Roman" w:hAnsi="Times New Roman" w:cs="Times New Roman"/>
                <w:sz w:val="24"/>
              </w:rPr>
            </w:pPr>
            <w:r w:rsidRPr="002A518F">
              <w:rPr>
                <w:rFonts w:ascii="Times New Roman" w:hAnsi="Times New Roman"/>
                <w:sz w:val="24"/>
              </w:rPr>
              <w:t>Hier sind Risikopositionen auszuweisen, die der Definition nach Artikel 4 Absatz 1 Nummer 75b und Artikel 124 Absatz 2 Buchstabe b Ziffer ii der Verordnung (EU) Nr. 575/2013 entsprechen, einschließlich der IPRE-</w:t>
            </w:r>
            <w:r w:rsidRPr="002A518F">
              <w:rPr>
                <w:rFonts w:ascii="Times New Roman" w:hAnsi="Times New Roman"/>
                <w:sz w:val="24"/>
              </w:rPr>
              <w:lastRenderedPageBreak/>
              <w:t>Risikopositionen, wenn die Ausnahmeregelung nach Artikel 126 Absatz 2 der Verordnung (EU) Nr. 575/2013 Anwendung findet.</w:t>
            </w:r>
          </w:p>
          <w:p w14:paraId="17723425" w14:textId="4CA6C755" w:rsidR="00900E99" w:rsidRPr="002A518F" w:rsidRDefault="00900E99" w:rsidP="5A0D947F">
            <w:pPr>
              <w:spacing w:after="120"/>
              <w:jc w:val="both"/>
              <w:rPr>
                <w:rFonts w:ascii="Times New Roman" w:hAnsi="Times New Roman" w:cs="Times New Roman"/>
                <w:sz w:val="24"/>
              </w:rPr>
            </w:pPr>
            <w:r w:rsidRPr="002A518F">
              <w:rPr>
                <w:rFonts w:ascii="Times New Roman" w:hAnsi="Times New Roman"/>
                <w:sz w:val="24"/>
              </w:rPr>
              <w:t>In dieser Zeile sind sonstige durch Grundpfandrechte auf Gewerbeimmobilien besicherte IPRE-Risikopositionen offenzulegen, die die Bedingungen des Artikels 124 Absatz 3 nicht erfüllen, oder jeder Teil einer Nicht-ADC-Risikoposition, der den Nominalbetrag des in Artikel 124 Absatz 1 Buchstabe b der Verordnung (EU) Nr. 575/2013 genannten Grundpfandrechts übersteigt.</w:t>
            </w:r>
          </w:p>
        </w:tc>
      </w:tr>
      <w:tr w:rsidR="00395831" w:rsidRPr="002A518F" w14:paraId="49538D8A" w14:textId="77777777" w:rsidTr="00FB64CF">
        <w:trPr>
          <w:trHeight w:val="699"/>
        </w:trPr>
        <w:tc>
          <w:tcPr>
            <w:tcW w:w="1413" w:type="dxa"/>
            <w:shd w:val="clear" w:color="auto" w:fill="D9D9D9" w:themeFill="background1" w:themeFillShade="D9"/>
          </w:tcPr>
          <w:p w14:paraId="63BD0DD8" w14:textId="72A0B6E9" w:rsidR="00395831" w:rsidRPr="002A518F" w:rsidRDefault="00395831" w:rsidP="00535F3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lastRenderedPageBreak/>
              <w:t>11</w:t>
            </w:r>
          </w:p>
        </w:tc>
        <w:tc>
          <w:tcPr>
            <w:tcW w:w="7654" w:type="dxa"/>
            <w:shd w:val="clear" w:color="auto" w:fill="D9D9D9" w:themeFill="background1" w:themeFillShade="D9"/>
          </w:tcPr>
          <w:p w14:paraId="66C90862" w14:textId="75D35FB5" w:rsidR="00395831" w:rsidRPr="002A518F" w:rsidRDefault="00395831" w:rsidP="5A0D947F">
            <w:pPr>
              <w:spacing w:after="120"/>
              <w:jc w:val="both"/>
              <w:rPr>
                <w:rFonts w:ascii="Times New Roman" w:hAnsi="Times New Roman" w:cs="Times New Roman"/>
                <w:sz w:val="24"/>
              </w:rPr>
            </w:pPr>
            <w:r w:rsidRPr="002A518F">
              <w:rPr>
                <w:rFonts w:ascii="Times New Roman" w:hAnsi="Times New Roman"/>
                <w:sz w:val="24"/>
              </w:rPr>
              <w:t>Entfällt.</w:t>
            </w:r>
          </w:p>
        </w:tc>
      </w:tr>
      <w:tr w:rsidR="00395831" w:rsidRPr="002A518F" w14:paraId="55E3893A" w14:textId="77777777" w:rsidTr="5A0D947F">
        <w:trPr>
          <w:trHeight w:val="558"/>
        </w:trPr>
        <w:tc>
          <w:tcPr>
            <w:tcW w:w="1413" w:type="dxa"/>
          </w:tcPr>
          <w:p w14:paraId="662AB193" w14:textId="4746E76F" w:rsidR="00395831" w:rsidRPr="002A518F" w:rsidRDefault="00395831">
            <w:pPr>
              <w:spacing w:after="120"/>
              <w:jc w:val="both"/>
              <w:rPr>
                <w:rFonts w:ascii="Times New Roman" w:eastAsia="Times New Roman" w:hAnsi="Times New Roman" w:cs="Times New Roman"/>
                <w:sz w:val="24"/>
              </w:rPr>
            </w:pPr>
            <w:r w:rsidRPr="002A518F">
              <w:rPr>
                <w:rFonts w:ascii="Times New Roman" w:hAnsi="Times New Roman"/>
                <w:sz w:val="24"/>
              </w:rPr>
              <w:t>12</w:t>
            </w:r>
          </w:p>
        </w:tc>
        <w:tc>
          <w:tcPr>
            <w:tcW w:w="7654" w:type="dxa"/>
          </w:tcPr>
          <w:p w14:paraId="132C0D24" w14:textId="031E8AD1" w:rsidR="00395831" w:rsidRPr="002A518F" w:rsidRDefault="00395831" w:rsidP="00926A01">
            <w:pPr>
              <w:spacing w:after="120"/>
              <w:jc w:val="both"/>
              <w:rPr>
                <w:rFonts w:ascii="Times New Roman" w:hAnsi="Times New Roman" w:cs="Times New Roman"/>
                <w:b/>
                <w:bCs/>
                <w:sz w:val="24"/>
              </w:rPr>
            </w:pPr>
            <w:r w:rsidRPr="002A518F">
              <w:rPr>
                <w:rFonts w:ascii="Times New Roman" w:hAnsi="Times New Roman"/>
                <w:b/>
                <w:sz w:val="24"/>
              </w:rPr>
              <w:t>„Gesamt“</w:t>
            </w:r>
          </w:p>
          <w:p w14:paraId="55987C40" w14:textId="74538114" w:rsidR="00395831" w:rsidRPr="002A518F" w:rsidRDefault="00395831" w:rsidP="5A0D947F">
            <w:pPr>
              <w:spacing w:after="120"/>
              <w:jc w:val="both"/>
              <w:rPr>
                <w:rFonts w:ascii="Times New Roman" w:hAnsi="Times New Roman" w:cs="Times New Roman"/>
                <w:sz w:val="24"/>
              </w:rPr>
            </w:pPr>
            <w:r w:rsidRPr="002A518F">
              <w:rPr>
                <w:rFonts w:ascii="Times New Roman" w:hAnsi="Times New Roman"/>
                <w:sz w:val="24"/>
              </w:rPr>
              <w:t>Summe der Risikopositionen in den Zeilen 1, 2, 3, EU 3a, 4, 5, 6, 7, 8, 9, 10, EU 10a, EU 10b, EU 10c.</w:t>
            </w:r>
          </w:p>
        </w:tc>
      </w:tr>
    </w:tbl>
    <w:p w14:paraId="137E3992" w14:textId="77777777" w:rsidR="0005278F" w:rsidRPr="002A518F" w:rsidRDefault="0005278F" w:rsidP="0005278F">
      <w:pPr>
        <w:spacing w:after="120"/>
        <w:rPr>
          <w:rFonts w:ascii="Times New Roman" w:hAnsi="Times New Roman" w:cs="Times New Roman"/>
          <w:sz w:val="24"/>
        </w:rPr>
      </w:pPr>
    </w:p>
    <w:p w14:paraId="137E3993" w14:textId="77777777" w:rsidR="0005278F" w:rsidRPr="002A518F" w:rsidRDefault="0005278F" w:rsidP="0005278F">
      <w:pPr>
        <w:spacing w:after="120"/>
        <w:rPr>
          <w:rFonts w:ascii="Times New Roman" w:hAnsi="Times New Roman" w:cs="Times New Roman"/>
          <w:sz w:val="24"/>
        </w:rPr>
      </w:pPr>
      <w:r w:rsidRPr="002A518F">
        <w:rPr>
          <w:rFonts w:ascii="Times New Roman" w:hAnsi="Times New Roman"/>
          <w:b/>
          <w:sz w:val="24"/>
        </w:rPr>
        <w:t>Meldebogen EU CR5 – Standardansatz</w:t>
      </w:r>
      <w:r w:rsidRPr="002A518F">
        <w:rPr>
          <w:rFonts w:ascii="Times New Roman" w:hAnsi="Times New Roman"/>
          <w:sz w:val="24"/>
        </w:rPr>
        <w:t xml:space="preserve"> Format: Unveränderlich.</w:t>
      </w:r>
    </w:p>
    <w:p w14:paraId="137E3994" w14:textId="0AE68309" w:rsidR="0005278F" w:rsidRPr="002A518F" w:rsidRDefault="0005278F" w:rsidP="5A0D947F">
      <w:pPr>
        <w:pStyle w:val="ListParagraph"/>
        <w:numPr>
          <w:ilvl w:val="0"/>
          <w:numId w:val="1"/>
        </w:numPr>
        <w:spacing w:after="120"/>
        <w:ind w:left="425" w:hanging="357"/>
        <w:jc w:val="both"/>
        <w:rPr>
          <w:rFonts w:ascii="Times New Roman" w:hAnsi="Times New Roman"/>
          <w:sz w:val="24"/>
          <w:szCs w:val="24"/>
        </w:rPr>
      </w:pPr>
      <w:r w:rsidRPr="002A518F">
        <w:rPr>
          <w:rFonts w:ascii="Times New Roman" w:hAnsi="Times New Roman"/>
          <w:sz w:val="24"/>
        </w:rPr>
        <w:t xml:space="preserve">Die Institute legen die in Artikel 444 Buchstabe e der </w:t>
      </w:r>
      <w:r w:rsidRPr="002A518F">
        <w:rPr>
          <w:rFonts w:ascii="Times New Roman" w:hAnsi="Times New Roman"/>
          <w:color w:val="000000" w:themeColor="text1"/>
          <w:sz w:val="24"/>
        </w:rPr>
        <w:t>Verordnung (EU) Nr. 575/2013</w:t>
      </w:r>
      <w:r w:rsidRPr="002A518F">
        <w:rPr>
          <w:rFonts w:ascii="Times New Roman" w:hAnsi="Times New Roman"/>
        </w:rPr>
        <w:t xml:space="preserve"> </w:t>
      </w:r>
      <w:r w:rsidRPr="002A518F">
        <w:rPr>
          <w:rFonts w:ascii="Times New Roman" w:hAnsi="Times New Roman"/>
          <w:sz w:val="24"/>
        </w:rPr>
        <w:t>genannten Informationen offen, indem sie die Vorlage EU CR5 in Anhang XIX der IT-Lösungen der EBA nach Maßgabe der im vorliegenden Anhang enthaltenen Erläuterungen ausfüllen.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2A518F"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2A518F" w:rsidRDefault="0005278F" w:rsidP="004F3087">
            <w:pPr>
              <w:autoSpaceDE w:val="0"/>
              <w:autoSpaceDN w:val="0"/>
              <w:adjustRightInd w:val="0"/>
              <w:spacing w:after="120"/>
              <w:rPr>
                <w:rFonts w:ascii="Times New Roman" w:hAnsi="Times New Roman" w:cs="Times New Roman"/>
                <w:b/>
                <w:sz w:val="24"/>
              </w:rPr>
            </w:pPr>
            <w:r w:rsidRPr="002A518F">
              <w:rPr>
                <w:rFonts w:ascii="Times New Roman" w:hAnsi="Times New Roman"/>
                <w:b/>
                <w:sz w:val="24"/>
              </w:rPr>
              <w:t>Spalte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2A518F" w:rsidRDefault="0005278F" w:rsidP="004F3087">
            <w:pPr>
              <w:spacing w:after="120"/>
              <w:rPr>
                <w:rFonts w:ascii="Times New Roman" w:hAnsi="Times New Roman" w:cs="Times New Roman"/>
                <w:b/>
                <w:sz w:val="24"/>
              </w:rPr>
            </w:pPr>
            <w:r w:rsidRPr="002A518F">
              <w:rPr>
                <w:rFonts w:ascii="Times New Roman" w:hAnsi="Times New Roman"/>
                <w:b/>
                <w:sz w:val="24"/>
              </w:rPr>
              <w:t>Rechtsgrundlagen und Erläuterungen</w:t>
            </w:r>
          </w:p>
        </w:tc>
      </w:tr>
      <w:tr w:rsidR="0005278F" w:rsidRPr="002A518F" w14:paraId="137E399A" w14:textId="77777777" w:rsidTr="5A0D947F">
        <w:trPr>
          <w:trHeight w:val="277"/>
        </w:trPr>
        <w:tc>
          <w:tcPr>
            <w:tcW w:w="1413" w:type="dxa"/>
            <w:vMerge/>
          </w:tcPr>
          <w:p w14:paraId="137E3998" w14:textId="77777777" w:rsidR="0005278F" w:rsidRPr="002A518F"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2A518F" w:rsidRDefault="0005278F" w:rsidP="004F3087">
            <w:pPr>
              <w:spacing w:after="120"/>
              <w:rPr>
                <w:rFonts w:ascii="Times New Roman" w:hAnsi="Times New Roman" w:cs="Times New Roman"/>
                <w:b/>
                <w:sz w:val="24"/>
              </w:rPr>
            </w:pPr>
            <w:r w:rsidRPr="002A518F">
              <w:rPr>
                <w:rFonts w:ascii="Times New Roman" w:hAnsi="Times New Roman"/>
                <w:b/>
                <w:sz w:val="24"/>
              </w:rPr>
              <w:t>Erläuterung</w:t>
            </w:r>
          </w:p>
        </w:tc>
      </w:tr>
      <w:tr w:rsidR="0005278F" w:rsidRPr="002A518F" w14:paraId="137E399E" w14:textId="77777777" w:rsidTr="5A0D947F">
        <w:trPr>
          <w:trHeight w:val="316"/>
        </w:trPr>
        <w:tc>
          <w:tcPr>
            <w:tcW w:w="1413" w:type="dxa"/>
            <w:vAlign w:val="center"/>
          </w:tcPr>
          <w:p w14:paraId="137E399B" w14:textId="22A2BDCD" w:rsidR="0005278F" w:rsidRPr="002A518F" w:rsidRDefault="0005278F" w:rsidP="004F3087">
            <w:pPr>
              <w:autoSpaceDE w:val="0"/>
              <w:autoSpaceDN w:val="0"/>
              <w:adjustRightInd w:val="0"/>
              <w:spacing w:after="120"/>
              <w:rPr>
                <w:rFonts w:ascii="Times New Roman" w:eastAsia="Times New Roman" w:hAnsi="Times New Roman" w:cs="Times New Roman"/>
                <w:sz w:val="24"/>
              </w:rPr>
            </w:pPr>
            <w:r w:rsidRPr="002A518F">
              <w:rPr>
                <w:rFonts w:ascii="Times New Roman" w:hAnsi="Times New Roman"/>
                <w:sz w:val="24"/>
              </w:rPr>
              <w:t>a – y</w:t>
            </w:r>
          </w:p>
        </w:tc>
        <w:tc>
          <w:tcPr>
            <w:tcW w:w="7654" w:type="dxa"/>
          </w:tcPr>
          <w:p w14:paraId="137E399C" w14:textId="45C021C8" w:rsidR="0005278F" w:rsidRPr="002A518F" w:rsidRDefault="0005278F" w:rsidP="004F3087">
            <w:pPr>
              <w:autoSpaceDE w:val="0"/>
              <w:autoSpaceDN w:val="0"/>
              <w:adjustRightInd w:val="0"/>
              <w:spacing w:after="120"/>
              <w:jc w:val="both"/>
              <w:rPr>
                <w:rFonts w:ascii="Times New Roman" w:eastAsia="Times New Roman" w:hAnsi="Times New Roman" w:cs="Times New Roman"/>
                <w:b/>
                <w:iCs/>
                <w:sz w:val="24"/>
              </w:rPr>
            </w:pPr>
            <w:r w:rsidRPr="002A518F">
              <w:rPr>
                <w:rFonts w:ascii="Times New Roman" w:hAnsi="Times New Roman"/>
                <w:b/>
                <w:sz w:val="24"/>
              </w:rPr>
              <w:t>Risikogewicht:</w:t>
            </w:r>
          </w:p>
          <w:p w14:paraId="137E399D" w14:textId="6FB71B4F" w:rsidR="0005278F" w:rsidRPr="002A518F" w:rsidRDefault="0005278F" w:rsidP="004F3087">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 xml:space="preserve">Die Institute legen die Informationen über die Zuweisung von Risikogewichten innerhalb der jeweiligen Risikopositionsklasse gemäß Teil 3 Titel II Kapitel 2 Abschnitt 2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offen.</w:t>
            </w:r>
          </w:p>
        </w:tc>
      </w:tr>
      <w:tr w:rsidR="0005278F" w:rsidRPr="002A518F" w14:paraId="137E39A5" w14:textId="77777777" w:rsidTr="5A0D947F">
        <w:trPr>
          <w:trHeight w:val="316"/>
        </w:trPr>
        <w:tc>
          <w:tcPr>
            <w:tcW w:w="1413" w:type="dxa"/>
            <w:vAlign w:val="center"/>
          </w:tcPr>
          <w:p w14:paraId="137E399F" w14:textId="58582E93" w:rsidR="0005278F" w:rsidRPr="002A518F" w:rsidRDefault="00AF4BEA" w:rsidP="004F3087">
            <w:pPr>
              <w:autoSpaceDE w:val="0"/>
              <w:autoSpaceDN w:val="0"/>
              <w:adjustRightInd w:val="0"/>
              <w:spacing w:after="120"/>
              <w:rPr>
                <w:rFonts w:ascii="Times New Roman" w:eastAsia="Times New Roman" w:hAnsi="Times New Roman" w:cs="Times New Roman"/>
                <w:sz w:val="24"/>
              </w:rPr>
            </w:pPr>
            <w:r w:rsidRPr="002A518F">
              <w:rPr>
                <w:rFonts w:ascii="Times New Roman" w:hAnsi="Times New Roman"/>
                <w:sz w:val="24"/>
              </w:rPr>
              <w:t>z</w:t>
            </w:r>
          </w:p>
        </w:tc>
        <w:tc>
          <w:tcPr>
            <w:tcW w:w="7654" w:type="dxa"/>
          </w:tcPr>
          <w:p w14:paraId="137E39A0" w14:textId="76DCD5CA" w:rsidR="0005278F" w:rsidRPr="002A518F" w:rsidRDefault="0005278F" w:rsidP="004F3087">
            <w:pPr>
              <w:autoSpaceDE w:val="0"/>
              <w:autoSpaceDN w:val="0"/>
              <w:adjustRightInd w:val="0"/>
              <w:spacing w:after="120"/>
              <w:jc w:val="both"/>
              <w:rPr>
                <w:rFonts w:ascii="Times New Roman" w:eastAsia="Times New Roman" w:hAnsi="Times New Roman" w:cs="Times New Roman"/>
                <w:b/>
                <w:iCs/>
                <w:sz w:val="24"/>
              </w:rPr>
            </w:pPr>
            <w:r w:rsidRPr="002A518F">
              <w:rPr>
                <w:rFonts w:ascii="Times New Roman" w:hAnsi="Times New Roman"/>
                <w:b/>
                <w:sz w:val="24"/>
              </w:rPr>
              <w:t>Gesamt:</w:t>
            </w:r>
          </w:p>
          <w:p w14:paraId="137E39A1" w14:textId="110298F4" w:rsidR="0005278F" w:rsidRPr="002A518F" w:rsidRDefault="0005278F" w:rsidP="004F3087">
            <w:pPr>
              <w:autoSpaceDE w:val="0"/>
              <w:autoSpaceDN w:val="0"/>
              <w:adjustRightInd w:val="0"/>
              <w:spacing w:after="120"/>
              <w:jc w:val="both"/>
              <w:rPr>
                <w:rFonts w:ascii="Times New Roman" w:eastAsia="Times New Roman" w:hAnsi="Times New Roman" w:cs="Times New Roman"/>
                <w:iCs/>
                <w:sz w:val="24"/>
              </w:rPr>
            </w:pPr>
            <w:r w:rsidRPr="002A518F">
              <w:rPr>
                <w:rFonts w:ascii="Times New Roman" w:hAnsi="Times New Roman"/>
                <w:sz w:val="24"/>
              </w:rPr>
              <w:t>Gesamtbetrag der bilanziellen und außerbilanziellen Risikopositionen gemäß dem aufsichtsrechtlichen Konsolidierungskreis:</w:t>
            </w:r>
          </w:p>
          <w:p w14:paraId="137E39A2" w14:textId="6B6AE66E" w:rsidR="0005278F" w:rsidRPr="002A518F" w:rsidRDefault="0005278F" w:rsidP="5A0D947F">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 xml:space="preserve">- nach spezifischen Kreditrisikoanpassungen gemäß Artikel 110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zusätzlichen Bewertungsanpassungen gemäß den Artikeln 34 und 105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Abzügen gemäß Artikel 36 Absatz 1 Buchstabe m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sonstigen Senkungen der Eigenmittel und Abschreibungen (gemäß den Definitionen im einschlägigen Rechnungslegungsrahmen) für bilanzielle Risikopositionen gemäß Artikel 111 der </w:t>
            </w:r>
            <w:r w:rsidRPr="002A518F">
              <w:rPr>
                <w:rFonts w:ascii="Times New Roman" w:hAnsi="Times New Roman"/>
                <w:color w:val="000000" w:themeColor="text1"/>
                <w:sz w:val="24"/>
              </w:rPr>
              <w:t>Verordnung (EU) Nr. 575/2013</w:t>
            </w:r>
            <w:r w:rsidRPr="002A518F">
              <w:rPr>
                <w:rFonts w:ascii="Times New Roman" w:hAnsi="Times New Roman"/>
                <w:sz w:val="24"/>
              </w:rPr>
              <w:t>;</w:t>
            </w:r>
          </w:p>
          <w:p w14:paraId="137E39A3" w14:textId="5D0C5323" w:rsidR="0005278F" w:rsidRPr="002A518F" w:rsidRDefault="0005278F" w:rsidP="5A0D947F">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 xml:space="preserve">- nach Abzug spezifischer Kreditrisikoanpassungen und Abzügen gemäß Artikel 36 Absatz 1 Buchstabe m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für außerbilanzielle Risikopositionen gemäß Artikel 111 der </w:t>
            </w:r>
            <w:r w:rsidRPr="002A518F">
              <w:rPr>
                <w:rFonts w:ascii="Times New Roman" w:hAnsi="Times New Roman"/>
                <w:color w:val="000000" w:themeColor="text1"/>
                <w:sz w:val="24"/>
              </w:rPr>
              <w:t>Verordnung (EU) Nr. 575/2013</w:t>
            </w:r>
            <w:r w:rsidRPr="002A518F">
              <w:rPr>
                <w:rFonts w:ascii="Times New Roman" w:hAnsi="Times New Roman"/>
                <w:sz w:val="24"/>
              </w:rPr>
              <w:t>;</w:t>
            </w:r>
          </w:p>
          <w:p w14:paraId="137E39A4" w14:textId="77777777" w:rsidR="0005278F" w:rsidRPr="002A518F" w:rsidRDefault="0005278F" w:rsidP="004F3087">
            <w:pPr>
              <w:autoSpaceDE w:val="0"/>
              <w:autoSpaceDN w:val="0"/>
              <w:adjustRightInd w:val="0"/>
              <w:spacing w:after="120"/>
              <w:jc w:val="both"/>
              <w:rPr>
                <w:rFonts w:ascii="Times New Roman" w:eastAsia="Times New Roman" w:hAnsi="Times New Roman" w:cs="Times New Roman"/>
                <w:iCs/>
                <w:sz w:val="24"/>
              </w:rPr>
            </w:pPr>
            <w:r w:rsidRPr="002A518F">
              <w:rPr>
                <w:rFonts w:ascii="Times New Roman" w:hAnsi="Times New Roman"/>
                <w:sz w:val="24"/>
              </w:rPr>
              <w:t>- nach i) Anwendung der im selben Artikel definierten Umrechnungsfaktoren und ii) Anwendung von Kreditrisikominderungstechniken gemäß Teil 3 Titel II Kapitel 4 CRR für bilanzielle und außerbilanzielle Risikopositionen.</w:t>
            </w:r>
          </w:p>
        </w:tc>
      </w:tr>
      <w:tr w:rsidR="0005278F" w:rsidRPr="002A518F" w14:paraId="137E39A9" w14:textId="77777777" w:rsidTr="5A0D947F">
        <w:trPr>
          <w:trHeight w:val="316"/>
        </w:trPr>
        <w:tc>
          <w:tcPr>
            <w:tcW w:w="1413" w:type="dxa"/>
            <w:vAlign w:val="center"/>
          </w:tcPr>
          <w:p w14:paraId="137E39A6" w14:textId="0F8A40D0" w:rsidR="0005278F" w:rsidRPr="002A518F" w:rsidRDefault="00AF4BEA" w:rsidP="004F3087">
            <w:pPr>
              <w:autoSpaceDE w:val="0"/>
              <w:autoSpaceDN w:val="0"/>
              <w:adjustRightInd w:val="0"/>
              <w:spacing w:after="120"/>
              <w:rPr>
                <w:rFonts w:ascii="Times New Roman" w:eastAsia="Times New Roman" w:hAnsi="Times New Roman" w:cs="Times New Roman"/>
                <w:sz w:val="24"/>
              </w:rPr>
            </w:pPr>
            <w:r w:rsidRPr="002A518F">
              <w:rPr>
                <w:rFonts w:ascii="Times New Roman" w:hAnsi="Times New Roman"/>
                <w:sz w:val="24"/>
              </w:rPr>
              <w:lastRenderedPageBreak/>
              <w:t>aa</w:t>
            </w:r>
          </w:p>
        </w:tc>
        <w:tc>
          <w:tcPr>
            <w:tcW w:w="7654" w:type="dxa"/>
          </w:tcPr>
          <w:p w14:paraId="137E39A7" w14:textId="77777777" w:rsidR="0005278F" w:rsidRPr="002A518F" w:rsidRDefault="0005278F" w:rsidP="004F3087">
            <w:pPr>
              <w:autoSpaceDE w:val="0"/>
              <w:autoSpaceDN w:val="0"/>
              <w:adjustRightInd w:val="0"/>
              <w:spacing w:after="120"/>
              <w:jc w:val="both"/>
              <w:rPr>
                <w:rFonts w:ascii="Times New Roman" w:eastAsia="Times New Roman" w:hAnsi="Times New Roman" w:cs="Times New Roman"/>
                <w:b/>
                <w:iCs/>
                <w:sz w:val="24"/>
              </w:rPr>
            </w:pPr>
            <w:r w:rsidRPr="002A518F">
              <w:rPr>
                <w:rFonts w:ascii="Times New Roman" w:hAnsi="Times New Roman"/>
                <w:b/>
                <w:sz w:val="24"/>
              </w:rPr>
              <w:t>Ohne Rating:</w:t>
            </w:r>
          </w:p>
          <w:p w14:paraId="137E39A8" w14:textId="3CDE48FF" w:rsidR="0005278F" w:rsidRPr="002A518F" w:rsidRDefault="0005278F" w:rsidP="5A0D947F">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 xml:space="preserve">Risikopositionen, für die keine Bonitätsbeurteilung einer benannten ECAI verfügbar ist und bei denen je nach ihrer Risikopositionsklasse gemäß den Vorgaben in Artikel 113 bis 134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spezifische Risikogewichte angewandt werden.</w:t>
            </w:r>
          </w:p>
        </w:tc>
      </w:tr>
    </w:tbl>
    <w:p w14:paraId="137E39AA" w14:textId="44CC0DF7" w:rsidR="0005278F" w:rsidRPr="002A518F"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2A518F"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2A518F" w:rsidRDefault="00535F36" w:rsidP="00A518F7">
            <w:pPr>
              <w:autoSpaceDE w:val="0"/>
              <w:autoSpaceDN w:val="0"/>
              <w:adjustRightInd w:val="0"/>
              <w:spacing w:after="120"/>
              <w:rPr>
                <w:rFonts w:ascii="Times New Roman" w:hAnsi="Times New Roman" w:cs="Times New Roman"/>
                <w:b/>
                <w:sz w:val="24"/>
              </w:rPr>
            </w:pPr>
            <w:r w:rsidRPr="002A518F">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2A518F" w:rsidRDefault="00535F36" w:rsidP="00A518F7">
            <w:pPr>
              <w:spacing w:after="120"/>
              <w:rPr>
                <w:rFonts w:ascii="Times New Roman" w:hAnsi="Times New Roman" w:cs="Times New Roman"/>
                <w:b/>
                <w:sz w:val="24"/>
              </w:rPr>
            </w:pPr>
            <w:r w:rsidRPr="002A518F">
              <w:rPr>
                <w:rFonts w:ascii="Times New Roman" w:hAnsi="Times New Roman"/>
                <w:b/>
                <w:sz w:val="24"/>
              </w:rPr>
              <w:t>Rechtsgrundlagen und Erläuterungen</w:t>
            </w:r>
          </w:p>
        </w:tc>
      </w:tr>
      <w:tr w:rsidR="00535F36" w:rsidRPr="002A518F" w14:paraId="37948471" w14:textId="77777777" w:rsidTr="5A0D947F">
        <w:trPr>
          <w:trHeight w:val="336"/>
        </w:trPr>
        <w:tc>
          <w:tcPr>
            <w:tcW w:w="1413" w:type="dxa"/>
            <w:vMerge/>
          </w:tcPr>
          <w:p w14:paraId="0D13816F" w14:textId="77777777" w:rsidR="00535F36" w:rsidRPr="002A518F"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2A518F" w:rsidRDefault="00535F36" w:rsidP="00A518F7">
            <w:pPr>
              <w:autoSpaceDE w:val="0"/>
              <w:autoSpaceDN w:val="0"/>
              <w:adjustRightInd w:val="0"/>
              <w:spacing w:after="120"/>
              <w:rPr>
                <w:rFonts w:ascii="Times New Roman" w:hAnsi="Times New Roman" w:cs="Times New Roman"/>
                <w:color w:val="000000"/>
                <w:sz w:val="24"/>
              </w:rPr>
            </w:pPr>
            <w:r w:rsidRPr="002A518F">
              <w:rPr>
                <w:rFonts w:ascii="Times New Roman" w:hAnsi="Times New Roman"/>
                <w:b/>
                <w:sz w:val="24"/>
              </w:rPr>
              <w:t>Erläuterung</w:t>
            </w:r>
          </w:p>
        </w:tc>
      </w:tr>
      <w:tr w:rsidR="00B731E6" w:rsidRPr="002A518F" w14:paraId="633F9A94" w14:textId="77777777" w:rsidTr="5A0D947F">
        <w:trPr>
          <w:trHeight w:val="507"/>
        </w:trPr>
        <w:tc>
          <w:tcPr>
            <w:tcW w:w="1413" w:type="dxa"/>
            <w:shd w:val="clear" w:color="auto" w:fill="auto"/>
          </w:tcPr>
          <w:p w14:paraId="57A9AA9B" w14:textId="01045E65"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1, EU 2a, EU 2b, 3, EU 3a, 4, 5, 6, EU 7a, EU 7b, 8, 9, 10, EU 10a, EU 10b, EU 10c</w:t>
            </w:r>
          </w:p>
        </w:tc>
        <w:tc>
          <w:tcPr>
            <w:tcW w:w="7654" w:type="dxa"/>
            <w:shd w:val="clear" w:color="auto" w:fill="auto"/>
          </w:tcPr>
          <w:p w14:paraId="2302E80F" w14:textId="03182913" w:rsidR="00B731E6" w:rsidRPr="002A518F" w:rsidRDefault="00B731E6" w:rsidP="00B731E6">
            <w:pPr>
              <w:spacing w:after="120"/>
              <w:jc w:val="both"/>
              <w:rPr>
                <w:rFonts w:ascii="Times New Roman" w:hAnsi="Times New Roman" w:cs="Times New Roman"/>
                <w:sz w:val="24"/>
              </w:rPr>
            </w:pPr>
            <w:r w:rsidRPr="002A518F">
              <w:rPr>
                <w:rFonts w:ascii="Times New Roman" w:hAnsi="Times New Roman"/>
                <w:sz w:val="24"/>
              </w:rPr>
              <w:t xml:space="preserve">Risikopositionsklassen nach Artikel 112 der Verordnung (EU) Nr. 575/2013. </w:t>
            </w:r>
          </w:p>
          <w:p w14:paraId="418D4291" w14:textId="757AEF54" w:rsidR="00B731E6" w:rsidRPr="002A518F" w:rsidRDefault="0B701945" w:rsidP="5A0D947F">
            <w:pPr>
              <w:spacing w:after="120"/>
              <w:jc w:val="both"/>
              <w:rPr>
                <w:rFonts w:ascii="Times New Roman" w:hAnsi="Times New Roman" w:cs="Times New Roman"/>
                <w:sz w:val="24"/>
              </w:rPr>
            </w:pPr>
            <w:r w:rsidRPr="002A518F">
              <w:rPr>
                <w:rFonts w:ascii="Times New Roman" w:hAnsi="Times New Roman"/>
                <w:sz w:val="24"/>
              </w:rPr>
              <w:t xml:space="preserve">Risikopositionen, die der in Artikel 112 Buchstabe m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genannten Risikopositionsklasse „Positionen, die Verbriefungspositionen darstellen“ zugeordnet sind, werden nicht berücksichtigt.</w:t>
            </w:r>
          </w:p>
        </w:tc>
      </w:tr>
      <w:tr w:rsidR="00AF5033" w:rsidRPr="002A518F" w14:paraId="685DA180" w14:textId="77777777" w:rsidTr="5A0D947F">
        <w:trPr>
          <w:trHeight w:val="699"/>
        </w:trPr>
        <w:tc>
          <w:tcPr>
            <w:tcW w:w="1413" w:type="dxa"/>
            <w:shd w:val="clear" w:color="auto" w:fill="auto"/>
          </w:tcPr>
          <w:p w14:paraId="1C0D8004" w14:textId="77777777" w:rsidR="00AF5033" w:rsidRPr="002A518F" w:rsidRDefault="00AF5033" w:rsidP="00AB03E9">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2</w:t>
            </w:r>
          </w:p>
        </w:tc>
        <w:tc>
          <w:tcPr>
            <w:tcW w:w="7654" w:type="dxa"/>
            <w:shd w:val="clear" w:color="auto" w:fill="auto"/>
          </w:tcPr>
          <w:p w14:paraId="79E951C7" w14:textId="311E1895" w:rsidR="00F26067" w:rsidRPr="002A518F" w:rsidRDefault="009B6905" w:rsidP="00AB03E9">
            <w:pPr>
              <w:spacing w:after="120"/>
              <w:jc w:val="both"/>
              <w:rPr>
                <w:rFonts w:ascii="Times New Roman" w:eastAsiaTheme="minorHAnsi" w:hAnsi="Times New Roman" w:cs="Times New Roman"/>
                <w:b/>
                <w:bCs/>
                <w:sz w:val="24"/>
              </w:rPr>
            </w:pPr>
            <w:r w:rsidRPr="002A518F">
              <w:rPr>
                <w:rFonts w:ascii="Times New Roman" w:hAnsi="Times New Roman"/>
                <w:b/>
                <w:sz w:val="24"/>
              </w:rPr>
              <w:t xml:space="preserve">Nicht zentralstaatliche öffentliche Stellen </w:t>
            </w:r>
          </w:p>
          <w:p w14:paraId="4CF4DA0A" w14:textId="6AA1E2BE" w:rsidR="00AF5033" w:rsidRPr="002A518F" w:rsidRDefault="00F26067" w:rsidP="00AB03E9">
            <w:pPr>
              <w:spacing w:after="120"/>
              <w:jc w:val="both"/>
              <w:rPr>
                <w:rFonts w:ascii="Times New Roman" w:eastAsiaTheme="minorHAnsi" w:hAnsi="Times New Roman" w:cs="Times New Roman"/>
                <w:sz w:val="24"/>
              </w:rPr>
            </w:pPr>
            <w:r w:rsidRPr="002A518F">
              <w:rPr>
                <w:rFonts w:ascii="Times New Roman" w:hAnsi="Times New Roman"/>
                <w:sz w:val="24"/>
              </w:rPr>
              <w:t>Summe der Risikopositionen der Zeilen EU 2a und EU 2b.</w:t>
            </w:r>
          </w:p>
        </w:tc>
      </w:tr>
      <w:tr w:rsidR="00B731E6" w:rsidRPr="002A518F" w14:paraId="43E2EF2A" w14:textId="77777777" w:rsidTr="5A0D947F">
        <w:trPr>
          <w:trHeight w:val="507"/>
        </w:trPr>
        <w:tc>
          <w:tcPr>
            <w:tcW w:w="1413" w:type="dxa"/>
            <w:shd w:val="clear" w:color="auto" w:fill="auto"/>
          </w:tcPr>
          <w:p w14:paraId="37172C4D" w14:textId="2D7F1A6B"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EU 2 a</w:t>
            </w:r>
          </w:p>
        </w:tc>
        <w:tc>
          <w:tcPr>
            <w:tcW w:w="7654" w:type="dxa"/>
            <w:shd w:val="clear" w:color="auto" w:fill="auto"/>
          </w:tcPr>
          <w:p w14:paraId="6E395D8A" w14:textId="5F849253" w:rsidR="00F26067" w:rsidRPr="002A518F" w:rsidRDefault="0B701945" w:rsidP="5A0D947F">
            <w:pPr>
              <w:spacing w:after="120"/>
              <w:jc w:val="both"/>
              <w:rPr>
                <w:rFonts w:ascii="Times New Roman" w:hAnsi="Times New Roman" w:cs="Times New Roman"/>
                <w:b/>
                <w:bCs/>
                <w:sz w:val="24"/>
              </w:rPr>
            </w:pPr>
            <w:r w:rsidRPr="002A518F">
              <w:rPr>
                <w:rFonts w:ascii="Times New Roman" w:hAnsi="Times New Roman"/>
                <w:b/>
                <w:sz w:val="24"/>
              </w:rPr>
              <w:t>Regionale oder lokale Gebietskörperschaften</w:t>
            </w:r>
          </w:p>
          <w:p w14:paraId="0F0B69B5" w14:textId="1A951C07" w:rsidR="00B731E6" w:rsidRPr="002A518F" w:rsidRDefault="00F26067" w:rsidP="5A0D947F">
            <w:pPr>
              <w:spacing w:after="120"/>
              <w:jc w:val="both"/>
              <w:rPr>
                <w:rFonts w:ascii="Times New Roman" w:hAnsi="Times New Roman" w:cs="Times New Roman"/>
                <w:sz w:val="24"/>
              </w:rPr>
            </w:pPr>
            <w:r w:rsidRPr="002A518F">
              <w:rPr>
                <w:rFonts w:ascii="Times New Roman" w:hAnsi="Times New Roman"/>
                <w:sz w:val="24"/>
              </w:rPr>
              <w:t xml:space="preserve">Risikopositionen nach Artikel 112 Buchstabe b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und Artikel 115 Absätze -1, 1, 3, 4 und 5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(Risikopositionen nach dem Standardansatz)</w:t>
            </w:r>
            <w:r w:rsidRPr="002A518F">
              <w:rPr>
                <w:rFonts w:ascii="Times New Roman" w:hAnsi="Times New Roman"/>
              </w:rPr>
              <w:t>.</w:t>
            </w:r>
          </w:p>
        </w:tc>
      </w:tr>
      <w:tr w:rsidR="00B731E6" w:rsidRPr="002A518F" w14:paraId="5C5BD0AC" w14:textId="77777777" w:rsidTr="5A0D947F">
        <w:trPr>
          <w:trHeight w:val="507"/>
        </w:trPr>
        <w:tc>
          <w:tcPr>
            <w:tcW w:w="1413" w:type="dxa"/>
            <w:shd w:val="clear" w:color="auto" w:fill="auto"/>
          </w:tcPr>
          <w:p w14:paraId="4E17DAB0" w14:textId="48A8906B"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EU 2b</w:t>
            </w:r>
          </w:p>
        </w:tc>
        <w:tc>
          <w:tcPr>
            <w:tcW w:w="7654" w:type="dxa"/>
            <w:shd w:val="clear" w:color="auto" w:fill="auto"/>
          </w:tcPr>
          <w:p w14:paraId="6B0874A8" w14:textId="7C1E20B6" w:rsidR="00F26067" w:rsidRPr="002A518F" w:rsidRDefault="0B701945" w:rsidP="5A0D947F">
            <w:pPr>
              <w:spacing w:after="120"/>
              <w:jc w:val="both"/>
              <w:rPr>
                <w:rFonts w:ascii="Times New Roman" w:hAnsi="Times New Roman" w:cs="Times New Roman"/>
                <w:b/>
                <w:bCs/>
                <w:sz w:val="24"/>
              </w:rPr>
            </w:pPr>
            <w:r w:rsidRPr="002A518F">
              <w:rPr>
                <w:rFonts w:ascii="Times New Roman" w:hAnsi="Times New Roman"/>
                <w:b/>
                <w:sz w:val="24"/>
              </w:rPr>
              <w:t>Öffentliche Stellen</w:t>
            </w:r>
          </w:p>
          <w:p w14:paraId="042D63D7" w14:textId="03ACF4BC" w:rsidR="00B731E6" w:rsidRPr="002A518F" w:rsidRDefault="00F26067" w:rsidP="5A0D947F">
            <w:pPr>
              <w:spacing w:after="120"/>
              <w:jc w:val="both"/>
              <w:rPr>
                <w:rFonts w:ascii="Times New Roman" w:hAnsi="Times New Roman" w:cs="Times New Roman"/>
                <w:sz w:val="24"/>
              </w:rPr>
            </w:pPr>
            <w:r w:rsidRPr="002A518F">
              <w:rPr>
                <w:rFonts w:ascii="Times New Roman" w:hAnsi="Times New Roman"/>
                <w:sz w:val="24"/>
              </w:rPr>
              <w:t xml:space="preserve">Risikopositionen nach Artikel 4 Absätze 1 und 8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Artikel 112 Buchstabe c und Artikel 116 Absätze 1, 2, 3, 4 und 5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(Risikopositionen nach dem Standardansatz).</w:t>
            </w:r>
          </w:p>
        </w:tc>
      </w:tr>
      <w:tr w:rsidR="00B731E6" w:rsidRPr="002A518F" w14:paraId="31C58E90" w14:textId="77777777" w:rsidTr="5A0D947F">
        <w:trPr>
          <w:trHeight w:val="507"/>
        </w:trPr>
        <w:tc>
          <w:tcPr>
            <w:tcW w:w="1413" w:type="dxa"/>
            <w:shd w:val="clear" w:color="auto" w:fill="auto"/>
          </w:tcPr>
          <w:p w14:paraId="688254C4" w14:textId="5508F69D"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6</w:t>
            </w:r>
          </w:p>
        </w:tc>
        <w:tc>
          <w:tcPr>
            <w:tcW w:w="7654" w:type="dxa"/>
            <w:shd w:val="clear" w:color="auto" w:fill="auto"/>
          </w:tcPr>
          <w:p w14:paraId="0D63781E" w14:textId="3D73F3E2" w:rsidR="00F26067" w:rsidRPr="002A518F" w:rsidRDefault="0B701945" w:rsidP="5A0D947F">
            <w:pPr>
              <w:spacing w:after="120"/>
              <w:jc w:val="both"/>
              <w:rPr>
                <w:rFonts w:ascii="Times New Roman" w:hAnsi="Times New Roman" w:cs="Times New Roman"/>
                <w:b/>
                <w:bCs/>
                <w:sz w:val="24"/>
              </w:rPr>
            </w:pPr>
            <w:r w:rsidRPr="002A518F">
              <w:rPr>
                <w:rFonts w:ascii="Times New Roman" w:hAnsi="Times New Roman"/>
                <w:b/>
                <w:sz w:val="24"/>
              </w:rPr>
              <w:t>Unternehmen</w:t>
            </w:r>
          </w:p>
          <w:p w14:paraId="6AFAC788" w14:textId="55730926" w:rsidR="00B731E6" w:rsidRPr="002A518F" w:rsidRDefault="00F26067" w:rsidP="5A0D947F">
            <w:pPr>
              <w:spacing w:after="120"/>
              <w:jc w:val="both"/>
              <w:rPr>
                <w:rFonts w:ascii="Times New Roman" w:hAnsi="Times New Roman" w:cs="Times New Roman"/>
                <w:sz w:val="24"/>
              </w:rPr>
            </w:pPr>
            <w:r w:rsidRPr="002A518F">
              <w:rPr>
                <w:rFonts w:ascii="Times New Roman" w:hAnsi="Times New Roman"/>
                <w:sz w:val="24"/>
              </w:rPr>
              <w:t xml:space="preserve">Risikopositionen nach Artikel 112 Buchstabe g und Artikel 122 der </w:t>
            </w:r>
            <w:r w:rsidRPr="002A518F">
              <w:rPr>
                <w:rFonts w:ascii="Times New Roman" w:hAnsi="Times New Roman"/>
                <w:color w:val="000000" w:themeColor="text1"/>
                <w:sz w:val="24"/>
              </w:rPr>
              <w:t>Verordnung (EU) 575/2013</w:t>
            </w:r>
            <w:r w:rsidRPr="002A518F">
              <w:rPr>
                <w:rFonts w:ascii="Times New Roman" w:hAnsi="Times New Roman"/>
                <w:sz w:val="24"/>
              </w:rPr>
              <w:t>.</w:t>
            </w:r>
          </w:p>
        </w:tc>
      </w:tr>
      <w:tr w:rsidR="00B731E6" w:rsidRPr="002A518F" w14:paraId="15791A2F" w14:textId="77777777" w:rsidTr="5A0D947F">
        <w:trPr>
          <w:trHeight w:val="507"/>
        </w:trPr>
        <w:tc>
          <w:tcPr>
            <w:tcW w:w="1413" w:type="dxa"/>
            <w:shd w:val="clear" w:color="auto" w:fill="auto"/>
          </w:tcPr>
          <w:p w14:paraId="2C67CA19" w14:textId="46E29F06" w:rsidR="00B731E6" w:rsidRPr="002A518F" w:rsidRDefault="00F9364E"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6.1</w:t>
            </w:r>
          </w:p>
        </w:tc>
        <w:tc>
          <w:tcPr>
            <w:tcW w:w="7654" w:type="dxa"/>
            <w:shd w:val="clear" w:color="auto" w:fill="auto"/>
          </w:tcPr>
          <w:p w14:paraId="7434934B" w14:textId="2BB271C7" w:rsidR="00F26067" w:rsidRPr="002A518F" w:rsidRDefault="00F26067" w:rsidP="5A0D947F">
            <w:pPr>
              <w:spacing w:after="120"/>
              <w:jc w:val="both"/>
              <w:rPr>
                <w:rFonts w:ascii="Times New Roman" w:hAnsi="Times New Roman" w:cs="Times New Roman"/>
                <w:b/>
                <w:bCs/>
                <w:sz w:val="24"/>
              </w:rPr>
            </w:pPr>
            <w:r w:rsidRPr="002A518F">
              <w:rPr>
                <w:rFonts w:ascii="Times New Roman" w:hAnsi="Times New Roman"/>
                <w:b/>
                <w:sz w:val="24"/>
              </w:rPr>
              <w:t>Davon: Spezialfinanzierung</w:t>
            </w:r>
          </w:p>
          <w:p w14:paraId="24C0DA08" w14:textId="77C3AE6A" w:rsidR="00B731E6" w:rsidRPr="002A518F" w:rsidRDefault="00F26067" w:rsidP="5A0D947F">
            <w:pPr>
              <w:spacing w:after="120"/>
              <w:jc w:val="both"/>
              <w:rPr>
                <w:rFonts w:ascii="Times New Roman" w:hAnsi="Times New Roman" w:cs="Times New Roman"/>
                <w:sz w:val="24"/>
              </w:rPr>
            </w:pPr>
            <w:r w:rsidRPr="002A518F">
              <w:rPr>
                <w:rFonts w:ascii="Times New Roman" w:hAnsi="Times New Roman"/>
                <w:sz w:val="24"/>
              </w:rPr>
              <w:t xml:space="preserve">Risikopositionen nach Artikel 122a der </w:t>
            </w:r>
            <w:r w:rsidRPr="002A518F">
              <w:rPr>
                <w:rFonts w:ascii="Times New Roman" w:hAnsi="Times New Roman"/>
                <w:color w:val="000000" w:themeColor="text1"/>
                <w:sz w:val="24"/>
              </w:rPr>
              <w:t>Verordnung (EU) Nr. 575/2013</w:t>
            </w:r>
            <w:r w:rsidRPr="002A518F">
              <w:rPr>
                <w:rFonts w:ascii="Times New Roman" w:hAnsi="Times New Roman"/>
                <w:sz w:val="24"/>
              </w:rPr>
              <w:t>.</w:t>
            </w:r>
          </w:p>
        </w:tc>
      </w:tr>
      <w:tr w:rsidR="00B731E6" w:rsidRPr="002A518F" w14:paraId="5C84CA61" w14:textId="77777777" w:rsidTr="5A0D947F">
        <w:trPr>
          <w:trHeight w:val="507"/>
        </w:trPr>
        <w:tc>
          <w:tcPr>
            <w:tcW w:w="1413" w:type="dxa"/>
            <w:shd w:val="clear" w:color="auto" w:fill="auto"/>
          </w:tcPr>
          <w:p w14:paraId="61EE362B" w14:textId="6EA863F3"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7</w:t>
            </w:r>
          </w:p>
        </w:tc>
        <w:tc>
          <w:tcPr>
            <w:tcW w:w="7654" w:type="dxa"/>
            <w:shd w:val="clear" w:color="auto" w:fill="auto"/>
          </w:tcPr>
          <w:p w14:paraId="4D223688" w14:textId="3E9BBE9B" w:rsidR="00F26067" w:rsidRPr="002A518F" w:rsidRDefault="00B731E6" w:rsidP="00B731E6">
            <w:pPr>
              <w:spacing w:after="120"/>
              <w:jc w:val="both"/>
              <w:rPr>
                <w:rFonts w:ascii="Times New Roman" w:eastAsiaTheme="minorHAnsi" w:hAnsi="Times New Roman" w:cs="Times New Roman"/>
                <w:b/>
                <w:bCs/>
                <w:sz w:val="24"/>
              </w:rPr>
            </w:pPr>
            <w:r w:rsidRPr="002A518F">
              <w:rPr>
                <w:rFonts w:ascii="Times New Roman" w:hAnsi="Times New Roman"/>
                <w:b/>
                <w:sz w:val="24"/>
              </w:rPr>
              <w:t>Aus nachrangigen Schuldtiteln bestehende Risikopositionen und Beteiligungen</w:t>
            </w:r>
          </w:p>
          <w:p w14:paraId="0AA0F933" w14:textId="77EC0BD5" w:rsidR="00B731E6" w:rsidRPr="002A518F" w:rsidRDefault="00F26067" w:rsidP="00B731E6">
            <w:pPr>
              <w:spacing w:after="120"/>
              <w:jc w:val="both"/>
              <w:rPr>
                <w:rFonts w:ascii="Times New Roman" w:eastAsiaTheme="minorHAnsi" w:hAnsi="Times New Roman" w:cs="Times New Roman"/>
                <w:sz w:val="24"/>
              </w:rPr>
            </w:pPr>
            <w:r w:rsidRPr="002A518F">
              <w:rPr>
                <w:rFonts w:ascii="Times New Roman" w:hAnsi="Times New Roman"/>
                <w:sz w:val="24"/>
              </w:rPr>
              <w:t>Dies ist die Summe der nachstehend definierten Zeilen (EU 7a und EU 7b).</w:t>
            </w:r>
          </w:p>
        </w:tc>
      </w:tr>
      <w:tr w:rsidR="00B731E6" w:rsidRPr="002A518F" w14:paraId="75520DAB" w14:textId="77777777" w:rsidTr="5A0D947F">
        <w:trPr>
          <w:trHeight w:val="507"/>
        </w:trPr>
        <w:tc>
          <w:tcPr>
            <w:tcW w:w="1413" w:type="dxa"/>
            <w:shd w:val="clear" w:color="auto" w:fill="auto"/>
          </w:tcPr>
          <w:p w14:paraId="6D54D58F" w14:textId="40B5DA6A"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EU 7a</w:t>
            </w:r>
          </w:p>
        </w:tc>
        <w:tc>
          <w:tcPr>
            <w:tcW w:w="7654" w:type="dxa"/>
            <w:shd w:val="clear" w:color="auto" w:fill="auto"/>
          </w:tcPr>
          <w:p w14:paraId="2087D858" w14:textId="358EEE2E" w:rsidR="00F26067" w:rsidRPr="002A518F" w:rsidRDefault="0B701945" w:rsidP="5A0D947F">
            <w:pPr>
              <w:spacing w:after="120"/>
              <w:jc w:val="both"/>
              <w:rPr>
                <w:rFonts w:ascii="Times New Roman" w:hAnsi="Times New Roman" w:cs="Times New Roman"/>
                <w:b/>
                <w:bCs/>
                <w:sz w:val="24"/>
              </w:rPr>
            </w:pPr>
            <w:r w:rsidRPr="002A518F">
              <w:rPr>
                <w:rFonts w:ascii="Times New Roman" w:hAnsi="Times New Roman"/>
                <w:b/>
                <w:sz w:val="24"/>
              </w:rPr>
              <w:t>Aus nachrangigen Schuldtiteln bestehende Risikopositionen</w:t>
            </w:r>
          </w:p>
          <w:p w14:paraId="6A91C57C" w14:textId="5BCEFCB5" w:rsidR="00B731E6" w:rsidRPr="002A518F" w:rsidRDefault="00F26067" w:rsidP="5A0D947F">
            <w:pPr>
              <w:spacing w:after="120"/>
              <w:jc w:val="both"/>
              <w:rPr>
                <w:rFonts w:ascii="Times New Roman" w:hAnsi="Times New Roman" w:cs="Times New Roman"/>
                <w:sz w:val="24"/>
              </w:rPr>
            </w:pPr>
            <w:r w:rsidRPr="002A518F">
              <w:rPr>
                <w:rFonts w:ascii="Times New Roman" w:hAnsi="Times New Roman"/>
                <w:sz w:val="24"/>
              </w:rPr>
              <w:t xml:space="preserve">Risikopositionen nach Artikel 112 Buchstabe k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und nach Artikel 128 der </w:t>
            </w:r>
            <w:r w:rsidRPr="002A518F">
              <w:rPr>
                <w:rFonts w:ascii="Times New Roman" w:hAnsi="Times New Roman"/>
                <w:color w:val="000000" w:themeColor="text1"/>
                <w:sz w:val="24"/>
              </w:rPr>
              <w:t>Verordnung (EU) 575/2013</w:t>
            </w:r>
            <w:r w:rsidRPr="002A518F">
              <w:rPr>
                <w:rFonts w:ascii="Times New Roman" w:hAnsi="Times New Roman"/>
                <w:sz w:val="24"/>
              </w:rPr>
              <w:t>.</w:t>
            </w:r>
          </w:p>
        </w:tc>
      </w:tr>
      <w:tr w:rsidR="00B731E6" w:rsidRPr="002A518F" w14:paraId="1BA8F816" w14:textId="77777777" w:rsidTr="5A0D947F">
        <w:trPr>
          <w:trHeight w:val="507"/>
        </w:trPr>
        <w:tc>
          <w:tcPr>
            <w:tcW w:w="1413" w:type="dxa"/>
            <w:shd w:val="clear" w:color="auto" w:fill="auto"/>
          </w:tcPr>
          <w:p w14:paraId="67E36157" w14:textId="40601992"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EU 7b</w:t>
            </w:r>
          </w:p>
        </w:tc>
        <w:tc>
          <w:tcPr>
            <w:tcW w:w="7654" w:type="dxa"/>
            <w:shd w:val="clear" w:color="auto" w:fill="auto"/>
          </w:tcPr>
          <w:p w14:paraId="1433F3D8" w14:textId="30F87742" w:rsidR="00F26067" w:rsidRPr="002A518F" w:rsidRDefault="0B701945" w:rsidP="5A0D947F">
            <w:pPr>
              <w:spacing w:after="120"/>
              <w:jc w:val="both"/>
              <w:rPr>
                <w:rFonts w:ascii="Times New Roman" w:hAnsi="Times New Roman" w:cs="Times New Roman"/>
                <w:b/>
                <w:bCs/>
                <w:sz w:val="24"/>
              </w:rPr>
            </w:pPr>
            <w:r w:rsidRPr="002A518F">
              <w:rPr>
                <w:rFonts w:ascii="Times New Roman" w:hAnsi="Times New Roman"/>
                <w:b/>
                <w:sz w:val="24"/>
              </w:rPr>
              <w:t>Beteiligungen</w:t>
            </w:r>
          </w:p>
          <w:p w14:paraId="191A2924" w14:textId="2CDA6797" w:rsidR="00B731E6" w:rsidRPr="002A518F" w:rsidRDefault="00F26067" w:rsidP="5A0D947F">
            <w:pPr>
              <w:spacing w:after="120"/>
              <w:jc w:val="both"/>
              <w:rPr>
                <w:rFonts w:ascii="Times New Roman" w:hAnsi="Times New Roman" w:cs="Times New Roman"/>
                <w:sz w:val="24"/>
              </w:rPr>
            </w:pPr>
            <w:r w:rsidRPr="002A518F">
              <w:rPr>
                <w:rFonts w:ascii="Times New Roman" w:hAnsi="Times New Roman"/>
                <w:sz w:val="24"/>
              </w:rPr>
              <w:lastRenderedPageBreak/>
              <w:t xml:space="preserve">Risikopositionen nach Artikel 112 Buchstabe p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und nach Artikel 133 Absatz 1 der </w:t>
            </w:r>
            <w:r w:rsidRPr="002A518F">
              <w:rPr>
                <w:rFonts w:ascii="Times New Roman" w:hAnsi="Times New Roman"/>
                <w:color w:val="000000" w:themeColor="text1"/>
                <w:sz w:val="24"/>
              </w:rPr>
              <w:t>Verordnung (EU) 575/2013</w:t>
            </w:r>
            <w:r w:rsidRPr="002A518F">
              <w:rPr>
                <w:rFonts w:ascii="Times New Roman" w:hAnsi="Times New Roman"/>
                <w:sz w:val="24"/>
              </w:rPr>
              <w:t>.</w:t>
            </w:r>
          </w:p>
        </w:tc>
      </w:tr>
      <w:tr w:rsidR="00B731E6" w:rsidRPr="002A518F" w14:paraId="2F5024A7" w14:textId="77777777" w:rsidTr="5A0D947F">
        <w:trPr>
          <w:trHeight w:val="507"/>
        </w:trPr>
        <w:tc>
          <w:tcPr>
            <w:tcW w:w="1413" w:type="dxa"/>
            <w:shd w:val="clear" w:color="auto" w:fill="auto"/>
          </w:tcPr>
          <w:p w14:paraId="6C8D4DD7" w14:textId="53CC0B91"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lastRenderedPageBreak/>
              <w:t>9</w:t>
            </w:r>
          </w:p>
        </w:tc>
        <w:tc>
          <w:tcPr>
            <w:tcW w:w="7654" w:type="dxa"/>
            <w:shd w:val="clear" w:color="auto" w:fill="auto"/>
          </w:tcPr>
          <w:p w14:paraId="6F18D30C" w14:textId="20BDB687" w:rsidR="00F26067" w:rsidRPr="002A518F" w:rsidRDefault="0B701945" w:rsidP="5A0D947F">
            <w:pPr>
              <w:spacing w:after="120"/>
              <w:jc w:val="both"/>
              <w:rPr>
                <w:rFonts w:ascii="Times New Roman" w:hAnsi="Times New Roman" w:cs="Times New Roman"/>
                <w:b/>
                <w:bCs/>
                <w:sz w:val="24"/>
              </w:rPr>
            </w:pPr>
            <w:r w:rsidRPr="002A518F">
              <w:rPr>
                <w:rFonts w:ascii="Times New Roman" w:hAnsi="Times New Roman"/>
                <w:b/>
                <w:sz w:val="24"/>
              </w:rPr>
              <w:t>Durch Grundpfandrechte auf Immobilien besicherte Risikopositionen und ADC-Risikopositionen</w:t>
            </w:r>
          </w:p>
          <w:p w14:paraId="652029AE" w14:textId="28474DBD" w:rsidR="00B731E6" w:rsidRPr="002A518F" w:rsidRDefault="00F26067" w:rsidP="5A0D947F">
            <w:pPr>
              <w:spacing w:after="120"/>
              <w:jc w:val="both"/>
              <w:rPr>
                <w:rFonts w:ascii="Times New Roman" w:hAnsi="Times New Roman" w:cs="Times New Roman"/>
                <w:sz w:val="24"/>
              </w:rPr>
            </w:pPr>
            <w:r w:rsidRPr="002A518F">
              <w:rPr>
                <w:rFonts w:ascii="Times New Roman" w:hAnsi="Times New Roman"/>
                <w:sz w:val="24"/>
              </w:rPr>
              <w:t xml:space="preserve">Hier sind durch Immobilien besicherte Risikopositionen im Sinne von Artikel 4 Absatz 1 Nummern 75 bis 75f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und Risikopositionen im Sinne von Artikel 4 Absatz 1 Nummer 78a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auszuweisen.</w:t>
            </w:r>
          </w:p>
          <w:p w14:paraId="03F0288C" w14:textId="5F4104D7" w:rsidR="00324117" w:rsidRPr="002A518F" w:rsidRDefault="00324117" w:rsidP="00B731E6">
            <w:pPr>
              <w:spacing w:after="120"/>
              <w:jc w:val="both"/>
              <w:rPr>
                <w:rFonts w:ascii="Times New Roman" w:eastAsiaTheme="minorHAnsi" w:hAnsi="Times New Roman" w:cs="Times New Roman"/>
                <w:sz w:val="24"/>
              </w:rPr>
            </w:pPr>
            <w:r w:rsidRPr="002A518F">
              <w:rPr>
                <w:rFonts w:ascii="Times New Roman" w:hAnsi="Times New Roman"/>
                <w:sz w:val="24"/>
              </w:rPr>
              <w:t>Diese Zeile enthält die Summe der Zeilen 9.1, 9.2, 9.3, 9.4 und 9.5.</w:t>
            </w:r>
          </w:p>
        </w:tc>
      </w:tr>
      <w:tr w:rsidR="00B731E6" w:rsidRPr="002A518F" w14:paraId="33B98B6E" w14:textId="77777777" w:rsidTr="5A0D947F">
        <w:trPr>
          <w:trHeight w:val="507"/>
        </w:trPr>
        <w:tc>
          <w:tcPr>
            <w:tcW w:w="1413" w:type="dxa"/>
            <w:shd w:val="clear" w:color="auto" w:fill="auto"/>
          </w:tcPr>
          <w:p w14:paraId="309AF170" w14:textId="317795BB"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9.1</w:t>
            </w:r>
          </w:p>
        </w:tc>
        <w:tc>
          <w:tcPr>
            <w:tcW w:w="7654" w:type="dxa"/>
            <w:shd w:val="clear" w:color="auto" w:fill="auto"/>
          </w:tcPr>
          <w:p w14:paraId="0DE2BD5F" w14:textId="7880F40C" w:rsidR="00F26067" w:rsidRPr="002A518F" w:rsidRDefault="00B731E6" w:rsidP="007750BC">
            <w:pPr>
              <w:spacing w:after="120"/>
              <w:jc w:val="both"/>
              <w:rPr>
                <w:rFonts w:ascii="Times New Roman" w:eastAsiaTheme="minorHAnsi" w:hAnsi="Times New Roman" w:cs="Times New Roman"/>
                <w:b/>
                <w:bCs/>
                <w:sz w:val="24"/>
              </w:rPr>
            </w:pPr>
            <w:r w:rsidRPr="002A518F">
              <w:rPr>
                <w:rFonts w:ascii="Times New Roman" w:hAnsi="Times New Roman"/>
                <w:b/>
                <w:sz w:val="24"/>
              </w:rPr>
              <w:t>Durch Grundpfandrechte auf Wohnimmobilien besicherte Nicht-IPRE-Risikopositionen</w:t>
            </w:r>
          </w:p>
          <w:p w14:paraId="1A8747F6" w14:textId="045D4EEB" w:rsidR="00F26067" w:rsidRPr="002A518F" w:rsidRDefault="00F26067" w:rsidP="007750BC">
            <w:pPr>
              <w:spacing w:after="120"/>
              <w:jc w:val="both"/>
              <w:rPr>
                <w:rFonts w:ascii="Times New Roman" w:hAnsi="Times New Roman" w:cs="Times New Roman"/>
                <w:bCs/>
                <w:sz w:val="24"/>
              </w:rPr>
            </w:pPr>
            <w:r w:rsidRPr="002A518F">
              <w:rPr>
                <w:rFonts w:ascii="Times New Roman" w:hAnsi="Times New Roman"/>
                <w:sz w:val="24"/>
              </w:rPr>
              <w:t>Risikopositionen, die gemäß Artikel 125 Absatz 1 der Verordnung (EU) Nr. 575/2013 behandelt werden, sind hier anzugeben.</w:t>
            </w:r>
          </w:p>
          <w:p w14:paraId="739769BE" w14:textId="29071185" w:rsidR="00FB64CF" w:rsidRPr="002A518F" w:rsidRDefault="007750BC" w:rsidP="007750BC">
            <w:pPr>
              <w:spacing w:after="120"/>
              <w:jc w:val="both"/>
              <w:rPr>
                <w:rFonts w:ascii="Times New Roman" w:eastAsiaTheme="minorHAnsi" w:hAnsi="Times New Roman"/>
                <w:sz w:val="24"/>
              </w:rPr>
            </w:pPr>
            <w:r w:rsidRPr="002A518F">
              <w:br/>
            </w:r>
            <w:r w:rsidRPr="002A518F">
              <w:rPr>
                <w:rFonts w:ascii="Times New Roman" w:hAnsi="Times New Roman"/>
                <w:sz w:val="24"/>
              </w:rPr>
              <w:t>In dieser Zeile ebenfalls anzugeben ist/sind: sonstige durch Grundpfandrechte auf Wohnimmobilien besicherte Nicht-IPRE-Risikopositionen, die die Bedingungen des Artikels 124 Absatz 3 nicht erfüllen; oder jeder Teil einer Nicht-ADC-Risikoposition, der den Nominalbetrag des in Artikel 124 Absatz 1 Buchstabe a der Verordnung (EU) Nr. 575/2013 genannten Grundpfandrechts übersteigt.</w:t>
            </w:r>
          </w:p>
          <w:p w14:paraId="432D1633" w14:textId="5C6396A7" w:rsidR="004E3D87" w:rsidRPr="002A518F" w:rsidRDefault="004E3D87" w:rsidP="007750BC">
            <w:pPr>
              <w:spacing w:after="120"/>
              <w:jc w:val="both"/>
              <w:rPr>
                <w:rFonts w:ascii="Times New Roman" w:hAnsi="Times New Roman" w:cs="Times New Roman"/>
                <w:bCs/>
                <w:sz w:val="24"/>
              </w:rPr>
            </w:pPr>
            <w:r w:rsidRPr="002A518F">
              <w:rPr>
                <w:rFonts w:ascii="Times New Roman" w:hAnsi="Times New Roman"/>
                <w:sz w:val="24"/>
              </w:rPr>
              <w:t>Diese Zeile enthält die Summe der Zeilen 9.1.1, 9.1.2 und 9.1.3.</w:t>
            </w:r>
          </w:p>
        </w:tc>
      </w:tr>
      <w:tr w:rsidR="00B731E6" w:rsidRPr="002A518F" w14:paraId="3757A5E1" w14:textId="77777777" w:rsidTr="5A0D947F">
        <w:trPr>
          <w:trHeight w:val="507"/>
        </w:trPr>
        <w:tc>
          <w:tcPr>
            <w:tcW w:w="1413" w:type="dxa"/>
            <w:shd w:val="clear" w:color="auto" w:fill="auto"/>
          </w:tcPr>
          <w:p w14:paraId="6947CF4E" w14:textId="20DCDB33"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9.1.1</w:t>
            </w:r>
          </w:p>
        </w:tc>
        <w:tc>
          <w:tcPr>
            <w:tcW w:w="7654" w:type="dxa"/>
            <w:shd w:val="clear" w:color="auto" w:fill="auto"/>
          </w:tcPr>
          <w:p w14:paraId="7643D411" w14:textId="53D2093F" w:rsidR="00F26067" w:rsidRPr="002A518F" w:rsidRDefault="00F26067" w:rsidP="00B731E6">
            <w:pPr>
              <w:spacing w:after="120"/>
              <w:jc w:val="both"/>
              <w:rPr>
                <w:rFonts w:ascii="Times New Roman" w:eastAsiaTheme="minorHAnsi" w:hAnsi="Times New Roman" w:cs="Times New Roman"/>
                <w:b/>
                <w:bCs/>
                <w:sz w:val="24"/>
              </w:rPr>
            </w:pPr>
            <w:r w:rsidRPr="002A518F">
              <w:rPr>
                <w:rFonts w:ascii="Times New Roman" w:hAnsi="Times New Roman"/>
                <w:b/>
                <w:sz w:val="24"/>
              </w:rPr>
              <w:t>Ohne Kreditsplitting</w:t>
            </w:r>
          </w:p>
          <w:p w14:paraId="02E8C845" w14:textId="0F37DC48" w:rsidR="00B731E6" w:rsidRPr="002A518F" w:rsidRDefault="00F26067" w:rsidP="00B731E6">
            <w:pPr>
              <w:spacing w:after="120"/>
              <w:jc w:val="both"/>
              <w:rPr>
                <w:rFonts w:ascii="Times New Roman" w:eastAsiaTheme="minorHAnsi" w:hAnsi="Times New Roman" w:cs="Times New Roman"/>
                <w:sz w:val="24"/>
              </w:rPr>
            </w:pPr>
            <w:r w:rsidRPr="002A518F">
              <w:rPr>
                <w:rFonts w:ascii="Times New Roman" w:hAnsi="Times New Roman"/>
                <w:sz w:val="24"/>
              </w:rPr>
              <w:t>Durch Grundpfandrechte auf Wohnimmobilien besicherte Nicht-IPRE-Risikopositionen, auf die das in Artikel 125 Absatz 1 der Verordnung (EU) Nr. 575/2013 beschriebene Kreditsplitting keine Anwendung findet.</w:t>
            </w:r>
          </w:p>
        </w:tc>
      </w:tr>
      <w:tr w:rsidR="00B731E6" w:rsidRPr="002A518F" w14:paraId="7102D657" w14:textId="77777777" w:rsidTr="5A0D947F">
        <w:trPr>
          <w:trHeight w:val="507"/>
        </w:trPr>
        <w:tc>
          <w:tcPr>
            <w:tcW w:w="1413" w:type="dxa"/>
            <w:shd w:val="clear" w:color="auto" w:fill="auto"/>
          </w:tcPr>
          <w:p w14:paraId="38838607" w14:textId="5063C525"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9.1.2</w:t>
            </w:r>
          </w:p>
        </w:tc>
        <w:tc>
          <w:tcPr>
            <w:tcW w:w="7654" w:type="dxa"/>
            <w:shd w:val="clear" w:color="auto" w:fill="auto"/>
          </w:tcPr>
          <w:p w14:paraId="0F9D3D69" w14:textId="1E8EFD2D" w:rsidR="00F26067" w:rsidRPr="002A518F" w:rsidRDefault="00F26067" w:rsidP="5A0D947F">
            <w:pPr>
              <w:spacing w:after="120"/>
              <w:jc w:val="both"/>
              <w:rPr>
                <w:rFonts w:ascii="Times New Roman" w:hAnsi="Times New Roman" w:cs="Times New Roman"/>
                <w:b/>
                <w:bCs/>
                <w:sz w:val="24"/>
              </w:rPr>
            </w:pPr>
            <w:r w:rsidRPr="002A518F">
              <w:rPr>
                <w:rFonts w:ascii="Times New Roman" w:hAnsi="Times New Roman"/>
                <w:b/>
                <w:sz w:val="24"/>
              </w:rPr>
              <w:t>Mit Kreditsplitting (besichert)</w:t>
            </w:r>
          </w:p>
          <w:p w14:paraId="28B98A7E" w14:textId="6E936DED" w:rsidR="00B731E6" w:rsidRPr="002A518F" w:rsidRDefault="00F26067" w:rsidP="5A0D947F">
            <w:pPr>
              <w:spacing w:after="120"/>
              <w:jc w:val="both"/>
              <w:rPr>
                <w:rFonts w:ascii="Times New Roman" w:hAnsi="Times New Roman" w:cs="Times New Roman"/>
                <w:sz w:val="24"/>
              </w:rPr>
            </w:pPr>
            <w:r w:rsidRPr="002A518F">
              <w:rPr>
                <w:rFonts w:ascii="Times New Roman" w:hAnsi="Times New Roman"/>
                <w:sz w:val="24"/>
              </w:rPr>
              <w:t xml:space="preserve">Besicherter Teil der durch Grundpfandrechte auf Wohnimmobilien besicherten Risikopositionen, auf den das in Artikel 125 Absatz 1 Buchstabe a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beschriebene Kreditsplitting Anwendung findet.</w:t>
            </w:r>
          </w:p>
        </w:tc>
      </w:tr>
      <w:tr w:rsidR="00B731E6" w:rsidRPr="002A518F" w14:paraId="0CDDB3DF" w14:textId="77777777" w:rsidTr="5A0D947F">
        <w:trPr>
          <w:trHeight w:val="507"/>
        </w:trPr>
        <w:tc>
          <w:tcPr>
            <w:tcW w:w="1413" w:type="dxa"/>
            <w:shd w:val="clear" w:color="auto" w:fill="auto"/>
          </w:tcPr>
          <w:p w14:paraId="14E5CE41" w14:textId="2C251DBD"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9.1.3</w:t>
            </w:r>
          </w:p>
        </w:tc>
        <w:tc>
          <w:tcPr>
            <w:tcW w:w="7654" w:type="dxa"/>
            <w:shd w:val="clear" w:color="auto" w:fill="auto"/>
          </w:tcPr>
          <w:p w14:paraId="276011BB" w14:textId="26F29D4D" w:rsidR="00F26067" w:rsidRPr="002A518F" w:rsidRDefault="00F26067" w:rsidP="5A0D947F">
            <w:pPr>
              <w:spacing w:after="120"/>
              <w:jc w:val="both"/>
              <w:rPr>
                <w:rFonts w:ascii="Times New Roman" w:hAnsi="Times New Roman" w:cs="Times New Roman"/>
                <w:b/>
                <w:bCs/>
                <w:sz w:val="24"/>
              </w:rPr>
            </w:pPr>
            <w:r w:rsidRPr="002A518F">
              <w:rPr>
                <w:rFonts w:ascii="Times New Roman" w:hAnsi="Times New Roman"/>
                <w:b/>
                <w:sz w:val="24"/>
              </w:rPr>
              <w:t>Mit Kreditsplitting (unbesichert)</w:t>
            </w:r>
          </w:p>
          <w:p w14:paraId="4F2656D3" w14:textId="6D0A7C23" w:rsidR="00B731E6" w:rsidRPr="002A518F" w:rsidRDefault="00F26067" w:rsidP="5A0D947F">
            <w:pPr>
              <w:spacing w:after="120"/>
              <w:jc w:val="both"/>
              <w:rPr>
                <w:rFonts w:ascii="Times New Roman" w:hAnsi="Times New Roman" w:cs="Times New Roman"/>
                <w:sz w:val="24"/>
              </w:rPr>
            </w:pPr>
            <w:r w:rsidRPr="002A518F">
              <w:rPr>
                <w:rFonts w:ascii="Times New Roman" w:hAnsi="Times New Roman"/>
                <w:sz w:val="24"/>
              </w:rPr>
              <w:t xml:space="preserve">Der verbleibende Teil der durch Grundpfandrechte auf Wohnimmobilien besicherten Risikopositionen, auf den das in Artikel 125 Absatz 1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beschriebene Kreditsplitting Anwendung findet.</w:t>
            </w:r>
          </w:p>
        </w:tc>
      </w:tr>
      <w:tr w:rsidR="00B731E6" w:rsidRPr="002A518F" w14:paraId="2B7F44F7" w14:textId="77777777" w:rsidTr="5A0D947F">
        <w:trPr>
          <w:trHeight w:val="507"/>
        </w:trPr>
        <w:tc>
          <w:tcPr>
            <w:tcW w:w="1413" w:type="dxa"/>
            <w:shd w:val="clear" w:color="auto" w:fill="auto"/>
          </w:tcPr>
          <w:p w14:paraId="304A35F9" w14:textId="540EF342"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9.2</w:t>
            </w:r>
          </w:p>
        </w:tc>
        <w:tc>
          <w:tcPr>
            <w:tcW w:w="7654" w:type="dxa"/>
            <w:shd w:val="clear" w:color="auto" w:fill="auto"/>
          </w:tcPr>
          <w:p w14:paraId="70C82B6D" w14:textId="2D504FDB" w:rsidR="00AF5657" w:rsidRPr="002A518F" w:rsidRDefault="0B701945" w:rsidP="5A0D947F">
            <w:pPr>
              <w:spacing w:after="120"/>
              <w:jc w:val="both"/>
              <w:rPr>
                <w:rFonts w:ascii="Times New Roman" w:hAnsi="Times New Roman" w:cs="Times New Roman"/>
                <w:b/>
                <w:bCs/>
                <w:sz w:val="24"/>
              </w:rPr>
            </w:pPr>
            <w:r w:rsidRPr="002A518F">
              <w:rPr>
                <w:rFonts w:ascii="Times New Roman" w:hAnsi="Times New Roman"/>
                <w:b/>
                <w:sz w:val="24"/>
              </w:rPr>
              <w:t>Durch Grundpfandrechte auf Wohnimmobilien besicherte IPRE-Risikopositionen</w:t>
            </w:r>
          </w:p>
          <w:p w14:paraId="4E83C986" w14:textId="06AEEF5B" w:rsidR="00B731E6" w:rsidRPr="002A518F" w:rsidRDefault="00AF5657" w:rsidP="5A0D947F">
            <w:pPr>
              <w:spacing w:after="120"/>
              <w:jc w:val="both"/>
              <w:rPr>
                <w:rFonts w:ascii="Times New Roman" w:hAnsi="Times New Roman" w:cs="Times New Roman"/>
                <w:sz w:val="24"/>
              </w:rPr>
            </w:pPr>
            <w:r w:rsidRPr="002A518F">
              <w:rPr>
                <w:rFonts w:ascii="Times New Roman" w:hAnsi="Times New Roman"/>
                <w:sz w:val="24"/>
              </w:rPr>
              <w:t xml:space="preserve">Hier werden Risikopositionen ausgewiesen, die die Definition im Sinne des Artikels 4 Absatz 1 Nummer 75b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erfüllen.</w:t>
            </w:r>
          </w:p>
          <w:p w14:paraId="46AB10B2" w14:textId="46493D94" w:rsidR="008D77B1" w:rsidRPr="002A518F" w:rsidRDefault="00BC2787" w:rsidP="5A0D947F">
            <w:pPr>
              <w:spacing w:after="120"/>
              <w:jc w:val="both"/>
              <w:rPr>
                <w:rFonts w:ascii="Times New Roman" w:hAnsi="Times New Roman" w:cs="Times New Roman"/>
                <w:sz w:val="24"/>
              </w:rPr>
            </w:pPr>
            <w:r w:rsidRPr="002A518F">
              <w:rPr>
                <w:rFonts w:ascii="Times New Roman" w:hAnsi="Times New Roman"/>
                <w:sz w:val="24"/>
              </w:rPr>
              <w:t>In dieser Zeile ebenfalls anzugeben ist/sind:</w:t>
            </w:r>
          </w:p>
          <w:p w14:paraId="56D10EDE" w14:textId="53C433B5" w:rsidR="008D77B1" w:rsidRPr="002A518F" w:rsidRDefault="008D77B1" w:rsidP="5A0D947F">
            <w:pPr>
              <w:spacing w:after="120"/>
              <w:jc w:val="both"/>
              <w:rPr>
                <w:rFonts w:ascii="Times New Roman" w:eastAsiaTheme="minorHAnsi" w:hAnsi="Times New Roman" w:cs="Times New Roman"/>
                <w:sz w:val="24"/>
              </w:rPr>
            </w:pPr>
            <w:r w:rsidRPr="002A518F">
              <w:rPr>
                <w:rFonts w:ascii="Times New Roman" w:hAnsi="Times New Roman"/>
                <w:sz w:val="24"/>
              </w:rPr>
              <w:t xml:space="preserve">- sonstige durch Grundpfandrechte auf Wohnimmobilien besicherte IPRE-Risikopositionen, die die Bedingungen des Artikels 124 Absatz 3 nicht </w:t>
            </w:r>
            <w:r w:rsidRPr="002A518F">
              <w:rPr>
                <w:rFonts w:ascii="Times New Roman" w:hAnsi="Times New Roman"/>
                <w:sz w:val="24"/>
              </w:rPr>
              <w:lastRenderedPageBreak/>
              <w:t>erfüllen, oder jeder Teil einer Nicht-ADC-Risikoposition, der den Nominalbetrag des in Artikel 124 Absatz 1 Buchstabe b der Verordnung (EU) Nr. 575/2013 genannten Grundpfandrechts übersteigt;</w:t>
            </w:r>
          </w:p>
          <w:p w14:paraId="54B1CD31" w14:textId="02CC4224" w:rsidR="00DE1541" w:rsidRPr="002A518F" w:rsidRDefault="008D77B1" w:rsidP="5A0D947F">
            <w:pPr>
              <w:spacing w:after="120"/>
              <w:jc w:val="both"/>
              <w:rPr>
                <w:rFonts w:ascii="Times New Roman" w:hAnsi="Times New Roman" w:cs="Times New Roman"/>
                <w:bCs/>
                <w:sz w:val="24"/>
              </w:rPr>
            </w:pPr>
            <w:r w:rsidRPr="002A518F">
              <w:rPr>
                <w:rFonts w:ascii="Times New Roman" w:hAnsi="Times New Roman"/>
                <w:sz w:val="24"/>
              </w:rPr>
              <w:t>- IPRE-Risikopositionen, die eine oder mehrere der in Artikel 124 Absatz 2 Buchstabe a Ziffer ii Nummern 1 bis 4 der Verordnung (EU) Nr. 575/2013 festgelegten Bedingungen erfüllen;</w:t>
            </w:r>
          </w:p>
          <w:p w14:paraId="2A0561A2" w14:textId="62F31EDE" w:rsidR="00BC2787" w:rsidRPr="002A518F" w:rsidRDefault="00DE1541" w:rsidP="5A0D947F">
            <w:pPr>
              <w:spacing w:after="120"/>
              <w:jc w:val="both"/>
              <w:rPr>
                <w:rFonts w:ascii="Times New Roman" w:hAnsi="Times New Roman" w:cs="Times New Roman"/>
                <w:sz w:val="24"/>
              </w:rPr>
            </w:pPr>
            <w:r w:rsidRPr="002A518F">
              <w:rPr>
                <w:rFonts w:ascii="Times New Roman" w:hAnsi="Times New Roman"/>
                <w:sz w:val="24"/>
              </w:rPr>
              <w:t>- IPRE-Risikopositionen, wenn die Ausnahmeregelung nach Artikel 125 Absatz 2 der Verordnung (EU) Nr. 575/2013 Anwendung findet.</w:t>
            </w:r>
          </w:p>
        </w:tc>
      </w:tr>
      <w:tr w:rsidR="00B731E6" w:rsidRPr="002A518F" w14:paraId="755FF524" w14:textId="77777777" w:rsidTr="5A0D947F">
        <w:trPr>
          <w:trHeight w:val="507"/>
        </w:trPr>
        <w:tc>
          <w:tcPr>
            <w:tcW w:w="1413" w:type="dxa"/>
            <w:shd w:val="clear" w:color="auto" w:fill="auto"/>
          </w:tcPr>
          <w:p w14:paraId="4C858BA6" w14:textId="2DD3BA13"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lastRenderedPageBreak/>
              <w:t>9.3</w:t>
            </w:r>
          </w:p>
        </w:tc>
        <w:tc>
          <w:tcPr>
            <w:tcW w:w="7654" w:type="dxa"/>
            <w:shd w:val="clear" w:color="auto" w:fill="auto"/>
          </w:tcPr>
          <w:p w14:paraId="1FB5BC8C" w14:textId="150F29C1" w:rsidR="00AF5657" w:rsidRPr="002A518F" w:rsidRDefault="00B731E6" w:rsidP="00B731E6">
            <w:pPr>
              <w:spacing w:after="120"/>
              <w:jc w:val="both"/>
              <w:rPr>
                <w:rFonts w:ascii="Times New Roman" w:eastAsiaTheme="minorHAnsi" w:hAnsi="Times New Roman" w:cs="Times New Roman"/>
                <w:b/>
                <w:bCs/>
                <w:sz w:val="24"/>
              </w:rPr>
            </w:pPr>
            <w:r w:rsidRPr="002A518F">
              <w:rPr>
                <w:rFonts w:ascii="Times New Roman" w:hAnsi="Times New Roman"/>
                <w:b/>
                <w:sz w:val="24"/>
              </w:rPr>
              <w:t>Durch Grundpfandrechte auf Gewerbeimmobilien besicherte Nicht-IPRE-Risikopositionen</w:t>
            </w:r>
          </w:p>
          <w:p w14:paraId="6D774530" w14:textId="076B20CB" w:rsidR="00B731E6" w:rsidRPr="002A518F" w:rsidRDefault="00AF5657" w:rsidP="00B731E6">
            <w:pPr>
              <w:spacing w:after="120"/>
              <w:jc w:val="both"/>
              <w:rPr>
                <w:rFonts w:ascii="Times New Roman" w:hAnsi="Times New Roman" w:cs="Times New Roman"/>
                <w:bCs/>
                <w:sz w:val="24"/>
              </w:rPr>
            </w:pPr>
            <w:r w:rsidRPr="002A518F">
              <w:rPr>
                <w:rFonts w:ascii="Times New Roman" w:hAnsi="Times New Roman"/>
                <w:sz w:val="24"/>
              </w:rPr>
              <w:t>Risikopositionen, die gemäß Artikel 126 Absatz 1 der Verordnung (EU) Nr. 575/2013 behandelt werden, sind hier anzugeben.</w:t>
            </w:r>
          </w:p>
          <w:p w14:paraId="7E6B1435" w14:textId="2E512A61" w:rsidR="00DA7EF5" w:rsidRPr="002A518F" w:rsidRDefault="0033556A" w:rsidP="00B731E6">
            <w:pPr>
              <w:spacing w:after="120"/>
              <w:jc w:val="both"/>
              <w:rPr>
                <w:rFonts w:ascii="Times New Roman" w:hAnsi="Times New Roman" w:cs="Times New Roman"/>
                <w:bCs/>
                <w:sz w:val="24"/>
              </w:rPr>
            </w:pPr>
            <w:r w:rsidRPr="002A518F">
              <w:rPr>
                <w:rFonts w:ascii="Times New Roman" w:hAnsi="Times New Roman"/>
                <w:sz w:val="24"/>
              </w:rPr>
              <w:t>In dieser Zeile ebenfalls anzugeben ist/sind: sonstige durch Grundpfandrechte auf Gewerbeimmobilien besicherte Nicht-IPRE-Risikopositionen, die die Bedingungen des Artikels 124 Absatz 3 nicht erfüllen, oder jeder Teil einer Nicht-ADC-Risikoposition, der den Nominalbetrag des in Artikel 124 Absatz 1 Buchstabe a der Verordnung (EU) Nr. 575/2013 genannten Grundpfandrechts übersteigt.</w:t>
            </w:r>
          </w:p>
          <w:p w14:paraId="3A4B49EE" w14:textId="21BC011B" w:rsidR="007E0548" w:rsidRPr="002A518F" w:rsidRDefault="007E0548" w:rsidP="00B731E6">
            <w:pPr>
              <w:spacing w:after="120"/>
              <w:jc w:val="both"/>
              <w:rPr>
                <w:rFonts w:ascii="Times New Roman" w:eastAsiaTheme="minorHAnsi" w:hAnsi="Times New Roman" w:cs="Times New Roman"/>
                <w:sz w:val="24"/>
              </w:rPr>
            </w:pPr>
            <w:r w:rsidRPr="002A518F">
              <w:rPr>
                <w:rFonts w:ascii="Times New Roman" w:hAnsi="Times New Roman"/>
                <w:sz w:val="24"/>
              </w:rPr>
              <w:t>Diese Zeile enthält die Summe der Zeilen 9.3.1, 9.3.2 und 9.3.3.</w:t>
            </w:r>
          </w:p>
        </w:tc>
      </w:tr>
      <w:tr w:rsidR="00B731E6" w:rsidRPr="002A518F" w14:paraId="2A6FA185" w14:textId="77777777" w:rsidTr="5A0D947F">
        <w:trPr>
          <w:trHeight w:val="507"/>
        </w:trPr>
        <w:tc>
          <w:tcPr>
            <w:tcW w:w="1413" w:type="dxa"/>
            <w:shd w:val="clear" w:color="auto" w:fill="auto"/>
          </w:tcPr>
          <w:p w14:paraId="49DC0412" w14:textId="50C2D05B"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9.3.1</w:t>
            </w:r>
          </w:p>
        </w:tc>
        <w:tc>
          <w:tcPr>
            <w:tcW w:w="7654" w:type="dxa"/>
            <w:shd w:val="clear" w:color="auto" w:fill="auto"/>
          </w:tcPr>
          <w:p w14:paraId="6F533409" w14:textId="44833E01" w:rsidR="00AF5657" w:rsidRPr="002A518F" w:rsidRDefault="00AF5657" w:rsidP="5A0D947F">
            <w:pPr>
              <w:spacing w:after="120"/>
              <w:jc w:val="both"/>
              <w:rPr>
                <w:rFonts w:ascii="Times New Roman" w:hAnsi="Times New Roman" w:cs="Times New Roman"/>
                <w:b/>
                <w:bCs/>
                <w:sz w:val="24"/>
              </w:rPr>
            </w:pPr>
            <w:r w:rsidRPr="002A518F">
              <w:rPr>
                <w:rFonts w:ascii="Times New Roman" w:hAnsi="Times New Roman"/>
                <w:b/>
                <w:sz w:val="24"/>
              </w:rPr>
              <w:t>Ohne Kreditsplitting</w:t>
            </w:r>
          </w:p>
          <w:p w14:paraId="189515BD" w14:textId="4BE4C9FD" w:rsidR="00B731E6" w:rsidRPr="002A518F" w:rsidRDefault="00AF5657" w:rsidP="5A0D947F">
            <w:pPr>
              <w:spacing w:after="120"/>
              <w:jc w:val="both"/>
              <w:rPr>
                <w:rFonts w:ascii="Times New Roman" w:hAnsi="Times New Roman" w:cs="Times New Roman"/>
                <w:sz w:val="24"/>
              </w:rPr>
            </w:pPr>
            <w:r w:rsidRPr="002A518F">
              <w:rPr>
                <w:rFonts w:ascii="Times New Roman" w:hAnsi="Times New Roman"/>
                <w:sz w:val="24"/>
              </w:rPr>
              <w:t xml:space="preserve">Durch Grundpfandrechte auf Gewerbeimmobilien besicherte Risikopositionen, auf die das in Artikel 126 Absatz 1 </w:t>
            </w:r>
            <w:r w:rsidRPr="002A518F">
              <w:rPr>
                <w:rFonts w:ascii="Times New Roman" w:hAnsi="Times New Roman"/>
                <w:color w:val="000000" w:themeColor="text1"/>
                <w:sz w:val="24"/>
              </w:rPr>
              <w:t>der Verordnung (EU) Nr. 575/2013</w:t>
            </w:r>
            <w:r w:rsidRPr="002A518F">
              <w:rPr>
                <w:rFonts w:ascii="Times New Roman" w:hAnsi="Times New Roman"/>
                <w:sz w:val="24"/>
              </w:rPr>
              <w:t xml:space="preserve"> beschriebene Kreditsplitting keine Anwendung findet.</w:t>
            </w:r>
          </w:p>
        </w:tc>
      </w:tr>
      <w:tr w:rsidR="00B731E6" w:rsidRPr="002A518F" w14:paraId="536C5813" w14:textId="77777777" w:rsidTr="5A0D947F">
        <w:trPr>
          <w:trHeight w:val="507"/>
        </w:trPr>
        <w:tc>
          <w:tcPr>
            <w:tcW w:w="1413" w:type="dxa"/>
            <w:shd w:val="clear" w:color="auto" w:fill="auto"/>
          </w:tcPr>
          <w:p w14:paraId="17942517" w14:textId="2325CC59"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9.3.2</w:t>
            </w:r>
          </w:p>
        </w:tc>
        <w:tc>
          <w:tcPr>
            <w:tcW w:w="7654" w:type="dxa"/>
            <w:shd w:val="clear" w:color="auto" w:fill="auto"/>
          </w:tcPr>
          <w:p w14:paraId="2A4977BE" w14:textId="7C1D3936" w:rsidR="00AF5657" w:rsidRPr="002A518F" w:rsidRDefault="00AF5657" w:rsidP="5A0D947F">
            <w:pPr>
              <w:spacing w:after="120"/>
              <w:jc w:val="both"/>
              <w:rPr>
                <w:rFonts w:ascii="Times New Roman" w:hAnsi="Times New Roman" w:cs="Times New Roman"/>
                <w:b/>
                <w:bCs/>
                <w:sz w:val="24"/>
              </w:rPr>
            </w:pPr>
            <w:r w:rsidRPr="002A518F">
              <w:rPr>
                <w:rFonts w:ascii="Times New Roman" w:hAnsi="Times New Roman"/>
                <w:b/>
                <w:sz w:val="24"/>
              </w:rPr>
              <w:t>Mit Kreditsplitting (besichert)</w:t>
            </w:r>
          </w:p>
          <w:p w14:paraId="295F988E" w14:textId="163AC587" w:rsidR="00B731E6" w:rsidRPr="002A518F" w:rsidRDefault="00AF5657" w:rsidP="5A0D947F">
            <w:pPr>
              <w:spacing w:after="120"/>
              <w:jc w:val="both"/>
              <w:rPr>
                <w:rFonts w:ascii="Times New Roman" w:hAnsi="Times New Roman" w:cs="Times New Roman"/>
                <w:sz w:val="24"/>
              </w:rPr>
            </w:pPr>
            <w:r w:rsidRPr="002A518F">
              <w:rPr>
                <w:rFonts w:ascii="Times New Roman" w:hAnsi="Times New Roman"/>
                <w:sz w:val="24"/>
              </w:rPr>
              <w:t xml:space="preserve">Besicherter Teil der durch Grundpfandrechte auf Gewerbeimmobilien besicherten Risikopositionen, auf den das in Artikel 126 Absatz 1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beschriebene Kreditsplitting Anwendung findet.</w:t>
            </w:r>
          </w:p>
        </w:tc>
      </w:tr>
      <w:tr w:rsidR="00B731E6" w:rsidRPr="002A518F" w14:paraId="32A17F28" w14:textId="77777777" w:rsidTr="5A0D947F">
        <w:trPr>
          <w:trHeight w:val="507"/>
        </w:trPr>
        <w:tc>
          <w:tcPr>
            <w:tcW w:w="1413" w:type="dxa"/>
            <w:shd w:val="clear" w:color="auto" w:fill="auto"/>
          </w:tcPr>
          <w:p w14:paraId="7E7BBE98" w14:textId="308FFA9D"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9.3.3</w:t>
            </w:r>
          </w:p>
        </w:tc>
        <w:tc>
          <w:tcPr>
            <w:tcW w:w="7654" w:type="dxa"/>
            <w:shd w:val="clear" w:color="auto" w:fill="auto"/>
          </w:tcPr>
          <w:p w14:paraId="4ECB5244" w14:textId="1E8E28D6" w:rsidR="00AF5657" w:rsidRPr="002A518F" w:rsidRDefault="00AF5657" w:rsidP="5A0D947F">
            <w:pPr>
              <w:spacing w:after="120"/>
              <w:jc w:val="both"/>
              <w:rPr>
                <w:rFonts w:ascii="Times New Roman" w:hAnsi="Times New Roman" w:cs="Times New Roman"/>
                <w:b/>
                <w:bCs/>
                <w:sz w:val="24"/>
              </w:rPr>
            </w:pPr>
            <w:r w:rsidRPr="002A518F">
              <w:rPr>
                <w:rFonts w:ascii="Times New Roman" w:hAnsi="Times New Roman"/>
                <w:b/>
                <w:sz w:val="24"/>
              </w:rPr>
              <w:t>Mit Kreditsplitting (unbesichert)</w:t>
            </w:r>
          </w:p>
          <w:p w14:paraId="6C4BCA6C" w14:textId="42BC1D87" w:rsidR="00B731E6" w:rsidRPr="002A518F" w:rsidRDefault="00AF5657" w:rsidP="5A0D947F">
            <w:pPr>
              <w:spacing w:after="120"/>
              <w:jc w:val="both"/>
              <w:rPr>
                <w:rFonts w:ascii="Times New Roman" w:hAnsi="Times New Roman" w:cs="Times New Roman"/>
                <w:sz w:val="24"/>
              </w:rPr>
            </w:pPr>
            <w:r w:rsidRPr="002A518F">
              <w:rPr>
                <w:rFonts w:ascii="Times New Roman" w:hAnsi="Times New Roman"/>
                <w:sz w:val="24"/>
              </w:rPr>
              <w:t xml:space="preserve">Der verbleibende Teil der durch Grundpfandrechte auf Gewerbeimmobilien besicherten Risikopositionen, auf den das in Artikel 126 Absatz 1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beschriebene Kreditsplitting Anwendung findet.</w:t>
            </w:r>
          </w:p>
        </w:tc>
      </w:tr>
      <w:tr w:rsidR="00B731E6" w:rsidRPr="002A518F" w14:paraId="75CE8B5A" w14:textId="77777777" w:rsidTr="5A0D947F">
        <w:trPr>
          <w:trHeight w:val="507"/>
        </w:trPr>
        <w:tc>
          <w:tcPr>
            <w:tcW w:w="1413" w:type="dxa"/>
            <w:shd w:val="clear" w:color="auto" w:fill="auto"/>
          </w:tcPr>
          <w:p w14:paraId="7897E6FD" w14:textId="412E48BE"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9.4</w:t>
            </w:r>
          </w:p>
        </w:tc>
        <w:tc>
          <w:tcPr>
            <w:tcW w:w="7654" w:type="dxa"/>
            <w:shd w:val="clear" w:color="auto" w:fill="auto"/>
          </w:tcPr>
          <w:p w14:paraId="5DC2F5DD" w14:textId="1CB33C48" w:rsidR="00AF5657" w:rsidRPr="002A518F" w:rsidRDefault="0B701945" w:rsidP="5A0D947F">
            <w:pPr>
              <w:spacing w:after="120"/>
              <w:jc w:val="both"/>
              <w:rPr>
                <w:rFonts w:ascii="Times New Roman" w:hAnsi="Times New Roman" w:cs="Times New Roman"/>
                <w:b/>
                <w:bCs/>
                <w:sz w:val="24"/>
              </w:rPr>
            </w:pPr>
            <w:r w:rsidRPr="002A518F">
              <w:rPr>
                <w:rFonts w:ascii="Times New Roman" w:hAnsi="Times New Roman"/>
                <w:b/>
                <w:sz w:val="24"/>
              </w:rPr>
              <w:t>Durch Grundpfandrechte auf Gewerbeimmobilien besicherte IPRE-Risikopositionen</w:t>
            </w:r>
          </w:p>
          <w:p w14:paraId="6B5C20F3" w14:textId="71121DB7" w:rsidR="00B731E6" w:rsidRPr="002A518F" w:rsidRDefault="00AF5657" w:rsidP="5A0D947F">
            <w:pPr>
              <w:spacing w:after="120"/>
              <w:jc w:val="both"/>
              <w:rPr>
                <w:rFonts w:ascii="Times New Roman" w:hAnsi="Times New Roman" w:cs="Times New Roman"/>
                <w:sz w:val="24"/>
              </w:rPr>
            </w:pPr>
            <w:r w:rsidRPr="002A518F">
              <w:rPr>
                <w:rFonts w:ascii="Times New Roman" w:hAnsi="Times New Roman"/>
                <w:sz w:val="24"/>
              </w:rPr>
              <w:t xml:space="preserve">Hier dürfen nur Risikopositionen ausgewiesen werden, die die Definition im Sinne des Artikels 4 Absatz 1 Nummer 75b und des Artikels 124 Absatz 2 Buchstabe b Ziffer ii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erfüllen.</w:t>
            </w:r>
          </w:p>
          <w:p w14:paraId="753C2F57" w14:textId="77777777" w:rsidR="008D77B1" w:rsidRPr="002A518F" w:rsidRDefault="00DA7EF5" w:rsidP="5A0D947F">
            <w:pPr>
              <w:spacing w:after="120"/>
              <w:jc w:val="both"/>
              <w:rPr>
                <w:rFonts w:ascii="Times New Roman" w:hAnsi="Times New Roman" w:cs="Times New Roman"/>
                <w:sz w:val="24"/>
              </w:rPr>
            </w:pPr>
            <w:r w:rsidRPr="002A518F">
              <w:rPr>
                <w:rFonts w:ascii="Times New Roman" w:hAnsi="Times New Roman"/>
                <w:sz w:val="24"/>
              </w:rPr>
              <w:t>In dieser Zeile ebenfalls anzugeben ist/sind:</w:t>
            </w:r>
          </w:p>
          <w:p w14:paraId="5FECF5F7" w14:textId="5AE5B58A" w:rsidR="008D77B1" w:rsidRPr="002A518F" w:rsidRDefault="008D77B1" w:rsidP="5A0D947F">
            <w:pPr>
              <w:spacing w:after="120"/>
              <w:jc w:val="both"/>
              <w:rPr>
                <w:rFonts w:ascii="Times New Roman" w:eastAsiaTheme="minorHAnsi" w:hAnsi="Times New Roman" w:cs="Times New Roman"/>
                <w:sz w:val="24"/>
              </w:rPr>
            </w:pPr>
            <w:r w:rsidRPr="002A518F">
              <w:rPr>
                <w:rFonts w:ascii="Times New Roman" w:hAnsi="Times New Roman"/>
                <w:sz w:val="24"/>
              </w:rPr>
              <w:t xml:space="preserve">- sonstige durch Grundpfandrechte auf Gewerbeimmobilien besicherte IPRE-Risikopositionen, die die Bedingungen des Artikels 124 Absatz 3 nicht erfüllen, oder jeder Teil einer Nicht-ADC-Risikoposition, der den </w:t>
            </w:r>
            <w:r w:rsidRPr="002A518F">
              <w:rPr>
                <w:rFonts w:ascii="Times New Roman" w:hAnsi="Times New Roman"/>
                <w:sz w:val="24"/>
              </w:rPr>
              <w:lastRenderedPageBreak/>
              <w:t>Nominalbetrag des in Artikel 124 Absatz 1 Buchstabe b der Verordnung (EU) Nr. 575/2013 genannten Grundpfandrechts übersteigt;</w:t>
            </w:r>
          </w:p>
          <w:p w14:paraId="7685605B" w14:textId="29DF1160" w:rsidR="00DA7EF5" w:rsidRPr="002A518F" w:rsidRDefault="008D77B1" w:rsidP="5A0D947F">
            <w:pPr>
              <w:spacing w:after="120"/>
              <w:jc w:val="both"/>
              <w:rPr>
                <w:rFonts w:ascii="Times New Roman" w:hAnsi="Times New Roman" w:cs="Times New Roman"/>
                <w:bCs/>
                <w:sz w:val="24"/>
              </w:rPr>
            </w:pPr>
            <w:r w:rsidRPr="002A518F">
              <w:rPr>
                <w:rFonts w:ascii="Times New Roman" w:hAnsi="Times New Roman"/>
                <w:sz w:val="24"/>
              </w:rPr>
              <w:t>- IPRE-Risikopositionen, wenn die Ausnahmeregelung nach Artikel 126 Absatz 2 der Verordnung (EU) Nr. 575/2014 Anwendung findet.</w:t>
            </w:r>
          </w:p>
        </w:tc>
      </w:tr>
      <w:tr w:rsidR="00B731E6" w:rsidRPr="002A518F" w14:paraId="20764392" w14:textId="77777777" w:rsidTr="5A0D947F">
        <w:trPr>
          <w:trHeight w:val="507"/>
        </w:trPr>
        <w:tc>
          <w:tcPr>
            <w:tcW w:w="1413" w:type="dxa"/>
            <w:shd w:val="clear" w:color="auto" w:fill="auto"/>
          </w:tcPr>
          <w:p w14:paraId="0FC4E51F" w14:textId="36B43C49"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lastRenderedPageBreak/>
              <w:t>9.5</w:t>
            </w:r>
          </w:p>
        </w:tc>
        <w:tc>
          <w:tcPr>
            <w:tcW w:w="7654" w:type="dxa"/>
            <w:shd w:val="clear" w:color="auto" w:fill="auto"/>
          </w:tcPr>
          <w:p w14:paraId="341A3252" w14:textId="49B1967E" w:rsidR="00AF5657" w:rsidRPr="002A518F" w:rsidRDefault="0B701945" w:rsidP="5A0D947F">
            <w:pPr>
              <w:spacing w:after="120"/>
              <w:jc w:val="both"/>
              <w:rPr>
                <w:rFonts w:ascii="Times New Roman" w:hAnsi="Times New Roman" w:cs="Times New Roman"/>
                <w:b/>
                <w:bCs/>
                <w:sz w:val="24"/>
              </w:rPr>
            </w:pPr>
            <w:r w:rsidRPr="002A518F">
              <w:rPr>
                <w:rFonts w:ascii="Times New Roman" w:hAnsi="Times New Roman"/>
                <w:b/>
                <w:sz w:val="24"/>
              </w:rPr>
              <w:t>Grunderwerb, Erschließung und Bau (ADC)</w:t>
            </w:r>
          </w:p>
          <w:p w14:paraId="0F969F9F" w14:textId="52C7FD3B" w:rsidR="00B731E6" w:rsidRPr="002A518F" w:rsidRDefault="00AF5657" w:rsidP="5A0D947F">
            <w:pPr>
              <w:spacing w:after="120"/>
              <w:jc w:val="both"/>
              <w:rPr>
                <w:rFonts w:ascii="Times New Roman" w:hAnsi="Times New Roman" w:cs="Times New Roman"/>
                <w:sz w:val="24"/>
              </w:rPr>
            </w:pPr>
            <w:r w:rsidRPr="002A518F">
              <w:rPr>
                <w:rFonts w:ascii="Times New Roman" w:hAnsi="Times New Roman"/>
                <w:sz w:val="24"/>
              </w:rPr>
              <w:t xml:space="preserve">Hier dürfen nur Risikopositionen ausgewiesen werden, die die Definition im Sinne des Artikels 4 Absatz 1 Nummer 78a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erfüllen.</w:t>
            </w:r>
          </w:p>
        </w:tc>
      </w:tr>
      <w:tr w:rsidR="00B731E6" w:rsidRPr="002A518F" w14:paraId="55E6C904" w14:textId="77777777" w:rsidTr="5A0D947F">
        <w:trPr>
          <w:trHeight w:val="4791"/>
        </w:trPr>
        <w:tc>
          <w:tcPr>
            <w:tcW w:w="1413" w:type="dxa"/>
          </w:tcPr>
          <w:p w14:paraId="1A19FACE" w14:textId="25B6BF34" w:rsidR="00B731E6" w:rsidRPr="002A518F" w:rsidRDefault="6D7E96F7">
            <w:pPr>
              <w:spacing w:after="120"/>
              <w:jc w:val="both"/>
              <w:rPr>
                <w:rFonts w:ascii="Times New Roman" w:eastAsia="Times New Roman" w:hAnsi="Times New Roman" w:cs="Times New Roman"/>
                <w:sz w:val="24"/>
              </w:rPr>
            </w:pPr>
            <w:r w:rsidRPr="002A518F">
              <w:rPr>
                <w:rFonts w:ascii="Times New Roman" w:hAnsi="Times New Roman"/>
                <w:sz w:val="24"/>
              </w:rPr>
              <w:t>EU 10c</w:t>
            </w:r>
          </w:p>
        </w:tc>
        <w:tc>
          <w:tcPr>
            <w:tcW w:w="7654" w:type="dxa"/>
          </w:tcPr>
          <w:p w14:paraId="44064BA9" w14:textId="08D5F5C0" w:rsidR="00AF5657" w:rsidRPr="002A518F" w:rsidRDefault="00B731E6" w:rsidP="00B731E6">
            <w:pPr>
              <w:spacing w:after="120"/>
              <w:jc w:val="both"/>
              <w:rPr>
                <w:rFonts w:ascii="Times New Roman" w:eastAsiaTheme="minorHAnsi" w:hAnsi="Times New Roman" w:cs="Times New Roman"/>
                <w:b/>
                <w:bCs/>
                <w:sz w:val="24"/>
              </w:rPr>
            </w:pPr>
            <w:r w:rsidRPr="002A518F">
              <w:rPr>
                <w:rFonts w:ascii="Times New Roman" w:hAnsi="Times New Roman"/>
                <w:b/>
                <w:sz w:val="24"/>
              </w:rPr>
              <w:t>Sonstige Positionen</w:t>
            </w:r>
          </w:p>
          <w:p w14:paraId="71B77EE9" w14:textId="278AF798" w:rsidR="00B731E6" w:rsidRPr="002A518F" w:rsidRDefault="00AF5657" w:rsidP="00B731E6">
            <w:pPr>
              <w:spacing w:after="120"/>
              <w:jc w:val="both"/>
              <w:rPr>
                <w:rFonts w:ascii="Times New Roman" w:eastAsiaTheme="minorHAnsi" w:hAnsi="Times New Roman" w:cs="Times New Roman"/>
                <w:sz w:val="24"/>
              </w:rPr>
            </w:pPr>
            <w:r w:rsidRPr="002A518F">
              <w:rPr>
                <w:rFonts w:ascii="Times New Roman" w:hAnsi="Times New Roman"/>
                <w:sz w:val="24"/>
              </w:rPr>
              <w:t>Die Risikopositionsklasse bezieht sich auf</w:t>
            </w:r>
          </w:p>
          <w:p w14:paraId="278C94D3" w14:textId="04BF2D6B" w:rsidR="00B731E6" w:rsidRPr="002A518F" w:rsidRDefault="00B731E6" w:rsidP="00B731E6">
            <w:pPr>
              <w:spacing w:after="120"/>
              <w:jc w:val="both"/>
              <w:rPr>
                <w:rFonts w:ascii="Times New Roman" w:eastAsiaTheme="minorHAnsi" w:hAnsi="Times New Roman" w:cs="Times New Roman"/>
                <w:sz w:val="24"/>
              </w:rPr>
            </w:pPr>
            <w:r w:rsidRPr="002A518F">
              <w:rPr>
                <w:rFonts w:ascii="Times New Roman" w:hAnsi="Times New Roman"/>
                <w:sz w:val="24"/>
              </w:rPr>
              <w:t xml:space="preserve">- Aktiva mit einem spezifischen Risikogewicht gemäß Artikel 134 von Teil 3 Titel II Kapitel 4 der </w:t>
            </w:r>
            <w:r w:rsidRPr="002A518F">
              <w:rPr>
                <w:rFonts w:ascii="Times New Roman" w:hAnsi="Times New Roman"/>
                <w:color w:val="000000" w:themeColor="text1"/>
                <w:sz w:val="24"/>
              </w:rPr>
              <w:t>Verordnung (EU) Nr. 575/2013</w:t>
            </w:r>
            <w:r w:rsidRPr="002A518F">
              <w:rPr>
                <w:rFonts w:ascii="Times New Roman" w:hAnsi="Times New Roman"/>
                <w:sz w:val="24"/>
              </w:rPr>
              <w:t>;</w:t>
            </w:r>
          </w:p>
          <w:p w14:paraId="573636F2" w14:textId="044BB2FD" w:rsidR="00B731E6" w:rsidRPr="002A518F" w:rsidRDefault="0B701945" w:rsidP="5A0D947F">
            <w:pPr>
              <w:spacing w:after="120"/>
              <w:jc w:val="both"/>
              <w:rPr>
                <w:rFonts w:ascii="Times New Roman" w:hAnsi="Times New Roman" w:cs="Times New Roman"/>
                <w:sz w:val="24"/>
              </w:rPr>
            </w:pPr>
            <w:r w:rsidRPr="002A518F">
              <w:rPr>
                <w:rFonts w:ascii="Times New Roman" w:hAnsi="Times New Roman"/>
                <w:sz w:val="24"/>
              </w:rPr>
              <w:t xml:space="preserve">- Aktiva, die in Anwendung von Artikel 39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(Steuerüberzahlungen, Verlustrückträge und nicht von der künftigen Rentabilität abhängige latente Steueransprüche), Artikel 41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(Vermögenswerte aus Pensionsfonds mit Leistungszusage), Artikel 46 und Artikel 469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(nicht wesentliche Beteiligungen am harten Kernkapital (CET1) von Unternehmen der Finanzbranche), Artikel 49 und Artikel 471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(Beteiligungen an Versicherungsunternehmen, unabhängig davon, ob diese gemäß der Richtlinie über Finanzkonglomerate beaufsichtigt werden), Artikel 60 und Artikel 475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(nicht wesentliche und wesentliche direkte, indirekte und synthetische Positionen in Instrumenten des zusätzlichen Kernkapitals (AT1) von Unternehmen der Finanzbranche), Artikel 70 und Artikel 477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(nicht wesentliche und wesentliche direkte, indirekte und synthetische Beteiligungen am Ergänzungskapital (T2) von Unternehmen der Finanzbranche) nicht in Abzug gebracht werden, wenn sie nicht anderen Risikopositionsklassen zugeordnet sind, sowie qualifizierte Beteiligungen außerhalb der Finanzbranche, wenn sie nicht in Anwendung von Anwendung von Artikel 36 Buchstabe k in Teil 2 Titel I Kapitel 1 der </w:t>
            </w:r>
            <w:r w:rsidRPr="002A518F">
              <w:rPr>
                <w:rFonts w:ascii="Times New Roman" w:hAnsi="Times New Roman"/>
                <w:color w:val="000000" w:themeColor="text1"/>
                <w:sz w:val="24"/>
              </w:rPr>
              <w:t>Verordnung (EU) Nr. 575/2013</w:t>
            </w:r>
            <w:r w:rsidRPr="002A518F">
              <w:rPr>
                <w:rFonts w:ascii="Times New Roman" w:hAnsi="Times New Roman"/>
                <w:sz w:val="24"/>
              </w:rPr>
              <w:t xml:space="preserve"> mit 1250 % risikogewichtet sind.</w:t>
            </w:r>
          </w:p>
        </w:tc>
      </w:tr>
      <w:tr w:rsidR="006D3144" w:rsidRPr="002A518F" w14:paraId="5BD2F47E" w14:textId="77777777" w:rsidTr="00FB64CF">
        <w:trPr>
          <w:trHeight w:val="643"/>
        </w:trPr>
        <w:tc>
          <w:tcPr>
            <w:tcW w:w="1413" w:type="dxa"/>
            <w:shd w:val="clear" w:color="auto" w:fill="D9D9D9" w:themeFill="background1" w:themeFillShade="D9"/>
          </w:tcPr>
          <w:p w14:paraId="264F36FD" w14:textId="11D07211" w:rsidR="006D3144" w:rsidRPr="002A518F" w:rsidRDefault="006D3144">
            <w:pPr>
              <w:spacing w:after="120"/>
              <w:jc w:val="both"/>
              <w:rPr>
                <w:rFonts w:ascii="Times New Roman" w:eastAsia="Times New Roman" w:hAnsi="Times New Roman" w:cs="Times New Roman"/>
                <w:sz w:val="24"/>
              </w:rPr>
            </w:pPr>
            <w:r w:rsidRPr="002A518F">
              <w:rPr>
                <w:rFonts w:ascii="Times New Roman" w:hAnsi="Times New Roman"/>
                <w:sz w:val="24"/>
              </w:rPr>
              <w:t>11</w:t>
            </w:r>
          </w:p>
        </w:tc>
        <w:tc>
          <w:tcPr>
            <w:tcW w:w="7654" w:type="dxa"/>
            <w:shd w:val="clear" w:color="auto" w:fill="D9D9D9" w:themeFill="background1" w:themeFillShade="D9"/>
          </w:tcPr>
          <w:p w14:paraId="47FD4F2B" w14:textId="1FCF9627" w:rsidR="006D3144" w:rsidRPr="002A518F" w:rsidRDefault="006D3144" w:rsidP="00B731E6">
            <w:pPr>
              <w:spacing w:after="120"/>
              <w:jc w:val="both"/>
              <w:rPr>
                <w:rFonts w:ascii="Times New Roman" w:eastAsiaTheme="minorHAnsi" w:hAnsi="Times New Roman" w:cs="Times New Roman"/>
                <w:sz w:val="24"/>
              </w:rPr>
            </w:pPr>
            <w:r w:rsidRPr="002A518F">
              <w:rPr>
                <w:rFonts w:ascii="Times New Roman" w:hAnsi="Times New Roman"/>
                <w:sz w:val="24"/>
              </w:rPr>
              <w:t>Entfällt.</w:t>
            </w:r>
          </w:p>
        </w:tc>
      </w:tr>
      <w:tr w:rsidR="00B731E6" w:rsidRPr="002A518F"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2A518F" w:rsidRDefault="00B731E6" w:rsidP="00B731E6">
            <w:pPr>
              <w:autoSpaceDE w:val="0"/>
              <w:autoSpaceDN w:val="0"/>
              <w:adjustRightInd w:val="0"/>
              <w:spacing w:after="120"/>
              <w:jc w:val="both"/>
              <w:rPr>
                <w:rFonts w:ascii="Times New Roman" w:eastAsia="Times New Roman" w:hAnsi="Times New Roman" w:cs="Times New Roman"/>
                <w:sz w:val="24"/>
              </w:rPr>
            </w:pPr>
            <w:r w:rsidRPr="002A518F">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2A518F" w:rsidRDefault="00B731E6" w:rsidP="00B731E6">
            <w:pPr>
              <w:spacing w:after="120"/>
              <w:jc w:val="both"/>
              <w:rPr>
                <w:rFonts w:ascii="Times New Roman" w:hAnsi="Times New Roman" w:cs="Times New Roman"/>
                <w:b/>
                <w:bCs/>
                <w:sz w:val="24"/>
              </w:rPr>
            </w:pPr>
            <w:r w:rsidRPr="002A518F">
              <w:rPr>
                <w:rFonts w:ascii="Times New Roman" w:hAnsi="Times New Roman"/>
                <w:b/>
                <w:sz w:val="24"/>
              </w:rPr>
              <w:t>Gesamt</w:t>
            </w:r>
          </w:p>
          <w:p w14:paraId="463C4A08" w14:textId="7392B85F" w:rsidR="00B731E6" w:rsidRPr="002A518F" w:rsidRDefault="00AF5657" w:rsidP="00B731E6">
            <w:pPr>
              <w:spacing w:after="120"/>
              <w:jc w:val="both"/>
              <w:rPr>
                <w:rFonts w:ascii="Times New Roman" w:hAnsi="Times New Roman" w:cs="Times New Roman"/>
                <w:sz w:val="24"/>
              </w:rPr>
            </w:pPr>
            <w:r w:rsidRPr="002A518F">
              <w:rPr>
                <w:rFonts w:ascii="Times New Roman" w:hAnsi="Times New Roman"/>
                <w:sz w:val="24"/>
              </w:rPr>
              <w:t>Summe der Zeilen 1, 2, 3, EU 3a, 4, 5, 6, 7, 8, 9, 10, EU 10a, EU 10b, EU 10c.</w:t>
            </w:r>
          </w:p>
        </w:tc>
      </w:tr>
    </w:tbl>
    <w:p w14:paraId="63408E1A" w14:textId="77777777" w:rsidR="008B70BD" w:rsidRPr="002A518F" w:rsidRDefault="008B70BD" w:rsidP="0005278F">
      <w:pPr>
        <w:spacing w:after="120"/>
        <w:rPr>
          <w:rFonts w:ascii="Times New Roman" w:hAnsi="Times New Roman" w:cs="Times New Roman"/>
          <w:sz w:val="24"/>
        </w:rPr>
      </w:pPr>
    </w:p>
    <w:p w14:paraId="137E39BA" w14:textId="67FE8595" w:rsidR="00993FC2" w:rsidRPr="002A518F" w:rsidRDefault="00993FC2">
      <w:pPr>
        <w:rPr>
          <w:rFonts w:ascii="Times New Roman" w:hAnsi="Times New Roman" w:cs="Times New Roman"/>
        </w:rPr>
      </w:pPr>
    </w:p>
    <w:sectPr w:rsidR="00993FC2" w:rsidRPr="002A518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rPr>
          <w:color w:val="444444"/>
        </w:rPr>
        <w:t>)</w:t>
      </w:r>
      <w:r>
        <w:t>.</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 xml:space="preserve"> </w:t>
      </w:r>
      <w:r>
        <w:tab/>
        <w:t>Delegierte Verordnung (EU) Nr. 183/2014 der Kommission vom 20. Dezember 2013 zur Ergänzung der Verordnung (EU) Nr. 575/2013 des Europäischen Parlaments und des Rates über Aufsichtsanforderungen an Kreditinstitute und Wertpapierfirmen durch technische Regulierungsstandards zur Festlegung der Berechnung der spezifischen und allgemeinen Kreditrisikoanpassungen (ABl. L 57 vom 27.2.2014,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80685"/>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A518F"/>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347D"/>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83FD4"/>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AD741B92-80FD-4DE4-AAD4-206166ED0F9B}"/>
</file>

<file path=customXml/itemProps3.xml><?xml version="1.0" encoding="utf-8"?>
<ds:datastoreItem xmlns:ds="http://schemas.openxmlformats.org/officeDocument/2006/customXml" ds:itemID="{B4014A41-7CB4-431F-847D-46887811BDAE}"/>
</file>

<file path=customXml/itemProps4.xml><?xml version="1.0" encoding="utf-8"?>
<ds:datastoreItem xmlns:ds="http://schemas.openxmlformats.org/officeDocument/2006/customXml" ds:itemID="{37731680-5593-4A3D-B867-47E92DC2171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3627</Words>
  <Characters>18791</Characters>
  <Application>Microsoft Office Word</Application>
  <DocSecurity>0</DocSecurity>
  <Lines>481</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