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77777777" w:rsidR="00F43911" w:rsidRPr="007F4CC8" w:rsidRDefault="00F43911" w:rsidP="00F43911">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t>LIITE XXVI – Lomakkeet vastapuoliriskin julkistamista varten: ohjeet</w:t>
      </w:r>
    </w:p>
    <w:p w14:paraId="4C2BDA19" w14:textId="77B83EEA"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Laitosten on julkistettava asetuksen (EU) N:o 575/2013 439 artiklassa tarkoitetut tiedot vastuistaan, joihin kohdistuu asetuksen (EU) N:o 575/2013</w:t>
      </w:r>
      <w:r w:rsidRPr="007F4CC8">
        <w:rPr>
          <w:rStyle w:val="FootnoteReference"/>
          <w:color w:val="auto"/>
          <w:lang w:val="en-GB"/>
        </w:rPr>
        <w:footnoteReference w:id="1"/>
      </w:r>
      <w:r>
        <w:rPr>
          <w:rFonts w:ascii="Times New Roman" w:hAnsi="Times New Roman"/>
          <w:color w:val="auto"/>
          <w:sz w:val="24"/>
        </w:rPr>
        <w:t xml:space="preserve"> (vakavaraisuusasetus) kolmannen osan II osaston 6 luvussa tarkoitettu vastapuoliriski, noudattamalla tässä liitteessä annettuja ohjeita täyttääkseen EPV:n tietoteknisten ratkaisujen liitteessä XXV olevat lomakkeet. </w:t>
      </w:r>
    </w:p>
    <w:p w14:paraId="495AC274" w14:textId="77777777" w:rsidR="00F43911" w:rsidRPr="007F4CC8" w:rsidRDefault="00F43911" w:rsidP="00F43911">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Lomake EU CCRA – Vastapuoliriskiin liittyvä laadullinen julkistaminen:</w:t>
      </w:r>
      <w:r>
        <w:rPr>
          <w:rFonts w:ascii="Times New Roman" w:hAnsi="Times New Roman"/>
          <w:sz w:val="24"/>
        </w:rPr>
        <w:t xml:space="preserve"> </w:t>
      </w:r>
      <w:r>
        <w:rPr>
          <w:rFonts w:ascii="Times New Roman" w:hAnsi="Times New Roman"/>
          <w:color w:val="000000"/>
          <w:sz w:val="24"/>
        </w:rPr>
        <w:t xml:space="preserve">vapaamuotoiset tekstikentät </w:t>
      </w:r>
    </w:p>
    <w:p w14:paraId="39E2C005" w14:textId="60AA582D" w:rsidR="00F43911" w:rsidRPr="007F4CC8" w:rsidRDefault="00F43911" w:rsidP="00F43911">
      <w:pPr>
        <w:pStyle w:val="Titlelevel2"/>
        <w:numPr>
          <w:ilvl w:val="0"/>
          <w:numId w:val="2"/>
        </w:numPr>
        <w:spacing w:before="0"/>
        <w:jc w:val="both"/>
        <w:rPr>
          <w:rFonts w:ascii="Times New Roman" w:hAnsi="Times New Roman" w:cs="Times New Roman"/>
          <w:sz w:val="24"/>
        </w:rPr>
      </w:pPr>
      <w:r>
        <w:rPr>
          <w:rFonts w:ascii="Times New Roman" w:hAnsi="Times New Roman"/>
          <w:color w:val="auto"/>
          <w:sz w:val="24"/>
        </w:rPr>
        <w:t xml:space="preserve">Laitosten on julkistettava asetuksen </w:t>
      </w:r>
      <w:r>
        <w:rPr>
          <w:rFonts w:ascii="Times New Roman" w:hAnsi="Times New Roman"/>
          <w:color w:val="000000"/>
          <w:sz w:val="24"/>
        </w:rPr>
        <w:t xml:space="preserve">(EU) N:o 575/2013 439 artiklan a–d alakohdassa </w:t>
      </w:r>
      <w:r>
        <w:rPr>
          <w:rFonts w:ascii="Times New Roman" w:hAnsi="Times New Roman"/>
          <w:color w:val="auto"/>
          <w:sz w:val="24"/>
        </w:rPr>
        <w:t xml:space="preserve">tarkoitetut tiedot noudattamalla jäljempänä tässä liitteessä annettuja ohjeita täyttääkseen </w:t>
      </w:r>
      <w:r>
        <w:rPr>
          <w:rFonts w:ascii="Times New Roman" w:hAnsi="Times New Roman"/>
          <w:color w:val="000000"/>
          <w:sz w:val="24"/>
        </w:rPr>
        <w:t>EPV:n tietoteknisten ratkaisujen liitteessä XXV olevan taulukon EU CCRA</w:t>
      </w:r>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Lainsäädäntöviittaukset ja ohjeet</w:t>
            </w:r>
          </w:p>
        </w:tc>
      </w:tr>
      <w:tr w:rsidR="00F43911" w:rsidRPr="007F4CC8" w14:paraId="4303C7D7" w14:textId="77777777" w:rsidTr="00D73CC9">
        <w:trPr>
          <w:trHeight w:val="238"/>
        </w:trPr>
        <w:tc>
          <w:tcPr>
            <w:tcW w:w="1555"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Rivinumero</w:t>
            </w:r>
          </w:p>
        </w:tc>
        <w:tc>
          <w:tcPr>
            <w:tcW w:w="7484"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Selitys</w:t>
            </w:r>
          </w:p>
        </w:tc>
      </w:tr>
      <w:tr w:rsidR="00F43911" w:rsidRPr="007F4CC8" w14:paraId="090E4832" w14:textId="77777777" w:rsidTr="00D73CC9">
        <w:trPr>
          <w:trHeight w:val="680"/>
        </w:trPr>
        <w:tc>
          <w:tcPr>
            <w:tcW w:w="1555" w:type="dxa"/>
          </w:tcPr>
          <w:p w14:paraId="03165275" w14:textId="00AC5281" w:rsidR="00F43911" w:rsidRPr="007F4CC8" w:rsidRDefault="00F43911" w:rsidP="004F3087">
            <w:pPr>
              <w:pStyle w:val="Applicationdirecte"/>
              <w:spacing w:before="0" w:after="240"/>
              <w:jc w:val="center"/>
            </w:pPr>
            <w:r>
              <w:t>a</w:t>
            </w:r>
            <w:r w:rsidR="005D0D72">
              <w:t>)</w:t>
            </w:r>
          </w:p>
        </w:tc>
        <w:tc>
          <w:tcPr>
            <w:tcW w:w="7484" w:type="dxa"/>
            <w:vAlign w:val="center"/>
          </w:tcPr>
          <w:p w14:paraId="0A6613B2" w14:textId="69564A45"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Julkistaessaan asetuksen (EU) N:o 575/2013 439 artiklan a alakohdassa edellytettyjä tietoja laitosten on annettava kuvaus menetelmistä, joita käytetään vastapuoliriskien osalta sisäisen pääoman kohdentamisessa ja luottolimiittien asettamisessa, myös menetelmistä, joilla nämä limiitit asetetaan keskusvastapuoliin liittyville vastuille.</w:t>
            </w:r>
          </w:p>
        </w:tc>
      </w:tr>
      <w:tr w:rsidR="00F43911" w:rsidRPr="007F4CC8" w14:paraId="5C895156" w14:textId="77777777" w:rsidTr="00D73CC9">
        <w:trPr>
          <w:trHeight w:val="680"/>
        </w:trPr>
        <w:tc>
          <w:tcPr>
            <w:tcW w:w="1555" w:type="dxa"/>
          </w:tcPr>
          <w:p w14:paraId="03F456F0" w14:textId="77777777" w:rsidR="00F43911" w:rsidRPr="007F4CC8" w:rsidRDefault="00F43911" w:rsidP="004F3087">
            <w:pPr>
              <w:pStyle w:val="Applicationdirecte"/>
              <w:spacing w:before="0" w:after="240"/>
              <w:jc w:val="center"/>
            </w:pPr>
            <w:r>
              <w:t>b)</w:t>
            </w:r>
          </w:p>
        </w:tc>
        <w:tc>
          <w:tcPr>
            <w:tcW w:w="7484" w:type="dxa"/>
          </w:tcPr>
          <w:p w14:paraId="4FB7E2EC" w14:textId="2E6C1B13"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Julkistaessaan asetuksen (EU) N:o 575/2013 439 artiklan b alakohdassa edellytettyjä tietoja laitosten on annettava </w:t>
            </w:r>
            <w:r>
              <w:rPr>
                <w:rFonts w:ascii="Times New Roman" w:hAnsi="Times New Roman"/>
                <w:color w:val="000000"/>
                <w:sz w:val="24"/>
              </w:rPr>
              <w:t>kuvaus toimintatavoista, jotka liittyvät takauksiin ja muihin luottoriskiä vähentäviin tekijöihin, kuten toimintatavoista, joita käytetään vakuuksien turvaamisessa ja luottorahastojen perustamisessa.</w:t>
            </w:r>
          </w:p>
        </w:tc>
      </w:tr>
      <w:tr w:rsidR="00F43911" w:rsidRPr="007F4CC8" w14:paraId="0916C922" w14:textId="77777777" w:rsidTr="00D73CC9">
        <w:trPr>
          <w:trHeight w:val="436"/>
        </w:trPr>
        <w:tc>
          <w:tcPr>
            <w:tcW w:w="1555" w:type="dxa"/>
          </w:tcPr>
          <w:p w14:paraId="1B024A74" w14:textId="77777777" w:rsidR="00F43911" w:rsidRPr="007F4CC8" w:rsidRDefault="00F43911" w:rsidP="004F3087">
            <w:pPr>
              <w:pStyle w:val="Applicationdirecte"/>
              <w:spacing w:before="0" w:after="240"/>
              <w:jc w:val="center"/>
            </w:pPr>
            <w:r>
              <w:t>c)</w:t>
            </w:r>
          </w:p>
        </w:tc>
        <w:tc>
          <w:tcPr>
            <w:tcW w:w="7484" w:type="dxa"/>
          </w:tcPr>
          <w:p w14:paraId="41EF016F" w14:textId="29B7C31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Julkistaessaan asetuksen (EU) N:o 575/2013 439 artiklan c alakohdassa edellytettyjä tietoja laitosten on annettava </w:t>
            </w:r>
            <w:r>
              <w:rPr>
                <w:rFonts w:ascii="Times New Roman" w:hAnsi="Times New Roman"/>
                <w:color w:val="000000"/>
                <w:sz w:val="24"/>
              </w:rPr>
              <w:t>kuvaus</w:t>
            </w:r>
            <w:r>
              <w:rPr>
                <w:rFonts w:ascii="Times New Roman" w:hAnsi="Times New Roman"/>
                <w:sz w:val="24"/>
              </w:rPr>
              <w:t xml:space="preserve"> sellaisiin vastuisiin sovellettavista menettelytavoista, joihin kohdistuu asetuksen (EU) N:o 575/2013 291 artiklassa määritelty wrong-way-riski.</w:t>
            </w:r>
          </w:p>
        </w:tc>
      </w:tr>
      <w:tr w:rsidR="00F43911" w:rsidRPr="007F4CC8" w14:paraId="111B3E08" w14:textId="77777777" w:rsidTr="00D73CC9">
        <w:trPr>
          <w:trHeight w:val="557"/>
        </w:trPr>
        <w:tc>
          <w:tcPr>
            <w:tcW w:w="1555" w:type="dxa"/>
          </w:tcPr>
          <w:p w14:paraId="4A2ECD9B" w14:textId="77777777" w:rsidR="00F43911" w:rsidRPr="007F4CC8" w:rsidRDefault="00F43911" w:rsidP="004F3087">
            <w:pPr>
              <w:pStyle w:val="Applicationdirecte"/>
              <w:spacing w:before="0" w:after="240"/>
              <w:jc w:val="center"/>
            </w:pPr>
            <w:r>
              <w:t>d)</w:t>
            </w:r>
          </w:p>
        </w:tc>
        <w:tc>
          <w:tcPr>
            <w:tcW w:w="7484" w:type="dxa"/>
          </w:tcPr>
          <w:p w14:paraId="00928C41" w14:textId="09C5003D"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color w:val="000000"/>
                <w:sz w:val="24"/>
              </w:rPr>
              <w:t>Asetuksen (EU) N:o 575/2013 431 artiklan 3 ja 4 kohdan mukaan laitosten on täydennettävä edellä mainittuja tietoja tiedoilla, jotka koskevat kaikkia muita mahdollisia vastapuoliriskiin liittyviä riskienhallintatavoitteita ja -käytänteitä.</w:t>
            </w:r>
          </w:p>
        </w:tc>
      </w:tr>
      <w:tr w:rsidR="00F43911" w:rsidRPr="007F4CC8" w14:paraId="54F07496" w14:textId="77777777" w:rsidTr="00D73CC9">
        <w:trPr>
          <w:trHeight w:val="557"/>
        </w:trPr>
        <w:tc>
          <w:tcPr>
            <w:tcW w:w="1555" w:type="dxa"/>
          </w:tcPr>
          <w:p w14:paraId="5D277706" w14:textId="77777777" w:rsidR="00F43911" w:rsidRPr="007F4CC8" w:rsidRDefault="00F43911" w:rsidP="004F3087">
            <w:pPr>
              <w:pStyle w:val="Applicationdirecte"/>
              <w:spacing w:before="0" w:after="240"/>
              <w:jc w:val="center"/>
            </w:pPr>
            <w:r>
              <w:t>e)</w:t>
            </w:r>
          </w:p>
        </w:tc>
        <w:tc>
          <w:tcPr>
            <w:tcW w:w="7484" w:type="dxa"/>
          </w:tcPr>
          <w:p w14:paraId="4E0DF669" w14:textId="65A6C953"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color w:val="000000"/>
                <w:sz w:val="24"/>
              </w:rPr>
              <w:t xml:space="preserve">Julkistaessaan asetuksen (EU) N:o 575/2013 439 artiklan d alakohdassa edellytettyjä tietoja laitosten on ilmoitettava niiden vakuuksien määrä, jotka niiden olisi annettava, jos niiden luottoluokitusta alennettaisiin. </w:t>
            </w:r>
          </w:p>
          <w:p w14:paraId="08B2F868"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color w:val="000000"/>
                <w:sz w:val="24"/>
              </w:rPr>
              <w:t xml:space="preserve">Jos jäsenvaltion keskuspankki antaa maksuvalmiusapua vakuudellisia vaihtosopimuksia koskevien transaktioiden muodossa, toimivaltainen </w:t>
            </w:r>
            <w:r>
              <w:rPr>
                <w:rFonts w:ascii="Times New Roman" w:hAnsi="Times New Roman"/>
                <w:color w:val="000000"/>
                <w:sz w:val="24"/>
              </w:rPr>
              <w:lastRenderedPageBreak/>
              <w:t>viranomainen voi poikkeuksellisesti olla vaatimatta laitoksilta näitä tietoja, jos se katsoo, että niiden julkistaminen voisi paljastaa hätätilanteisiin liittyvän maksuvalmiusavun antamisen. Toimivaltaisen viranomaisen on vahvistettava tätä varten asianmukaiset kynnysarvot ja objektiiviset kriteerit.</w:t>
            </w:r>
          </w:p>
        </w:tc>
      </w:tr>
    </w:tbl>
    <w:p w14:paraId="27B59149" w14:textId="77777777" w:rsidR="00F43911" w:rsidRPr="00F70273" w:rsidRDefault="00F43911" w:rsidP="00F43911">
      <w:pPr>
        <w:pStyle w:val="Titlelevel2"/>
        <w:spacing w:before="0"/>
        <w:rPr>
          <w:rFonts w:ascii="Times New Roman" w:hAnsi="Times New Roman" w:cs="Times New Roman"/>
          <w:b/>
          <w:color w:val="auto"/>
          <w:sz w:val="24"/>
        </w:rPr>
      </w:pPr>
    </w:p>
    <w:p w14:paraId="7B935B7B"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Lomake EU CCR1 – Vastapuoliriskivastuiden analyysi menetelmän mukaan: </w:t>
      </w:r>
      <w:r>
        <w:rPr>
          <w:rFonts w:ascii="Times New Roman" w:hAnsi="Times New Roman"/>
          <w:color w:val="auto"/>
          <w:sz w:val="24"/>
        </w:rPr>
        <w:t>Vakiomuotoinen lomake.</w:t>
      </w:r>
    </w:p>
    <w:p w14:paraId="5F298634" w14:textId="50AAEB3C"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Laitosten on julkistettava asetuksen (EU) N:o 575/2013 439 artiklan f, g ja k alakohdassa </w:t>
      </w:r>
      <w:r>
        <w:rPr>
          <w:rFonts w:ascii="Times New Roman" w:hAnsi="Times New Roman"/>
          <w:color w:val="auto"/>
          <w:sz w:val="24"/>
        </w:rPr>
        <w:t xml:space="preserve">tarkoitetut tiedot noudattamalla jäljempänä tässä liitteessä annettuja ohjeita täyttääkseen </w:t>
      </w:r>
      <w:r>
        <w:rPr>
          <w:rFonts w:ascii="Times New Roman" w:hAnsi="Times New Roman"/>
          <w:color w:val="000000"/>
          <w:sz w:val="24"/>
        </w:rPr>
        <w:t>EPV:n tietoteknisten ratkaisujen liitteessä XXV olevan lomakkeen EU CCR1</w:t>
      </w:r>
      <w:r>
        <w:rPr>
          <w:rFonts w:ascii="Times New Roman" w:hAnsi="Times New Roman"/>
          <w:sz w:val="24"/>
        </w:rPr>
        <w:t>.</w:t>
      </w:r>
    </w:p>
    <w:p w14:paraId="570E50EE" w14:textId="6EAB5FC6"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000000"/>
          <w:sz w:val="24"/>
        </w:rPr>
        <w:t>Tässä lomakkeessa ei oteta huomioon omien varojen vaatimuksia vastuun arvonoikaisuriskin osalta</w:t>
      </w:r>
      <w:r>
        <w:rPr>
          <w:rFonts w:ascii="Times New Roman" w:hAnsi="Times New Roman"/>
          <w:color w:val="auto"/>
          <w:sz w:val="24"/>
        </w:rPr>
        <w:t xml:space="preserve"> (asetuksen (EU) N:o 575/2013 kolmannen osan VI osasto)</w:t>
      </w:r>
      <w:r>
        <w:rPr>
          <w:rFonts w:ascii="Times New Roman" w:hAnsi="Times New Roman"/>
          <w:color w:val="000000"/>
          <w:sz w:val="24"/>
        </w:rPr>
        <w:t xml:space="preserve"> eikä keskusvastapuoleen liittyviä vastuita</w:t>
      </w:r>
      <w:r>
        <w:rPr>
          <w:rFonts w:ascii="Times New Roman" w:hAnsi="Times New Roman"/>
          <w:color w:val="auto"/>
          <w:sz w:val="24"/>
        </w:rPr>
        <w:t xml:space="preserve"> (asetuksen (EU) N:o 575/2013 kolmannen osan II osaston 6 luvun 9 jakso),</w:t>
      </w:r>
      <w:r>
        <w:rPr>
          <w:rFonts w:ascii="Times New Roman" w:hAnsi="Times New Roman"/>
          <w:color w:val="000000"/>
          <w:sz w:val="24"/>
        </w:rPr>
        <w:t xml:space="preserve"> sellaisina kuin ne on määritelty lomaketta EU CCR8 varten.</w:t>
      </w:r>
      <w:r>
        <w:t xml:space="preserve"> </w:t>
      </w:r>
      <w:r>
        <w:rPr>
          <w:rFonts w:ascii="Times New Roman" w:hAnsi="Times New Roman"/>
          <w:color w:val="000000"/>
          <w:sz w:val="24"/>
        </w:rPr>
        <w:t>Arvopapereilla toteutettavien rahoitustoimien osalta lomakkeessa otetaan huomioon vastuuarvot sitä ennen ja sen jälkeen, kun asetuksen (EU) N:o 575/2013</w:t>
      </w:r>
      <w:r>
        <w:rPr>
          <w:rFonts w:ascii="Times New Roman" w:hAnsi="Times New Roman"/>
          <w:color w:val="auto"/>
          <w:sz w:val="24"/>
        </w:rPr>
        <w:t xml:space="preserve"> kolmannen osan II osaston 4 ja 6 luvussa</w:t>
      </w:r>
      <w:r>
        <w:rPr>
          <w:rFonts w:ascii="Times New Roman" w:hAnsi="Times New Roman"/>
          <w:color w:val="000000"/>
          <w:sz w:val="24"/>
        </w:rPr>
        <w:t xml:space="preserve"> vahvistettujen menetelmien mukaisesti on soveltuvaa menetelmää käyttäen määritetty luottoriskin vähentämisen vaikutus,</w:t>
      </w:r>
      <w:r>
        <w:rPr>
          <w:rFonts w:ascii="Times New Roman" w:hAnsi="Times New Roman"/>
          <w:color w:val="auto"/>
          <w:sz w:val="24"/>
        </w:rPr>
        <w:t xml:space="preserve"> ja asiaan liittyvät riskille alttiina olevat määrät sovellettavan menetelmän mukaisesti jaoteltuna,</w:t>
      </w:r>
      <w:r>
        <w:rPr>
          <w:rFonts w:ascii="Times New Roman" w:hAnsi="Times New Roman"/>
          <w:color w:val="000000"/>
          <w:sz w:val="24"/>
        </w:rPr>
        <w:t xml:space="preserve"> kuten asetuksen (EU) N:o 575/2013 439 artiklan g alakohdassa säädetään.</w:t>
      </w:r>
    </w:p>
    <w:p w14:paraId="5B43A4B5" w14:textId="294B364B"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Laitosten, jotka käyttävät asetuksen (EU) N:o 575/2013 kolmannen osan II osaston 6 luvun 4–5 jaksossa vahvistettuja menetelmiä, on ilmoitettava lomakkeeseen liitetyssä selostuksessa tase-eriin ja taseen ulkopuolisiin eriin sisältyvä johdannaisiin liittyvän liiketoiminnan koko laskettuna tapauksen mukaan asetuksen (EU) N:o 575/2013 273 a artiklan 1 tai 2 kohdan mukaisesti, kuten kyseisen asetuksen 439 artiklan m alakohdassa säädetään.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Lainsäädäntöviitteet ja ohjeet</w:t>
            </w:r>
          </w:p>
        </w:tc>
      </w:tr>
      <w:tr w:rsidR="00F43911" w:rsidRPr="007F4CC8" w14:paraId="44A608CD" w14:textId="77777777" w:rsidTr="0072756E">
        <w:trPr>
          <w:trHeight w:val="238"/>
        </w:trPr>
        <w:tc>
          <w:tcPr>
            <w:tcW w:w="1555"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Rivinumero</w:t>
            </w:r>
          </w:p>
        </w:tc>
        <w:tc>
          <w:tcPr>
            <w:tcW w:w="7484"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Selitys</w:t>
            </w:r>
          </w:p>
        </w:tc>
      </w:tr>
      <w:tr w:rsidR="00F43911" w:rsidRPr="007F4CC8" w14:paraId="12C559C4" w14:textId="77777777" w:rsidTr="0072756E">
        <w:trPr>
          <w:trHeight w:val="680"/>
        </w:trPr>
        <w:tc>
          <w:tcPr>
            <w:tcW w:w="1555" w:type="dxa"/>
          </w:tcPr>
          <w:p w14:paraId="30AC7598" w14:textId="77777777" w:rsidR="00F43911" w:rsidRPr="007F4CC8" w:rsidRDefault="00F43911" w:rsidP="004F3087">
            <w:pPr>
              <w:pStyle w:val="Applicationdirecte"/>
              <w:spacing w:before="0" w:after="240"/>
              <w:jc w:val="center"/>
            </w:pPr>
            <w:r>
              <w:t>EU-1</w:t>
            </w:r>
          </w:p>
        </w:tc>
        <w:tc>
          <w:tcPr>
            <w:tcW w:w="7484" w:type="dxa"/>
          </w:tcPr>
          <w:p w14:paraId="632808E1"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Alkuperäisen hankinta-arvon menetelmä (johdannaisille)</w:t>
            </w:r>
          </w:p>
          <w:p w14:paraId="11E99694" w14:textId="456EAC3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Tässä ilmoitetaan johdannaiset ja pitkän selvitysajan liiketoimet, joiden osalta laitokset ovat valinneet vastuuarvon laskentamenetelmäksi </w:t>
            </w:r>
            <w:r>
              <w:rPr>
                <w:rFonts w:ascii="Times New Roman" w:hAnsi="Times New Roman"/>
                <w:color w:val="000000"/>
                <w:sz w:val="24"/>
              </w:rPr>
              <w:t>alfa</w:t>
            </w:r>
            <w:r>
              <w:rPr>
                <w:rFonts w:ascii="Times New Roman" w:hAnsi="Times New Roman"/>
                <w:sz w:val="24"/>
              </w:rPr>
              <w:t>*</w:t>
            </w:r>
            <w:r>
              <w:rPr>
                <w:rFonts w:ascii="Times New Roman" w:hAnsi="Times New Roman"/>
                <w:color w:val="000000"/>
                <w:sz w:val="24"/>
              </w:rPr>
              <w:t>(</w:t>
            </w:r>
            <w:r>
              <w:rPr>
                <w:rFonts w:ascii="Times New Roman" w:hAnsi="Times New Roman"/>
                <w:sz w:val="24"/>
              </w:rPr>
              <w:t xml:space="preserve">RC+PFE), </w:t>
            </w:r>
            <w:r>
              <w:rPr>
                <w:rFonts w:ascii="Times New Roman" w:hAnsi="Times New Roman"/>
                <w:color w:val="000000"/>
                <w:sz w:val="24"/>
              </w:rPr>
              <w:t>jossa α = 1,4</w:t>
            </w:r>
            <w:r>
              <w:rPr>
                <w:rFonts w:ascii="Times New Roman" w:hAnsi="Times New Roman"/>
                <w:sz w:val="24"/>
              </w:rPr>
              <w:t xml:space="preserve"> ja jossa RC (jälleenhankinta-arvo) ja PFE (mahdollinen tuleva luottoriski) on laskettu asetuksen (EU) N:o 575/2013 kolmannen osan II osaston 6 luvun 5 jaksossa olevan 282 artiklan mukaisesti.</w:t>
            </w:r>
          </w:p>
          <w:p w14:paraId="49426263" w14:textId="41D2ADED"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Tätä yksinkertaistettua johdannaispositioiden vastuuarvon laskentamenetelmää voivat käyttää ainoastaan laitokset, jotka täyttävät</w:t>
            </w:r>
            <w:r>
              <w:rPr>
                <w:rFonts w:ascii="Times New Roman" w:hAnsi="Times New Roman"/>
                <w:i/>
                <w:sz w:val="24"/>
              </w:rPr>
              <w:t xml:space="preserve"> </w:t>
            </w:r>
            <w:r>
              <w:rPr>
                <w:rFonts w:ascii="Times New Roman" w:hAnsi="Times New Roman"/>
                <w:sz w:val="24"/>
              </w:rPr>
              <w:t>asetuksen (EU) N:o 575/2013 kolmannen osan II osaston 6 luvussa olevan 273 a artiklan 2 tai 4 kohdassa asetetut edellytykset.</w:t>
            </w:r>
          </w:p>
        </w:tc>
      </w:tr>
      <w:tr w:rsidR="00F43911" w:rsidRPr="007F4CC8" w14:paraId="554E3BC9" w14:textId="77777777" w:rsidTr="0072756E">
        <w:trPr>
          <w:trHeight w:val="680"/>
        </w:trPr>
        <w:tc>
          <w:tcPr>
            <w:tcW w:w="1555" w:type="dxa"/>
          </w:tcPr>
          <w:p w14:paraId="381179F6" w14:textId="77777777" w:rsidR="00F43911" w:rsidRPr="007F4CC8" w:rsidRDefault="00F43911" w:rsidP="004F3087">
            <w:pPr>
              <w:pStyle w:val="Applicationdirecte"/>
              <w:spacing w:before="0" w:after="240"/>
              <w:jc w:val="center"/>
            </w:pPr>
            <w:r>
              <w:lastRenderedPageBreak/>
              <w:t>EU-2</w:t>
            </w:r>
          </w:p>
        </w:tc>
        <w:tc>
          <w:tcPr>
            <w:tcW w:w="7484" w:type="dxa"/>
          </w:tcPr>
          <w:p w14:paraId="1180B055"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Yksinkertaistettu vastapuoliriskin standardimenetelmä (yksinkertaistettu SA-CCR-menetelmä) (yksinkertaistettu SA-CCR-menetelmä johdannaisille)</w:t>
            </w:r>
          </w:p>
          <w:p w14:paraId="10F957D1" w14:textId="4A672A0C"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Tässä ilmoitetaan johdannaiset ja pitkän selvitysajan liiketoimet, joiden osalta laitokset ovat valinneet vastuuarvon laskentamenetelmäksi </w:t>
            </w:r>
            <w:r>
              <w:rPr>
                <w:rFonts w:ascii="Times New Roman" w:hAnsi="Times New Roman"/>
                <w:color w:val="000000"/>
                <w:sz w:val="24"/>
              </w:rPr>
              <w:t>alfa</w:t>
            </w:r>
            <w:r>
              <w:rPr>
                <w:rFonts w:ascii="Times New Roman" w:hAnsi="Times New Roman"/>
                <w:sz w:val="24"/>
              </w:rPr>
              <w:t>*</w:t>
            </w:r>
            <w:r>
              <w:rPr>
                <w:rFonts w:ascii="Times New Roman" w:hAnsi="Times New Roman"/>
                <w:color w:val="000000"/>
                <w:sz w:val="24"/>
              </w:rPr>
              <w:t>(</w:t>
            </w:r>
            <w:r>
              <w:rPr>
                <w:rFonts w:ascii="Times New Roman" w:hAnsi="Times New Roman"/>
                <w:sz w:val="24"/>
              </w:rPr>
              <w:t xml:space="preserve">RC+PFE), </w:t>
            </w:r>
            <w:r>
              <w:rPr>
                <w:rFonts w:ascii="Times New Roman" w:hAnsi="Times New Roman"/>
                <w:color w:val="000000"/>
                <w:sz w:val="24"/>
              </w:rPr>
              <w:t>jossa α = 1,4</w:t>
            </w:r>
            <w:r>
              <w:rPr>
                <w:rFonts w:ascii="Times New Roman" w:hAnsi="Times New Roman"/>
                <w:sz w:val="24"/>
              </w:rPr>
              <w:t xml:space="preserve"> ja jossa RC (jälleenhankinta-arvo) ja PFE (mahdollinen tuleva luottoriski) on laskettu asetuksen (EU) N:o 575/2013 kolmannen osan II osaston 6 luvun 4 jaksossa olevan 281 artiklan mukaisesti.</w:t>
            </w:r>
          </w:p>
          <w:p w14:paraId="48AAA379" w14:textId="72C4FD1A"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 xml:space="preserve">Tätä yksinkertaistettua standardimenetelmää johdannaispositioiden vastuuarvon laskemiseksi voivat käyttää ainoastaan laitokset, jotka täyttävät asetuksen (EU) N:o 575/2013 kolmannen osan II osaston 6 luvussa olevan 273 a artiklan 1 tai 4 kohdassa asetetut edellytykset. </w:t>
            </w:r>
          </w:p>
        </w:tc>
      </w:tr>
      <w:tr w:rsidR="00F43911" w:rsidRPr="007F4CC8" w14:paraId="3680CF86" w14:textId="77777777" w:rsidTr="0072756E">
        <w:trPr>
          <w:trHeight w:val="680"/>
        </w:trPr>
        <w:tc>
          <w:tcPr>
            <w:tcW w:w="1555" w:type="dxa"/>
          </w:tcPr>
          <w:p w14:paraId="35587E43" w14:textId="77777777" w:rsidR="00F43911" w:rsidRPr="007F4CC8" w:rsidRDefault="00F43911" w:rsidP="004F3087">
            <w:pPr>
              <w:pStyle w:val="Applicationdirecte"/>
              <w:spacing w:before="0" w:after="240"/>
              <w:jc w:val="center"/>
            </w:pPr>
            <w:r>
              <w:t>1</w:t>
            </w:r>
          </w:p>
        </w:tc>
        <w:tc>
          <w:tcPr>
            <w:tcW w:w="7484" w:type="dxa"/>
          </w:tcPr>
          <w:p w14:paraId="1EF0ADED"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Vastapuoliriskin standardimenetelmä (SA-CCR-menetelmä) (SA-CCR-menetelmä johdannaisille)</w:t>
            </w:r>
          </w:p>
          <w:p w14:paraId="124D31EB" w14:textId="0A2EBA1F"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 xml:space="preserve">Tässä ilmoitetaan johdannaiset ja pitkän selvitysajan liiketoimet, joiden osalta laitokset ovat valinneet vastuuarvon laskentamenetelmäksi alfa*(RC+PFE), jossa α = 1,4 ja jossa RC (jälleenhankinta-arvo) ja PFE (mahdollinen tuleva luottoriski) on laskettu </w:t>
            </w:r>
            <w:r>
              <w:rPr>
                <w:rFonts w:ascii="Times New Roman" w:hAnsi="Times New Roman"/>
                <w:color w:val="auto"/>
              </w:rPr>
              <w:t>asetuksen (EU) N:o 575/2013</w:t>
            </w:r>
            <w:r>
              <w:rPr>
                <w:rFonts w:ascii="Times New Roman" w:hAnsi="Times New Roman"/>
              </w:rPr>
              <w:t xml:space="preserve"> kolmannen osan II osaston 6 luvun 3 jakson mukaisesti.</w:t>
            </w:r>
          </w:p>
        </w:tc>
      </w:tr>
      <w:tr w:rsidR="00F43911" w:rsidRPr="007F4CC8" w14:paraId="578C8E76" w14:textId="77777777" w:rsidTr="0072756E">
        <w:trPr>
          <w:trHeight w:val="680"/>
        </w:trPr>
        <w:tc>
          <w:tcPr>
            <w:tcW w:w="1555" w:type="dxa"/>
          </w:tcPr>
          <w:p w14:paraId="06A628A4" w14:textId="77777777" w:rsidR="00F43911" w:rsidRPr="007F4CC8" w:rsidRDefault="00F43911" w:rsidP="004F3087">
            <w:pPr>
              <w:pStyle w:val="Applicationdirecte"/>
              <w:spacing w:before="0" w:after="240"/>
              <w:jc w:val="center"/>
              <w:rPr>
                <w:highlight w:val="yellow"/>
              </w:rPr>
            </w:pPr>
            <w:r>
              <w:t>2</w:t>
            </w:r>
          </w:p>
        </w:tc>
        <w:tc>
          <w:tcPr>
            <w:tcW w:w="7484" w:type="dxa"/>
          </w:tcPr>
          <w:p w14:paraId="2F71D0B4"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Sisäisen mallin menetelmä (IMM) (johdannaisille ja arvopapereilla toteutettaville rahoitustoimille)</w:t>
            </w:r>
          </w:p>
          <w:p w14:paraId="3C605AEA" w14:textId="3DA6EB7D" w:rsidR="00F43911" w:rsidRPr="007F4CC8" w:rsidRDefault="00F43911" w:rsidP="004F3087">
            <w:pPr>
              <w:autoSpaceDE w:val="0"/>
              <w:autoSpaceDN w:val="0"/>
              <w:adjustRightInd w:val="0"/>
              <w:spacing w:after="240"/>
              <w:jc w:val="both"/>
              <w:rPr>
                <w:rFonts w:ascii="Times New Roman" w:hAnsi="Times New Roman" w:cs="Times New Roman"/>
                <w:i/>
                <w:sz w:val="24"/>
              </w:rPr>
            </w:pPr>
            <w:r>
              <w:rPr>
                <w:rFonts w:ascii="Times New Roman" w:hAnsi="Times New Roman"/>
                <w:color w:val="000000"/>
                <w:sz w:val="24"/>
              </w:rPr>
              <w:t>Tässä ilmoitetaan johdannaiset</w:t>
            </w:r>
            <w:r>
              <w:rPr>
                <w:rFonts w:ascii="Times New Roman" w:hAnsi="Times New Roman"/>
                <w:sz w:val="24"/>
              </w:rPr>
              <w:t xml:space="preserve">, pitkän selvitysajan liiketoimet </w:t>
            </w:r>
            <w:r>
              <w:rPr>
                <w:rFonts w:ascii="Times New Roman" w:hAnsi="Times New Roman"/>
                <w:color w:val="000000"/>
                <w:sz w:val="24"/>
              </w:rPr>
              <w:t>ja arvopapereilla toteutettavat rahoitustoimet, joille laitokset ovat saaneet luvan laskea vastuuarvon käyttäen sisäisen mallin menetelmää (IMM)</w:t>
            </w:r>
            <w:r>
              <w:rPr>
                <w:rFonts w:ascii="Times New Roman" w:hAnsi="Times New Roman"/>
                <w:sz w:val="24"/>
              </w:rPr>
              <w:t xml:space="preserve"> asetuksen (EU) N:o 575/2013 kolmannen osan II osaston 6 luvun 6 jakson mukaisesti</w:t>
            </w:r>
            <w:r>
              <w:rPr>
                <w:rFonts w:ascii="Times New Roman" w:hAnsi="Times New Roman"/>
                <w:color w:val="000000"/>
                <w:sz w:val="24"/>
              </w:rPr>
              <w:t>.</w:t>
            </w:r>
          </w:p>
        </w:tc>
      </w:tr>
      <w:tr w:rsidR="00F43911" w:rsidRPr="007F4CC8" w14:paraId="143A2404" w14:textId="77777777" w:rsidTr="0072756E">
        <w:trPr>
          <w:trHeight w:val="680"/>
        </w:trPr>
        <w:tc>
          <w:tcPr>
            <w:tcW w:w="1555" w:type="dxa"/>
          </w:tcPr>
          <w:p w14:paraId="46421B56" w14:textId="77777777" w:rsidR="00F43911" w:rsidRPr="007F4CC8" w:rsidRDefault="00F43911" w:rsidP="004F3087">
            <w:pPr>
              <w:pStyle w:val="Applicationdirecte"/>
              <w:spacing w:before="0" w:after="240"/>
              <w:jc w:val="center"/>
            </w:pPr>
            <w:r>
              <w:t>EU-2a</w:t>
            </w:r>
          </w:p>
        </w:tc>
        <w:tc>
          <w:tcPr>
            <w:tcW w:w="7484" w:type="dxa"/>
          </w:tcPr>
          <w:p w14:paraId="711F7D3E"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Josta: arvopapereilla toteutettavien rahoitustoimien nettoutusryhmät</w:t>
            </w:r>
          </w:p>
          <w:p w14:paraId="6014ACE8" w14:textId="47A4E50A"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Tässä ilmoitetaan nettoutusryhmät, jotka sisältävät ainoastaan sellaisia </w:t>
            </w:r>
            <w:r>
              <w:rPr>
                <w:rFonts w:ascii="Times New Roman" w:hAnsi="Times New Roman"/>
                <w:color w:val="auto"/>
              </w:rPr>
              <w:t>asetuksen (EU) N:o 575/2013</w:t>
            </w:r>
            <w:r>
              <w:rPr>
                <w:rFonts w:ascii="Times New Roman" w:hAnsi="Times New Roman"/>
              </w:rPr>
              <w:t xml:space="preserve"> 4 artiklan 1 kohdan 139 alakohdassa määriteltyjä arvopapereilla toteutettavia rahoitustoimia, joiden osalta laitokset ovat saaneet luvan määrittää vastuuarvon sisäisen mallin menetelmää käyttäen.</w:t>
            </w:r>
          </w:p>
        </w:tc>
      </w:tr>
      <w:tr w:rsidR="00F43911" w:rsidRPr="007F4CC8" w14:paraId="2A9527B7" w14:textId="77777777" w:rsidTr="0072756E">
        <w:trPr>
          <w:trHeight w:val="680"/>
        </w:trPr>
        <w:tc>
          <w:tcPr>
            <w:tcW w:w="1555" w:type="dxa"/>
          </w:tcPr>
          <w:p w14:paraId="158457DE" w14:textId="77777777" w:rsidR="00F43911" w:rsidRPr="007F4CC8" w:rsidRDefault="00F43911" w:rsidP="004F3087">
            <w:pPr>
              <w:pStyle w:val="Applicationdirecte"/>
              <w:spacing w:before="0" w:after="240"/>
              <w:jc w:val="center"/>
            </w:pPr>
            <w:r>
              <w:t>EU-2b</w:t>
            </w:r>
          </w:p>
        </w:tc>
        <w:tc>
          <w:tcPr>
            <w:tcW w:w="7484" w:type="dxa"/>
          </w:tcPr>
          <w:p w14:paraId="112B8BC9"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Josta: johdannaisten ja pitkän selvitysajan liiketoimien nettoutusryhmät</w:t>
            </w:r>
          </w:p>
          <w:p w14:paraId="4E9E50F8" w14:textId="68959B51"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 xml:space="preserve">Tässä ilmoitetaan nettoutusryhmät, jotka sisältävät ainoastaan sellaisia </w:t>
            </w:r>
            <w:r>
              <w:rPr>
                <w:rFonts w:ascii="Times New Roman" w:hAnsi="Times New Roman"/>
                <w:color w:val="auto"/>
              </w:rPr>
              <w:t>asetuksen (EU) N:o 575/2013</w:t>
            </w:r>
            <w:r>
              <w:rPr>
                <w:rFonts w:ascii="Times New Roman" w:hAnsi="Times New Roman"/>
              </w:rPr>
              <w:t xml:space="preserve"> liitteessä II lueteltuja johdannaisinstrumentteja ja </w:t>
            </w:r>
            <w:r>
              <w:rPr>
                <w:rFonts w:ascii="Times New Roman" w:hAnsi="Times New Roman"/>
                <w:color w:val="auto"/>
              </w:rPr>
              <w:t>asetuksen (EU) N:o 575/2013</w:t>
            </w:r>
            <w:r>
              <w:rPr>
                <w:rFonts w:ascii="Times New Roman" w:hAnsi="Times New Roman"/>
              </w:rPr>
              <w:t xml:space="preserve"> 272 artiklan 2 alakohdassa määriteltyjä pitkän selvitysajan liiketoimia, joiden osalta </w:t>
            </w:r>
            <w:r>
              <w:rPr>
                <w:rFonts w:ascii="Times New Roman" w:hAnsi="Times New Roman"/>
              </w:rPr>
              <w:lastRenderedPageBreak/>
              <w:t>laitokset ovat saaneet luvan määrittää vastuuarvon sisäisen mallin menetelmää käyttäen.</w:t>
            </w:r>
          </w:p>
        </w:tc>
      </w:tr>
      <w:tr w:rsidR="00F43911" w:rsidRPr="007F4CC8" w14:paraId="124CD73D" w14:textId="77777777" w:rsidTr="0072756E">
        <w:trPr>
          <w:trHeight w:val="680"/>
        </w:trPr>
        <w:tc>
          <w:tcPr>
            <w:tcW w:w="1555" w:type="dxa"/>
          </w:tcPr>
          <w:p w14:paraId="3721675B" w14:textId="77777777" w:rsidR="00F43911" w:rsidRPr="007F4CC8" w:rsidRDefault="00F43911" w:rsidP="004F3087">
            <w:pPr>
              <w:pStyle w:val="Applicationdirecte"/>
              <w:spacing w:before="0" w:after="240"/>
              <w:jc w:val="center"/>
            </w:pPr>
            <w:r>
              <w:lastRenderedPageBreak/>
              <w:t>EU-2c</w:t>
            </w:r>
          </w:p>
        </w:tc>
        <w:tc>
          <w:tcPr>
            <w:tcW w:w="7484" w:type="dxa"/>
          </w:tcPr>
          <w:p w14:paraId="1786D9AA"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Josta: tuotteiden ristikkäisnettoutuksen nettoutusryhmät</w:t>
            </w:r>
          </w:p>
          <w:p w14:paraId="2B590CCD" w14:textId="62BAAF0A"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Tässä ilmoitetaan nettoutusryhmät, joihin sisältyy eri tuoteluokkiin kuuluvia liiketoimia (</w:t>
            </w:r>
            <w:r>
              <w:rPr>
                <w:rFonts w:ascii="Times New Roman" w:hAnsi="Times New Roman"/>
                <w:color w:val="auto"/>
              </w:rPr>
              <w:t>asetuksen (EU) N:o 575/2013</w:t>
            </w:r>
            <w:r>
              <w:rPr>
                <w:rFonts w:ascii="Times New Roman" w:hAnsi="Times New Roman"/>
              </w:rPr>
              <w:t xml:space="preserve"> 272 artiklan 11 alakohta), ts. johdannaisia ja arvopapereilla toteutettavia rahoitustoimia, joiden osalta on olemassa </w:t>
            </w:r>
            <w:r>
              <w:rPr>
                <w:rFonts w:ascii="Times New Roman" w:hAnsi="Times New Roman"/>
                <w:color w:val="auto"/>
              </w:rPr>
              <w:t>asetuksen (EU) N:o 575/2013</w:t>
            </w:r>
            <w:r>
              <w:rPr>
                <w:rFonts w:ascii="Times New Roman" w:hAnsi="Times New Roman"/>
              </w:rPr>
              <w:t xml:space="preserve"> 272 artiklan 25 alakohdassa määritelty tuotteiden ristikkäisnettoutusta koskeva sopimus ja joiden osalta laitokset ovat saaneet luvan määrittää vastuuarvon sisäisen mallin menetelmää käyttäen.</w:t>
            </w:r>
          </w:p>
        </w:tc>
      </w:tr>
      <w:tr w:rsidR="00F43911" w:rsidRPr="007F4CC8" w14:paraId="7D81F05B" w14:textId="77777777" w:rsidTr="0072756E">
        <w:trPr>
          <w:trHeight w:val="680"/>
        </w:trPr>
        <w:tc>
          <w:tcPr>
            <w:tcW w:w="1555" w:type="dxa"/>
          </w:tcPr>
          <w:p w14:paraId="28E9EC92" w14:textId="77777777" w:rsidR="00F43911" w:rsidRPr="00A03D37" w:rsidRDefault="00F43911" w:rsidP="004F3087">
            <w:pPr>
              <w:pStyle w:val="Applicationdirecte"/>
              <w:spacing w:before="0" w:after="240"/>
              <w:jc w:val="center"/>
            </w:pPr>
            <w:r>
              <w:t>3, 4</w:t>
            </w:r>
          </w:p>
        </w:tc>
        <w:tc>
          <w:tcPr>
            <w:tcW w:w="7484" w:type="dxa"/>
          </w:tcPr>
          <w:p w14:paraId="3125535D" w14:textId="77777777" w:rsidR="00F43911" w:rsidRPr="00A03D37"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Rahoitusvakuuksia koskeva yksinkertainen menetelmä (arvopapereilla toteutettaville rahoitustoimille) ja rahoitusvakuuksia koskeva kattava menetelmä (arvopapereilla toteutettaville rahoitustoimille)</w:t>
            </w:r>
          </w:p>
          <w:p w14:paraId="7FFBE4B5" w14:textId="7D2E832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Tässä ilmoitetaan takaisinostotransaktiot, arvopapereiden tai hyödykkeiden lainaksiantamiseen tai -ottamiseen liittyvät transaktiot ja vakuudellista limiittiluotonantoa (margin lending) koskevat transaktiot, joiden osalta laitokset ovat päättäneet määrittää vastuuarvon asetuksen (EU) N:o 575/2013 kolmannen osan II osaston 4 luvussa olevan 222 ja 223 artiklan mukaisesti eivätkä näin ollen sovella saman asetuksen kolmannen osan II osaston 6 luvussa olevan 271 artiklan 2 kohtaa.</w:t>
            </w:r>
          </w:p>
        </w:tc>
      </w:tr>
      <w:tr w:rsidR="00F43911" w:rsidRPr="007F4CC8" w14:paraId="0521450C" w14:textId="77777777" w:rsidTr="0072756E">
        <w:trPr>
          <w:trHeight w:val="680"/>
        </w:trPr>
        <w:tc>
          <w:tcPr>
            <w:tcW w:w="1555" w:type="dxa"/>
          </w:tcPr>
          <w:p w14:paraId="7CEED5F4" w14:textId="77777777" w:rsidR="00F43911" w:rsidRPr="007F4CC8" w:rsidRDefault="00F43911" w:rsidP="004F3087">
            <w:pPr>
              <w:pStyle w:val="Applicationdirecte"/>
              <w:spacing w:before="0" w:after="240"/>
              <w:jc w:val="center"/>
              <w:rPr>
                <w:highlight w:val="yellow"/>
              </w:rPr>
            </w:pPr>
            <w:r>
              <w:t>5</w:t>
            </w:r>
          </w:p>
        </w:tc>
        <w:tc>
          <w:tcPr>
            <w:tcW w:w="7484" w:type="dxa"/>
          </w:tcPr>
          <w:p w14:paraId="7192FE6E"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VaR-luku arvopapereilla toteutettaville rahoitustoimille</w:t>
            </w:r>
          </w:p>
          <w:p w14:paraId="2F37A77D" w14:textId="7C69D74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Tässä ilmoitetaan takaisinostotransaktiot, arvopapereiden tai hyödykkeiden lainaksiantamiseen tai -ottamiseen liittyvät transaktiot, vakuudellista limiittiluotonantoa (margin lending) koskevat transaktiot tai johdannaistransaktioita lukuun ottamatta muut pääomamarkkinalähtöiset liiketoimet, joille vastuuarvo lasketaan (asetuksen (EU) N:o 575/2013 221 artiklan mukaisesti) käyttäen sisäisen mallin menetelmää, jossa otetaan huomioon päänettoutussopimukseen kuuluvien arvopaperipositioiden väliset korrelaatiovaikutukset sekä kyseisten rahoitusvälineiden likvidiys.</w:t>
            </w:r>
          </w:p>
        </w:tc>
      </w:tr>
      <w:tr w:rsidR="00F43911" w:rsidRPr="007F4CC8" w14:paraId="31D989D4" w14:textId="77777777" w:rsidTr="0072756E">
        <w:trPr>
          <w:trHeight w:val="680"/>
        </w:trPr>
        <w:tc>
          <w:tcPr>
            <w:tcW w:w="1555" w:type="dxa"/>
          </w:tcPr>
          <w:p w14:paraId="6862A0A5" w14:textId="77777777" w:rsidR="00F43911" w:rsidRPr="007F4CC8" w:rsidRDefault="00F43911" w:rsidP="004F3087">
            <w:pPr>
              <w:pStyle w:val="Applicationdirecte"/>
              <w:spacing w:before="0" w:after="240"/>
              <w:jc w:val="center"/>
            </w:pPr>
            <w:r>
              <w:t>6</w:t>
            </w:r>
          </w:p>
        </w:tc>
        <w:tc>
          <w:tcPr>
            <w:tcW w:w="7484" w:type="dxa"/>
          </w:tcPr>
          <w:p w14:paraId="2AB9B821"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Yhteensä</w:t>
            </w:r>
          </w:p>
        </w:tc>
      </w:tr>
      <w:tr w:rsidR="00F43911" w:rsidRPr="007F4CC8" w14:paraId="56B65862" w14:textId="77777777" w:rsidTr="0072756E">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Pr>
                <w:b/>
              </w:rPr>
              <w:t>Sarakkeen kirjain</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Selitys</w:t>
            </w:r>
          </w:p>
        </w:tc>
      </w:tr>
      <w:tr w:rsidR="00F43911" w:rsidRPr="007F4CC8" w14:paraId="464AD385" w14:textId="77777777" w:rsidTr="0072756E">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a, b</w:t>
            </w:r>
          </w:p>
        </w:tc>
        <w:tc>
          <w:tcPr>
            <w:tcW w:w="7484"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 xml:space="preserve">Jälleenhankinta-arvo (RC) ja tulevaisuuden potentiaalinen vastapuoliriski (PFE) </w:t>
            </w:r>
          </w:p>
          <w:p w14:paraId="366AE0A2"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RC ja PFE lasketaan seuraavasti:</w:t>
            </w:r>
          </w:p>
          <w:p w14:paraId="3D3887A9" w14:textId="037427CB"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-asetuksen (EU) N:o 575/2013 kolmannen osan II osaston 6 luvun 5 jaksossa olevan 282 artiklan 3 ja 4 kohdan mukaisesti alkuperäisen hankinta-arvon menetelmän tapauksessa (tämän lomakkeen rivi EU-1), </w:t>
            </w:r>
          </w:p>
          <w:p w14:paraId="3CB92BF2" w14:textId="1A27535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lastRenderedPageBreak/>
              <w:t>-asetuksen (EU) N:o 575/2013 kolmannen osan II osaston 6 luvun 5 jaksossa olevan 281 artiklan mukaisesti yksinkertaistetun vastapuoliriskin standardimenetelmän tapauksessa (tämän lomakkeen rivi EU-2),</w:t>
            </w:r>
          </w:p>
          <w:p w14:paraId="26D7BCAE" w14:textId="71B5EE99"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-asetuksen (EU) N:o 575/2013 kolmannen osan II osaston 6 luvun 4 ja 5 jaksossa olevan 275 ja 278 artiklan mukaisesti vastapuoliriskin standardimenetelmän tapauksessa (tämän lomakkeen rivi 1)</w:t>
            </w:r>
          </w:p>
          <w:p w14:paraId="3D6E29EA" w14:textId="77777777" w:rsidR="00F43911" w:rsidRPr="007F4CC8" w:rsidRDefault="00F43911" w:rsidP="004F3087">
            <w:pPr>
              <w:spacing w:after="240"/>
            </w:pPr>
            <w:r>
              <w:rPr>
                <w:rFonts w:ascii="Times New Roman" w:hAnsi="Times New Roman"/>
                <w:sz w:val="24"/>
              </w:rPr>
              <w:t>Laitosten on ilmoitettava kaikkien nettoutusryhmien jälleenhankinta-arvojen summa asianomaisilla riveillä.</w:t>
            </w:r>
          </w:p>
        </w:tc>
      </w:tr>
      <w:tr w:rsidR="00F43911" w:rsidRPr="007F4CC8" w14:paraId="48B76C01" w14:textId="77777777" w:rsidTr="0072756E">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lastRenderedPageBreak/>
              <w:t>c</w:t>
            </w:r>
          </w:p>
        </w:tc>
        <w:tc>
          <w:tcPr>
            <w:tcW w:w="7484"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Efektiivinen odotettu positiivinen vastapuoliriski (EEPE)</w:t>
            </w:r>
          </w:p>
          <w:p w14:paraId="457B2CC6" w14:textId="76476F86"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Nettoutusryhmän efektiivinen odotettu vastapuoliriski (EEPE) määritellään</w:t>
            </w:r>
            <w:r>
              <w:rPr>
                <w:rFonts w:ascii="Times New Roman" w:hAnsi="Times New Roman"/>
                <w:color w:val="auto"/>
              </w:rPr>
              <w:t xml:space="preserve"> asetuksen (EU) N:o 575/2013</w:t>
            </w:r>
            <w:r>
              <w:rPr>
                <w:rFonts w:ascii="Times New Roman" w:hAnsi="Times New Roman"/>
              </w:rPr>
              <w:t xml:space="preserve"> 272 artiklan 22 alakohdassa, ja se on laskettava </w:t>
            </w:r>
            <w:r>
              <w:rPr>
                <w:rFonts w:ascii="Times New Roman" w:hAnsi="Times New Roman"/>
                <w:color w:val="auto"/>
              </w:rPr>
              <w:t>asetuksen (EU) N:o 575/2013</w:t>
            </w:r>
            <w:r>
              <w:rPr>
                <w:rFonts w:ascii="Times New Roman" w:hAnsi="Times New Roman"/>
              </w:rPr>
              <w:t xml:space="preserve"> 284 artiklan 6 kohdan mukaisesti.</w:t>
            </w:r>
          </w:p>
          <w:p w14:paraId="217186F1" w14:textId="2D8E5933"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Tässä ilmoitetaan efektiivinen odotettu positiivinen vastapuoliriski, jota sovelletaan omien varojen vaatimusten määrittämisessä </w:t>
            </w:r>
            <w:r>
              <w:rPr>
                <w:rFonts w:ascii="Times New Roman" w:hAnsi="Times New Roman"/>
                <w:color w:val="auto"/>
              </w:rPr>
              <w:t>asetuksen (EU) N:o 575/2013</w:t>
            </w:r>
            <w:r>
              <w:rPr>
                <w:rFonts w:ascii="Times New Roman" w:hAnsi="Times New Roman"/>
              </w:rPr>
              <w:t xml:space="preserve"> 284 artiklan 3 kohdan mukaisesti, eli efektiivinen odotettu positiivinen vastapuoliriski, joka on laskettu joko nykyhetken markkinatietoja käyttäen tai stressikalibrointia käyttäen sen mukaan, kumpi johtaa korkeampiin omien varojen vaatimuksiin.</w:t>
            </w:r>
          </w:p>
          <w:p w14:paraId="1B528B51" w14:textId="77777777"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 xml:space="preserve">Laitosten on ilmoitettava tähän lomakkeeseen liitetyssä selostuksessa, mitä efektiivistä odotettua positiivista vastapuoliriskiä on käytetty. </w:t>
            </w:r>
          </w:p>
        </w:tc>
      </w:tr>
      <w:tr w:rsidR="00F43911" w:rsidRPr="007F4CC8" w14:paraId="4A081935" w14:textId="77777777" w:rsidTr="0072756E">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t>d</w:t>
            </w:r>
          </w:p>
        </w:tc>
        <w:tc>
          <w:tcPr>
            <w:tcW w:w="7484"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Sääntelyn mukaisen vastuuarvon laskennassa käytetty alfa</w:t>
            </w:r>
          </w:p>
          <w:p w14:paraId="6B33CCED" w14:textId="4900B432"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Tämän lomakkeen riveillä EU-1, EU-2 ja 1 alfan (α) arvoksi on vahvistettu 1,4 </w:t>
            </w:r>
            <w:r>
              <w:rPr>
                <w:rFonts w:ascii="Times New Roman" w:hAnsi="Times New Roman"/>
                <w:color w:val="auto"/>
              </w:rPr>
              <w:t>asetuksen (EU) N:o 575/2013</w:t>
            </w:r>
            <w:r>
              <w:rPr>
                <w:rFonts w:ascii="Times New Roman" w:hAnsi="Times New Roman"/>
              </w:rPr>
              <w:t xml:space="preserve"> 282 artiklan 2 kohdan, 281 artiklan 1 kohdan ja 274 artiklan 2 kohdan mukaisesti.</w:t>
            </w:r>
          </w:p>
          <w:p w14:paraId="3D498F38" w14:textId="1A3CD52A"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 xml:space="preserve">Käytettäessä sisäisen mallin menetelmää alfan arvo voi olla joko oletusarvo 1,4 tai jokin muu arvo, jos toimivaltaiset viranomaiset vaativat suurempaa alfaa </w:t>
            </w:r>
            <w:r>
              <w:rPr>
                <w:rFonts w:ascii="Times New Roman" w:hAnsi="Times New Roman"/>
                <w:color w:val="auto"/>
              </w:rPr>
              <w:t>asetuksen (EU) N:o 575/2013</w:t>
            </w:r>
            <w:r>
              <w:rPr>
                <w:rFonts w:ascii="Times New Roman" w:hAnsi="Times New Roman"/>
              </w:rPr>
              <w:t xml:space="preserve"> kolmannen osan II osaston 6 luvun 6 jaksossa olevan 284 artiklan 4 kohdan mukaisesti tai sallivat </w:t>
            </w:r>
            <w:r>
              <w:rPr>
                <w:rFonts w:ascii="Times New Roman" w:hAnsi="Times New Roman"/>
                <w:color w:val="auto"/>
              </w:rPr>
              <w:t>saman artiklan</w:t>
            </w:r>
            <w:r>
              <w:rPr>
                <w:rFonts w:ascii="Times New Roman" w:hAnsi="Times New Roman"/>
              </w:rPr>
              <w:t xml:space="preserve"> 9 kohdan mukaisesti sen, että laitokset käyttävät omia estimaattejaan.</w:t>
            </w:r>
          </w:p>
        </w:tc>
      </w:tr>
      <w:tr w:rsidR="00F43911" w:rsidRPr="007F4CC8" w14:paraId="55D7A87E" w14:textId="77777777" w:rsidTr="0072756E">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e</w:t>
            </w:r>
          </w:p>
        </w:tc>
        <w:tc>
          <w:tcPr>
            <w:tcW w:w="7484"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Vastuuarvo ennen luottoriskin vähentämistä</w:t>
            </w:r>
          </w:p>
          <w:p w14:paraId="4D1BA8A2" w14:textId="2ACA7816"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Vastapuoliriskiin liittyvän liiketoiminnan vastuuarvo ennen luottoriskin vähentämistä on laskettava asetuksen (EU) N:o 575/2013 kolmannen osan II osaston 4 ja 6 luvussa säädettyjen menetelmien mukaisesti ottaen huomioon nettoutuksen vaikutus mutta ottamatta huomioon muita luottoriskin vähentämistekniikoita (esim. marginaalivakuudet).</w:t>
            </w:r>
          </w:p>
          <w:p w14:paraId="392128FE"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Arvopapereilla toteutettavien rahoitustoimien tapauksessa arvopaperiosaa ei oteta huomioon määritettäessä vastuuarvoa ennen luottoriskin vähentämistä, kun vakuus on saatu ja ei sen vuoksi vähennä vastuuarvoa. Sen sijaan arvopapereilla toteutettavien rahoitustoimien arvopaperiosa otetaan </w:t>
            </w:r>
            <w:r>
              <w:rPr>
                <w:rFonts w:ascii="Times New Roman" w:hAnsi="Times New Roman"/>
                <w:sz w:val="24"/>
              </w:rPr>
              <w:lastRenderedPageBreak/>
              <w:t xml:space="preserve">tavalliseen tapaan huomioon määritettäessä vastuuarvoa ennen luottoriskin vähentämistä, kun vakuus on asetettu. </w:t>
            </w:r>
          </w:p>
          <w:p w14:paraId="482E5F75"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Lisäksi vakuudellista liiketoimintaa on käsiteltävä kuten vakuudetonta, eli marginaalien laskennan vaikutuksia ei sovelleta.</w:t>
            </w:r>
          </w:p>
          <w:p w14:paraId="3610D469" w14:textId="346DB6F0"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Sellaisten liiketoimien, joihin on havaittu liittyvän erityinen wrong way -riski, vastuuarvo ennen luottoriskin vähentämistä on määritettävä asetuksen (EU) N:o 575/2013 291 artiklan mukaisesti.</w:t>
            </w:r>
          </w:p>
          <w:p w14:paraId="3EB18FDE" w14:textId="700FF1F2"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Vastuuarvossa ennen luottoriskin vähentämistä ei saa ottaa huomioon vastuiden arvonoikaisusta aiheutuvaa tappiota asetuksen (EU) N:o 575/2013 273 artiklan 6 kohdan mukaisesti.</w:t>
            </w:r>
          </w:p>
          <w:p w14:paraId="3CE91BAE"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Laitoksen on ilmoitettava kaikkien ennen luottoriskin vähentämistä laskettujen vastuuarvojen summa asianomaisella rivillä.</w:t>
            </w:r>
          </w:p>
        </w:tc>
      </w:tr>
      <w:tr w:rsidR="00F43911" w:rsidRPr="007F4CC8" w14:paraId="0C2F5EEA" w14:textId="77777777" w:rsidTr="0072756E">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lastRenderedPageBreak/>
              <w:t>f</w:t>
            </w:r>
          </w:p>
        </w:tc>
        <w:tc>
          <w:tcPr>
            <w:tcW w:w="7484"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Vastuuarvo (luottoriskin vähentämisen jälkeen)</w:t>
            </w:r>
          </w:p>
          <w:p w14:paraId="4C374AEE" w14:textId="5BC2862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Vastapuoliriskiin liittyvän liiketoiminnan vastuuarvo luottoriskin vähentämisen jälkeen on laskettava asetuksen (EU) N:o 575/2013 kolmannen osan II osaston 4 ja 6 luvussa säädettyjen menetelmien mukaisesti asetuksen (EU) N:o 575/2013 kolmannen luvun II osaston 4 ja 6 luvun mukaisesti sovellettavien luottoriskin vähentämistekniikoiden soveltamisen jälkeen.</w:t>
            </w:r>
          </w:p>
          <w:p w14:paraId="00427D02" w14:textId="50A27684"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Sellaisten liiketoimien, joihin on havaittu liittyvän erityinen wrong way -riski, vastuuarvo on määritettävä asetuksen (EU) N:o 575/2013 291 artiklan mukaisesti.</w:t>
            </w:r>
          </w:p>
          <w:p w14:paraId="11C26276" w14:textId="03A97DB3"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Vastuiden arvonoikaisusta aiheutuvaa tappiota ei saa vähentää luottoriskin vähentämisen jälkeisestä vastuuarvosta, kuten asetuksen (EU) N:o 575/2013 273 artiklan 6 kohdassa säädetään.</w:t>
            </w:r>
          </w:p>
          <w:p w14:paraId="69480D33"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Laitoksen on ilmoitettava kaikkien luottoriskin vähentämisen jälkeen laskettujen vastuuarvojen summa asianomaisella rivillä.</w:t>
            </w:r>
          </w:p>
        </w:tc>
      </w:tr>
      <w:tr w:rsidR="00F43911" w:rsidRPr="007F4CC8" w14:paraId="253BA653" w14:textId="77777777" w:rsidTr="0072756E">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t>g</w:t>
            </w:r>
          </w:p>
        </w:tc>
        <w:tc>
          <w:tcPr>
            <w:tcW w:w="7484"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Vastuuarvo</w:t>
            </w:r>
          </w:p>
          <w:p w14:paraId="48F8B1EB" w14:textId="504B8CE3"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Tässä ilmoitetaan asetuksen (EU) N:o 575/2013 kolmannen osan II osaston 4 ja 6 luvussa säädettyjen menetelmien mukaisesti laskettu vastapuoliriskiin liittyvän liiketoiminnan vastuuarvo, jota käytetään omien varojen vaatimuksen laskennassa, eli arvo sen jälkeen kun on sovellettu asetuksen (EU) N:o 575/2013 kolmannen osan II osaston 4 ja 6 luvun mukaisesti sovellettavia luottoriskin vähentämistekniikoita ja ottaen huomioon asetuksen (EU) N:o 575/2013 273 artiklan 6 kohdan mukainen vastuiden arvonoikaisusta aiheutuneen tappion vähentäminen.</w:t>
            </w:r>
          </w:p>
          <w:p w14:paraId="07CE657B" w14:textId="7D68C21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Sellaisten liiketoimien vastuuarvo, joihin on havaittu liittyvän erityinen wrong way -riski, on määritettävä asetuksen (EU) N:o 575/2013 291 artiklan mukaisesti.</w:t>
            </w:r>
          </w:p>
          <w:p w14:paraId="1417E2B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lastRenderedPageBreak/>
              <w:t>Tapauksissa, joissa käytetään useampaa kuin yhtä vastapuoliriskimenetelmää yhden vastapuolen osalta, vastapuolen tasolla vähennettävä vastuiden arvonoikaisusta aiheutunut tappio on sisällytettävä kussakin vastapuoliriskimenetelmässä niiden eri nettoutusryhmien vastuuarvoon, jotka kuvastavat kyseisten nettoutusryhmien luottoriskin vähentämisen jälkeisen vastuuarvon suhdetta vastapuolen kokonaisvastuuarvoon luottoriskin vähentämisen jälkeen.</w:t>
            </w:r>
          </w:p>
          <w:p w14:paraId="736282AA"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Laitoksen on ilmoitettava kaikkien luottoriskin vähentämisen jälkeen laskettujen vastuuarvojen summa asianomaisella rivillä.</w:t>
            </w:r>
          </w:p>
        </w:tc>
      </w:tr>
      <w:tr w:rsidR="00F43911" w:rsidRPr="007F4CC8" w14:paraId="622D6794" w14:textId="77777777" w:rsidTr="0072756E">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lastRenderedPageBreak/>
              <w:t>h</w:t>
            </w:r>
          </w:p>
        </w:tc>
        <w:tc>
          <w:tcPr>
            <w:tcW w:w="7484"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Riskipainotettujen vastuuerien yhteismäärä (RWEA)</w:t>
            </w:r>
          </w:p>
          <w:p w14:paraId="26B75465" w14:textId="746E1CA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Tässä ilmoitetaan asetuksen (EU) N:o 575/2013 92 artiklan 3 ja 4 kohdassa määriteltyjen ja saman asetuksen 107 artiklan mukaisesti laskettujen riskipainotettujen vastuuerien yhteismäärä erille, joiden riskipainot arvioidaan asetuksen (EU) N:o 575/2013 kolmannen osan II osaston 2 ja 3 luvun vaatimusten perusteella ja joiden osalta vastapuoliriskiin liittyvän liiketoiminnan vastuuarvo lasketaan asetuksen (EU) N:o 575/2013 kolmannen osan II osaston 4 ja 6 luvun mukaisesti</w:t>
            </w:r>
          </w:p>
        </w:tc>
      </w:tr>
    </w:tbl>
    <w:p w14:paraId="06E4BA45" w14:textId="77777777" w:rsidR="007D4C3D" w:rsidRPr="00F70273" w:rsidRDefault="007D4C3D" w:rsidP="00F43911">
      <w:pPr>
        <w:pStyle w:val="Titlelevel2"/>
        <w:jc w:val="both"/>
        <w:rPr>
          <w:rFonts w:ascii="Times New Roman" w:hAnsi="Times New Roman" w:cs="Times New Roman"/>
          <w:b/>
          <w:color w:val="auto"/>
          <w:sz w:val="24"/>
        </w:rPr>
      </w:pPr>
    </w:p>
    <w:p w14:paraId="518FC88E" w14:textId="345A4A64" w:rsidR="00F43911" w:rsidRPr="007F4CC8" w:rsidRDefault="00F43911" w:rsidP="00F43911">
      <w:pPr>
        <w:pStyle w:val="Titlelevel2"/>
        <w:jc w:val="both"/>
        <w:rPr>
          <w:rFonts w:ascii="Times New Roman" w:hAnsi="Times New Roman" w:cs="Times New Roman"/>
          <w:color w:val="auto"/>
          <w:sz w:val="24"/>
        </w:rPr>
      </w:pPr>
      <w:r>
        <w:rPr>
          <w:rFonts w:ascii="Times New Roman" w:hAnsi="Times New Roman"/>
          <w:b/>
          <w:color w:val="auto"/>
          <w:sz w:val="24"/>
        </w:rPr>
        <w:t xml:space="preserve">Lomake EU CCR3 – Standardimenetelmä – vastapuoliriskivastuut sääntelyyn perustuvien vastuuryhmien ja riskipainojen mukaan: </w:t>
      </w:r>
      <w:r>
        <w:rPr>
          <w:rFonts w:ascii="Times New Roman" w:hAnsi="Times New Roman"/>
          <w:color w:val="auto"/>
          <w:sz w:val="24"/>
        </w:rPr>
        <w:t>Vakiomuotoinen lomake.</w:t>
      </w:r>
    </w:p>
    <w:p w14:paraId="140DD484" w14:textId="71C4BF7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Laitosten on julkistettava asetuksen (EU) N:o 575/2013 444 artiklan e alakohdassa </w:t>
      </w:r>
      <w:r>
        <w:rPr>
          <w:rFonts w:ascii="Times New Roman" w:hAnsi="Times New Roman"/>
          <w:color w:val="auto"/>
          <w:sz w:val="24"/>
        </w:rPr>
        <w:t xml:space="preserve">tarkoitetut tiedot noudattamalla jäljempänä tässä liitteessä annettuja ohjeita täyttääkseen </w:t>
      </w:r>
      <w:r>
        <w:rPr>
          <w:rFonts w:ascii="Times New Roman" w:hAnsi="Times New Roman"/>
          <w:color w:val="000000"/>
          <w:sz w:val="24"/>
        </w:rPr>
        <w:t>EPV:n tietoteknisten ratkaisujen liitteessä XXV olevan lomakkeen EU CCR3</w:t>
      </w:r>
      <w:r>
        <w:rPr>
          <w:rFonts w:ascii="Times New Roman" w:hAnsi="Times New Roman"/>
          <w:sz w:val="24"/>
        </w:rPr>
        <w:t>.</w:t>
      </w:r>
    </w:p>
    <w:p w14:paraId="719E9920" w14:textId="53B7429A"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Laitosten, jotka käyttävät luottoriskin standardimenetelmää laskeakseen riskipainotettujen vastuuerien yhteismäärän (lukuun ottamatta vastuun arvonoikaisuriskin omien varojen vaatimuksista ja keskusvastapuolen määrittämiin vastuisiin liittyvistä omien varojen vaatimuksista johdettuja määriä) kaikille vastapuoliriskivastuilleen tai osalle niistä asetuksen (EU) N:o 575/2013 107 artiklan mukaisesti CRR, riippumatta vastapuoliriskimenetelmästä, jota käytetään vastuuarvojen määrittämiseen asetuksen (EU) N:o 575/2013 kolmannen osan II osaston 4 ja 6 luvun mukaisesti, on ilmoitettava seuraavat tiedot.</w:t>
      </w:r>
      <w:r>
        <w:rPr>
          <w:rFonts w:ascii="Times New Roman" w:hAnsi="Times New Roman"/>
          <w:color w:val="auto"/>
          <w:sz w:val="24"/>
        </w:rPr>
        <w:t xml:space="preserve"> </w:t>
      </w:r>
    </w:p>
    <w:p w14:paraId="6C656446"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Jos laitos katsoo, että tässä lomakkeessa pyydetyt tiedot eivät ole sen osalta merkityksellisiä, koska riskin ja riskipainotettujen vastuuerien määrät eivät ole olennaisia, laitos voi päättää olla julkistamatta lomaketta. Laitoksen on kuitenkin selitettävä sanallisissa huomautuksissa, miksi se ei pidä tietoja omalta osaltaan merkityksellisinä, ja annettava kuvaus kyseisten salkkujen vastuista sekä ilmoitettava tällaisista vastuista aiheutuvien riskipainotettujen vastuuerien yhteenlaskettu kokonaismäärä.</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Lainsäädäntöviitteet ja ohjeet</w:t>
            </w:r>
          </w:p>
        </w:tc>
      </w:tr>
      <w:tr w:rsidR="00F43911" w:rsidRPr="007F4CC8" w14:paraId="5AB7769D" w14:textId="77777777" w:rsidTr="009C29DA">
        <w:trPr>
          <w:trHeight w:val="238"/>
        </w:trPr>
        <w:tc>
          <w:tcPr>
            <w:tcW w:w="1555"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lastRenderedPageBreak/>
              <w:t>Rivinumero</w:t>
            </w:r>
          </w:p>
        </w:tc>
        <w:tc>
          <w:tcPr>
            <w:tcW w:w="7484"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Selitys</w:t>
            </w:r>
          </w:p>
        </w:tc>
      </w:tr>
      <w:tr w:rsidR="00F43911" w:rsidRPr="007F4CC8" w14:paraId="2810F45B" w14:textId="77777777" w:rsidTr="009C29DA">
        <w:trPr>
          <w:trHeight w:val="680"/>
        </w:trPr>
        <w:tc>
          <w:tcPr>
            <w:tcW w:w="1555" w:type="dxa"/>
          </w:tcPr>
          <w:p w14:paraId="4B4E3E46" w14:textId="77777777" w:rsidR="00F43911" w:rsidRPr="007F4CC8" w:rsidRDefault="00F43911" w:rsidP="004F3087">
            <w:pPr>
              <w:pStyle w:val="Applicationdirecte"/>
              <w:spacing w:before="0" w:after="240"/>
              <w:jc w:val="center"/>
            </w:pPr>
            <w:r>
              <w:t>1–9</w:t>
            </w:r>
          </w:p>
        </w:tc>
        <w:tc>
          <w:tcPr>
            <w:tcW w:w="7484" w:type="dxa"/>
            <w:vAlign w:val="center"/>
          </w:tcPr>
          <w:p w14:paraId="13B7EA16"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Vastuuryhmät</w:t>
            </w:r>
          </w:p>
          <w:p w14:paraId="119BFBA0" w14:textId="3882FF9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Nämä rivit viittaavat asetuksen (EU) N:o 575/2013 kolmannen osan II osaston 4 luvussa olevassa 112–134 artiklassa määriteltyihin vastuuryhmiin. Kullakin rivillä ilmoitetaan vastaavat vastuuarvot (ks. määritelmä lomakkeen EU CCR1 sarakkeessa g). </w:t>
            </w:r>
          </w:p>
        </w:tc>
      </w:tr>
      <w:tr w:rsidR="00F43911" w:rsidRPr="007F4CC8" w14:paraId="24450E66" w14:textId="77777777" w:rsidTr="009C29DA">
        <w:trPr>
          <w:trHeight w:val="680"/>
        </w:trPr>
        <w:tc>
          <w:tcPr>
            <w:tcW w:w="1555" w:type="dxa"/>
          </w:tcPr>
          <w:p w14:paraId="2D7B089F" w14:textId="77777777" w:rsidR="00F43911" w:rsidRPr="007F4CC8" w:rsidRDefault="00F43911" w:rsidP="004F3087">
            <w:pPr>
              <w:pStyle w:val="Applicationdirecte"/>
              <w:spacing w:before="0" w:after="240"/>
              <w:jc w:val="center"/>
            </w:pPr>
            <w:r>
              <w:t>10</w:t>
            </w:r>
          </w:p>
        </w:tc>
        <w:tc>
          <w:tcPr>
            <w:tcW w:w="7484" w:type="dxa"/>
            <w:vAlign w:val="center"/>
          </w:tcPr>
          <w:p w14:paraId="6406932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Muut erät</w:t>
            </w:r>
          </w:p>
          <w:p w14:paraId="6B472AE2" w14:textId="1813D90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Tässä tarkoitetaan varoja, joihin sovelletaan asetuksen (EU) N:o 575/2013 kolmannen osan II osaston 4 luvussa olevassa 134 artiklassa säädettyä erityistä riskipainoa, ja kaikkia muita eriä, jotka eivät kuulu tämän lomakkeen riveille 1–9. Tässä tarkoitetaan lisäksi varoja, joita ei ole vähennetty asetuksen (EU) N:o 575/2013 39 artiklan (tulevista veronalaisista voitoista riippumattomat liikaa maksetut verot, verotuksellisten tappioiden hyvitykset ja laskennalliset verosaamiset), 41 artiklan (etuuspohjaisen eläkerahaston varat), 46 ja 469 artiklan (ei-merkittävät sijoitukset finanssialan yhteisöjen ydinpääomaan), 49 ja 471 artiklan (osuudet vakuutusyhtiöissä riippumatta siitä, valvotaanko vakuutusyhtiöitä finanssiryhmittymistä annetun direktiivin mukaisesti), 60 ja 475 artiklan (ei-merkittävät ja merkittävät välilliset ja synteettiset omistusosuudet finanssialan yhteisöjen ensisijaisessa lisäpääomassa), 70 ja 477 artiklan (ei-merkittävät ja merkittävät välilliset ja synteettiset omistusosuudet finanssialan yhteisön toissijaisessa pääomassa) mukaisesti, kun niitä ei ole osoitettu toisiin vastuuryhmiin, ja finanssialan ulkopuolisia huomattavia omistusosuuksia, kun niihin ei sovelleta 1 250 prosentin riskipainoa vakavaraisuusasetuksen toisen osan I osaston 2 luvussa olevan 36 artiklan k alakohdan mukaisesti.</w:t>
            </w:r>
          </w:p>
        </w:tc>
      </w:tr>
      <w:tr w:rsidR="00F43911" w:rsidRPr="007F4CC8" w14:paraId="40CEECAA" w14:textId="77777777" w:rsidTr="009C29DA">
        <w:trPr>
          <w:trHeight w:val="680"/>
        </w:trPr>
        <w:tc>
          <w:tcPr>
            <w:tcW w:w="1555" w:type="dxa"/>
          </w:tcPr>
          <w:p w14:paraId="084620EC" w14:textId="77777777" w:rsidR="00F43911" w:rsidRPr="007F4CC8" w:rsidRDefault="00F43911" w:rsidP="004F3087">
            <w:pPr>
              <w:pStyle w:val="Applicationdirecte"/>
              <w:spacing w:before="0" w:after="240"/>
              <w:jc w:val="center"/>
            </w:pPr>
            <w:r>
              <w:t>11</w:t>
            </w:r>
          </w:p>
        </w:tc>
        <w:tc>
          <w:tcPr>
            <w:tcW w:w="7484" w:type="dxa"/>
            <w:vAlign w:val="center"/>
          </w:tcPr>
          <w:p w14:paraId="0569A44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Kokonaisvastuuarvo</w:t>
            </w:r>
          </w:p>
        </w:tc>
      </w:tr>
      <w:tr w:rsidR="00F43911" w:rsidRPr="007F4CC8" w14:paraId="68F92AF2" w14:textId="77777777" w:rsidTr="009C29DA">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Pr>
                <w:b/>
              </w:rPr>
              <w:t>Sarakkeen kirjain</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Selitys</w:t>
            </w:r>
          </w:p>
        </w:tc>
      </w:tr>
      <w:tr w:rsidR="00F43911" w:rsidRPr="007F4CC8" w14:paraId="32077C70" w14:textId="77777777" w:rsidTr="009C29DA">
        <w:trPr>
          <w:trHeight w:val="680"/>
        </w:trPr>
        <w:tc>
          <w:tcPr>
            <w:tcW w:w="1555" w:type="dxa"/>
          </w:tcPr>
          <w:p w14:paraId="39F1752F" w14:textId="77777777" w:rsidR="00F43911" w:rsidRPr="007F4CC8" w:rsidRDefault="00F43911" w:rsidP="004F3087">
            <w:pPr>
              <w:pStyle w:val="Applicationdirecte"/>
              <w:spacing w:before="0" w:after="240"/>
              <w:jc w:val="center"/>
            </w:pPr>
            <w:r>
              <w:t>a–k</w:t>
            </w:r>
          </w:p>
          <w:p w14:paraId="7F295BCB" w14:textId="77777777" w:rsidR="00F43911" w:rsidRPr="007F4CC8" w:rsidRDefault="00F43911" w:rsidP="004F3087">
            <w:pPr>
              <w:spacing w:after="240"/>
              <w:jc w:val="center"/>
              <w:rPr>
                <w:rFonts w:ascii="Times New Roman" w:hAnsi="Times New Roman" w:cs="Times New Roman"/>
                <w:sz w:val="24"/>
              </w:rPr>
            </w:pPr>
          </w:p>
        </w:tc>
        <w:tc>
          <w:tcPr>
            <w:tcW w:w="7484" w:type="dxa"/>
            <w:vAlign w:val="center"/>
          </w:tcPr>
          <w:p w14:paraId="70B38523" w14:textId="4C78B73B"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 xml:space="preserve">Nämä sarakkeet viittaavat asetuksen (EU) N:o 575/2013 kolmannen osan II osaston 2 luvussa vahvistettuihin luottoluokkiin/riskipainoihin, joiden osalta vastaavat vastuuarvot (ks. määritelmä lomakkeen EU CCR1 sarakkeessa g) on julkistettava. </w:t>
            </w:r>
          </w:p>
        </w:tc>
      </w:tr>
      <w:tr w:rsidR="00F43911" w:rsidRPr="007F4CC8" w14:paraId="7038985C" w14:textId="77777777" w:rsidTr="009C29DA">
        <w:trPr>
          <w:trHeight w:val="680"/>
        </w:trPr>
        <w:tc>
          <w:tcPr>
            <w:tcW w:w="1555" w:type="dxa"/>
          </w:tcPr>
          <w:p w14:paraId="643D9DBE" w14:textId="77777777" w:rsidR="00F43911" w:rsidRPr="007F4CC8" w:rsidRDefault="00F43911" w:rsidP="004F3087">
            <w:pPr>
              <w:pStyle w:val="Applicationdirecte"/>
              <w:spacing w:before="0" w:after="240"/>
              <w:jc w:val="center"/>
            </w:pPr>
            <w:r>
              <w:t>l</w:t>
            </w:r>
          </w:p>
        </w:tc>
        <w:tc>
          <w:tcPr>
            <w:tcW w:w="7484" w:type="dxa"/>
            <w:vAlign w:val="center"/>
          </w:tcPr>
          <w:p w14:paraId="2AD95FAF"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 xml:space="preserve">Kokonaisvastuuarvo </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Lomake EU CCR4 – Sisäisten luottoluokitusten menetelmä (IRB) – vastapuoliriskivastuut eriteltyinä vastuuryhmän ja PD-asteikon mukaan: </w:t>
      </w:r>
      <w:r>
        <w:rPr>
          <w:rFonts w:ascii="Times New Roman" w:hAnsi="Times New Roman"/>
          <w:color w:val="auto"/>
          <w:sz w:val="24"/>
        </w:rPr>
        <w:t>Vakiomuotoinen lomake.</w:t>
      </w:r>
    </w:p>
    <w:p w14:paraId="03E920F2" w14:textId="6901BA2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lastRenderedPageBreak/>
        <w:t xml:space="preserve">Laitosten on julkistettava asetuksen (EU) N:o 575/2013 452 artiklan g alakohdassa </w:t>
      </w:r>
      <w:r>
        <w:rPr>
          <w:rFonts w:ascii="Times New Roman" w:hAnsi="Times New Roman"/>
          <w:color w:val="auto"/>
          <w:sz w:val="24"/>
        </w:rPr>
        <w:t xml:space="preserve">tarkoitetut tiedot noudattamalla jäljempänä tässä liitteessä annettuja ohjeita täyttääkseen </w:t>
      </w:r>
      <w:r>
        <w:rPr>
          <w:rFonts w:ascii="Times New Roman" w:hAnsi="Times New Roman"/>
          <w:color w:val="000000"/>
          <w:sz w:val="24"/>
        </w:rPr>
        <w:t xml:space="preserve">EPV:n tietoteknisten ratkaisujen liitteessä XXV olevan lomakkeen EU CCR4. </w:t>
      </w:r>
    </w:p>
    <w:p w14:paraId="21A1A0D5" w14:textId="71F1C68D"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Laitosten, jotka käyttävät joko edistynyttä IRB-menetelmää tai IRB-perusmenetelmää laskeakseen riskipainotettujen vastuuerien yhteismäärän (lukuun ottamatta vastuun arvonoikaisuriskin omien varojen vaatimuksista ja keskusvastapuolen määrittämiin vastuisiin liittyvistä omien varojen vaatimuksista johdettuja määriä) kaikille vastapuoliriskivastuilleen tai osalle niistä asetuksen (EU) N:o 575/2013 107 artiklan mukaisesti, riippumatta vastapuoliriskimenetelmästä, jota käytetään vastuuarvon määrittämiseen asetuksen (EU) N:o 575/2013 kolmannen osan II osaston 4 ja 6 luvun mukaisesti, on ilmoitettava seuraavat tiedot.</w:t>
      </w:r>
      <w:r>
        <w:rPr>
          <w:rFonts w:ascii="Times New Roman" w:hAnsi="Times New Roman"/>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Lainsäädäntöviitteet ja ohjeet</w:t>
            </w:r>
          </w:p>
        </w:tc>
      </w:tr>
      <w:tr w:rsidR="00F43911" w:rsidRPr="007F4CC8" w14:paraId="176F7ACC" w14:textId="77777777" w:rsidTr="009C29DA">
        <w:trPr>
          <w:trHeight w:val="238"/>
        </w:trPr>
        <w:tc>
          <w:tcPr>
            <w:tcW w:w="1555"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Rivinumero</w:t>
            </w:r>
          </w:p>
        </w:tc>
        <w:tc>
          <w:tcPr>
            <w:tcW w:w="7484"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Selitys</w:t>
            </w:r>
          </w:p>
        </w:tc>
      </w:tr>
      <w:tr w:rsidR="00F43911" w:rsidRPr="007F4CC8" w14:paraId="02634469" w14:textId="77777777" w:rsidTr="009C29DA">
        <w:trPr>
          <w:trHeight w:val="680"/>
        </w:trPr>
        <w:tc>
          <w:tcPr>
            <w:tcW w:w="1555" w:type="dxa"/>
          </w:tcPr>
          <w:p w14:paraId="2AC6A479" w14:textId="77777777" w:rsidR="00F43911" w:rsidRPr="007F4CC8" w:rsidRDefault="00F43911" w:rsidP="004F3087">
            <w:pPr>
              <w:pStyle w:val="Applicationdirecte"/>
              <w:spacing w:before="0" w:after="240"/>
              <w:jc w:val="center"/>
            </w:pPr>
            <w:r>
              <w:t>1–8</w:t>
            </w:r>
          </w:p>
        </w:tc>
        <w:tc>
          <w:tcPr>
            <w:tcW w:w="7484" w:type="dxa"/>
            <w:vAlign w:val="center"/>
          </w:tcPr>
          <w:p w14:paraId="21A090EC"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PD-asteikon ryhmä</w:t>
            </w:r>
          </w:p>
          <w:p w14:paraId="27E474D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Vastapuoliriskivastuut on kohdennettava asianmukaiseen vahvistetun PD-asteikon ryhmään kutakin tähän vastuuryhmään luokiteltua vastapuolta koskevan PD-estimaatin perusteella (ottamatta huomioon takauksesta tai luottojohdannaisesta aiheutuvia mahdollisia substituutiovaikutuksia). Laitosten on sijoitettava vastuut lomakkeessa esitettyyn PD-asteikkoon, myös ottaen huomioon jatkuvat asteikot. Kaikki maksukyvyttömyystilassa olevat vastuut on sisällytettävä ryhmään, jossa PD on 100 prosenttia.</w:t>
            </w:r>
          </w:p>
        </w:tc>
      </w:tr>
      <w:tr w:rsidR="00F43911" w:rsidRPr="007F4CC8" w14:paraId="67FC8DC7" w14:textId="77777777" w:rsidTr="009C29DA">
        <w:trPr>
          <w:trHeight w:val="680"/>
        </w:trPr>
        <w:tc>
          <w:tcPr>
            <w:tcW w:w="1555" w:type="dxa"/>
          </w:tcPr>
          <w:p w14:paraId="35441DA1" w14:textId="77777777" w:rsidR="00F43911" w:rsidRPr="007F4CC8" w:rsidRDefault="00F43911" w:rsidP="004F3087">
            <w:pPr>
              <w:pStyle w:val="Applicationdirecte"/>
              <w:spacing w:before="0" w:after="240"/>
              <w:jc w:val="center"/>
            </w:pPr>
            <w:r>
              <w:t>1–x</w:t>
            </w:r>
          </w:p>
        </w:tc>
        <w:tc>
          <w:tcPr>
            <w:tcW w:w="7484" w:type="dxa"/>
            <w:vAlign w:val="center"/>
          </w:tcPr>
          <w:p w14:paraId="113166C9"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Vastuuryhmä X</w:t>
            </w:r>
          </w:p>
          <w:p w14:paraId="2F40E777" w14:textId="635AFB9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Tässä tarkoitetaan asetuksen (EU) N:o 575/2013 kolmannen osan II osaston 3 luvussa olevassa 147 artiklassa lueteltuja vastuuryhmiä.</w:t>
            </w:r>
          </w:p>
        </w:tc>
      </w:tr>
      <w:tr w:rsidR="00F43911" w:rsidRPr="007F4CC8" w14:paraId="63C15CE0" w14:textId="77777777" w:rsidTr="009C29DA">
        <w:trPr>
          <w:trHeight w:val="680"/>
        </w:trPr>
        <w:tc>
          <w:tcPr>
            <w:tcW w:w="1555" w:type="dxa"/>
          </w:tcPr>
          <w:p w14:paraId="5ED80B6B" w14:textId="77777777" w:rsidR="00F43911" w:rsidRPr="007F4CC8" w:rsidRDefault="00F43911" w:rsidP="004F3087">
            <w:pPr>
              <w:pStyle w:val="Applicationdirecte"/>
              <w:spacing w:before="0" w:after="240"/>
              <w:jc w:val="center"/>
            </w:pPr>
            <w:r>
              <w:t>x ja y</w:t>
            </w:r>
          </w:p>
        </w:tc>
        <w:tc>
          <w:tcPr>
            <w:tcW w:w="7484" w:type="dxa"/>
            <w:vAlign w:val="center"/>
          </w:tcPr>
          <w:p w14:paraId="213AF8F1"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Välisumma (Vastuuryhmä X) / Kokonaismäärä (kaikki vastapuoliriskin kannalta merkitykselliset vastuuryhmät)</w:t>
            </w:r>
          </w:p>
          <w:p w14:paraId="6E6CECB2"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Vastuuarvojen, riskipainotettujen vastuuerien ja velallisten lukumäärän (välisumma) kokonaismäärä on kussakin vastaavassa sarakkeessa ilmoitettujen arvojen summa. Eri parametrien eli keskimääräisen PD-luvun, keskimääräisen LGD-luvun, keskimääräinen maturiteetin ja riskipainotettujen vastuuerien tiheyden osalta sovelletaan jäljempänä esitettyjä määritelmiä vastuuryhmän X otoksen tai kaikkien vastapuoliriskin kannalta merkityksellisten vastuuryhmien osalta.</w:t>
            </w:r>
          </w:p>
        </w:tc>
      </w:tr>
      <w:tr w:rsidR="00F43911" w:rsidRPr="007F4CC8" w14:paraId="18700163" w14:textId="77777777" w:rsidTr="009C29DA">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Pr>
                <w:b/>
              </w:rPr>
              <w:t>Sarakkeen kirjain</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Selitys</w:t>
            </w:r>
          </w:p>
        </w:tc>
      </w:tr>
      <w:tr w:rsidR="00F43911" w:rsidRPr="007F4CC8" w14:paraId="4672F613" w14:textId="77777777" w:rsidTr="009C29DA">
        <w:trPr>
          <w:trHeight w:val="680"/>
        </w:trPr>
        <w:tc>
          <w:tcPr>
            <w:tcW w:w="1555" w:type="dxa"/>
          </w:tcPr>
          <w:p w14:paraId="1BF1F31B" w14:textId="77777777" w:rsidR="00F43911" w:rsidRPr="007F4CC8" w:rsidRDefault="00F43911" w:rsidP="004F3087">
            <w:pPr>
              <w:pStyle w:val="Applicationdirecte"/>
              <w:spacing w:before="0" w:after="240"/>
              <w:jc w:val="center"/>
            </w:pPr>
            <w:r>
              <w:t>a</w:t>
            </w:r>
          </w:p>
        </w:tc>
        <w:tc>
          <w:tcPr>
            <w:tcW w:w="7484" w:type="dxa"/>
            <w:vAlign w:val="center"/>
          </w:tcPr>
          <w:p w14:paraId="2C0818DE" w14:textId="77777777" w:rsidR="00F43911" w:rsidRPr="00880BCD" w:rsidRDefault="00F43911" w:rsidP="004F3087">
            <w:pPr>
              <w:spacing w:after="240"/>
              <w:jc w:val="both"/>
              <w:rPr>
                <w:rFonts w:ascii="Times New Roman" w:hAnsi="Times New Roman" w:cs="Times New Roman"/>
                <w:b/>
                <w:sz w:val="24"/>
              </w:rPr>
            </w:pPr>
            <w:r>
              <w:rPr>
                <w:rFonts w:ascii="Times New Roman" w:hAnsi="Times New Roman"/>
                <w:b/>
                <w:sz w:val="24"/>
              </w:rPr>
              <w:t>Vastuuarvo</w:t>
            </w:r>
          </w:p>
          <w:p w14:paraId="4DAED01E" w14:textId="3471DCB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Tässä ilmoitetaan vastuuarvo (ks. määritelmä lomakkeen EU CCR1 sarakkeessa g) jaoteltuna vastuuryhmien ja asianomaisen PD-asteikon </w:t>
            </w:r>
            <w:r>
              <w:rPr>
                <w:rFonts w:ascii="Times New Roman" w:hAnsi="Times New Roman"/>
                <w:sz w:val="24"/>
              </w:rPr>
              <w:lastRenderedPageBreak/>
              <w:t>mukaan asetuksen (EU) N:o 575/2013 kolmannen osan II osaston 3 luvun mukaisesti.</w:t>
            </w:r>
          </w:p>
        </w:tc>
      </w:tr>
      <w:tr w:rsidR="00F43911" w:rsidRPr="007F4CC8" w14:paraId="29BE1BD5" w14:textId="77777777" w:rsidTr="009C29DA">
        <w:trPr>
          <w:trHeight w:val="680"/>
        </w:trPr>
        <w:tc>
          <w:tcPr>
            <w:tcW w:w="1555" w:type="dxa"/>
          </w:tcPr>
          <w:p w14:paraId="43571550" w14:textId="77777777" w:rsidR="00F43911" w:rsidRPr="007F4CC8" w:rsidRDefault="00F43911" w:rsidP="004F3087">
            <w:pPr>
              <w:pStyle w:val="Applicationdirecte"/>
              <w:spacing w:before="0" w:after="240"/>
              <w:jc w:val="center"/>
            </w:pPr>
            <w:r>
              <w:lastRenderedPageBreak/>
              <w:t>b</w:t>
            </w:r>
          </w:p>
        </w:tc>
        <w:tc>
          <w:tcPr>
            <w:tcW w:w="7484" w:type="dxa"/>
            <w:vAlign w:val="center"/>
          </w:tcPr>
          <w:p w14:paraId="7ED972CE"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Vastuun määrällä painotettu keskimääräinen PD (%)</w:t>
            </w:r>
          </w:p>
          <w:p w14:paraId="77163362" w14:textId="77777777" w:rsidR="00F43911" w:rsidRPr="007F4CC8" w:rsidRDefault="00F43911" w:rsidP="004F3087">
            <w:pPr>
              <w:spacing w:after="240"/>
              <w:rPr>
                <w:rFonts w:ascii="Times New Roman" w:eastAsia="Times New Roman" w:hAnsi="Times New Roman" w:cs="Times New Roman"/>
                <w:sz w:val="24"/>
              </w:rPr>
            </w:pPr>
            <w:r>
              <w:rPr>
                <w:rFonts w:ascii="Times New Roman" w:hAnsi="Times New Roman"/>
                <w:sz w:val="24"/>
              </w:rPr>
              <w:t>Tässä ilmoitetaan yksittäisten vastapuoliluokan PD-lukujen keskiarvo painotettuna niiden vastaavalla vastuuarvolla, joka on ilmoitettu tämän lomakkeen sarakkeessa a.</w:t>
            </w:r>
          </w:p>
        </w:tc>
      </w:tr>
      <w:tr w:rsidR="00F43911" w:rsidRPr="007F4CC8" w14:paraId="54178E8C" w14:textId="77777777" w:rsidTr="009C29DA">
        <w:trPr>
          <w:trHeight w:val="680"/>
        </w:trPr>
        <w:tc>
          <w:tcPr>
            <w:tcW w:w="1555" w:type="dxa"/>
          </w:tcPr>
          <w:p w14:paraId="7D3E7D23" w14:textId="77777777" w:rsidR="00F43911" w:rsidRPr="007F4CC8" w:rsidRDefault="00F43911" w:rsidP="004F3087">
            <w:pPr>
              <w:pStyle w:val="Applicationdirecte"/>
              <w:spacing w:before="0" w:after="240"/>
              <w:jc w:val="center"/>
            </w:pPr>
            <w:r>
              <w:t>c</w:t>
            </w:r>
          </w:p>
        </w:tc>
        <w:tc>
          <w:tcPr>
            <w:tcW w:w="7484" w:type="dxa"/>
            <w:vAlign w:val="center"/>
          </w:tcPr>
          <w:p w14:paraId="6153A1D9"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Vastapuolten lukumäärä</w:t>
            </w:r>
          </w:p>
          <w:p w14:paraId="6074DEAB"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Niiden vahvistetun PD-asteikon kuhunkin ryhmään kohdennettujen oikeushenkilöiden tai vastapuolten lukumäärä, jotka on luokiteltu erikseen, riippumatta myönnettyjen eri luottojen tai vastuiden lukumäärästä.</w:t>
            </w:r>
          </w:p>
          <w:p w14:paraId="7E8F21FB" w14:textId="0F2C452D"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Jos samaan vastapuoleen liittyvät eri vastuut luokitellaan erikseen, ne on laskettava erikseen. Tällainen tilanne voi syntyä, jos samaan vastapuoleen liittyvät erilliset vastuut luokitellaan eri vastapuoliluokkiin asetuksen (EU) N:o 575/2013 172 artiklan 1 kohdan e alakohdan toisen virkkeen mukaisesti.</w:t>
            </w:r>
          </w:p>
        </w:tc>
      </w:tr>
      <w:tr w:rsidR="00F43911" w:rsidRPr="007F4CC8" w14:paraId="3C6F4AC7" w14:textId="77777777" w:rsidTr="009C29DA">
        <w:trPr>
          <w:trHeight w:val="680"/>
        </w:trPr>
        <w:tc>
          <w:tcPr>
            <w:tcW w:w="1555" w:type="dxa"/>
          </w:tcPr>
          <w:p w14:paraId="26C46E26" w14:textId="77777777" w:rsidR="00F43911" w:rsidRPr="007F4CC8" w:rsidRDefault="00F43911" w:rsidP="004F3087">
            <w:pPr>
              <w:pStyle w:val="Applicationdirecte"/>
              <w:spacing w:before="0" w:after="240"/>
              <w:jc w:val="center"/>
            </w:pPr>
            <w:r>
              <w:t>d</w:t>
            </w:r>
          </w:p>
        </w:tc>
        <w:tc>
          <w:tcPr>
            <w:tcW w:w="7484" w:type="dxa"/>
            <w:vAlign w:val="center"/>
          </w:tcPr>
          <w:p w14:paraId="58C260C0"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Vastuun määrällä painotettu keskimääräinen LGD (%)</w:t>
            </w:r>
          </w:p>
          <w:p w14:paraId="34068163"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Tässä ilmoitetaan vastapuoliluokan LGD-lukujen keskiarvo painotettuna niiden vastaavalla vastuuarvolla.</w:t>
            </w:r>
          </w:p>
          <w:p w14:paraId="789E926C"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Ilmoitetun LGD-luvun on vastattava lopullista LGD-estimaattia, jota käytetään laskettaessa mahdollisten luottoriskin vähentämistekniikoiden vaikutusten ja tapauksen mukaan laskusuhdanneolojen huomioon ottamisen jälkeen saatuja omien varojen vaatimuksia. </w:t>
            </w:r>
          </w:p>
          <w:p w14:paraId="766422CE" w14:textId="30667EC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Kun on kyse velallisen ja takaajan samanaikaisen maksukyvyttömyyden käsittelyn piirissä olevista vastuista, ilmoitettavan LGD-arvon on vastattava asetuksen (EU) N:o 575/2013 161 artiklan 4 kohdan mukaisesti valittua arvoa.</w:t>
            </w:r>
          </w:p>
          <w:p w14:paraId="7A98367D" w14:textId="671A714E"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Kun on kyse maksukyvyttömyystilassa olevista vastuista A-IRB-menetelmässä, on otettava huomioon asetuksen (EU) N:o 575/2013 181 artiklan 1 kohdan h alakohdan säännökset. Ilmoitetun LGD-arvon on vastattava maksukyvyttömyystilassa olevien vastuiden LGD-estimaattia.</w:t>
            </w:r>
          </w:p>
        </w:tc>
      </w:tr>
      <w:tr w:rsidR="00F43911" w:rsidRPr="007F4CC8" w14:paraId="63804F3F" w14:textId="77777777" w:rsidTr="009C29DA">
        <w:trPr>
          <w:trHeight w:val="680"/>
        </w:trPr>
        <w:tc>
          <w:tcPr>
            <w:tcW w:w="1555" w:type="dxa"/>
          </w:tcPr>
          <w:p w14:paraId="14948764" w14:textId="77777777" w:rsidR="00F43911" w:rsidRPr="007F4CC8" w:rsidRDefault="00F43911" w:rsidP="004F3087">
            <w:pPr>
              <w:pStyle w:val="Applicationdirecte"/>
              <w:spacing w:before="0" w:after="240"/>
              <w:jc w:val="center"/>
            </w:pPr>
            <w:r>
              <w:t>e</w:t>
            </w:r>
          </w:p>
        </w:tc>
        <w:tc>
          <w:tcPr>
            <w:tcW w:w="7484" w:type="dxa"/>
            <w:vAlign w:val="center"/>
          </w:tcPr>
          <w:p w14:paraId="211ACBAA"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Vastuun määrällä painotettu keskimääräinen maturiteetti (vuotta)</w:t>
            </w:r>
          </w:p>
          <w:p w14:paraId="1C040569"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Tässä ilmoitetaan vastapuolen maturiteettien keskiarvo vuosina painotettuna niiden vastaavalla vastuuarvolla.</w:t>
            </w:r>
          </w:p>
          <w:p w14:paraId="61506003" w14:textId="7C79B57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Ilmoitettava maturiteettiarvo on määritettävä asetuksen (EU) N:o 575/2013 162 artiklan mukaisesti.</w:t>
            </w:r>
          </w:p>
        </w:tc>
      </w:tr>
      <w:tr w:rsidR="00F43911" w:rsidRPr="007F4CC8" w14:paraId="2E8E0E01" w14:textId="77777777" w:rsidTr="009C29DA">
        <w:trPr>
          <w:trHeight w:val="680"/>
        </w:trPr>
        <w:tc>
          <w:tcPr>
            <w:tcW w:w="1555" w:type="dxa"/>
          </w:tcPr>
          <w:p w14:paraId="4C6CFCE7" w14:textId="77777777" w:rsidR="00F43911" w:rsidRPr="007F4CC8" w:rsidRDefault="00F43911" w:rsidP="004F3087">
            <w:pPr>
              <w:pStyle w:val="Applicationdirecte"/>
              <w:spacing w:before="0" w:after="240"/>
              <w:jc w:val="center"/>
            </w:pPr>
            <w:r>
              <w:t>f</w:t>
            </w:r>
          </w:p>
        </w:tc>
        <w:tc>
          <w:tcPr>
            <w:tcW w:w="7484" w:type="dxa"/>
            <w:vAlign w:val="center"/>
          </w:tcPr>
          <w:p w14:paraId="0C2EFBA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Riskipainotettujen vastuuerien yhteismäärä (RWEA)</w:t>
            </w:r>
          </w:p>
          <w:p w14:paraId="0179891F" w14:textId="5A822C45"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 xml:space="preserve">Tässä ilmoitetaan riskipainotettujen vastuuerien yhteismäärä, joka on laskettu asetuksen (EU) N:o 575/2013 kolmannen osan II osaston 3 luvussa </w:t>
            </w:r>
            <w:r>
              <w:rPr>
                <w:rFonts w:ascii="Times New Roman" w:hAnsi="Times New Roman"/>
                <w:sz w:val="24"/>
              </w:rPr>
              <w:lastRenderedPageBreak/>
              <w:t>vahvistettujen vaatimusten mukaisesti; valtioilta ja keskuspankeilta sekä laitoksilta ja yrityksiltä olevien saamisten osalta asetuksen (EU) N:o 575/2013 153 artiklan 1–4 kohdan mukaisesti laskettu riskipainotettujen vastuuerien määrä; asetuksen (EU) N:o 575/2013 501 artiklan mukaisesti määritetty pk-yritysten tukikerroin ja 501 a artiklan mukaisesti määritetty infrastruktuuritukikerroin on otettava huomioon; PD/LGD-menetelmän alaisten oman pääoman ehtoisten vastuiden osalta asetuksen (EU) N:o 575/2013 155 artiklan 3 kohdan mukaisesti laskettu riskipainotettujen vastuuerien määrä.</w:t>
            </w:r>
          </w:p>
        </w:tc>
      </w:tr>
      <w:tr w:rsidR="00F43911" w:rsidRPr="007F4CC8" w14:paraId="4DB973B0" w14:textId="77777777" w:rsidTr="009C29DA">
        <w:trPr>
          <w:trHeight w:val="680"/>
        </w:trPr>
        <w:tc>
          <w:tcPr>
            <w:tcW w:w="1555" w:type="dxa"/>
          </w:tcPr>
          <w:p w14:paraId="1ABC087F" w14:textId="77777777" w:rsidR="00F43911" w:rsidRPr="007F4CC8" w:rsidRDefault="00F43911" w:rsidP="004F3087">
            <w:pPr>
              <w:pStyle w:val="Applicationdirecte"/>
              <w:spacing w:before="0" w:after="240"/>
              <w:jc w:val="center"/>
            </w:pPr>
            <w:r>
              <w:lastRenderedPageBreak/>
              <w:t>g</w:t>
            </w:r>
          </w:p>
        </w:tc>
        <w:tc>
          <w:tcPr>
            <w:tcW w:w="7484" w:type="dxa"/>
            <w:vAlign w:val="center"/>
          </w:tcPr>
          <w:p w14:paraId="3A9E9DB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Riskipainotettujen vastuuerien tiheys</w:t>
            </w:r>
          </w:p>
          <w:p w14:paraId="7215E9DB"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Riskipainotettujen vastuuerien kokonaismäärän (tämän lomakkeen sarakkeessa f) suhde vastuuarvoon (tämän lomakkeen sarakkeessa a)</w:t>
            </w:r>
          </w:p>
        </w:tc>
      </w:tr>
    </w:tbl>
    <w:p w14:paraId="5E980DF6" w14:textId="77777777" w:rsidR="00F43911" w:rsidRPr="00F70273" w:rsidRDefault="00F43911" w:rsidP="00F43911">
      <w:pPr>
        <w:pStyle w:val="Titlelevel2"/>
        <w:spacing w:before="0"/>
        <w:rPr>
          <w:rFonts w:ascii="Times New Roman" w:hAnsi="Times New Roman" w:cs="Times New Roman"/>
          <w:color w:val="auto"/>
          <w:sz w:val="24"/>
        </w:rPr>
      </w:pPr>
    </w:p>
    <w:p w14:paraId="0A5C8D35"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Lomake EU CCR5 – Vastapuoliriskivastuiden vakuuksien koostumus: </w:t>
      </w:r>
      <w:r>
        <w:rPr>
          <w:rFonts w:ascii="Times New Roman" w:hAnsi="Times New Roman"/>
          <w:color w:val="auto"/>
          <w:sz w:val="24"/>
        </w:rPr>
        <w:t>vakiomuotoiset sarakkeet</w:t>
      </w:r>
    </w:p>
    <w:p w14:paraId="1BA1E0E1" w14:textId="5021D3B2"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Laitosten on julkistettava asetuksen (EU) N:o 575/2013 439 artiklan e alakohdassa </w:t>
      </w:r>
      <w:r>
        <w:rPr>
          <w:rFonts w:ascii="Times New Roman" w:hAnsi="Times New Roman"/>
          <w:color w:val="auto"/>
          <w:sz w:val="24"/>
        </w:rPr>
        <w:t xml:space="preserve">tarkoitetut tiedot noudattamalla jäljempänä tässä liitteessä annettuja ohjeita täyttääkseen </w:t>
      </w:r>
      <w:r>
        <w:rPr>
          <w:rFonts w:ascii="Times New Roman" w:hAnsi="Times New Roman"/>
          <w:color w:val="000000"/>
          <w:sz w:val="24"/>
        </w:rPr>
        <w:t>EPV:n tietoteknisten ratkaisujen liitteessä XXV olevan lomakkeen EU CCR5</w:t>
      </w:r>
      <w:r>
        <w:rPr>
          <w:rFonts w:ascii="Times New Roman" w:hAnsi="Times New Roman"/>
          <w:sz w:val="24"/>
        </w:rPr>
        <w:t>.</w:t>
      </w:r>
    </w:p>
    <w:p w14:paraId="2C3CDB2D"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Tähän lomakkeeseen on täytettävä johdannaistransaktioihin tai arvopapereilla toteutettaviin rahoitustoimiin liittyvissä vastapuoliriskivastuissa käytettyjen (asetettujen tai vastaanotettujen) vakuuksien käyvät arvot riippumatta siitä, määritetäänkö transaktiot keskusvastapuolen välityksellä ja asetetaanko vakuus keskusvastapuolelle. </w:t>
      </w:r>
    </w:p>
    <w:p w14:paraId="35B1131B"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Jos jäsenvaltion keskuspankki antaa maksuvalmiusapua vakuudellisia vaihtosopimuksia koskevien transaktioiden muodossa, toimivaltainen viranomainen voi poikkeuksellisesti olla vaatimatta laitoksilta tässä lomakkeessa edellytettyjä tietoja, jos se katsoo, että kyseisten tietojen julkistaminen voisi paljastaa hätätilanteisiin liittyvän maksuvalmiusavun antamisen. Toimivaltaisen viranomaisen on vahvistettava tätä varten asianmukaiset kynnysarvot ja objektiiviset kriteerit.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Lainsäädäntöviitteet ja ohjeet</w:t>
            </w:r>
          </w:p>
        </w:tc>
      </w:tr>
      <w:tr w:rsidR="00F43911" w:rsidRPr="007F4CC8" w14:paraId="32B68885" w14:textId="77777777" w:rsidTr="006B75DC">
        <w:trPr>
          <w:trHeight w:val="238"/>
        </w:trPr>
        <w:tc>
          <w:tcPr>
            <w:tcW w:w="1555"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Rivinumero</w:t>
            </w:r>
          </w:p>
        </w:tc>
        <w:tc>
          <w:tcPr>
            <w:tcW w:w="7484"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Selitys</w:t>
            </w:r>
          </w:p>
        </w:tc>
      </w:tr>
      <w:tr w:rsidR="00F43911" w:rsidRPr="007F4CC8" w14:paraId="40BB2DFC" w14:textId="77777777" w:rsidTr="006B75DC">
        <w:trPr>
          <w:trHeight w:val="680"/>
        </w:trPr>
        <w:tc>
          <w:tcPr>
            <w:tcW w:w="1555" w:type="dxa"/>
          </w:tcPr>
          <w:p w14:paraId="1FA02AD6" w14:textId="77777777" w:rsidR="00F43911" w:rsidRPr="007F4CC8" w:rsidRDefault="00F43911" w:rsidP="004F3087">
            <w:pPr>
              <w:pStyle w:val="Applicationdirecte"/>
              <w:spacing w:before="0" w:after="240"/>
              <w:jc w:val="center"/>
            </w:pPr>
            <w:r>
              <w:t>1–8</w:t>
            </w:r>
          </w:p>
        </w:tc>
        <w:tc>
          <w:tcPr>
            <w:tcW w:w="7484" w:type="dxa"/>
            <w:vAlign w:val="center"/>
          </w:tcPr>
          <w:p w14:paraId="5E982962" w14:textId="77777777" w:rsidR="00F43911" w:rsidRPr="00BC5D5C"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Vakuustyyppi</w:t>
            </w:r>
          </w:p>
          <w:p w14:paraId="0E78860C"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Erittely vakuustyypeittäin</w:t>
            </w:r>
          </w:p>
        </w:tc>
      </w:tr>
      <w:tr w:rsidR="00F43911" w:rsidRPr="007F4CC8" w14:paraId="2B9EF130" w14:textId="77777777" w:rsidTr="006B75DC">
        <w:trPr>
          <w:trHeight w:val="680"/>
        </w:trPr>
        <w:tc>
          <w:tcPr>
            <w:tcW w:w="1555" w:type="dxa"/>
          </w:tcPr>
          <w:p w14:paraId="67DFFC27" w14:textId="77777777" w:rsidR="00F43911" w:rsidRPr="007F4CC8" w:rsidRDefault="00F43911" w:rsidP="004F3087">
            <w:pPr>
              <w:pStyle w:val="Applicationdirecte"/>
              <w:spacing w:before="0" w:after="240"/>
              <w:jc w:val="center"/>
            </w:pPr>
            <w:r>
              <w:t>9</w:t>
            </w:r>
          </w:p>
        </w:tc>
        <w:tc>
          <w:tcPr>
            <w:tcW w:w="7484" w:type="dxa"/>
          </w:tcPr>
          <w:p w14:paraId="16D95BAE" w14:textId="77777777" w:rsidR="00F43911" w:rsidRPr="00BC5D5C" w:rsidRDefault="00F43911" w:rsidP="004F3087">
            <w:pPr>
              <w:spacing w:after="240"/>
              <w:rPr>
                <w:rFonts w:ascii="Times New Roman" w:eastAsia="Times New Roman" w:hAnsi="Times New Roman" w:cs="Times New Roman"/>
                <w:b/>
                <w:sz w:val="24"/>
              </w:rPr>
            </w:pPr>
            <w:r>
              <w:rPr>
                <w:rFonts w:ascii="Times New Roman" w:hAnsi="Times New Roman"/>
                <w:b/>
                <w:sz w:val="24"/>
              </w:rPr>
              <w:t>Yhteensä</w:t>
            </w:r>
          </w:p>
        </w:tc>
      </w:tr>
      <w:tr w:rsidR="00F43911" w:rsidRPr="007F4CC8" w14:paraId="61AFE274" w14:textId="77777777" w:rsidTr="006B75DC">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Pr>
                <w:b/>
              </w:rPr>
              <w:t>Sarakkeen kirjain</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Selitys</w:t>
            </w:r>
          </w:p>
        </w:tc>
      </w:tr>
      <w:tr w:rsidR="00F43911" w:rsidRPr="007F4CC8" w14:paraId="1561EBA0" w14:textId="77777777" w:rsidTr="006B75DC">
        <w:trPr>
          <w:trHeight w:val="416"/>
        </w:trPr>
        <w:tc>
          <w:tcPr>
            <w:tcW w:w="1555" w:type="dxa"/>
          </w:tcPr>
          <w:p w14:paraId="338F53CF" w14:textId="77777777" w:rsidR="00F43911" w:rsidRPr="007F4CC8" w:rsidRDefault="00F43911" w:rsidP="004F3087">
            <w:pPr>
              <w:pStyle w:val="Applicationdirecte"/>
              <w:spacing w:before="0" w:after="240"/>
              <w:jc w:val="center"/>
            </w:pPr>
            <w:r>
              <w:lastRenderedPageBreak/>
              <w:t>a, c, e ja g</w:t>
            </w:r>
          </w:p>
        </w:tc>
        <w:tc>
          <w:tcPr>
            <w:tcW w:w="7484" w:type="dxa"/>
            <w:vAlign w:val="center"/>
          </w:tcPr>
          <w:p w14:paraId="1C8EF39C"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Erilliset</w:t>
            </w:r>
          </w:p>
          <w:p w14:paraId="33245F1F" w14:textId="6699E1D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Tässä ilmoitetaan vakuudet, jotka pidetään asetuksen (EU) N:o 575/2013 300 artiklan 1 kohdassa määritellyllä tavalla konkurssioikeudellisesti erillisinä.</w:t>
            </w:r>
          </w:p>
        </w:tc>
      </w:tr>
      <w:tr w:rsidR="00F43911" w:rsidRPr="007F4CC8" w14:paraId="7FF41939" w14:textId="77777777" w:rsidTr="006B75DC">
        <w:trPr>
          <w:trHeight w:val="680"/>
        </w:trPr>
        <w:tc>
          <w:tcPr>
            <w:tcW w:w="1555" w:type="dxa"/>
          </w:tcPr>
          <w:p w14:paraId="689917EA" w14:textId="77777777" w:rsidR="00F43911" w:rsidRPr="007F4CC8" w:rsidRDefault="00F43911" w:rsidP="004F3087">
            <w:pPr>
              <w:pStyle w:val="Applicationdirecte"/>
              <w:spacing w:before="0" w:after="240"/>
              <w:jc w:val="center"/>
            </w:pPr>
            <w:r>
              <w:t>b, d, f ja h</w:t>
            </w:r>
          </w:p>
        </w:tc>
        <w:tc>
          <w:tcPr>
            <w:tcW w:w="7484" w:type="dxa"/>
            <w:vAlign w:val="center"/>
          </w:tcPr>
          <w:p w14:paraId="54374E17"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Ei-erilliset</w:t>
            </w:r>
          </w:p>
          <w:p w14:paraId="68BB9947" w14:textId="3879F65C"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Tässä ilmoitetaan vakuudet, joita ei pidetä asetuksen (EU) N:o 575/2013 300 artiklan 1 kohdassa määritellyllä tavalla konkurssioikeudellisesti erillisinä.</w:t>
            </w:r>
          </w:p>
        </w:tc>
      </w:tr>
      <w:tr w:rsidR="00F43911" w:rsidRPr="007F4CC8" w14:paraId="432D8F5C" w14:textId="77777777" w:rsidTr="006B75DC">
        <w:trPr>
          <w:trHeight w:val="680"/>
        </w:trPr>
        <w:tc>
          <w:tcPr>
            <w:tcW w:w="1555" w:type="dxa"/>
          </w:tcPr>
          <w:p w14:paraId="52789724" w14:textId="77777777" w:rsidR="00F43911" w:rsidRPr="007F4CC8" w:rsidRDefault="00F43911" w:rsidP="004F3087">
            <w:pPr>
              <w:pStyle w:val="Applicationdirecte"/>
              <w:spacing w:before="0" w:after="240"/>
              <w:jc w:val="center"/>
            </w:pPr>
            <w:r>
              <w:t>a–d</w:t>
            </w:r>
          </w:p>
        </w:tc>
        <w:tc>
          <w:tcPr>
            <w:tcW w:w="7484" w:type="dxa"/>
            <w:vAlign w:val="center"/>
          </w:tcPr>
          <w:p w14:paraId="774B2E98"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Johdannaistransaktioissa käytetyt vakuudet</w:t>
            </w:r>
          </w:p>
          <w:p w14:paraId="1A477A5A" w14:textId="507C455F"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Tässä ilmoitetaan vakuudet (mukaan lukien alkumarginaali- ja vakuusmarginaalivakuudet), joita käytetään sellaisissa vastapuoliriskivastuissa, jotka liittyvät asetuksen (EU) N:o 575/2013 liitteessä II lueteltuihin johdannaisinstrumentteihin tai saman asetuksen 271 artiklan 2 kohdan mukaiseen pitkän selvitysajan liiketoimeen, jota ei katsota arvopapereilla toteutettavaksi rahoitustoimeksi.</w:t>
            </w:r>
          </w:p>
        </w:tc>
      </w:tr>
      <w:tr w:rsidR="00F43911" w:rsidRPr="007F4CC8" w14:paraId="51EF5990" w14:textId="77777777" w:rsidTr="006B75DC">
        <w:trPr>
          <w:trHeight w:val="680"/>
        </w:trPr>
        <w:tc>
          <w:tcPr>
            <w:tcW w:w="1555" w:type="dxa"/>
          </w:tcPr>
          <w:p w14:paraId="45E18CE5" w14:textId="77777777" w:rsidR="00F43911" w:rsidRPr="007F4CC8" w:rsidRDefault="00F43911" w:rsidP="004F3087">
            <w:pPr>
              <w:pStyle w:val="Applicationdirecte"/>
              <w:spacing w:before="0" w:after="240"/>
              <w:jc w:val="center"/>
            </w:pPr>
            <w:r>
              <w:t>e–h</w:t>
            </w:r>
          </w:p>
        </w:tc>
        <w:tc>
          <w:tcPr>
            <w:tcW w:w="7484" w:type="dxa"/>
            <w:vAlign w:val="center"/>
          </w:tcPr>
          <w:p w14:paraId="78E70A2D"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Arvopapereilla toteutettavissa rahoitustoimissa käytetyt vakuudet</w:t>
            </w:r>
          </w:p>
          <w:p w14:paraId="527E4A25" w14:textId="77777777"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Tässä ilmoitetaan vakuudet (mukaan lukien alkumarginaali- ja vakuusmarginaalivakuudet sekä arvopapereilla toteutettavien rahoitustoimien arvopaperiosassa olevat vakuudet), joita käytetään sellaisiin arvopapereilla toteutettaviin rahoitustoimiin tai pitkän selvitysajan liiketoimiin liittyvissä vastapuoliriskivastuissa, joita ei katsota johdannaisiksi.</w:t>
            </w:r>
          </w:p>
        </w:tc>
      </w:tr>
    </w:tbl>
    <w:p w14:paraId="664BC745" w14:textId="77777777" w:rsidR="00F43911" w:rsidRPr="00F70273" w:rsidRDefault="00F43911" w:rsidP="00F43911">
      <w:pPr>
        <w:pStyle w:val="Titlelevel2"/>
        <w:spacing w:before="0"/>
        <w:rPr>
          <w:rFonts w:ascii="Times New Roman" w:hAnsi="Times New Roman" w:cs="Times New Roman"/>
          <w:color w:val="auto"/>
          <w:sz w:val="24"/>
        </w:rPr>
      </w:pPr>
    </w:p>
    <w:p w14:paraId="042899BB" w14:textId="77777777" w:rsidR="00F43911" w:rsidRPr="00DD0C4D"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Lomake EU CCR6 – Luottojohdannaisvastuut: </w:t>
      </w:r>
      <w:r>
        <w:rPr>
          <w:rFonts w:ascii="Times New Roman" w:hAnsi="Times New Roman"/>
          <w:color w:val="auto"/>
          <w:sz w:val="24"/>
        </w:rPr>
        <w:t>Vakiomuotoinen lomake.</w:t>
      </w:r>
    </w:p>
    <w:p w14:paraId="249E517C" w14:textId="75CDD354"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Laitosten on julkistettava asetuksen (EU) N:o 575/2013 439 artiklan j alakohdassa </w:t>
      </w:r>
      <w:r>
        <w:rPr>
          <w:rFonts w:ascii="Times New Roman" w:hAnsi="Times New Roman"/>
          <w:color w:val="auto"/>
          <w:sz w:val="24"/>
        </w:rPr>
        <w:t xml:space="preserve">tarkoitetut tiedot noudattamalla jäljempänä tässä liitteessä annettuja ohjeita täyttääkseen </w:t>
      </w:r>
      <w:r>
        <w:rPr>
          <w:rFonts w:ascii="Times New Roman" w:hAnsi="Times New Roman"/>
          <w:color w:val="000000"/>
          <w:sz w:val="24"/>
        </w:rPr>
        <w:t>EPV:n tietoteknisten ratkaisujen liitteessä XXV olevan lomakkeen EU CCR6.</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Lainsäädäntöviitteet ja ohjeet</w:t>
            </w:r>
          </w:p>
        </w:tc>
      </w:tr>
      <w:tr w:rsidR="00F43911" w:rsidRPr="007F4CC8" w14:paraId="123E5F61" w14:textId="77777777" w:rsidTr="006B75DC">
        <w:trPr>
          <w:trHeight w:val="238"/>
        </w:trPr>
        <w:tc>
          <w:tcPr>
            <w:tcW w:w="1555"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Rivinumero</w:t>
            </w:r>
          </w:p>
        </w:tc>
        <w:tc>
          <w:tcPr>
            <w:tcW w:w="7484"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Selitys</w:t>
            </w:r>
          </w:p>
        </w:tc>
      </w:tr>
      <w:tr w:rsidR="00F43911" w:rsidRPr="007F4CC8" w14:paraId="5A72954E" w14:textId="77777777" w:rsidTr="006B75DC">
        <w:trPr>
          <w:trHeight w:val="120"/>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484"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Nimellismäärät </w:t>
            </w:r>
          </w:p>
          <w:p w14:paraId="68247A3E" w14:textId="77777777" w:rsidR="00F43911" w:rsidRPr="007F4CC8" w:rsidRDefault="00F43911" w:rsidP="004F3087">
            <w:pPr>
              <w:autoSpaceDE w:val="0"/>
              <w:autoSpaceDN w:val="0"/>
              <w:adjustRightInd w:val="0"/>
              <w:spacing w:after="240"/>
              <w:rPr>
                <w:rFonts w:ascii="Times New Roman" w:hAnsi="Times New Roman" w:cs="Times New Roman"/>
                <w:sz w:val="24"/>
              </w:rPr>
            </w:pPr>
            <w:r>
              <w:rPr>
                <w:rFonts w:ascii="Times New Roman" w:hAnsi="Times New Roman"/>
                <w:sz w:val="24"/>
              </w:rPr>
              <w:t>Tässä ilmoitetaan johdannaisten absoluuttisten nimellismäärien summa ennen nettoutusta tuotetyypeittäin eriteltynä.</w:t>
            </w:r>
          </w:p>
        </w:tc>
      </w:tr>
      <w:tr w:rsidR="00F43911" w:rsidRPr="007F4CC8" w14:paraId="69078EC2" w14:textId="77777777" w:rsidTr="006B75DC">
        <w:trPr>
          <w:trHeight w:val="120"/>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484"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Käyvät arvot</w:t>
            </w:r>
          </w:p>
          <w:p w14:paraId="43A6974F" w14:textId="77777777" w:rsidR="00F43911" w:rsidRPr="007F4CC8" w:rsidRDefault="00F43911" w:rsidP="004F3087">
            <w:pPr>
              <w:autoSpaceDE w:val="0"/>
              <w:autoSpaceDN w:val="0"/>
              <w:adjustRightInd w:val="0"/>
              <w:spacing w:after="240"/>
              <w:rPr>
                <w:rFonts w:ascii="Times New Roman" w:hAnsi="Times New Roman" w:cs="Times New Roman"/>
                <w:i/>
                <w:sz w:val="24"/>
              </w:rPr>
            </w:pPr>
            <w:r>
              <w:rPr>
                <w:rFonts w:ascii="Times New Roman" w:hAnsi="Times New Roman"/>
                <w:sz w:val="24"/>
              </w:rPr>
              <w:t>Tässä ilmoitetaan käyvät arvot eriteltyinä varojen (positiiviset käyvät arvot) ja velkojen (negatiiviset käyvät arvot) mukaan.</w:t>
            </w:r>
          </w:p>
        </w:tc>
      </w:tr>
      <w:tr w:rsidR="00F43911" w:rsidRPr="007F4CC8" w14:paraId="50E63E04" w14:textId="77777777" w:rsidTr="006B75DC">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Pr>
                <w:b/>
              </w:rPr>
              <w:lastRenderedPageBreak/>
              <w:t>Sarakkeen kirjain</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Selitys</w:t>
            </w:r>
          </w:p>
        </w:tc>
      </w:tr>
      <w:tr w:rsidR="00F43911" w:rsidRPr="007F4CC8" w14:paraId="4640416B" w14:textId="77777777" w:rsidTr="006B75DC">
        <w:trPr>
          <w:trHeight w:val="120"/>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484"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Luottojohdannaissuojaus</w:t>
            </w:r>
          </w:p>
          <w:p w14:paraId="321E0F5D" w14:textId="63C4245C" w:rsidR="00F43911" w:rsidRPr="007F4CC8" w:rsidRDefault="00F43911" w:rsidP="004F3087">
            <w:pPr>
              <w:autoSpaceDE w:val="0"/>
              <w:autoSpaceDN w:val="0"/>
              <w:adjustRightInd w:val="0"/>
              <w:spacing w:after="240"/>
              <w:jc w:val="both"/>
              <w:rPr>
                <w:rFonts w:ascii="Times New Roman" w:hAnsi="Times New Roman" w:cs="Times New Roman"/>
                <w:b/>
                <w:sz w:val="24"/>
              </w:rPr>
            </w:pPr>
            <w:r>
              <w:rPr>
                <w:rFonts w:ascii="Times New Roman" w:hAnsi="Times New Roman"/>
                <w:sz w:val="24"/>
              </w:rPr>
              <w:t>Tässä ilmoitetaan asetuksen (EU) N:o 575/2013 kolmannen osan II osaston 6 luvun mukainen ostettu tai myyty luottojohdannaissuojaus.</w:t>
            </w:r>
          </w:p>
        </w:tc>
      </w:tr>
    </w:tbl>
    <w:p w14:paraId="2A1A8F86" w14:textId="77777777" w:rsidR="00F43911" w:rsidRPr="00F70273" w:rsidRDefault="00F43911" w:rsidP="00F43911">
      <w:pPr>
        <w:pStyle w:val="Titlelevel2"/>
        <w:spacing w:before="0"/>
        <w:rPr>
          <w:rFonts w:ascii="Times New Roman" w:hAnsi="Times New Roman" w:cs="Times New Roman"/>
          <w:color w:val="auto"/>
          <w:sz w:val="24"/>
        </w:rPr>
      </w:pPr>
    </w:p>
    <w:p w14:paraId="5800BF80"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Lomake EU CCR7 – Vastapuoliriskivastuiden riskipainotettujen vastuuerien yhteismäärien virtalaskelmat sisäisen mallin menetelmän mukaisesti: </w:t>
      </w:r>
      <w:r>
        <w:rPr>
          <w:rFonts w:ascii="Times New Roman" w:hAnsi="Times New Roman"/>
          <w:color w:val="auto"/>
          <w:sz w:val="24"/>
        </w:rPr>
        <w:t>Vakiomuotoinen lomake.</w:t>
      </w:r>
    </w:p>
    <w:p w14:paraId="2FBF77B4" w14:textId="7EA8A8C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Laitosten on julkistettava asetuksen (EU) N:o 575/2013 438 artiklan h alakohdassa </w:t>
      </w:r>
      <w:r>
        <w:rPr>
          <w:rFonts w:ascii="Times New Roman" w:hAnsi="Times New Roman"/>
          <w:color w:val="auto"/>
          <w:sz w:val="24"/>
        </w:rPr>
        <w:t xml:space="preserve">tarkoitetut tiedot noudattamalla jäljempänä tässä liitteessä annettuja ohjeita täyttääkseen </w:t>
      </w:r>
      <w:r>
        <w:rPr>
          <w:rFonts w:ascii="Times New Roman" w:hAnsi="Times New Roman"/>
          <w:color w:val="000000"/>
          <w:sz w:val="24"/>
        </w:rPr>
        <w:t>EPV:n tietoteknisten ratkaisujen liitteessä XXV olevan lomakkeen EU CCR7.</w:t>
      </w:r>
    </w:p>
    <w:p w14:paraId="5F6004F0" w14:textId="6839AF1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Laitosten, jotka käyttävät sisäisen mallin menetelmää laskeakseen riskipainotettujen vastuuerien yhteismäärän kaikille vastapuoliriskivastuilleen tai osalle niistä asetuksen (EU) N:o 575/2013 kolmannen osan II osaston 6 luvun mukaisesti riippumatta luottoriskimenetelmästä, jota käytetään vastaavien riskipainojen määrittämiseen, on julkistettava virtalaskelma, jossa selitetään sisäisen mallin menetelmän soveltamisalaan kuuluvien johdannaisten ja arvopapereilla toteutettavien rahoitustoimien riskipainotettujen vastuuerien yhteismäärän muutokset eriteltyinä keskeisten muutostekijöiden mukaan ja kohtuullisten arvioiden perusteella.</w:t>
      </w:r>
    </w:p>
    <w:p w14:paraId="01AA4F25" w14:textId="0847242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Tässä lomakkeessa ei oteta huomioon arvonoikaisuriskiä koskevia riskipainotettuja vastuueriä (asetuksen (EU) N:o 575/2013 kolmannen osan VI osasto) eikä keskusvastapuoleen liittyviä vastuita (asetuksen (EU) N:o 575/2013 kolmannen osan II osaston 6 luvun 9 jakso).</w:t>
      </w:r>
    </w:p>
    <w:p w14:paraId="7DAAFDC1"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Laitosten on julkistettava riskipainotettujen vastuuerien yhteismäärän virtalaskelmat riskipainotettujen vastuuerien yhteismäärän muutoksena julkistamisviitejakson päättymispäivän (ks. jäljempänä tämän lomakkeen rivi 9) ja edellisen julkistamisviitejakson päättymispäivän (ks. jäljempänä tämän lomakkeen rivi 1; neljännesvuosittaisen julkistamisen tapauksessa julkistamisviitejakson vuosineljännestä edeltävän vuosineljänneksen lopun) välisenä aikana. Laitokset voivat täydentää pilarin 3 mukaisesti julkistettavia tietoja julkistamalla samat tiedot kolmelta edelliseltä vuosineljännekseltä.</w:t>
      </w:r>
    </w:p>
    <w:p w14:paraId="23D5C19D" w14:textId="77777777" w:rsidR="00F43911" w:rsidRPr="007F4CC8" w:rsidRDefault="00F43911" w:rsidP="00F43911">
      <w:pPr>
        <w:pStyle w:val="Titlelevel2"/>
        <w:numPr>
          <w:ilvl w:val="0"/>
          <w:numId w:val="2"/>
        </w:numPr>
        <w:spacing w:before="0"/>
        <w:jc w:val="both"/>
        <w:rPr>
          <w:rFonts w:ascii="Times New Roman" w:hAnsi="Times New Roman"/>
          <w:color w:val="auto"/>
          <w:sz w:val="24"/>
        </w:rPr>
      </w:pPr>
      <w:r>
        <w:rPr>
          <w:rFonts w:ascii="Times New Roman" w:hAnsi="Times New Roman"/>
          <w:color w:val="auto"/>
          <w:sz w:val="24"/>
        </w:rPr>
        <w:t>Laitosten on selitettävä lomakkeeseen liitetyssä selostuksessa tämän lomakkeen rivillä 8 julkistetut luvut eli kaikki muut tekijät, jotka vaikuttavat merkittävästi riskipainotettujen vastuuerien yhteismäärän vaihteluihin.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Lainsäädäntöviitteet ja ohjeet</w:t>
            </w:r>
          </w:p>
        </w:tc>
      </w:tr>
      <w:tr w:rsidR="00F43911" w:rsidRPr="007F4CC8" w14:paraId="3CBABF6D" w14:textId="77777777" w:rsidTr="003D2051">
        <w:trPr>
          <w:trHeight w:val="238"/>
        </w:trPr>
        <w:tc>
          <w:tcPr>
            <w:tcW w:w="1555"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Rivinumero</w:t>
            </w:r>
          </w:p>
        </w:tc>
        <w:tc>
          <w:tcPr>
            <w:tcW w:w="7484"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Selitys</w:t>
            </w:r>
          </w:p>
        </w:tc>
      </w:tr>
      <w:tr w:rsidR="00F43911" w:rsidRPr="007F4CC8" w14:paraId="63EEBD7E" w14:textId="77777777" w:rsidTr="003D2051">
        <w:trPr>
          <w:trHeight w:val="680"/>
        </w:trPr>
        <w:tc>
          <w:tcPr>
            <w:tcW w:w="1555"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lastRenderedPageBreak/>
              <w:t>1</w:t>
            </w:r>
          </w:p>
        </w:tc>
        <w:tc>
          <w:tcPr>
            <w:tcW w:w="7484"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Riskipainotetut vastuuerät edellisen julkistamiskauden lopussa</w:t>
            </w:r>
          </w:p>
          <w:p w14:paraId="7F1BADF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Tässä ilmoitetaan vastapuoliriskivastuiden riskipainotettujen vastuuerien yhteismäärä sisäisen mallin menetelmän mukaan edellisen julkistamiskauden lopussa.</w:t>
            </w:r>
          </w:p>
        </w:tc>
      </w:tr>
      <w:tr w:rsidR="00F43911" w:rsidRPr="007F4CC8" w14:paraId="7FC32BB2" w14:textId="77777777" w:rsidTr="003D2051">
        <w:trPr>
          <w:trHeight w:val="680"/>
        </w:trPr>
        <w:tc>
          <w:tcPr>
            <w:tcW w:w="1555"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2</w:t>
            </w:r>
          </w:p>
        </w:tc>
        <w:tc>
          <w:tcPr>
            <w:tcW w:w="7484"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Omaisuuserän koko</w:t>
            </w:r>
          </w:p>
          <w:p w14:paraId="07D133F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Tässä ilmoitetaan riskipainotettujen vastuuerien yhteismäärän muutokset (positiiviset tai negatiiviset), jotka johtuvat orgaanisista muutoksista kaupankäyntivaraston ulkopuolisten erien koossa ja koostumuksessa (mukaan lukien uusien liiketoimintojen syntyminen ja erääntyvät vastuut), lukuun ottamatta yhteisöjen hankinnasta ja myynnistä johtuvia muutoksia kaupankäyntivaraston ulkopuolisten erien koossa.</w:t>
            </w:r>
          </w:p>
        </w:tc>
      </w:tr>
      <w:tr w:rsidR="00F43911" w:rsidRPr="007F4CC8" w14:paraId="5AB9A46C" w14:textId="77777777" w:rsidTr="003D2051">
        <w:trPr>
          <w:trHeight w:val="680"/>
        </w:trPr>
        <w:tc>
          <w:tcPr>
            <w:tcW w:w="1555"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3</w:t>
            </w:r>
          </w:p>
        </w:tc>
        <w:tc>
          <w:tcPr>
            <w:tcW w:w="7484"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Vastapuolten luottolaatu</w:t>
            </w:r>
          </w:p>
          <w:p w14:paraId="70A7587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Tässä ilmoitetaan riskipainotettujen vastuuerien yhteismäärän muutokset (positiiviset tai negatiiviset), jotka johtuvat muutoksista laitoksen vastapuolten arvioidussa laadussa mitattuna luottoriskikehyksen mukaisesti laitoksen soveltamasta menetelmästä riippumatta.</w:t>
            </w:r>
          </w:p>
          <w:p w14:paraId="5EFAE89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Tälle riville on sisällytettävä myös IRB-malleista johtuvat potentiaaliset riskipainotettujen vastuuerien yhteismäärän muutokset, kun laitos käyttää IRB-menetelmää.</w:t>
            </w:r>
          </w:p>
        </w:tc>
      </w:tr>
      <w:tr w:rsidR="00F43911" w:rsidRPr="007F4CC8" w14:paraId="0BEA5598" w14:textId="77777777" w:rsidTr="003D2051">
        <w:trPr>
          <w:trHeight w:val="680"/>
        </w:trPr>
        <w:tc>
          <w:tcPr>
            <w:tcW w:w="1555"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t>4</w:t>
            </w:r>
          </w:p>
        </w:tc>
        <w:tc>
          <w:tcPr>
            <w:tcW w:w="7484"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Mallin päivitykset (vain sisäisen mallin menetelmä)</w:t>
            </w:r>
          </w:p>
          <w:p w14:paraId="5830872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Tässä ilmoitetaan riskipainotettujen vastuuerien yhteismäärän muutokset (positiiviset tai negatiiviset), jotka johtuvat mallin käyttöönotosta, mallin soveltamisalan muutoksista tai mahdollisista muutoksista, joilla pyritään korjaamaan mallin heikkouksia.</w:t>
            </w:r>
          </w:p>
          <w:p w14:paraId="58BDFEF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Tällä rivillä käsitellään vain sisäisen mallin menetelmän muutoksia.</w:t>
            </w:r>
          </w:p>
        </w:tc>
      </w:tr>
      <w:tr w:rsidR="00F43911" w:rsidRPr="007F4CC8" w14:paraId="34B36586" w14:textId="77777777" w:rsidTr="003D2051">
        <w:trPr>
          <w:trHeight w:val="680"/>
        </w:trPr>
        <w:tc>
          <w:tcPr>
            <w:tcW w:w="1555"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5</w:t>
            </w:r>
          </w:p>
        </w:tc>
        <w:tc>
          <w:tcPr>
            <w:tcW w:w="7484"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Metodologia ja politiikka (vain sisäisen mallin menetelmä)</w:t>
            </w:r>
          </w:p>
          <w:p w14:paraId="046BC00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Tässä ilmoitetaan riskipainotettujen vastuuerien yhteismäärän muutokset (positiiviset tai negatiiviset), jotka johtuvat sääntelypolitiikan muutoksista, kuten uusista säännöksistä, aiheutuvista laskelmien metodologisista muutoksista (vain sisäisen mallin menetelmässä).</w:t>
            </w:r>
          </w:p>
        </w:tc>
      </w:tr>
      <w:tr w:rsidR="00F43911" w:rsidRPr="007F4CC8" w14:paraId="4121B104" w14:textId="77777777" w:rsidTr="003D2051">
        <w:trPr>
          <w:trHeight w:val="680"/>
        </w:trPr>
        <w:tc>
          <w:tcPr>
            <w:tcW w:w="1555"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6</w:t>
            </w:r>
          </w:p>
        </w:tc>
        <w:tc>
          <w:tcPr>
            <w:tcW w:w="7484"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Hankinnat ja luovutukset</w:t>
            </w:r>
          </w:p>
          <w:p w14:paraId="07E040C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Tässä ilmoitetaan riskipainotettujen vastuuerien yhteismäärän muutokset (positiiviset tai negatiiviset), jotka johtuvat yhteisöjen hankinnoista ja luovutuksista aiheutuvista kaupankäyntivaraston ulkopuolisten erien koon muutoksista.</w:t>
            </w:r>
          </w:p>
        </w:tc>
      </w:tr>
      <w:tr w:rsidR="00F43911" w:rsidRPr="007F4CC8" w14:paraId="4A8FFE65" w14:textId="77777777" w:rsidTr="003D2051">
        <w:trPr>
          <w:trHeight w:val="680"/>
        </w:trPr>
        <w:tc>
          <w:tcPr>
            <w:tcW w:w="1555"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t>7</w:t>
            </w:r>
          </w:p>
        </w:tc>
        <w:tc>
          <w:tcPr>
            <w:tcW w:w="7484"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Valuuttakurssivaihtelut</w:t>
            </w:r>
          </w:p>
          <w:p w14:paraId="2A24384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lastRenderedPageBreak/>
              <w:t>Tässä ilmoitetaan riskipainotettujen vastuuerien yhteismäärän muutokset (positiiviset tai negatiiviset), jotka johtuvat valuuttakurssivaihteluista johtuvista muutoksista.</w:t>
            </w:r>
          </w:p>
        </w:tc>
      </w:tr>
      <w:tr w:rsidR="00F43911" w:rsidRPr="007F4CC8" w14:paraId="29BF8EB1" w14:textId="77777777" w:rsidTr="003D2051">
        <w:trPr>
          <w:trHeight w:val="680"/>
        </w:trPr>
        <w:tc>
          <w:tcPr>
            <w:tcW w:w="1555"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lastRenderedPageBreak/>
              <w:t>8</w:t>
            </w:r>
          </w:p>
        </w:tc>
        <w:tc>
          <w:tcPr>
            <w:tcW w:w="7484"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Muu</w:t>
            </w:r>
          </w:p>
          <w:p w14:paraId="5893661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Tätä luokkaa on käytettävä sellaisten riskipainotettujen vastuuerien yhteismäärän muutosten (positiivisten tai negatiivisten) ilmoittamiseksi, joita ei voida kohdistaa edellä mainittuihin luokkiin. Laitosten on sisällytettävä tälle riville näiden riskipainotettujen vastuuerien muutosten summa. Laitosten on lisäksi kuvattava tähän lomakkeeseen liitetyssä selostuksessa sellaisia mahdollisia muita olennaisia tekijöitä, jotka ovat vaikuttaneet riskipainotettujen määrien muutoksiin julkistamiskaudella.</w:t>
            </w:r>
          </w:p>
        </w:tc>
      </w:tr>
      <w:tr w:rsidR="00F43911" w:rsidRPr="007F4CC8" w14:paraId="577B2153" w14:textId="77777777" w:rsidTr="003D2051">
        <w:trPr>
          <w:trHeight w:val="680"/>
        </w:trPr>
        <w:tc>
          <w:tcPr>
            <w:tcW w:w="1555"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t>9</w:t>
            </w:r>
          </w:p>
        </w:tc>
        <w:tc>
          <w:tcPr>
            <w:tcW w:w="7484"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Riskipainotetut vastuuerät nykyisen julkistamiskauden lopussa</w:t>
            </w:r>
          </w:p>
          <w:p w14:paraId="1EF927DE" w14:textId="77777777" w:rsidR="00F43911" w:rsidRPr="007F4CC8" w:rsidRDefault="00F43911" w:rsidP="004F3087">
            <w:pPr>
              <w:spacing w:after="240"/>
              <w:jc w:val="both"/>
              <w:rPr>
                <w:rFonts w:ascii="Times New Roman" w:hAnsi="Times New Roman" w:cs="Times New Roman"/>
                <w:i/>
                <w:sz w:val="24"/>
              </w:rPr>
            </w:pPr>
            <w:r>
              <w:rPr>
                <w:rFonts w:ascii="Times New Roman" w:hAnsi="Times New Roman"/>
                <w:sz w:val="24"/>
              </w:rPr>
              <w:t>Tässä ilmoitetaan vastapuoliriskivastuiden riskipainotettujen vastuuerien yhteismäärä sisäisen mallin menetelmän mukaan nykyisen julkistamiskauden lopussa.</w:t>
            </w:r>
          </w:p>
        </w:tc>
      </w:tr>
      <w:tr w:rsidR="00F43911" w:rsidRPr="007F4CC8" w14:paraId="633E665B" w14:textId="77777777" w:rsidTr="003D2051">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Pr>
                <w:b/>
              </w:rPr>
              <w:t>Sarakkeen kirjain</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Selitys</w:t>
            </w:r>
          </w:p>
        </w:tc>
      </w:tr>
      <w:tr w:rsidR="00F43911" w:rsidRPr="007F4CC8" w14:paraId="791172CF" w14:textId="77777777" w:rsidTr="003D2051">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a</w:t>
            </w:r>
          </w:p>
        </w:tc>
        <w:tc>
          <w:tcPr>
            <w:tcW w:w="7484"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Riskipainotettujen vastuuerien yhteismäärä (RWEA)</w:t>
            </w:r>
          </w:p>
        </w:tc>
      </w:tr>
    </w:tbl>
    <w:p w14:paraId="2D6E78B2"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02190422"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Lomake EU CCR8 – Keskusvastapuoliin liittyvät vastuut: </w:t>
      </w:r>
      <w:r>
        <w:rPr>
          <w:rFonts w:ascii="Times New Roman" w:hAnsi="Times New Roman"/>
          <w:color w:val="auto"/>
          <w:sz w:val="24"/>
        </w:rPr>
        <w:t>Vakiomuotoinen lomake.</w:t>
      </w:r>
      <w:r>
        <w:rPr>
          <w:rFonts w:ascii="Times New Roman" w:hAnsi="Times New Roman"/>
          <w:b/>
          <w:color w:val="auto"/>
          <w:sz w:val="24"/>
        </w:rPr>
        <w:t xml:space="preserve"> </w:t>
      </w:r>
    </w:p>
    <w:p w14:paraId="14C03A10" w14:textId="4291866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Laitosten on julkistettava asetuksen (EU) N:o 575/2013 439 artiklan i alakohdassa </w:t>
      </w:r>
      <w:r>
        <w:rPr>
          <w:rFonts w:ascii="Times New Roman" w:hAnsi="Times New Roman"/>
          <w:color w:val="auto"/>
          <w:sz w:val="24"/>
        </w:rPr>
        <w:t xml:space="preserve">tarkoitetut tiedot noudattamalla jäljempänä tässä liitteessä annettuja ohjeita täyttääkseen </w:t>
      </w:r>
      <w:r>
        <w:rPr>
          <w:rFonts w:ascii="Times New Roman" w:hAnsi="Times New Roman"/>
          <w:color w:val="000000"/>
          <w:sz w:val="24"/>
        </w:rPr>
        <w:t>EPV:n tietoteknisten ratkaisujen liitteessä XXV olevan lomakkeen EU CCR8.</w:t>
      </w:r>
    </w:p>
    <w:p w14:paraId="2D8023A6" w14:textId="13DE5A1F" w:rsidR="00F43911" w:rsidRPr="007F4CC8" w:rsidRDefault="00F43911" w:rsidP="00F43911">
      <w:pPr>
        <w:pStyle w:val="Titlelevel2"/>
        <w:numPr>
          <w:ilvl w:val="0"/>
          <w:numId w:val="2"/>
        </w:numPr>
        <w:spacing w:before="0"/>
        <w:jc w:val="both"/>
        <w:rPr>
          <w:rFonts w:ascii="Times New Roman" w:hAnsi="Times New Roman"/>
          <w:b/>
          <w:color w:val="auto"/>
          <w:sz w:val="24"/>
        </w:rPr>
      </w:pPr>
      <w:r>
        <w:rPr>
          <w:rFonts w:ascii="Times New Roman" w:hAnsi="Times New Roman"/>
          <w:color w:val="000000"/>
          <w:sz w:val="24"/>
        </w:rPr>
        <w:t xml:space="preserve">Keskusvastapuoliin liittyvät vastuut: Tässä ilmoitetaan asetuksen (EU) N:o 575/2013 301 artiklan 1 kohdassa luetellut sopimukset ja liiketoimet niin kauan kun niitä ei ole vielä selvitetty keskusvastapuolen kanssa, mukaan lukien asetuksen (EU) N:o 575/2013 300 artiklan 2 kohdan mukaisista keskusvastapuoliin liittyvistä liiketoimista aiheutuvat vastuut, joiden osalta omien varojen vaatimukset lasketaan asetuksen (EU) N:o 575/2013 kolmannen osan II osaston 6 luvun 9 jakson mukaisesti.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Lainsäädäntöviitteet ja ohjeet</w:t>
            </w:r>
          </w:p>
        </w:tc>
      </w:tr>
      <w:tr w:rsidR="00F43911" w:rsidRPr="007F4CC8" w14:paraId="6D3E09E0" w14:textId="77777777" w:rsidTr="00994814">
        <w:trPr>
          <w:trHeight w:val="238"/>
        </w:trPr>
        <w:tc>
          <w:tcPr>
            <w:tcW w:w="1555"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Rivinumero</w:t>
            </w:r>
          </w:p>
        </w:tc>
        <w:tc>
          <w:tcPr>
            <w:tcW w:w="7484"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Selitys</w:t>
            </w:r>
          </w:p>
        </w:tc>
      </w:tr>
      <w:tr w:rsidR="00F43911" w:rsidRPr="007F4CC8" w14:paraId="37AB1FB7" w14:textId="77777777" w:rsidTr="00994814">
        <w:trPr>
          <w:trHeight w:val="680"/>
        </w:trPr>
        <w:tc>
          <w:tcPr>
            <w:tcW w:w="1555" w:type="dxa"/>
          </w:tcPr>
          <w:p w14:paraId="000DBB15" w14:textId="77777777" w:rsidR="00F43911" w:rsidRPr="007F4CC8" w:rsidRDefault="00F43911" w:rsidP="004F3087">
            <w:pPr>
              <w:pStyle w:val="Applicationdirecte"/>
              <w:spacing w:before="0" w:after="240"/>
              <w:jc w:val="center"/>
            </w:pPr>
            <w:r>
              <w:t>1–10</w:t>
            </w:r>
          </w:p>
        </w:tc>
        <w:tc>
          <w:tcPr>
            <w:tcW w:w="7484" w:type="dxa"/>
            <w:vAlign w:val="center"/>
          </w:tcPr>
          <w:p w14:paraId="29CECCE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Ehdot täyttävä keskusvastapuoli (QCCP)</w:t>
            </w:r>
          </w:p>
          <w:p w14:paraId="7D977D34" w14:textId="54340F62"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Tässä tarkoitetaan asetuksen (EU) N:o 575/2013 4 artiklan 88 kohdan 1 alakohdassa määriteltyä ehdot täyttävää keskusvastapuolta.</w:t>
            </w:r>
          </w:p>
        </w:tc>
      </w:tr>
      <w:tr w:rsidR="00F43911" w:rsidRPr="007F4CC8" w14:paraId="68B0B77B" w14:textId="77777777" w:rsidTr="00994814">
        <w:trPr>
          <w:trHeight w:val="680"/>
        </w:trPr>
        <w:tc>
          <w:tcPr>
            <w:tcW w:w="1555" w:type="dxa"/>
          </w:tcPr>
          <w:p w14:paraId="3AEC71A5" w14:textId="77777777" w:rsidR="00F43911" w:rsidRPr="007F4CC8" w:rsidRDefault="00F43911" w:rsidP="004F3087">
            <w:pPr>
              <w:pStyle w:val="Applicationdirecte"/>
              <w:spacing w:before="0" w:after="240"/>
              <w:jc w:val="center"/>
            </w:pPr>
            <w:r>
              <w:lastRenderedPageBreak/>
              <w:t>7 ja 8</w:t>
            </w:r>
          </w:p>
          <w:p w14:paraId="1BD08955" w14:textId="77777777" w:rsidR="00F43911" w:rsidRPr="007F4CC8" w:rsidRDefault="00F43911" w:rsidP="004F3087">
            <w:pPr>
              <w:pStyle w:val="Fait"/>
              <w:spacing w:before="0" w:after="240"/>
              <w:jc w:val="center"/>
            </w:pPr>
            <w:r>
              <w:t>17 ja 18</w:t>
            </w:r>
          </w:p>
        </w:tc>
        <w:tc>
          <w:tcPr>
            <w:tcW w:w="7484" w:type="dxa"/>
            <w:vAlign w:val="center"/>
          </w:tcPr>
          <w:p w14:paraId="2A3132CF" w14:textId="77777777" w:rsidR="00F43911" w:rsidRPr="005947B9" w:rsidRDefault="00F43911" w:rsidP="004F3087">
            <w:pPr>
              <w:keepNext/>
              <w:spacing w:after="240"/>
              <w:jc w:val="both"/>
              <w:rPr>
                <w:rFonts w:ascii="Times New Roman" w:eastAsia="Times New Roman" w:hAnsi="Times New Roman" w:cs="Times New Roman"/>
                <w:b/>
                <w:bCs/>
                <w:sz w:val="24"/>
              </w:rPr>
            </w:pPr>
            <w:r>
              <w:rPr>
                <w:rFonts w:ascii="Times New Roman" w:hAnsi="Times New Roman"/>
                <w:b/>
                <w:sz w:val="24"/>
              </w:rPr>
              <w:t>Alkumarginaali</w:t>
            </w:r>
          </w:p>
          <w:p w14:paraId="3C76FA21" w14:textId="6C3EFE50"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Laitosten on ilmoitettava asetuksen (EU) N:o 575/2013 4 artiklan 1 kohdan 140 alakohdassa määriteltynä alkumarginaalina vastaanotetun tai asetetun vakuuden käyvät arvot.</w:t>
            </w:r>
          </w:p>
          <w:p w14:paraId="3B66900B" w14:textId="7777777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 xml:space="preserve">Tässä lomakkeessa alkumarginaali ei sisällä osuuksia, jotka maksetaan keskusvastapuolelle keskinäisiä tappionjakojärjestelyjä varten (jos keskusvastapuoli käyttää alkumarginaalia tappioiden jakamiseen määritysosapuolten kesken, sitä käsitellään maksukyvyttömyysrahastoon liittyvänä vastuuna). </w:t>
            </w:r>
          </w:p>
        </w:tc>
      </w:tr>
      <w:tr w:rsidR="00F43911" w:rsidRPr="007F4CC8" w14:paraId="514E9587" w14:textId="77777777" w:rsidTr="00994814">
        <w:trPr>
          <w:trHeight w:val="680"/>
        </w:trPr>
        <w:tc>
          <w:tcPr>
            <w:tcW w:w="1555" w:type="dxa"/>
          </w:tcPr>
          <w:p w14:paraId="5E7BE072" w14:textId="77777777" w:rsidR="00F43911" w:rsidRPr="007F4CC8" w:rsidRDefault="00F43911" w:rsidP="004F3087">
            <w:pPr>
              <w:pStyle w:val="Applicationdirecte"/>
              <w:spacing w:before="0" w:after="240"/>
              <w:jc w:val="center"/>
            </w:pPr>
            <w:r>
              <w:t>9 ja 19</w:t>
            </w:r>
          </w:p>
        </w:tc>
        <w:tc>
          <w:tcPr>
            <w:tcW w:w="7484" w:type="dxa"/>
            <w:vAlign w:val="center"/>
          </w:tcPr>
          <w:p w14:paraId="515E4B6E"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Maksukyvyttömyysrahastoon ennakkoon rahastoidut osuudet</w:t>
            </w:r>
          </w:p>
          <w:p w14:paraId="2980A8E2" w14:textId="77777777"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Tässä ilmoitetaan laitosten maksama osuus keskusvastapuolen maksukyvyttömyysrahastoon.</w:t>
            </w:r>
          </w:p>
          <w:p w14:paraId="47DBAB7C" w14:textId="47AF297D"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Maksukyvyttömyysrahasto määritellään asetuksen (EU) N:o 575/2013 4 artiklan 1 kohdan 89 alakohdassa.</w:t>
            </w:r>
          </w:p>
        </w:tc>
      </w:tr>
      <w:tr w:rsidR="00F43911" w:rsidRPr="007F4CC8" w14:paraId="368249A9" w14:textId="77777777" w:rsidTr="00994814">
        <w:trPr>
          <w:trHeight w:val="680"/>
        </w:trPr>
        <w:tc>
          <w:tcPr>
            <w:tcW w:w="1555" w:type="dxa"/>
          </w:tcPr>
          <w:p w14:paraId="4ECB41F2" w14:textId="77777777" w:rsidR="00F43911" w:rsidRPr="007F4CC8" w:rsidRDefault="00F43911" w:rsidP="004F3087">
            <w:pPr>
              <w:pStyle w:val="Applicationdirecte"/>
              <w:spacing w:before="0" w:after="240"/>
              <w:jc w:val="center"/>
            </w:pPr>
            <w:r>
              <w:t>20</w:t>
            </w:r>
          </w:p>
        </w:tc>
        <w:tc>
          <w:tcPr>
            <w:tcW w:w="7484" w:type="dxa"/>
            <w:vAlign w:val="center"/>
          </w:tcPr>
          <w:p w14:paraId="66ADBBF3"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Maksukyvyttömyysrahastoon rahastoimattomat osuudet</w:t>
            </w:r>
          </w:p>
          <w:p w14:paraId="32104DB8" w14:textId="25D785F1"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Tässä ilmoitetaan osuudet, jotka määritysosapuolena toimiva laitos on sopimusperusteisesti sitoutunut toimittamaan keskusvastapuolelle sen jälkeen, kun keskusvastapuoli on käyttänyt maksukyvyttömyysrahastonsa varat kattamaan tappiot, joita sille on aiheutunut yhden tai useamman määritysosapuolensa maksukyvyttömyydestä. Maksukyvyttömyysrahasto määritellään asetuksen (EU) N:o 575/2013 4 artiklan 1 kohdan 89 alakohdassa.</w:t>
            </w:r>
          </w:p>
        </w:tc>
      </w:tr>
      <w:tr w:rsidR="00F43911" w:rsidRPr="007F4CC8" w14:paraId="5E181790" w14:textId="77777777" w:rsidTr="00994814">
        <w:trPr>
          <w:trHeight w:val="680"/>
        </w:trPr>
        <w:tc>
          <w:tcPr>
            <w:tcW w:w="1555" w:type="dxa"/>
          </w:tcPr>
          <w:p w14:paraId="3F50AC9D" w14:textId="77777777" w:rsidR="00F43911" w:rsidRPr="007F4CC8" w:rsidRDefault="00F43911" w:rsidP="004F3087">
            <w:pPr>
              <w:pStyle w:val="Applicationdirecte"/>
              <w:spacing w:before="0" w:after="240"/>
              <w:jc w:val="center"/>
            </w:pPr>
            <w:r>
              <w:t>7 ja 17</w:t>
            </w:r>
          </w:p>
        </w:tc>
        <w:tc>
          <w:tcPr>
            <w:tcW w:w="7484" w:type="dxa"/>
            <w:vAlign w:val="center"/>
          </w:tcPr>
          <w:p w14:paraId="14FAE32C"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Erilliset</w:t>
            </w:r>
          </w:p>
          <w:p w14:paraId="77E9C42E"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Ks. lomakkeessa EU CCR5 oleva määritelmä.</w:t>
            </w:r>
          </w:p>
        </w:tc>
      </w:tr>
      <w:tr w:rsidR="00F43911" w:rsidRPr="007F4CC8" w14:paraId="3243F74D" w14:textId="77777777" w:rsidTr="00994814">
        <w:trPr>
          <w:trHeight w:val="680"/>
        </w:trPr>
        <w:tc>
          <w:tcPr>
            <w:tcW w:w="1555" w:type="dxa"/>
          </w:tcPr>
          <w:p w14:paraId="5D4CDD15" w14:textId="77777777" w:rsidR="00F43911" w:rsidRPr="007F4CC8" w:rsidRDefault="00F43911" w:rsidP="004F3087">
            <w:pPr>
              <w:pStyle w:val="Applicationdirecte"/>
              <w:spacing w:before="0" w:after="240"/>
              <w:jc w:val="center"/>
            </w:pPr>
            <w:r>
              <w:t>8 ja 18</w:t>
            </w:r>
          </w:p>
        </w:tc>
        <w:tc>
          <w:tcPr>
            <w:tcW w:w="7484" w:type="dxa"/>
            <w:vAlign w:val="center"/>
          </w:tcPr>
          <w:p w14:paraId="68CA4C70"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Ei-erilliset</w:t>
            </w:r>
          </w:p>
          <w:p w14:paraId="33E34E6A"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Ks. lomakkeessa EU CCR5 oleva määritelmä.</w:t>
            </w:r>
          </w:p>
        </w:tc>
      </w:tr>
      <w:tr w:rsidR="00F43911" w:rsidRPr="007F4CC8" w14:paraId="24950624" w14:textId="77777777" w:rsidTr="00994814">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4F3087">
            <w:pPr>
              <w:pStyle w:val="Applicationdirecte"/>
              <w:spacing w:before="0" w:after="240"/>
              <w:jc w:val="center"/>
              <w:rPr>
                <w:b/>
              </w:rPr>
            </w:pPr>
            <w:r>
              <w:rPr>
                <w:b/>
              </w:rPr>
              <w:t>Sarakkeen kirjain</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Selitys</w:t>
            </w:r>
          </w:p>
        </w:tc>
      </w:tr>
      <w:tr w:rsidR="00F43911" w:rsidRPr="007F4CC8" w14:paraId="4DE730C0" w14:textId="77777777" w:rsidTr="00994814">
        <w:trPr>
          <w:trHeight w:val="680"/>
        </w:trPr>
        <w:tc>
          <w:tcPr>
            <w:tcW w:w="1555" w:type="dxa"/>
          </w:tcPr>
          <w:p w14:paraId="0419643B" w14:textId="77777777" w:rsidR="00F43911" w:rsidRPr="007F4CC8" w:rsidRDefault="00F43911" w:rsidP="004F3087">
            <w:pPr>
              <w:pStyle w:val="Applicationdirecte"/>
              <w:spacing w:before="0" w:after="240"/>
              <w:jc w:val="center"/>
            </w:pPr>
            <w:r>
              <w:t>a</w:t>
            </w:r>
          </w:p>
        </w:tc>
        <w:tc>
          <w:tcPr>
            <w:tcW w:w="7484" w:type="dxa"/>
            <w:vAlign w:val="center"/>
          </w:tcPr>
          <w:p w14:paraId="5D26D40B"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Vastuuarvo</w:t>
            </w:r>
          </w:p>
          <w:p w14:paraId="35A19512" w14:textId="30257E7C"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 xml:space="preserve">Tässä ilmoitetaan vastuuarvo, joka on laskettu asetuksen (EU) N:o 575/2013 kolmannen osan II osaston 4 ja 6 luvussa säädettyjen menetelmien mukaisesti saman asetuksen kolmannen osan II osaston 6 luvun 9 jakson soveltamisalaan kuuluville transaktioille, kyseisen jakson 304, 306 ja 308 artiklassa säädettyjen asiaankuuluvien oikaisujen soveltamisen jälkeen. </w:t>
            </w:r>
          </w:p>
          <w:p w14:paraId="12E09CAC" w14:textId="7517109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 xml:space="preserve">Vastuu voi olla asetuksen (EU) N:o 575/2013 4 artiklan 1 kohdan 91 alakohdassa määritelty kaupankäyntivastuu. Ilmoitettava vastuuarvo on määrä, jolla on merkitystä asetuksen (EU) N:o 575/2013 kolmannen osan II </w:t>
            </w:r>
            <w:r>
              <w:rPr>
                <w:rFonts w:ascii="Times New Roman" w:hAnsi="Times New Roman"/>
                <w:sz w:val="24"/>
              </w:rPr>
              <w:lastRenderedPageBreak/>
              <w:t>osaston 6 luvun 9 jakson mukaisessa omien varojen vaatimusten laskennassa, kun otetaan huomioon mainitun asetuksen 497 artiklan vaatimukset kyseisessä artiklassa säädetyn siirtymäkauden aikana.</w:t>
            </w:r>
          </w:p>
        </w:tc>
      </w:tr>
      <w:tr w:rsidR="00F43911" w:rsidRPr="007F4CC8" w14:paraId="3E896BAB" w14:textId="77777777" w:rsidTr="00994814">
        <w:trPr>
          <w:trHeight w:val="680"/>
        </w:trPr>
        <w:tc>
          <w:tcPr>
            <w:tcW w:w="1555" w:type="dxa"/>
          </w:tcPr>
          <w:p w14:paraId="39460D6B" w14:textId="77777777" w:rsidR="00F43911" w:rsidRPr="007F4CC8" w:rsidRDefault="00F43911" w:rsidP="004F3087">
            <w:pPr>
              <w:pStyle w:val="Applicationdirecte"/>
              <w:spacing w:before="0" w:after="240"/>
              <w:jc w:val="center"/>
            </w:pPr>
            <w:r>
              <w:lastRenderedPageBreak/>
              <w:t>b</w:t>
            </w:r>
          </w:p>
        </w:tc>
        <w:tc>
          <w:tcPr>
            <w:tcW w:w="7484" w:type="dxa"/>
            <w:vAlign w:val="center"/>
          </w:tcPr>
          <w:p w14:paraId="4F7D894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Riskipainotettujen vastuuerien yhteismäärä (RWEA)</w:t>
            </w:r>
          </w:p>
          <w:p w14:paraId="1E08469B" w14:textId="2290AF23"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Tässä ilmoitetaan asetuksen (EU) N:o 575/2013 92 artiklan 3 kohdan a alakohdassa tarkoitetut riskipainotetut vastuuerät, jotka lasketaan asetuksen (EU) N:o 575/2013 kolmannen osan II osaston 6 luvun 9 jaksossa olevan 107 artiklan mukaisesti.</w:t>
            </w:r>
          </w:p>
        </w:tc>
      </w:tr>
    </w:tbl>
    <w:p w14:paraId="38F46446" w14:textId="77777777" w:rsidR="00F43911" w:rsidRPr="00F70273" w:rsidRDefault="00F43911" w:rsidP="00F43911">
      <w:pPr>
        <w:pStyle w:val="Titlelevel2"/>
        <w:spacing w:before="0"/>
        <w:rPr>
          <w:rFonts w:ascii="Times New Roman" w:hAnsi="Times New Roman" w:cs="Times New Roman"/>
          <w:color w:val="auto"/>
          <w:sz w:val="24"/>
        </w:rPr>
      </w:pPr>
    </w:p>
    <w:p w14:paraId="12B7B384" w14:textId="77777777" w:rsidR="00993FC2" w:rsidRDefault="00993FC2"/>
    <w:sectPr w:rsidR="00993FC2">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8</w:t>
        </w:r>
        <w: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4BEF01B5" w14:textId="7B31B879" w:rsidR="00F43911" w:rsidRPr="00222AAB" w:rsidRDefault="00F43911" w:rsidP="00F43911">
      <w:pPr>
        <w:pStyle w:val="FootnoteText"/>
        <w:rPr>
          <w:rFonts w:cstheme="minorHAnsi"/>
        </w:rPr>
      </w:pPr>
      <w:r>
        <w:rPr>
          <w:rStyle w:val="FootnoteReference"/>
          <w:rFonts w:cstheme="minorHAnsi"/>
        </w:rPr>
        <w:footnoteRef/>
      </w:r>
      <w:r>
        <w:t xml:space="preserve"> </w:t>
      </w:r>
      <w:r>
        <w:tab/>
        <w:t>Euroopan parlamentin ja neuvoston asetus (EU) N:o 575/2013, annettu 26 päivänä kesäkuuta 2013, luottolaitosten vakavaraisuusvaatimuksista ja asetuksen (EU) N:o 648/2012 muuttamisesta, sellaisena kuin se on muutettuna asetuksella (EU) 2024/1623</w:t>
      </w:r>
      <w:r>
        <w:rPr>
          <w:color w:val="444444"/>
        </w:rPr>
        <w:t xml:space="preserve"> (</w:t>
      </w:r>
      <w:hyperlink r:id="rId1" w:history="1">
        <w:r>
          <w:rPr>
            <w:rStyle w:val="Hyperlink"/>
            <w:color w:val="800080"/>
          </w:rPr>
          <w:t>EUVL L 176, 27.6.2013, s. 1</w:t>
        </w:r>
      </w:hyperlink>
      <w:r>
        <w:rPr>
          <w:color w:val="800080"/>
          <w:u w:val="single"/>
        </w:rPr>
        <w:t xml:space="preserve">; </w:t>
      </w:r>
      <w:hyperlink r:id="rId2" w:history="1">
        <w:r>
          <w:rPr>
            <w:rStyle w:val="Hyperlink"/>
          </w:rPr>
          <w:t>asetus - EU - 2024/1623 - FI - EUR-Lex (europa.eu)</w:t>
        </w:r>
      </w:hyperlink>
      <w:r>
        <w:rPr>
          <w:color w:val="44444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w:rPr>
        <w:noProof/>
      </w:rP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C7C9B1F"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w:rPr>
        <w:noProof/>
      </w:rP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D3C2832"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54AF2C4"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w:rPr>
        <w:noProof/>
      </w:rP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F7B3877"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fi-FI" w:vendorID="64" w:dllVersion="0" w:nlCheck="1" w:checkStyle="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3D2051"/>
    <w:rsid w:val="00532BBF"/>
    <w:rsid w:val="005D0D72"/>
    <w:rsid w:val="006B1D12"/>
    <w:rsid w:val="006B75DC"/>
    <w:rsid w:val="0072756E"/>
    <w:rsid w:val="007D4C3D"/>
    <w:rsid w:val="008F4881"/>
    <w:rsid w:val="00993FC2"/>
    <w:rsid w:val="00994814"/>
    <w:rsid w:val="009C29DA"/>
    <w:rsid w:val="00AB0BDD"/>
    <w:rsid w:val="00CD5187"/>
    <w:rsid w:val="00D50CDF"/>
    <w:rsid w:val="00D73CC9"/>
    <w:rsid w:val="00DD6E68"/>
    <w:rsid w:val="00F43911"/>
    <w:rsid w:val="00F70273"/>
    <w:rsid w:val="00F7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F43911"/>
    <w:rPr>
      <w:rFonts w:eastAsiaTheme="minorEastAsia"/>
      <w:sz w:val="18"/>
      <w:szCs w:val="18"/>
      <w:lang w:val="fi-F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I/TXT/?uri=OJ:L_202401623" TargetMode="External"/><Relationship Id="rId1" Type="http://schemas.openxmlformats.org/officeDocument/2006/relationships/hyperlink" Target="https://eur-lex.europa.eu/legal-content/FI/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AF98D6-CBF7-434A-9A70-030233195C58}">
  <ds:schemaRefs>
    <ds:schemaRef ds:uri="http://schemas.microsoft.com/sharepoint/v3/contenttype/forms"/>
  </ds:schemaRefs>
</ds:datastoreItem>
</file>

<file path=customXml/itemProps2.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107D94-1DCD-4F48-AF60-4BDDBA1BEF78}"/>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25</TotalTime>
  <Pages>17</Pages>
  <Words>4062</Words>
  <Characters>32621</Characters>
  <Application>Microsoft Office Word</Application>
  <DocSecurity>0</DocSecurity>
  <Lines>694</Lines>
  <Paragraphs>316</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SLOTTE Eva (DGT)</cp:lastModifiedBy>
  <cp:revision>16</cp:revision>
  <dcterms:created xsi:type="dcterms:W3CDTF">2021-03-11T13:24:00Z</dcterms:created>
  <dcterms:modified xsi:type="dcterms:W3CDTF">2024-10-14T11:29:00Z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