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38C18C66" w:rsidR="00F43911" w:rsidRPr="00826586" w:rsidRDefault="00F43911" w:rsidP="00F43911">
      <w:pPr>
        <w:pStyle w:val="Titlelevel2"/>
        <w:spacing w:before="0"/>
        <w:jc w:val="center"/>
        <w:rPr>
          <w:rFonts w:ascii="Times New Roman" w:hAnsi="Times New Roman" w:cs="Times New Roman"/>
          <w:b/>
          <w:color w:val="auto"/>
          <w:sz w:val="24"/>
          <w:u w:val="single"/>
        </w:rPr>
      </w:pPr>
      <w:r w:rsidRPr="00826586">
        <w:rPr>
          <w:rFonts w:ascii="Times New Roman" w:hAnsi="Times New Roman"/>
          <w:b/>
          <w:color w:val="auto"/>
          <w:sz w:val="24"/>
          <w:u w:val="single"/>
        </w:rPr>
        <w:t>PRÍLOHA XXVI – Tabuľky</w:t>
      </w:r>
      <w:r w:rsidR="00826586">
        <w:rPr>
          <w:rFonts w:ascii="Times New Roman" w:hAnsi="Times New Roman"/>
          <w:b/>
          <w:color w:val="auto"/>
          <w:sz w:val="24"/>
          <w:u w:val="single"/>
        </w:rPr>
        <w:t xml:space="preserve"> a </w:t>
      </w:r>
      <w:r w:rsidRPr="00826586">
        <w:rPr>
          <w:rFonts w:ascii="Times New Roman" w:hAnsi="Times New Roman"/>
          <w:b/>
          <w:color w:val="auto"/>
          <w:sz w:val="24"/>
          <w:u w:val="single"/>
        </w:rPr>
        <w:t>vzory na zverejňovanie informácií</w:t>
      </w:r>
      <w:r w:rsidR="00826586">
        <w:rPr>
          <w:rFonts w:ascii="Times New Roman" w:hAnsi="Times New Roman"/>
          <w:b/>
          <w:color w:val="auto"/>
          <w:sz w:val="24"/>
          <w:u w:val="single"/>
        </w:rPr>
        <w:t xml:space="preserve"> o </w:t>
      </w:r>
      <w:r w:rsidRPr="00826586">
        <w:rPr>
          <w:rFonts w:ascii="Times New Roman" w:hAnsi="Times New Roman"/>
          <w:b/>
          <w:color w:val="auto"/>
          <w:sz w:val="24"/>
          <w:u w:val="single"/>
        </w:rPr>
        <w:t>kreditnom riziku protistrany: pokyny</w:t>
      </w:r>
    </w:p>
    <w:p w14:paraId="05FDB8E0" w14:textId="6764280F" w:rsidR="00826586" w:rsidRDefault="00F43911" w:rsidP="00F43911">
      <w:pPr>
        <w:pStyle w:val="Titlelevel2"/>
        <w:numPr>
          <w:ilvl w:val="0"/>
          <w:numId w:val="2"/>
        </w:numPr>
        <w:spacing w:before="0"/>
        <w:jc w:val="both"/>
        <w:rPr>
          <w:rFonts w:ascii="Times New Roman" w:hAnsi="Times New Roman"/>
          <w:color w:val="auto"/>
          <w:sz w:val="24"/>
        </w:rPr>
      </w:pPr>
      <w:r w:rsidRPr="00826586">
        <w:rPr>
          <w:rFonts w:ascii="Times New Roman" w:hAnsi="Times New Roman"/>
          <w:color w:val="auto"/>
          <w:sz w:val="24"/>
        </w:rPr>
        <w:t>Inštitúcie zverejňujú informácie uvedené</w:t>
      </w:r>
      <w:r w:rsidR="00826586">
        <w:rPr>
          <w:rFonts w:ascii="Times New Roman" w:hAnsi="Times New Roman"/>
          <w:color w:val="auto"/>
          <w:sz w:val="24"/>
        </w:rPr>
        <w:t xml:space="preserve"> v </w:t>
      </w:r>
      <w:r w:rsidRPr="00826586">
        <w:rPr>
          <w:rFonts w:ascii="Times New Roman" w:hAnsi="Times New Roman"/>
          <w:color w:val="auto"/>
          <w:sz w:val="24"/>
        </w:rPr>
        <w:t xml:space="preserve">článku 439 nariadenia (EÚ) </w:t>
      </w:r>
      <w:r w:rsidR="00826586">
        <w:rPr>
          <w:rFonts w:ascii="Times New Roman" w:hAnsi="Times New Roman"/>
          <w:color w:val="auto"/>
          <w:sz w:val="24"/>
        </w:rPr>
        <w:t>č. </w:t>
      </w:r>
      <w:r w:rsidRPr="00826586">
        <w:rPr>
          <w:rFonts w:ascii="Times New Roman" w:hAnsi="Times New Roman"/>
          <w:color w:val="auto"/>
          <w:sz w:val="24"/>
        </w:rPr>
        <w:t>575/2013 týkajúce sa ich expozície voči kreditnému riziku protistrany, ako sa uvádza</w:t>
      </w:r>
      <w:r w:rsidR="00826586">
        <w:rPr>
          <w:rFonts w:ascii="Times New Roman" w:hAnsi="Times New Roman"/>
          <w:color w:val="auto"/>
          <w:sz w:val="24"/>
        </w:rPr>
        <w:t xml:space="preserve"> v </w:t>
      </w:r>
      <w:r w:rsidRPr="00826586">
        <w:rPr>
          <w:rFonts w:ascii="Times New Roman" w:hAnsi="Times New Roman"/>
          <w:color w:val="auto"/>
          <w:sz w:val="24"/>
        </w:rPr>
        <w:t xml:space="preserve">tretej časti hlave II kapitole 6 nariadenia (EÚ) </w:t>
      </w:r>
      <w:r w:rsidR="00826586">
        <w:rPr>
          <w:rFonts w:ascii="Times New Roman" w:hAnsi="Times New Roman"/>
          <w:color w:val="auto"/>
          <w:sz w:val="24"/>
        </w:rPr>
        <w:t>č. </w:t>
      </w:r>
      <w:r w:rsidRPr="00826586">
        <w:rPr>
          <w:rFonts w:ascii="Times New Roman" w:hAnsi="Times New Roman"/>
          <w:color w:val="auto"/>
          <w:sz w:val="24"/>
        </w:rPr>
        <w:t>575/2013</w:t>
      </w:r>
      <w:r w:rsidRPr="00826586">
        <w:rPr>
          <w:rStyle w:val="FootnoteReference"/>
          <w:color w:val="auto"/>
        </w:rPr>
        <w:footnoteReference w:id="1"/>
      </w:r>
      <w:r w:rsidRPr="00826586">
        <w:rPr>
          <w:rFonts w:ascii="Times New Roman" w:hAnsi="Times New Roman"/>
          <w:color w:val="auto"/>
          <w:sz w:val="24"/>
        </w:rPr>
        <w:t xml:space="preserve"> („CRR“), podľa pokynov uvedených</w:t>
      </w:r>
      <w:r w:rsidR="00826586">
        <w:rPr>
          <w:rFonts w:ascii="Times New Roman" w:hAnsi="Times New Roman"/>
          <w:color w:val="auto"/>
          <w:sz w:val="24"/>
        </w:rPr>
        <w:t xml:space="preserve"> v </w:t>
      </w:r>
      <w:r w:rsidRPr="00826586">
        <w:rPr>
          <w:rFonts w:ascii="Times New Roman" w:hAnsi="Times New Roman"/>
          <w:color w:val="auto"/>
          <w:sz w:val="24"/>
        </w:rPr>
        <w:t>tejto prílohe</w:t>
      </w:r>
      <w:r w:rsidR="00826586">
        <w:rPr>
          <w:rFonts w:ascii="Times New Roman" w:hAnsi="Times New Roman"/>
          <w:color w:val="auto"/>
          <w:sz w:val="24"/>
        </w:rPr>
        <w:t xml:space="preserve"> s </w:t>
      </w:r>
      <w:r w:rsidRPr="00826586">
        <w:rPr>
          <w:rFonts w:ascii="Times New Roman" w:hAnsi="Times New Roman"/>
          <w:color w:val="auto"/>
          <w:sz w:val="24"/>
        </w:rPr>
        <w:t>cieľom vyplniť tabuľky</w:t>
      </w:r>
      <w:r w:rsidR="00826586">
        <w:rPr>
          <w:rFonts w:ascii="Times New Roman" w:hAnsi="Times New Roman"/>
          <w:color w:val="auto"/>
          <w:sz w:val="24"/>
        </w:rPr>
        <w:t xml:space="preserve"> a </w:t>
      </w:r>
      <w:r w:rsidRPr="00826586">
        <w:rPr>
          <w:rFonts w:ascii="Times New Roman" w:hAnsi="Times New Roman"/>
          <w:color w:val="auto"/>
          <w:sz w:val="24"/>
        </w:rPr>
        <w:t>vzory, ktoré sú uvedené</w:t>
      </w:r>
      <w:r w:rsidR="00826586">
        <w:rPr>
          <w:rFonts w:ascii="Times New Roman" w:hAnsi="Times New Roman"/>
          <w:color w:val="auto"/>
          <w:sz w:val="24"/>
        </w:rPr>
        <w:t xml:space="preserve"> v </w:t>
      </w:r>
      <w:r w:rsidRPr="00826586">
        <w:rPr>
          <w:rFonts w:ascii="Times New Roman" w:hAnsi="Times New Roman"/>
          <w:color w:val="auto"/>
          <w:sz w:val="24"/>
        </w:rPr>
        <w:t>prílohe XXV dokumentu</w:t>
      </w:r>
      <w:r w:rsidR="00826586">
        <w:rPr>
          <w:rFonts w:ascii="Times New Roman" w:hAnsi="Times New Roman"/>
          <w:color w:val="auto"/>
          <w:sz w:val="24"/>
        </w:rPr>
        <w:t xml:space="preserve"> s </w:t>
      </w:r>
      <w:r w:rsidRPr="00826586">
        <w:rPr>
          <w:rFonts w:ascii="Times New Roman" w:hAnsi="Times New Roman"/>
          <w:color w:val="auto"/>
          <w:sz w:val="24"/>
        </w:rPr>
        <w:t>IT riešeniami orgánu EBA</w:t>
      </w:r>
      <w:r w:rsidR="00826586">
        <w:rPr>
          <w:rFonts w:ascii="Times New Roman" w:hAnsi="Times New Roman"/>
          <w:color w:val="auto"/>
          <w:sz w:val="24"/>
        </w:rPr>
        <w:t>.</w:t>
      </w:r>
    </w:p>
    <w:p w14:paraId="7E162DA8" w14:textId="77777777" w:rsidR="00826586" w:rsidRDefault="00F43911" w:rsidP="00F43911">
      <w:pPr>
        <w:pStyle w:val="Titlelevel2"/>
        <w:spacing w:before="0"/>
        <w:rPr>
          <w:rFonts w:ascii="Times New Roman" w:hAnsi="Times New Roman"/>
          <w:color w:val="000000"/>
          <w:sz w:val="24"/>
        </w:rPr>
      </w:pPr>
      <w:r w:rsidRPr="00826586">
        <w:rPr>
          <w:rFonts w:ascii="Times New Roman" w:hAnsi="Times New Roman"/>
          <w:b/>
          <w:color w:val="auto"/>
          <w:sz w:val="24"/>
        </w:rPr>
        <w:t>Tabuľka EU CCRA – Požiadavky na zverejňovanie kvalitatívnych informácií týkajúcich sa kreditného rizika protistrany (CCR):</w:t>
      </w:r>
      <w:r w:rsidRPr="00826586">
        <w:rPr>
          <w:rFonts w:ascii="Times New Roman" w:hAnsi="Times New Roman"/>
          <w:sz w:val="24"/>
        </w:rPr>
        <w:t xml:space="preserve"> </w:t>
      </w:r>
      <w:r w:rsidRPr="00826586">
        <w:rPr>
          <w:rFonts w:ascii="Times New Roman" w:hAnsi="Times New Roman"/>
          <w:color w:val="000000"/>
          <w:sz w:val="24"/>
        </w:rPr>
        <w:t>Textové polia</w:t>
      </w:r>
      <w:r w:rsidR="00826586">
        <w:rPr>
          <w:rFonts w:ascii="Times New Roman" w:hAnsi="Times New Roman"/>
          <w:color w:val="000000"/>
          <w:sz w:val="24"/>
        </w:rPr>
        <w:t xml:space="preserve"> s </w:t>
      </w:r>
      <w:r w:rsidRPr="00826586">
        <w:rPr>
          <w:rFonts w:ascii="Times New Roman" w:hAnsi="Times New Roman"/>
          <w:color w:val="000000"/>
          <w:sz w:val="24"/>
        </w:rPr>
        <w:t>ľubovoľným formátom</w:t>
      </w:r>
    </w:p>
    <w:p w14:paraId="39E2C005" w14:textId="28523911" w:rsidR="00F43911" w:rsidRPr="00986E15" w:rsidRDefault="00F43911" w:rsidP="00F43911">
      <w:pPr>
        <w:pStyle w:val="Titlelevel2"/>
        <w:numPr>
          <w:ilvl w:val="0"/>
          <w:numId w:val="2"/>
        </w:numPr>
        <w:spacing w:before="0"/>
        <w:jc w:val="both"/>
        <w:rPr>
          <w:rFonts w:ascii="Times New Roman" w:hAnsi="Times New Roman" w:cs="Times New Roman"/>
          <w:color w:val="auto"/>
          <w:sz w:val="24"/>
        </w:rPr>
      </w:pPr>
      <w:r w:rsidRPr="00986E15">
        <w:rPr>
          <w:rFonts w:ascii="Times New Roman" w:hAnsi="Times New Roman"/>
          <w:color w:val="auto"/>
          <w:sz w:val="24"/>
        </w:rPr>
        <w:t>Inštitúcie zverejňujú informácie uvedené</w:t>
      </w:r>
      <w:r w:rsidR="00826586" w:rsidRPr="00986E15">
        <w:rPr>
          <w:rFonts w:ascii="Times New Roman" w:hAnsi="Times New Roman"/>
          <w:color w:val="auto"/>
          <w:sz w:val="24"/>
        </w:rPr>
        <w:t xml:space="preserve"> v </w:t>
      </w:r>
      <w:r w:rsidRPr="00986E15">
        <w:rPr>
          <w:rFonts w:ascii="Times New Roman" w:hAnsi="Times New Roman"/>
          <w:color w:val="auto"/>
          <w:sz w:val="24"/>
        </w:rPr>
        <w:t xml:space="preserve">článku 439 písm. a) až d) nariadenia (EÚ) </w:t>
      </w:r>
      <w:r w:rsidR="00826586" w:rsidRPr="00986E15">
        <w:rPr>
          <w:rFonts w:ascii="Times New Roman" w:hAnsi="Times New Roman"/>
          <w:color w:val="auto"/>
          <w:sz w:val="24"/>
        </w:rPr>
        <w:t>č. </w:t>
      </w:r>
      <w:r w:rsidRPr="00986E15">
        <w:rPr>
          <w:rFonts w:ascii="Times New Roman" w:hAnsi="Times New Roman"/>
          <w:color w:val="auto"/>
          <w:sz w:val="24"/>
        </w:rPr>
        <w:t>575/2013 podľa pokynov uvedených nižšie</w:t>
      </w:r>
      <w:r w:rsidR="00826586" w:rsidRPr="00986E15">
        <w:rPr>
          <w:rFonts w:ascii="Times New Roman" w:hAnsi="Times New Roman"/>
          <w:color w:val="auto"/>
          <w:sz w:val="24"/>
        </w:rPr>
        <w:t xml:space="preserve"> v </w:t>
      </w:r>
      <w:r w:rsidRPr="00986E15">
        <w:rPr>
          <w:rFonts w:ascii="Times New Roman" w:hAnsi="Times New Roman"/>
          <w:color w:val="auto"/>
          <w:sz w:val="24"/>
        </w:rPr>
        <w:t>tejto prílohe</w:t>
      </w:r>
      <w:r w:rsidR="00826586" w:rsidRPr="00986E15">
        <w:rPr>
          <w:rFonts w:ascii="Times New Roman" w:hAnsi="Times New Roman"/>
          <w:color w:val="auto"/>
          <w:sz w:val="24"/>
        </w:rPr>
        <w:t xml:space="preserve"> s </w:t>
      </w:r>
      <w:r w:rsidRPr="00986E15">
        <w:rPr>
          <w:rFonts w:ascii="Times New Roman" w:hAnsi="Times New Roman"/>
          <w:color w:val="auto"/>
          <w:sz w:val="24"/>
        </w:rPr>
        <w:t>cieľom vyplniť tabuľku EU CCRA, ktorá je uvedená</w:t>
      </w:r>
      <w:r w:rsidR="00826586" w:rsidRPr="00986E15">
        <w:rPr>
          <w:rFonts w:ascii="Times New Roman" w:hAnsi="Times New Roman"/>
          <w:color w:val="auto"/>
          <w:sz w:val="24"/>
        </w:rPr>
        <w:t xml:space="preserve"> v </w:t>
      </w:r>
      <w:r w:rsidRPr="00986E15">
        <w:rPr>
          <w:rFonts w:ascii="Times New Roman" w:hAnsi="Times New Roman"/>
          <w:color w:val="auto"/>
          <w:sz w:val="24"/>
        </w:rPr>
        <w:t>prílohe XXV dokumentu</w:t>
      </w:r>
      <w:r w:rsidR="00826586" w:rsidRPr="00986E15">
        <w:rPr>
          <w:rFonts w:ascii="Times New Roman" w:hAnsi="Times New Roman"/>
          <w:color w:val="auto"/>
          <w:sz w:val="24"/>
        </w:rPr>
        <w:t xml:space="preserve"> s </w:t>
      </w:r>
      <w:r w:rsidRPr="00986E15">
        <w:rPr>
          <w:rFonts w:ascii="Times New Roman" w:hAnsi="Times New Roman"/>
          <w:color w:val="auto"/>
          <w:sz w:val="24"/>
        </w:rPr>
        <w:t>IT riešeniami orgánu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26586"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C04713A" w:rsidR="00F43911" w:rsidRPr="00826586" w:rsidRDefault="00F43911" w:rsidP="004F3087">
            <w:pPr>
              <w:spacing w:after="240"/>
              <w:rPr>
                <w:rFonts w:ascii="Times New Roman" w:hAnsi="Times New Roman" w:cs="Times New Roman"/>
                <w:b/>
                <w:sz w:val="24"/>
              </w:rPr>
            </w:pPr>
            <w:r w:rsidRPr="00826586">
              <w:rPr>
                <w:rFonts w:ascii="Times New Roman" w:hAnsi="Times New Roman"/>
                <w:b/>
                <w:sz w:val="24"/>
              </w:rPr>
              <w:t>Odkazy na právne predpisy</w:t>
            </w:r>
            <w:r w:rsidR="00826586">
              <w:rPr>
                <w:rFonts w:ascii="Times New Roman" w:hAnsi="Times New Roman"/>
                <w:b/>
                <w:sz w:val="24"/>
              </w:rPr>
              <w:t xml:space="preserve"> a</w:t>
            </w:r>
            <w:r w:rsidR="00DE2E80">
              <w:rPr>
                <w:rFonts w:ascii="Times New Roman" w:hAnsi="Times New Roman"/>
                <w:b/>
                <w:sz w:val="24"/>
              </w:rPr>
              <w:t> </w:t>
            </w:r>
            <w:r w:rsidRPr="00826586">
              <w:rPr>
                <w:rFonts w:ascii="Times New Roman" w:hAnsi="Times New Roman"/>
                <w:b/>
                <w:sz w:val="24"/>
              </w:rPr>
              <w:t>pokyny</w:t>
            </w:r>
          </w:p>
        </w:tc>
      </w:tr>
      <w:tr w:rsidR="00F43911" w:rsidRPr="00826586" w14:paraId="4303C7D7" w14:textId="77777777" w:rsidTr="004F3087">
        <w:trPr>
          <w:trHeight w:val="238"/>
        </w:trPr>
        <w:tc>
          <w:tcPr>
            <w:tcW w:w="1384" w:type="dxa"/>
            <w:shd w:val="clear" w:color="auto" w:fill="D9D9D9" w:themeFill="background1" w:themeFillShade="D9"/>
          </w:tcPr>
          <w:p w14:paraId="1199DCAD" w14:textId="77777777" w:rsidR="00F43911" w:rsidRPr="00826586" w:rsidRDefault="00F43911" w:rsidP="004F3087">
            <w:pPr>
              <w:autoSpaceDE w:val="0"/>
              <w:autoSpaceDN w:val="0"/>
              <w:adjustRightInd w:val="0"/>
              <w:spacing w:after="240"/>
              <w:rPr>
                <w:rFonts w:ascii="Times New Roman" w:hAnsi="Times New Roman" w:cs="Times New Roman"/>
                <w:b/>
                <w:sz w:val="24"/>
              </w:rPr>
            </w:pPr>
            <w:r w:rsidRPr="00826586">
              <w:rPr>
                <w:rFonts w:ascii="Times New Roman" w:hAnsi="Times New Roman"/>
                <w:b/>
                <w:sz w:val="24"/>
              </w:rPr>
              <w:t>Číslo riadku</w:t>
            </w:r>
          </w:p>
        </w:tc>
        <w:tc>
          <w:tcPr>
            <w:tcW w:w="7655" w:type="dxa"/>
            <w:shd w:val="clear" w:color="auto" w:fill="D9D9D9" w:themeFill="background1" w:themeFillShade="D9"/>
          </w:tcPr>
          <w:p w14:paraId="56B3990F" w14:textId="77777777" w:rsidR="00F43911" w:rsidRPr="00826586" w:rsidRDefault="00F43911" w:rsidP="004F3087">
            <w:pPr>
              <w:autoSpaceDE w:val="0"/>
              <w:autoSpaceDN w:val="0"/>
              <w:adjustRightInd w:val="0"/>
              <w:spacing w:after="240"/>
              <w:rPr>
                <w:rFonts w:ascii="Times New Roman" w:hAnsi="Times New Roman" w:cs="Times New Roman"/>
                <w:color w:val="000000"/>
                <w:sz w:val="24"/>
              </w:rPr>
            </w:pPr>
            <w:r w:rsidRPr="00826586">
              <w:rPr>
                <w:rFonts w:ascii="Times New Roman" w:hAnsi="Times New Roman"/>
                <w:b/>
                <w:sz w:val="24"/>
              </w:rPr>
              <w:t>Vysvetlenie</w:t>
            </w:r>
          </w:p>
        </w:tc>
      </w:tr>
      <w:tr w:rsidR="00F43911" w:rsidRPr="00826586" w14:paraId="090E4832" w14:textId="77777777" w:rsidTr="004F3087">
        <w:trPr>
          <w:trHeight w:val="680"/>
        </w:trPr>
        <w:tc>
          <w:tcPr>
            <w:tcW w:w="1384" w:type="dxa"/>
          </w:tcPr>
          <w:p w14:paraId="03165275" w14:textId="77777777" w:rsidR="00F43911" w:rsidRPr="00826586" w:rsidRDefault="00F43911" w:rsidP="004F3087">
            <w:pPr>
              <w:pStyle w:val="Applicationdirecte"/>
              <w:spacing w:before="0" w:after="240"/>
              <w:jc w:val="center"/>
            </w:pPr>
            <w:r w:rsidRPr="00826586">
              <w:t>a)</w:t>
            </w:r>
          </w:p>
        </w:tc>
        <w:tc>
          <w:tcPr>
            <w:tcW w:w="7655" w:type="dxa"/>
            <w:vAlign w:val="center"/>
          </w:tcPr>
          <w:p w14:paraId="0A6613B2" w14:textId="1CA0F7CD"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Inštitúcie pri zverejňovaní informácií vyžadovaných</w:t>
            </w:r>
            <w:r w:rsidR="00826586">
              <w:rPr>
                <w:rFonts w:ascii="Times New Roman" w:hAnsi="Times New Roman"/>
                <w:sz w:val="24"/>
              </w:rPr>
              <w:t xml:space="preserve"> v </w:t>
            </w:r>
            <w:r w:rsidRPr="00826586">
              <w:rPr>
                <w:rFonts w:ascii="Times New Roman" w:hAnsi="Times New Roman"/>
                <w:sz w:val="24"/>
              </w:rPr>
              <w:t xml:space="preserve">článku 439 písm. a) nariadenia (EÚ) </w:t>
            </w:r>
            <w:r w:rsidR="00826586">
              <w:rPr>
                <w:rFonts w:ascii="Times New Roman" w:hAnsi="Times New Roman"/>
                <w:sz w:val="24"/>
              </w:rPr>
              <w:t>č. </w:t>
            </w:r>
            <w:r w:rsidRPr="00826586">
              <w:rPr>
                <w:rFonts w:ascii="Times New Roman" w:hAnsi="Times New Roman"/>
                <w:sz w:val="24"/>
              </w:rPr>
              <w:t>575/2013 poskytujú opis metodiky použitej na priradenie interného kapitálu</w:t>
            </w:r>
            <w:r w:rsidR="00826586">
              <w:rPr>
                <w:rFonts w:ascii="Times New Roman" w:hAnsi="Times New Roman"/>
                <w:sz w:val="24"/>
              </w:rPr>
              <w:t xml:space="preserve"> a </w:t>
            </w:r>
            <w:r w:rsidRPr="00826586">
              <w:rPr>
                <w:rFonts w:ascii="Times New Roman" w:hAnsi="Times New Roman"/>
                <w:sz w:val="24"/>
              </w:rPr>
              <w:t>kreditných limitov pre expozície voči kreditnému riziku protistrany vrátane metód na priradenie uvedených limitov expozíciám voči centrálnym protistranám.</w:t>
            </w:r>
          </w:p>
        </w:tc>
      </w:tr>
      <w:tr w:rsidR="00F43911" w:rsidRPr="00826586" w14:paraId="5C895156" w14:textId="77777777" w:rsidTr="004F3087">
        <w:trPr>
          <w:trHeight w:val="680"/>
        </w:trPr>
        <w:tc>
          <w:tcPr>
            <w:tcW w:w="1384" w:type="dxa"/>
          </w:tcPr>
          <w:p w14:paraId="03F456F0" w14:textId="77777777" w:rsidR="00F43911" w:rsidRPr="00826586" w:rsidRDefault="00F43911" w:rsidP="004F3087">
            <w:pPr>
              <w:pStyle w:val="Applicationdirecte"/>
              <w:spacing w:before="0" w:after="240"/>
              <w:jc w:val="center"/>
            </w:pPr>
            <w:r w:rsidRPr="00826586">
              <w:t>b)</w:t>
            </w:r>
          </w:p>
        </w:tc>
        <w:tc>
          <w:tcPr>
            <w:tcW w:w="7655" w:type="dxa"/>
          </w:tcPr>
          <w:p w14:paraId="4FB7E2EC" w14:textId="05E68655"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Inštitúcie pri zverejňovaní informácií vyžadovaných</w:t>
            </w:r>
            <w:r w:rsidR="00826586">
              <w:rPr>
                <w:rFonts w:ascii="Times New Roman" w:hAnsi="Times New Roman"/>
                <w:sz w:val="24"/>
              </w:rPr>
              <w:t xml:space="preserve"> v </w:t>
            </w:r>
            <w:r w:rsidRPr="00826586">
              <w:rPr>
                <w:rFonts w:ascii="Times New Roman" w:hAnsi="Times New Roman"/>
                <w:sz w:val="24"/>
              </w:rPr>
              <w:t xml:space="preserve">článku 439 písm. b) nariadenia (EÚ) </w:t>
            </w:r>
            <w:r w:rsidR="00826586">
              <w:rPr>
                <w:rFonts w:ascii="Times New Roman" w:hAnsi="Times New Roman"/>
                <w:sz w:val="24"/>
              </w:rPr>
              <w:t>č. </w:t>
            </w:r>
            <w:r w:rsidRPr="00826586">
              <w:rPr>
                <w:rFonts w:ascii="Times New Roman" w:hAnsi="Times New Roman"/>
                <w:sz w:val="24"/>
              </w:rPr>
              <w:t>575/2013 poskytujú opis politík týkajúcich sa záruk</w:t>
            </w:r>
            <w:r w:rsidR="00826586">
              <w:rPr>
                <w:rFonts w:ascii="Times New Roman" w:hAnsi="Times New Roman"/>
                <w:sz w:val="24"/>
              </w:rPr>
              <w:t xml:space="preserve"> a </w:t>
            </w:r>
            <w:r w:rsidRPr="00826586">
              <w:rPr>
                <w:rFonts w:ascii="Times New Roman" w:hAnsi="Times New Roman"/>
                <w:sz w:val="24"/>
              </w:rPr>
              <w:t>iných zmiernení kreditného rizika, ako sú politiky zabezpečenia kolaterálu</w:t>
            </w:r>
            <w:r w:rsidR="00826586">
              <w:rPr>
                <w:rFonts w:ascii="Times New Roman" w:hAnsi="Times New Roman"/>
                <w:sz w:val="24"/>
              </w:rPr>
              <w:t xml:space="preserve"> a </w:t>
            </w:r>
            <w:r w:rsidRPr="00826586">
              <w:rPr>
                <w:rFonts w:ascii="Times New Roman" w:hAnsi="Times New Roman"/>
                <w:sz w:val="24"/>
              </w:rPr>
              <w:t>zriaďovania kreditných rezerv.</w:t>
            </w:r>
          </w:p>
        </w:tc>
      </w:tr>
      <w:tr w:rsidR="00F43911" w:rsidRPr="00826586" w14:paraId="0916C922" w14:textId="77777777" w:rsidTr="004F3087">
        <w:trPr>
          <w:trHeight w:val="436"/>
        </w:trPr>
        <w:tc>
          <w:tcPr>
            <w:tcW w:w="1384" w:type="dxa"/>
          </w:tcPr>
          <w:p w14:paraId="1B024A74" w14:textId="77777777" w:rsidR="00F43911" w:rsidRPr="00826586" w:rsidRDefault="00F43911" w:rsidP="004F3087">
            <w:pPr>
              <w:pStyle w:val="Applicationdirecte"/>
              <w:spacing w:before="0" w:after="240"/>
              <w:jc w:val="center"/>
            </w:pPr>
            <w:r w:rsidRPr="00826586">
              <w:t>c)</w:t>
            </w:r>
          </w:p>
        </w:tc>
        <w:tc>
          <w:tcPr>
            <w:tcW w:w="7655" w:type="dxa"/>
          </w:tcPr>
          <w:p w14:paraId="41EF016F" w14:textId="4C96C959"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Inštitúcie pri zverejňovaní informácií vyžadovaných</w:t>
            </w:r>
            <w:r w:rsidR="00826586">
              <w:rPr>
                <w:rFonts w:ascii="Times New Roman" w:hAnsi="Times New Roman"/>
                <w:sz w:val="24"/>
              </w:rPr>
              <w:t xml:space="preserve"> v </w:t>
            </w:r>
            <w:r w:rsidRPr="00826586">
              <w:rPr>
                <w:rFonts w:ascii="Times New Roman" w:hAnsi="Times New Roman"/>
                <w:sz w:val="24"/>
              </w:rPr>
              <w:t xml:space="preserve">článku 439 písm. c) nariadenia (EÚ) </w:t>
            </w:r>
            <w:r w:rsidR="00826586">
              <w:rPr>
                <w:rFonts w:ascii="Times New Roman" w:hAnsi="Times New Roman"/>
                <w:sz w:val="24"/>
              </w:rPr>
              <w:t>č. </w:t>
            </w:r>
            <w:r w:rsidRPr="00826586">
              <w:rPr>
                <w:rFonts w:ascii="Times New Roman" w:hAnsi="Times New Roman"/>
                <w:sz w:val="24"/>
              </w:rPr>
              <w:t>575/2013 poskytujú opis politík týkajúcich sa rizika nesprávnej voľby</w:t>
            </w:r>
            <w:r w:rsidR="00826586">
              <w:rPr>
                <w:rFonts w:ascii="Times New Roman" w:hAnsi="Times New Roman"/>
                <w:sz w:val="24"/>
              </w:rPr>
              <w:t xml:space="preserve"> v </w:t>
            </w:r>
            <w:r w:rsidRPr="00826586">
              <w:rPr>
                <w:rFonts w:ascii="Times New Roman" w:hAnsi="Times New Roman"/>
                <w:sz w:val="24"/>
              </w:rPr>
              <w:t>zmysle vymedzenia</w:t>
            </w:r>
            <w:r w:rsidR="00826586">
              <w:rPr>
                <w:rFonts w:ascii="Times New Roman" w:hAnsi="Times New Roman"/>
                <w:sz w:val="24"/>
              </w:rPr>
              <w:t xml:space="preserve"> v </w:t>
            </w:r>
            <w:r w:rsidRPr="00826586">
              <w:rPr>
                <w:rFonts w:ascii="Times New Roman" w:hAnsi="Times New Roman"/>
                <w:sz w:val="24"/>
              </w:rPr>
              <w:t xml:space="preserve">článku 291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111B3E08" w14:textId="77777777" w:rsidTr="004F3087">
        <w:trPr>
          <w:trHeight w:val="557"/>
        </w:trPr>
        <w:tc>
          <w:tcPr>
            <w:tcW w:w="1384" w:type="dxa"/>
          </w:tcPr>
          <w:p w14:paraId="4A2ECD9B" w14:textId="77777777" w:rsidR="00F43911" w:rsidRPr="00826586" w:rsidRDefault="00F43911" w:rsidP="004F3087">
            <w:pPr>
              <w:pStyle w:val="Applicationdirecte"/>
              <w:spacing w:before="0" w:after="240"/>
              <w:jc w:val="center"/>
            </w:pPr>
            <w:r w:rsidRPr="00826586">
              <w:t>d)</w:t>
            </w:r>
          </w:p>
        </w:tc>
        <w:tc>
          <w:tcPr>
            <w:tcW w:w="7655" w:type="dxa"/>
          </w:tcPr>
          <w:p w14:paraId="00928C41" w14:textId="45AA4630" w:rsidR="00F43911" w:rsidRPr="00826586" w:rsidRDefault="00F43911" w:rsidP="004F3087">
            <w:pPr>
              <w:spacing w:after="240"/>
              <w:jc w:val="both"/>
              <w:rPr>
                <w:rFonts w:ascii="Times New Roman" w:hAnsi="Times New Roman" w:cs="Times New Roman"/>
                <w:color w:val="000000"/>
                <w:sz w:val="24"/>
              </w:rPr>
            </w:pPr>
            <w:r w:rsidRPr="00826586">
              <w:rPr>
                <w:rFonts w:ascii="Times New Roman" w:hAnsi="Times New Roman"/>
                <w:sz w:val="24"/>
              </w:rPr>
              <w:t>V súlade</w:t>
            </w:r>
            <w:r w:rsidR="00826586">
              <w:rPr>
                <w:rFonts w:ascii="Times New Roman" w:hAnsi="Times New Roman"/>
                <w:sz w:val="24"/>
              </w:rPr>
              <w:t xml:space="preserve"> s </w:t>
            </w:r>
            <w:r w:rsidRPr="00826586">
              <w:rPr>
                <w:rFonts w:ascii="Times New Roman" w:hAnsi="Times New Roman"/>
                <w:sz w:val="24"/>
              </w:rPr>
              <w:t>článkom 431 ods. 3</w:t>
            </w:r>
            <w:r w:rsidR="00826586">
              <w:rPr>
                <w:rFonts w:ascii="Times New Roman" w:hAnsi="Times New Roman"/>
                <w:sz w:val="24"/>
              </w:rPr>
              <w:t xml:space="preserve"> a </w:t>
            </w:r>
            <w:r w:rsidRPr="00826586">
              <w:rPr>
                <w:rFonts w:ascii="Times New Roman" w:hAnsi="Times New Roman"/>
                <w:sz w:val="24"/>
              </w:rPr>
              <w:t xml:space="preserve">4 nariadenia (EÚ) </w:t>
            </w:r>
            <w:r w:rsidR="00826586">
              <w:rPr>
                <w:rFonts w:ascii="Times New Roman" w:hAnsi="Times New Roman"/>
                <w:sz w:val="24"/>
              </w:rPr>
              <w:t>č. </w:t>
            </w:r>
            <w:r w:rsidRPr="00826586">
              <w:rPr>
                <w:rFonts w:ascii="Times New Roman" w:hAnsi="Times New Roman"/>
                <w:sz w:val="24"/>
              </w:rPr>
              <w:t>575/2013 inštitúcie dopĺňajú uvedené informácie</w:t>
            </w:r>
            <w:r w:rsidR="00826586">
              <w:rPr>
                <w:rFonts w:ascii="Times New Roman" w:hAnsi="Times New Roman"/>
                <w:sz w:val="24"/>
              </w:rPr>
              <w:t xml:space="preserve"> o </w:t>
            </w:r>
            <w:r w:rsidRPr="00826586">
              <w:rPr>
                <w:rFonts w:ascii="Times New Roman" w:hAnsi="Times New Roman"/>
                <w:sz w:val="24"/>
              </w:rPr>
              <w:t>všetky iné ciele riadenia rizík</w:t>
            </w:r>
            <w:r w:rsidR="00826586">
              <w:rPr>
                <w:rFonts w:ascii="Times New Roman" w:hAnsi="Times New Roman"/>
                <w:sz w:val="24"/>
              </w:rPr>
              <w:t xml:space="preserve"> a </w:t>
            </w:r>
            <w:r w:rsidRPr="00826586">
              <w:rPr>
                <w:rFonts w:ascii="Times New Roman" w:hAnsi="Times New Roman"/>
                <w:sz w:val="24"/>
              </w:rPr>
              <w:t>príslušné politiky týkajúce sa CCR.</w:t>
            </w:r>
          </w:p>
        </w:tc>
      </w:tr>
      <w:tr w:rsidR="00F43911" w:rsidRPr="00826586" w14:paraId="54F07496" w14:textId="77777777" w:rsidTr="004F3087">
        <w:trPr>
          <w:trHeight w:val="557"/>
        </w:trPr>
        <w:tc>
          <w:tcPr>
            <w:tcW w:w="1384" w:type="dxa"/>
          </w:tcPr>
          <w:p w14:paraId="5D277706" w14:textId="77777777" w:rsidR="00F43911" w:rsidRPr="00826586" w:rsidRDefault="00F43911" w:rsidP="004F3087">
            <w:pPr>
              <w:pStyle w:val="Applicationdirecte"/>
              <w:spacing w:before="0" w:after="240"/>
              <w:jc w:val="center"/>
            </w:pPr>
            <w:r w:rsidRPr="00826586">
              <w:t>e)</w:t>
            </w:r>
          </w:p>
        </w:tc>
        <w:tc>
          <w:tcPr>
            <w:tcW w:w="7655" w:type="dxa"/>
          </w:tcPr>
          <w:p w14:paraId="26ABA2A9" w14:textId="0B9FFEA5" w:rsidR="00826586" w:rsidRDefault="00F43911" w:rsidP="004F3087">
            <w:pPr>
              <w:spacing w:after="240"/>
              <w:jc w:val="both"/>
              <w:rPr>
                <w:rFonts w:ascii="Times New Roman" w:hAnsi="Times New Roman"/>
                <w:sz w:val="24"/>
              </w:rPr>
            </w:pPr>
            <w:r w:rsidRPr="00826586">
              <w:rPr>
                <w:rFonts w:ascii="Times New Roman" w:hAnsi="Times New Roman"/>
                <w:sz w:val="24"/>
              </w:rPr>
              <w:t>Inštitúcie pri zverejňovaní informácií vyžadovaných</w:t>
            </w:r>
            <w:r w:rsidR="00826586">
              <w:rPr>
                <w:rFonts w:ascii="Times New Roman" w:hAnsi="Times New Roman"/>
                <w:sz w:val="24"/>
              </w:rPr>
              <w:t xml:space="preserve"> v </w:t>
            </w:r>
            <w:r w:rsidRPr="00826586">
              <w:rPr>
                <w:rFonts w:ascii="Times New Roman" w:hAnsi="Times New Roman"/>
                <w:sz w:val="24"/>
              </w:rPr>
              <w:t xml:space="preserve">článku 439 písm. d) nariadenia (EÚ) </w:t>
            </w:r>
            <w:r w:rsidR="00826586">
              <w:rPr>
                <w:rFonts w:ascii="Times New Roman" w:hAnsi="Times New Roman"/>
                <w:sz w:val="24"/>
              </w:rPr>
              <w:t>č. </w:t>
            </w:r>
            <w:r w:rsidRPr="00826586">
              <w:rPr>
                <w:rFonts w:ascii="Times New Roman" w:hAnsi="Times New Roman"/>
                <w:sz w:val="24"/>
              </w:rPr>
              <w:t>575/2013 uvádzajú hodnotu kolaterálu, ktorý by inštitúcie museli poskytnúť, ak by sa ich úverový rating znížil</w:t>
            </w:r>
            <w:r w:rsidR="00826586">
              <w:rPr>
                <w:rFonts w:ascii="Times New Roman" w:hAnsi="Times New Roman"/>
                <w:sz w:val="24"/>
              </w:rPr>
              <w:t>.</w:t>
            </w:r>
          </w:p>
          <w:p w14:paraId="08B2F868" w14:textId="120F5DB2"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color w:val="000000"/>
                <w:sz w:val="24"/>
              </w:rPr>
              <w:t xml:space="preserve">Ak centrálna banka členského štátu poskytne pomoc na zabezpečenie likvidity vo forme transakcií so swapmi na kolaterál, príslušný orgán môže inštitúciám </w:t>
            </w:r>
            <w:r w:rsidRPr="00826586">
              <w:rPr>
                <w:rFonts w:ascii="Times New Roman" w:hAnsi="Times New Roman"/>
                <w:color w:val="000000"/>
                <w:sz w:val="24"/>
              </w:rPr>
              <w:lastRenderedPageBreak/>
              <w:t>udeliť výnimku</w:t>
            </w:r>
            <w:r w:rsidR="00826586">
              <w:rPr>
                <w:rFonts w:ascii="Times New Roman" w:hAnsi="Times New Roman"/>
                <w:color w:val="000000"/>
                <w:sz w:val="24"/>
              </w:rPr>
              <w:t xml:space="preserve"> z </w:t>
            </w:r>
            <w:r w:rsidRPr="00826586">
              <w:rPr>
                <w:rFonts w:ascii="Times New Roman" w:hAnsi="Times New Roman"/>
                <w:color w:val="000000"/>
                <w:sz w:val="24"/>
              </w:rPr>
              <w:t>poskytovania týchto informácií, ak sa tento príslušný orgán domnieva, že zverejnenie informácií uvedených vo vzoroch by mohlo odhaliť poskytnutie núdzovej pomoci na zabezpečenie likvidity. Na tieto účely príslušný orgán stanovuje primerané prahové hodnoty</w:t>
            </w:r>
            <w:r w:rsidR="00826586">
              <w:rPr>
                <w:rFonts w:ascii="Times New Roman" w:hAnsi="Times New Roman"/>
                <w:color w:val="000000"/>
                <w:sz w:val="24"/>
              </w:rPr>
              <w:t xml:space="preserve"> a </w:t>
            </w:r>
            <w:r w:rsidRPr="00826586">
              <w:rPr>
                <w:rFonts w:ascii="Times New Roman" w:hAnsi="Times New Roman"/>
                <w:color w:val="000000"/>
                <w:sz w:val="24"/>
              </w:rPr>
              <w:t>objektívne kritériá.</w:t>
            </w:r>
          </w:p>
        </w:tc>
      </w:tr>
    </w:tbl>
    <w:p w14:paraId="27B59149" w14:textId="77777777" w:rsidR="00F43911" w:rsidRPr="00826586" w:rsidRDefault="00F43911" w:rsidP="00F43911">
      <w:pPr>
        <w:pStyle w:val="Titlelevel2"/>
        <w:spacing w:before="0"/>
        <w:rPr>
          <w:rFonts w:ascii="Times New Roman" w:hAnsi="Times New Roman" w:cs="Times New Roman"/>
          <w:b/>
          <w:color w:val="auto"/>
          <w:sz w:val="24"/>
        </w:rPr>
      </w:pPr>
    </w:p>
    <w:p w14:paraId="7B935B7B" w14:textId="77777777" w:rsidR="00F43911" w:rsidRPr="00826586" w:rsidRDefault="00F43911" w:rsidP="00F43911">
      <w:pPr>
        <w:pStyle w:val="Titlelevel2"/>
        <w:spacing w:before="0"/>
        <w:rPr>
          <w:rFonts w:ascii="Times New Roman" w:hAnsi="Times New Roman" w:cs="Times New Roman"/>
          <w:color w:val="auto"/>
          <w:sz w:val="24"/>
        </w:rPr>
      </w:pPr>
      <w:r w:rsidRPr="00826586">
        <w:rPr>
          <w:rFonts w:ascii="Times New Roman" w:hAnsi="Times New Roman"/>
          <w:b/>
          <w:color w:val="auto"/>
          <w:sz w:val="24"/>
        </w:rPr>
        <w:t xml:space="preserve">Vzor EU CCR1 – Analýza expozície voči CCR podľa prístupu: </w:t>
      </w:r>
      <w:r w:rsidRPr="00826586">
        <w:rPr>
          <w:rFonts w:ascii="Times New Roman" w:hAnsi="Times New Roman"/>
          <w:color w:val="auto"/>
          <w:sz w:val="24"/>
        </w:rPr>
        <w:t>Pevný formát</w:t>
      </w:r>
    </w:p>
    <w:p w14:paraId="5F298634" w14:textId="4592325B" w:rsidR="00F43911" w:rsidRPr="00DE2E80"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DE2E80">
        <w:rPr>
          <w:rFonts w:ascii="Times New Roman" w:hAnsi="Times New Roman"/>
          <w:color w:val="auto"/>
          <w:sz w:val="24"/>
        </w:rPr>
        <w:t>Inštitúcie zverejňujú informácie uvedené</w:t>
      </w:r>
      <w:r w:rsidR="00826586" w:rsidRPr="00DE2E80">
        <w:rPr>
          <w:rFonts w:ascii="Times New Roman" w:hAnsi="Times New Roman"/>
          <w:color w:val="auto"/>
          <w:sz w:val="24"/>
        </w:rPr>
        <w:t xml:space="preserve"> v </w:t>
      </w:r>
      <w:r w:rsidRPr="00DE2E80">
        <w:rPr>
          <w:rFonts w:ascii="Times New Roman" w:hAnsi="Times New Roman"/>
          <w:color w:val="auto"/>
          <w:sz w:val="24"/>
        </w:rPr>
        <w:t>článku 439 písm. f), g)</w:t>
      </w:r>
      <w:r w:rsidR="00826586" w:rsidRPr="00DE2E80">
        <w:rPr>
          <w:rFonts w:ascii="Times New Roman" w:hAnsi="Times New Roman"/>
          <w:color w:val="auto"/>
          <w:sz w:val="24"/>
        </w:rPr>
        <w:t xml:space="preserve"> a </w:t>
      </w:r>
      <w:r w:rsidRPr="00DE2E80">
        <w:rPr>
          <w:rFonts w:ascii="Times New Roman" w:hAnsi="Times New Roman"/>
          <w:color w:val="auto"/>
          <w:sz w:val="24"/>
        </w:rPr>
        <w:t xml:space="preserve">k) nariadenia (EÚ) </w:t>
      </w:r>
      <w:r w:rsidR="00826586" w:rsidRPr="00DE2E80">
        <w:rPr>
          <w:rFonts w:ascii="Times New Roman" w:hAnsi="Times New Roman"/>
          <w:color w:val="auto"/>
          <w:sz w:val="24"/>
        </w:rPr>
        <w:t>č. </w:t>
      </w:r>
      <w:r w:rsidRPr="00DE2E80">
        <w:rPr>
          <w:rFonts w:ascii="Times New Roman" w:hAnsi="Times New Roman"/>
          <w:color w:val="auto"/>
          <w:sz w:val="24"/>
        </w:rPr>
        <w:t>575/2013 podľa pokynov uvedených nižšie</w:t>
      </w:r>
      <w:r w:rsidR="00826586" w:rsidRPr="00DE2E80">
        <w:rPr>
          <w:rFonts w:ascii="Times New Roman" w:hAnsi="Times New Roman"/>
          <w:color w:val="auto"/>
          <w:sz w:val="24"/>
        </w:rPr>
        <w:t xml:space="preserve"> v </w:t>
      </w:r>
      <w:r w:rsidRPr="00DE2E80">
        <w:rPr>
          <w:rFonts w:ascii="Times New Roman" w:hAnsi="Times New Roman"/>
          <w:color w:val="auto"/>
          <w:sz w:val="24"/>
        </w:rPr>
        <w:t>tejto prílohe</w:t>
      </w:r>
      <w:r w:rsidR="00826586" w:rsidRPr="00DE2E80">
        <w:rPr>
          <w:rFonts w:ascii="Times New Roman" w:hAnsi="Times New Roman"/>
          <w:color w:val="auto"/>
          <w:sz w:val="24"/>
        </w:rPr>
        <w:t xml:space="preserve"> s </w:t>
      </w:r>
      <w:r w:rsidRPr="00DE2E80">
        <w:rPr>
          <w:rFonts w:ascii="Times New Roman" w:hAnsi="Times New Roman"/>
          <w:color w:val="auto"/>
          <w:sz w:val="24"/>
        </w:rPr>
        <w:t>cieľom vyplniť vzor EU CCR1, ktorý je uvedený</w:t>
      </w:r>
      <w:r w:rsidR="00826586" w:rsidRPr="00DE2E80">
        <w:rPr>
          <w:rFonts w:ascii="Times New Roman" w:hAnsi="Times New Roman"/>
          <w:color w:val="auto"/>
          <w:sz w:val="24"/>
        </w:rPr>
        <w:t xml:space="preserve"> v </w:t>
      </w:r>
      <w:r w:rsidRPr="00DE2E80">
        <w:rPr>
          <w:rFonts w:ascii="Times New Roman" w:hAnsi="Times New Roman"/>
          <w:color w:val="auto"/>
          <w:sz w:val="24"/>
        </w:rPr>
        <w:t>prílohe XXV dokumentu</w:t>
      </w:r>
      <w:r w:rsidR="00826586" w:rsidRPr="00DE2E80">
        <w:rPr>
          <w:rFonts w:ascii="Times New Roman" w:hAnsi="Times New Roman"/>
          <w:color w:val="auto"/>
          <w:sz w:val="24"/>
        </w:rPr>
        <w:t xml:space="preserve"> s </w:t>
      </w:r>
      <w:r w:rsidRPr="00DE2E80">
        <w:rPr>
          <w:rFonts w:ascii="Times New Roman" w:hAnsi="Times New Roman"/>
          <w:color w:val="auto"/>
          <w:sz w:val="24"/>
        </w:rPr>
        <w:t>IT riešeniami orgánu EBA.</w:t>
      </w:r>
    </w:p>
    <w:p w14:paraId="570E50EE" w14:textId="7C50A231" w:rsidR="00F43911" w:rsidRPr="00DE2E80" w:rsidRDefault="00F43911" w:rsidP="00F43911">
      <w:pPr>
        <w:pStyle w:val="Titlelevel2"/>
        <w:numPr>
          <w:ilvl w:val="0"/>
          <w:numId w:val="2"/>
        </w:numPr>
        <w:spacing w:before="0"/>
        <w:jc w:val="both"/>
        <w:rPr>
          <w:rFonts w:ascii="Times New Roman" w:hAnsi="Times New Roman" w:cs="Times New Roman"/>
          <w:color w:val="auto"/>
          <w:sz w:val="24"/>
        </w:rPr>
      </w:pPr>
      <w:r w:rsidRPr="00DE2E80">
        <w:rPr>
          <w:rFonts w:ascii="Times New Roman" w:hAnsi="Times New Roman"/>
          <w:color w:val="auto"/>
          <w:sz w:val="24"/>
        </w:rPr>
        <w:t xml:space="preserve">Z tohto vzoru sú vylúčené požiadavky na vlastné zdroje pre riziko úpravy ocenenia pohľadávok [tretia časť hlava VI nariadenia (EÚ) </w:t>
      </w:r>
      <w:r w:rsidR="00826586" w:rsidRPr="00DE2E80">
        <w:rPr>
          <w:rFonts w:ascii="Times New Roman" w:hAnsi="Times New Roman"/>
          <w:color w:val="auto"/>
          <w:sz w:val="24"/>
        </w:rPr>
        <w:t>č. </w:t>
      </w:r>
      <w:r w:rsidRPr="00DE2E80">
        <w:rPr>
          <w:rFonts w:ascii="Times New Roman" w:hAnsi="Times New Roman"/>
          <w:color w:val="auto"/>
          <w:sz w:val="24"/>
        </w:rPr>
        <w:t>575/2013]</w:t>
      </w:r>
      <w:r w:rsidR="00826586" w:rsidRPr="00DE2E80">
        <w:rPr>
          <w:rFonts w:ascii="Times New Roman" w:hAnsi="Times New Roman"/>
          <w:color w:val="auto"/>
          <w:sz w:val="24"/>
        </w:rPr>
        <w:t xml:space="preserve"> a </w:t>
      </w:r>
      <w:r w:rsidRPr="00DE2E80">
        <w:rPr>
          <w:rFonts w:ascii="Times New Roman" w:hAnsi="Times New Roman"/>
          <w:color w:val="auto"/>
          <w:sz w:val="24"/>
        </w:rPr>
        <w:t xml:space="preserve">expozície voči centrálnej protistrane [tretia časť hlava II kapitola 6 oddiel 9 nariadenia (EÚ) </w:t>
      </w:r>
      <w:r w:rsidR="00826586" w:rsidRPr="00DE2E80">
        <w:rPr>
          <w:rFonts w:ascii="Times New Roman" w:hAnsi="Times New Roman"/>
          <w:color w:val="auto"/>
          <w:sz w:val="24"/>
        </w:rPr>
        <w:t>č. </w:t>
      </w:r>
      <w:r w:rsidRPr="00DE2E80">
        <w:rPr>
          <w:rFonts w:ascii="Times New Roman" w:hAnsi="Times New Roman"/>
          <w:color w:val="auto"/>
          <w:sz w:val="24"/>
        </w:rPr>
        <w:t>575/2013], ako sú vymedzené na účely vzoru EU CCR8.</w:t>
      </w:r>
      <w:r w:rsidR="00826586" w:rsidRPr="00DE2E80">
        <w:rPr>
          <w:color w:val="auto"/>
        </w:rPr>
        <w:t xml:space="preserve"> V </w:t>
      </w:r>
      <w:r w:rsidRPr="00DE2E80">
        <w:rPr>
          <w:rFonts w:ascii="Times New Roman" w:hAnsi="Times New Roman"/>
          <w:color w:val="auto"/>
          <w:sz w:val="24"/>
        </w:rPr>
        <w:t>prípade transakcií financovania prostredníctvom cenných papierov zahŕňa vzor</w:t>
      </w:r>
      <w:r w:rsidR="00826586" w:rsidRPr="00DE2E80">
        <w:rPr>
          <w:rFonts w:ascii="Times New Roman" w:hAnsi="Times New Roman"/>
          <w:color w:val="auto"/>
          <w:sz w:val="24"/>
        </w:rPr>
        <w:t xml:space="preserve"> v </w:t>
      </w:r>
      <w:r w:rsidRPr="00DE2E80">
        <w:rPr>
          <w:rFonts w:ascii="Times New Roman" w:hAnsi="Times New Roman"/>
          <w:color w:val="auto"/>
          <w:sz w:val="24"/>
        </w:rPr>
        <w:t>súlade</w:t>
      </w:r>
      <w:r w:rsidR="00826586" w:rsidRPr="00DE2E80">
        <w:rPr>
          <w:rFonts w:ascii="Times New Roman" w:hAnsi="Times New Roman"/>
          <w:color w:val="auto"/>
          <w:sz w:val="24"/>
        </w:rPr>
        <w:t xml:space="preserve"> s </w:t>
      </w:r>
      <w:r w:rsidRPr="00DE2E80">
        <w:rPr>
          <w:rFonts w:ascii="Times New Roman" w:hAnsi="Times New Roman"/>
          <w:color w:val="auto"/>
          <w:sz w:val="24"/>
        </w:rPr>
        <w:t xml:space="preserve">článkom 439 písm. g) nariadenia (EÚ) </w:t>
      </w:r>
      <w:r w:rsidR="00826586" w:rsidRPr="00DE2E80">
        <w:rPr>
          <w:rFonts w:ascii="Times New Roman" w:hAnsi="Times New Roman"/>
          <w:color w:val="auto"/>
          <w:sz w:val="24"/>
        </w:rPr>
        <w:t>č. </w:t>
      </w:r>
      <w:r w:rsidRPr="00DE2E80">
        <w:rPr>
          <w:rFonts w:ascii="Times New Roman" w:hAnsi="Times New Roman"/>
          <w:color w:val="auto"/>
          <w:sz w:val="24"/>
        </w:rPr>
        <w:t>575/2013 hodnoty expozície pred vplyvom zmierňovania kreditného rizika</w:t>
      </w:r>
      <w:r w:rsidR="00826586" w:rsidRPr="00DE2E80">
        <w:rPr>
          <w:rFonts w:ascii="Times New Roman" w:hAnsi="Times New Roman"/>
          <w:color w:val="auto"/>
          <w:sz w:val="24"/>
        </w:rPr>
        <w:t xml:space="preserve"> a </w:t>
      </w:r>
      <w:r w:rsidRPr="00DE2E80">
        <w:rPr>
          <w:rFonts w:ascii="Times New Roman" w:hAnsi="Times New Roman"/>
          <w:color w:val="auto"/>
          <w:sz w:val="24"/>
        </w:rPr>
        <w:t>po tomto vplyve, ako je určené podľa metód stanovených</w:t>
      </w:r>
      <w:r w:rsidR="00826586" w:rsidRPr="00DE2E80">
        <w:rPr>
          <w:rFonts w:ascii="Times New Roman" w:hAnsi="Times New Roman"/>
          <w:color w:val="auto"/>
          <w:sz w:val="24"/>
        </w:rPr>
        <w:t xml:space="preserve"> v </w:t>
      </w:r>
      <w:r w:rsidRPr="00DE2E80">
        <w:rPr>
          <w:rFonts w:ascii="Times New Roman" w:hAnsi="Times New Roman"/>
          <w:color w:val="auto"/>
          <w:sz w:val="24"/>
        </w:rPr>
        <w:t>tretej časti hlave II kapitolách 4</w:t>
      </w:r>
      <w:r w:rsidR="00826586" w:rsidRPr="00DE2E80">
        <w:rPr>
          <w:rFonts w:ascii="Times New Roman" w:hAnsi="Times New Roman"/>
          <w:color w:val="auto"/>
          <w:sz w:val="24"/>
        </w:rPr>
        <w:t xml:space="preserve"> a </w:t>
      </w:r>
      <w:r w:rsidRPr="00DE2E80">
        <w:rPr>
          <w:rFonts w:ascii="Times New Roman" w:hAnsi="Times New Roman"/>
          <w:color w:val="auto"/>
          <w:sz w:val="24"/>
        </w:rPr>
        <w:t xml:space="preserve">6 nariadenia (EÚ) </w:t>
      </w:r>
      <w:r w:rsidR="00826586" w:rsidRPr="00DE2E80">
        <w:rPr>
          <w:rFonts w:ascii="Times New Roman" w:hAnsi="Times New Roman"/>
          <w:color w:val="auto"/>
          <w:sz w:val="24"/>
        </w:rPr>
        <w:t>č. </w:t>
      </w:r>
      <w:r w:rsidRPr="00DE2E80">
        <w:rPr>
          <w:rFonts w:ascii="Times New Roman" w:hAnsi="Times New Roman"/>
          <w:color w:val="auto"/>
          <w:sz w:val="24"/>
        </w:rPr>
        <w:t>575/2013, bez ohľadu na to, ktorá metóda je použitá,</w:t>
      </w:r>
      <w:r w:rsidR="00826586" w:rsidRPr="00DE2E80">
        <w:rPr>
          <w:rFonts w:ascii="Times New Roman" w:hAnsi="Times New Roman"/>
          <w:color w:val="auto"/>
          <w:sz w:val="24"/>
        </w:rPr>
        <w:t xml:space="preserve"> a </w:t>
      </w:r>
      <w:r w:rsidRPr="00DE2E80">
        <w:rPr>
          <w:rFonts w:ascii="Times New Roman" w:hAnsi="Times New Roman"/>
          <w:color w:val="auto"/>
          <w:sz w:val="24"/>
        </w:rPr>
        <w:t>súvisiace hodnoty rizikových expozícií</w:t>
      </w:r>
      <w:r w:rsidR="00826586" w:rsidRPr="00DE2E80">
        <w:rPr>
          <w:rFonts w:ascii="Times New Roman" w:hAnsi="Times New Roman"/>
          <w:color w:val="auto"/>
          <w:sz w:val="24"/>
        </w:rPr>
        <w:t xml:space="preserve"> v </w:t>
      </w:r>
      <w:r w:rsidRPr="00DE2E80">
        <w:rPr>
          <w:rFonts w:ascii="Times New Roman" w:hAnsi="Times New Roman"/>
          <w:color w:val="auto"/>
          <w:sz w:val="24"/>
        </w:rPr>
        <w:t>rozčlenení podľa príslušnej metódy.</w:t>
      </w:r>
    </w:p>
    <w:p w14:paraId="5B43A4B5" w14:textId="667B4D72" w:rsidR="00F43911" w:rsidRPr="00826586" w:rsidRDefault="00F43911" w:rsidP="00F43911">
      <w:pPr>
        <w:pStyle w:val="Titlelevel2"/>
        <w:numPr>
          <w:ilvl w:val="0"/>
          <w:numId w:val="2"/>
        </w:numPr>
        <w:spacing w:before="0"/>
        <w:jc w:val="both"/>
        <w:rPr>
          <w:rFonts w:ascii="Times New Roman" w:hAnsi="Times New Roman" w:cs="Times New Roman"/>
          <w:color w:val="auto"/>
          <w:sz w:val="24"/>
        </w:rPr>
      </w:pPr>
      <w:r w:rsidRPr="00826586">
        <w:rPr>
          <w:rFonts w:ascii="Times New Roman" w:hAnsi="Times New Roman"/>
          <w:color w:val="auto"/>
          <w:sz w:val="24"/>
        </w:rPr>
        <w:t>Inštitúcie, ktoré používajú metódy stanovené</w:t>
      </w:r>
      <w:r w:rsidR="00826586">
        <w:rPr>
          <w:rFonts w:ascii="Times New Roman" w:hAnsi="Times New Roman"/>
          <w:color w:val="auto"/>
          <w:sz w:val="24"/>
        </w:rPr>
        <w:t xml:space="preserve"> v </w:t>
      </w:r>
      <w:r w:rsidRPr="00826586">
        <w:rPr>
          <w:rFonts w:ascii="Times New Roman" w:hAnsi="Times New Roman"/>
          <w:color w:val="auto"/>
          <w:sz w:val="24"/>
        </w:rPr>
        <w:t>tretej časti hlave II kapitole 6 oddieloch 4</w:t>
      </w:r>
      <w:r w:rsidR="00826586">
        <w:rPr>
          <w:rFonts w:ascii="Times New Roman" w:hAnsi="Times New Roman"/>
          <w:color w:val="auto"/>
          <w:sz w:val="24"/>
        </w:rPr>
        <w:t xml:space="preserve"> a </w:t>
      </w:r>
      <w:r w:rsidRPr="00826586">
        <w:rPr>
          <w:rFonts w:ascii="Times New Roman" w:hAnsi="Times New Roman"/>
          <w:color w:val="auto"/>
          <w:sz w:val="24"/>
        </w:rPr>
        <w:t xml:space="preserve">5 nariadenia (EÚ) </w:t>
      </w:r>
      <w:r w:rsidR="00826586">
        <w:rPr>
          <w:rFonts w:ascii="Times New Roman" w:hAnsi="Times New Roman"/>
          <w:color w:val="auto"/>
          <w:sz w:val="24"/>
        </w:rPr>
        <w:t>č. </w:t>
      </w:r>
      <w:r w:rsidRPr="00826586">
        <w:rPr>
          <w:rFonts w:ascii="Times New Roman" w:hAnsi="Times New Roman"/>
          <w:color w:val="auto"/>
          <w:sz w:val="24"/>
        </w:rPr>
        <w:t xml:space="preserve">575/2013, pri uplatňovaní článku 439 písm. m) nariadenia (EÚ) </w:t>
      </w:r>
      <w:r w:rsidR="00826586">
        <w:rPr>
          <w:rFonts w:ascii="Times New Roman" w:hAnsi="Times New Roman"/>
          <w:color w:val="auto"/>
          <w:sz w:val="24"/>
        </w:rPr>
        <w:t>č. </w:t>
      </w:r>
      <w:r w:rsidRPr="00826586">
        <w:rPr>
          <w:rFonts w:ascii="Times New Roman" w:hAnsi="Times New Roman"/>
          <w:color w:val="auto"/>
          <w:sz w:val="24"/>
        </w:rPr>
        <w:t>575/2013 uvádzajú</w:t>
      </w:r>
      <w:r w:rsidR="00826586">
        <w:rPr>
          <w:rFonts w:ascii="Times New Roman" w:hAnsi="Times New Roman"/>
          <w:color w:val="auto"/>
          <w:sz w:val="24"/>
        </w:rPr>
        <w:t xml:space="preserve"> v </w:t>
      </w:r>
      <w:r w:rsidRPr="00826586">
        <w:rPr>
          <w:rFonts w:ascii="Times New Roman" w:hAnsi="Times New Roman"/>
          <w:color w:val="auto"/>
          <w:sz w:val="24"/>
        </w:rPr>
        <w:t>opise sprevádzajúcom daný vzor veľkosť svojich súvahových</w:t>
      </w:r>
      <w:r w:rsidR="00826586">
        <w:rPr>
          <w:rFonts w:ascii="Times New Roman" w:hAnsi="Times New Roman"/>
          <w:color w:val="auto"/>
          <w:sz w:val="24"/>
        </w:rPr>
        <w:t xml:space="preserve"> a </w:t>
      </w:r>
      <w:r w:rsidRPr="00826586">
        <w:rPr>
          <w:rFonts w:ascii="Times New Roman" w:hAnsi="Times New Roman"/>
          <w:color w:val="auto"/>
          <w:sz w:val="24"/>
        </w:rPr>
        <w:t xml:space="preserve">podsúvahových derivátových činností na základe výpočtu podľa článku 273a ods. 1 alebo 2 nariadenia (EÚ) </w:t>
      </w:r>
      <w:r w:rsidR="00826586">
        <w:rPr>
          <w:rFonts w:ascii="Times New Roman" w:hAnsi="Times New Roman"/>
          <w:color w:val="auto"/>
          <w:sz w:val="24"/>
        </w:rPr>
        <w:t>č. </w:t>
      </w:r>
      <w:r w:rsidRPr="00826586">
        <w:rPr>
          <w:rFonts w:ascii="Times New Roman" w:hAnsi="Times New Roman"/>
          <w:color w:val="auto"/>
          <w:sz w:val="24"/>
        </w:rPr>
        <w:t>575/2013, podľa toho, čo je uplatniteľné.</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26586"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5574B94D" w:rsidR="00F43911" w:rsidRPr="00826586" w:rsidRDefault="00F43911" w:rsidP="004F3087">
            <w:pPr>
              <w:spacing w:after="240"/>
              <w:rPr>
                <w:rFonts w:ascii="Times New Roman" w:hAnsi="Times New Roman" w:cs="Times New Roman"/>
                <w:b/>
                <w:sz w:val="24"/>
              </w:rPr>
            </w:pPr>
            <w:r w:rsidRPr="00826586">
              <w:rPr>
                <w:rFonts w:ascii="Times New Roman" w:hAnsi="Times New Roman"/>
                <w:b/>
                <w:sz w:val="24"/>
              </w:rPr>
              <w:t>Odkazy na právne predpisy</w:t>
            </w:r>
            <w:r w:rsidR="00826586">
              <w:rPr>
                <w:rFonts w:ascii="Times New Roman" w:hAnsi="Times New Roman"/>
                <w:b/>
                <w:sz w:val="24"/>
              </w:rPr>
              <w:t xml:space="preserve"> a </w:t>
            </w:r>
            <w:r w:rsidRPr="00826586">
              <w:rPr>
                <w:rFonts w:ascii="Times New Roman" w:hAnsi="Times New Roman"/>
                <w:b/>
                <w:sz w:val="24"/>
              </w:rPr>
              <w:t>pokyny</w:t>
            </w:r>
          </w:p>
        </w:tc>
      </w:tr>
      <w:tr w:rsidR="00F43911" w:rsidRPr="00826586" w14:paraId="44A608CD" w14:textId="77777777" w:rsidTr="004F3087">
        <w:trPr>
          <w:trHeight w:val="238"/>
        </w:trPr>
        <w:tc>
          <w:tcPr>
            <w:tcW w:w="1384" w:type="dxa"/>
            <w:shd w:val="clear" w:color="auto" w:fill="D9D9D9" w:themeFill="background1" w:themeFillShade="D9"/>
          </w:tcPr>
          <w:p w14:paraId="141AE583" w14:textId="77777777" w:rsidR="00F43911" w:rsidRPr="00826586" w:rsidRDefault="00F43911" w:rsidP="004F3087">
            <w:pPr>
              <w:autoSpaceDE w:val="0"/>
              <w:autoSpaceDN w:val="0"/>
              <w:adjustRightInd w:val="0"/>
              <w:spacing w:after="240"/>
              <w:jc w:val="center"/>
              <w:rPr>
                <w:rFonts w:ascii="Times New Roman" w:hAnsi="Times New Roman" w:cs="Times New Roman"/>
                <w:b/>
                <w:sz w:val="24"/>
              </w:rPr>
            </w:pPr>
            <w:r w:rsidRPr="00826586">
              <w:rPr>
                <w:rFonts w:ascii="Times New Roman" w:hAnsi="Times New Roman"/>
                <w:b/>
                <w:sz w:val="24"/>
              </w:rPr>
              <w:t>Číslo riadku</w:t>
            </w:r>
          </w:p>
        </w:tc>
        <w:tc>
          <w:tcPr>
            <w:tcW w:w="7655" w:type="dxa"/>
            <w:shd w:val="clear" w:color="auto" w:fill="D9D9D9" w:themeFill="background1" w:themeFillShade="D9"/>
          </w:tcPr>
          <w:p w14:paraId="66E39A5E" w14:textId="77777777" w:rsidR="00F43911" w:rsidRPr="00826586" w:rsidRDefault="00F43911" w:rsidP="004F3087">
            <w:pPr>
              <w:autoSpaceDE w:val="0"/>
              <w:autoSpaceDN w:val="0"/>
              <w:adjustRightInd w:val="0"/>
              <w:spacing w:after="240"/>
              <w:rPr>
                <w:rFonts w:ascii="Times New Roman" w:hAnsi="Times New Roman" w:cs="Times New Roman"/>
                <w:color w:val="000000"/>
                <w:sz w:val="24"/>
              </w:rPr>
            </w:pPr>
            <w:r w:rsidRPr="00826586">
              <w:rPr>
                <w:rFonts w:ascii="Times New Roman" w:hAnsi="Times New Roman"/>
                <w:b/>
                <w:sz w:val="24"/>
              </w:rPr>
              <w:t>Vysvetlenie</w:t>
            </w:r>
          </w:p>
        </w:tc>
      </w:tr>
      <w:tr w:rsidR="00F43911" w:rsidRPr="00826586" w14:paraId="12C559C4" w14:textId="77777777" w:rsidTr="004F3087">
        <w:trPr>
          <w:trHeight w:val="680"/>
        </w:trPr>
        <w:tc>
          <w:tcPr>
            <w:tcW w:w="1384" w:type="dxa"/>
          </w:tcPr>
          <w:p w14:paraId="30AC7598" w14:textId="77777777" w:rsidR="00F43911" w:rsidRPr="00826586" w:rsidRDefault="00F43911" w:rsidP="004F3087">
            <w:pPr>
              <w:pStyle w:val="Applicationdirecte"/>
              <w:spacing w:before="0" w:after="240"/>
              <w:jc w:val="center"/>
            </w:pPr>
            <w:r w:rsidRPr="00826586">
              <w:t>EU-1</w:t>
            </w:r>
          </w:p>
        </w:tc>
        <w:tc>
          <w:tcPr>
            <w:tcW w:w="7655" w:type="dxa"/>
          </w:tcPr>
          <w:p w14:paraId="632808E1" w14:textId="77777777" w:rsidR="00F43911" w:rsidRPr="00826586" w:rsidRDefault="00F43911" w:rsidP="004F3087">
            <w:pPr>
              <w:pStyle w:val="TableMainHeading"/>
              <w:spacing w:before="0" w:after="240"/>
              <w:jc w:val="both"/>
              <w:rPr>
                <w:rFonts w:ascii="Times New Roman" w:hAnsi="Times New Roman"/>
                <w:b/>
                <w:sz w:val="24"/>
                <w:szCs w:val="24"/>
              </w:rPr>
            </w:pPr>
            <w:r w:rsidRPr="00826586">
              <w:rPr>
                <w:rFonts w:ascii="Times New Roman" w:hAnsi="Times New Roman"/>
                <w:b/>
                <w:sz w:val="24"/>
              </w:rPr>
              <w:t>Metóda pôvodnej expozície (pre deriváty)</w:t>
            </w:r>
          </w:p>
          <w:p w14:paraId="11E99694" w14:textId="5A0A20E9" w:rsidR="00F43911" w:rsidRPr="00826586" w:rsidRDefault="00F43911" w:rsidP="004F3087">
            <w:pPr>
              <w:pStyle w:val="TableMainHeading"/>
              <w:spacing w:before="0" w:after="240"/>
              <w:jc w:val="both"/>
              <w:rPr>
                <w:rFonts w:ascii="Times New Roman" w:hAnsi="Times New Roman"/>
                <w:sz w:val="24"/>
                <w:szCs w:val="24"/>
              </w:rPr>
            </w:pPr>
            <w:r w:rsidRPr="00826586">
              <w:rPr>
                <w:rFonts w:ascii="Times New Roman" w:hAnsi="Times New Roman"/>
                <w:sz w:val="24"/>
              </w:rPr>
              <w:t>Deriváty</w:t>
            </w:r>
            <w:r w:rsidR="00826586">
              <w:rPr>
                <w:rFonts w:ascii="Times New Roman" w:hAnsi="Times New Roman"/>
                <w:sz w:val="24"/>
              </w:rPr>
              <w:t xml:space="preserve"> a </w:t>
            </w:r>
            <w:r w:rsidRPr="00826586">
              <w:rPr>
                <w:rFonts w:ascii="Times New Roman" w:hAnsi="Times New Roman"/>
                <w:sz w:val="24"/>
              </w:rPr>
              <w:t>transakcie</w:t>
            </w:r>
            <w:r w:rsidR="00826586">
              <w:rPr>
                <w:rFonts w:ascii="Times New Roman" w:hAnsi="Times New Roman"/>
                <w:sz w:val="24"/>
              </w:rPr>
              <w:t xml:space="preserve"> s </w:t>
            </w:r>
            <w:r w:rsidRPr="00826586">
              <w:rPr>
                <w:rFonts w:ascii="Times New Roman" w:hAnsi="Times New Roman"/>
                <w:sz w:val="24"/>
              </w:rPr>
              <w:t>dlhou dobou vyrovnania, pri ktorých sa inštitúcie rozhodli vypočítavať hodnotu expozície ako alfa * (RC + PFE), pričom α = 1,4</w:t>
            </w:r>
            <w:r w:rsidR="00826586">
              <w:rPr>
                <w:rFonts w:ascii="Times New Roman" w:hAnsi="Times New Roman"/>
                <w:sz w:val="24"/>
              </w:rPr>
              <w:t xml:space="preserve"> a </w:t>
            </w:r>
            <w:r w:rsidRPr="00826586">
              <w:rPr>
                <w:rFonts w:ascii="Times New Roman" w:hAnsi="Times New Roman"/>
                <w:sz w:val="24"/>
              </w:rPr>
              <w:t>RC</w:t>
            </w:r>
            <w:r w:rsidR="00826586">
              <w:rPr>
                <w:rFonts w:ascii="Times New Roman" w:hAnsi="Times New Roman"/>
                <w:sz w:val="24"/>
              </w:rPr>
              <w:t xml:space="preserve"> a </w:t>
            </w:r>
            <w:r w:rsidRPr="00826586">
              <w:rPr>
                <w:rFonts w:ascii="Times New Roman" w:hAnsi="Times New Roman"/>
                <w:sz w:val="24"/>
              </w:rPr>
              <w:t>PFE sa vypočítavajú</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treťou časťou hlavou II kapitolou 6 oddielom 5 článkom 282 nariadenia (EÚ) </w:t>
            </w:r>
            <w:r w:rsidR="00826586">
              <w:rPr>
                <w:rFonts w:ascii="Times New Roman" w:hAnsi="Times New Roman"/>
                <w:sz w:val="24"/>
              </w:rPr>
              <w:t>č. </w:t>
            </w:r>
            <w:r w:rsidRPr="00826586">
              <w:rPr>
                <w:rFonts w:ascii="Times New Roman" w:hAnsi="Times New Roman"/>
                <w:sz w:val="24"/>
              </w:rPr>
              <w:t>575/2013.</w:t>
            </w:r>
          </w:p>
          <w:p w14:paraId="49426263" w14:textId="2077BFF3" w:rsidR="00F43911" w:rsidRPr="00826586" w:rsidRDefault="00F43911" w:rsidP="004F3087">
            <w:pPr>
              <w:pStyle w:val="TableMainHeading"/>
              <w:spacing w:before="0" w:after="240"/>
              <w:jc w:val="both"/>
              <w:rPr>
                <w:rFonts w:ascii="Times New Roman" w:hAnsi="Times New Roman"/>
                <w:sz w:val="24"/>
                <w:szCs w:val="24"/>
              </w:rPr>
            </w:pPr>
            <w:r w:rsidRPr="00826586">
              <w:rPr>
                <w:rFonts w:ascii="Times New Roman" w:hAnsi="Times New Roman"/>
                <w:sz w:val="24"/>
              </w:rPr>
              <w:t>Túto zjednodušenú metódu na výpočet hodnoty expozície derivátových pozícií môžu používať len inštitúcie, ktoré spĺňajú podmienky stanovené</w:t>
            </w:r>
            <w:r w:rsidR="00826586">
              <w:rPr>
                <w:rFonts w:ascii="Times New Roman" w:hAnsi="Times New Roman"/>
                <w:sz w:val="24"/>
              </w:rPr>
              <w:t xml:space="preserve"> v </w:t>
            </w:r>
            <w:r w:rsidRPr="00826586">
              <w:rPr>
                <w:rFonts w:ascii="Times New Roman" w:hAnsi="Times New Roman"/>
                <w:sz w:val="24"/>
              </w:rPr>
              <w:t xml:space="preserve">tretej časti hlave II kapitole 6 článku 273a ods. 2 alebo 4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554E3BC9" w14:textId="77777777" w:rsidTr="004F3087">
        <w:trPr>
          <w:trHeight w:val="680"/>
        </w:trPr>
        <w:tc>
          <w:tcPr>
            <w:tcW w:w="1384" w:type="dxa"/>
          </w:tcPr>
          <w:p w14:paraId="381179F6" w14:textId="77777777" w:rsidR="00F43911" w:rsidRPr="00826586" w:rsidRDefault="00F43911" w:rsidP="004F3087">
            <w:pPr>
              <w:pStyle w:val="Applicationdirecte"/>
              <w:spacing w:before="0" w:after="240"/>
              <w:jc w:val="center"/>
            </w:pPr>
            <w:r w:rsidRPr="00826586">
              <w:t>EU-2</w:t>
            </w:r>
          </w:p>
        </w:tc>
        <w:tc>
          <w:tcPr>
            <w:tcW w:w="7655" w:type="dxa"/>
          </w:tcPr>
          <w:p w14:paraId="1180B055" w14:textId="77777777" w:rsidR="00F43911" w:rsidRPr="00826586" w:rsidRDefault="00F43911" w:rsidP="004F3087">
            <w:pPr>
              <w:pStyle w:val="TableMainHeading"/>
              <w:spacing w:before="0" w:after="240"/>
              <w:jc w:val="both"/>
              <w:rPr>
                <w:rFonts w:ascii="Times New Roman" w:hAnsi="Times New Roman"/>
                <w:b/>
                <w:sz w:val="24"/>
                <w:szCs w:val="24"/>
              </w:rPr>
            </w:pPr>
            <w:r w:rsidRPr="00826586">
              <w:rPr>
                <w:rFonts w:ascii="Times New Roman" w:hAnsi="Times New Roman"/>
                <w:b/>
                <w:sz w:val="24"/>
              </w:rPr>
              <w:t>Zjednodušený štandardizovaný prístup pre kreditné riziko protistrany (zjednodušený prístup SA-CCR pre deriváty)</w:t>
            </w:r>
          </w:p>
          <w:p w14:paraId="10F957D1" w14:textId="31A9EBFF" w:rsidR="00F43911" w:rsidRPr="00826586" w:rsidRDefault="00F43911" w:rsidP="004F3087">
            <w:pPr>
              <w:pStyle w:val="TableMainHeading"/>
              <w:spacing w:before="0" w:after="240"/>
              <w:jc w:val="both"/>
              <w:rPr>
                <w:rFonts w:ascii="Times New Roman" w:hAnsi="Times New Roman"/>
                <w:sz w:val="24"/>
                <w:szCs w:val="24"/>
              </w:rPr>
            </w:pPr>
            <w:r w:rsidRPr="00826586">
              <w:rPr>
                <w:rFonts w:ascii="Times New Roman" w:hAnsi="Times New Roman"/>
                <w:sz w:val="24"/>
              </w:rPr>
              <w:lastRenderedPageBreak/>
              <w:t>Deriváty</w:t>
            </w:r>
            <w:r w:rsidR="00826586">
              <w:rPr>
                <w:rFonts w:ascii="Times New Roman" w:hAnsi="Times New Roman"/>
                <w:sz w:val="24"/>
              </w:rPr>
              <w:t xml:space="preserve"> a </w:t>
            </w:r>
            <w:r w:rsidRPr="00826586">
              <w:rPr>
                <w:rFonts w:ascii="Times New Roman" w:hAnsi="Times New Roman"/>
                <w:sz w:val="24"/>
              </w:rPr>
              <w:t>transakcie</w:t>
            </w:r>
            <w:r w:rsidR="00826586">
              <w:rPr>
                <w:rFonts w:ascii="Times New Roman" w:hAnsi="Times New Roman"/>
                <w:sz w:val="24"/>
              </w:rPr>
              <w:t xml:space="preserve"> s </w:t>
            </w:r>
            <w:r w:rsidRPr="00826586">
              <w:rPr>
                <w:rFonts w:ascii="Times New Roman" w:hAnsi="Times New Roman"/>
                <w:sz w:val="24"/>
              </w:rPr>
              <w:t>dlhou dobou vyrovnania, pri ktorých sa inštitúcie rozhodli vypočítavať hodnotu expozície ako alfa * (RC + PFE), pričom α = 1,4</w:t>
            </w:r>
            <w:r w:rsidR="00826586">
              <w:rPr>
                <w:rFonts w:ascii="Times New Roman" w:hAnsi="Times New Roman"/>
                <w:sz w:val="24"/>
              </w:rPr>
              <w:t xml:space="preserve"> a </w:t>
            </w:r>
            <w:r w:rsidRPr="00826586">
              <w:rPr>
                <w:rFonts w:ascii="Times New Roman" w:hAnsi="Times New Roman"/>
                <w:sz w:val="24"/>
              </w:rPr>
              <w:t>RC</w:t>
            </w:r>
            <w:r w:rsidR="00826586">
              <w:rPr>
                <w:rFonts w:ascii="Times New Roman" w:hAnsi="Times New Roman"/>
                <w:sz w:val="24"/>
              </w:rPr>
              <w:t xml:space="preserve"> a </w:t>
            </w:r>
            <w:r w:rsidRPr="00826586">
              <w:rPr>
                <w:rFonts w:ascii="Times New Roman" w:hAnsi="Times New Roman"/>
                <w:sz w:val="24"/>
              </w:rPr>
              <w:t>PFE sa vypočítavajú</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treťou časťou hlavou II kapitolou 6 oddielom 4 článkom 281 nariadenia (EÚ) </w:t>
            </w:r>
            <w:r w:rsidR="00826586">
              <w:rPr>
                <w:rFonts w:ascii="Times New Roman" w:hAnsi="Times New Roman"/>
                <w:sz w:val="24"/>
              </w:rPr>
              <w:t>č. </w:t>
            </w:r>
            <w:r w:rsidRPr="00826586">
              <w:rPr>
                <w:rFonts w:ascii="Times New Roman" w:hAnsi="Times New Roman"/>
                <w:sz w:val="24"/>
              </w:rPr>
              <w:t>575/2013.</w:t>
            </w:r>
          </w:p>
          <w:p w14:paraId="48AAA379" w14:textId="54D5256F" w:rsidR="00F43911" w:rsidRPr="00826586" w:rsidRDefault="00F43911" w:rsidP="004F3087">
            <w:pPr>
              <w:pStyle w:val="TableMainHeading"/>
              <w:spacing w:before="0" w:after="240"/>
              <w:jc w:val="both"/>
              <w:rPr>
                <w:rFonts w:ascii="Times New Roman" w:hAnsi="Times New Roman"/>
                <w:i/>
                <w:sz w:val="24"/>
                <w:szCs w:val="24"/>
              </w:rPr>
            </w:pPr>
            <w:r w:rsidRPr="00826586">
              <w:rPr>
                <w:rFonts w:ascii="Times New Roman" w:hAnsi="Times New Roman"/>
                <w:sz w:val="24"/>
              </w:rPr>
              <w:t>Tento zjednodušený štandardizovaný prístup na výpočet hodnoty expozície derivátových pozícií môžu používať len inštitúcie, ktoré spĺňajú podmienky stanovené</w:t>
            </w:r>
            <w:r w:rsidR="00826586">
              <w:rPr>
                <w:rFonts w:ascii="Times New Roman" w:hAnsi="Times New Roman"/>
                <w:sz w:val="24"/>
              </w:rPr>
              <w:t xml:space="preserve"> v </w:t>
            </w:r>
            <w:r w:rsidRPr="00826586">
              <w:rPr>
                <w:rFonts w:ascii="Times New Roman" w:hAnsi="Times New Roman"/>
                <w:sz w:val="24"/>
              </w:rPr>
              <w:t xml:space="preserve">tretej časti hlave II kapitole 6 článku 273a ods. 1 alebo 4 nariadenia (EÚ) </w:t>
            </w:r>
            <w:r w:rsidR="00826586">
              <w:rPr>
                <w:rFonts w:ascii="Times New Roman" w:hAnsi="Times New Roman"/>
                <w:sz w:val="24"/>
              </w:rPr>
              <w:t>č. </w:t>
            </w:r>
            <w:r w:rsidRPr="00826586">
              <w:rPr>
                <w:rFonts w:ascii="Times New Roman" w:hAnsi="Times New Roman"/>
                <w:sz w:val="24"/>
              </w:rPr>
              <w:t xml:space="preserve">575/2013. </w:t>
            </w:r>
          </w:p>
        </w:tc>
      </w:tr>
      <w:tr w:rsidR="00F43911" w:rsidRPr="00826586" w14:paraId="3680CF86" w14:textId="77777777" w:rsidTr="004F3087">
        <w:trPr>
          <w:trHeight w:val="680"/>
        </w:trPr>
        <w:tc>
          <w:tcPr>
            <w:tcW w:w="1384" w:type="dxa"/>
          </w:tcPr>
          <w:p w14:paraId="35587E43" w14:textId="77777777" w:rsidR="00F43911" w:rsidRPr="00826586" w:rsidRDefault="00F43911" w:rsidP="004F3087">
            <w:pPr>
              <w:pStyle w:val="Applicationdirecte"/>
              <w:spacing w:before="0" w:after="240"/>
              <w:jc w:val="center"/>
            </w:pPr>
            <w:r w:rsidRPr="00826586">
              <w:lastRenderedPageBreak/>
              <w:t>1</w:t>
            </w:r>
          </w:p>
        </w:tc>
        <w:tc>
          <w:tcPr>
            <w:tcW w:w="7655" w:type="dxa"/>
          </w:tcPr>
          <w:p w14:paraId="1EF0ADED" w14:textId="77777777" w:rsidR="00F43911" w:rsidRPr="00826586" w:rsidRDefault="00F43911" w:rsidP="004F3087">
            <w:pPr>
              <w:pStyle w:val="Default"/>
              <w:spacing w:after="240"/>
              <w:jc w:val="both"/>
              <w:rPr>
                <w:rFonts w:ascii="Times New Roman" w:hAnsi="Times New Roman" w:cs="Times New Roman"/>
                <w:b/>
              </w:rPr>
            </w:pPr>
            <w:r w:rsidRPr="00826586">
              <w:rPr>
                <w:rFonts w:ascii="Times New Roman" w:hAnsi="Times New Roman"/>
                <w:b/>
              </w:rPr>
              <w:t>Štandardizovaný prístup pre kreditné riziko protistrany (prístup SA-CCR pre deriváty)</w:t>
            </w:r>
          </w:p>
          <w:p w14:paraId="124D31EB" w14:textId="698882A8" w:rsidR="00F43911" w:rsidRPr="00826586" w:rsidRDefault="00F43911" w:rsidP="004F3087">
            <w:pPr>
              <w:pStyle w:val="Default"/>
              <w:spacing w:after="240"/>
              <w:jc w:val="both"/>
              <w:rPr>
                <w:rFonts w:ascii="Times New Roman" w:hAnsi="Times New Roman" w:cs="Times New Roman"/>
                <w:i/>
              </w:rPr>
            </w:pPr>
            <w:r w:rsidRPr="00826586">
              <w:rPr>
                <w:rFonts w:ascii="Times New Roman" w:hAnsi="Times New Roman"/>
              </w:rPr>
              <w:t>Deriváty</w:t>
            </w:r>
            <w:r w:rsidR="00826586">
              <w:rPr>
                <w:rFonts w:ascii="Times New Roman" w:hAnsi="Times New Roman"/>
              </w:rPr>
              <w:t xml:space="preserve"> a </w:t>
            </w:r>
            <w:r w:rsidRPr="00826586">
              <w:rPr>
                <w:rFonts w:ascii="Times New Roman" w:hAnsi="Times New Roman"/>
              </w:rPr>
              <w:t>transakcie</w:t>
            </w:r>
            <w:r w:rsidR="00826586">
              <w:rPr>
                <w:rFonts w:ascii="Times New Roman" w:hAnsi="Times New Roman"/>
              </w:rPr>
              <w:t xml:space="preserve"> s </w:t>
            </w:r>
            <w:r w:rsidRPr="00826586">
              <w:rPr>
                <w:rFonts w:ascii="Times New Roman" w:hAnsi="Times New Roman"/>
              </w:rPr>
              <w:t>dlhou dobou vyrovnania, pri ktorých sa inštitúcie rozhodli vypočítavať hodnotu expozície ako alfa * (RC + PFE), pričom α = 1,4</w:t>
            </w:r>
            <w:r w:rsidR="00826586">
              <w:rPr>
                <w:rFonts w:ascii="Times New Roman" w:hAnsi="Times New Roman"/>
              </w:rPr>
              <w:t xml:space="preserve"> a </w:t>
            </w:r>
            <w:r w:rsidRPr="00826586">
              <w:rPr>
                <w:rFonts w:ascii="Times New Roman" w:hAnsi="Times New Roman"/>
              </w:rPr>
              <w:t>RC</w:t>
            </w:r>
            <w:r w:rsidR="00826586">
              <w:rPr>
                <w:rFonts w:ascii="Times New Roman" w:hAnsi="Times New Roman"/>
              </w:rPr>
              <w:t xml:space="preserve"> a </w:t>
            </w:r>
            <w:r w:rsidRPr="00826586">
              <w:rPr>
                <w:rFonts w:ascii="Times New Roman" w:hAnsi="Times New Roman"/>
              </w:rPr>
              <w:t>PFE sa vypočítavajú</w:t>
            </w:r>
            <w:r w:rsidR="00826586">
              <w:rPr>
                <w:rFonts w:ascii="Times New Roman" w:hAnsi="Times New Roman"/>
              </w:rPr>
              <w:t xml:space="preserve"> v </w:t>
            </w:r>
            <w:r w:rsidRPr="00826586">
              <w:rPr>
                <w:rFonts w:ascii="Times New Roman" w:hAnsi="Times New Roman"/>
              </w:rPr>
              <w:t>súlade</w:t>
            </w:r>
            <w:r w:rsidR="00826586">
              <w:rPr>
                <w:rFonts w:ascii="Times New Roman" w:hAnsi="Times New Roman"/>
              </w:rPr>
              <w:t xml:space="preserve"> s </w:t>
            </w:r>
            <w:r w:rsidRPr="00826586">
              <w:rPr>
                <w:rFonts w:ascii="Times New Roman" w:hAnsi="Times New Roman"/>
              </w:rPr>
              <w:t xml:space="preserve">treťou časťou hlavou II kapitolou 6 oddielom 3 nariadenia (EÚ) </w:t>
            </w:r>
            <w:r w:rsidR="00826586">
              <w:rPr>
                <w:rFonts w:ascii="Times New Roman" w:hAnsi="Times New Roman"/>
              </w:rPr>
              <w:t>č. </w:t>
            </w:r>
            <w:r w:rsidRPr="00826586">
              <w:rPr>
                <w:rFonts w:ascii="Times New Roman" w:hAnsi="Times New Roman"/>
              </w:rPr>
              <w:t>575/2013.</w:t>
            </w:r>
          </w:p>
        </w:tc>
      </w:tr>
      <w:tr w:rsidR="00F43911" w:rsidRPr="00826586" w14:paraId="578C8E76" w14:textId="77777777" w:rsidTr="004F3087">
        <w:trPr>
          <w:trHeight w:val="680"/>
        </w:trPr>
        <w:tc>
          <w:tcPr>
            <w:tcW w:w="1384" w:type="dxa"/>
          </w:tcPr>
          <w:p w14:paraId="06A628A4" w14:textId="77777777" w:rsidR="00F43911" w:rsidRPr="00826586" w:rsidRDefault="00F43911" w:rsidP="004F3087">
            <w:pPr>
              <w:pStyle w:val="Applicationdirecte"/>
              <w:spacing w:before="0" w:after="240"/>
              <w:jc w:val="center"/>
              <w:rPr>
                <w:highlight w:val="yellow"/>
              </w:rPr>
            </w:pPr>
            <w:r w:rsidRPr="00826586">
              <w:t>2</w:t>
            </w:r>
          </w:p>
        </w:tc>
        <w:tc>
          <w:tcPr>
            <w:tcW w:w="7655" w:type="dxa"/>
          </w:tcPr>
          <w:p w14:paraId="2F71D0B4" w14:textId="0FEF4D01" w:rsidR="00F43911" w:rsidRPr="00826586" w:rsidRDefault="00F43911" w:rsidP="004F3087">
            <w:pPr>
              <w:pStyle w:val="Default"/>
              <w:spacing w:after="240"/>
              <w:jc w:val="both"/>
              <w:rPr>
                <w:rFonts w:ascii="Times New Roman" w:hAnsi="Times New Roman" w:cs="Times New Roman"/>
                <w:b/>
              </w:rPr>
            </w:pPr>
            <w:r w:rsidRPr="00826586">
              <w:rPr>
                <w:rFonts w:ascii="Times New Roman" w:hAnsi="Times New Roman"/>
                <w:b/>
              </w:rPr>
              <w:t>IMM (pre deriváty</w:t>
            </w:r>
            <w:r w:rsidR="00826586">
              <w:rPr>
                <w:rFonts w:ascii="Times New Roman" w:hAnsi="Times New Roman"/>
                <w:b/>
              </w:rPr>
              <w:t xml:space="preserve"> a </w:t>
            </w:r>
            <w:r w:rsidRPr="00826586">
              <w:rPr>
                <w:rFonts w:ascii="Times New Roman" w:hAnsi="Times New Roman"/>
                <w:b/>
              </w:rPr>
              <w:t>SFT)</w:t>
            </w:r>
          </w:p>
          <w:p w14:paraId="3C605AEA" w14:textId="44B05BA2" w:rsidR="00F43911" w:rsidRPr="00826586" w:rsidRDefault="00F43911" w:rsidP="004F3087">
            <w:pPr>
              <w:autoSpaceDE w:val="0"/>
              <w:autoSpaceDN w:val="0"/>
              <w:adjustRightInd w:val="0"/>
              <w:spacing w:after="240"/>
              <w:jc w:val="both"/>
              <w:rPr>
                <w:rFonts w:ascii="Times New Roman" w:hAnsi="Times New Roman" w:cs="Times New Roman"/>
                <w:i/>
                <w:sz w:val="24"/>
              </w:rPr>
            </w:pPr>
            <w:r w:rsidRPr="00826586">
              <w:rPr>
                <w:rFonts w:ascii="Times New Roman" w:hAnsi="Times New Roman"/>
                <w:sz w:val="24"/>
              </w:rPr>
              <w:t>Deriváty</w:t>
            </w:r>
            <w:r w:rsidR="00826586">
              <w:rPr>
                <w:rFonts w:ascii="Times New Roman" w:hAnsi="Times New Roman"/>
                <w:sz w:val="24"/>
              </w:rPr>
              <w:t xml:space="preserve"> a </w:t>
            </w:r>
            <w:r w:rsidRPr="00826586">
              <w:rPr>
                <w:rFonts w:ascii="Times New Roman" w:hAnsi="Times New Roman"/>
                <w:sz w:val="24"/>
              </w:rPr>
              <w:t>transakcie</w:t>
            </w:r>
            <w:r w:rsidR="00826586">
              <w:rPr>
                <w:rFonts w:ascii="Times New Roman" w:hAnsi="Times New Roman"/>
                <w:sz w:val="24"/>
              </w:rPr>
              <w:t xml:space="preserve"> s </w:t>
            </w:r>
            <w:r w:rsidRPr="00826586">
              <w:rPr>
                <w:rFonts w:ascii="Times New Roman" w:hAnsi="Times New Roman"/>
                <w:sz w:val="24"/>
              </w:rPr>
              <w:t>dlhou dobou vyrovnania</w:t>
            </w:r>
            <w:r w:rsidR="00826586">
              <w:rPr>
                <w:rFonts w:ascii="Times New Roman" w:hAnsi="Times New Roman"/>
                <w:sz w:val="24"/>
              </w:rPr>
              <w:t xml:space="preserve"> a </w:t>
            </w:r>
            <w:r w:rsidRPr="00826586">
              <w:rPr>
                <w:rFonts w:ascii="Times New Roman" w:hAnsi="Times New Roman"/>
                <w:sz w:val="24"/>
              </w:rPr>
              <w:t>SFT,</w:t>
            </w:r>
            <w:r w:rsidR="00826586">
              <w:rPr>
                <w:rFonts w:ascii="Times New Roman" w:hAnsi="Times New Roman"/>
                <w:sz w:val="24"/>
              </w:rPr>
              <w:t xml:space="preserve"> v </w:t>
            </w:r>
            <w:r w:rsidRPr="00826586">
              <w:rPr>
                <w:rFonts w:ascii="Times New Roman" w:hAnsi="Times New Roman"/>
                <w:sz w:val="24"/>
              </w:rPr>
              <w:t>súvislosti</w:t>
            </w:r>
            <w:r w:rsidR="00826586">
              <w:rPr>
                <w:rFonts w:ascii="Times New Roman" w:hAnsi="Times New Roman"/>
                <w:sz w:val="24"/>
              </w:rPr>
              <w:t xml:space="preserve"> s </w:t>
            </w:r>
            <w:r w:rsidRPr="00826586">
              <w:rPr>
                <w:rFonts w:ascii="Times New Roman" w:hAnsi="Times New Roman"/>
                <w:sz w:val="24"/>
              </w:rPr>
              <w:t>ktorými sa inštitúciám povolilo vypočítavať hodnotu expozície pomocou metódy interných modelov (IMM)</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treťou časťou hlavou II kapitolou 6 oddielom 6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143A2404" w14:textId="77777777" w:rsidTr="004F3087">
        <w:trPr>
          <w:trHeight w:val="680"/>
        </w:trPr>
        <w:tc>
          <w:tcPr>
            <w:tcW w:w="1384" w:type="dxa"/>
          </w:tcPr>
          <w:p w14:paraId="46421B56" w14:textId="77777777" w:rsidR="00F43911" w:rsidRPr="00826586" w:rsidRDefault="00F43911" w:rsidP="004F3087">
            <w:pPr>
              <w:pStyle w:val="Applicationdirecte"/>
              <w:spacing w:before="0" w:after="240"/>
              <w:jc w:val="center"/>
            </w:pPr>
            <w:r w:rsidRPr="00826586">
              <w:t>EU-2a</w:t>
            </w:r>
          </w:p>
        </w:tc>
        <w:tc>
          <w:tcPr>
            <w:tcW w:w="7655" w:type="dxa"/>
          </w:tcPr>
          <w:p w14:paraId="711F7D3E" w14:textId="77777777" w:rsidR="00F43911" w:rsidRPr="00826586" w:rsidRDefault="00F43911" w:rsidP="004F3087">
            <w:pPr>
              <w:pStyle w:val="Default"/>
              <w:spacing w:after="240"/>
              <w:jc w:val="both"/>
              <w:rPr>
                <w:rFonts w:ascii="Times New Roman" w:hAnsi="Times New Roman" w:cs="Times New Roman"/>
                <w:b/>
              </w:rPr>
            </w:pPr>
            <w:r w:rsidRPr="00826586">
              <w:rPr>
                <w:rFonts w:ascii="Times New Roman" w:hAnsi="Times New Roman"/>
                <w:b/>
              </w:rPr>
              <w:t>Z čoho súbory vzájomného započítavania transakcií financovania prostredníctvom cenných papierov</w:t>
            </w:r>
          </w:p>
          <w:p w14:paraId="6014ACE8" w14:textId="00C84DF4" w:rsidR="00F43911" w:rsidRPr="00826586" w:rsidRDefault="00F43911" w:rsidP="004F3087">
            <w:pPr>
              <w:pStyle w:val="Default"/>
              <w:spacing w:after="240"/>
              <w:jc w:val="both"/>
              <w:rPr>
                <w:rFonts w:ascii="Times New Roman" w:hAnsi="Times New Roman" w:cs="Times New Roman"/>
              </w:rPr>
            </w:pPr>
            <w:r w:rsidRPr="00826586">
              <w:rPr>
                <w:rFonts w:ascii="Times New Roman" w:hAnsi="Times New Roman"/>
              </w:rPr>
              <w:t>Súbory vzájomného započítavania obsahujúce len SFT</w:t>
            </w:r>
            <w:r w:rsidR="00826586">
              <w:rPr>
                <w:rFonts w:ascii="Times New Roman" w:hAnsi="Times New Roman"/>
              </w:rPr>
              <w:t xml:space="preserve"> v </w:t>
            </w:r>
            <w:r w:rsidRPr="00826586">
              <w:rPr>
                <w:rFonts w:ascii="Times New Roman" w:hAnsi="Times New Roman"/>
              </w:rPr>
              <w:t>zmysle vymedzenia</w:t>
            </w:r>
            <w:r w:rsidR="00826586">
              <w:rPr>
                <w:rFonts w:ascii="Times New Roman" w:hAnsi="Times New Roman"/>
              </w:rPr>
              <w:t xml:space="preserve"> v </w:t>
            </w:r>
            <w:r w:rsidRPr="00826586">
              <w:rPr>
                <w:rFonts w:ascii="Times New Roman" w:hAnsi="Times New Roman"/>
              </w:rPr>
              <w:t xml:space="preserve">článku 4 ods. 1 bode 139 nariadenia (EÚ) </w:t>
            </w:r>
            <w:r w:rsidR="00826586">
              <w:rPr>
                <w:rFonts w:ascii="Times New Roman" w:hAnsi="Times New Roman"/>
              </w:rPr>
              <w:t>č. </w:t>
            </w:r>
            <w:r w:rsidRPr="00826586">
              <w:rPr>
                <w:rFonts w:ascii="Times New Roman" w:hAnsi="Times New Roman"/>
              </w:rPr>
              <w:t>575/2013,</w:t>
            </w:r>
            <w:r w:rsidR="00826586">
              <w:rPr>
                <w:rFonts w:ascii="Times New Roman" w:hAnsi="Times New Roman"/>
              </w:rPr>
              <w:t xml:space="preserve"> v </w:t>
            </w:r>
            <w:r w:rsidRPr="00826586">
              <w:rPr>
                <w:rFonts w:ascii="Times New Roman" w:hAnsi="Times New Roman"/>
              </w:rPr>
              <w:t>súvislosti</w:t>
            </w:r>
            <w:r w:rsidR="00826586">
              <w:rPr>
                <w:rFonts w:ascii="Times New Roman" w:hAnsi="Times New Roman"/>
              </w:rPr>
              <w:t xml:space="preserve"> s </w:t>
            </w:r>
            <w:r w:rsidRPr="00826586">
              <w:rPr>
                <w:rFonts w:ascii="Times New Roman" w:hAnsi="Times New Roman"/>
              </w:rPr>
              <w:t>ktorými sa inštitúciám povolilo určovať hodnotu expozície pomocou IMM.</w:t>
            </w:r>
          </w:p>
        </w:tc>
      </w:tr>
      <w:tr w:rsidR="00F43911" w:rsidRPr="00826586" w14:paraId="2A9527B7" w14:textId="77777777" w:rsidTr="004F3087">
        <w:trPr>
          <w:trHeight w:val="680"/>
        </w:trPr>
        <w:tc>
          <w:tcPr>
            <w:tcW w:w="1384" w:type="dxa"/>
          </w:tcPr>
          <w:p w14:paraId="158457DE" w14:textId="77777777" w:rsidR="00F43911" w:rsidRPr="00826586" w:rsidRDefault="00F43911" w:rsidP="004F3087">
            <w:pPr>
              <w:pStyle w:val="Applicationdirecte"/>
              <w:spacing w:before="0" w:after="240"/>
              <w:jc w:val="center"/>
            </w:pPr>
            <w:r w:rsidRPr="00826586">
              <w:t>EU-2b</w:t>
            </w:r>
          </w:p>
        </w:tc>
        <w:tc>
          <w:tcPr>
            <w:tcW w:w="7655" w:type="dxa"/>
          </w:tcPr>
          <w:p w14:paraId="112B8BC9" w14:textId="14F0DEA1" w:rsidR="00F43911" w:rsidRPr="00826586" w:rsidRDefault="00F43911" w:rsidP="004F3087">
            <w:pPr>
              <w:pStyle w:val="Default"/>
              <w:spacing w:after="240"/>
              <w:jc w:val="both"/>
              <w:rPr>
                <w:rFonts w:ascii="Times New Roman" w:hAnsi="Times New Roman" w:cs="Times New Roman"/>
                <w:b/>
              </w:rPr>
            </w:pPr>
            <w:r w:rsidRPr="00826586">
              <w:rPr>
                <w:rFonts w:ascii="Times New Roman" w:hAnsi="Times New Roman"/>
                <w:b/>
              </w:rPr>
              <w:t>Z čoho súbory vzájomného započítavania derivátov</w:t>
            </w:r>
            <w:r w:rsidR="00826586">
              <w:rPr>
                <w:rFonts w:ascii="Times New Roman" w:hAnsi="Times New Roman"/>
                <w:b/>
              </w:rPr>
              <w:t xml:space="preserve"> a </w:t>
            </w:r>
            <w:r w:rsidRPr="00826586">
              <w:rPr>
                <w:rFonts w:ascii="Times New Roman" w:hAnsi="Times New Roman"/>
                <w:b/>
              </w:rPr>
              <w:t>transakcií</w:t>
            </w:r>
            <w:r w:rsidR="00826586">
              <w:rPr>
                <w:rFonts w:ascii="Times New Roman" w:hAnsi="Times New Roman"/>
                <w:b/>
              </w:rPr>
              <w:t xml:space="preserve"> s </w:t>
            </w:r>
            <w:r w:rsidRPr="00826586">
              <w:rPr>
                <w:rFonts w:ascii="Times New Roman" w:hAnsi="Times New Roman"/>
                <w:b/>
              </w:rPr>
              <w:t>dlhou dobou vyrovnania</w:t>
            </w:r>
          </w:p>
          <w:p w14:paraId="4E9E50F8" w14:textId="32BD5122" w:rsidR="00F43911" w:rsidRPr="00826586" w:rsidRDefault="00F43911" w:rsidP="004F3087">
            <w:pPr>
              <w:pStyle w:val="Default"/>
              <w:spacing w:after="240"/>
              <w:jc w:val="both"/>
              <w:rPr>
                <w:rFonts w:ascii="Times New Roman" w:hAnsi="Times New Roman" w:cs="Times New Roman"/>
                <w:i/>
              </w:rPr>
            </w:pPr>
            <w:r w:rsidRPr="00826586">
              <w:rPr>
                <w:rFonts w:ascii="Times New Roman" w:hAnsi="Times New Roman"/>
              </w:rPr>
              <w:t>Súbory vzájomného započítavania obsahujúce len derivátové nástroje uvedené</w:t>
            </w:r>
            <w:r w:rsidR="00826586">
              <w:rPr>
                <w:rFonts w:ascii="Times New Roman" w:hAnsi="Times New Roman"/>
              </w:rPr>
              <w:t xml:space="preserve"> v </w:t>
            </w:r>
            <w:r w:rsidRPr="00826586">
              <w:rPr>
                <w:rFonts w:ascii="Times New Roman" w:hAnsi="Times New Roman"/>
              </w:rPr>
              <w:t>prílohe II</w:t>
            </w:r>
            <w:r w:rsidR="00826586">
              <w:rPr>
                <w:rFonts w:ascii="Times New Roman" w:hAnsi="Times New Roman"/>
              </w:rPr>
              <w:t xml:space="preserve"> k </w:t>
            </w:r>
            <w:r w:rsidRPr="00826586">
              <w:rPr>
                <w:rFonts w:ascii="Times New Roman" w:hAnsi="Times New Roman"/>
              </w:rPr>
              <w:t xml:space="preserve">nariadeniu (EÚ) </w:t>
            </w:r>
            <w:r w:rsidR="00826586">
              <w:rPr>
                <w:rFonts w:ascii="Times New Roman" w:hAnsi="Times New Roman"/>
              </w:rPr>
              <w:t>č. </w:t>
            </w:r>
            <w:r w:rsidRPr="00826586">
              <w:rPr>
                <w:rFonts w:ascii="Times New Roman" w:hAnsi="Times New Roman"/>
              </w:rPr>
              <w:t>575/2013</w:t>
            </w:r>
            <w:r w:rsidR="00826586">
              <w:rPr>
                <w:rFonts w:ascii="Times New Roman" w:hAnsi="Times New Roman"/>
              </w:rPr>
              <w:t xml:space="preserve"> a </w:t>
            </w:r>
            <w:r w:rsidRPr="00826586">
              <w:rPr>
                <w:rFonts w:ascii="Times New Roman" w:hAnsi="Times New Roman"/>
              </w:rPr>
              <w:t>transakcie</w:t>
            </w:r>
            <w:r w:rsidR="00826586">
              <w:rPr>
                <w:rFonts w:ascii="Times New Roman" w:hAnsi="Times New Roman"/>
              </w:rPr>
              <w:t xml:space="preserve"> s </w:t>
            </w:r>
            <w:r w:rsidRPr="00826586">
              <w:rPr>
                <w:rFonts w:ascii="Times New Roman" w:hAnsi="Times New Roman"/>
              </w:rPr>
              <w:t>dlhou dobou vyrovnania</w:t>
            </w:r>
            <w:r w:rsidR="00826586">
              <w:rPr>
                <w:rFonts w:ascii="Times New Roman" w:hAnsi="Times New Roman"/>
              </w:rPr>
              <w:t xml:space="preserve"> v </w:t>
            </w:r>
            <w:r w:rsidRPr="00826586">
              <w:rPr>
                <w:rFonts w:ascii="Times New Roman" w:hAnsi="Times New Roman"/>
              </w:rPr>
              <w:t>zmysle vymedzenia</w:t>
            </w:r>
            <w:r w:rsidR="00826586">
              <w:rPr>
                <w:rFonts w:ascii="Times New Roman" w:hAnsi="Times New Roman"/>
              </w:rPr>
              <w:t xml:space="preserve"> v </w:t>
            </w:r>
            <w:r w:rsidRPr="00826586">
              <w:rPr>
                <w:rFonts w:ascii="Times New Roman" w:hAnsi="Times New Roman"/>
              </w:rPr>
              <w:t xml:space="preserve">článku 272 bode 2 nariadenia (EÚ) </w:t>
            </w:r>
            <w:r w:rsidR="00826586">
              <w:rPr>
                <w:rFonts w:ascii="Times New Roman" w:hAnsi="Times New Roman"/>
              </w:rPr>
              <w:t>č. </w:t>
            </w:r>
            <w:r w:rsidRPr="00826586">
              <w:rPr>
                <w:rFonts w:ascii="Times New Roman" w:hAnsi="Times New Roman"/>
              </w:rPr>
              <w:t>575/2013,</w:t>
            </w:r>
            <w:r w:rsidR="00826586">
              <w:rPr>
                <w:rFonts w:ascii="Times New Roman" w:hAnsi="Times New Roman"/>
              </w:rPr>
              <w:t xml:space="preserve"> v </w:t>
            </w:r>
            <w:r w:rsidRPr="00826586">
              <w:rPr>
                <w:rFonts w:ascii="Times New Roman" w:hAnsi="Times New Roman"/>
              </w:rPr>
              <w:t>súvislosti</w:t>
            </w:r>
            <w:r w:rsidR="00826586">
              <w:rPr>
                <w:rFonts w:ascii="Times New Roman" w:hAnsi="Times New Roman"/>
              </w:rPr>
              <w:t xml:space="preserve"> s </w:t>
            </w:r>
            <w:r w:rsidRPr="00826586">
              <w:rPr>
                <w:rFonts w:ascii="Times New Roman" w:hAnsi="Times New Roman"/>
              </w:rPr>
              <w:t>ktorými sa inštitúciám povolilo určovať hodnotu expozície pomocou IMM.</w:t>
            </w:r>
          </w:p>
        </w:tc>
      </w:tr>
      <w:tr w:rsidR="00F43911" w:rsidRPr="00826586" w14:paraId="124CD73D" w14:textId="77777777" w:rsidTr="004F3087">
        <w:trPr>
          <w:trHeight w:val="680"/>
        </w:trPr>
        <w:tc>
          <w:tcPr>
            <w:tcW w:w="1384" w:type="dxa"/>
          </w:tcPr>
          <w:p w14:paraId="3721675B" w14:textId="77777777" w:rsidR="00F43911" w:rsidRPr="00826586" w:rsidRDefault="00F43911" w:rsidP="004F3087">
            <w:pPr>
              <w:pStyle w:val="Applicationdirecte"/>
              <w:spacing w:before="0" w:after="240"/>
              <w:jc w:val="center"/>
            </w:pPr>
            <w:r w:rsidRPr="00826586">
              <w:t>EU-2c</w:t>
            </w:r>
          </w:p>
        </w:tc>
        <w:tc>
          <w:tcPr>
            <w:tcW w:w="7655" w:type="dxa"/>
          </w:tcPr>
          <w:p w14:paraId="1786D9AA" w14:textId="77777777" w:rsidR="00F43911" w:rsidRPr="00826586" w:rsidRDefault="00F43911" w:rsidP="004F3087">
            <w:pPr>
              <w:pStyle w:val="Default"/>
              <w:spacing w:after="240"/>
              <w:jc w:val="both"/>
              <w:rPr>
                <w:rFonts w:ascii="Times New Roman" w:hAnsi="Times New Roman" w:cs="Times New Roman"/>
                <w:b/>
              </w:rPr>
            </w:pPr>
            <w:r w:rsidRPr="00826586">
              <w:rPr>
                <w:rFonts w:ascii="Times New Roman" w:hAnsi="Times New Roman"/>
                <w:b/>
              </w:rPr>
              <w:t>Z čoho zo súborov vzájomného krížového započítavania produktov</w:t>
            </w:r>
          </w:p>
          <w:p w14:paraId="2B590CCD" w14:textId="17FB09A0" w:rsidR="00F43911" w:rsidRPr="00826586" w:rsidRDefault="00F43911" w:rsidP="004F3087">
            <w:pPr>
              <w:pStyle w:val="Default"/>
              <w:spacing w:after="240"/>
              <w:jc w:val="both"/>
              <w:rPr>
                <w:rFonts w:ascii="Times New Roman" w:hAnsi="Times New Roman" w:cs="Times New Roman"/>
                <w:i/>
              </w:rPr>
            </w:pPr>
            <w:r w:rsidRPr="00826586">
              <w:rPr>
                <w:rFonts w:ascii="Times New Roman" w:hAnsi="Times New Roman"/>
              </w:rPr>
              <w:t xml:space="preserve">Súbory vzájomného započítavania obsahujúce transakcie rôznych kategórií produktov [článok 272 bod 11 nariadenia (EÚ) </w:t>
            </w:r>
            <w:r w:rsidR="00826586">
              <w:rPr>
                <w:rFonts w:ascii="Times New Roman" w:hAnsi="Times New Roman"/>
              </w:rPr>
              <w:t>č. </w:t>
            </w:r>
            <w:r w:rsidRPr="00826586">
              <w:rPr>
                <w:rFonts w:ascii="Times New Roman" w:hAnsi="Times New Roman"/>
              </w:rPr>
              <w:t>575/2013], t. j. deriváty</w:t>
            </w:r>
            <w:r w:rsidR="00826586">
              <w:rPr>
                <w:rFonts w:ascii="Times New Roman" w:hAnsi="Times New Roman"/>
              </w:rPr>
              <w:t xml:space="preserve"> a </w:t>
            </w:r>
            <w:r w:rsidRPr="00826586">
              <w:rPr>
                <w:rFonts w:ascii="Times New Roman" w:hAnsi="Times New Roman"/>
              </w:rPr>
              <w:t>SFT, pre ktoré existuje dohoda</w:t>
            </w:r>
            <w:r w:rsidR="00826586">
              <w:rPr>
                <w:rFonts w:ascii="Times New Roman" w:hAnsi="Times New Roman"/>
              </w:rPr>
              <w:t xml:space="preserve"> o </w:t>
            </w:r>
            <w:r w:rsidRPr="00826586">
              <w:rPr>
                <w:rFonts w:ascii="Times New Roman" w:hAnsi="Times New Roman"/>
              </w:rPr>
              <w:t>vzájomnom krížovom započítavaní produktov</w:t>
            </w:r>
            <w:r w:rsidR="00826586">
              <w:rPr>
                <w:rFonts w:ascii="Times New Roman" w:hAnsi="Times New Roman"/>
              </w:rPr>
              <w:t xml:space="preserve"> v </w:t>
            </w:r>
            <w:r w:rsidRPr="00826586">
              <w:rPr>
                <w:rFonts w:ascii="Times New Roman" w:hAnsi="Times New Roman"/>
              </w:rPr>
              <w:t>zmysle vymedzenia</w:t>
            </w:r>
            <w:r w:rsidR="00826586">
              <w:rPr>
                <w:rFonts w:ascii="Times New Roman" w:hAnsi="Times New Roman"/>
              </w:rPr>
              <w:t xml:space="preserve"> v </w:t>
            </w:r>
            <w:r w:rsidRPr="00826586">
              <w:rPr>
                <w:rFonts w:ascii="Times New Roman" w:hAnsi="Times New Roman"/>
              </w:rPr>
              <w:t xml:space="preserve">článku 272 bode 25 nariadenia (EÚ) </w:t>
            </w:r>
            <w:r w:rsidR="00826586">
              <w:rPr>
                <w:rFonts w:ascii="Times New Roman" w:hAnsi="Times New Roman"/>
              </w:rPr>
              <w:t>č. </w:t>
            </w:r>
            <w:r w:rsidRPr="00826586">
              <w:rPr>
                <w:rFonts w:ascii="Times New Roman" w:hAnsi="Times New Roman"/>
              </w:rPr>
              <w:t>575/2013</w:t>
            </w:r>
            <w:r w:rsidR="00826586">
              <w:rPr>
                <w:rFonts w:ascii="Times New Roman" w:hAnsi="Times New Roman"/>
              </w:rPr>
              <w:t xml:space="preserve"> a v </w:t>
            </w:r>
            <w:r w:rsidRPr="00826586">
              <w:rPr>
                <w:rFonts w:ascii="Times New Roman" w:hAnsi="Times New Roman"/>
              </w:rPr>
              <w:t>súvislosti</w:t>
            </w:r>
            <w:r w:rsidR="00826586">
              <w:rPr>
                <w:rFonts w:ascii="Times New Roman" w:hAnsi="Times New Roman"/>
              </w:rPr>
              <w:t xml:space="preserve"> s </w:t>
            </w:r>
            <w:r w:rsidRPr="00826586">
              <w:rPr>
                <w:rFonts w:ascii="Times New Roman" w:hAnsi="Times New Roman"/>
              </w:rPr>
              <w:t>ktorými sa inštitúciám povolilo určovať hodnotu expozície pomocou IMM.</w:t>
            </w:r>
          </w:p>
        </w:tc>
      </w:tr>
      <w:tr w:rsidR="00F43911" w:rsidRPr="00826586" w14:paraId="7D81F05B" w14:textId="77777777" w:rsidTr="004F3087">
        <w:trPr>
          <w:trHeight w:val="680"/>
        </w:trPr>
        <w:tc>
          <w:tcPr>
            <w:tcW w:w="1384" w:type="dxa"/>
          </w:tcPr>
          <w:p w14:paraId="28E9EC92" w14:textId="77777777" w:rsidR="00F43911" w:rsidRPr="00826586" w:rsidRDefault="00F43911" w:rsidP="004F3087">
            <w:pPr>
              <w:pStyle w:val="Applicationdirecte"/>
              <w:spacing w:before="0" w:after="240"/>
              <w:jc w:val="center"/>
            </w:pPr>
            <w:r w:rsidRPr="00826586">
              <w:lastRenderedPageBreak/>
              <w:t>3, 4</w:t>
            </w:r>
          </w:p>
        </w:tc>
        <w:tc>
          <w:tcPr>
            <w:tcW w:w="7655" w:type="dxa"/>
          </w:tcPr>
          <w:p w14:paraId="3125535D" w14:textId="273AB295" w:rsidR="00F43911" w:rsidRPr="00826586" w:rsidRDefault="00F43911" w:rsidP="004F3087">
            <w:pPr>
              <w:pStyle w:val="TableMainHeading"/>
              <w:spacing w:before="0" w:after="240"/>
              <w:jc w:val="both"/>
              <w:rPr>
                <w:rFonts w:ascii="Times New Roman" w:hAnsi="Times New Roman"/>
                <w:b/>
                <w:sz w:val="24"/>
                <w:szCs w:val="24"/>
              </w:rPr>
            </w:pPr>
            <w:r w:rsidRPr="00826586">
              <w:rPr>
                <w:rFonts w:ascii="Times New Roman" w:hAnsi="Times New Roman"/>
                <w:b/>
                <w:sz w:val="24"/>
              </w:rPr>
              <w:t>Jednoduchá metóda nakladania</w:t>
            </w:r>
            <w:r w:rsidR="00826586">
              <w:rPr>
                <w:rFonts w:ascii="Times New Roman" w:hAnsi="Times New Roman"/>
                <w:b/>
                <w:sz w:val="24"/>
              </w:rPr>
              <w:t xml:space="preserve"> s </w:t>
            </w:r>
            <w:r w:rsidRPr="00826586">
              <w:rPr>
                <w:rFonts w:ascii="Times New Roman" w:hAnsi="Times New Roman"/>
                <w:b/>
                <w:sz w:val="24"/>
              </w:rPr>
              <w:t>finančným kolaterálom (pre SFT)</w:t>
            </w:r>
            <w:r w:rsidR="00826586">
              <w:rPr>
                <w:rFonts w:ascii="Times New Roman" w:hAnsi="Times New Roman"/>
                <w:b/>
                <w:sz w:val="24"/>
              </w:rPr>
              <w:t xml:space="preserve"> a </w:t>
            </w:r>
            <w:r w:rsidRPr="00826586">
              <w:rPr>
                <w:rFonts w:ascii="Times New Roman" w:hAnsi="Times New Roman"/>
                <w:b/>
                <w:sz w:val="24"/>
              </w:rPr>
              <w:t>súhrnná metóda nakladania</w:t>
            </w:r>
            <w:r w:rsidR="00826586">
              <w:rPr>
                <w:rFonts w:ascii="Times New Roman" w:hAnsi="Times New Roman"/>
                <w:b/>
                <w:sz w:val="24"/>
              </w:rPr>
              <w:t xml:space="preserve"> s </w:t>
            </w:r>
            <w:r w:rsidRPr="00826586">
              <w:rPr>
                <w:rFonts w:ascii="Times New Roman" w:hAnsi="Times New Roman"/>
                <w:b/>
                <w:sz w:val="24"/>
              </w:rPr>
              <w:t>finančným kolaterálom (pre SFT)</w:t>
            </w:r>
          </w:p>
          <w:p w14:paraId="7FFBE4B5" w14:textId="5DC46DE1" w:rsidR="00F43911" w:rsidRPr="00826586" w:rsidRDefault="00F43911" w:rsidP="004F3087">
            <w:pPr>
              <w:pStyle w:val="TableMainHeading"/>
              <w:spacing w:before="0" w:after="240"/>
              <w:jc w:val="both"/>
              <w:rPr>
                <w:rFonts w:ascii="Times New Roman" w:hAnsi="Times New Roman"/>
                <w:i/>
                <w:sz w:val="24"/>
                <w:szCs w:val="24"/>
              </w:rPr>
            </w:pPr>
            <w:r w:rsidRPr="00826586">
              <w:rPr>
                <w:rFonts w:ascii="Times New Roman" w:hAnsi="Times New Roman"/>
                <w:sz w:val="24"/>
              </w:rPr>
              <w:t>Repo transakcie, transakcie požičiavania alebo vypožičiavania cenných papierov alebo komodít</w:t>
            </w:r>
            <w:r w:rsidR="00826586">
              <w:rPr>
                <w:rFonts w:ascii="Times New Roman" w:hAnsi="Times New Roman"/>
                <w:sz w:val="24"/>
              </w:rPr>
              <w:t xml:space="preserve"> a </w:t>
            </w:r>
            <w:r w:rsidRPr="00826586">
              <w:rPr>
                <w:rFonts w:ascii="Times New Roman" w:hAnsi="Times New Roman"/>
                <w:sz w:val="24"/>
              </w:rPr>
              <w:t>transakcie požičiavania</w:t>
            </w:r>
            <w:r w:rsidR="00826586">
              <w:rPr>
                <w:rFonts w:ascii="Times New Roman" w:hAnsi="Times New Roman"/>
                <w:sz w:val="24"/>
              </w:rPr>
              <w:t xml:space="preserve"> s </w:t>
            </w:r>
            <w:r w:rsidRPr="00826586">
              <w:rPr>
                <w:rFonts w:ascii="Times New Roman" w:hAnsi="Times New Roman"/>
                <w:sz w:val="24"/>
              </w:rPr>
              <w:t>dozabezpečením, pri ktorých sa inštitúcie rozhodli určovať hodnotu expozície</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treťou časťou hlavou II kapitolou 4 článkami 222</w:t>
            </w:r>
            <w:r w:rsidR="00826586">
              <w:rPr>
                <w:rFonts w:ascii="Times New Roman" w:hAnsi="Times New Roman"/>
                <w:sz w:val="24"/>
              </w:rPr>
              <w:t xml:space="preserve"> a </w:t>
            </w:r>
            <w:r w:rsidRPr="00826586">
              <w:rPr>
                <w:rFonts w:ascii="Times New Roman" w:hAnsi="Times New Roman"/>
                <w:sz w:val="24"/>
              </w:rPr>
              <w:t xml:space="preserve">223 nariadenia (EÚ) </w:t>
            </w:r>
            <w:r w:rsidR="00826586">
              <w:rPr>
                <w:rFonts w:ascii="Times New Roman" w:hAnsi="Times New Roman"/>
                <w:sz w:val="24"/>
              </w:rPr>
              <w:t>č. </w:t>
            </w:r>
            <w:r w:rsidRPr="00826586">
              <w:rPr>
                <w:rFonts w:ascii="Times New Roman" w:hAnsi="Times New Roman"/>
                <w:sz w:val="24"/>
              </w:rPr>
              <w:t>575/2013,</w:t>
            </w:r>
            <w:r w:rsidR="00826586">
              <w:rPr>
                <w:rFonts w:ascii="Times New Roman" w:hAnsi="Times New Roman"/>
                <w:sz w:val="24"/>
              </w:rPr>
              <w:t xml:space="preserve"> a </w:t>
            </w:r>
            <w:r w:rsidRPr="00826586">
              <w:rPr>
                <w:rFonts w:ascii="Times New Roman" w:hAnsi="Times New Roman"/>
                <w:sz w:val="24"/>
              </w:rPr>
              <w:t>nie</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treťou časťou hlavou II kapitolou 6 článkom 271 ods. 2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0521450C" w14:textId="77777777" w:rsidTr="004F3087">
        <w:trPr>
          <w:trHeight w:val="680"/>
        </w:trPr>
        <w:tc>
          <w:tcPr>
            <w:tcW w:w="1384" w:type="dxa"/>
          </w:tcPr>
          <w:p w14:paraId="7CEED5F4" w14:textId="77777777" w:rsidR="00F43911" w:rsidRPr="00826586" w:rsidRDefault="00F43911" w:rsidP="004F3087">
            <w:pPr>
              <w:pStyle w:val="Applicationdirecte"/>
              <w:spacing w:before="0" w:after="240"/>
              <w:jc w:val="center"/>
              <w:rPr>
                <w:highlight w:val="yellow"/>
              </w:rPr>
            </w:pPr>
            <w:r w:rsidRPr="00826586">
              <w:t>5</w:t>
            </w:r>
          </w:p>
        </w:tc>
        <w:tc>
          <w:tcPr>
            <w:tcW w:w="7655" w:type="dxa"/>
          </w:tcPr>
          <w:p w14:paraId="7192FE6E" w14:textId="77777777" w:rsidR="00F43911" w:rsidRPr="00826586" w:rsidRDefault="00F43911" w:rsidP="004F3087">
            <w:pPr>
              <w:pStyle w:val="TableMainHeading"/>
              <w:spacing w:before="0" w:after="240"/>
              <w:jc w:val="both"/>
              <w:rPr>
                <w:rFonts w:ascii="Times New Roman" w:hAnsi="Times New Roman"/>
                <w:b/>
                <w:sz w:val="24"/>
                <w:szCs w:val="24"/>
              </w:rPr>
            </w:pPr>
            <w:r w:rsidRPr="00826586">
              <w:rPr>
                <w:rFonts w:ascii="Times New Roman" w:hAnsi="Times New Roman"/>
                <w:b/>
                <w:sz w:val="24"/>
              </w:rPr>
              <w:t>VaR pre SFT</w:t>
            </w:r>
          </w:p>
          <w:p w14:paraId="2F37A77D" w14:textId="5CB630E2" w:rsidR="00F43911" w:rsidRPr="00826586" w:rsidRDefault="00F43911" w:rsidP="004F3087">
            <w:pPr>
              <w:pStyle w:val="TableMainHeading"/>
              <w:spacing w:before="0" w:after="240"/>
              <w:jc w:val="both"/>
              <w:rPr>
                <w:rFonts w:ascii="Times New Roman" w:hAnsi="Times New Roman"/>
                <w:i/>
                <w:sz w:val="24"/>
                <w:szCs w:val="24"/>
              </w:rPr>
            </w:pPr>
            <w:r w:rsidRPr="00826586">
              <w:rPr>
                <w:rFonts w:ascii="Times New Roman" w:hAnsi="Times New Roman"/>
                <w:sz w:val="24"/>
              </w:rPr>
              <w:t>Repo transakcie, transakcie požičiavania alebo vypožičiavania cenných papierov alebo komodít, transakcie požičiavania</w:t>
            </w:r>
            <w:r w:rsidR="00826586">
              <w:rPr>
                <w:rFonts w:ascii="Times New Roman" w:hAnsi="Times New Roman"/>
                <w:sz w:val="24"/>
              </w:rPr>
              <w:t xml:space="preserve"> s </w:t>
            </w:r>
            <w:r w:rsidRPr="00826586">
              <w:rPr>
                <w:rFonts w:ascii="Times New Roman" w:hAnsi="Times New Roman"/>
                <w:sz w:val="24"/>
              </w:rPr>
              <w:t>dozabezpečením alebo iné transakcie kapitálového trhu</w:t>
            </w:r>
            <w:r w:rsidR="00826586">
              <w:rPr>
                <w:rFonts w:ascii="Times New Roman" w:hAnsi="Times New Roman"/>
                <w:sz w:val="24"/>
              </w:rPr>
              <w:t xml:space="preserve"> s </w:t>
            </w:r>
            <w:r w:rsidRPr="00826586">
              <w:rPr>
                <w:rFonts w:ascii="Times New Roman" w:hAnsi="Times New Roman"/>
                <w:sz w:val="24"/>
              </w:rPr>
              <w:t>výnimkou derivátových transakcií, pri ktorých sa</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221 nariadenia (EÚ) </w:t>
            </w:r>
            <w:r w:rsidR="00826586">
              <w:rPr>
                <w:rFonts w:ascii="Times New Roman" w:hAnsi="Times New Roman"/>
                <w:sz w:val="24"/>
              </w:rPr>
              <w:t>č. </w:t>
            </w:r>
            <w:r w:rsidRPr="00826586">
              <w:rPr>
                <w:rFonts w:ascii="Times New Roman" w:hAnsi="Times New Roman"/>
                <w:sz w:val="24"/>
              </w:rPr>
              <w:t>575/2013 hodnota expozície vypočítava</w:t>
            </w:r>
            <w:r w:rsidR="00826586">
              <w:rPr>
                <w:rFonts w:ascii="Times New Roman" w:hAnsi="Times New Roman"/>
                <w:sz w:val="24"/>
              </w:rPr>
              <w:t xml:space="preserve"> s </w:t>
            </w:r>
            <w:r w:rsidRPr="00826586">
              <w:rPr>
                <w:rFonts w:ascii="Times New Roman" w:hAnsi="Times New Roman"/>
                <w:sz w:val="24"/>
              </w:rPr>
              <w:t>použitím prístupu interného modelu (IMA), ktorý zohľadňuje účinky korelácie medzi pozíciami cenných papierov</w:t>
            </w:r>
            <w:r w:rsidR="00826586">
              <w:rPr>
                <w:rFonts w:ascii="Times New Roman" w:hAnsi="Times New Roman"/>
                <w:sz w:val="24"/>
              </w:rPr>
              <w:t xml:space="preserve"> v </w:t>
            </w:r>
            <w:r w:rsidRPr="00826586">
              <w:rPr>
                <w:rFonts w:ascii="Times New Roman" w:hAnsi="Times New Roman"/>
                <w:sz w:val="24"/>
              </w:rPr>
              <w:t>zmysle rámcovej dohody</w:t>
            </w:r>
            <w:r w:rsidR="00826586">
              <w:rPr>
                <w:rFonts w:ascii="Times New Roman" w:hAnsi="Times New Roman"/>
                <w:sz w:val="24"/>
              </w:rPr>
              <w:t xml:space="preserve"> o </w:t>
            </w:r>
            <w:r w:rsidRPr="00826586">
              <w:rPr>
                <w:rFonts w:ascii="Times New Roman" w:hAnsi="Times New Roman"/>
                <w:sz w:val="24"/>
              </w:rPr>
              <w:t>vzájomnom započítavaní, ako aj likviditu príslušných nástrojov.</w:t>
            </w:r>
          </w:p>
        </w:tc>
      </w:tr>
      <w:tr w:rsidR="00F43911" w:rsidRPr="00826586" w14:paraId="31D989D4" w14:textId="77777777" w:rsidTr="004F3087">
        <w:trPr>
          <w:trHeight w:val="680"/>
        </w:trPr>
        <w:tc>
          <w:tcPr>
            <w:tcW w:w="1384" w:type="dxa"/>
          </w:tcPr>
          <w:p w14:paraId="6862A0A5" w14:textId="77777777" w:rsidR="00F43911" w:rsidRPr="00826586" w:rsidRDefault="00F43911" w:rsidP="004F3087">
            <w:pPr>
              <w:pStyle w:val="Applicationdirecte"/>
              <w:spacing w:before="0" w:after="240"/>
              <w:jc w:val="center"/>
            </w:pPr>
            <w:r w:rsidRPr="00826586">
              <w:t>6</w:t>
            </w:r>
          </w:p>
        </w:tc>
        <w:tc>
          <w:tcPr>
            <w:tcW w:w="7655" w:type="dxa"/>
          </w:tcPr>
          <w:p w14:paraId="2AB9B821" w14:textId="77777777" w:rsidR="00F43911" w:rsidRPr="00826586" w:rsidRDefault="00F43911" w:rsidP="004F3087">
            <w:pPr>
              <w:pStyle w:val="TableMainHeading"/>
              <w:spacing w:before="0" w:after="240"/>
              <w:jc w:val="both"/>
              <w:rPr>
                <w:rFonts w:ascii="Times New Roman" w:hAnsi="Times New Roman"/>
                <w:b/>
                <w:sz w:val="24"/>
                <w:szCs w:val="24"/>
              </w:rPr>
            </w:pPr>
            <w:r w:rsidRPr="00826586">
              <w:rPr>
                <w:rFonts w:ascii="Times New Roman" w:hAnsi="Times New Roman"/>
                <w:b/>
                <w:sz w:val="24"/>
              </w:rPr>
              <w:t>Spolu</w:t>
            </w:r>
          </w:p>
        </w:tc>
      </w:tr>
      <w:tr w:rsidR="00F43911" w:rsidRPr="00826586"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826586" w:rsidRDefault="00F43911" w:rsidP="004F3087">
            <w:pPr>
              <w:pStyle w:val="Applicationdirecte"/>
              <w:spacing w:before="0" w:after="240"/>
              <w:jc w:val="center"/>
              <w:rPr>
                <w:b/>
              </w:rPr>
            </w:pPr>
            <w:r w:rsidRPr="00826586">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826586" w:rsidRDefault="00F43911" w:rsidP="004F3087">
            <w:pPr>
              <w:pStyle w:val="TableMainHeading"/>
              <w:spacing w:before="0" w:after="240"/>
              <w:rPr>
                <w:rFonts w:ascii="Times New Roman" w:hAnsi="Times New Roman"/>
                <w:b/>
                <w:sz w:val="24"/>
                <w:szCs w:val="24"/>
              </w:rPr>
            </w:pPr>
            <w:r w:rsidRPr="00826586">
              <w:rPr>
                <w:rFonts w:ascii="Times New Roman" w:hAnsi="Times New Roman"/>
                <w:b/>
                <w:sz w:val="24"/>
              </w:rPr>
              <w:t>Vysvetlenie</w:t>
            </w:r>
          </w:p>
        </w:tc>
      </w:tr>
      <w:tr w:rsidR="00F43911" w:rsidRPr="00826586"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826586" w:rsidRDefault="00F43911" w:rsidP="004F3087">
            <w:pPr>
              <w:pStyle w:val="Applicationdirecte"/>
              <w:spacing w:before="0" w:after="240"/>
              <w:jc w:val="center"/>
            </w:pPr>
            <w:r w:rsidRPr="00826586">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3D74276" w14:textId="77777777" w:rsidR="00826586" w:rsidRDefault="00F43911" w:rsidP="004F3087">
            <w:pPr>
              <w:pStyle w:val="TableMainHeading"/>
              <w:spacing w:before="0" w:after="240"/>
              <w:jc w:val="both"/>
              <w:rPr>
                <w:rFonts w:ascii="Times New Roman" w:hAnsi="Times New Roman"/>
                <w:b/>
                <w:sz w:val="24"/>
              </w:rPr>
            </w:pPr>
            <w:r w:rsidRPr="00826586">
              <w:rPr>
                <w:rFonts w:ascii="Times New Roman" w:hAnsi="Times New Roman"/>
                <w:b/>
                <w:sz w:val="24"/>
              </w:rPr>
              <w:t>Reprodukčné náklady (RC)</w:t>
            </w:r>
            <w:r w:rsidR="00826586">
              <w:rPr>
                <w:rFonts w:ascii="Times New Roman" w:hAnsi="Times New Roman"/>
                <w:b/>
                <w:sz w:val="24"/>
              </w:rPr>
              <w:t xml:space="preserve"> a </w:t>
            </w:r>
            <w:r w:rsidRPr="00826586">
              <w:rPr>
                <w:rFonts w:ascii="Times New Roman" w:hAnsi="Times New Roman"/>
                <w:b/>
                <w:sz w:val="24"/>
              </w:rPr>
              <w:t>potenciálna budúca expozícia (PFE)</w:t>
            </w:r>
          </w:p>
          <w:p w14:paraId="366AE0A2" w14:textId="33E28363" w:rsidR="00F43911" w:rsidRPr="00826586" w:rsidRDefault="00F43911" w:rsidP="004F3087">
            <w:pPr>
              <w:pStyle w:val="TableMainHeading"/>
              <w:spacing w:before="0" w:after="240"/>
              <w:jc w:val="both"/>
              <w:rPr>
                <w:rFonts w:ascii="Times New Roman" w:hAnsi="Times New Roman"/>
                <w:sz w:val="24"/>
                <w:szCs w:val="24"/>
              </w:rPr>
            </w:pPr>
            <w:r w:rsidRPr="00826586">
              <w:rPr>
                <w:rFonts w:ascii="Times New Roman" w:hAnsi="Times New Roman"/>
                <w:sz w:val="24"/>
              </w:rPr>
              <w:t>RC</w:t>
            </w:r>
            <w:r w:rsidR="00826586">
              <w:rPr>
                <w:rFonts w:ascii="Times New Roman" w:hAnsi="Times New Roman"/>
                <w:sz w:val="24"/>
              </w:rPr>
              <w:t xml:space="preserve"> a </w:t>
            </w:r>
            <w:r w:rsidRPr="00826586">
              <w:rPr>
                <w:rFonts w:ascii="Times New Roman" w:hAnsi="Times New Roman"/>
                <w:sz w:val="24"/>
              </w:rPr>
              <w:t>PFE sa vypočítajú takto:</w:t>
            </w:r>
          </w:p>
          <w:p w14:paraId="36DF3CF5" w14:textId="082DCA73" w:rsidR="00826586" w:rsidRDefault="00F43911" w:rsidP="004F3087">
            <w:pPr>
              <w:pStyle w:val="TableMainHeading"/>
              <w:spacing w:before="0" w:after="240"/>
              <w:jc w:val="both"/>
              <w:rPr>
                <w:rFonts w:ascii="Times New Roman" w:hAnsi="Times New Roman"/>
                <w:sz w:val="24"/>
              </w:rPr>
            </w:pPr>
            <w:r w:rsidRPr="00826586">
              <w:rPr>
                <w:rFonts w:ascii="Times New Roman" w:hAnsi="Times New Roman"/>
                <w:sz w:val="24"/>
              </w:rPr>
              <w:t>–</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treťou časťou hlavou II kapitolou 6 oddielom 5 článkom 282 ods. 3</w:t>
            </w:r>
            <w:r w:rsidR="00826586">
              <w:rPr>
                <w:rFonts w:ascii="Times New Roman" w:hAnsi="Times New Roman"/>
                <w:sz w:val="24"/>
              </w:rPr>
              <w:t xml:space="preserve"> a </w:t>
            </w:r>
            <w:r w:rsidRPr="00826586">
              <w:rPr>
                <w:rFonts w:ascii="Times New Roman" w:hAnsi="Times New Roman"/>
                <w:sz w:val="24"/>
              </w:rPr>
              <w:t xml:space="preserve">4 nariadenia (EÚ) </w:t>
            </w:r>
            <w:r w:rsidR="00826586">
              <w:rPr>
                <w:rFonts w:ascii="Times New Roman" w:hAnsi="Times New Roman"/>
                <w:sz w:val="24"/>
              </w:rPr>
              <w:t>č. </w:t>
            </w:r>
            <w:r w:rsidRPr="00826586">
              <w:rPr>
                <w:rFonts w:ascii="Times New Roman" w:hAnsi="Times New Roman"/>
                <w:sz w:val="24"/>
              </w:rPr>
              <w:t>575/2013 pre metódu pôvodnej expozície (riadok EU-1 tohto vzoru),</w:t>
            </w:r>
          </w:p>
          <w:p w14:paraId="3CB92BF2" w14:textId="55D9840B" w:rsidR="00F43911" w:rsidRPr="00826586" w:rsidRDefault="00F43911" w:rsidP="004F3087">
            <w:pPr>
              <w:pStyle w:val="TableMainHeading"/>
              <w:spacing w:before="0" w:after="240"/>
              <w:jc w:val="both"/>
              <w:rPr>
                <w:rFonts w:ascii="Times New Roman" w:hAnsi="Times New Roman"/>
                <w:sz w:val="24"/>
                <w:szCs w:val="24"/>
              </w:rPr>
            </w:pPr>
            <w:r w:rsidRPr="00826586">
              <w:rPr>
                <w:rFonts w:ascii="Times New Roman" w:hAnsi="Times New Roman"/>
                <w:sz w:val="24"/>
              </w:rPr>
              <w:t>–</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treťou časťou hlavou II kapitolou 6 oddielom 5 článkom 281 nariadenia (EÚ) </w:t>
            </w:r>
            <w:r w:rsidR="00826586">
              <w:rPr>
                <w:rFonts w:ascii="Times New Roman" w:hAnsi="Times New Roman"/>
                <w:sz w:val="24"/>
              </w:rPr>
              <w:t>č. </w:t>
            </w:r>
            <w:r w:rsidRPr="00826586">
              <w:rPr>
                <w:rFonts w:ascii="Times New Roman" w:hAnsi="Times New Roman"/>
                <w:sz w:val="24"/>
              </w:rPr>
              <w:t>575/2013 pre zjednodušený prístup SA-CCR (riadok EU-2 tohto vzoru),</w:t>
            </w:r>
          </w:p>
          <w:p w14:paraId="26D7BCAE" w14:textId="1305CDB5" w:rsidR="00F43911" w:rsidRPr="00826586" w:rsidRDefault="00F43911" w:rsidP="004F3087">
            <w:pPr>
              <w:pStyle w:val="TableMainHeading"/>
              <w:spacing w:before="0" w:after="240"/>
              <w:jc w:val="both"/>
              <w:rPr>
                <w:rFonts w:ascii="Times New Roman" w:hAnsi="Times New Roman"/>
                <w:sz w:val="24"/>
                <w:szCs w:val="24"/>
              </w:rPr>
            </w:pPr>
            <w:r w:rsidRPr="00826586">
              <w:rPr>
                <w:rFonts w:ascii="Times New Roman" w:hAnsi="Times New Roman"/>
                <w:sz w:val="24"/>
              </w:rPr>
              <w:t>–</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treťou časťou hlavou II kapitolou 6 oddielom 4 článkom 275</w:t>
            </w:r>
            <w:r w:rsidR="00826586">
              <w:rPr>
                <w:rFonts w:ascii="Times New Roman" w:hAnsi="Times New Roman"/>
                <w:sz w:val="24"/>
              </w:rPr>
              <w:t xml:space="preserve"> a </w:t>
            </w:r>
            <w:r w:rsidRPr="00826586">
              <w:rPr>
                <w:rFonts w:ascii="Times New Roman" w:hAnsi="Times New Roman"/>
                <w:sz w:val="24"/>
              </w:rPr>
              <w:t xml:space="preserve">oddielom 5 článkom 278 nariadenia (EÚ) </w:t>
            </w:r>
            <w:r w:rsidR="00826586">
              <w:rPr>
                <w:rFonts w:ascii="Times New Roman" w:hAnsi="Times New Roman"/>
                <w:sz w:val="24"/>
              </w:rPr>
              <w:t>č. </w:t>
            </w:r>
            <w:r w:rsidRPr="00826586">
              <w:rPr>
                <w:rFonts w:ascii="Times New Roman" w:hAnsi="Times New Roman"/>
                <w:sz w:val="24"/>
              </w:rPr>
              <w:t>575/2013 pre prístup SA-CCR (riadok 1 tohto vzoru).</w:t>
            </w:r>
          </w:p>
          <w:p w14:paraId="3D6E29EA" w14:textId="6A0D7E21" w:rsidR="00F43911" w:rsidRPr="00826586" w:rsidRDefault="00F43911" w:rsidP="004F3087">
            <w:pPr>
              <w:spacing w:after="240"/>
            </w:pPr>
            <w:r w:rsidRPr="00826586">
              <w:rPr>
                <w:rFonts w:ascii="Times New Roman" w:hAnsi="Times New Roman"/>
                <w:sz w:val="24"/>
              </w:rPr>
              <w:t>Inštitúcie zverejňujú</w:t>
            </w:r>
            <w:r w:rsidR="00826586">
              <w:rPr>
                <w:rFonts w:ascii="Times New Roman" w:hAnsi="Times New Roman"/>
                <w:sz w:val="24"/>
              </w:rPr>
              <w:t xml:space="preserve"> v </w:t>
            </w:r>
            <w:r w:rsidRPr="00826586">
              <w:rPr>
                <w:rFonts w:ascii="Times New Roman" w:hAnsi="Times New Roman"/>
                <w:sz w:val="24"/>
              </w:rPr>
              <w:t>príslušných riadkoch súčet reprodukčných nákladov všetkých súborov vzájomného započítavania.</w:t>
            </w:r>
          </w:p>
        </w:tc>
      </w:tr>
      <w:tr w:rsidR="00F43911" w:rsidRPr="00826586"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826586" w:rsidRDefault="00F43911" w:rsidP="004F3087">
            <w:pPr>
              <w:pStyle w:val="Applicationdirecte"/>
              <w:spacing w:before="0" w:after="240"/>
              <w:jc w:val="center"/>
            </w:pPr>
            <w:r w:rsidRPr="00826586">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826586" w:rsidRDefault="00F43911" w:rsidP="004F3087">
            <w:pPr>
              <w:pStyle w:val="Default"/>
              <w:spacing w:after="240"/>
              <w:jc w:val="both"/>
              <w:rPr>
                <w:rFonts w:ascii="Times New Roman" w:hAnsi="Times New Roman" w:cs="Times New Roman"/>
                <w:b/>
              </w:rPr>
            </w:pPr>
            <w:r w:rsidRPr="00826586">
              <w:rPr>
                <w:rFonts w:ascii="Times New Roman" w:hAnsi="Times New Roman"/>
                <w:b/>
              </w:rPr>
              <w:t>Efektívna očakávaná pozitívna expozícia (EEPE)</w:t>
            </w:r>
          </w:p>
          <w:p w14:paraId="457B2CC6" w14:textId="43495F5A" w:rsidR="00F43911" w:rsidRPr="00826586" w:rsidRDefault="00F43911" w:rsidP="004F3087">
            <w:pPr>
              <w:pStyle w:val="Default"/>
              <w:spacing w:after="240"/>
              <w:jc w:val="both"/>
              <w:rPr>
                <w:rFonts w:ascii="Times New Roman" w:hAnsi="Times New Roman" w:cs="Times New Roman"/>
              </w:rPr>
            </w:pPr>
            <w:r w:rsidRPr="00826586">
              <w:rPr>
                <w:rFonts w:ascii="Times New Roman" w:hAnsi="Times New Roman"/>
              </w:rPr>
              <w:t>Efektívna očakávaná pozitívna expozícia (EEPE) súboru vzájomného započítavania je vymedzená</w:t>
            </w:r>
            <w:r w:rsidR="00826586">
              <w:rPr>
                <w:rFonts w:ascii="Times New Roman" w:hAnsi="Times New Roman"/>
              </w:rPr>
              <w:t xml:space="preserve"> v </w:t>
            </w:r>
            <w:r w:rsidRPr="00826586">
              <w:rPr>
                <w:rFonts w:ascii="Times New Roman" w:hAnsi="Times New Roman"/>
              </w:rPr>
              <w:t xml:space="preserve">článku 272 bode 22 nariadenia (EÚ) </w:t>
            </w:r>
            <w:r w:rsidR="00826586">
              <w:rPr>
                <w:rFonts w:ascii="Times New Roman" w:hAnsi="Times New Roman"/>
              </w:rPr>
              <w:t>č. </w:t>
            </w:r>
            <w:r w:rsidRPr="00826586">
              <w:rPr>
                <w:rFonts w:ascii="Times New Roman" w:hAnsi="Times New Roman"/>
              </w:rPr>
              <w:t>575/2013</w:t>
            </w:r>
            <w:r w:rsidR="00826586">
              <w:rPr>
                <w:rFonts w:ascii="Times New Roman" w:hAnsi="Times New Roman"/>
              </w:rPr>
              <w:t xml:space="preserve"> a </w:t>
            </w:r>
            <w:r w:rsidRPr="00826586">
              <w:rPr>
                <w:rFonts w:ascii="Times New Roman" w:hAnsi="Times New Roman"/>
              </w:rPr>
              <w:t>vypočítava sa</w:t>
            </w:r>
            <w:r w:rsidR="00826586">
              <w:rPr>
                <w:rFonts w:ascii="Times New Roman" w:hAnsi="Times New Roman"/>
              </w:rPr>
              <w:t xml:space="preserve"> v </w:t>
            </w:r>
            <w:r w:rsidRPr="00826586">
              <w:rPr>
                <w:rFonts w:ascii="Times New Roman" w:hAnsi="Times New Roman"/>
              </w:rPr>
              <w:t>súlade</w:t>
            </w:r>
            <w:r w:rsidR="00826586">
              <w:rPr>
                <w:rFonts w:ascii="Times New Roman" w:hAnsi="Times New Roman"/>
              </w:rPr>
              <w:t xml:space="preserve"> s </w:t>
            </w:r>
            <w:r w:rsidRPr="00826586">
              <w:rPr>
                <w:rFonts w:ascii="Times New Roman" w:hAnsi="Times New Roman"/>
              </w:rPr>
              <w:t xml:space="preserve">článkom 284 ods. 6 nariadenia (EÚ) </w:t>
            </w:r>
            <w:r w:rsidR="00826586">
              <w:rPr>
                <w:rFonts w:ascii="Times New Roman" w:hAnsi="Times New Roman"/>
              </w:rPr>
              <w:t>č. </w:t>
            </w:r>
            <w:r w:rsidRPr="00826586">
              <w:rPr>
                <w:rFonts w:ascii="Times New Roman" w:hAnsi="Times New Roman"/>
              </w:rPr>
              <w:t>575/2013.</w:t>
            </w:r>
          </w:p>
          <w:p w14:paraId="217186F1" w14:textId="3D57ACE4" w:rsidR="00F43911" w:rsidRPr="00826586" w:rsidRDefault="00F43911" w:rsidP="004F3087">
            <w:pPr>
              <w:pStyle w:val="Default"/>
              <w:spacing w:after="240"/>
              <w:jc w:val="both"/>
              <w:rPr>
                <w:rFonts w:ascii="Times New Roman" w:hAnsi="Times New Roman" w:cs="Times New Roman"/>
              </w:rPr>
            </w:pPr>
            <w:r w:rsidRPr="00826586">
              <w:rPr>
                <w:rFonts w:ascii="Times New Roman" w:hAnsi="Times New Roman"/>
              </w:rPr>
              <w:lastRenderedPageBreak/>
              <w:t>EEPE, ktorá sa tu má zverejňovať, je EEPE použitá na určenie požiadaviek na vlastné zdroje</w:t>
            </w:r>
            <w:r w:rsidR="00826586">
              <w:rPr>
                <w:rFonts w:ascii="Times New Roman" w:hAnsi="Times New Roman"/>
              </w:rPr>
              <w:t xml:space="preserve"> v </w:t>
            </w:r>
            <w:r w:rsidRPr="00826586">
              <w:rPr>
                <w:rFonts w:ascii="Times New Roman" w:hAnsi="Times New Roman"/>
              </w:rPr>
              <w:t>súlade</w:t>
            </w:r>
            <w:r w:rsidR="00826586">
              <w:rPr>
                <w:rFonts w:ascii="Times New Roman" w:hAnsi="Times New Roman"/>
              </w:rPr>
              <w:t xml:space="preserve"> s </w:t>
            </w:r>
            <w:r w:rsidRPr="00826586">
              <w:rPr>
                <w:rFonts w:ascii="Times New Roman" w:hAnsi="Times New Roman"/>
              </w:rPr>
              <w:t xml:space="preserve">článkom 284 ods. 3 nariadenia (EÚ) </w:t>
            </w:r>
            <w:r w:rsidR="00826586">
              <w:rPr>
                <w:rFonts w:ascii="Times New Roman" w:hAnsi="Times New Roman"/>
              </w:rPr>
              <w:t>č. </w:t>
            </w:r>
            <w:r w:rsidRPr="00826586">
              <w:rPr>
                <w:rFonts w:ascii="Times New Roman" w:hAnsi="Times New Roman"/>
              </w:rPr>
              <w:t>575/2013, t. j. buď EEPE vypočítaná pomocou aktuálnych trhových údajov, alebo EEPE vypočítaná pomocou stresovej kalibrácie, podľa toho, čo vedie</w:t>
            </w:r>
            <w:r w:rsidR="00826586">
              <w:rPr>
                <w:rFonts w:ascii="Times New Roman" w:hAnsi="Times New Roman"/>
              </w:rPr>
              <w:t xml:space="preserve"> k </w:t>
            </w:r>
            <w:r w:rsidRPr="00826586">
              <w:rPr>
                <w:rFonts w:ascii="Times New Roman" w:hAnsi="Times New Roman"/>
              </w:rPr>
              <w:t>vyššej požiadavke na vlastné zdroje.</w:t>
            </w:r>
          </w:p>
          <w:p w14:paraId="1B528B51" w14:textId="45D574BB" w:rsidR="00F43911" w:rsidRPr="00826586" w:rsidRDefault="00F43911" w:rsidP="004F3087">
            <w:pPr>
              <w:pStyle w:val="Default"/>
              <w:spacing w:after="240"/>
              <w:jc w:val="both"/>
              <w:rPr>
                <w:rFonts w:ascii="Times New Roman" w:hAnsi="Times New Roman" w:cs="Times New Roman"/>
                <w:b/>
              </w:rPr>
            </w:pPr>
            <w:r w:rsidRPr="00826586">
              <w:rPr>
                <w:rFonts w:ascii="Times New Roman" w:hAnsi="Times New Roman"/>
              </w:rPr>
              <w:t>Inštitúcie</w:t>
            </w:r>
            <w:r w:rsidR="00826586">
              <w:rPr>
                <w:rFonts w:ascii="Times New Roman" w:hAnsi="Times New Roman"/>
              </w:rPr>
              <w:t xml:space="preserve"> v </w:t>
            </w:r>
            <w:r w:rsidRPr="00826586">
              <w:rPr>
                <w:rFonts w:ascii="Times New Roman" w:hAnsi="Times New Roman"/>
              </w:rPr>
              <w:t xml:space="preserve">opise sprevádzajúcom tento vzor špecifikujú, ktorú EEPE uviedli. </w:t>
            </w:r>
          </w:p>
        </w:tc>
      </w:tr>
      <w:tr w:rsidR="00F43911" w:rsidRPr="00826586"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826586" w:rsidRDefault="00F43911" w:rsidP="004F3087">
            <w:pPr>
              <w:pStyle w:val="Applicationdirecte"/>
              <w:spacing w:before="0" w:after="240"/>
              <w:jc w:val="center"/>
            </w:pPr>
            <w:r w:rsidRPr="00826586">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826586" w:rsidRDefault="00F43911" w:rsidP="004F3087">
            <w:pPr>
              <w:pStyle w:val="Default"/>
              <w:spacing w:after="240"/>
              <w:jc w:val="both"/>
              <w:rPr>
                <w:rFonts w:ascii="Times New Roman" w:hAnsi="Times New Roman" w:cs="Times New Roman"/>
                <w:b/>
              </w:rPr>
            </w:pPr>
            <w:r w:rsidRPr="00826586">
              <w:rPr>
                <w:rFonts w:ascii="Times New Roman" w:hAnsi="Times New Roman"/>
                <w:b/>
              </w:rPr>
              <w:t>Alfa použitá na výpočet regulatórnej hodnoty expozície</w:t>
            </w:r>
          </w:p>
          <w:p w14:paraId="6B33CCED" w14:textId="2BF00574" w:rsidR="00F43911" w:rsidRPr="00826586" w:rsidRDefault="00F43911" w:rsidP="004F3087">
            <w:pPr>
              <w:pStyle w:val="Default"/>
              <w:spacing w:after="240"/>
              <w:jc w:val="both"/>
              <w:rPr>
                <w:rFonts w:ascii="Times New Roman" w:hAnsi="Times New Roman" w:cs="Times New Roman"/>
              </w:rPr>
            </w:pPr>
            <w:r w:rsidRPr="00826586">
              <w:rPr>
                <w:rFonts w:ascii="Times New Roman" w:hAnsi="Times New Roman"/>
              </w:rPr>
              <w:t>Hodnota α je</w:t>
            </w:r>
            <w:r w:rsidR="00826586">
              <w:rPr>
                <w:rFonts w:ascii="Times New Roman" w:hAnsi="Times New Roman"/>
              </w:rPr>
              <w:t xml:space="preserve"> v </w:t>
            </w:r>
            <w:r w:rsidRPr="00826586">
              <w:rPr>
                <w:rFonts w:ascii="Times New Roman" w:hAnsi="Times New Roman"/>
              </w:rPr>
              <w:t>riadkoch EU-1, EU-2</w:t>
            </w:r>
            <w:r w:rsidR="00826586">
              <w:rPr>
                <w:rFonts w:ascii="Times New Roman" w:hAnsi="Times New Roman"/>
              </w:rPr>
              <w:t xml:space="preserve"> a </w:t>
            </w:r>
            <w:r w:rsidRPr="00826586">
              <w:rPr>
                <w:rFonts w:ascii="Times New Roman" w:hAnsi="Times New Roman"/>
              </w:rPr>
              <w:t>1 tohto vzoru pevne stanovená na úrovni 1,4</w:t>
            </w:r>
            <w:r w:rsidR="00826586">
              <w:rPr>
                <w:rFonts w:ascii="Times New Roman" w:hAnsi="Times New Roman"/>
              </w:rPr>
              <w:t xml:space="preserve"> v </w:t>
            </w:r>
            <w:r w:rsidRPr="00826586">
              <w:rPr>
                <w:rFonts w:ascii="Times New Roman" w:hAnsi="Times New Roman"/>
              </w:rPr>
              <w:t>súlade</w:t>
            </w:r>
            <w:r w:rsidR="00826586">
              <w:rPr>
                <w:rFonts w:ascii="Times New Roman" w:hAnsi="Times New Roman"/>
              </w:rPr>
              <w:t xml:space="preserve"> s </w:t>
            </w:r>
            <w:r w:rsidRPr="00826586">
              <w:rPr>
                <w:rFonts w:ascii="Times New Roman" w:hAnsi="Times New Roman"/>
              </w:rPr>
              <w:t>článkom 282 ods. 2, článkom 281 ods. 1</w:t>
            </w:r>
            <w:r w:rsidR="00826586">
              <w:rPr>
                <w:rFonts w:ascii="Times New Roman" w:hAnsi="Times New Roman"/>
              </w:rPr>
              <w:t xml:space="preserve"> a </w:t>
            </w:r>
            <w:r w:rsidRPr="00826586">
              <w:rPr>
                <w:rFonts w:ascii="Times New Roman" w:hAnsi="Times New Roman"/>
              </w:rPr>
              <w:t xml:space="preserve">článkom 274 ods. 2 nariadenia (EÚ) </w:t>
            </w:r>
            <w:r w:rsidR="00826586">
              <w:rPr>
                <w:rFonts w:ascii="Times New Roman" w:hAnsi="Times New Roman"/>
              </w:rPr>
              <w:t>č. </w:t>
            </w:r>
            <w:r w:rsidRPr="00826586">
              <w:rPr>
                <w:rFonts w:ascii="Times New Roman" w:hAnsi="Times New Roman"/>
              </w:rPr>
              <w:t>575/2013.</w:t>
            </w:r>
          </w:p>
          <w:p w14:paraId="3D498F38" w14:textId="3F22ED89" w:rsidR="00F43911" w:rsidRPr="00826586" w:rsidRDefault="00F43911" w:rsidP="004F3087">
            <w:pPr>
              <w:pStyle w:val="Default"/>
              <w:spacing w:after="240"/>
              <w:jc w:val="both"/>
              <w:rPr>
                <w:rFonts w:ascii="Times New Roman" w:hAnsi="Times New Roman" w:cs="Times New Roman"/>
                <w:b/>
              </w:rPr>
            </w:pPr>
            <w:r w:rsidRPr="00826586">
              <w:rPr>
                <w:rFonts w:ascii="Times New Roman" w:hAnsi="Times New Roman"/>
              </w:rPr>
              <w:t>Na účely metódy interných modelov (IMM) môže mať α štandardnú hodnotu 1,4 alebo inú hodnotu, ak príslušné orgány požadujú vyššiu α</w:t>
            </w:r>
            <w:r w:rsidR="00826586">
              <w:rPr>
                <w:rFonts w:ascii="Times New Roman" w:hAnsi="Times New Roman"/>
              </w:rPr>
              <w:t xml:space="preserve"> v </w:t>
            </w:r>
            <w:r w:rsidRPr="00826586">
              <w:rPr>
                <w:rFonts w:ascii="Times New Roman" w:hAnsi="Times New Roman"/>
              </w:rPr>
              <w:t>súlade</w:t>
            </w:r>
            <w:r w:rsidR="00826586">
              <w:rPr>
                <w:rFonts w:ascii="Times New Roman" w:hAnsi="Times New Roman"/>
              </w:rPr>
              <w:t xml:space="preserve"> s </w:t>
            </w:r>
            <w:r w:rsidRPr="00826586">
              <w:rPr>
                <w:rFonts w:ascii="Times New Roman" w:hAnsi="Times New Roman"/>
              </w:rPr>
              <w:t xml:space="preserve">článkom 284 ods. 4 nariadenia (EÚ) </w:t>
            </w:r>
            <w:r w:rsidR="00826586">
              <w:rPr>
                <w:rFonts w:ascii="Times New Roman" w:hAnsi="Times New Roman"/>
              </w:rPr>
              <w:t>č. </w:t>
            </w:r>
            <w:r w:rsidRPr="00826586">
              <w:rPr>
                <w:rFonts w:ascii="Times New Roman" w:hAnsi="Times New Roman"/>
              </w:rPr>
              <w:t>575/2013 alebo ak inštitúciám povolia, aby použili vlastné odhady</w:t>
            </w:r>
            <w:r w:rsidR="00826586">
              <w:rPr>
                <w:rFonts w:ascii="Times New Roman" w:hAnsi="Times New Roman"/>
              </w:rPr>
              <w:t xml:space="preserve"> v </w:t>
            </w:r>
            <w:r w:rsidRPr="00826586">
              <w:rPr>
                <w:rFonts w:ascii="Times New Roman" w:hAnsi="Times New Roman"/>
              </w:rPr>
              <w:t>súlade</w:t>
            </w:r>
            <w:r w:rsidR="00826586">
              <w:rPr>
                <w:rFonts w:ascii="Times New Roman" w:hAnsi="Times New Roman"/>
              </w:rPr>
              <w:t xml:space="preserve"> s </w:t>
            </w:r>
            <w:r w:rsidRPr="00826586">
              <w:rPr>
                <w:rFonts w:ascii="Times New Roman" w:hAnsi="Times New Roman"/>
              </w:rPr>
              <w:t xml:space="preserve">treťou časťou hlavou II kapitolou 6 oddielom 6 článkom 284 ods. 9 nariadenia (EÚ) </w:t>
            </w:r>
            <w:r w:rsidR="00826586">
              <w:rPr>
                <w:rFonts w:ascii="Times New Roman" w:hAnsi="Times New Roman"/>
              </w:rPr>
              <w:t>č. </w:t>
            </w:r>
            <w:r w:rsidRPr="00826586">
              <w:rPr>
                <w:rFonts w:ascii="Times New Roman" w:hAnsi="Times New Roman"/>
              </w:rPr>
              <w:t>575/2013.</w:t>
            </w:r>
          </w:p>
        </w:tc>
      </w:tr>
      <w:tr w:rsidR="00F43911" w:rsidRPr="00826586"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826586" w:rsidRDefault="00F43911" w:rsidP="004F3087">
            <w:pPr>
              <w:pStyle w:val="Applicationdirecte"/>
              <w:spacing w:before="0" w:after="240"/>
              <w:jc w:val="center"/>
            </w:pPr>
            <w:r w:rsidRPr="00826586">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826586" w:rsidRDefault="00F43911" w:rsidP="004F3087">
            <w:pPr>
              <w:pStyle w:val="TableMainHeading"/>
              <w:spacing w:before="0" w:after="240"/>
              <w:rPr>
                <w:rFonts w:ascii="Times New Roman" w:hAnsi="Times New Roman"/>
                <w:b/>
                <w:sz w:val="24"/>
                <w:szCs w:val="24"/>
              </w:rPr>
            </w:pPr>
            <w:r w:rsidRPr="00826586">
              <w:rPr>
                <w:rFonts w:ascii="Times New Roman" w:hAnsi="Times New Roman"/>
                <w:b/>
                <w:sz w:val="24"/>
              </w:rPr>
              <w:t>Hodnota expozície pred zmierňovaním kreditného rizika</w:t>
            </w:r>
          </w:p>
          <w:p w14:paraId="4D1BA8A2" w14:textId="17B0D420" w:rsidR="00F43911" w:rsidRPr="00826586" w:rsidRDefault="00F43911" w:rsidP="004F3087">
            <w:pPr>
              <w:pStyle w:val="TableMainHeading"/>
              <w:spacing w:before="0" w:after="240"/>
              <w:jc w:val="both"/>
              <w:rPr>
                <w:rFonts w:ascii="Times New Roman" w:hAnsi="Times New Roman"/>
                <w:sz w:val="24"/>
                <w:szCs w:val="24"/>
              </w:rPr>
            </w:pPr>
            <w:r w:rsidRPr="00826586">
              <w:rPr>
                <w:rFonts w:ascii="Times New Roman" w:hAnsi="Times New Roman"/>
                <w:sz w:val="24"/>
              </w:rPr>
              <w:t>Hodnota expozície pred zmierňovaním kreditného rizika pri obchodných činnostiach, na ktoré sa vzťahuje CCR, sa vypočítava</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metódami stanovenými</w:t>
            </w:r>
            <w:r w:rsidR="00826586">
              <w:rPr>
                <w:rFonts w:ascii="Times New Roman" w:hAnsi="Times New Roman"/>
                <w:sz w:val="24"/>
              </w:rPr>
              <w:t xml:space="preserve"> v </w:t>
            </w:r>
            <w:r w:rsidRPr="00826586">
              <w:rPr>
                <w:rFonts w:ascii="Times New Roman" w:hAnsi="Times New Roman"/>
                <w:sz w:val="24"/>
              </w:rPr>
              <w:t>tretej časti hlave II kapitolách 4</w:t>
            </w:r>
            <w:r w:rsidR="00826586">
              <w:rPr>
                <w:rFonts w:ascii="Times New Roman" w:hAnsi="Times New Roman"/>
                <w:sz w:val="24"/>
              </w:rPr>
              <w:t xml:space="preserve"> a </w:t>
            </w:r>
            <w:r w:rsidRPr="00826586">
              <w:rPr>
                <w:rFonts w:ascii="Times New Roman" w:hAnsi="Times New Roman"/>
                <w:sz w:val="24"/>
              </w:rPr>
              <w:t xml:space="preserve">6 nariadenia (EÚ) </w:t>
            </w:r>
            <w:r w:rsidR="00826586">
              <w:rPr>
                <w:rFonts w:ascii="Times New Roman" w:hAnsi="Times New Roman"/>
                <w:sz w:val="24"/>
              </w:rPr>
              <w:t>č. </w:t>
            </w:r>
            <w:r w:rsidRPr="00826586">
              <w:rPr>
                <w:rFonts w:ascii="Times New Roman" w:hAnsi="Times New Roman"/>
                <w:sz w:val="24"/>
              </w:rPr>
              <w:t>575/2013, pričom sa zohľadňuje účinok vzájomného započítavania, ale nezohľadňujú sa žiadne iné postupy zmierňovania kreditného rizika (napr. prostredníctvom maržového kolaterálu).</w:t>
            </w:r>
          </w:p>
          <w:p w14:paraId="130CE556" w14:textId="04F15356" w:rsidR="00826586" w:rsidRDefault="00F43911" w:rsidP="004F3087">
            <w:pPr>
              <w:pStyle w:val="TableMainHeading"/>
              <w:spacing w:before="0" w:after="240"/>
              <w:jc w:val="both"/>
              <w:rPr>
                <w:rFonts w:ascii="Times New Roman" w:hAnsi="Times New Roman"/>
                <w:sz w:val="24"/>
              </w:rPr>
            </w:pPr>
            <w:r w:rsidRPr="00826586">
              <w:rPr>
                <w:rFonts w:ascii="Times New Roman" w:hAnsi="Times New Roman"/>
                <w:sz w:val="24"/>
              </w:rPr>
              <w:t>V prípade SFT sa časť týkajúca sa cenných papierov nezohľadňuje pri určovaní hodnoty expozície pred zmierňovaním kreditného rizika, keď sa kolaterál prijíma,</w:t>
            </w:r>
            <w:r w:rsidR="00826586">
              <w:rPr>
                <w:rFonts w:ascii="Times New Roman" w:hAnsi="Times New Roman"/>
                <w:sz w:val="24"/>
              </w:rPr>
              <w:t xml:space="preserve"> a </w:t>
            </w:r>
            <w:r w:rsidRPr="00826586">
              <w:rPr>
                <w:rFonts w:ascii="Times New Roman" w:hAnsi="Times New Roman"/>
                <w:sz w:val="24"/>
              </w:rPr>
              <w:t>preto neznižuje hodnotu expozície. Naopak, časť SFT týkajúca sa cenných papierov sa riadne zohľadňuje pri určovaní hodnoty expozície pred zmierňovaním kreditného rizika, keď sa kolaterál poskytuje</w:t>
            </w:r>
            <w:r w:rsidR="00826586">
              <w:rPr>
                <w:rFonts w:ascii="Times New Roman" w:hAnsi="Times New Roman"/>
                <w:sz w:val="24"/>
              </w:rPr>
              <w:t>.</w:t>
            </w:r>
          </w:p>
          <w:p w14:paraId="482E5F75" w14:textId="467FC528" w:rsidR="00F43911" w:rsidRPr="00826586" w:rsidRDefault="00F43911" w:rsidP="004F3087">
            <w:pPr>
              <w:pStyle w:val="TableMainHeading"/>
              <w:spacing w:before="0" w:after="240"/>
              <w:jc w:val="both"/>
              <w:rPr>
                <w:rFonts w:ascii="Times New Roman" w:hAnsi="Times New Roman"/>
                <w:sz w:val="24"/>
                <w:szCs w:val="24"/>
              </w:rPr>
            </w:pPr>
            <w:r w:rsidRPr="00826586">
              <w:rPr>
                <w:rFonts w:ascii="Times New Roman" w:hAnsi="Times New Roman"/>
                <w:sz w:val="24"/>
              </w:rPr>
              <w:t>Okrem toho sa</w:t>
            </w:r>
            <w:r w:rsidR="00826586">
              <w:rPr>
                <w:rFonts w:ascii="Times New Roman" w:hAnsi="Times New Roman"/>
                <w:sz w:val="24"/>
              </w:rPr>
              <w:t xml:space="preserve"> s </w:t>
            </w:r>
            <w:r w:rsidRPr="00826586">
              <w:rPr>
                <w:rFonts w:ascii="Times New Roman" w:hAnsi="Times New Roman"/>
                <w:sz w:val="24"/>
              </w:rPr>
              <w:t>obchodnou činnosťou, ktorá je zabezpečená kolaterálom, zaobchádza ako</w:t>
            </w:r>
            <w:r w:rsidR="00826586">
              <w:rPr>
                <w:rFonts w:ascii="Times New Roman" w:hAnsi="Times New Roman"/>
                <w:sz w:val="24"/>
              </w:rPr>
              <w:t xml:space="preserve"> s </w:t>
            </w:r>
            <w:r w:rsidRPr="00826586">
              <w:rPr>
                <w:rFonts w:ascii="Times New Roman" w:hAnsi="Times New Roman"/>
                <w:sz w:val="24"/>
              </w:rPr>
              <w:t>obchodnou činnosťou, ktorá nie je zabezpečená kolaterálom, t. j. neuplatňujú sa žiadne účinky dozabezpečenia.</w:t>
            </w:r>
          </w:p>
          <w:p w14:paraId="3610D469" w14:textId="5C2A47E8"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V prípade transakcií, pri ktorých sa zistilo špecifické riziko nesprávnej voľby, sa hodnota expozície pred zmierňovaním kreditného rizika musí určiť</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291 nariadenia (EÚ) </w:t>
            </w:r>
            <w:r w:rsidR="00826586">
              <w:rPr>
                <w:rFonts w:ascii="Times New Roman" w:hAnsi="Times New Roman"/>
                <w:sz w:val="24"/>
              </w:rPr>
              <w:t>č. </w:t>
            </w:r>
            <w:r w:rsidRPr="00826586">
              <w:rPr>
                <w:rFonts w:ascii="Times New Roman" w:hAnsi="Times New Roman"/>
                <w:sz w:val="24"/>
              </w:rPr>
              <w:t>575/2013.</w:t>
            </w:r>
          </w:p>
          <w:p w14:paraId="3EB18FDE" w14:textId="1E3CE496"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V hodnote expozície pred zmierňovaním kreditného rizika sa nezohľadňuje odpočet vzniknutej straty</w:t>
            </w:r>
            <w:r w:rsidR="00826586">
              <w:rPr>
                <w:rFonts w:ascii="Times New Roman" w:hAnsi="Times New Roman"/>
                <w:sz w:val="24"/>
              </w:rPr>
              <w:t xml:space="preserve"> z </w:t>
            </w:r>
            <w:r w:rsidRPr="00826586">
              <w:rPr>
                <w:rFonts w:ascii="Times New Roman" w:hAnsi="Times New Roman"/>
                <w:sz w:val="24"/>
              </w:rPr>
              <w:t>úpravy ocenenia pohľadávok</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273 ods. 6 nariadenia (EÚ) </w:t>
            </w:r>
            <w:r w:rsidR="00826586">
              <w:rPr>
                <w:rFonts w:ascii="Times New Roman" w:hAnsi="Times New Roman"/>
                <w:sz w:val="24"/>
              </w:rPr>
              <w:t>č. </w:t>
            </w:r>
            <w:r w:rsidRPr="00826586">
              <w:rPr>
                <w:rFonts w:ascii="Times New Roman" w:hAnsi="Times New Roman"/>
                <w:sz w:val="24"/>
              </w:rPr>
              <w:t>575/2013.</w:t>
            </w:r>
          </w:p>
          <w:p w14:paraId="3CE91BAE" w14:textId="7A7699CB" w:rsidR="00F43911" w:rsidRPr="00826586" w:rsidRDefault="00F43911" w:rsidP="004F3087">
            <w:pPr>
              <w:spacing w:after="240"/>
              <w:rPr>
                <w:rFonts w:ascii="Times New Roman" w:hAnsi="Times New Roman" w:cs="Times New Roman"/>
                <w:sz w:val="24"/>
              </w:rPr>
            </w:pPr>
            <w:r w:rsidRPr="00826586">
              <w:rPr>
                <w:rFonts w:ascii="Times New Roman" w:hAnsi="Times New Roman"/>
                <w:sz w:val="24"/>
              </w:rPr>
              <w:t>Inštitúcia zverejňuje</w:t>
            </w:r>
            <w:r w:rsidR="00826586">
              <w:rPr>
                <w:rFonts w:ascii="Times New Roman" w:hAnsi="Times New Roman"/>
                <w:sz w:val="24"/>
              </w:rPr>
              <w:t xml:space="preserve"> v </w:t>
            </w:r>
            <w:r w:rsidRPr="00826586">
              <w:rPr>
                <w:rFonts w:ascii="Times New Roman" w:hAnsi="Times New Roman"/>
                <w:sz w:val="24"/>
              </w:rPr>
              <w:t>príslušnom riadku súčet všetkých hodnôt expozície pred zmierňovaním kreditného rizika.</w:t>
            </w:r>
          </w:p>
        </w:tc>
      </w:tr>
      <w:tr w:rsidR="00F43911" w:rsidRPr="00826586"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826586" w:rsidRDefault="00F43911" w:rsidP="004F3087">
            <w:pPr>
              <w:pStyle w:val="Applicationdirecte"/>
              <w:spacing w:before="0" w:after="240"/>
              <w:jc w:val="center"/>
            </w:pPr>
            <w:r w:rsidRPr="00826586">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826586" w:rsidRDefault="00F43911" w:rsidP="004F3087">
            <w:pPr>
              <w:pStyle w:val="TableMainHeading"/>
              <w:spacing w:before="0" w:after="240"/>
              <w:rPr>
                <w:rFonts w:ascii="Times New Roman" w:hAnsi="Times New Roman"/>
                <w:b/>
                <w:sz w:val="24"/>
                <w:szCs w:val="24"/>
              </w:rPr>
            </w:pPr>
            <w:r w:rsidRPr="00826586">
              <w:rPr>
                <w:rFonts w:ascii="Times New Roman" w:hAnsi="Times New Roman"/>
                <w:b/>
                <w:sz w:val="24"/>
              </w:rPr>
              <w:t>Hodnota expozície (po zmierňovaní kreditného rizika)</w:t>
            </w:r>
          </w:p>
          <w:p w14:paraId="4C374AEE" w14:textId="206AE6BD" w:rsidR="00F43911" w:rsidRPr="00826586" w:rsidRDefault="00F43911" w:rsidP="004F3087">
            <w:pPr>
              <w:pStyle w:val="TableMainHeading"/>
              <w:spacing w:before="0" w:after="240"/>
              <w:jc w:val="both"/>
              <w:rPr>
                <w:rFonts w:ascii="Times New Roman" w:hAnsi="Times New Roman"/>
                <w:sz w:val="24"/>
                <w:szCs w:val="24"/>
              </w:rPr>
            </w:pPr>
            <w:r w:rsidRPr="00826586">
              <w:rPr>
                <w:rFonts w:ascii="Times New Roman" w:hAnsi="Times New Roman"/>
                <w:sz w:val="24"/>
              </w:rPr>
              <w:t>Hodnota expozície po zmierňovaní kreditného rizika pri obchodných činnostiach, na ktoré sa vzťahuje CCR, sa vypočítava</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metódami stanovenými</w:t>
            </w:r>
            <w:r w:rsidR="00826586">
              <w:rPr>
                <w:rFonts w:ascii="Times New Roman" w:hAnsi="Times New Roman"/>
                <w:sz w:val="24"/>
              </w:rPr>
              <w:t xml:space="preserve"> v </w:t>
            </w:r>
            <w:r w:rsidRPr="00826586">
              <w:rPr>
                <w:rFonts w:ascii="Times New Roman" w:hAnsi="Times New Roman"/>
                <w:sz w:val="24"/>
              </w:rPr>
              <w:t>tretej časti hlave II kapitolách 4</w:t>
            </w:r>
            <w:r w:rsidR="00826586">
              <w:rPr>
                <w:rFonts w:ascii="Times New Roman" w:hAnsi="Times New Roman"/>
                <w:sz w:val="24"/>
              </w:rPr>
              <w:t xml:space="preserve"> a </w:t>
            </w:r>
            <w:r w:rsidRPr="00826586">
              <w:rPr>
                <w:rFonts w:ascii="Times New Roman" w:hAnsi="Times New Roman"/>
                <w:sz w:val="24"/>
              </w:rPr>
              <w:t xml:space="preserve">6 nariadenia (EÚ) </w:t>
            </w:r>
            <w:r w:rsidR="00826586">
              <w:rPr>
                <w:rFonts w:ascii="Times New Roman" w:hAnsi="Times New Roman"/>
                <w:sz w:val="24"/>
              </w:rPr>
              <w:t>č. </w:t>
            </w:r>
            <w:r w:rsidRPr="00826586">
              <w:rPr>
                <w:rFonts w:ascii="Times New Roman" w:hAnsi="Times New Roman"/>
                <w:sz w:val="24"/>
              </w:rPr>
              <w:t>575/2013 po uplatnení postupov zmierňovania kreditného rizika, ktoré sú uplatniteľné</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treťou časťou hlavou II kapitolami 4</w:t>
            </w:r>
            <w:r w:rsidR="00826586">
              <w:rPr>
                <w:rFonts w:ascii="Times New Roman" w:hAnsi="Times New Roman"/>
                <w:sz w:val="24"/>
              </w:rPr>
              <w:t xml:space="preserve"> a </w:t>
            </w:r>
            <w:r w:rsidRPr="00826586">
              <w:rPr>
                <w:rFonts w:ascii="Times New Roman" w:hAnsi="Times New Roman"/>
                <w:sz w:val="24"/>
              </w:rPr>
              <w:t xml:space="preserve">6 nariadenia (EÚ) </w:t>
            </w:r>
            <w:r w:rsidR="00826586">
              <w:rPr>
                <w:rFonts w:ascii="Times New Roman" w:hAnsi="Times New Roman"/>
                <w:sz w:val="24"/>
              </w:rPr>
              <w:t>č. </w:t>
            </w:r>
            <w:r w:rsidRPr="00826586">
              <w:rPr>
                <w:rFonts w:ascii="Times New Roman" w:hAnsi="Times New Roman"/>
                <w:sz w:val="24"/>
              </w:rPr>
              <w:t>575/2013.</w:t>
            </w:r>
          </w:p>
          <w:p w14:paraId="00427D02" w14:textId="0B20C2CD"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V prípade transakcií, pri ktorých sa zistilo špecifické riziko nesprávnej voľby, sa hodnota expozície určuje</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291 nariadenia (EÚ) </w:t>
            </w:r>
            <w:r w:rsidR="00826586">
              <w:rPr>
                <w:rFonts w:ascii="Times New Roman" w:hAnsi="Times New Roman"/>
                <w:sz w:val="24"/>
              </w:rPr>
              <w:t>č. </w:t>
            </w:r>
            <w:r w:rsidRPr="00826586">
              <w:rPr>
                <w:rFonts w:ascii="Times New Roman" w:hAnsi="Times New Roman"/>
                <w:sz w:val="24"/>
              </w:rPr>
              <w:t>575/2013.</w:t>
            </w:r>
          </w:p>
          <w:p w14:paraId="11C26276" w14:textId="17F913DD"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V súlade</w:t>
            </w:r>
            <w:r w:rsidR="00826586">
              <w:rPr>
                <w:rFonts w:ascii="Times New Roman" w:hAnsi="Times New Roman"/>
                <w:sz w:val="24"/>
              </w:rPr>
              <w:t xml:space="preserve"> s </w:t>
            </w:r>
            <w:r w:rsidRPr="00826586">
              <w:rPr>
                <w:rFonts w:ascii="Times New Roman" w:hAnsi="Times New Roman"/>
                <w:sz w:val="24"/>
              </w:rPr>
              <w:t xml:space="preserve">článkom 273 ods. 6 nariadenia (EÚ) </w:t>
            </w:r>
            <w:r w:rsidR="00826586">
              <w:rPr>
                <w:rFonts w:ascii="Times New Roman" w:hAnsi="Times New Roman"/>
                <w:sz w:val="24"/>
              </w:rPr>
              <w:t>č. </w:t>
            </w:r>
            <w:r w:rsidRPr="00826586">
              <w:rPr>
                <w:rFonts w:ascii="Times New Roman" w:hAnsi="Times New Roman"/>
                <w:sz w:val="24"/>
              </w:rPr>
              <w:t>575/2013 sa vzniknutá strata</w:t>
            </w:r>
            <w:r w:rsidR="00826586">
              <w:rPr>
                <w:rFonts w:ascii="Times New Roman" w:hAnsi="Times New Roman"/>
                <w:sz w:val="24"/>
              </w:rPr>
              <w:t xml:space="preserve"> z </w:t>
            </w:r>
            <w:r w:rsidRPr="00826586">
              <w:rPr>
                <w:rFonts w:ascii="Times New Roman" w:hAnsi="Times New Roman"/>
                <w:sz w:val="24"/>
              </w:rPr>
              <w:t>úpravy ocenenia pohľadávok neodpočítava od hodnoty expozície po zmierňovaní kreditného rizika.</w:t>
            </w:r>
          </w:p>
          <w:p w14:paraId="69480D33" w14:textId="31D01249" w:rsidR="00F43911" w:rsidRPr="00826586" w:rsidRDefault="00F43911" w:rsidP="004F3087">
            <w:pPr>
              <w:spacing w:after="240"/>
              <w:rPr>
                <w:rFonts w:ascii="Times New Roman" w:hAnsi="Times New Roman" w:cs="Times New Roman"/>
                <w:sz w:val="24"/>
              </w:rPr>
            </w:pPr>
            <w:r w:rsidRPr="00826586">
              <w:rPr>
                <w:rFonts w:ascii="Times New Roman" w:hAnsi="Times New Roman"/>
                <w:sz w:val="24"/>
              </w:rPr>
              <w:t>Inštitúcia zverejňuje</w:t>
            </w:r>
            <w:r w:rsidR="00826586">
              <w:rPr>
                <w:rFonts w:ascii="Times New Roman" w:hAnsi="Times New Roman"/>
                <w:sz w:val="24"/>
              </w:rPr>
              <w:t xml:space="preserve"> v </w:t>
            </w:r>
            <w:r w:rsidRPr="00826586">
              <w:rPr>
                <w:rFonts w:ascii="Times New Roman" w:hAnsi="Times New Roman"/>
                <w:sz w:val="24"/>
              </w:rPr>
              <w:t>príslušnom riadku súčet všetkých hodnôt expozície po zmierňovaní kreditného rizika.</w:t>
            </w:r>
          </w:p>
        </w:tc>
      </w:tr>
      <w:tr w:rsidR="00F43911" w:rsidRPr="00826586"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826586" w:rsidRDefault="00F43911" w:rsidP="004F3087">
            <w:pPr>
              <w:pStyle w:val="Applicationdirecte"/>
              <w:spacing w:before="0" w:after="240"/>
              <w:jc w:val="center"/>
            </w:pPr>
            <w:r w:rsidRPr="00826586">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826586" w:rsidRDefault="00F43911" w:rsidP="004F3087">
            <w:pPr>
              <w:pStyle w:val="TableMainHeading"/>
              <w:spacing w:before="0" w:after="240"/>
              <w:rPr>
                <w:rFonts w:ascii="Times New Roman" w:hAnsi="Times New Roman"/>
                <w:b/>
                <w:sz w:val="24"/>
                <w:szCs w:val="24"/>
              </w:rPr>
            </w:pPr>
            <w:r w:rsidRPr="00826586">
              <w:rPr>
                <w:rFonts w:ascii="Times New Roman" w:hAnsi="Times New Roman"/>
                <w:b/>
                <w:sz w:val="24"/>
              </w:rPr>
              <w:t>Hodnota expozície</w:t>
            </w:r>
          </w:p>
          <w:p w14:paraId="48F8B1EB" w14:textId="495D58B4" w:rsidR="00F43911" w:rsidRPr="00826586" w:rsidRDefault="00F43911" w:rsidP="004F3087">
            <w:pPr>
              <w:pStyle w:val="TableMainHeading"/>
              <w:spacing w:before="0" w:after="240"/>
              <w:jc w:val="both"/>
              <w:rPr>
                <w:rFonts w:ascii="Times New Roman" w:hAnsi="Times New Roman"/>
                <w:sz w:val="24"/>
                <w:szCs w:val="24"/>
              </w:rPr>
            </w:pPr>
            <w:r w:rsidRPr="00826586">
              <w:rPr>
                <w:rFonts w:ascii="Times New Roman" w:hAnsi="Times New Roman"/>
                <w:sz w:val="24"/>
              </w:rPr>
              <w:t>Hodnota expozície pri obchodných činnostiach, na ktoré sa vzťahuje CCR, vypočítaná</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metódami stanovenými</w:t>
            </w:r>
            <w:r w:rsidR="00826586">
              <w:rPr>
                <w:rFonts w:ascii="Times New Roman" w:hAnsi="Times New Roman"/>
                <w:sz w:val="24"/>
              </w:rPr>
              <w:t xml:space="preserve"> v </w:t>
            </w:r>
            <w:r w:rsidRPr="00826586">
              <w:rPr>
                <w:rFonts w:ascii="Times New Roman" w:hAnsi="Times New Roman"/>
                <w:sz w:val="24"/>
              </w:rPr>
              <w:t>tretej časti hlave II kapitolách 4</w:t>
            </w:r>
            <w:r w:rsidR="00826586">
              <w:rPr>
                <w:rFonts w:ascii="Times New Roman" w:hAnsi="Times New Roman"/>
                <w:sz w:val="24"/>
              </w:rPr>
              <w:t xml:space="preserve"> a </w:t>
            </w:r>
            <w:r w:rsidRPr="00826586">
              <w:rPr>
                <w:rFonts w:ascii="Times New Roman" w:hAnsi="Times New Roman"/>
                <w:sz w:val="24"/>
              </w:rPr>
              <w:t xml:space="preserve">6 nariadenia (EÚ) </w:t>
            </w:r>
            <w:r w:rsidR="00826586">
              <w:rPr>
                <w:rFonts w:ascii="Times New Roman" w:hAnsi="Times New Roman"/>
                <w:sz w:val="24"/>
              </w:rPr>
              <w:t>č. </w:t>
            </w:r>
            <w:r w:rsidRPr="00826586">
              <w:rPr>
                <w:rFonts w:ascii="Times New Roman" w:hAnsi="Times New Roman"/>
                <w:sz w:val="24"/>
              </w:rPr>
              <w:t>575/2013, ktorá je relevantnou hodnotou na výpočet požiadavky na vlastné zdroje, t. j. po uplatnení príslušných postupov zmierňovania kreditného rizika</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treťou časťou hlavou II kapitolami 4</w:t>
            </w:r>
            <w:r w:rsidR="00826586">
              <w:rPr>
                <w:rFonts w:ascii="Times New Roman" w:hAnsi="Times New Roman"/>
                <w:sz w:val="24"/>
              </w:rPr>
              <w:t xml:space="preserve"> a </w:t>
            </w:r>
            <w:r w:rsidRPr="00826586">
              <w:rPr>
                <w:rFonts w:ascii="Times New Roman" w:hAnsi="Times New Roman"/>
                <w:sz w:val="24"/>
              </w:rPr>
              <w:t xml:space="preserve">6 nariadenia (EÚ) </w:t>
            </w:r>
            <w:r w:rsidR="00826586">
              <w:rPr>
                <w:rFonts w:ascii="Times New Roman" w:hAnsi="Times New Roman"/>
                <w:sz w:val="24"/>
              </w:rPr>
              <w:t>č. </w:t>
            </w:r>
            <w:r w:rsidRPr="00826586">
              <w:rPr>
                <w:rFonts w:ascii="Times New Roman" w:hAnsi="Times New Roman"/>
                <w:sz w:val="24"/>
              </w:rPr>
              <w:t>575/2013</w:t>
            </w:r>
            <w:r w:rsidR="00826586">
              <w:rPr>
                <w:rFonts w:ascii="Times New Roman" w:hAnsi="Times New Roman"/>
                <w:sz w:val="24"/>
              </w:rPr>
              <w:t xml:space="preserve"> a </w:t>
            </w:r>
            <w:r w:rsidRPr="00826586">
              <w:rPr>
                <w:rFonts w:ascii="Times New Roman" w:hAnsi="Times New Roman"/>
                <w:sz w:val="24"/>
              </w:rPr>
              <w:t>po zohľadnení odpočtu vzniknutej straty</w:t>
            </w:r>
            <w:r w:rsidR="00826586">
              <w:rPr>
                <w:rFonts w:ascii="Times New Roman" w:hAnsi="Times New Roman"/>
                <w:sz w:val="24"/>
              </w:rPr>
              <w:t xml:space="preserve"> z </w:t>
            </w:r>
            <w:r w:rsidRPr="00826586">
              <w:rPr>
                <w:rFonts w:ascii="Times New Roman" w:hAnsi="Times New Roman"/>
                <w:sz w:val="24"/>
              </w:rPr>
              <w:t>úpravy ocenenia pohľadávok</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273 ods. 6 nariadenia (EÚ) </w:t>
            </w:r>
            <w:r w:rsidR="00826586">
              <w:rPr>
                <w:rFonts w:ascii="Times New Roman" w:hAnsi="Times New Roman"/>
                <w:sz w:val="24"/>
              </w:rPr>
              <w:t>č. </w:t>
            </w:r>
            <w:r w:rsidRPr="00826586">
              <w:rPr>
                <w:rFonts w:ascii="Times New Roman" w:hAnsi="Times New Roman"/>
                <w:sz w:val="24"/>
              </w:rPr>
              <w:t>575/2013.</w:t>
            </w:r>
          </w:p>
          <w:p w14:paraId="07CE657B" w14:textId="0E2447FB"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V prípade transakcií, pri ktorých sa zistilo špecifické riziko nesprávnej voľby, sa hodnota expozície určuje</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291 nariadenia (EÚ) </w:t>
            </w:r>
            <w:r w:rsidR="00826586">
              <w:rPr>
                <w:rFonts w:ascii="Times New Roman" w:hAnsi="Times New Roman"/>
                <w:sz w:val="24"/>
              </w:rPr>
              <w:t>č. </w:t>
            </w:r>
            <w:r w:rsidRPr="00826586">
              <w:rPr>
                <w:rFonts w:ascii="Times New Roman" w:hAnsi="Times New Roman"/>
                <w:sz w:val="24"/>
              </w:rPr>
              <w:t>575/2013.</w:t>
            </w:r>
          </w:p>
          <w:p w14:paraId="1417E2BF" w14:textId="55A8BF2C"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V prípadoch, keď sa pre jednu protistranu používa viac ako jeden prístup pre CCR, vzniknutá strata</w:t>
            </w:r>
            <w:r w:rsidR="00826586">
              <w:rPr>
                <w:rFonts w:ascii="Times New Roman" w:hAnsi="Times New Roman"/>
                <w:sz w:val="24"/>
              </w:rPr>
              <w:t xml:space="preserve"> z </w:t>
            </w:r>
            <w:r w:rsidRPr="00826586">
              <w:rPr>
                <w:rFonts w:ascii="Times New Roman" w:hAnsi="Times New Roman"/>
                <w:sz w:val="24"/>
              </w:rPr>
              <w:t>úpravy ocenenia pohľadávok, ktorá sa odpočítava na úrovni protistrany, sa</w:t>
            </w:r>
            <w:r w:rsidR="00826586">
              <w:rPr>
                <w:rFonts w:ascii="Times New Roman" w:hAnsi="Times New Roman"/>
                <w:sz w:val="24"/>
              </w:rPr>
              <w:t xml:space="preserve"> v </w:t>
            </w:r>
            <w:r w:rsidRPr="00826586">
              <w:rPr>
                <w:rFonts w:ascii="Times New Roman" w:hAnsi="Times New Roman"/>
                <w:sz w:val="24"/>
              </w:rPr>
              <w:t>rámci každého prístupu pre CCR priraďuje</w:t>
            </w:r>
            <w:r w:rsidR="00826586">
              <w:rPr>
                <w:rFonts w:ascii="Times New Roman" w:hAnsi="Times New Roman"/>
                <w:sz w:val="24"/>
              </w:rPr>
              <w:t xml:space="preserve"> k </w:t>
            </w:r>
            <w:r w:rsidRPr="00826586">
              <w:rPr>
                <w:rFonts w:ascii="Times New Roman" w:hAnsi="Times New Roman"/>
                <w:sz w:val="24"/>
              </w:rPr>
              <w:t>hodnote expozície rôznych súborov vzájomného započítavania, ktoré odrážajú pomer hodnoty expozície po zmierňovaní kreditného rizika príslušných súborov vzájomného započítavania</w:t>
            </w:r>
            <w:r w:rsidR="00826586">
              <w:rPr>
                <w:rFonts w:ascii="Times New Roman" w:hAnsi="Times New Roman"/>
                <w:sz w:val="24"/>
              </w:rPr>
              <w:t xml:space="preserve"> k </w:t>
            </w:r>
            <w:r w:rsidRPr="00826586">
              <w:rPr>
                <w:rFonts w:ascii="Times New Roman" w:hAnsi="Times New Roman"/>
                <w:sz w:val="24"/>
              </w:rPr>
              <w:t>celkovej hodnote expozície po zmierňovaní kreditného rizika protistrany.</w:t>
            </w:r>
          </w:p>
          <w:p w14:paraId="736282AA" w14:textId="546E0870" w:rsidR="00F43911" w:rsidRPr="00826586" w:rsidRDefault="00F43911" w:rsidP="004F3087">
            <w:pPr>
              <w:spacing w:after="240"/>
              <w:rPr>
                <w:rFonts w:ascii="Times New Roman" w:hAnsi="Times New Roman" w:cs="Times New Roman"/>
                <w:sz w:val="24"/>
              </w:rPr>
            </w:pPr>
            <w:r w:rsidRPr="00826586">
              <w:rPr>
                <w:rFonts w:ascii="Times New Roman" w:hAnsi="Times New Roman"/>
                <w:sz w:val="24"/>
              </w:rPr>
              <w:t>Inštitúcia zverejňuje</w:t>
            </w:r>
            <w:r w:rsidR="00826586">
              <w:rPr>
                <w:rFonts w:ascii="Times New Roman" w:hAnsi="Times New Roman"/>
                <w:sz w:val="24"/>
              </w:rPr>
              <w:t xml:space="preserve"> v </w:t>
            </w:r>
            <w:r w:rsidRPr="00826586">
              <w:rPr>
                <w:rFonts w:ascii="Times New Roman" w:hAnsi="Times New Roman"/>
                <w:sz w:val="24"/>
              </w:rPr>
              <w:t>príslušnom riadku súčet všetkých hodnôt expozície po zmierňovaní kreditného rizika.</w:t>
            </w:r>
          </w:p>
        </w:tc>
      </w:tr>
      <w:tr w:rsidR="00F43911" w:rsidRPr="00826586"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826586" w:rsidRDefault="00F43911" w:rsidP="004F3087">
            <w:pPr>
              <w:pStyle w:val="Applicationdirecte"/>
              <w:spacing w:before="0" w:after="240"/>
              <w:jc w:val="center"/>
            </w:pPr>
            <w:r w:rsidRPr="00826586">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826586" w:rsidRDefault="00F43911" w:rsidP="004F3087">
            <w:pPr>
              <w:pStyle w:val="TableMainHeading"/>
              <w:spacing w:before="0" w:after="240"/>
              <w:rPr>
                <w:rFonts w:ascii="Times New Roman" w:hAnsi="Times New Roman"/>
                <w:b/>
                <w:sz w:val="24"/>
                <w:szCs w:val="24"/>
              </w:rPr>
            </w:pPr>
            <w:r w:rsidRPr="00826586">
              <w:rPr>
                <w:rFonts w:ascii="Times New Roman" w:hAnsi="Times New Roman"/>
                <w:b/>
                <w:sz w:val="24"/>
              </w:rPr>
              <w:t>RWEA</w:t>
            </w:r>
          </w:p>
          <w:p w14:paraId="26B75465" w14:textId="4E7164F6" w:rsidR="00F43911" w:rsidRPr="00826586" w:rsidRDefault="00F43911" w:rsidP="004F3087">
            <w:pPr>
              <w:pStyle w:val="TableMainHeading"/>
              <w:spacing w:before="0" w:after="240"/>
              <w:jc w:val="both"/>
              <w:rPr>
                <w:rFonts w:ascii="Times New Roman" w:hAnsi="Times New Roman"/>
                <w:sz w:val="24"/>
                <w:szCs w:val="24"/>
              </w:rPr>
            </w:pPr>
            <w:r w:rsidRPr="00826586">
              <w:rPr>
                <w:rFonts w:ascii="Times New Roman" w:hAnsi="Times New Roman"/>
                <w:sz w:val="24"/>
              </w:rPr>
              <w:t>Hodnoty rizikovo vážených expozícií</w:t>
            </w:r>
            <w:r w:rsidR="00826586">
              <w:rPr>
                <w:rFonts w:ascii="Times New Roman" w:hAnsi="Times New Roman"/>
                <w:sz w:val="24"/>
              </w:rPr>
              <w:t xml:space="preserve"> v </w:t>
            </w:r>
            <w:r w:rsidRPr="00826586">
              <w:rPr>
                <w:rFonts w:ascii="Times New Roman" w:hAnsi="Times New Roman"/>
                <w:sz w:val="24"/>
              </w:rPr>
              <w:t>zmysle vymedzenia</w:t>
            </w:r>
            <w:r w:rsidR="00826586">
              <w:rPr>
                <w:rFonts w:ascii="Times New Roman" w:hAnsi="Times New Roman"/>
                <w:sz w:val="24"/>
              </w:rPr>
              <w:t xml:space="preserve"> v </w:t>
            </w:r>
            <w:r w:rsidRPr="00826586">
              <w:rPr>
                <w:rFonts w:ascii="Times New Roman" w:hAnsi="Times New Roman"/>
                <w:sz w:val="24"/>
              </w:rPr>
              <w:t>článku 92 ods. 3</w:t>
            </w:r>
            <w:r w:rsidR="00826586">
              <w:rPr>
                <w:rFonts w:ascii="Times New Roman" w:hAnsi="Times New Roman"/>
                <w:sz w:val="24"/>
              </w:rPr>
              <w:t xml:space="preserve"> a </w:t>
            </w:r>
            <w:r w:rsidRPr="00826586">
              <w:rPr>
                <w:rFonts w:ascii="Times New Roman" w:hAnsi="Times New Roman"/>
                <w:sz w:val="24"/>
              </w:rPr>
              <w:t xml:space="preserve">4 nariadenia (EÚ) </w:t>
            </w:r>
            <w:r w:rsidR="00826586">
              <w:rPr>
                <w:rFonts w:ascii="Times New Roman" w:hAnsi="Times New Roman"/>
                <w:sz w:val="24"/>
              </w:rPr>
              <w:t>č. </w:t>
            </w:r>
            <w:r w:rsidRPr="00826586">
              <w:rPr>
                <w:rFonts w:ascii="Times New Roman" w:hAnsi="Times New Roman"/>
                <w:sz w:val="24"/>
              </w:rPr>
              <w:t>575/2013 vypočítané</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107 nariadenia (EÚ) </w:t>
            </w:r>
            <w:r w:rsidR="00826586">
              <w:rPr>
                <w:rFonts w:ascii="Times New Roman" w:hAnsi="Times New Roman"/>
                <w:sz w:val="24"/>
              </w:rPr>
              <w:t>č. </w:t>
            </w:r>
            <w:r w:rsidRPr="00826586">
              <w:rPr>
                <w:rFonts w:ascii="Times New Roman" w:hAnsi="Times New Roman"/>
                <w:sz w:val="24"/>
              </w:rPr>
              <w:t xml:space="preserve">575/2013 pre prvky, ktorých rizikové váhy sa odhadujú na </w:t>
            </w:r>
            <w:r w:rsidRPr="00826586">
              <w:rPr>
                <w:rFonts w:ascii="Times New Roman" w:hAnsi="Times New Roman"/>
                <w:sz w:val="24"/>
              </w:rPr>
              <w:lastRenderedPageBreak/>
              <w:t>základe požiadaviek uvedených</w:t>
            </w:r>
            <w:r w:rsidR="00826586">
              <w:rPr>
                <w:rFonts w:ascii="Times New Roman" w:hAnsi="Times New Roman"/>
                <w:sz w:val="24"/>
              </w:rPr>
              <w:t xml:space="preserve"> v </w:t>
            </w:r>
            <w:r w:rsidRPr="00826586">
              <w:rPr>
                <w:rFonts w:ascii="Times New Roman" w:hAnsi="Times New Roman"/>
                <w:sz w:val="24"/>
              </w:rPr>
              <w:t>tretej časti hlave II kapitolách 2</w:t>
            </w:r>
            <w:r w:rsidR="00826586">
              <w:rPr>
                <w:rFonts w:ascii="Times New Roman" w:hAnsi="Times New Roman"/>
                <w:sz w:val="24"/>
              </w:rPr>
              <w:t xml:space="preserve"> a </w:t>
            </w:r>
            <w:r w:rsidRPr="00826586">
              <w:rPr>
                <w:rFonts w:ascii="Times New Roman" w:hAnsi="Times New Roman"/>
                <w:sz w:val="24"/>
              </w:rPr>
              <w:t xml:space="preserve">3 nariadenia (EÚ) </w:t>
            </w:r>
            <w:r w:rsidR="00826586">
              <w:rPr>
                <w:rFonts w:ascii="Times New Roman" w:hAnsi="Times New Roman"/>
                <w:sz w:val="24"/>
              </w:rPr>
              <w:t>č. </w:t>
            </w:r>
            <w:r w:rsidRPr="00826586">
              <w:rPr>
                <w:rFonts w:ascii="Times New Roman" w:hAnsi="Times New Roman"/>
                <w:sz w:val="24"/>
              </w:rPr>
              <w:t>575/2013</w:t>
            </w:r>
            <w:r w:rsidR="00826586">
              <w:rPr>
                <w:rFonts w:ascii="Times New Roman" w:hAnsi="Times New Roman"/>
                <w:sz w:val="24"/>
              </w:rPr>
              <w:t xml:space="preserve"> a </w:t>
            </w:r>
            <w:r w:rsidRPr="00826586">
              <w:rPr>
                <w:rFonts w:ascii="Times New Roman" w:hAnsi="Times New Roman"/>
                <w:sz w:val="24"/>
              </w:rPr>
              <w:t>pri ktorých sa hodnota expozície pre obchodné činnosti, na ktoré sa vzťahuje CCR, vypočítava</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treťou časťou hlavou II kapitolami 4</w:t>
            </w:r>
            <w:r w:rsidR="00826586">
              <w:rPr>
                <w:rFonts w:ascii="Times New Roman" w:hAnsi="Times New Roman"/>
                <w:sz w:val="24"/>
              </w:rPr>
              <w:t xml:space="preserve"> a </w:t>
            </w:r>
            <w:r w:rsidRPr="00826586">
              <w:rPr>
                <w:rFonts w:ascii="Times New Roman" w:hAnsi="Times New Roman"/>
                <w:sz w:val="24"/>
              </w:rPr>
              <w:t xml:space="preserve">6 nariadenia (EÚ) </w:t>
            </w:r>
            <w:r w:rsidR="00826586">
              <w:rPr>
                <w:rFonts w:ascii="Times New Roman" w:hAnsi="Times New Roman"/>
                <w:sz w:val="24"/>
              </w:rPr>
              <w:t>č. </w:t>
            </w:r>
            <w:r w:rsidRPr="00826586">
              <w:rPr>
                <w:rFonts w:ascii="Times New Roman" w:hAnsi="Times New Roman"/>
                <w:sz w:val="24"/>
              </w:rPr>
              <w:t>575/2013.</w:t>
            </w:r>
          </w:p>
        </w:tc>
      </w:tr>
    </w:tbl>
    <w:p w14:paraId="06E4BA45" w14:textId="77777777" w:rsidR="007D4C3D" w:rsidRPr="00826586" w:rsidRDefault="007D4C3D" w:rsidP="00F43911">
      <w:pPr>
        <w:pStyle w:val="Titlelevel2"/>
        <w:jc w:val="both"/>
        <w:rPr>
          <w:rFonts w:ascii="Times New Roman" w:hAnsi="Times New Roman" w:cs="Times New Roman"/>
          <w:b/>
          <w:color w:val="auto"/>
          <w:sz w:val="24"/>
        </w:rPr>
      </w:pPr>
    </w:p>
    <w:p w14:paraId="518FC88E" w14:textId="622A7508" w:rsidR="00F43911" w:rsidRPr="00826586" w:rsidRDefault="00F43911" w:rsidP="00F43911">
      <w:pPr>
        <w:pStyle w:val="Titlelevel2"/>
        <w:jc w:val="both"/>
        <w:rPr>
          <w:rFonts w:ascii="Times New Roman" w:hAnsi="Times New Roman" w:cs="Times New Roman"/>
          <w:color w:val="auto"/>
          <w:sz w:val="24"/>
        </w:rPr>
      </w:pPr>
      <w:r w:rsidRPr="00826586">
        <w:rPr>
          <w:rFonts w:ascii="Times New Roman" w:hAnsi="Times New Roman"/>
          <w:b/>
          <w:color w:val="auto"/>
          <w:sz w:val="24"/>
        </w:rPr>
        <w:t>Vzor EU CCR3 – Štandardizovaný prístup – expozície voči CCR podľa regulačných tried expozícií</w:t>
      </w:r>
      <w:r w:rsidR="00826586">
        <w:rPr>
          <w:rFonts w:ascii="Times New Roman" w:hAnsi="Times New Roman"/>
          <w:b/>
          <w:color w:val="auto"/>
          <w:sz w:val="24"/>
        </w:rPr>
        <w:t xml:space="preserve"> a </w:t>
      </w:r>
      <w:r w:rsidRPr="00826586">
        <w:rPr>
          <w:rFonts w:ascii="Times New Roman" w:hAnsi="Times New Roman"/>
          <w:b/>
          <w:color w:val="auto"/>
          <w:sz w:val="24"/>
        </w:rPr>
        <w:t xml:space="preserve">rizikových váh: </w:t>
      </w:r>
      <w:r w:rsidRPr="00826586">
        <w:rPr>
          <w:rFonts w:ascii="Times New Roman" w:hAnsi="Times New Roman"/>
          <w:color w:val="auto"/>
          <w:sz w:val="24"/>
        </w:rPr>
        <w:t>Pevný formát</w:t>
      </w:r>
    </w:p>
    <w:p w14:paraId="140DD484" w14:textId="457D7532" w:rsidR="00F43911" w:rsidRPr="00DE2E80"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DE2E80">
        <w:rPr>
          <w:rFonts w:ascii="Times New Roman" w:hAnsi="Times New Roman"/>
          <w:color w:val="auto"/>
          <w:sz w:val="24"/>
        </w:rPr>
        <w:t>Inštitúcie zverejňujú informácie uvedené</w:t>
      </w:r>
      <w:r w:rsidR="00826586" w:rsidRPr="00DE2E80">
        <w:rPr>
          <w:rFonts w:ascii="Times New Roman" w:hAnsi="Times New Roman"/>
          <w:color w:val="auto"/>
          <w:sz w:val="24"/>
        </w:rPr>
        <w:t xml:space="preserve"> v </w:t>
      </w:r>
      <w:r w:rsidRPr="00DE2E80">
        <w:rPr>
          <w:rFonts w:ascii="Times New Roman" w:hAnsi="Times New Roman"/>
          <w:color w:val="auto"/>
          <w:sz w:val="24"/>
        </w:rPr>
        <w:t xml:space="preserve">článku 444 písm. e) nariadenia (EÚ) </w:t>
      </w:r>
      <w:r w:rsidR="00826586" w:rsidRPr="00DE2E80">
        <w:rPr>
          <w:rFonts w:ascii="Times New Roman" w:hAnsi="Times New Roman"/>
          <w:color w:val="auto"/>
          <w:sz w:val="24"/>
        </w:rPr>
        <w:t>č. </w:t>
      </w:r>
      <w:r w:rsidRPr="00DE2E80">
        <w:rPr>
          <w:rFonts w:ascii="Times New Roman" w:hAnsi="Times New Roman"/>
          <w:color w:val="auto"/>
          <w:sz w:val="24"/>
        </w:rPr>
        <w:t>575/2013 podľa pokynov uvedených nižšie</w:t>
      </w:r>
      <w:r w:rsidR="00826586" w:rsidRPr="00DE2E80">
        <w:rPr>
          <w:rFonts w:ascii="Times New Roman" w:hAnsi="Times New Roman"/>
          <w:color w:val="auto"/>
          <w:sz w:val="24"/>
        </w:rPr>
        <w:t xml:space="preserve"> v </w:t>
      </w:r>
      <w:r w:rsidRPr="00DE2E80">
        <w:rPr>
          <w:rFonts w:ascii="Times New Roman" w:hAnsi="Times New Roman"/>
          <w:color w:val="auto"/>
          <w:sz w:val="24"/>
        </w:rPr>
        <w:t>tejto prílohe</w:t>
      </w:r>
      <w:r w:rsidR="00826586" w:rsidRPr="00DE2E80">
        <w:rPr>
          <w:rFonts w:ascii="Times New Roman" w:hAnsi="Times New Roman"/>
          <w:color w:val="auto"/>
          <w:sz w:val="24"/>
        </w:rPr>
        <w:t xml:space="preserve"> s </w:t>
      </w:r>
      <w:r w:rsidRPr="00DE2E80">
        <w:rPr>
          <w:rFonts w:ascii="Times New Roman" w:hAnsi="Times New Roman"/>
          <w:color w:val="auto"/>
          <w:sz w:val="24"/>
        </w:rPr>
        <w:t>cieľom vyplniť vzor EU CCR3, ktorý je uvedený</w:t>
      </w:r>
      <w:r w:rsidR="00826586" w:rsidRPr="00DE2E80">
        <w:rPr>
          <w:rFonts w:ascii="Times New Roman" w:hAnsi="Times New Roman"/>
          <w:color w:val="auto"/>
          <w:sz w:val="24"/>
        </w:rPr>
        <w:t xml:space="preserve"> v </w:t>
      </w:r>
      <w:r w:rsidRPr="00DE2E80">
        <w:rPr>
          <w:rFonts w:ascii="Times New Roman" w:hAnsi="Times New Roman"/>
          <w:color w:val="auto"/>
          <w:sz w:val="24"/>
        </w:rPr>
        <w:t>prílohe XXV dokumentu</w:t>
      </w:r>
      <w:r w:rsidR="00826586" w:rsidRPr="00DE2E80">
        <w:rPr>
          <w:rFonts w:ascii="Times New Roman" w:hAnsi="Times New Roman"/>
          <w:color w:val="auto"/>
          <w:sz w:val="24"/>
        </w:rPr>
        <w:t xml:space="preserve"> s </w:t>
      </w:r>
      <w:r w:rsidRPr="00DE2E80">
        <w:rPr>
          <w:rFonts w:ascii="Times New Roman" w:hAnsi="Times New Roman"/>
          <w:color w:val="auto"/>
          <w:sz w:val="24"/>
        </w:rPr>
        <w:t>IT riešeniami orgánu EBA.</w:t>
      </w:r>
    </w:p>
    <w:p w14:paraId="14F9EEBE" w14:textId="260DA04A" w:rsidR="00826586" w:rsidRPr="00DE2E80" w:rsidRDefault="00F43911" w:rsidP="00F43911">
      <w:pPr>
        <w:pStyle w:val="Titlelevel2"/>
        <w:numPr>
          <w:ilvl w:val="0"/>
          <w:numId w:val="2"/>
        </w:numPr>
        <w:spacing w:before="0"/>
        <w:jc w:val="both"/>
        <w:rPr>
          <w:rFonts w:ascii="Times New Roman" w:hAnsi="Times New Roman"/>
          <w:color w:val="auto"/>
          <w:sz w:val="24"/>
        </w:rPr>
      </w:pPr>
      <w:r w:rsidRPr="00DE2E80">
        <w:rPr>
          <w:rFonts w:ascii="Times New Roman" w:hAnsi="Times New Roman"/>
          <w:color w:val="auto"/>
          <w:sz w:val="24"/>
        </w:rPr>
        <w:t>Inštitúcie, ktoré</w:t>
      </w:r>
      <w:r w:rsidR="00826586" w:rsidRPr="00DE2E80">
        <w:rPr>
          <w:rFonts w:ascii="Times New Roman" w:hAnsi="Times New Roman"/>
          <w:color w:val="auto"/>
          <w:sz w:val="24"/>
        </w:rPr>
        <w:t xml:space="preserve"> v </w:t>
      </w:r>
      <w:r w:rsidRPr="00DE2E80">
        <w:rPr>
          <w:rFonts w:ascii="Times New Roman" w:hAnsi="Times New Roman"/>
          <w:color w:val="auto"/>
          <w:sz w:val="24"/>
        </w:rPr>
        <w:t>súlade</w:t>
      </w:r>
      <w:r w:rsidR="00826586" w:rsidRPr="00DE2E80">
        <w:rPr>
          <w:rFonts w:ascii="Times New Roman" w:hAnsi="Times New Roman"/>
          <w:color w:val="auto"/>
          <w:sz w:val="24"/>
        </w:rPr>
        <w:t xml:space="preserve"> s </w:t>
      </w:r>
      <w:r w:rsidRPr="00DE2E80">
        <w:rPr>
          <w:rFonts w:ascii="Times New Roman" w:hAnsi="Times New Roman"/>
          <w:color w:val="auto"/>
          <w:sz w:val="24"/>
        </w:rPr>
        <w:t xml:space="preserve">článkom 107 nariadenia (EÚ) </w:t>
      </w:r>
      <w:r w:rsidR="00826586" w:rsidRPr="00DE2E80">
        <w:rPr>
          <w:rFonts w:ascii="Times New Roman" w:hAnsi="Times New Roman"/>
          <w:color w:val="auto"/>
          <w:sz w:val="24"/>
        </w:rPr>
        <w:t>č. </w:t>
      </w:r>
      <w:r w:rsidRPr="00DE2E80">
        <w:rPr>
          <w:rFonts w:ascii="Times New Roman" w:hAnsi="Times New Roman"/>
          <w:color w:val="auto"/>
          <w:sz w:val="24"/>
        </w:rPr>
        <w:t>575/2013 používajú na výpočet hodnôt rizikovo vážených expozícií (okrem tých, ktoré sú odvodené od požiadaviek na vlastné zdroje pre riziko úpravy ocenenia pohľadávok</w:t>
      </w:r>
      <w:r w:rsidR="00826586" w:rsidRPr="00DE2E80">
        <w:rPr>
          <w:rFonts w:ascii="Times New Roman" w:hAnsi="Times New Roman"/>
          <w:color w:val="auto"/>
          <w:sz w:val="24"/>
        </w:rPr>
        <w:t xml:space="preserve"> a </w:t>
      </w:r>
      <w:r w:rsidRPr="00DE2E80">
        <w:rPr>
          <w:rFonts w:ascii="Times New Roman" w:hAnsi="Times New Roman"/>
          <w:color w:val="auto"/>
          <w:sz w:val="24"/>
        </w:rPr>
        <w:t>pre expozície zúčtovávané prostredníctvom centrálnej protistrany) pri všetkých svojich expozíciách voči CCR alebo pri časti</w:t>
      </w:r>
      <w:r w:rsidR="00826586" w:rsidRPr="00DE2E80">
        <w:rPr>
          <w:rFonts w:ascii="Times New Roman" w:hAnsi="Times New Roman"/>
          <w:color w:val="auto"/>
          <w:sz w:val="24"/>
        </w:rPr>
        <w:t xml:space="preserve"> z </w:t>
      </w:r>
      <w:r w:rsidRPr="00DE2E80">
        <w:rPr>
          <w:rFonts w:ascii="Times New Roman" w:hAnsi="Times New Roman"/>
          <w:color w:val="auto"/>
          <w:sz w:val="24"/>
        </w:rPr>
        <w:t>nich štandardizovaný prístup pre kreditné riziko,</w:t>
      </w:r>
      <w:r w:rsidR="00826586" w:rsidRPr="00DE2E80">
        <w:rPr>
          <w:rFonts w:ascii="Times New Roman" w:hAnsi="Times New Roman"/>
          <w:color w:val="auto"/>
          <w:sz w:val="24"/>
        </w:rPr>
        <w:t xml:space="preserve"> a </w:t>
      </w:r>
      <w:r w:rsidRPr="00DE2E80">
        <w:rPr>
          <w:rFonts w:ascii="Times New Roman" w:hAnsi="Times New Roman"/>
          <w:color w:val="auto"/>
          <w:sz w:val="24"/>
        </w:rPr>
        <w:t>to bez ohľadu na prístup pre CCR použitý na určenie hodnôt expozícií</w:t>
      </w:r>
      <w:r w:rsidR="00826586" w:rsidRPr="00DE2E80">
        <w:rPr>
          <w:rFonts w:ascii="Times New Roman" w:hAnsi="Times New Roman"/>
          <w:color w:val="auto"/>
          <w:sz w:val="24"/>
        </w:rPr>
        <w:t xml:space="preserve"> v </w:t>
      </w:r>
      <w:r w:rsidRPr="00DE2E80">
        <w:rPr>
          <w:rFonts w:ascii="Times New Roman" w:hAnsi="Times New Roman"/>
          <w:color w:val="auto"/>
          <w:sz w:val="24"/>
        </w:rPr>
        <w:t>súlade</w:t>
      </w:r>
      <w:r w:rsidR="00826586" w:rsidRPr="00DE2E80">
        <w:rPr>
          <w:rFonts w:ascii="Times New Roman" w:hAnsi="Times New Roman"/>
          <w:color w:val="auto"/>
          <w:sz w:val="24"/>
        </w:rPr>
        <w:t xml:space="preserve"> s </w:t>
      </w:r>
      <w:r w:rsidRPr="00DE2E80">
        <w:rPr>
          <w:rFonts w:ascii="Times New Roman" w:hAnsi="Times New Roman"/>
          <w:color w:val="auto"/>
          <w:sz w:val="24"/>
        </w:rPr>
        <w:t>treťou časťou hlavou II kapitolami 4</w:t>
      </w:r>
      <w:r w:rsidR="00826586" w:rsidRPr="00DE2E80">
        <w:rPr>
          <w:rFonts w:ascii="Times New Roman" w:hAnsi="Times New Roman"/>
          <w:color w:val="auto"/>
          <w:sz w:val="24"/>
        </w:rPr>
        <w:t xml:space="preserve"> a </w:t>
      </w:r>
      <w:r w:rsidRPr="00DE2E80">
        <w:rPr>
          <w:rFonts w:ascii="Times New Roman" w:hAnsi="Times New Roman"/>
          <w:color w:val="auto"/>
          <w:sz w:val="24"/>
        </w:rPr>
        <w:t xml:space="preserve">6 nariadenia (EÚ) </w:t>
      </w:r>
      <w:r w:rsidR="00826586" w:rsidRPr="00DE2E80">
        <w:rPr>
          <w:rFonts w:ascii="Times New Roman" w:hAnsi="Times New Roman"/>
          <w:color w:val="auto"/>
          <w:sz w:val="24"/>
        </w:rPr>
        <w:t>č. </w:t>
      </w:r>
      <w:r w:rsidRPr="00DE2E80">
        <w:rPr>
          <w:rFonts w:ascii="Times New Roman" w:hAnsi="Times New Roman"/>
          <w:color w:val="auto"/>
          <w:sz w:val="24"/>
        </w:rPr>
        <w:t>575/2013, zverejňujú nasledujúce informácie</w:t>
      </w:r>
      <w:r w:rsidR="00826586" w:rsidRPr="00DE2E80">
        <w:rPr>
          <w:rFonts w:ascii="Times New Roman" w:hAnsi="Times New Roman"/>
          <w:color w:val="auto"/>
          <w:sz w:val="24"/>
        </w:rPr>
        <w:t>.</w:t>
      </w:r>
    </w:p>
    <w:p w14:paraId="6C656446" w14:textId="4B340FFA" w:rsidR="00F43911" w:rsidRPr="0082658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26586">
        <w:rPr>
          <w:rFonts w:ascii="Times New Roman" w:hAnsi="Times New Roman"/>
          <w:color w:val="000000"/>
          <w:sz w:val="24"/>
        </w:rPr>
        <w:t>Ak sa inštitúcia domnieva, že informácie požadované</w:t>
      </w:r>
      <w:r w:rsidR="00826586">
        <w:rPr>
          <w:rFonts w:ascii="Times New Roman" w:hAnsi="Times New Roman"/>
          <w:color w:val="000000"/>
          <w:sz w:val="24"/>
        </w:rPr>
        <w:t xml:space="preserve"> v </w:t>
      </w:r>
      <w:r w:rsidRPr="00826586">
        <w:rPr>
          <w:rFonts w:ascii="Times New Roman" w:hAnsi="Times New Roman"/>
          <w:color w:val="000000"/>
          <w:sz w:val="24"/>
        </w:rPr>
        <w:t>tomto vzore nie sú zmysluplné, pretože hodnoty expozície</w:t>
      </w:r>
      <w:r w:rsidR="00826586">
        <w:rPr>
          <w:rFonts w:ascii="Times New Roman" w:hAnsi="Times New Roman"/>
          <w:color w:val="000000"/>
          <w:sz w:val="24"/>
        </w:rPr>
        <w:t xml:space="preserve"> a </w:t>
      </w:r>
      <w:r w:rsidRPr="00826586">
        <w:rPr>
          <w:rFonts w:ascii="Times New Roman" w:hAnsi="Times New Roman"/>
          <w:color w:val="000000"/>
          <w:sz w:val="24"/>
        </w:rPr>
        <w:t>rizikovo váženej expozície nie sú významné, inštitúcia sa môže rozhodnúť vzor nezverejniť. Od inštitúcie sa však vyžaduje, aby</w:t>
      </w:r>
      <w:r w:rsidR="00826586">
        <w:rPr>
          <w:rFonts w:ascii="Times New Roman" w:hAnsi="Times New Roman"/>
          <w:color w:val="000000"/>
          <w:sz w:val="24"/>
        </w:rPr>
        <w:t xml:space="preserve"> v </w:t>
      </w:r>
      <w:r w:rsidRPr="00826586">
        <w:rPr>
          <w:rFonts w:ascii="Times New Roman" w:hAnsi="Times New Roman"/>
          <w:color w:val="000000"/>
          <w:sz w:val="24"/>
        </w:rPr>
        <w:t>slovnom komentári vysvetlila, prečo sa domnieva, že informácie nie sú zmysluplné,</w:t>
      </w:r>
      <w:r w:rsidR="00826586">
        <w:rPr>
          <w:rFonts w:ascii="Times New Roman" w:hAnsi="Times New Roman"/>
          <w:color w:val="000000"/>
          <w:sz w:val="24"/>
        </w:rPr>
        <w:t xml:space="preserve"> a </w:t>
      </w:r>
      <w:r w:rsidRPr="00826586">
        <w:rPr>
          <w:rFonts w:ascii="Times New Roman" w:hAnsi="Times New Roman"/>
          <w:color w:val="000000"/>
          <w:sz w:val="24"/>
        </w:rPr>
        <w:t>to vrátane opisu expozícií</w:t>
      </w:r>
      <w:r w:rsidR="00826586">
        <w:rPr>
          <w:rFonts w:ascii="Times New Roman" w:hAnsi="Times New Roman"/>
          <w:color w:val="000000"/>
          <w:sz w:val="24"/>
        </w:rPr>
        <w:t xml:space="preserve"> v </w:t>
      </w:r>
      <w:r w:rsidRPr="00826586">
        <w:rPr>
          <w:rFonts w:ascii="Times New Roman" w:hAnsi="Times New Roman"/>
          <w:color w:val="000000"/>
          <w:sz w:val="24"/>
        </w:rPr>
        <w:t>príslušných portfóliách</w:t>
      </w:r>
      <w:r w:rsidR="00826586">
        <w:rPr>
          <w:rFonts w:ascii="Times New Roman" w:hAnsi="Times New Roman"/>
          <w:color w:val="000000"/>
          <w:sz w:val="24"/>
        </w:rPr>
        <w:t xml:space="preserve"> a </w:t>
      </w:r>
      <w:r w:rsidRPr="00826586">
        <w:rPr>
          <w:rFonts w:ascii="Times New Roman" w:hAnsi="Times New Roman"/>
          <w:color w:val="000000"/>
          <w:sz w:val="24"/>
        </w:rPr>
        <w:t>súhrnného súčtu hodnôt rizikovo vážených expozícií takýchto expozícií.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26586"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1FC74180" w:rsidR="00F43911" w:rsidRPr="00826586" w:rsidRDefault="00F43911" w:rsidP="004F3087">
            <w:pPr>
              <w:spacing w:after="240"/>
              <w:rPr>
                <w:rFonts w:ascii="Times New Roman" w:hAnsi="Times New Roman" w:cs="Times New Roman"/>
                <w:b/>
                <w:sz w:val="24"/>
              </w:rPr>
            </w:pPr>
            <w:r w:rsidRPr="00826586">
              <w:rPr>
                <w:rFonts w:ascii="Times New Roman" w:hAnsi="Times New Roman"/>
                <w:b/>
                <w:sz w:val="24"/>
              </w:rPr>
              <w:t>Odkazy na právne predpisy</w:t>
            </w:r>
            <w:r w:rsidR="00826586">
              <w:rPr>
                <w:rFonts w:ascii="Times New Roman" w:hAnsi="Times New Roman"/>
                <w:b/>
                <w:sz w:val="24"/>
              </w:rPr>
              <w:t xml:space="preserve"> a </w:t>
            </w:r>
            <w:r w:rsidRPr="00826586">
              <w:rPr>
                <w:rFonts w:ascii="Times New Roman" w:hAnsi="Times New Roman"/>
                <w:b/>
                <w:sz w:val="24"/>
              </w:rPr>
              <w:t>pokyny</w:t>
            </w:r>
          </w:p>
        </w:tc>
      </w:tr>
      <w:tr w:rsidR="00F43911" w:rsidRPr="00826586" w14:paraId="5AB7769D" w14:textId="77777777" w:rsidTr="004F3087">
        <w:trPr>
          <w:trHeight w:val="238"/>
        </w:trPr>
        <w:tc>
          <w:tcPr>
            <w:tcW w:w="1384" w:type="dxa"/>
            <w:shd w:val="clear" w:color="auto" w:fill="D9D9D9" w:themeFill="background1" w:themeFillShade="D9"/>
          </w:tcPr>
          <w:p w14:paraId="6C8972D4" w14:textId="77777777" w:rsidR="00F43911" w:rsidRPr="00826586" w:rsidRDefault="00F43911" w:rsidP="004F3087">
            <w:pPr>
              <w:autoSpaceDE w:val="0"/>
              <w:autoSpaceDN w:val="0"/>
              <w:adjustRightInd w:val="0"/>
              <w:spacing w:after="240"/>
              <w:rPr>
                <w:rFonts w:ascii="Times New Roman" w:hAnsi="Times New Roman" w:cs="Times New Roman"/>
                <w:b/>
                <w:sz w:val="24"/>
              </w:rPr>
            </w:pPr>
            <w:r w:rsidRPr="00826586">
              <w:rPr>
                <w:rFonts w:ascii="Times New Roman" w:hAnsi="Times New Roman"/>
                <w:b/>
                <w:sz w:val="24"/>
              </w:rPr>
              <w:t>Číslo riadku</w:t>
            </w:r>
          </w:p>
        </w:tc>
        <w:tc>
          <w:tcPr>
            <w:tcW w:w="7655" w:type="dxa"/>
            <w:shd w:val="clear" w:color="auto" w:fill="D9D9D9" w:themeFill="background1" w:themeFillShade="D9"/>
          </w:tcPr>
          <w:p w14:paraId="700714D7" w14:textId="77777777" w:rsidR="00F43911" w:rsidRPr="00826586" w:rsidRDefault="00F43911" w:rsidP="004F3087">
            <w:pPr>
              <w:autoSpaceDE w:val="0"/>
              <w:autoSpaceDN w:val="0"/>
              <w:adjustRightInd w:val="0"/>
              <w:spacing w:after="240"/>
              <w:rPr>
                <w:rFonts w:ascii="Times New Roman" w:hAnsi="Times New Roman" w:cs="Times New Roman"/>
                <w:color w:val="000000"/>
                <w:sz w:val="24"/>
              </w:rPr>
            </w:pPr>
            <w:r w:rsidRPr="00826586">
              <w:rPr>
                <w:rFonts w:ascii="Times New Roman" w:hAnsi="Times New Roman"/>
                <w:b/>
                <w:sz w:val="24"/>
              </w:rPr>
              <w:t>Vysvetlenie</w:t>
            </w:r>
          </w:p>
        </w:tc>
      </w:tr>
      <w:tr w:rsidR="00F43911" w:rsidRPr="00826586" w14:paraId="2810F45B" w14:textId="77777777" w:rsidTr="004F3087">
        <w:trPr>
          <w:trHeight w:val="680"/>
        </w:trPr>
        <w:tc>
          <w:tcPr>
            <w:tcW w:w="1384" w:type="dxa"/>
          </w:tcPr>
          <w:p w14:paraId="4B4E3E46" w14:textId="77777777" w:rsidR="00F43911" w:rsidRPr="00826586" w:rsidRDefault="00F43911" w:rsidP="004F3087">
            <w:pPr>
              <w:pStyle w:val="Applicationdirecte"/>
              <w:spacing w:before="0" w:after="240"/>
              <w:jc w:val="center"/>
            </w:pPr>
            <w:r w:rsidRPr="00826586">
              <w:t>1 – 9</w:t>
            </w:r>
          </w:p>
        </w:tc>
        <w:tc>
          <w:tcPr>
            <w:tcW w:w="7655" w:type="dxa"/>
            <w:vAlign w:val="center"/>
          </w:tcPr>
          <w:p w14:paraId="13B7EA16" w14:textId="77777777" w:rsidR="00F43911" w:rsidRPr="00826586" w:rsidRDefault="00F43911" w:rsidP="004F3087">
            <w:pPr>
              <w:spacing w:after="240"/>
              <w:jc w:val="both"/>
              <w:rPr>
                <w:rFonts w:ascii="Times New Roman" w:eastAsia="Times New Roman" w:hAnsi="Times New Roman" w:cs="Times New Roman"/>
                <w:b/>
                <w:sz w:val="24"/>
              </w:rPr>
            </w:pPr>
            <w:r w:rsidRPr="00826586">
              <w:rPr>
                <w:rFonts w:ascii="Times New Roman" w:hAnsi="Times New Roman"/>
                <w:b/>
                <w:sz w:val="24"/>
              </w:rPr>
              <w:t>Triedy expozícií</w:t>
            </w:r>
          </w:p>
          <w:p w14:paraId="119BFBA0" w14:textId="504A7B02"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Tieto riadky sa vzťahujú na regulačné triedy expozícií vymedzené</w:t>
            </w:r>
            <w:r w:rsidR="00826586">
              <w:rPr>
                <w:rFonts w:ascii="Times New Roman" w:hAnsi="Times New Roman"/>
                <w:sz w:val="24"/>
              </w:rPr>
              <w:t xml:space="preserve"> v </w:t>
            </w:r>
            <w:r w:rsidRPr="00826586">
              <w:rPr>
                <w:rFonts w:ascii="Times New Roman" w:hAnsi="Times New Roman"/>
                <w:sz w:val="24"/>
              </w:rPr>
              <w:t xml:space="preserve">tretej časti hlave II kapitole 4 článkoch 112 až 134 nariadenia (EÚ) </w:t>
            </w:r>
            <w:r w:rsidR="00826586">
              <w:rPr>
                <w:rFonts w:ascii="Times New Roman" w:hAnsi="Times New Roman"/>
                <w:sz w:val="24"/>
              </w:rPr>
              <w:t>č. </w:t>
            </w:r>
            <w:r w:rsidRPr="00826586">
              <w:rPr>
                <w:rFonts w:ascii="Times New Roman" w:hAnsi="Times New Roman"/>
                <w:sz w:val="24"/>
              </w:rPr>
              <w:t>575/2013.</w:t>
            </w:r>
            <w:r w:rsidR="00826586">
              <w:rPr>
                <w:rFonts w:ascii="Times New Roman" w:hAnsi="Times New Roman"/>
                <w:sz w:val="24"/>
              </w:rPr>
              <w:t xml:space="preserve"> V </w:t>
            </w:r>
            <w:r w:rsidRPr="00826586">
              <w:rPr>
                <w:rFonts w:ascii="Times New Roman" w:hAnsi="Times New Roman"/>
                <w:sz w:val="24"/>
              </w:rPr>
              <w:t>každom riadku sa zverejňujú zodpovedajúce hodnoty expozície (pozri definíciu uvedenú</w:t>
            </w:r>
            <w:r w:rsidR="00826586">
              <w:rPr>
                <w:rFonts w:ascii="Times New Roman" w:hAnsi="Times New Roman"/>
                <w:sz w:val="24"/>
              </w:rPr>
              <w:t xml:space="preserve"> v </w:t>
            </w:r>
            <w:r w:rsidRPr="00826586">
              <w:rPr>
                <w:rFonts w:ascii="Times New Roman" w:hAnsi="Times New Roman"/>
                <w:sz w:val="24"/>
              </w:rPr>
              <w:t xml:space="preserve">stĺpci g vzoru EU CCR1). </w:t>
            </w:r>
          </w:p>
        </w:tc>
      </w:tr>
      <w:tr w:rsidR="00F43911" w:rsidRPr="00826586" w14:paraId="24450E66" w14:textId="77777777" w:rsidTr="004F3087">
        <w:trPr>
          <w:trHeight w:val="680"/>
        </w:trPr>
        <w:tc>
          <w:tcPr>
            <w:tcW w:w="1384" w:type="dxa"/>
          </w:tcPr>
          <w:p w14:paraId="2D7B089F" w14:textId="77777777" w:rsidR="00F43911" w:rsidRPr="00826586" w:rsidRDefault="00F43911" w:rsidP="004F3087">
            <w:pPr>
              <w:pStyle w:val="Applicationdirecte"/>
              <w:spacing w:before="0" w:after="240"/>
              <w:jc w:val="center"/>
            </w:pPr>
            <w:r w:rsidRPr="00826586">
              <w:t>10</w:t>
            </w:r>
          </w:p>
        </w:tc>
        <w:tc>
          <w:tcPr>
            <w:tcW w:w="7655" w:type="dxa"/>
            <w:vAlign w:val="center"/>
          </w:tcPr>
          <w:p w14:paraId="64069320" w14:textId="77777777" w:rsidR="00F43911" w:rsidRPr="00826586" w:rsidRDefault="00F43911" w:rsidP="004F3087">
            <w:pPr>
              <w:spacing w:after="240"/>
              <w:jc w:val="both"/>
              <w:rPr>
                <w:rFonts w:ascii="Times New Roman" w:eastAsia="Times New Roman" w:hAnsi="Times New Roman" w:cs="Times New Roman"/>
                <w:b/>
                <w:sz w:val="24"/>
              </w:rPr>
            </w:pPr>
            <w:r w:rsidRPr="00826586">
              <w:rPr>
                <w:rFonts w:ascii="Times New Roman" w:hAnsi="Times New Roman"/>
                <w:b/>
                <w:sz w:val="24"/>
              </w:rPr>
              <w:t>Ostatné položky</w:t>
            </w:r>
          </w:p>
          <w:p w14:paraId="6B472AE2" w14:textId="4F07131F"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Ide</w:t>
            </w:r>
            <w:r w:rsidR="00826586">
              <w:rPr>
                <w:rFonts w:ascii="Times New Roman" w:hAnsi="Times New Roman"/>
                <w:sz w:val="24"/>
              </w:rPr>
              <w:t xml:space="preserve"> o </w:t>
            </w:r>
            <w:r w:rsidRPr="00826586">
              <w:rPr>
                <w:rFonts w:ascii="Times New Roman" w:hAnsi="Times New Roman"/>
                <w:sz w:val="24"/>
              </w:rPr>
              <w:t>aktíva, na ktoré sa vzťahuje špecifická riziková váha stanovená</w:t>
            </w:r>
            <w:r w:rsidR="00826586">
              <w:rPr>
                <w:rFonts w:ascii="Times New Roman" w:hAnsi="Times New Roman"/>
                <w:sz w:val="24"/>
              </w:rPr>
              <w:t xml:space="preserve"> v </w:t>
            </w:r>
            <w:r w:rsidRPr="00826586">
              <w:rPr>
                <w:rFonts w:ascii="Times New Roman" w:hAnsi="Times New Roman"/>
                <w:sz w:val="24"/>
              </w:rPr>
              <w:t xml:space="preserve">tretej časti hlave II kapitole 4 článku 134 nariadenia (EÚ) </w:t>
            </w:r>
            <w:r w:rsidR="00826586">
              <w:rPr>
                <w:rFonts w:ascii="Times New Roman" w:hAnsi="Times New Roman"/>
                <w:sz w:val="24"/>
              </w:rPr>
              <w:t>č. </w:t>
            </w:r>
            <w:r w:rsidRPr="00826586">
              <w:rPr>
                <w:rFonts w:ascii="Times New Roman" w:hAnsi="Times New Roman"/>
                <w:sz w:val="24"/>
              </w:rPr>
              <w:t>575/2013,</w:t>
            </w:r>
            <w:r w:rsidR="00826586">
              <w:rPr>
                <w:rFonts w:ascii="Times New Roman" w:hAnsi="Times New Roman"/>
                <w:sz w:val="24"/>
              </w:rPr>
              <w:t xml:space="preserve"> a </w:t>
            </w:r>
            <w:r w:rsidRPr="00826586">
              <w:rPr>
                <w:rFonts w:ascii="Times New Roman" w:hAnsi="Times New Roman"/>
                <w:sz w:val="24"/>
              </w:rPr>
              <w:t xml:space="preserve">všetky ostatné položky, na ktoré sa nevzťahujú riadky 1 až 9 tohto vzoru. Odkazuje aj na aktíva neodpočítané pri uplatňovaní článku 39 nariadenia (EÚ) </w:t>
            </w:r>
            <w:r w:rsidR="00826586">
              <w:rPr>
                <w:rFonts w:ascii="Times New Roman" w:hAnsi="Times New Roman"/>
                <w:sz w:val="24"/>
              </w:rPr>
              <w:t>č. </w:t>
            </w:r>
            <w:r w:rsidRPr="00826586">
              <w:rPr>
                <w:rFonts w:ascii="Times New Roman" w:hAnsi="Times New Roman"/>
                <w:sz w:val="24"/>
              </w:rPr>
              <w:t>575/2013 (daňové preplatky, prenos daňových strát do predchádzajúcich rokov</w:t>
            </w:r>
            <w:r w:rsidR="00826586">
              <w:rPr>
                <w:rFonts w:ascii="Times New Roman" w:hAnsi="Times New Roman"/>
                <w:sz w:val="24"/>
              </w:rPr>
              <w:t xml:space="preserve"> a </w:t>
            </w:r>
            <w:r w:rsidRPr="00826586">
              <w:rPr>
                <w:rFonts w:ascii="Times New Roman" w:hAnsi="Times New Roman"/>
                <w:sz w:val="24"/>
              </w:rPr>
              <w:t xml:space="preserve">odložené daňové pohľadávky, ktoré nezávisia od budúcej ziskovosti), </w:t>
            </w:r>
            <w:r w:rsidRPr="00826586">
              <w:rPr>
                <w:rFonts w:ascii="Times New Roman" w:hAnsi="Times New Roman"/>
                <w:sz w:val="24"/>
              </w:rPr>
              <w:lastRenderedPageBreak/>
              <w:t xml:space="preserve">článku 41 nariadenia (EÚ) </w:t>
            </w:r>
            <w:r w:rsidR="00826586">
              <w:rPr>
                <w:rFonts w:ascii="Times New Roman" w:hAnsi="Times New Roman"/>
                <w:sz w:val="24"/>
              </w:rPr>
              <w:t>č. </w:t>
            </w:r>
            <w:r w:rsidRPr="00826586">
              <w:rPr>
                <w:rFonts w:ascii="Times New Roman" w:hAnsi="Times New Roman"/>
                <w:sz w:val="24"/>
              </w:rPr>
              <w:t>575/2013 (majetok dôchodkového fondu so stanovenými požitkami), článkov 46</w:t>
            </w:r>
            <w:r w:rsidR="00826586">
              <w:rPr>
                <w:rFonts w:ascii="Times New Roman" w:hAnsi="Times New Roman"/>
                <w:sz w:val="24"/>
              </w:rPr>
              <w:t xml:space="preserve"> a </w:t>
            </w:r>
            <w:r w:rsidRPr="00826586">
              <w:rPr>
                <w:rFonts w:ascii="Times New Roman" w:hAnsi="Times New Roman"/>
                <w:sz w:val="24"/>
              </w:rPr>
              <w:t xml:space="preserve">469 nariadenia (EÚ) </w:t>
            </w:r>
            <w:r w:rsidR="00826586">
              <w:rPr>
                <w:rFonts w:ascii="Times New Roman" w:hAnsi="Times New Roman"/>
                <w:sz w:val="24"/>
              </w:rPr>
              <w:t>č. </w:t>
            </w:r>
            <w:r w:rsidRPr="00826586">
              <w:rPr>
                <w:rFonts w:ascii="Times New Roman" w:hAnsi="Times New Roman"/>
                <w:sz w:val="24"/>
              </w:rPr>
              <w:t>575/2013 (nevýznamné investície do CET1 subjektov finančného sektora), článkov 49</w:t>
            </w:r>
            <w:r w:rsidR="00826586">
              <w:rPr>
                <w:rFonts w:ascii="Times New Roman" w:hAnsi="Times New Roman"/>
                <w:sz w:val="24"/>
              </w:rPr>
              <w:t xml:space="preserve"> a </w:t>
            </w:r>
            <w:r w:rsidRPr="00826586">
              <w:rPr>
                <w:rFonts w:ascii="Times New Roman" w:hAnsi="Times New Roman"/>
                <w:sz w:val="24"/>
              </w:rPr>
              <w:t xml:space="preserve">471 nariadenia (EÚ) </w:t>
            </w:r>
            <w:r w:rsidR="00826586">
              <w:rPr>
                <w:rFonts w:ascii="Times New Roman" w:hAnsi="Times New Roman"/>
                <w:sz w:val="24"/>
              </w:rPr>
              <w:t>č. </w:t>
            </w:r>
            <w:r w:rsidRPr="00826586">
              <w:rPr>
                <w:rFonts w:ascii="Times New Roman" w:hAnsi="Times New Roman"/>
                <w:sz w:val="24"/>
              </w:rPr>
              <w:t>575/2013 (účasti</w:t>
            </w:r>
            <w:r w:rsidR="00826586">
              <w:rPr>
                <w:rFonts w:ascii="Times New Roman" w:hAnsi="Times New Roman"/>
                <w:sz w:val="24"/>
              </w:rPr>
              <w:t xml:space="preserve"> v </w:t>
            </w:r>
            <w:r w:rsidRPr="00826586">
              <w:rPr>
                <w:rFonts w:ascii="Times New Roman" w:hAnsi="Times New Roman"/>
                <w:sz w:val="24"/>
              </w:rPr>
              <w:t>poisťovacích subjektoch bez ohľadu na to, či poisťovacie subjekty podliehajú dohľadu podľa smernice</w:t>
            </w:r>
            <w:r w:rsidR="00826586">
              <w:rPr>
                <w:rFonts w:ascii="Times New Roman" w:hAnsi="Times New Roman"/>
                <w:sz w:val="24"/>
              </w:rPr>
              <w:t xml:space="preserve"> o </w:t>
            </w:r>
            <w:r w:rsidRPr="00826586">
              <w:rPr>
                <w:rFonts w:ascii="Times New Roman" w:hAnsi="Times New Roman"/>
                <w:sz w:val="24"/>
              </w:rPr>
              <w:t>konglomerátoch), článkov 60</w:t>
            </w:r>
            <w:r w:rsidR="00826586">
              <w:rPr>
                <w:rFonts w:ascii="Times New Roman" w:hAnsi="Times New Roman"/>
                <w:sz w:val="24"/>
              </w:rPr>
              <w:t xml:space="preserve"> a </w:t>
            </w:r>
            <w:r w:rsidRPr="00826586">
              <w:rPr>
                <w:rFonts w:ascii="Times New Roman" w:hAnsi="Times New Roman"/>
                <w:sz w:val="24"/>
              </w:rPr>
              <w:t xml:space="preserve">475 nariadenia (EÚ) </w:t>
            </w:r>
            <w:r w:rsidR="00826586">
              <w:rPr>
                <w:rFonts w:ascii="Times New Roman" w:hAnsi="Times New Roman"/>
                <w:sz w:val="24"/>
              </w:rPr>
              <w:t>č. </w:t>
            </w:r>
            <w:r w:rsidRPr="00826586">
              <w:rPr>
                <w:rFonts w:ascii="Times New Roman" w:hAnsi="Times New Roman"/>
                <w:sz w:val="24"/>
              </w:rPr>
              <w:t>575/2013 [nevýznamné</w:t>
            </w:r>
            <w:r w:rsidR="00826586">
              <w:rPr>
                <w:rFonts w:ascii="Times New Roman" w:hAnsi="Times New Roman"/>
                <w:sz w:val="24"/>
              </w:rPr>
              <w:t xml:space="preserve"> a </w:t>
            </w:r>
            <w:r w:rsidRPr="00826586">
              <w:rPr>
                <w:rFonts w:ascii="Times New Roman" w:hAnsi="Times New Roman"/>
                <w:sz w:val="24"/>
              </w:rPr>
              <w:t>významné nepriame investície do kapitálu AT1 subjektov finančného sektora], článkov 70</w:t>
            </w:r>
            <w:r w:rsidR="00826586">
              <w:rPr>
                <w:rFonts w:ascii="Times New Roman" w:hAnsi="Times New Roman"/>
                <w:sz w:val="24"/>
              </w:rPr>
              <w:t xml:space="preserve"> a </w:t>
            </w:r>
            <w:r w:rsidRPr="00826586">
              <w:rPr>
                <w:rFonts w:ascii="Times New Roman" w:hAnsi="Times New Roman"/>
                <w:sz w:val="24"/>
              </w:rPr>
              <w:t xml:space="preserve">477 nariadenia (EÚ) </w:t>
            </w:r>
            <w:r w:rsidR="00826586">
              <w:rPr>
                <w:rFonts w:ascii="Times New Roman" w:hAnsi="Times New Roman"/>
                <w:sz w:val="24"/>
              </w:rPr>
              <w:t>č. </w:t>
            </w:r>
            <w:r w:rsidRPr="00826586">
              <w:rPr>
                <w:rFonts w:ascii="Times New Roman" w:hAnsi="Times New Roman"/>
                <w:sz w:val="24"/>
              </w:rPr>
              <w:t>575/2013 (nevýznamné</w:t>
            </w:r>
            <w:r w:rsidR="00826586">
              <w:rPr>
                <w:rFonts w:ascii="Times New Roman" w:hAnsi="Times New Roman"/>
                <w:sz w:val="24"/>
              </w:rPr>
              <w:t xml:space="preserve"> a </w:t>
            </w:r>
            <w:r w:rsidRPr="00826586">
              <w:rPr>
                <w:rFonts w:ascii="Times New Roman" w:hAnsi="Times New Roman"/>
                <w:sz w:val="24"/>
              </w:rPr>
              <w:t>významné nepriame</w:t>
            </w:r>
            <w:r w:rsidR="00826586">
              <w:rPr>
                <w:rFonts w:ascii="Times New Roman" w:hAnsi="Times New Roman"/>
                <w:sz w:val="24"/>
              </w:rPr>
              <w:t xml:space="preserve"> a </w:t>
            </w:r>
            <w:r w:rsidRPr="00826586">
              <w:rPr>
                <w:rFonts w:ascii="Times New Roman" w:hAnsi="Times New Roman"/>
                <w:sz w:val="24"/>
              </w:rPr>
              <w:t>syntetické podiely na kapitáli T2 subjektu finančného sektora), ak nie sú priradené do iných tried expozícií,</w:t>
            </w:r>
            <w:r w:rsidR="00826586">
              <w:rPr>
                <w:rFonts w:ascii="Times New Roman" w:hAnsi="Times New Roman"/>
                <w:sz w:val="24"/>
              </w:rPr>
              <w:t xml:space="preserve"> a </w:t>
            </w:r>
            <w:r w:rsidRPr="00826586">
              <w:rPr>
                <w:rFonts w:ascii="Times New Roman" w:hAnsi="Times New Roman"/>
                <w:sz w:val="24"/>
              </w:rPr>
              <w:t>na kvalifikované účasti mimo finančného sektora, ak sa na ne neuplatňuje riziková váha 1 250</w:t>
            </w:r>
            <w:r w:rsidR="00826586">
              <w:rPr>
                <w:rFonts w:ascii="Times New Roman" w:hAnsi="Times New Roman"/>
                <w:sz w:val="24"/>
              </w:rPr>
              <w:t> %</w:t>
            </w:r>
            <w:r w:rsidRPr="00826586">
              <w:rPr>
                <w:rFonts w:ascii="Times New Roman" w:hAnsi="Times New Roman"/>
                <w:sz w:val="24"/>
              </w:rPr>
              <w:t xml:space="preserve"> pri uplatňovaní druhej časti hlavy I kapitoly </w:t>
            </w:r>
            <w:r w:rsidR="0036757D">
              <w:rPr>
                <w:rFonts w:ascii="Times New Roman" w:hAnsi="Times New Roman"/>
                <w:sz w:val="24"/>
              </w:rPr>
              <w:t>2</w:t>
            </w:r>
            <w:r w:rsidRPr="00826586">
              <w:rPr>
                <w:rFonts w:ascii="Times New Roman" w:hAnsi="Times New Roman"/>
                <w:sz w:val="24"/>
              </w:rPr>
              <w:t xml:space="preserve"> článku 36 písm. k)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40CEECAA" w14:textId="77777777" w:rsidTr="004F3087">
        <w:trPr>
          <w:trHeight w:val="680"/>
        </w:trPr>
        <w:tc>
          <w:tcPr>
            <w:tcW w:w="1384" w:type="dxa"/>
          </w:tcPr>
          <w:p w14:paraId="084620EC" w14:textId="77777777" w:rsidR="00F43911" w:rsidRPr="00826586" w:rsidRDefault="00F43911" w:rsidP="004F3087">
            <w:pPr>
              <w:pStyle w:val="Applicationdirecte"/>
              <w:spacing w:before="0" w:after="240"/>
              <w:jc w:val="center"/>
            </w:pPr>
            <w:r w:rsidRPr="00826586">
              <w:lastRenderedPageBreak/>
              <w:t>11</w:t>
            </w:r>
          </w:p>
        </w:tc>
        <w:tc>
          <w:tcPr>
            <w:tcW w:w="7655" w:type="dxa"/>
            <w:vAlign w:val="center"/>
          </w:tcPr>
          <w:p w14:paraId="0569A440" w14:textId="77777777" w:rsidR="00F43911" w:rsidRPr="00826586" w:rsidRDefault="00F43911" w:rsidP="004F3087">
            <w:pPr>
              <w:spacing w:after="240"/>
              <w:jc w:val="both"/>
              <w:rPr>
                <w:rFonts w:ascii="Times New Roman" w:eastAsia="Times New Roman" w:hAnsi="Times New Roman" w:cs="Times New Roman"/>
                <w:b/>
                <w:sz w:val="24"/>
              </w:rPr>
            </w:pPr>
            <w:r w:rsidRPr="00826586">
              <w:rPr>
                <w:rFonts w:ascii="Times New Roman" w:hAnsi="Times New Roman"/>
                <w:b/>
                <w:sz w:val="24"/>
              </w:rPr>
              <w:t>Celková hodnota expozícií</w:t>
            </w:r>
          </w:p>
        </w:tc>
      </w:tr>
      <w:tr w:rsidR="00F43911" w:rsidRPr="00826586"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826586" w:rsidRDefault="00F43911" w:rsidP="004F3087">
            <w:pPr>
              <w:pStyle w:val="Applicationdirecte"/>
              <w:spacing w:before="0" w:after="240"/>
              <w:jc w:val="center"/>
              <w:rPr>
                <w:b/>
              </w:rPr>
            </w:pPr>
            <w:r w:rsidRPr="00826586">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826586" w:rsidRDefault="00F43911" w:rsidP="004F3087">
            <w:pPr>
              <w:pStyle w:val="TableMainHeading"/>
              <w:spacing w:before="0" w:after="240"/>
              <w:rPr>
                <w:rFonts w:ascii="Times New Roman" w:hAnsi="Times New Roman"/>
                <w:b/>
                <w:sz w:val="24"/>
                <w:szCs w:val="24"/>
              </w:rPr>
            </w:pPr>
            <w:r w:rsidRPr="00826586">
              <w:rPr>
                <w:rFonts w:ascii="Times New Roman" w:hAnsi="Times New Roman"/>
                <w:b/>
                <w:sz w:val="24"/>
              </w:rPr>
              <w:t>Vysvetlenie</w:t>
            </w:r>
          </w:p>
        </w:tc>
      </w:tr>
      <w:tr w:rsidR="00F43911" w:rsidRPr="00826586" w14:paraId="32077C70" w14:textId="77777777" w:rsidTr="004F3087">
        <w:trPr>
          <w:trHeight w:val="680"/>
        </w:trPr>
        <w:tc>
          <w:tcPr>
            <w:tcW w:w="1384" w:type="dxa"/>
          </w:tcPr>
          <w:p w14:paraId="39F1752F" w14:textId="77777777" w:rsidR="00F43911" w:rsidRPr="00826586" w:rsidRDefault="00F43911" w:rsidP="004F3087">
            <w:pPr>
              <w:pStyle w:val="Applicationdirecte"/>
              <w:spacing w:before="0" w:after="240"/>
              <w:jc w:val="center"/>
            </w:pPr>
            <w:r w:rsidRPr="00826586">
              <w:t>a – k</w:t>
            </w:r>
          </w:p>
          <w:p w14:paraId="7F295BCB" w14:textId="77777777" w:rsidR="00F43911" w:rsidRPr="00826586" w:rsidRDefault="00F43911" w:rsidP="004F3087">
            <w:pPr>
              <w:spacing w:after="240"/>
              <w:jc w:val="center"/>
              <w:rPr>
                <w:rFonts w:ascii="Times New Roman" w:hAnsi="Times New Roman" w:cs="Times New Roman"/>
                <w:sz w:val="24"/>
              </w:rPr>
            </w:pPr>
          </w:p>
        </w:tc>
        <w:tc>
          <w:tcPr>
            <w:tcW w:w="7655" w:type="dxa"/>
            <w:vAlign w:val="center"/>
          </w:tcPr>
          <w:p w14:paraId="70B38523" w14:textId="77495B84" w:rsidR="00F43911" w:rsidRPr="00826586" w:rsidRDefault="00F43911" w:rsidP="004F3087">
            <w:pPr>
              <w:spacing w:after="240"/>
              <w:jc w:val="both"/>
              <w:rPr>
                <w:rFonts w:ascii="Times New Roman" w:eastAsia="Times New Roman" w:hAnsi="Times New Roman" w:cs="Times New Roman"/>
                <w:i/>
                <w:sz w:val="24"/>
              </w:rPr>
            </w:pPr>
            <w:r w:rsidRPr="00826586">
              <w:rPr>
                <w:rFonts w:ascii="Times New Roman" w:hAnsi="Times New Roman"/>
                <w:sz w:val="24"/>
              </w:rPr>
              <w:t>Tieto stĺpce sa vzťahujú na stupne kreditnej kvality/rizikové váhy stanovené</w:t>
            </w:r>
            <w:r w:rsidR="00826586">
              <w:rPr>
                <w:rFonts w:ascii="Times New Roman" w:hAnsi="Times New Roman"/>
                <w:sz w:val="24"/>
              </w:rPr>
              <w:t xml:space="preserve"> v </w:t>
            </w:r>
            <w:r w:rsidRPr="00826586">
              <w:rPr>
                <w:rFonts w:ascii="Times New Roman" w:hAnsi="Times New Roman"/>
                <w:sz w:val="24"/>
              </w:rPr>
              <w:t xml:space="preserve">tretej časti hlave II kapitole 2 nariadenia (EÚ) </w:t>
            </w:r>
            <w:r w:rsidR="00826586">
              <w:rPr>
                <w:rFonts w:ascii="Times New Roman" w:hAnsi="Times New Roman"/>
                <w:sz w:val="24"/>
              </w:rPr>
              <w:t>č. </w:t>
            </w:r>
            <w:r w:rsidRPr="00826586">
              <w:rPr>
                <w:rFonts w:ascii="Times New Roman" w:hAnsi="Times New Roman"/>
                <w:sz w:val="24"/>
              </w:rPr>
              <w:t>575/2013, pri ktorých sa zverejňujú zodpovedajúce hodnoty expozícií (pozri vymedzenie uvedené</w:t>
            </w:r>
            <w:r w:rsidR="00826586">
              <w:rPr>
                <w:rFonts w:ascii="Times New Roman" w:hAnsi="Times New Roman"/>
                <w:sz w:val="24"/>
              </w:rPr>
              <w:t xml:space="preserve"> v </w:t>
            </w:r>
            <w:r w:rsidRPr="00826586">
              <w:rPr>
                <w:rFonts w:ascii="Times New Roman" w:hAnsi="Times New Roman"/>
                <w:sz w:val="24"/>
              </w:rPr>
              <w:t xml:space="preserve">stĺpci g vzoru EU CCR1). </w:t>
            </w:r>
          </w:p>
        </w:tc>
      </w:tr>
      <w:tr w:rsidR="00F43911" w:rsidRPr="00826586" w14:paraId="7038985C" w14:textId="77777777" w:rsidTr="004F3087">
        <w:trPr>
          <w:trHeight w:val="680"/>
        </w:trPr>
        <w:tc>
          <w:tcPr>
            <w:tcW w:w="1384" w:type="dxa"/>
          </w:tcPr>
          <w:p w14:paraId="643D9DBE" w14:textId="77777777" w:rsidR="00F43911" w:rsidRPr="00826586" w:rsidRDefault="00F43911" w:rsidP="004F3087">
            <w:pPr>
              <w:pStyle w:val="Applicationdirecte"/>
              <w:spacing w:before="0" w:after="240"/>
              <w:jc w:val="center"/>
            </w:pPr>
            <w:r w:rsidRPr="00826586">
              <w:t>l</w:t>
            </w:r>
          </w:p>
        </w:tc>
        <w:tc>
          <w:tcPr>
            <w:tcW w:w="7655" w:type="dxa"/>
            <w:vAlign w:val="center"/>
          </w:tcPr>
          <w:p w14:paraId="2AD95FAF" w14:textId="77777777" w:rsidR="00F43911" w:rsidRPr="00826586" w:rsidRDefault="00F43911" w:rsidP="004F3087">
            <w:pPr>
              <w:spacing w:after="240"/>
              <w:jc w:val="both"/>
              <w:rPr>
                <w:rFonts w:ascii="Times New Roman" w:eastAsia="Times New Roman" w:hAnsi="Times New Roman" w:cs="Times New Roman"/>
                <w:b/>
                <w:sz w:val="24"/>
              </w:rPr>
            </w:pPr>
            <w:r w:rsidRPr="00826586">
              <w:rPr>
                <w:rFonts w:ascii="Times New Roman" w:hAnsi="Times New Roman"/>
                <w:b/>
                <w:sz w:val="24"/>
              </w:rPr>
              <w:t xml:space="preserve">Celková hodnota expozícií </w:t>
            </w:r>
          </w:p>
        </w:tc>
      </w:tr>
    </w:tbl>
    <w:p w14:paraId="4639EED1" w14:textId="77777777" w:rsidR="00F43911" w:rsidRPr="00826586" w:rsidRDefault="00F43911" w:rsidP="00F43911">
      <w:pPr>
        <w:pStyle w:val="Titlelevel2"/>
        <w:spacing w:before="0"/>
        <w:rPr>
          <w:rFonts w:ascii="Times New Roman" w:hAnsi="Times New Roman" w:cs="Times New Roman"/>
          <w:color w:val="auto"/>
          <w:sz w:val="24"/>
        </w:rPr>
      </w:pPr>
    </w:p>
    <w:p w14:paraId="378BA942" w14:textId="6CAA5AB3" w:rsidR="00F43911" w:rsidRPr="00826586" w:rsidRDefault="00F43911" w:rsidP="00F43911">
      <w:pPr>
        <w:pStyle w:val="Titlelevel2"/>
        <w:spacing w:before="0"/>
        <w:jc w:val="both"/>
        <w:rPr>
          <w:rFonts w:ascii="Times New Roman" w:hAnsi="Times New Roman" w:cs="Times New Roman"/>
          <w:b/>
          <w:color w:val="auto"/>
          <w:sz w:val="24"/>
        </w:rPr>
      </w:pPr>
      <w:r w:rsidRPr="00826586">
        <w:rPr>
          <w:rFonts w:ascii="Times New Roman" w:hAnsi="Times New Roman"/>
          <w:b/>
          <w:color w:val="auto"/>
          <w:sz w:val="24"/>
        </w:rPr>
        <w:t>Vzor EU CCR4 – Prístup IRB – expozície voči CCR podľa triedy expozícií</w:t>
      </w:r>
      <w:r w:rsidR="00826586">
        <w:rPr>
          <w:rFonts w:ascii="Times New Roman" w:hAnsi="Times New Roman"/>
          <w:b/>
          <w:color w:val="auto"/>
          <w:sz w:val="24"/>
        </w:rPr>
        <w:t xml:space="preserve"> a </w:t>
      </w:r>
      <w:r w:rsidRPr="00826586">
        <w:rPr>
          <w:rFonts w:ascii="Times New Roman" w:hAnsi="Times New Roman"/>
          <w:b/>
          <w:color w:val="auto"/>
          <w:sz w:val="24"/>
        </w:rPr>
        <w:t xml:space="preserve">stupnice PD </w:t>
      </w:r>
      <w:r w:rsidRPr="00826586">
        <w:rPr>
          <w:rFonts w:ascii="Times New Roman" w:hAnsi="Times New Roman"/>
          <w:color w:val="auto"/>
          <w:sz w:val="24"/>
        </w:rPr>
        <w:t>Pevný formát</w:t>
      </w:r>
    </w:p>
    <w:p w14:paraId="2688C36A" w14:textId="0947CD26" w:rsidR="00826586" w:rsidRPr="00DE2E80" w:rsidRDefault="00F43911" w:rsidP="00F43911">
      <w:pPr>
        <w:pStyle w:val="Titlelevel2"/>
        <w:numPr>
          <w:ilvl w:val="0"/>
          <w:numId w:val="2"/>
        </w:numPr>
        <w:spacing w:before="0"/>
        <w:jc w:val="both"/>
        <w:rPr>
          <w:rFonts w:ascii="Times New Roman" w:hAnsi="Times New Roman"/>
          <w:color w:val="auto"/>
          <w:sz w:val="24"/>
        </w:rPr>
      </w:pPr>
      <w:r w:rsidRPr="00DE2E80">
        <w:rPr>
          <w:rFonts w:ascii="Times New Roman" w:hAnsi="Times New Roman"/>
          <w:color w:val="auto"/>
          <w:sz w:val="24"/>
        </w:rPr>
        <w:t>Inštitúcie zverejňujú informácie uvedené</w:t>
      </w:r>
      <w:r w:rsidR="00826586" w:rsidRPr="00DE2E80">
        <w:rPr>
          <w:rFonts w:ascii="Times New Roman" w:hAnsi="Times New Roman"/>
          <w:color w:val="auto"/>
          <w:sz w:val="24"/>
        </w:rPr>
        <w:t xml:space="preserve"> v </w:t>
      </w:r>
      <w:r w:rsidRPr="00DE2E80">
        <w:rPr>
          <w:rFonts w:ascii="Times New Roman" w:hAnsi="Times New Roman"/>
          <w:color w:val="auto"/>
          <w:sz w:val="24"/>
        </w:rPr>
        <w:t xml:space="preserve">článku 452 písm. g) nariadenia (EÚ) </w:t>
      </w:r>
      <w:r w:rsidR="00826586" w:rsidRPr="00DE2E80">
        <w:rPr>
          <w:rFonts w:ascii="Times New Roman" w:hAnsi="Times New Roman"/>
          <w:color w:val="auto"/>
          <w:sz w:val="24"/>
        </w:rPr>
        <w:t>č. </w:t>
      </w:r>
      <w:r w:rsidRPr="00DE2E80">
        <w:rPr>
          <w:rFonts w:ascii="Times New Roman" w:hAnsi="Times New Roman"/>
          <w:color w:val="auto"/>
          <w:sz w:val="24"/>
        </w:rPr>
        <w:t>575/2013 podľa pokynov uvedených nižšie</w:t>
      </w:r>
      <w:r w:rsidR="00826586" w:rsidRPr="00DE2E80">
        <w:rPr>
          <w:rFonts w:ascii="Times New Roman" w:hAnsi="Times New Roman"/>
          <w:color w:val="auto"/>
          <w:sz w:val="24"/>
        </w:rPr>
        <w:t xml:space="preserve"> v </w:t>
      </w:r>
      <w:r w:rsidRPr="00DE2E80">
        <w:rPr>
          <w:rFonts w:ascii="Times New Roman" w:hAnsi="Times New Roman"/>
          <w:color w:val="auto"/>
          <w:sz w:val="24"/>
        </w:rPr>
        <w:t>tejto prílohe</w:t>
      </w:r>
      <w:r w:rsidR="00826586" w:rsidRPr="00DE2E80">
        <w:rPr>
          <w:rFonts w:ascii="Times New Roman" w:hAnsi="Times New Roman"/>
          <w:color w:val="auto"/>
          <w:sz w:val="24"/>
        </w:rPr>
        <w:t xml:space="preserve"> s </w:t>
      </w:r>
      <w:r w:rsidRPr="00DE2E80">
        <w:rPr>
          <w:rFonts w:ascii="Times New Roman" w:hAnsi="Times New Roman"/>
          <w:color w:val="auto"/>
          <w:sz w:val="24"/>
        </w:rPr>
        <w:t>cieľom vyplniť vzor EU CCR4, ktorý je uvedený</w:t>
      </w:r>
      <w:r w:rsidR="00826586" w:rsidRPr="00DE2E80">
        <w:rPr>
          <w:rFonts w:ascii="Times New Roman" w:hAnsi="Times New Roman"/>
          <w:color w:val="auto"/>
          <w:sz w:val="24"/>
        </w:rPr>
        <w:t xml:space="preserve"> v </w:t>
      </w:r>
      <w:r w:rsidRPr="00DE2E80">
        <w:rPr>
          <w:rFonts w:ascii="Times New Roman" w:hAnsi="Times New Roman"/>
          <w:color w:val="auto"/>
          <w:sz w:val="24"/>
        </w:rPr>
        <w:t>prílohe XXV dokumentu</w:t>
      </w:r>
      <w:r w:rsidR="00826586" w:rsidRPr="00DE2E80">
        <w:rPr>
          <w:rFonts w:ascii="Times New Roman" w:hAnsi="Times New Roman"/>
          <w:color w:val="auto"/>
          <w:sz w:val="24"/>
        </w:rPr>
        <w:t xml:space="preserve"> s </w:t>
      </w:r>
      <w:r w:rsidRPr="00DE2E80">
        <w:rPr>
          <w:rFonts w:ascii="Times New Roman" w:hAnsi="Times New Roman"/>
          <w:color w:val="auto"/>
          <w:sz w:val="24"/>
        </w:rPr>
        <w:t>IT riešeniami orgánu EBA</w:t>
      </w:r>
      <w:r w:rsidR="00826586" w:rsidRPr="00DE2E80">
        <w:rPr>
          <w:rFonts w:ascii="Times New Roman" w:hAnsi="Times New Roman"/>
          <w:color w:val="auto"/>
          <w:sz w:val="24"/>
        </w:rPr>
        <w:t>.</w:t>
      </w:r>
    </w:p>
    <w:p w14:paraId="21A1A0D5" w14:textId="09FE9971" w:rsidR="00F43911" w:rsidRPr="00DE2E80"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DE2E80">
        <w:rPr>
          <w:rFonts w:ascii="Times New Roman" w:hAnsi="Times New Roman"/>
          <w:color w:val="auto"/>
          <w:sz w:val="24"/>
        </w:rPr>
        <w:t>Inštitúcie, ktoré</w:t>
      </w:r>
      <w:r w:rsidR="00826586" w:rsidRPr="00DE2E80">
        <w:rPr>
          <w:rFonts w:ascii="Times New Roman" w:hAnsi="Times New Roman"/>
          <w:color w:val="auto"/>
          <w:sz w:val="24"/>
        </w:rPr>
        <w:t xml:space="preserve"> v </w:t>
      </w:r>
      <w:r w:rsidRPr="00DE2E80">
        <w:rPr>
          <w:rFonts w:ascii="Times New Roman" w:hAnsi="Times New Roman"/>
          <w:color w:val="auto"/>
          <w:sz w:val="24"/>
        </w:rPr>
        <w:t>súlade</w:t>
      </w:r>
      <w:r w:rsidR="00826586" w:rsidRPr="00DE2E80">
        <w:rPr>
          <w:rFonts w:ascii="Times New Roman" w:hAnsi="Times New Roman"/>
          <w:color w:val="auto"/>
          <w:sz w:val="24"/>
        </w:rPr>
        <w:t xml:space="preserve"> s </w:t>
      </w:r>
      <w:r w:rsidRPr="00DE2E80">
        <w:rPr>
          <w:rFonts w:ascii="Times New Roman" w:hAnsi="Times New Roman"/>
          <w:color w:val="auto"/>
          <w:sz w:val="24"/>
        </w:rPr>
        <w:t xml:space="preserve">článkom 107 nariadenia (EÚ) </w:t>
      </w:r>
      <w:r w:rsidR="00826586" w:rsidRPr="00DE2E80">
        <w:rPr>
          <w:rFonts w:ascii="Times New Roman" w:hAnsi="Times New Roman"/>
          <w:color w:val="auto"/>
          <w:sz w:val="24"/>
        </w:rPr>
        <w:t>č. </w:t>
      </w:r>
      <w:r w:rsidRPr="00DE2E80">
        <w:rPr>
          <w:rFonts w:ascii="Times New Roman" w:hAnsi="Times New Roman"/>
          <w:color w:val="auto"/>
          <w:sz w:val="24"/>
        </w:rPr>
        <w:t>575/2013 používajú na výpočet hodnôt rizikovo vážených expozícií (okrem tých, ktoré sú odvodené od požiadaviek na vlastné zdroje pre riziko úpravy ocenenia pohľadávok</w:t>
      </w:r>
      <w:r w:rsidR="00826586" w:rsidRPr="00DE2E80">
        <w:rPr>
          <w:rFonts w:ascii="Times New Roman" w:hAnsi="Times New Roman"/>
          <w:color w:val="auto"/>
          <w:sz w:val="24"/>
        </w:rPr>
        <w:t xml:space="preserve"> a </w:t>
      </w:r>
      <w:r w:rsidRPr="00DE2E80">
        <w:rPr>
          <w:rFonts w:ascii="Times New Roman" w:hAnsi="Times New Roman"/>
          <w:color w:val="auto"/>
          <w:sz w:val="24"/>
        </w:rPr>
        <w:t>pre expozície zúčtovávané prostredníctvom centrálnej protistrany) pri všetkých svojich expozíciách voči CCR alebo pri časti</w:t>
      </w:r>
      <w:r w:rsidR="00826586" w:rsidRPr="00DE2E80">
        <w:rPr>
          <w:rFonts w:ascii="Times New Roman" w:hAnsi="Times New Roman"/>
          <w:color w:val="auto"/>
          <w:sz w:val="24"/>
        </w:rPr>
        <w:t xml:space="preserve"> z </w:t>
      </w:r>
      <w:r w:rsidRPr="00DE2E80">
        <w:rPr>
          <w:rFonts w:ascii="Times New Roman" w:hAnsi="Times New Roman"/>
          <w:color w:val="auto"/>
          <w:sz w:val="24"/>
        </w:rPr>
        <w:t>nich buď rozšírený alebo základný prístup IRB,</w:t>
      </w:r>
      <w:r w:rsidR="00826586" w:rsidRPr="00DE2E80">
        <w:rPr>
          <w:rFonts w:ascii="Times New Roman" w:hAnsi="Times New Roman"/>
          <w:color w:val="auto"/>
          <w:sz w:val="24"/>
        </w:rPr>
        <w:t xml:space="preserve"> a </w:t>
      </w:r>
      <w:r w:rsidRPr="00DE2E80">
        <w:rPr>
          <w:rFonts w:ascii="Times New Roman" w:hAnsi="Times New Roman"/>
          <w:color w:val="auto"/>
          <w:sz w:val="24"/>
        </w:rPr>
        <w:t>to bez ohľadu na prístup pre CCR použitý na určenie hodnoty expozície</w:t>
      </w:r>
      <w:r w:rsidR="00826586" w:rsidRPr="00DE2E80">
        <w:rPr>
          <w:rFonts w:ascii="Times New Roman" w:hAnsi="Times New Roman"/>
          <w:color w:val="auto"/>
          <w:sz w:val="24"/>
        </w:rPr>
        <w:t xml:space="preserve"> v </w:t>
      </w:r>
      <w:r w:rsidRPr="00DE2E80">
        <w:rPr>
          <w:rFonts w:ascii="Times New Roman" w:hAnsi="Times New Roman"/>
          <w:color w:val="auto"/>
          <w:sz w:val="24"/>
        </w:rPr>
        <w:t>súlade</w:t>
      </w:r>
      <w:r w:rsidR="00826586" w:rsidRPr="00DE2E80">
        <w:rPr>
          <w:rFonts w:ascii="Times New Roman" w:hAnsi="Times New Roman"/>
          <w:color w:val="auto"/>
          <w:sz w:val="24"/>
        </w:rPr>
        <w:t xml:space="preserve"> s </w:t>
      </w:r>
      <w:r w:rsidRPr="00DE2E80">
        <w:rPr>
          <w:rFonts w:ascii="Times New Roman" w:hAnsi="Times New Roman"/>
          <w:color w:val="auto"/>
          <w:sz w:val="24"/>
        </w:rPr>
        <w:t>treťou časťou hlavou II kapitolami 4</w:t>
      </w:r>
      <w:r w:rsidR="00826586" w:rsidRPr="00DE2E80">
        <w:rPr>
          <w:rFonts w:ascii="Times New Roman" w:hAnsi="Times New Roman"/>
          <w:color w:val="auto"/>
          <w:sz w:val="24"/>
        </w:rPr>
        <w:t xml:space="preserve"> a </w:t>
      </w:r>
      <w:r w:rsidRPr="00DE2E80">
        <w:rPr>
          <w:rFonts w:ascii="Times New Roman" w:hAnsi="Times New Roman"/>
          <w:color w:val="auto"/>
          <w:sz w:val="24"/>
        </w:rPr>
        <w:t xml:space="preserve">6 nariadenia (EÚ) </w:t>
      </w:r>
      <w:r w:rsidR="00826586" w:rsidRPr="00DE2E80">
        <w:rPr>
          <w:rFonts w:ascii="Times New Roman" w:hAnsi="Times New Roman"/>
          <w:color w:val="auto"/>
          <w:sz w:val="24"/>
        </w:rPr>
        <w:t>č. </w:t>
      </w:r>
      <w:r w:rsidRPr="00DE2E80">
        <w:rPr>
          <w:rFonts w:ascii="Times New Roman" w:hAnsi="Times New Roman"/>
          <w:color w:val="auto"/>
          <w:sz w:val="24"/>
        </w:rPr>
        <w:t xml:space="preserve">575/2013, zverejňujú nasledujúce informácie.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26586"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6F3C8D58" w:rsidR="00F43911" w:rsidRPr="00826586" w:rsidRDefault="00F43911" w:rsidP="004F3087">
            <w:pPr>
              <w:spacing w:after="240"/>
              <w:rPr>
                <w:rFonts w:ascii="Times New Roman" w:hAnsi="Times New Roman" w:cs="Times New Roman"/>
                <w:b/>
                <w:sz w:val="24"/>
              </w:rPr>
            </w:pPr>
            <w:r w:rsidRPr="00826586">
              <w:rPr>
                <w:rFonts w:ascii="Times New Roman" w:hAnsi="Times New Roman"/>
                <w:b/>
                <w:sz w:val="24"/>
              </w:rPr>
              <w:t>Odkazy na právne predpisy</w:t>
            </w:r>
            <w:r w:rsidR="00826586">
              <w:rPr>
                <w:rFonts w:ascii="Times New Roman" w:hAnsi="Times New Roman"/>
                <w:b/>
                <w:sz w:val="24"/>
              </w:rPr>
              <w:t xml:space="preserve"> a </w:t>
            </w:r>
            <w:r w:rsidRPr="00826586">
              <w:rPr>
                <w:rFonts w:ascii="Times New Roman" w:hAnsi="Times New Roman"/>
                <w:b/>
                <w:sz w:val="24"/>
              </w:rPr>
              <w:t>pokyny</w:t>
            </w:r>
          </w:p>
        </w:tc>
      </w:tr>
      <w:tr w:rsidR="00F43911" w:rsidRPr="00826586" w14:paraId="176F7ACC" w14:textId="77777777" w:rsidTr="004F3087">
        <w:trPr>
          <w:trHeight w:val="238"/>
        </w:trPr>
        <w:tc>
          <w:tcPr>
            <w:tcW w:w="1384" w:type="dxa"/>
            <w:shd w:val="clear" w:color="auto" w:fill="D9D9D9" w:themeFill="background1" w:themeFillShade="D9"/>
          </w:tcPr>
          <w:p w14:paraId="5396CA1A" w14:textId="77777777" w:rsidR="00F43911" w:rsidRPr="00826586" w:rsidRDefault="00F43911" w:rsidP="004F3087">
            <w:pPr>
              <w:autoSpaceDE w:val="0"/>
              <w:autoSpaceDN w:val="0"/>
              <w:adjustRightInd w:val="0"/>
              <w:spacing w:after="240"/>
              <w:rPr>
                <w:rFonts w:ascii="Times New Roman" w:hAnsi="Times New Roman" w:cs="Times New Roman"/>
                <w:b/>
                <w:sz w:val="24"/>
              </w:rPr>
            </w:pPr>
            <w:r w:rsidRPr="00826586">
              <w:rPr>
                <w:rFonts w:ascii="Times New Roman" w:hAnsi="Times New Roman"/>
                <w:b/>
                <w:sz w:val="24"/>
              </w:rPr>
              <w:t>Číslo riadku</w:t>
            </w:r>
          </w:p>
        </w:tc>
        <w:tc>
          <w:tcPr>
            <w:tcW w:w="7655" w:type="dxa"/>
            <w:shd w:val="clear" w:color="auto" w:fill="D9D9D9" w:themeFill="background1" w:themeFillShade="D9"/>
          </w:tcPr>
          <w:p w14:paraId="5AD423D5" w14:textId="77777777" w:rsidR="00F43911" w:rsidRPr="00826586" w:rsidRDefault="00F43911" w:rsidP="004F3087">
            <w:pPr>
              <w:autoSpaceDE w:val="0"/>
              <w:autoSpaceDN w:val="0"/>
              <w:adjustRightInd w:val="0"/>
              <w:spacing w:after="240"/>
              <w:rPr>
                <w:rFonts w:ascii="Times New Roman" w:hAnsi="Times New Roman" w:cs="Times New Roman"/>
                <w:color w:val="000000"/>
                <w:sz w:val="24"/>
              </w:rPr>
            </w:pPr>
            <w:r w:rsidRPr="00826586">
              <w:rPr>
                <w:rFonts w:ascii="Times New Roman" w:hAnsi="Times New Roman"/>
                <w:b/>
                <w:sz w:val="24"/>
              </w:rPr>
              <w:t>Vysvetlenie</w:t>
            </w:r>
          </w:p>
        </w:tc>
      </w:tr>
      <w:tr w:rsidR="00F43911" w:rsidRPr="00826586" w14:paraId="02634469" w14:textId="77777777" w:rsidTr="004F3087">
        <w:trPr>
          <w:trHeight w:val="680"/>
        </w:trPr>
        <w:tc>
          <w:tcPr>
            <w:tcW w:w="1384" w:type="dxa"/>
          </w:tcPr>
          <w:p w14:paraId="2AC6A479" w14:textId="77777777" w:rsidR="00F43911" w:rsidRPr="00826586" w:rsidRDefault="00F43911" w:rsidP="004F3087">
            <w:pPr>
              <w:pStyle w:val="Applicationdirecte"/>
              <w:spacing w:before="0" w:after="240"/>
              <w:jc w:val="center"/>
            </w:pPr>
            <w:r w:rsidRPr="00826586">
              <w:lastRenderedPageBreak/>
              <w:t>1 až 8</w:t>
            </w:r>
          </w:p>
        </w:tc>
        <w:tc>
          <w:tcPr>
            <w:tcW w:w="7655" w:type="dxa"/>
            <w:vAlign w:val="center"/>
          </w:tcPr>
          <w:p w14:paraId="21A090EC" w14:textId="77777777" w:rsidR="00F43911" w:rsidRPr="00826586" w:rsidRDefault="00F43911" w:rsidP="004F3087">
            <w:pPr>
              <w:spacing w:after="240"/>
              <w:jc w:val="both"/>
              <w:rPr>
                <w:rFonts w:ascii="Times New Roman" w:eastAsia="Times New Roman" w:hAnsi="Times New Roman" w:cs="Times New Roman"/>
                <w:b/>
                <w:sz w:val="24"/>
              </w:rPr>
            </w:pPr>
            <w:r w:rsidRPr="00826586">
              <w:rPr>
                <w:rFonts w:ascii="Times New Roman" w:hAnsi="Times New Roman"/>
                <w:b/>
                <w:sz w:val="24"/>
              </w:rPr>
              <w:t>Stupnica PD</w:t>
            </w:r>
          </w:p>
          <w:p w14:paraId="27E474D8" w14:textId="3B6EA3FF"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Expozície voči CCR sa zaraďujú do príslušnej skupiny pevnej stupnice PD na základe PD odhadovanej pre každého dlžníka zaradeného do tejto triedy expozícií (bez zohľadnenia akejkoľvek substitúcie</w:t>
            </w:r>
            <w:r w:rsidR="00826586">
              <w:rPr>
                <w:rFonts w:ascii="Times New Roman" w:hAnsi="Times New Roman"/>
                <w:sz w:val="24"/>
              </w:rPr>
              <w:t xml:space="preserve"> v </w:t>
            </w:r>
            <w:r w:rsidRPr="00826586">
              <w:rPr>
                <w:rFonts w:ascii="Times New Roman" w:hAnsi="Times New Roman"/>
                <w:sz w:val="24"/>
              </w:rPr>
              <w:t>dôsledku existencie záruky alebo kreditného derivátu). Inštitúcie priraďujú expozíciu za expozíciou</w:t>
            </w:r>
            <w:r w:rsidR="00826586">
              <w:rPr>
                <w:rFonts w:ascii="Times New Roman" w:hAnsi="Times New Roman"/>
                <w:sz w:val="24"/>
              </w:rPr>
              <w:t xml:space="preserve"> k </w:t>
            </w:r>
            <w:r w:rsidRPr="00826586">
              <w:rPr>
                <w:rFonts w:ascii="Times New Roman" w:hAnsi="Times New Roman"/>
                <w:sz w:val="24"/>
              </w:rPr>
              <w:t>stupnici PD uvedenej vo vzore, pričom zároveň zohľadňujú spojité stupnice. Všetky expozície</w:t>
            </w:r>
            <w:r w:rsidR="00826586">
              <w:rPr>
                <w:rFonts w:ascii="Times New Roman" w:hAnsi="Times New Roman"/>
                <w:sz w:val="24"/>
              </w:rPr>
              <w:t xml:space="preserve"> v </w:t>
            </w:r>
            <w:r w:rsidRPr="00826586">
              <w:rPr>
                <w:rFonts w:ascii="Times New Roman" w:hAnsi="Times New Roman"/>
                <w:sz w:val="24"/>
              </w:rPr>
              <w:t>stave zlyhania sa zahŕňajú do skupiny predstavujúcej PD na úrovni 100</w:t>
            </w:r>
            <w:r w:rsidR="00826586">
              <w:rPr>
                <w:rFonts w:ascii="Times New Roman" w:hAnsi="Times New Roman"/>
                <w:sz w:val="24"/>
              </w:rPr>
              <w:t> %</w:t>
            </w:r>
            <w:r w:rsidRPr="00826586">
              <w:rPr>
                <w:rFonts w:ascii="Times New Roman" w:hAnsi="Times New Roman"/>
                <w:sz w:val="24"/>
              </w:rPr>
              <w:t>.</w:t>
            </w:r>
          </w:p>
        </w:tc>
      </w:tr>
      <w:tr w:rsidR="00F43911" w:rsidRPr="00826586" w14:paraId="67FC8DC7" w14:textId="77777777" w:rsidTr="004F3087">
        <w:trPr>
          <w:trHeight w:val="680"/>
        </w:trPr>
        <w:tc>
          <w:tcPr>
            <w:tcW w:w="1384" w:type="dxa"/>
          </w:tcPr>
          <w:p w14:paraId="35441DA1" w14:textId="77777777" w:rsidR="00F43911" w:rsidRPr="00826586" w:rsidRDefault="00F43911" w:rsidP="004F3087">
            <w:pPr>
              <w:pStyle w:val="Applicationdirecte"/>
              <w:spacing w:before="0" w:after="240"/>
              <w:jc w:val="center"/>
            </w:pPr>
            <w:r w:rsidRPr="00826586">
              <w:t>1 až x</w:t>
            </w:r>
          </w:p>
        </w:tc>
        <w:tc>
          <w:tcPr>
            <w:tcW w:w="7655" w:type="dxa"/>
            <w:vAlign w:val="center"/>
          </w:tcPr>
          <w:p w14:paraId="113166C9" w14:textId="77777777" w:rsidR="00F43911" w:rsidRPr="00826586" w:rsidRDefault="00F43911" w:rsidP="004F3087">
            <w:pPr>
              <w:spacing w:after="240"/>
              <w:jc w:val="both"/>
              <w:rPr>
                <w:rFonts w:ascii="Times New Roman" w:eastAsia="Times New Roman" w:hAnsi="Times New Roman" w:cs="Times New Roman"/>
                <w:b/>
                <w:sz w:val="24"/>
              </w:rPr>
            </w:pPr>
            <w:r w:rsidRPr="00826586">
              <w:rPr>
                <w:rFonts w:ascii="Times New Roman" w:hAnsi="Times New Roman"/>
                <w:b/>
                <w:sz w:val="24"/>
              </w:rPr>
              <w:t>Trieda expozícií X</w:t>
            </w:r>
          </w:p>
          <w:p w14:paraId="2F40E777" w14:textId="546409D7"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Ide</w:t>
            </w:r>
            <w:r w:rsidR="00826586">
              <w:rPr>
                <w:rFonts w:ascii="Times New Roman" w:hAnsi="Times New Roman"/>
                <w:sz w:val="24"/>
              </w:rPr>
              <w:t xml:space="preserve"> o </w:t>
            </w:r>
            <w:r w:rsidRPr="00826586">
              <w:rPr>
                <w:rFonts w:ascii="Times New Roman" w:hAnsi="Times New Roman"/>
                <w:sz w:val="24"/>
              </w:rPr>
              <w:t>rôzne triedy expozícií uvedené</w:t>
            </w:r>
            <w:r w:rsidR="00826586">
              <w:rPr>
                <w:rFonts w:ascii="Times New Roman" w:hAnsi="Times New Roman"/>
                <w:sz w:val="24"/>
              </w:rPr>
              <w:t xml:space="preserve"> v </w:t>
            </w:r>
            <w:r w:rsidRPr="00826586">
              <w:rPr>
                <w:rFonts w:ascii="Times New Roman" w:hAnsi="Times New Roman"/>
                <w:sz w:val="24"/>
              </w:rPr>
              <w:t xml:space="preserve">tretej časti hlave II kapitole 3 článku 147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63C15CE0" w14:textId="77777777" w:rsidTr="004F3087">
        <w:trPr>
          <w:trHeight w:val="680"/>
        </w:trPr>
        <w:tc>
          <w:tcPr>
            <w:tcW w:w="1384" w:type="dxa"/>
          </w:tcPr>
          <w:p w14:paraId="5ED80B6B" w14:textId="105B3CC6" w:rsidR="00F43911" w:rsidRPr="00826586" w:rsidRDefault="00F43911" w:rsidP="004F3087">
            <w:pPr>
              <w:pStyle w:val="Applicationdirecte"/>
              <w:spacing w:before="0" w:after="240"/>
              <w:jc w:val="center"/>
            </w:pPr>
            <w:r w:rsidRPr="00826586">
              <w:t>x</w:t>
            </w:r>
            <w:r w:rsidR="00826586">
              <w:t xml:space="preserve"> a </w:t>
            </w:r>
            <w:r w:rsidRPr="00826586">
              <w:t>y</w:t>
            </w:r>
          </w:p>
        </w:tc>
        <w:tc>
          <w:tcPr>
            <w:tcW w:w="7655" w:type="dxa"/>
            <w:vAlign w:val="center"/>
          </w:tcPr>
          <w:p w14:paraId="213AF8F1" w14:textId="77777777" w:rsidR="00F43911" w:rsidRPr="00826586" w:rsidRDefault="00F43911" w:rsidP="004F3087">
            <w:pPr>
              <w:spacing w:after="240"/>
              <w:jc w:val="both"/>
              <w:rPr>
                <w:rFonts w:ascii="Times New Roman" w:eastAsia="Times New Roman" w:hAnsi="Times New Roman" w:cs="Times New Roman"/>
                <w:b/>
                <w:sz w:val="24"/>
              </w:rPr>
            </w:pPr>
            <w:r w:rsidRPr="00826586">
              <w:rPr>
                <w:rFonts w:ascii="Times New Roman" w:hAnsi="Times New Roman"/>
                <w:b/>
                <w:sz w:val="24"/>
              </w:rPr>
              <w:t>Medzisúčet (trieda expozícií X)/Spolu (všetky triedy expozícií relevantné pre CCR)</w:t>
            </w:r>
          </w:p>
          <w:p w14:paraId="6E6CECB2" w14:textId="6200ED98"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(Medzi)súčet hodnôt expozícií, hodnôt rizikovo vážených expozícií</w:t>
            </w:r>
            <w:r w:rsidR="00826586">
              <w:rPr>
                <w:rFonts w:ascii="Times New Roman" w:hAnsi="Times New Roman"/>
                <w:sz w:val="24"/>
              </w:rPr>
              <w:t xml:space="preserve"> a </w:t>
            </w:r>
            <w:r w:rsidRPr="00826586">
              <w:rPr>
                <w:rFonts w:ascii="Times New Roman" w:hAnsi="Times New Roman"/>
                <w:sz w:val="24"/>
              </w:rPr>
              <w:t>počtu dlžníkov je len súčtom príslušných stĺpcov. Pokiaľ ide</w:t>
            </w:r>
            <w:r w:rsidR="00826586">
              <w:rPr>
                <w:rFonts w:ascii="Times New Roman" w:hAnsi="Times New Roman"/>
                <w:sz w:val="24"/>
              </w:rPr>
              <w:t xml:space="preserve"> o </w:t>
            </w:r>
            <w:r w:rsidRPr="00826586">
              <w:rPr>
                <w:rFonts w:ascii="Times New Roman" w:hAnsi="Times New Roman"/>
                <w:sz w:val="24"/>
              </w:rPr>
              <w:t>jednotlivé parametre, ktorými sú priemerná PD, priemerná LGD, priemerná splatnosť</w:t>
            </w:r>
            <w:r w:rsidR="00826586">
              <w:rPr>
                <w:rFonts w:ascii="Times New Roman" w:hAnsi="Times New Roman"/>
                <w:sz w:val="24"/>
              </w:rPr>
              <w:t xml:space="preserve"> a </w:t>
            </w:r>
            <w:r w:rsidRPr="00826586">
              <w:rPr>
                <w:rFonts w:ascii="Times New Roman" w:hAnsi="Times New Roman"/>
                <w:sz w:val="24"/>
              </w:rPr>
              <w:t>hustota RWEA, nižšie uvedené vymedzenia pojmov sa uplatňujú na vzorku triedy expozícií X alebo všetky triedy expozícií relevantné pre CCR.</w:t>
            </w:r>
          </w:p>
        </w:tc>
      </w:tr>
      <w:tr w:rsidR="00F43911" w:rsidRPr="00826586"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826586" w:rsidRDefault="00F43911" w:rsidP="004F3087">
            <w:pPr>
              <w:pStyle w:val="Applicationdirecte"/>
              <w:spacing w:before="0" w:after="240"/>
              <w:jc w:val="center"/>
              <w:rPr>
                <w:b/>
              </w:rPr>
            </w:pPr>
            <w:r w:rsidRPr="00826586">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826586" w:rsidRDefault="00F43911" w:rsidP="004F3087">
            <w:pPr>
              <w:pStyle w:val="TableMainHeading"/>
              <w:spacing w:before="0" w:after="240"/>
              <w:rPr>
                <w:rFonts w:ascii="Times New Roman" w:hAnsi="Times New Roman"/>
                <w:b/>
                <w:sz w:val="24"/>
                <w:szCs w:val="24"/>
              </w:rPr>
            </w:pPr>
            <w:r w:rsidRPr="00826586">
              <w:rPr>
                <w:rFonts w:ascii="Times New Roman" w:hAnsi="Times New Roman"/>
                <w:b/>
                <w:sz w:val="24"/>
              </w:rPr>
              <w:t>Vysvetlenie</w:t>
            </w:r>
          </w:p>
        </w:tc>
      </w:tr>
      <w:tr w:rsidR="00F43911" w:rsidRPr="00826586" w14:paraId="4672F613" w14:textId="77777777" w:rsidTr="004F3087">
        <w:trPr>
          <w:trHeight w:val="680"/>
        </w:trPr>
        <w:tc>
          <w:tcPr>
            <w:tcW w:w="1384" w:type="dxa"/>
          </w:tcPr>
          <w:p w14:paraId="1BF1F31B" w14:textId="77777777" w:rsidR="00F43911" w:rsidRPr="00826586" w:rsidRDefault="00F43911" w:rsidP="004F3087">
            <w:pPr>
              <w:pStyle w:val="Applicationdirecte"/>
              <w:spacing w:before="0" w:after="240"/>
              <w:jc w:val="center"/>
            </w:pPr>
            <w:r w:rsidRPr="00826586">
              <w:t>a</w:t>
            </w:r>
          </w:p>
        </w:tc>
        <w:tc>
          <w:tcPr>
            <w:tcW w:w="7655" w:type="dxa"/>
            <w:vAlign w:val="center"/>
          </w:tcPr>
          <w:p w14:paraId="2C0818DE" w14:textId="77777777"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Hodnota expozície</w:t>
            </w:r>
          </w:p>
          <w:p w14:paraId="4DAED01E" w14:textId="00462815"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Hodnota expozície (pozri vymedzenie uvedené</w:t>
            </w:r>
            <w:r w:rsidR="00826586">
              <w:rPr>
                <w:rFonts w:ascii="Times New Roman" w:hAnsi="Times New Roman"/>
                <w:sz w:val="24"/>
              </w:rPr>
              <w:t xml:space="preserve"> v </w:t>
            </w:r>
            <w:r w:rsidRPr="00826586">
              <w:rPr>
                <w:rFonts w:ascii="Times New Roman" w:hAnsi="Times New Roman"/>
                <w:sz w:val="24"/>
              </w:rPr>
              <w:t xml:space="preserve">stĺpci </w:t>
            </w:r>
            <w:r w:rsidRPr="00826586">
              <w:rPr>
                <w:rFonts w:ascii="Times New Roman" w:hAnsi="Times New Roman"/>
                <w:i/>
                <w:sz w:val="24"/>
              </w:rPr>
              <w:t>g</w:t>
            </w:r>
            <w:r w:rsidRPr="00826586">
              <w:rPr>
                <w:rFonts w:ascii="Times New Roman" w:hAnsi="Times New Roman"/>
                <w:sz w:val="24"/>
              </w:rPr>
              <w:t xml:space="preserve"> vzoru EU CCR1)</w:t>
            </w:r>
            <w:r w:rsidR="00826586">
              <w:rPr>
                <w:rFonts w:ascii="Times New Roman" w:hAnsi="Times New Roman"/>
                <w:sz w:val="24"/>
              </w:rPr>
              <w:t xml:space="preserve"> v </w:t>
            </w:r>
            <w:r w:rsidRPr="00826586">
              <w:rPr>
                <w:rFonts w:ascii="Times New Roman" w:hAnsi="Times New Roman"/>
                <w:sz w:val="24"/>
              </w:rPr>
              <w:t>rozčlenení podľa tried expozícií</w:t>
            </w:r>
            <w:r w:rsidR="00826586">
              <w:rPr>
                <w:rFonts w:ascii="Times New Roman" w:hAnsi="Times New Roman"/>
                <w:sz w:val="24"/>
              </w:rPr>
              <w:t xml:space="preserve"> a </w:t>
            </w:r>
            <w:r w:rsidRPr="00826586">
              <w:rPr>
                <w:rFonts w:ascii="Times New Roman" w:hAnsi="Times New Roman"/>
                <w:sz w:val="24"/>
              </w:rPr>
              <w:t>danej stupnice PD, ako sa stanovuje</w:t>
            </w:r>
            <w:r w:rsidR="00826586">
              <w:rPr>
                <w:rFonts w:ascii="Times New Roman" w:hAnsi="Times New Roman"/>
                <w:sz w:val="24"/>
              </w:rPr>
              <w:t xml:space="preserve"> v </w:t>
            </w:r>
            <w:r w:rsidRPr="00826586">
              <w:rPr>
                <w:rFonts w:ascii="Times New Roman" w:hAnsi="Times New Roman"/>
                <w:sz w:val="24"/>
              </w:rPr>
              <w:t xml:space="preserve">tretej časti hlave II kapitole 3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29BE1BD5" w14:textId="77777777" w:rsidTr="004F3087">
        <w:trPr>
          <w:trHeight w:val="680"/>
        </w:trPr>
        <w:tc>
          <w:tcPr>
            <w:tcW w:w="1384" w:type="dxa"/>
          </w:tcPr>
          <w:p w14:paraId="43571550" w14:textId="77777777" w:rsidR="00F43911" w:rsidRPr="00826586" w:rsidRDefault="00F43911" w:rsidP="004F3087">
            <w:pPr>
              <w:pStyle w:val="Applicationdirecte"/>
              <w:spacing w:before="0" w:after="240"/>
              <w:jc w:val="center"/>
            </w:pPr>
            <w:r w:rsidRPr="00826586">
              <w:t>b</w:t>
            </w:r>
          </w:p>
        </w:tc>
        <w:tc>
          <w:tcPr>
            <w:tcW w:w="7655" w:type="dxa"/>
            <w:vAlign w:val="center"/>
          </w:tcPr>
          <w:p w14:paraId="7ED972CE" w14:textId="77777777" w:rsidR="00F43911" w:rsidRPr="00826586" w:rsidRDefault="00F43911" w:rsidP="004F3087">
            <w:pPr>
              <w:spacing w:after="240"/>
              <w:rPr>
                <w:rFonts w:ascii="Times New Roman" w:eastAsia="Times New Roman" w:hAnsi="Times New Roman" w:cs="Times New Roman"/>
                <w:b/>
                <w:sz w:val="24"/>
              </w:rPr>
            </w:pPr>
            <w:r w:rsidRPr="00826586">
              <w:rPr>
                <w:rFonts w:ascii="Times New Roman" w:hAnsi="Times New Roman"/>
                <w:b/>
                <w:sz w:val="24"/>
              </w:rPr>
              <w:t>Expozíciami vážená priemerná PD (%)</w:t>
            </w:r>
          </w:p>
          <w:p w14:paraId="77163362" w14:textId="4B6827BC" w:rsidR="00F43911" w:rsidRPr="00826586" w:rsidRDefault="00F43911" w:rsidP="004F3087">
            <w:pPr>
              <w:spacing w:after="240"/>
              <w:rPr>
                <w:rFonts w:ascii="Times New Roman" w:eastAsia="Times New Roman" w:hAnsi="Times New Roman" w:cs="Times New Roman"/>
                <w:sz w:val="24"/>
              </w:rPr>
            </w:pPr>
            <w:r w:rsidRPr="00826586">
              <w:rPr>
                <w:rFonts w:ascii="Times New Roman" w:hAnsi="Times New Roman"/>
                <w:sz w:val="24"/>
              </w:rPr>
              <w:t>Priemer PD jednotlivých ratingových stupňov dlžníkov vážený ich zodpovedajúcou hodnotou expozície uvedenou</w:t>
            </w:r>
            <w:r w:rsidR="00826586">
              <w:rPr>
                <w:rFonts w:ascii="Times New Roman" w:hAnsi="Times New Roman"/>
                <w:sz w:val="24"/>
              </w:rPr>
              <w:t xml:space="preserve"> v </w:t>
            </w:r>
            <w:r w:rsidRPr="00826586">
              <w:rPr>
                <w:rFonts w:ascii="Times New Roman" w:hAnsi="Times New Roman"/>
                <w:sz w:val="24"/>
              </w:rPr>
              <w:t>stĺpci</w:t>
            </w:r>
            <w:r w:rsidR="00826586">
              <w:rPr>
                <w:rFonts w:ascii="Times New Roman" w:hAnsi="Times New Roman"/>
                <w:sz w:val="24"/>
              </w:rPr>
              <w:t xml:space="preserve"> a </w:t>
            </w:r>
            <w:r w:rsidRPr="00826586">
              <w:rPr>
                <w:rFonts w:ascii="Times New Roman" w:hAnsi="Times New Roman"/>
                <w:sz w:val="24"/>
              </w:rPr>
              <w:t>tohto vzoru</w:t>
            </w:r>
          </w:p>
        </w:tc>
      </w:tr>
      <w:tr w:rsidR="00F43911" w:rsidRPr="00826586" w14:paraId="54178E8C" w14:textId="77777777" w:rsidTr="004F3087">
        <w:trPr>
          <w:trHeight w:val="680"/>
        </w:trPr>
        <w:tc>
          <w:tcPr>
            <w:tcW w:w="1384" w:type="dxa"/>
          </w:tcPr>
          <w:p w14:paraId="7D3E7D23" w14:textId="77777777" w:rsidR="00F43911" w:rsidRPr="00826586" w:rsidRDefault="00F43911" w:rsidP="004F3087">
            <w:pPr>
              <w:pStyle w:val="Applicationdirecte"/>
              <w:spacing w:before="0" w:after="240"/>
              <w:jc w:val="center"/>
            </w:pPr>
            <w:r w:rsidRPr="00826586">
              <w:t>c</w:t>
            </w:r>
          </w:p>
        </w:tc>
        <w:tc>
          <w:tcPr>
            <w:tcW w:w="7655" w:type="dxa"/>
            <w:vAlign w:val="center"/>
          </w:tcPr>
          <w:p w14:paraId="6153A1D9" w14:textId="77777777" w:rsidR="00F43911" w:rsidRPr="00826586" w:rsidRDefault="00F43911" w:rsidP="004F3087">
            <w:pPr>
              <w:spacing w:after="240"/>
              <w:rPr>
                <w:rFonts w:ascii="Times New Roman" w:eastAsia="Times New Roman" w:hAnsi="Times New Roman" w:cs="Times New Roman"/>
                <w:b/>
                <w:sz w:val="24"/>
              </w:rPr>
            </w:pPr>
            <w:r w:rsidRPr="00826586">
              <w:rPr>
                <w:rFonts w:ascii="Times New Roman" w:hAnsi="Times New Roman"/>
                <w:b/>
                <w:sz w:val="24"/>
              </w:rPr>
              <w:t>Počet dlžníkov</w:t>
            </w:r>
          </w:p>
          <w:p w14:paraId="6074DEAB" w14:textId="77777777"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Počet právnych subjektov alebo dlžníkov priradených ku každej skupine pevnej stupnice PD, ktorí boli osobitne ohodnotení, bez ohľadu na počet jednotlivých poskytnutých úverov alebo expozícií.</w:t>
            </w:r>
          </w:p>
          <w:p w14:paraId="7E8F21FB" w14:textId="215BE060"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Ak sa jednotlivé expozície voči tomu istému dlžníkovi ohodnocujú osobitne, spočítavajú sa osobitne. Takáto situácia môže nastať vtedy, ak sa samostatné expozície voči tomu istému dlžníkovi zaradia do rôznych ratingových stupňov dlžníkov</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172 ods. 1 písm. e) druhou vetou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3C6F4AC7" w14:textId="77777777" w:rsidTr="004F3087">
        <w:trPr>
          <w:trHeight w:val="680"/>
        </w:trPr>
        <w:tc>
          <w:tcPr>
            <w:tcW w:w="1384" w:type="dxa"/>
          </w:tcPr>
          <w:p w14:paraId="26C46E26" w14:textId="77777777" w:rsidR="00F43911" w:rsidRPr="00826586" w:rsidRDefault="00F43911" w:rsidP="004F3087">
            <w:pPr>
              <w:pStyle w:val="Applicationdirecte"/>
              <w:spacing w:before="0" w:after="240"/>
              <w:jc w:val="center"/>
            </w:pPr>
            <w:r w:rsidRPr="00826586">
              <w:lastRenderedPageBreak/>
              <w:t>d</w:t>
            </w:r>
          </w:p>
        </w:tc>
        <w:tc>
          <w:tcPr>
            <w:tcW w:w="7655" w:type="dxa"/>
            <w:vAlign w:val="center"/>
          </w:tcPr>
          <w:p w14:paraId="58C260C0" w14:textId="77777777" w:rsidR="00F43911" w:rsidRPr="00826586" w:rsidRDefault="00F43911" w:rsidP="004F3087">
            <w:pPr>
              <w:spacing w:after="240"/>
              <w:rPr>
                <w:rFonts w:ascii="Times New Roman" w:eastAsia="Times New Roman" w:hAnsi="Times New Roman" w:cs="Times New Roman"/>
                <w:b/>
                <w:sz w:val="24"/>
              </w:rPr>
            </w:pPr>
            <w:r w:rsidRPr="00826586">
              <w:rPr>
                <w:rFonts w:ascii="Times New Roman" w:hAnsi="Times New Roman"/>
                <w:b/>
                <w:sz w:val="24"/>
              </w:rPr>
              <w:t>Expozíciami vážená priemerná LGD (%)</w:t>
            </w:r>
          </w:p>
          <w:p w14:paraId="34068163" w14:textId="77777777"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Priemer LGD ratingových stupňov dlžníkov vážený ich zodpovedajúcou hodnotou expozície.</w:t>
            </w:r>
          </w:p>
          <w:p w14:paraId="69838BC9" w14:textId="459F38A8" w:rsidR="00826586" w:rsidRDefault="00F43911" w:rsidP="004F3087">
            <w:pPr>
              <w:spacing w:after="240"/>
              <w:jc w:val="both"/>
              <w:rPr>
                <w:rFonts w:ascii="Times New Roman" w:hAnsi="Times New Roman"/>
                <w:sz w:val="24"/>
              </w:rPr>
            </w:pPr>
            <w:r w:rsidRPr="00826586">
              <w:rPr>
                <w:rFonts w:ascii="Times New Roman" w:hAnsi="Times New Roman"/>
                <w:sz w:val="24"/>
              </w:rPr>
              <w:t>Zverejňovaná LGD zodpovedá konečnému odhadu LGD použitému pri výpočte požiadaviek na vlastné zdroje získaných po zohľadnení všetkých účinkov zmierňovania kreditného rizika</w:t>
            </w:r>
            <w:r w:rsidR="00826586">
              <w:rPr>
                <w:rFonts w:ascii="Times New Roman" w:hAnsi="Times New Roman"/>
                <w:sz w:val="24"/>
              </w:rPr>
              <w:t xml:space="preserve"> a </w:t>
            </w:r>
            <w:r w:rsidRPr="00826586">
              <w:rPr>
                <w:rFonts w:ascii="Times New Roman" w:hAnsi="Times New Roman"/>
                <w:sz w:val="24"/>
              </w:rPr>
              <w:t>prípadne podmienok poklesu</w:t>
            </w:r>
            <w:r w:rsidR="00826586">
              <w:rPr>
                <w:rFonts w:ascii="Times New Roman" w:hAnsi="Times New Roman"/>
                <w:sz w:val="24"/>
              </w:rPr>
              <w:t>.</w:t>
            </w:r>
          </w:p>
          <w:p w14:paraId="766422CE" w14:textId="238954E3"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V prípade expozícií, na ktoré sa vzťahuje prístup dvojnásobného zlyhania, zverejňovaná LGD zodpovedá LGD zvolenej</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161 ods. 4 nariadenia (EÚ) </w:t>
            </w:r>
            <w:r w:rsidR="00826586">
              <w:rPr>
                <w:rFonts w:ascii="Times New Roman" w:hAnsi="Times New Roman"/>
                <w:sz w:val="24"/>
              </w:rPr>
              <w:t>č. </w:t>
            </w:r>
            <w:r w:rsidRPr="00826586">
              <w:rPr>
                <w:rFonts w:ascii="Times New Roman" w:hAnsi="Times New Roman"/>
                <w:sz w:val="24"/>
              </w:rPr>
              <w:t>575/2013.</w:t>
            </w:r>
          </w:p>
          <w:p w14:paraId="7A98367D" w14:textId="655D4258"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Pri expozíciách</w:t>
            </w:r>
            <w:r w:rsidR="00826586">
              <w:rPr>
                <w:rFonts w:ascii="Times New Roman" w:hAnsi="Times New Roman"/>
                <w:sz w:val="24"/>
              </w:rPr>
              <w:t xml:space="preserve"> v </w:t>
            </w:r>
            <w:r w:rsidRPr="00826586">
              <w:rPr>
                <w:rFonts w:ascii="Times New Roman" w:hAnsi="Times New Roman"/>
                <w:sz w:val="24"/>
              </w:rPr>
              <w:t>stave zlyhania podľa prístupu A-IRB sa zohľadňujú ustanovenia uvedené</w:t>
            </w:r>
            <w:r w:rsidR="00826586">
              <w:rPr>
                <w:rFonts w:ascii="Times New Roman" w:hAnsi="Times New Roman"/>
                <w:sz w:val="24"/>
              </w:rPr>
              <w:t xml:space="preserve"> v </w:t>
            </w:r>
            <w:r w:rsidRPr="00826586">
              <w:rPr>
                <w:rFonts w:ascii="Times New Roman" w:hAnsi="Times New Roman"/>
                <w:sz w:val="24"/>
              </w:rPr>
              <w:t xml:space="preserve">článku 181 ods. 1 písm. h) nariadenia (EÚ) </w:t>
            </w:r>
            <w:r w:rsidR="00826586">
              <w:rPr>
                <w:rFonts w:ascii="Times New Roman" w:hAnsi="Times New Roman"/>
                <w:sz w:val="24"/>
              </w:rPr>
              <w:t>č. </w:t>
            </w:r>
            <w:r w:rsidRPr="00826586">
              <w:rPr>
                <w:rFonts w:ascii="Times New Roman" w:hAnsi="Times New Roman"/>
                <w:sz w:val="24"/>
              </w:rPr>
              <w:t>575/2013. Zverejňovaná LGD zodpovedá odhadu LGD</w:t>
            </w:r>
            <w:r w:rsidR="00826586">
              <w:rPr>
                <w:rFonts w:ascii="Times New Roman" w:hAnsi="Times New Roman"/>
                <w:sz w:val="24"/>
              </w:rPr>
              <w:t xml:space="preserve"> v </w:t>
            </w:r>
            <w:r w:rsidRPr="00826586">
              <w:rPr>
                <w:rFonts w:ascii="Times New Roman" w:hAnsi="Times New Roman"/>
                <w:sz w:val="24"/>
              </w:rPr>
              <w:t>stave zlyhania.</w:t>
            </w:r>
          </w:p>
        </w:tc>
      </w:tr>
      <w:tr w:rsidR="00F43911" w:rsidRPr="00826586" w14:paraId="63804F3F" w14:textId="77777777" w:rsidTr="004F3087">
        <w:trPr>
          <w:trHeight w:val="680"/>
        </w:trPr>
        <w:tc>
          <w:tcPr>
            <w:tcW w:w="1384" w:type="dxa"/>
          </w:tcPr>
          <w:p w14:paraId="14948764" w14:textId="77777777" w:rsidR="00F43911" w:rsidRPr="00826586" w:rsidRDefault="00F43911" w:rsidP="004F3087">
            <w:pPr>
              <w:pStyle w:val="Applicationdirecte"/>
              <w:spacing w:before="0" w:after="240"/>
              <w:jc w:val="center"/>
            </w:pPr>
            <w:r w:rsidRPr="00826586">
              <w:t>e</w:t>
            </w:r>
          </w:p>
        </w:tc>
        <w:tc>
          <w:tcPr>
            <w:tcW w:w="7655" w:type="dxa"/>
            <w:vAlign w:val="center"/>
          </w:tcPr>
          <w:p w14:paraId="211ACBAA" w14:textId="77777777" w:rsidR="00F43911" w:rsidRPr="00826586" w:rsidRDefault="00F43911" w:rsidP="004F3087">
            <w:pPr>
              <w:spacing w:after="240"/>
              <w:rPr>
                <w:rFonts w:ascii="Times New Roman" w:eastAsia="Times New Roman" w:hAnsi="Times New Roman" w:cs="Times New Roman"/>
                <w:b/>
                <w:sz w:val="24"/>
              </w:rPr>
            </w:pPr>
            <w:r w:rsidRPr="00826586">
              <w:rPr>
                <w:rFonts w:ascii="Times New Roman" w:hAnsi="Times New Roman"/>
                <w:b/>
                <w:sz w:val="24"/>
              </w:rPr>
              <w:t>Expozíciami vážená priemerná splatnosť (v rokoch)</w:t>
            </w:r>
          </w:p>
          <w:p w14:paraId="1C040569" w14:textId="1E06429D"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Priemer splatností dlžníkov</w:t>
            </w:r>
            <w:r w:rsidR="00826586">
              <w:rPr>
                <w:rFonts w:ascii="Times New Roman" w:hAnsi="Times New Roman"/>
                <w:sz w:val="24"/>
              </w:rPr>
              <w:t xml:space="preserve"> v </w:t>
            </w:r>
            <w:r w:rsidRPr="00826586">
              <w:rPr>
                <w:rFonts w:ascii="Times New Roman" w:hAnsi="Times New Roman"/>
                <w:sz w:val="24"/>
              </w:rPr>
              <w:t>rokoch vážený ich zodpovedajúcou hodnotou expozície uvedenou</w:t>
            </w:r>
            <w:r w:rsidR="00826586">
              <w:rPr>
                <w:rFonts w:ascii="Times New Roman" w:hAnsi="Times New Roman"/>
                <w:sz w:val="24"/>
              </w:rPr>
              <w:t xml:space="preserve"> v </w:t>
            </w:r>
            <w:r w:rsidRPr="00826586">
              <w:rPr>
                <w:rFonts w:ascii="Times New Roman" w:hAnsi="Times New Roman"/>
                <w:sz w:val="24"/>
              </w:rPr>
              <w:t>stĺpci</w:t>
            </w:r>
            <w:r w:rsidR="00826586">
              <w:rPr>
                <w:rFonts w:ascii="Times New Roman" w:hAnsi="Times New Roman"/>
                <w:sz w:val="24"/>
              </w:rPr>
              <w:t xml:space="preserve"> a </w:t>
            </w:r>
            <w:r w:rsidRPr="00826586">
              <w:rPr>
                <w:rFonts w:ascii="Times New Roman" w:hAnsi="Times New Roman"/>
                <w:sz w:val="24"/>
              </w:rPr>
              <w:t>tohto vzoru.</w:t>
            </w:r>
          </w:p>
          <w:p w14:paraId="61506003" w14:textId="005CBD31" w:rsidR="00F43911" w:rsidRPr="00826586" w:rsidRDefault="00F43911" w:rsidP="004F3087">
            <w:pPr>
              <w:spacing w:after="240"/>
              <w:jc w:val="both"/>
              <w:rPr>
                <w:rFonts w:ascii="Times New Roman" w:eastAsia="Times New Roman" w:hAnsi="Times New Roman" w:cs="Times New Roman"/>
                <w:sz w:val="24"/>
              </w:rPr>
            </w:pPr>
            <w:r w:rsidRPr="00826586">
              <w:rPr>
                <w:rFonts w:ascii="Times New Roman" w:hAnsi="Times New Roman"/>
                <w:sz w:val="24"/>
              </w:rPr>
              <w:t>Zverejňovaná hodnota splatnosti sa určuje</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162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2E8E0E01" w14:textId="77777777" w:rsidTr="004F3087">
        <w:trPr>
          <w:trHeight w:val="680"/>
        </w:trPr>
        <w:tc>
          <w:tcPr>
            <w:tcW w:w="1384" w:type="dxa"/>
          </w:tcPr>
          <w:p w14:paraId="4C6CFCE7" w14:textId="77777777" w:rsidR="00F43911" w:rsidRPr="00826586" w:rsidRDefault="00F43911" w:rsidP="004F3087">
            <w:pPr>
              <w:pStyle w:val="Applicationdirecte"/>
              <w:spacing w:before="0" w:after="240"/>
              <w:jc w:val="center"/>
            </w:pPr>
            <w:r w:rsidRPr="00826586">
              <w:t>f</w:t>
            </w:r>
          </w:p>
        </w:tc>
        <w:tc>
          <w:tcPr>
            <w:tcW w:w="7655" w:type="dxa"/>
            <w:vAlign w:val="center"/>
          </w:tcPr>
          <w:p w14:paraId="0C2EFBAB" w14:textId="77777777" w:rsidR="00F43911" w:rsidRPr="00826586" w:rsidRDefault="00F43911" w:rsidP="004F3087">
            <w:pPr>
              <w:spacing w:after="240"/>
              <w:rPr>
                <w:rFonts w:ascii="Times New Roman" w:eastAsia="Times New Roman" w:hAnsi="Times New Roman" w:cs="Times New Roman"/>
                <w:b/>
                <w:sz w:val="24"/>
              </w:rPr>
            </w:pPr>
            <w:r w:rsidRPr="00826586">
              <w:rPr>
                <w:rFonts w:ascii="Times New Roman" w:hAnsi="Times New Roman"/>
                <w:b/>
                <w:sz w:val="24"/>
              </w:rPr>
              <w:t>RWEA</w:t>
            </w:r>
          </w:p>
          <w:p w14:paraId="0179891F" w14:textId="309B3940" w:rsidR="00F43911" w:rsidRPr="00826586" w:rsidRDefault="00F43911" w:rsidP="004F3087">
            <w:pPr>
              <w:spacing w:after="240"/>
              <w:jc w:val="both"/>
              <w:rPr>
                <w:rFonts w:ascii="Times New Roman" w:eastAsia="Times New Roman" w:hAnsi="Times New Roman" w:cs="Times New Roman"/>
                <w:i/>
                <w:sz w:val="24"/>
              </w:rPr>
            </w:pPr>
            <w:r w:rsidRPr="00826586">
              <w:rPr>
                <w:rFonts w:ascii="Times New Roman" w:hAnsi="Times New Roman"/>
                <w:sz w:val="24"/>
              </w:rPr>
              <w:t>Hodnoty rizikovo vážených expozícií vypočítané</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treťou časťou hlavou II kapitolou 3 nariadenia (EÚ) </w:t>
            </w:r>
            <w:r w:rsidR="00826586">
              <w:rPr>
                <w:rFonts w:ascii="Times New Roman" w:hAnsi="Times New Roman"/>
                <w:sz w:val="24"/>
              </w:rPr>
              <w:t>č. </w:t>
            </w:r>
            <w:r w:rsidRPr="00826586">
              <w:rPr>
                <w:rFonts w:ascii="Times New Roman" w:hAnsi="Times New Roman"/>
                <w:sz w:val="24"/>
              </w:rPr>
              <w:t>575/2013; pri expozíciách voči ústredným vládam</w:t>
            </w:r>
            <w:r w:rsidR="00826586">
              <w:rPr>
                <w:rFonts w:ascii="Times New Roman" w:hAnsi="Times New Roman"/>
                <w:sz w:val="24"/>
              </w:rPr>
              <w:t xml:space="preserve"> a </w:t>
            </w:r>
            <w:r w:rsidRPr="00826586">
              <w:rPr>
                <w:rFonts w:ascii="Times New Roman" w:hAnsi="Times New Roman"/>
                <w:sz w:val="24"/>
              </w:rPr>
              <w:t>centrálnym bankám, inštitúciám</w:t>
            </w:r>
            <w:r w:rsidR="00826586">
              <w:rPr>
                <w:rFonts w:ascii="Times New Roman" w:hAnsi="Times New Roman"/>
                <w:sz w:val="24"/>
              </w:rPr>
              <w:t xml:space="preserve"> a </w:t>
            </w:r>
            <w:r w:rsidRPr="00826586">
              <w:rPr>
                <w:rFonts w:ascii="Times New Roman" w:hAnsi="Times New Roman"/>
                <w:sz w:val="24"/>
              </w:rPr>
              <w:t>podnikateľským subjektom hodnota rizikovo váženej expozície vypočítaná</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153 ods. 1 až 4 nariadenia (EÚ) </w:t>
            </w:r>
            <w:r w:rsidR="00826586">
              <w:rPr>
                <w:rFonts w:ascii="Times New Roman" w:hAnsi="Times New Roman"/>
                <w:sz w:val="24"/>
              </w:rPr>
              <w:t>č. </w:t>
            </w:r>
            <w:r w:rsidRPr="00826586">
              <w:rPr>
                <w:rFonts w:ascii="Times New Roman" w:hAnsi="Times New Roman"/>
                <w:sz w:val="24"/>
              </w:rPr>
              <w:t>575/2013; Zohľadňujú sa faktory na podporu MSP</w:t>
            </w:r>
            <w:r w:rsidR="00826586">
              <w:rPr>
                <w:rFonts w:ascii="Times New Roman" w:hAnsi="Times New Roman"/>
                <w:sz w:val="24"/>
              </w:rPr>
              <w:t xml:space="preserve"> a </w:t>
            </w:r>
            <w:r w:rsidRPr="00826586">
              <w:rPr>
                <w:rFonts w:ascii="Times New Roman" w:hAnsi="Times New Roman"/>
                <w:sz w:val="24"/>
              </w:rPr>
              <w:t>infraštruktúry určené</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článkami 501</w:t>
            </w:r>
            <w:r w:rsidR="00826586">
              <w:rPr>
                <w:rFonts w:ascii="Times New Roman" w:hAnsi="Times New Roman"/>
                <w:sz w:val="24"/>
              </w:rPr>
              <w:t xml:space="preserve"> a </w:t>
            </w:r>
            <w:r w:rsidRPr="00826586">
              <w:rPr>
                <w:rFonts w:ascii="Times New Roman" w:hAnsi="Times New Roman"/>
                <w:sz w:val="24"/>
              </w:rPr>
              <w:t xml:space="preserve">501a nariadenia (EÚ) </w:t>
            </w:r>
            <w:r w:rsidR="00826586">
              <w:rPr>
                <w:rFonts w:ascii="Times New Roman" w:hAnsi="Times New Roman"/>
                <w:sz w:val="24"/>
              </w:rPr>
              <w:t>č. </w:t>
            </w:r>
            <w:r w:rsidRPr="00826586">
              <w:rPr>
                <w:rFonts w:ascii="Times New Roman" w:hAnsi="Times New Roman"/>
                <w:sz w:val="24"/>
              </w:rPr>
              <w:t>575/2013; pri kapitálových expozíciách</w:t>
            </w:r>
            <w:r w:rsidR="00826586">
              <w:rPr>
                <w:rFonts w:ascii="Times New Roman" w:hAnsi="Times New Roman"/>
                <w:sz w:val="24"/>
              </w:rPr>
              <w:t xml:space="preserve"> v </w:t>
            </w:r>
            <w:r w:rsidRPr="00826586">
              <w:rPr>
                <w:rFonts w:ascii="Times New Roman" w:hAnsi="Times New Roman"/>
                <w:sz w:val="24"/>
              </w:rPr>
              <w:t>rámci prístupu PD/LGD hodnota rizikovo váženej expozície vypočítaná</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článkom 155 ods. 3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4DB973B0" w14:textId="77777777" w:rsidTr="004F3087">
        <w:trPr>
          <w:trHeight w:val="680"/>
        </w:trPr>
        <w:tc>
          <w:tcPr>
            <w:tcW w:w="1384" w:type="dxa"/>
          </w:tcPr>
          <w:p w14:paraId="1ABC087F" w14:textId="77777777" w:rsidR="00F43911" w:rsidRPr="00826586" w:rsidRDefault="00F43911" w:rsidP="004F3087">
            <w:pPr>
              <w:pStyle w:val="Applicationdirecte"/>
              <w:spacing w:before="0" w:after="240"/>
              <w:jc w:val="center"/>
            </w:pPr>
            <w:r w:rsidRPr="00826586">
              <w:t>g</w:t>
            </w:r>
          </w:p>
        </w:tc>
        <w:tc>
          <w:tcPr>
            <w:tcW w:w="7655" w:type="dxa"/>
            <w:vAlign w:val="center"/>
          </w:tcPr>
          <w:p w14:paraId="3A9E9DBB" w14:textId="77777777" w:rsidR="00F43911" w:rsidRPr="00826586" w:rsidRDefault="00F43911" w:rsidP="004F3087">
            <w:pPr>
              <w:spacing w:after="240"/>
              <w:rPr>
                <w:rFonts w:ascii="Times New Roman" w:eastAsia="Times New Roman" w:hAnsi="Times New Roman" w:cs="Times New Roman"/>
                <w:b/>
                <w:sz w:val="24"/>
              </w:rPr>
            </w:pPr>
            <w:r w:rsidRPr="00826586">
              <w:rPr>
                <w:rFonts w:ascii="Times New Roman" w:hAnsi="Times New Roman"/>
                <w:b/>
                <w:sz w:val="24"/>
              </w:rPr>
              <w:t>Hustota hodnôt rizikovo vážených expozícií</w:t>
            </w:r>
          </w:p>
          <w:p w14:paraId="7215E9DB" w14:textId="6278ED43"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Pomer celkových hodnôt rizikovo vážených expozícií (uvedených</w:t>
            </w:r>
            <w:r w:rsidR="00826586">
              <w:rPr>
                <w:rFonts w:ascii="Times New Roman" w:hAnsi="Times New Roman"/>
                <w:sz w:val="24"/>
              </w:rPr>
              <w:t xml:space="preserve"> v </w:t>
            </w:r>
            <w:r w:rsidRPr="00826586">
              <w:rPr>
                <w:rFonts w:ascii="Times New Roman" w:hAnsi="Times New Roman"/>
                <w:sz w:val="24"/>
              </w:rPr>
              <w:t>stĺpci f tohto vzoru)</w:t>
            </w:r>
            <w:r w:rsidR="00826586">
              <w:rPr>
                <w:rFonts w:ascii="Times New Roman" w:hAnsi="Times New Roman"/>
                <w:sz w:val="24"/>
              </w:rPr>
              <w:t xml:space="preserve"> k </w:t>
            </w:r>
            <w:r w:rsidRPr="00826586">
              <w:rPr>
                <w:rFonts w:ascii="Times New Roman" w:hAnsi="Times New Roman"/>
                <w:sz w:val="24"/>
              </w:rPr>
              <w:t>hodnote expozície (uvedenej</w:t>
            </w:r>
            <w:r w:rsidR="00826586">
              <w:rPr>
                <w:rFonts w:ascii="Times New Roman" w:hAnsi="Times New Roman"/>
                <w:sz w:val="24"/>
              </w:rPr>
              <w:t xml:space="preserve"> v </w:t>
            </w:r>
            <w:r w:rsidRPr="00826586">
              <w:rPr>
                <w:rFonts w:ascii="Times New Roman" w:hAnsi="Times New Roman"/>
                <w:sz w:val="24"/>
              </w:rPr>
              <w:t>stĺpci</w:t>
            </w:r>
            <w:r w:rsidR="00826586">
              <w:rPr>
                <w:rFonts w:ascii="Times New Roman" w:hAnsi="Times New Roman"/>
                <w:sz w:val="24"/>
              </w:rPr>
              <w:t xml:space="preserve"> a </w:t>
            </w:r>
            <w:r w:rsidRPr="00826586">
              <w:rPr>
                <w:rFonts w:ascii="Times New Roman" w:hAnsi="Times New Roman"/>
                <w:sz w:val="24"/>
              </w:rPr>
              <w:t>tohto vzoru)</w:t>
            </w:r>
          </w:p>
        </w:tc>
      </w:tr>
    </w:tbl>
    <w:p w14:paraId="5E980DF6" w14:textId="77777777" w:rsidR="00F43911" w:rsidRPr="00826586" w:rsidRDefault="00F43911" w:rsidP="00F43911">
      <w:pPr>
        <w:pStyle w:val="Titlelevel2"/>
        <w:spacing w:before="0"/>
        <w:rPr>
          <w:rFonts w:ascii="Times New Roman" w:hAnsi="Times New Roman" w:cs="Times New Roman"/>
          <w:color w:val="auto"/>
          <w:sz w:val="24"/>
        </w:rPr>
      </w:pPr>
    </w:p>
    <w:p w14:paraId="0A5C8D35" w14:textId="77777777" w:rsidR="00F43911" w:rsidRPr="00826586" w:rsidRDefault="00F43911" w:rsidP="00F43911">
      <w:pPr>
        <w:pStyle w:val="Titlelevel2"/>
        <w:spacing w:before="0"/>
        <w:rPr>
          <w:rFonts w:ascii="Times New Roman" w:hAnsi="Times New Roman" w:cs="Times New Roman"/>
          <w:color w:val="auto"/>
          <w:sz w:val="24"/>
        </w:rPr>
      </w:pPr>
      <w:r w:rsidRPr="00826586">
        <w:rPr>
          <w:rFonts w:ascii="Times New Roman" w:hAnsi="Times New Roman"/>
          <w:b/>
          <w:color w:val="auto"/>
          <w:sz w:val="24"/>
        </w:rPr>
        <w:t xml:space="preserve">Vzor EU CCR5 – Zloženie kolaterálu pre expozície voči CCR: </w:t>
      </w:r>
      <w:r w:rsidRPr="00826586">
        <w:rPr>
          <w:rFonts w:ascii="Times New Roman" w:hAnsi="Times New Roman"/>
          <w:color w:val="auto"/>
          <w:sz w:val="24"/>
        </w:rPr>
        <w:t>Pevné stĺpce</w:t>
      </w:r>
    </w:p>
    <w:p w14:paraId="1BA1E0E1" w14:textId="10CCB3B6" w:rsidR="00F43911" w:rsidRPr="001A2287"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1A2287">
        <w:rPr>
          <w:rFonts w:ascii="Times New Roman" w:hAnsi="Times New Roman"/>
          <w:color w:val="auto"/>
          <w:sz w:val="24"/>
        </w:rPr>
        <w:t>Inštitúcie zverejňujú informácie uvedené</w:t>
      </w:r>
      <w:r w:rsidR="00826586" w:rsidRPr="001A2287">
        <w:rPr>
          <w:rFonts w:ascii="Times New Roman" w:hAnsi="Times New Roman"/>
          <w:color w:val="auto"/>
          <w:sz w:val="24"/>
        </w:rPr>
        <w:t xml:space="preserve"> v </w:t>
      </w:r>
      <w:r w:rsidRPr="001A2287">
        <w:rPr>
          <w:rFonts w:ascii="Times New Roman" w:hAnsi="Times New Roman"/>
          <w:color w:val="auto"/>
          <w:sz w:val="24"/>
        </w:rPr>
        <w:t xml:space="preserve">článku 439 písm. e) nariadenia (EÚ) </w:t>
      </w:r>
      <w:r w:rsidR="00826586" w:rsidRPr="001A2287">
        <w:rPr>
          <w:rFonts w:ascii="Times New Roman" w:hAnsi="Times New Roman"/>
          <w:color w:val="auto"/>
          <w:sz w:val="24"/>
        </w:rPr>
        <w:t>č. </w:t>
      </w:r>
      <w:r w:rsidRPr="001A2287">
        <w:rPr>
          <w:rFonts w:ascii="Times New Roman" w:hAnsi="Times New Roman"/>
          <w:color w:val="auto"/>
          <w:sz w:val="24"/>
        </w:rPr>
        <w:t>575/2013 podľa pokynov uvedených nižšie</w:t>
      </w:r>
      <w:r w:rsidR="00826586" w:rsidRPr="001A2287">
        <w:rPr>
          <w:rFonts w:ascii="Times New Roman" w:hAnsi="Times New Roman"/>
          <w:color w:val="auto"/>
          <w:sz w:val="24"/>
        </w:rPr>
        <w:t xml:space="preserve"> v </w:t>
      </w:r>
      <w:r w:rsidRPr="001A2287">
        <w:rPr>
          <w:rFonts w:ascii="Times New Roman" w:hAnsi="Times New Roman"/>
          <w:color w:val="auto"/>
          <w:sz w:val="24"/>
        </w:rPr>
        <w:t>tejto prílohe</w:t>
      </w:r>
      <w:r w:rsidR="00826586" w:rsidRPr="001A2287">
        <w:rPr>
          <w:rFonts w:ascii="Times New Roman" w:hAnsi="Times New Roman"/>
          <w:color w:val="auto"/>
          <w:sz w:val="24"/>
        </w:rPr>
        <w:t xml:space="preserve"> s </w:t>
      </w:r>
      <w:r w:rsidRPr="001A2287">
        <w:rPr>
          <w:rFonts w:ascii="Times New Roman" w:hAnsi="Times New Roman"/>
          <w:color w:val="auto"/>
          <w:sz w:val="24"/>
        </w:rPr>
        <w:t>cieľom vyplniť vzor EU CCR5, ktorý je uvedený</w:t>
      </w:r>
      <w:r w:rsidR="00826586" w:rsidRPr="001A2287">
        <w:rPr>
          <w:rFonts w:ascii="Times New Roman" w:hAnsi="Times New Roman"/>
          <w:color w:val="auto"/>
          <w:sz w:val="24"/>
        </w:rPr>
        <w:t xml:space="preserve"> v </w:t>
      </w:r>
      <w:r w:rsidRPr="001A2287">
        <w:rPr>
          <w:rFonts w:ascii="Times New Roman" w:hAnsi="Times New Roman"/>
          <w:color w:val="auto"/>
          <w:sz w:val="24"/>
        </w:rPr>
        <w:t>prílohe XXV dokumentu</w:t>
      </w:r>
      <w:r w:rsidR="00826586" w:rsidRPr="001A2287">
        <w:rPr>
          <w:rFonts w:ascii="Times New Roman" w:hAnsi="Times New Roman"/>
          <w:color w:val="auto"/>
          <w:sz w:val="24"/>
        </w:rPr>
        <w:t xml:space="preserve"> s </w:t>
      </w:r>
      <w:r w:rsidRPr="001A2287">
        <w:rPr>
          <w:rFonts w:ascii="Times New Roman" w:hAnsi="Times New Roman"/>
          <w:color w:val="auto"/>
          <w:sz w:val="24"/>
        </w:rPr>
        <w:t>IT riešeniami orgánu EBA.</w:t>
      </w:r>
    </w:p>
    <w:p w14:paraId="083E650B" w14:textId="4612FDC2" w:rsidR="00826586" w:rsidRDefault="00F43911" w:rsidP="00F43911">
      <w:pPr>
        <w:pStyle w:val="Titlelevel2"/>
        <w:numPr>
          <w:ilvl w:val="0"/>
          <w:numId w:val="2"/>
        </w:numPr>
        <w:spacing w:before="0"/>
        <w:jc w:val="both"/>
        <w:rPr>
          <w:rFonts w:ascii="Times New Roman" w:hAnsi="Times New Roman"/>
          <w:color w:val="000000"/>
          <w:sz w:val="24"/>
        </w:rPr>
      </w:pPr>
      <w:r w:rsidRPr="00826586">
        <w:rPr>
          <w:rFonts w:ascii="Times New Roman" w:hAnsi="Times New Roman"/>
          <w:color w:val="000000"/>
          <w:sz w:val="24"/>
        </w:rPr>
        <w:t>V tomto vzore sa vypĺňajú reálne hodnoty kolaterálu (poskytnutého alebo prijatého), ktorý je použitý</w:t>
      </w:r>
      <w:r w:rsidR="00826586">
        <w:rPr>
          <w:rFonts w:ascii="Times New Roman" w:hAnsi="Times New Roman"/>
          <w:color w:val="000000"/>
          <w:sz w:val="24"/>
        </w:rPr>
        <w:t xml:space="preserve"> v </w:t>
      </w:r>
      <w:r w:rsidRPr="00826586">
        <w:rPr>
          <w:rFonts w:ascii="Times New Roman" w:hAnsi="Times New Roman"/>
          <w:color w:val="000000"/>
          <w:sz w:val="24"/>
        </w:rPr>
        <w:t>expozíciách voči CCR súvisiacich</w:t>
      </w:r>
      <w:r w:rsidR="00826586">
        <w:rPr>
          <w:rFonts w:ascii="Times New Roman" w:hAnsi="Times New Roman"/>
          <w:color w:val="000000"/>
          <w:sz w:val="24"/>
        </w:rPr>
        <w:t xml:space="preserve"> s </w:t>
      </w:r>
      <w:r w:rsidRPr="00826586">
        <w:rPr>
          <w:rFonts w:ascii="Times New Roman" w:hAnsi="Times New Roman"/>
          <w:color w:val="000000"/>
          <w:sz w:val="24"/>
        </w:rPr>
        <w:t xml:space="preserve">derivátovými transakciami alebo </w:t>
      </w:r>
      <w:r w:rsidRPr="00826586">
        <w:rPr>
          <w:rFonts w:ascii="Times New Roman" w:hAnsi="Times New Roman"/>
          <w:color w:val="000000"/>
          <w:sz w:val="24"/>
        </w:rPr>
        <w:lastRenderedPageBreak/>
        <w:t>SFT, bez ohľadu na to, či sa transakcie zúčtovávajú prostredníctvom CCP alebo nie,</w:t>
      </w:r>
      <w:r w:rsidR="00826586">
        <w:rPr>
          <w:rFonts w:ascii="Times New Roman" w:hAnsi="Times New Roman"/>
          <w:color w:val="000000"/>
          <w:sz w:val="24"/>
        </w:rPr>
        <w:t xml:space="preserve"> a </w:t>
      </w:r>
      <w:r w:rsidRPr="00826586">
        <w:rPr>
          <w:rFonts w:ascii="Times New Roman" w:hAnsi="Times New Roman"/>
          <w:color w:val="000000"/>
          <w:sz w:val="24"/>
        </w:rPr>
        <w:t>bez ohľadu na to, či sa kolaterál poskytuje CCP alebo nie</w:t>
      </w:r>
      <w:r w:rsidR="00826586">
        <w:rPr>
          <w:rFonts w:ascii="Times New Roman" w:hAnsi="Times New Roman"/>
          <w:color w:val="000000"/>
          <w:sz w:val="24"/>
        </w:rPr>
        <w:t>.</w:t>
      </w:r>
    </w:p>
    <w:p w14:paraId="35B1131B" w14:textId="7F639237" w:rsidR="00F43911" w:rsidRPr="0082658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26586">
        <w:rPr>
          <w:rFonts w:ascii="Times New Roman" w:hAnsi="Times New Roman"/>
          <w:color w:val="000000"/>
          <w:sz w:val="24"/>
        </w:rPr>
        <w:t>Ak centrálna banka členského štátu poskytne pomoc na zabezpečenie likvidity vo forme transakcií so swapmi na kolaterál, príslušný orgán môže inštitúciám udeliť výnimku</w:t>
      </w:r>
      <w:r w:rsidR="00826586">
        <w:rPr>
          <w:rFonts w:ascii="Times New Roman" w:hAnsi="Times New Roman"/>
          <w:color w:val="000000"/>
          <w:sz w:val="24"/>
        </w:rPr>
        <w:t xml:space="preserve"> z </w:t>
      </w:r>
      <w:r w:rsidRPr="00826586">
        <w:rPr>
          <w:rFonts w:ascii="Times New Roman" w:hAnsi="Times New Roman"/>
          <w:color w:val="000000"/>
          <w:sz w:val="24"/>
        </w:rPr>
        <w:t>poskytovania informácií</w:t>
      </w:r>
      <w:r w:rsidR="00826586">
        <w:rPr>
          <w:rFonts w:ascii="Times New Roman" w:hAnsi="Times New Roman"/>
          <w:color w:val="000000"/>
          <w:sz w:val="24"/>
        </w:rPr>
        <w:t xml:space="preserve"> v </w:t>
      </w:r>
      <w:r w:rsidRPr="00826586">
        <w:rPr>
          <w:rFonts w:ascii="Times New Roman" w:hAnsi="Times New Roman"/>
          <w:color w:val="000000"/>
          <w:sz w:val="24"/>
        </w:rPr>
        <w:t>tomto vzore, ak sa tento príslušný orgán domnieva, že zverejnenie týchto informácií by mohlo odhaliť poskytnutie núdzovej pomoci na zabezpečenie likvidity. Na tieto účely príslušný orgán stanovuje primerané prahové hodnoty</w:t>
      </w:r>
      <w:r w:rsidR="00826586">
        <w:rPr>
          <w:rFonts w:ascii="Times New Roman" w:hAnsi="Times New Roman"/>
          <w:color w:val="000000"/>
          <w:sz w:val="24"/>
        </w:rPr>
        <w:t xml:space="preserve"> a </w:t>
      </w:r>
      <w:r w:rsidRPr="00826586">
        <w:rPr>
          <w:rFonts w:ascii="Times New Roman" w:hAnsi="Times New Roman"/>
          <w:color w:val="000000"/>
          <w:sz w:val="24"/>
        </w:rPr>
        <w:t>objektívne kritériá.</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26586"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0D9E1458" w:rsidR="00F43911" w:rsidRPr="00826586" w:rsidRDefault="00F43911" w:rsidP="004F3087">
            <w:pPr>
              <w:spacing w:after="240"/>
              <w:rPr>
                <w:rFonts w:ascii="Times New Roman" w:hAnsi="Times New Roman" w:cs="Times New Roman"/>
                <w:b/>
                <w:sz w:val="24"/>
              </w:rPr>
            </w:pPr>
            <w:r w:rsidRPr="00826586">
              <w:rPr>
                <w:rFonts w:ascii="Times New Roman" w:hAnsi="Times New Roman"/>
                <w:b/>
                <w:sz w:val="24"/>
              </w:rPr>
              <w:t>Odkazy na právne predpisy</w:t>
            </w:r>
            <w:r w:rsidR="00826586">
              <w:rPr>
                <w:rFonts w:ascii="Times New Roman" w:hAnsi="Times New Roman"/>
                <w:b/>
                <w:sz w:val="24"/>
              </w:rPr>
              <w:t xml:space="preserve"> a </w:t>
            </w:r>
            <w:r w:rsidRPr="00826586">
              <w:rPr>
                <w:rFonts w:ascii="Times New Roman" w:hAnsi="Times New Roman"/>
                <w:b/>
                <w:sz w:val="24"/>
              </w:rPr>
              <w:t>pokyny</w:t>
            </w:r>
          </w:p>
        </w:tc>
      </w:tr>
      <w:tr w:rsidR="00F43911" w:rsidRPr="00826586" w14:paraId="32B68885" w14:textId="77777777" w:rsidTr="004F3087">
        <w:trPr>
          <w:trHeight w:val="238"/>
        </w:trPr>
        <w:tc>
          <w:tcPr>
            <w:tcW w:w="1384" w:type="dxa"/>
            <w:shd w:val="clear" w:color="auto" w:fill="D9D9D9" w:themeFill="background1" w:themeFillShade="D9"/>
          </w:tcPr>
          <w:p w14:paraId="61EC8932" w14:textId="77777777" w:rsidR="00F43911" w:rsidRPr="00826586" w:rsidRDefault="00F43911" w:rsidP="004F3087">
            <w:pPr>
              <w:autoSpaceDE w:val="0"/>
              <w:autoSpaceDN w:val="0"/>
              <w:adjustRightInd w:val="0"/>
              <w:spacing w:after="240"/>
              <w:jc w:val="center"/>
              <w:rPr>
                <w:rFonts w:ascii="Times New Roman" w:hAnsi="Times New Roman" w:cs="Times New Roman"/>
                <w:b/>
                <w:sz w:val="24"/>
              </w:rPr>
            </w:pPr>
            <w:r w:rsidRPr="00826586">
              <w:rPr>
                <w:rFonts w:ascii="Times New Roman" w:hAnsi="Times New Roman"/>
                <w:b/>
                <w:sz w:val="24"/>
              </w:rPr>
              <w:t>Číslo riadku</w:t>
            </w:r>
          </w:p>
        </w:tc>
        <w:tc>
          <w:tcPr>
            <w:tcW w:w="7655" w:type="dxa"/>
            <w:shd w:val="clear" w:color="auto" w:fill="D9D9D9" w:themeFill="background1" w:themeFillShade="D9"/>
          </w:tcPr>
          <w:p w14:paraId="4A5825FF" w14:textId="77777777" w:rsidR="00F43911" w:rsidRPr="00826586" w:rsidRDefault="00F43911" w:rsidP="004F3087">
            <w:pPr>
              <w:autoSpaceDE w:val="0"/>
              <w:autoSpaceDN w:val="0"/>
              <w:adjustRightInd w:val="0"/>
              <w:spacing w:after="240"/>
              <w:rPr>
                <w:rFonts w:ascii="Times New Roman" w:hAnsi="Times New Roman" w:cs="Times New Roman"/>
                <w:color w:val="000000"/>
                <w:sz w:val="24"/>
              </w:rPr>
            </w:pPr>
            <w:r w:rsidRPr="00826586">
              <w:rPr>
                <w:rFonts w:ascii="Times New Roman" w:hAnsi="Times New Roman"/>
                <w:b/>
                <w:sz w:val="24"/>
              </w:rPr>
              <w:t>Vysvetlenie</w:t>
            </w:r>
          </w:p>
        </w:tc>
      </w:tr>
      <w:tr w:rsidR="00F43911" w:rsidRPr="00826586" w14:paraId="40BB2DFC" w14:textId="77777777" w:rsidTr="004F3087">
        <w:trPr>
          <w:trHeight w:val="680"/>
        </w:trPr>
        <w:tc>
          <w:tcPr>
            <w:tcW w:w="1384" w:type="dxa"/>
          </w:tcPr>
          <w:p w14:paraId="1FA02AD6" w14:textId="77777777" w:rsidR="00F43911" w:rsidRPr="00826586" w:rsidRDefault="00F43911" w:rsidP="004F3087">
            <w:pPr>
              <w:pStyle w:val="Applicationdirecte"/>
              <w:spacing w:before="0" w:after="240"/>
              <w:jc w:val="center"/>
            </w:pPr>
            <w:r w:rsidRPr="00826586">
              <w:t>1 – 8</w:t>
            </w:r>
          </w:p>
        </w:tc>
        <w:tc>
          <w:tcPr>
            <w:tcW w:w="7655" w:type="dxa"/>
            <w:vAlign w:val="center"/>
          </w:tcPr>
          <w:p w14:paraId="5E982962" w14:textId="77777777" w:rsidR="00F43911" w:rsidRPr="00826586" w:rsidRDefault="00F43911" w:rsidP="004F3087">
            <w:pPr>
              <w:spacing w:after="240"/>
              <w:jc w:val="both"/>
              <w:rPr>
                <w:rFonts w:ascii="Times New Roman" w:eastAsia="Times New Roman" w:hAnsi="Times New Roman" w:cs="Times New Roman"/>
                <w:b/>
                <w:sz w:val="24"/>
              </w:rPr>
            </w:pPr>
            <w:r w:rsidRPr="00826586">
              <w:rPr>
                <w:rFonts w:ascii="Times New Roman" w:hAnsi="Times New Roman"/>
                <w:b/>
                <w:sz w:val="24"/>
              </w:rPr>
              <w:t>Druh kolaterálu</w:t>
            </w:r>
          </w:p>
          <w:p w14:paraId="0E78860C" w14:textId="77777777"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Rozčlenenie podľa druhu kolaterálu.</w:t>
            </w:r>
          </w:p>
        </w:tc>
      </w:tr>
      <w:tr w:rsidR="00F43911" w:rsidRPr="00826586" w14:paraId="2B9EF130" w14:textId="77777777" w:rsidTr="004F3087">
        <w:trPr>
          <w:trHeight w:val="680"/>
        </w:trPr>
        <w:tc>
          <w:tcPr>
            <w:tcW w:w="1384" w:type="dxa"/>
          </w:tcPr>
          <w:p w14:paraId="67DFFC27" w14:textId="77777777" w:rsidR="00F43911" w:rsidRPr="00826586" w:rsidRDefault="00F43911" w:rsidP="004F3087">
            <w:pPr>
              <w:pStyle w:val="Applicationdirecte"/>
              <w:spacing w:before="0" w:after="240"/>
              <w:jc w:val="center"/>
            </w:pPr>
            <w:r w:rsidRPr="00826586">
              <w:t>9</w:t>
            </w:r>
          </w:p>
        </w:tc>
        <w:tc>
          <w:tcPr>
            <w:tcW w:w="7655" w:type="dxa"/>
          </w:tcPr>
          <w:p w14:paraId="16D95BAE" w14:textId="77777777" w:rsidR="00F43911" w:rsidRPr="00826586" w:rsidRDefault="00F43911" w:rsidP="004F3087">
            <w:pPr>
              <w:spacing w:after="240"/>
              <w:rPr>
                <w:rFonts w:ascii="Times New Roman" w:eastAsia="Times New Roman" w:hAnsi="Times New Roman" w:cs="Times New Roman"/>
                <w:b/>
                <w:sz w:val="24"/>
              </w:rPr>
            </w:pPr>
            <w:r w:rsidRPr="00826586">
              <w:rPr>
                <w:rFonts w:ascii="Times New Roman" w:hAnsi="Times New Roman"/>
                <w:b/>
                <w:sz w:val="24"/>
              </w:rPr>
              <w:t>Spolu</w:t>
            </w:r>
          </w:p>
        </w:tc>
      </w:tr>
      <w:tr w:rsidR="00F43911" w:rsidRPr="00826586"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826586" w:rsidRDefault="00F43911" w:rsidP="004F3087">
            <w:pPr>
              <w:pStyle w:val="Applicationdirecte"/>
              <w:spacing w:before="0" w:after="240"/>
              <w:jc w:val="center"/>
              <w:rPr>
                <w:b/>
              </w:rPr>
            </w:pPr>
            <w:r w:rsidRPr="00826586">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826586" w:rsidRDefault="00F43911" w:rsidP="004F3087">
            <w:pPr>
              <w:pStyle w:val="TableMainHeading"/>
              <w:spacing w:before="0" w:after="240"/>
              <w:rPr>
                <w:rFonts w:ascii="Times New Roman" w:hAnsi="Times New Roman"/>
                <w:b/>
                <w:sz w:val="24"/>
                <w:szCs w:val="24"/>
              </w:rPr>
            </w:pPr>
            <w:r w:rsidRPr="00826586">
              <w:rPr>
                <w:rFonts w:ascii="Times New Roman" w:hAnsi="Times New Roman"/>
                <w:b/>
                <w:sz w:val="24"/>
              </w:rPr>
              <w:t>Vysvetlenie</w:t>
            </w:r>
          </w:p>
        </w:tc>
      </w:tr>
      <w:tr w:rsidR="00F43911" w:rsidRPr="00826586" w14:paraId="1561EBA0" w14:textId="77777777" w:rsidTr="004F3087">
        <w:trPr>
          <w:trHeight w:val="416"/>
        </w:trPr>
        <w:tc>
          <w:tcPr>
            <w:tcW w:w="1384" w:type="dxa"/>
          </w:tcPr>
          <w:p w14:paraId="338F53CF" w14:textId="1D722E14" w:rsidR="00F43911" w:rsidRPr="00826586" w:rsidRDefault="00F43911" w:rsidP="004F3087">
            <w:pPr>
              <w:pStyle w:val="Applicationdirecte"/>
              <w:spacing w:before="0" w:after="240"/>
              <w:jc w:val="center"/>
            </w:pPr>
            <w:r w:rsidRPr="00826586">
              <w:t>a, c, e</w:t>
            </w:r>
            <w:r w:rsidR="00826586">
              <w:t xml:space="preserve"> a </w:t>
            </w:r>
            <w:r w:rsidRPr="00826586">
              <w:t>g</w:t>
            </w:r>
          </w:p>
        </w:tc>
        <w:tc>
          <w:tcPr>
            <w:tcW w:w="7655" w:type="dxa"/>
            <w:vAlign w:val="center"/>
          </w:tcPr>
          <w:p w14:paraId="1C8EF39C" w14:textId="77777777" w:rsidR="00F43911" w:rsidRPr="00826586" w:rsidRDefault="00F43911" w:rsidP="004F3087">
            <w:pPr>
              <w:spacing w:after="240"/>
              <w:jc w:val="both"/>
              <w:rPr>
                <w:rFonts w:ascii="Times New Roman" w:eastAsia="Calibri" w:hAnsi="Times New Roman" w:cs="Times New Roman"/>
                <w:b/>
                <w:sz w:val="24"/>
              </w:rPr>
            </w:pPr>
            <w:r w:rsidRPr="00826586">
              <w:rPr>
                <w:rFonts w:ascii="Times New Roman" w:hAnsi="Times New Roman"/>
                <w:b/>
                <w:sz w:val="24"/>
              </w:rPr>
              <w:t>Oddelený</w:t>
            </w:r>
          </w:p>
          <w:p w14:paraId="33245F1F" w14:textId="47B4DF6A"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Kolaterál, ktorý je držaný spôsobom odolným voči konkurzu</w:t>
            </w:r>
            <w:r w:rsidR="00826586">
              <w:rPr>
                <w:rFonts w:ascii="Times New Roman" w:hAnsi="Times New Roman"/>
                <w:sz w:val="24"/>
              </w:rPr>
              <w:t xml:space="preserve"> v </w:t>
            </w:r>
            <w:r w:rsidRPr="00826586">
              <w:rPr>
                <w:rFonts w:ascii="Times New Roman" w:hAnsi="Times New Roman"/>
                <w:sz w:val="24"/>
              </w:rPr>
              <w:t>zmysle vymedzenia</w:t>
            </w:r>
            <w:r w:rsidR="00826586">
              <w:rPr>
                <w:rFonts w:ascii="Times New Roman" w:hAnsi="Times New Roman"/>
                <w:sz w:val="24"/>
              </w:rPr>
              <w:t xml:space="preserve"> v </w:t>
            </w:r>
            <w:r w:rsidRPr="00826586">
              <w:rPr>
                <w:rFonts w:ascii="Times New Roman" w:hAnsi="Times New Roman"/>
                <w:sz w:val="24"/>
              </w:rPr>
              <w:t xml:space="preserve">článku 300 ods. 1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7FF41939" w14:textId="77777777" w:rsidTr="004F3087">
        <w:trPr>
          <w:trHeight w:val="680"/>
        </w:trPr>
        <w:tc>
          <w:tcPr>
            <w:tcW w:w="1384" w:type="dxa"/>
          </w:tcPr>
          <w:p w14:paraId="689917EA" w14:textId="04ADC71E" w:rsidR="00F43911" w:rsidRPr="00826586" w:rsidRDefault="00F43911" w:rsidP="004F3087">
            <w:pPr>
              <w:pStyle w:val="Applicationdirecte"/>
              <w:spacing w:before="0" w:after="240"/>
              <w:jc w:val="center"/>
            </w:pPr>
            <w:r w:rsidRPr="00826586">
              <w:t>b, d, f</w:t>
            </w:r>
            <w:r w:rsidR="00826586">
              <w:t xml:space="preserve"> a </w:t>
            </w:r>
            <w:r w:rsidRPr="00826586">
              <w:t>h</w:t>
            </w:r>
          </w:p>
        </w:tc>
        <w:tc>
          <w:tcPr>
            <w:tcW w:w="7655" w:type="dxa"/>
            <w:vAlign w:val="center"/>
          </w:tcPr>
          <w:p w14:paraId="54374E17" w14:textId="77777777" w:rsidR="00F43911" w:rsidRPr="00826586" w:rsidRDefault="00F43911" w:rsidP="004F3087">
            <w:pPr>
              <w:spacing w:after="240"/>
              <w:jc w:val="both"/>
              <w:rPr>
                <w:rFonts w:ascii="Times New Roman" w:eastAsia="Calibri" w:hAnsi="Times New Roman" w:cs="Times New Roman"/>
                <w:b/>
                <w:sz w:val="24"/>
              </w:rPr>
            </w:pPr>
            <w:r w:rsidRPr="00826586">
              <w:rPr>
                <w:rFonts w:ascii="Times New Roman" w:hAnsi="Times New Roman"/>
                <w:b/>
                <w:sz w:val="24"/>
              </w:rPr>
              <w:t>Neoddelený</w:t>
            </w:r>
          </w:p>
          <w:p w14:paraId="68BB9947" w14:textId="6E18B683"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Kolaterál, ktorý nie je držaný spôsobom odolným voči konkurzu</w:t>
            </w:r>
            <w:r w:rsidR="00826586">
              <w:rPr>
                <w:rFonts w:ascii="Times New Roman" w:hAnsi="Times New Roman"/>
                <w:sz w:val="24"/>
              </w:rPr>
              <w:t xml:space="preserve"> v </w:t>
            </w:r>
            <w:r w:rsidRPr="00826586">
              <w:rPr>
                <w:rFonts w:ascii="Times New Roman" w:hAnsi="Times New Roman"/>
                <w:sz w:val="24"/>
              </w:rPr>
              <w:t>zmysle vymedzenia</w:t>
            </w:r>
            <w:r w:rsidR="00826586">
              <w:rPr>
                <w:rFonts w:ascii="Times New Roman" w:hAnsi="Times New Roman"/>
                <w:sz w:val="24"/>
              </w:rPr>
              <w:t xml:space="preserve"> v </w:t>
            </w:r>
            <w:r w:rsidRPr="00826586">
              <w:rPr>
                <w:rFonts w:ascii="Times New Roman" w:hAnsi="Times New Roman"/>
                <w:sz w:val="24"/>
              </w:rPr>
              <w:t xml:space="preserve">článku 300 ods. 1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432D8F5C" w14:textId="77777777" w:rsidTr="004F3087">
        <w:trPr>
          <w:trHeight w:val="680"/>
        </w:trPr>
        <w:tc>
          <w:tcPr>
            <w:tcW w:w="1384" w:type="dxa"/>
          </w:tcPr>
          <w:p w14:paraId="52789724" w14:textId="77777777" w:rsidR="00F43911" w:rsidRPr="00826586" w:rsidRDefault="00F43911" w:rsidP="004F3087">
            <w:pPr>
              <w:pStyle w:val="Applicationdirecte"/>
              <w:spacing w:before="0" w:after="240"/>
              <w:jc w:val="center"/>
            </w:pPr>
            <w:r w:rsidRPr="00826586">
              <w:t>a až d</w:t>
            </w:r>
          </w:p>
        </w:tc>
        <w:tc>
          <w:tcPr>
            <w:tcW w:w="7655" w:type="dxa"/>
            <w:vAlign w:val="center"/>
          </w:tcPr>
          <w:p w14:paraId="774B2E98" w14:textId="153001F9" w:rsidR="00F43911" w:rsidRPr="00826586" w:rsidRDefault="00F43911" w:rsidP="004F3087">
            <w:pPr>
              <w:pStyle w:val="numberedparagraph"/>
              <w:numPr>
                <w:ilvl w:val="0"/>
                <w:numId w:val="0"/>
              </w:numPr>
              <w:spacing w:before="0" w:after="240" w:line="240" w:lineRule="auto"/>
              <w:rPr>
                <w:rFonts w:ascii="Times New Roman" w:hAnsi="Times New Roman" w:cs="Times New Roman"/>
                <w:b/>
                <w:sz w:val="24"/>
              </w:rPr>
            </w:pPr>
            <w:r w:rsidRPr="00826586">
              <w:rPr>
                <w:rFonts w:ascii="Times New Roman" w:hAnsi="Times New Roman"/>
                <w:b/>
                <w:sz w:val="24"/>
              </w:rPr>
              <w:t>Kolaterál použitý</w:t>
            </w:r>
            <w:r w:rsidR="00826586">
              <w:rPr>
                <w:rFonts w:ascii="Times New Roman" w:hAnsi="Times New Roman"/>
                <w:b/>
                <w:sz w:val="24"/>
              </w:rPr>
              <w:t xml:space="preserve"> v </w:t>
            </w:r>
            <w:r w:rsidRPr="00826586">
              <w:rPr>
                <w:rFonts w:ascii="Times New Roman" w:hAnsi="Times New Roman"/>
                <w:b/>
                <w:sz w:val="24"/>
              </w:rPr>
              <w:t>derivátových transakciách</w:t>
            </w:r>
          </w:p>
          <w:p w14:paraId="1A477A5A" w14:textId="2A6DE6E4" w:rsidR="00F43911" w:rsidRPr="00826586" w:rsidRDefault="00F43911" w:rsidP="004F3087">
            <w:pPr>
              <w:pStyle w:val="numberedparagraph"/>
              <w:numPr>
                <w:ilvl w:val="0"/>
                <w:numId w:val="0"/>
              </w:numPr>
              <w:spacing w:before="0" w:after="240" w:line="240" w:lineRule="auto"/>
              <w:rPr>
                <w:rFonts w:ascii="Times New Roman" w:hAnsi="Times New Roman" w:cs="Times New Roman"/>
                <w:sz w:val="24"/>
              </w:rPr>
            </w:pPr>
            <w:r w:rsidRPr="00826586">
              <w:rPr>
                <w:rFonts w:ascii="Times New Roman" w:hAnsi="Times New Roman"/>
                <w:sz w:val="24"/>
              </w:rPr>
              <w:t>Kolaterál (vrátane kolaterálu počiatočnej marže</w:t>
            </w:r>
            <w:r w:rsidR="00826586">
              <w:rPr>
                <w:rFonts w:ascii="Times New Roman" w:hAnsi="Times New Roman"/>
                <w:sz w:val="24"/>
              </w:rPr>
              <w:t xml:space="preserve"> a </w:t>
            </w:r>
            <w:r w:rsidRPr="00826586">
              <w:rPr>
                <w:rFonts w:ascii="Times New Roman" w:hAnsi="Times New Roman"/>
                <w:sz w:val="24"/>
              </w:rPr>
              <w:t>kolaterálu variačnej marže), ktorý je použitý</w:t>
            </w:r>
            <w:r w:rsidR="00826586">
              <w:rPr>
                <w:rFonts w:ascii="Times New Roman" w:hAnsi="Times New Roman"/>
                <w:sz w:val="24"/>
              </w:rPr>
              <w:t xml:space="preserve"> v </w:t>
            </w:r>
            <w:r w:rsidRPr="00826586">
              <w:rPr>
                <w:rFonts w:ascii="Times New Roman" w:hAnsi="Times New Roman"/>
                <w:sz w:val="24"/>
              </w:rPr>
              <w:t>expozíciách voči CCR súvisiacich</w:t>
            </w:r>
            <w:r w:rsidR="00826586">
              <w:rPr>
                <w:rFonts w:ascii="Times New Roman" w:hAnsi="Times New Roman"/>
                <w:sz w:val="24"/>
              </w:rPr>
              <w:t xml:space="preserve"> s </w:t>
            </w:r>
            <w:r w:rsidRPr="00826586">
              <w:rPr>
                <w:rFonts w:ascii="Times New Roman" w:hAnsi="Times New Roman"/>
                <w:sz w:val="24"/>
              </w:rPr>
              <w:t>akýmkoľvek derivátovým nástrojom uvedeným</w:t>
            </w:r>
            <w:r w:rsidR="00826586">
              <w:rPr>
                <w:rFonts w:ascii="Times New Roman" w:hAnsi="Times New Roman"/>
                <w:sz w:val="24"/>
              </w:rPr>
              <w:t xml:space="preserve"> v </w:t>
            </w:r>
            <w:r w:rsidRPr="00826586">
              <w:rPr>
                <w:rFonts w:ascii="Times New Roman" w:hAnsi="Times New Roman"/>
                <w:sz w:val="24"/>
              </w:rPr>
              <w:t>prílohe II</w:t>
            </w:r>
            <w:r w:rsidR="00826586">
              <w:rPr>
                <w:rFonts w:ascii="Times New Roman" w:hAnsi="Times New Roman"/>
                <w:sz w:val="24"/>
              </w:rPr>
              <w:t xml:space="preserve"> k </w:t>
            </w:r>
            <w:r w:rsidRPr="00826586">
              <w:rPr>
                <w:rFonts w:ascii="Times New Roman" w:hAnsi="Times New Roman"/>
                <w:sz w:val="24"/>
              </w:rPr>
              <w:t xml:space="preserve">nariadeniu (EÚ) </w:t>
            </w:r>
            <w:r w:rsidR="00826586">
              <w:rPr>
                <w:rFonts w:ascii="Times New Roman" w:hAnsi="Times New Roman"/>
                <w:sz w:val="24"/>
              </w:rPr>
              <w:t>č. </w:t>
            </w:r>
            <w:r w:rsidRPr="00826586">
              <w:rPr>
                <w:rFonts w:ascii="Times New Roman" w:hAnsi="Times New Roman"/>
                <w:sz w:val="24"/>
              </w:rPr>
              <w:t>575/2013 alebo</w:t>
            </w:r>
            <w:r w:rsidR="00826586">
              <w:rPr>
                <w:rFonts w:ascii="Times New Roman" w:hAnsi="Times New Roman"/>
                <w:sz w:val="24"/>
              </w:rPr>
              <w:t xml:space="preserve"> s </w:t>
            </w:r>
            <w:r w:rsidRPr="00826586">
              <w:rPr>
                <w:rFonts w:ascii="Times New Roman" w:hAnsi="Times New Roman"/>
                <w:sz w:val="24"/>
              </w:rPr>
              <w:t>transakciou</w:t>
            </w:r>
            <w:r w:rsidR="00826586">
              <w:rPr>
                <w:rFonts w:ascii="Times New Roman" w:hAnsi="Times New Roman"/>
                <w:sz w:val="24"/>
              </w:rPr>
              <w:t xml:space="preserve"> s </w:t>
            </w:r>
            <w:r w:rsidRPr="00826586">
              <w:rPr>
                <w:rFonts w:ascii="Times New Roman" w:hAnsi="Times New Roman"/>
                <w:sz w:val="24"/>
              </w:rPr>
              <w:t xml:space="preserve">dlhou dobou vyrovnania podľa článku 271 ods. 2 nariadenia (EÚ) </w:t>
            </w:r>
            <w:r w:rsidR="00826586">
              <w:rPr>
                <w:rFonts w:ascii="Times New Roman" w:hAnsi="Times New Roman"/>
                <w:sz w:val="24"/>
              </w:rPr>
              <w:t>č. </w:t>
            </w:r>
            <w:r w:rsidRPr="00826586">
              <w:rPr>
                <w:rFonts w:ascii="Times New Roman" w:hAnsi="Times New Roman"/>
                <w:sz w:val="24"/>
              </w:rPr>
              <w:t>575/2013, ktorá sa nekvalifikuje ako SFT.</w:t>
            </w:r>
          </w:p>
        </w:tc>
      </w:tr>
      <w:tr w:rsidR="00F43911" w:rsidRPr="00826586" w14:paraId="51EF5990" w14:textId="77777777" w:rsidTr="004F3087">
        <w:trPr>
          <w:trHeight w:val="680"/>
        </w:trPr>
        <w:tc>
          <w:tcPr>
            <w:tcW w:w="1384" w:type="dxa"/>
          </w:tcPr>
          <w:p w14:paraId="45E18CE5" w14:textId="77777777" w:rsidR="00F43911" w:rsidRPr="00826586" w:rsidRDefault="00F43911" w:rsidP="004F3087">
            <w:pPr>
              <w:pStyle w:val="Applicationdirecte"/>
              <w:spacing w:before="0" w:after="240"/>
              <w:jc w:val="center"/>
            </w:pPr>
            <w:r w:rsidRPr="00826586">
              <w:t>e až h</w:t>
            </w:r>
          </w:p>
        </w:tc>
        <w:tc>
          <w:tcPr>
            <w:tcW w:w="7655" w:type="dxa"/>
            <w:vAlign w:val="center"/>
          </w:tcPr>
          <w:p w14:paraId="78E70A2D" w14:textId="7BE5D669" w:rsidR="00F43911" w:rsidRPr="00826586" w:rsidRDefault="00F43911" w:rsidP="004F3087">
            <w:pPr>
              <w:pStyle w:val="numberedparagraph"/>
              <w:numPr>
                <w:ilvl w:val="0"/>
                <w:numId w:val="0"/>
              </w:numPr>
              <w:spacing w:before="0" w:after="240" w:line="240" w:lineRule="auto"/>
              <w:rPr>
                <w:rFonts w:ascii="Times New Roman" w:hAnsi="Times New Roman" w:cs="Times New Roman"/>
                <w:b/>
                <w:sz w:val="24"/>
              </w:rPr>
            </w:pPr>
            <w:r w:rsidRPr="00826586">
              <w:rPr>
                <w:rFonts w:ascii="Times New Roman" w:hAnsi="Times New Roman"/>
                <w:b/>
                <w:sz w:val="24"/>
              </w:rPr>
              <w:t>Kolaterál použitý</w:t>
            </w:r>
            <w:r w:rsidR="00826586">
              <w:rPr>
                <w:rFonts w:ascii="Times New Roman" w:hAnsi="Times New Roman"/>
                <w:b/>
                <w:sz w:val="24"/>
              </w:rPr>
              <w:t xml:space="preserve"> v </w:t>
            </w:r>
            <w:r w:rsidRPr="00826586">
              <w:rPr>
                <w:rFonts w:ascii="Times New Roman" w:hAnsi="Times New Roman"/>
                <w:b/>
                <w:sz w:val="24"/>
              </w:rPr>
              <w:t>SFT</w:t>
            </w:r>
          </w:p>
          <w:p w14:paraId="527E4A25" w14:textId="07708861" w:rsidR="00F43911" w:rsidRPr="00826586" w:rsidRDefault="00F43911" w:rsidP="004F3087">
            <w:pPr>
              <w:pStyle w:val="numberedparagraph"/>
              <w:numPr>
                <w:ilvl w:val="0"/>
                <w:numId w:val="0"/>
              </w:numPr>
              <w:spacing w:before="0" w:after="240" w:line="240" w:lineRule="auto"/>
              <w:rPr>
                <w:rFonts w:ascii="Times New Roman" w:hAnsi="Times New Roman" w:cs="Times New Roman"/>
                <w:sz w:val="24"/>
              </w:rPr>
            </w:pPr>
            <w:r w:rsidRPr="00826586">
              <w:rPr>
                <w:rFonts w:ascii="Times New Roman" w:hAnsi="Times New Roman"/>
                <w:sz w:val="24"/>
              </w:rPr>
              <w:t>Kolaterál (vrátane kolaterálu počiatočnej marže</w:t>
            </w:r>
            <w:r w:rsidR="00826586">
              <w:rPr>
                <w:rFonts w:ascii="Times New Roman" w:hAnsi="Times New Roman"/>
                <w:sz w:val="24"/>
              </w:rPr>
              <w:t xml:space="preserve"> a </w:t>
            </w:r>
            <w:r w:rsidRPr="00826586">
              <w:rPr>
                <w:rFonts w:ascii="Times New Roman" w:hAnsi="Times New Roman"/>
                <w:sz w:val="24"/>
              </w:rPr>
              <w:t>kolaterálu variačnej marže, ako aj kolaterálu, ktorý sa vyskytuje</w:t>
            </w:r>
            <w:r w:rsidR="00826586">
              <w:rPr>
                <w:rFonts w:ascii="Times New Roman" w:hAnsi="Times New Roman"/>
                <w:sz w:val="24"/>
              </w:rPr>
              <w:t xml:space="preserve"> v </w:t>
            </w:r>
            <w:r w:rsidRPr="00826586">
              <w:rPr>
                <w:rFonts w:ascii="Times New Roman" w:hAnsi="Times New Roman"/>
                <w:sz w:val="24"/>
              </w:rPr>
              <w:t>časti SFT týkajúcej sa cenných papierov), ktorý je použitý</w:t>
            </w:r>
            <w:r w:rsidR="00826586">
              <w:rPr>
                <w:rFonts w:ascii="Times New Roman" w:hAnsi="Times New Roman"/>
                <w:sz w:val="24"/>
              </w:rPr>
              <w:t xml:space="preserve"> v </w:t>
            </w:r>
            <w:r w:rsidRPr="00826586">
              <w:rPr>
                <w:rFonts w:ascii="Times New Roman" w:hAnsi="Times New Roman"/>
                <w:sz w:val="24"/>
              </w:rPr>
              <w:t>expozíciách voči CCR súvisiacich</w:t>
            </w:r>
            <w:r w:rsidR="00826586">
              <w:rPr>
                <w:rFonts w:ascii="Times New Roman" w:hAnsi="Times New Roman"/>
                <w:sz w:val="24"/>
              </w:rPr>
              <w:t xml:space="preserve"> s </w:t>
            </w:r>
            <w:r w:rsidRPr="00826586">
              <w:rPr>
                <w:rFonts w:ascii="Times New Roman" w:hAnsi="Times New Roman"/>
                <w:sz w:val="24"/>
              </w:rPr>
              <w:t>akoukoľvek SFT alebo transakciou</w:t>
            </w:r>
            <w:r w:rsidR="00826586">
              <w:rPr>
                <w:rFonts w:ascii="Times New Roman" w:hAnsi="Times New Roman"/>
                <w:sz w:val="24"/>
              </w:rPr>
              <w:t xml:space="preserve"> s </w:t>
            </w:r>
            <w:r w:rsidRPr="00826586">
              <w:rPr>
                <w:rFonts w:ascii="Times New Roman" w:hAnsi="Times New Roman"/>
                <w:sz w:val="24"/>
              </w:rPr>
              <w:t>dlhou dobou vyrovnania, ktorá sa nekvalifikuje ako derivát.</w:t>
            </w:r>
          </w:p>
        </w:tc>
      </w:tr>
    </w:tbl>
    <w:p w14:paraId="664BC745" w14:textId="77777777" w:rsidR="00F43911" w:rsidRPr="00826586" w:rsidRDefault="00F43911" w:rsidP="00F43911">
      <w:pPr>
        <w:pStyle w:val="Titlelevel2"/>
        <w:spacing w:before="0"/>
        <w:rPr>
          <w:rFonts w:ascii="Times New Roman" w:hAnsi="Times New Roman" w:cs="Times New Roman"/>
          <w:color w:val="auto"/>
          <w:sz w:val="24"/>
        </w:rPr>
      </w:pPr>
    </w:p>
    <w:p w14:paraId="042899BB" w14:textId="77777777" w:rsidR="00F43911" w:rsidRPr="00826586" w:rsidRDefault="00F43911" w:rsidP="00F43911">
      <w:pPr>
        <w:pStyle w:val="Titlelevel2"/>
        <w:spacing w:before="0"/>
        <w:rPr>
          <w:rFonts w:ascii="Times New Roman" w:hAnsi="Times New Roman" w:cs="Times New Roman"/>
          <w:color w:val="auto"/>
          <w:sz w:val="24"/>
        </w:rPr>
      </w:pPr>
      <w:r w:rsidRPr="00826586">
        <w:rPr>
          <w:rFonts w:ascii="Times New Roman" w:hAnsi="Times New Roman"/>
          <w:b/>
          <w:color w:val="auto"/>
          <w:sz w:val="24"/>
        </w:rPr>
        <w:lastRenderedPageBreak/>
        <w:t xml:space="preserve">Vzor EU CCR6 – Expozície kreditných derivátov: </w:t>
      </w:r>
      <w:r w:rsidRPr="00826586">
        <w:rPr>
          <w:rFonts w:ascii="Times New Roman" w:hAnsi="Times New Roman"/>
          <w:color w:val="auto"/>
          <w:sz w:val="24"/>
        </w:rPr>
        <w:t>Pevný formát</w:t>
      </w:r>
    </w:p>
    <w:p w14:paraId="249E517C" w14:textId="7F21C75F" w:rsidR="00F43911" w:rsidRPr="001A2287"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1A2287">
        <w:rPr>
          <w:rFonts w:ascii="Times New Roman" w:hAnsi="Times New Roman"/>
          <w:color w:val="auto"/>
          <w:sz w:val="24"/>
        </w:rPr>
        <w:t>Inštitúcie zverejňujú informácie uvedené</w:t>
      </w:r>
      <w:r w:rsidR="00826586" w:rsidRPr="001A2287">
        <w:rPr>
          <w:rFonts w:ascii="Times New Roman" w:hAnsi="Times New Roman"/>
          <w:color w:val="auto"/>
          <w:sz w:val="24"/>
        </w:rPr>
        <w:t xml:space="preserve"> v </w:t>
      </w:r>
      <w:r w:rsidRPr="001A2287">
        <w:rPr>
          <w:rFonts w:ascii="Times New Roman" w:hAnsi="Times New Roman"/>
          <w:color w:val="auto"/>
          <w:sz w:val="24"/>
        </w:rPr>
        <w:t xml:space="preserve">článku 439 písm. j) nariadenia (EÚ) </w:t>
      </w:r>
      <w:r w:rsidR="00826586" w:rsidRPr="001A2287">
        <w:rPr>
          <w:rFonts w:ascii="Times New Roman" w:hAnsi="Times New Roman"/>
          <w:color w:val="auto"/>
          <w:sz w:val="24"/>
        </w:rPr>
        <w:t>č. </w:t>
      </w:r>
      <w:r w:rsidRPr="001A2287">
        <w:rPr>
          <w:rFonts w:ascii="Times New Roman" w:hAnsi="Times New Roman"/>
          <w:color w:val="auto"/>
          <w:sz w:val="24"/>
        </w:rPr>
        <w:t>575/2013 podľa pokynov uvedených nižšie</w:t>
      </w:r>
      <w:r w:rsidR="00826586" w:rsidRPr="001A2287">
        <w:rPr>
          <w:rFonts w:ascii="Times New Roman" w:hAnsi="Times New Roman"/>
          <w:color w:val="auto"/>
          <w:sz w:val="24"/>
        </w:rPr>
        <w:t xml:space="preserve"> v </w:t>
      </w:r>
      <w:r w:rsidRPr="001A2287">
        <w:rPr>
          <w:rFonts w:ascii="Times New Roman" w:hAnsi="Times New Roman"/>
          <w:color w:val="auto"/>
          <w:sz w:val="24"/>
        </w:rPr>
        <w:t>tejto prílohe</w:t>
      </w:r>
      <w:r w:rsidR="00826586" w:rsidRPr="001A2287">
        <w:rPr>
          <w:rFonts w:ascii="Times New Roman" w:hAnsi="Times New Roman"/>
          <w:color w:val="auto"/>
          <w:sz w:val="24"/>
        </w:rPr>
        <w:t xml:space="preserve"> s </w:t>
      </w:r>
      <w:r w:rsidRPr="001A2287">
        <w:rPr>
          <w:rFonts w:ascii="Times New Roman" w:hAnsi="Times New Roman"/>
          <w:color w:val="auto"/>
          <w:sz w:val="24"/>
        </w:rPr>
        <w:t>cieľom vyplniť vzor EU CCR6, ktorý je uvedený</w:t>
      </w:r>
      <w:r w:rsidR="00826586" w:rsidRPr="001A2287">
        <w:rPr>
          <w:rFonts w:ascii="Times New Roman" w:hAnsi="Times New Roman"/>
          <w:color w:val="auto"/>
          <w:sz w:val="24"/>
        </w:rPr>
        <w:t xml:space="preserve"> v </w:t>
      </w:r>
      <w:r w:rsidRPr="001A2287">
        <w:rPr>
          <w:rFonts w:ascii="Times New Roman" w:hAnsi="Times New Roman"/>
          <w:color w:val="auto"/>
          <w:sz w:val="24"/>
        </w:rPr>
        <w:t>prílohe XXV dokumentu</w:t>
      </w:r>
      <w:r w:rsidR="00826586" w:rsidRPr="001A2287">
        <w:rPr>
          <w:rFonts w:ascii="Times New Roman" w:hAnsi="Times New Roman"/>
          <w:color w:val="auto"/>
          <w:sz w:val="24"/>
        </w:rPr>
        <w:t xml:space="preserve"> s </w:t>
      </w:r>
      <w:r w:rsidRPr="001A2287">
        <w:rPr>
          <w:rFonts w:ascii="Times New Roman" w:hAnsi="Times New Roman"/>
          <w:color w:val="auto"/>
          <w:sz w:val="24"/>
        </w:rPr>
        <w:t>IT riešeniami orgánu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26586"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60A40A13" w:rsidR="00F43911" w:rsidRPr="00826586" w:rsidRDefault="00F43911" w:rsidP="004F3087">
            <w:pPr>
              <w:spacing w:after="240"/>
              <w:rPr>
                <w:rFonts w:ascii="Times New Roman" w:hAnsi="Times New Roman" w:cs="Times New Roman"/>
                <w:b/>
                <w:sz w:val="24"/>
              </w:rPr>
            </w:pPr>
            <w:r w:rsidRPr="00826586">
              <w:rPr>
                <w:rFonts w:ascii="Times New Roman" w:hAnsi="Times New Roman"/>
                <w:b/>
                <w:sz w:val="24"/>
              </w:rPr>
              <w:t>Odkazy na právne predpisy</w:t>
            </w:r>
            <w:r w:rsidR="00826586">
              <w:rPr>
                <w:rFonts w:ascii="Times New Roman" w:hAnsi="Times New Roman"/>
                <w:b/>
                <w:sz w:val="24"/>
              </w:rPr>
              <w:t xml:space="preserve"> a </w:t>
            </w:r>
            <w:r w:rsidRPr="00826586">
              <w:rPr>
                <w:rFonts w:ascii="Times New Roman" w:hAnsi="Times New Roman"/>
                <w:b/>
                <w:sz w:val="24"/>
              </w:rPr>
              <w:t>pokyny</w:t>
            </w:r>
          </w:p>
        </w:tc>
      </w:tr>
      <w:tr w:rsidR="00F43911" w:rsidRPr="00826586" w14:paraId="123E5F61" w14:textId="77777777" w:rsidTr="004F3087">
        <w:trPr>
          <w:trHeight w:val="238"/>
        </w:trPr>
        <w:tc>
          <w:tcPr>
            <w:tcW w:w="1384" w:type="dxa"/>
            <w:shd w:val="clear" w:color="auto" w:fill="D9D9D9" w:themeFill="background1" w:themeFillShade="D9"/>
          </w:tcPr>
          <w:p w14:paraId="4E4AA3F7" w14:textId="77777777" w:rsidR="00F43911" w:rsidRPr="00826586" w:rsidRDefault="00F43911" w:rsidP="004F3087">
            <w:pPr>
              <w:autoSpaceDE w:val="0"/>
              <w:autoSpaceDN w:val="0"/>
              <w:adjustRightInd w:val="0"/>
              <w:spacing w:after="240"/>
              <w:jc w:val="center"/>
              <w:rPr>
                <w:rFonts w:ascii="Times New Roman" w:hAnsi="Times New Roman" w:cs="Times New Roman"/>
                <w:b/>
                <w:sz w:val="24"/>
              </w:rPr>
            </w:pPr>
            <w:r w:rsidRPr="00826586">
              <w:rPr>
                <w:rFonts w:ascii="Times New Roman" w:hAnsi="Times New Roman"/>
                <w:b/>
                <w:sz w:val="24"/>
              </w:rPr>
              <w:t>Číslo riadku</w:t>
            </w:r>
          </w:p>
        </w:tc>
        <w:tc>
          <w:tcPr>
            <w:tcW w:w="7655" w:type="dxa"/>
            <w:shd w:val="clear" w:color="auto" w:fill="D9D9D9" w:themeFill="background1" w:themeFillShade="D9"/>
          </w:tcPr>
          <w:p w14:paraId="20810F8D" w14:textId="77777777" w:rsidR="00F43911" w:rsidRPr="00826586" w:rsidRDefault="00F43911" w:rsidP="004F3087">
            <w:pPr>
              <w:autoSpaceDE w:val="0"/>
              <w:autoSpaceDN w:val="0"/>
              <w:adjustRightInd w:val="0"/>
              <w:spacing w:after="240"/>
              <w:rPr>
                <w:rFonts w:ascii="Times New Roman" w:hAnsi="Times New Roman" w:cs="Times New Roman"/>
                <w:color w:val="000000"/>
                <w:sz w:val="24"/>
              </w:rPr>
            </w:pPr>
            <w:r w:rsidRPr="00826586">
              <w:rPr>
                <w:rFonts w:ascii="Times New Roman" w:hAnsi="Times New Roman"/>
                <w:b/>
                <w:sz w:val="24"/>
              </w:rPr>
              <w:t>Vysvetlenie</w:t>
            </w:r>
          </w:p>
        </w:tc>
      </w:tr>
      <w:tr w:rsidR="00F43911" w:rsidRPr="00826586"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826586" w:rsidRDefault="00F43911" w:rsidP="004F3087">
            <w:pPr>
              <w:autoSpaceDE w:val="0"/>
              <w:autoSpaceDN w:val="0"/>
              <w:adjustRightInd w:val="0"/>
              <w:spacing w:after="240"/>
              <w:jc w:val="center"/>
              <w:rPr>
                <w:rFonts w:ascii="Times New Roman" w:hAnsi="Times New Roman" w:cs="Times New Roman"/>
                <w:sz w:val="24"/>
              </w:rPr>
            </w:pPr>
            <w:r w:rsidRPr="00826586">
              <w:rPr>
                <w:rFonts w:ascii="Times New Roman" w:hAnsi="Times New Roman"/>
                <w:sz w:val="24"/>
              </w:rPr>
              <w:t>1 – 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0E1337B" w14:textId="77777777" w:rsidR="00826586" w:rsidRDefault="00F43911" w:rsidP="004F3087">
            <w:pPr>
              <w:autoSpaceDE w:val="0"/>
              <w:autoSpaceDN w:val="0"/>
              <w:adjustRightInd w:val="0"/>
              <w:spacing w:after="240"/>
              <w:rPr>
                <w:rFonts w:ascii="Times New Roman" w:hAnsi="Times New Roman"/>
                <w:b/>
                <w:sz w:val="24"/>
              </w:rPr>
            </w:pPr>
            <w:r w:rsidRPr="00826586">
              <w:rPr>
                <w:rFonts w:ascii="Times New Roman" w:hAnsi="Times New Roman"/>
                <w:b/>
                <w:sz w:val="24"/>
              </w:rPr>
              <w:t>Pomyselné hodnoty</w:t>
            </w:r>
          </w:p>
          <w:p w14:paraId="68247A3E" w14:textId="2D3261DD" w:rsidR="00F43911" w:rsidRPr="00826586" w:rsidRDefault="00F43911" w:rsidP="004F3087">
            <w:pPr>
              <w:autoSpaceDE w:val="0"/>
              <w:autoSpaceDN w:val="0"/>
              <w:adjustRightInd w:val="0"/>
              <w:spacing w:after="240"/>
              <w:rPr>
                <w:rFonts w:ascii="Times New Roman" w:hAnsi="Times New Roman" w:cs="Times New Roman"/>
                <w:sz w:val="24"/>
              </w:rPr>
            </w:pPr>
            <w:r w:rsidRPr="00826586">
              <w:rPr>
                <w:rFonts w:ascii="Times New Roman" w:hAnsi="Times New Roman"/>
                <w:sz w:val="24"/>
              </w:rPr>
              <w:t>Súčet absolútnych pomyselných hodnôt derivátov pred akýmkoľvek vzájomným započítavaním,</w:t>
            </w:r>
            <w:r w:rsidR="00826586">
              <w:rPr>
                <w:rFonts w:ascii="Times New Roman" w:hAnsi="Times New Roman"/>
                <w:sz w:val="24"/>
              </w:rPr>
              <w:t xml:space="preserve"> v </w:t>
            </w:r>
            <w:r w:rsidRPr="00826586">
              <w:rPr>
                <w:rFonts w:ascii="Times New Roman" w:hAnsi="Times New Roman"/>
                <w:sz w:val="24"/>
              </w:rPr>
              <w:t>rozčlenení podľa druhu produktu.</w:t>
            </w:r>
          </w:p>
        </w:tc>
      </w:tr>
      <w:tr w:rsidR="00F43911" w:rsidRPr="00826586"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826586" w:rsidRDefault="00F43911" w:rsidP="004F3087">
            <w:pPr>
              <w:autoSpaceDE w:val="0"/>
              <w:autoSpaceDN w:val="0"/>
              <w:adjustRightInd w:val="0"/>
              <w:spacing w:after="240"/>
              <w:jc w:val="center"/>
              <w:rPr>
                <w:rFonts w:ascii="Times New Roman" w:hAnsi="Times New Roman" w:cs="Times New Roman"/>
                <w:sz w:val="24"/>
              </w:rPr>
            </w:pPr>
            <w:r w:rsidRPr="00826586">
              <w:rPr>
                <w:rFonts w:ascii="Times New Roman" w:hAnsi="Times New Roman"/>
                <w:sz w:val="24"/>
              </w:rPr>
              <w:t>7 –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826586" w:rsidRDefault="00F43911" w:rsidP="004F3087">
            <w:pPr>
              <w:autoSpaceDE w:val="0"/>
              <w:autoSpaceDN w:val="0"/>
              <w:adjustRightInd w:val="0"/>
              <w:spacing w:after="240"/>
              <w:rPr>
                <w:rFonts w:ascii="Times New Roman" w:hAnsi="Times New Roman" w:cs="Times New Roman"/>
                <w:b/>
                <w:sz w:val="24"/>
              </w:rPr>
            </w:pPr>
            <w:r w:rsidRPr="00826586">
              <w:rPr>
                <w:rFonts w:ascii="Times New Roman" w:hAnsi="Times New Roman"/>
                <w:b/>
                <w:sz w:val="24"/>
              </w:rPr>
              <w:t>Reálne hodnoty</w:t>
            </w:r>
          </w:p>
          <w:p w14:paraId="43A6974F" w14:textId="3B6A8CAB" w:rsidR="00F43911" w:rsidRPr="00826586" w:rsidRDefault="00F43911" w:rsidP="004F3087">
            <w:pPr>
              <w:autoSpaceDE w:val="0"/>
              <w:autoSpaceDN w:val="0"/>
              <w:adjustRightInd w:val="0"/>
              <w:spacing w:after="240"/>
              <w:rPr>
                <w:rFonts w:ascii="Times New Roman" w:hAnsi="Times New Roman" w:cs="Times New Roman"/>
                <w:i/>
                <w:sz w:val="24"/>
              </w:rPr>
            </w:pPr>
            <w:r w:rsidRPr="00826586">
              <w:rPr>
                <w:rFonts w:ascii="Times New Roman" w:hAnsi="Times New Roman"/>
                <w:sz w:val="24"/>
              </w:rPr>
              <w:t>Reálne hodnoty rozčlenené podľa aktív (kladné reálne hodnoty)</w:t>
            </w:r>
            <w:r w:rsidR="00826586">
              <w:rPr>
                <w:rFonts w:ascii="Times New Roman" w:hAnsi="Times New Roman"/>
                <w:sz w:val="24"/>
              </w:rPr>
              <w:t xml:space="preserve"> a </w:t>
            </w:r>
            <w:r w:rsidRPr="00826586">
              <w:rPr>
                <w:rFonts w:ascii="Times New Roman" w:hAnsi="Times New Roman"/>
                <w:sz w:val="24"/>
              </w:rPr>
              <w:t>záväzkov (záporné reálne hodnoty).</w:t>
            </w:r>
          </w:p>
        </w:tc>
      </w:tr>
      <w:tr w:rsidR="00F43911" w:rsidRPr="00826586"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826586" w:rsidRDefault="00F43911" w:rsidP="004F3087">
            <w:pPr>
              <w:pStyle w:val="Applicationdirecte"/>
              <w:spacing w:before="0" w:after="240"/>
              <w:jc w:val="center"/>
              <w:rPr>
                <w:b/>
              </w:rPr>
            </w:pPr>
            <w:r w:rsidRPr="00826586">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826586" w:rsidRDefault="00F43911" w:rsidP="004F3087">
            <w:pPr>
              <w:pStyle w:val="TableMainHeading"/>
              <w:spacing w:before="0" w:after="240"/>
              <w:rPr>
                <w:rFonts w:ascii="Times New Roman" w:hAnsi="Times New Roman"/>
                <w:b/>
                <w:sz w:val="24"/>
                <w:szCs w:val="24"/>
              </w:rPr>
            </w:pPr>
            <w:r w:rsidRPr="00826586">
              <w:rPr>
                <w:rFonts w:ascii="Times New Roman" w:hAnsi="Times New Roman"/>
                <w:b/>
                <w:sz w:val="24"/>
              </w:rPr>
              <w:t>Vysvetlenie</w:t>
            </w:r>
          </w:p>
        </w:tc>
      </w:tr>
      <w:tr w:rsidR="00F43911" w:rsidRPr="00826586"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826586" w:rsidRDefault="00F43911" w:rsidP="004F3087">
            <w:pPr>
              <w:autoSpaceDE w:val="0"/>
              <w:autoSpaceDN w:val="0"/>
              <w:adjustRightInd w:val="0"/>
              <w:spacing w:after="240"/>
              <w:jc w:val="center"/>
              <w:rPr>
                <w:rFonts w:ascii="Times New Roman" w:hAnsi="Times New Roman" w:cs="Times New Roman"/>
                <w:sz w:val="24"/>
              </w:rPr>
            </w:pPr>
            <w:r w:rsidRPr="00826586">
              <w:rPr>
                <w:rFonts w:ascii="Times New Roman" w:hAnsi="Times New Roman"/>
                <w:sz w:val="24"/>
              </w:rPr>
              <w:t>a –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826586" w:rsidRDefault="00F43911" w:rsidP="004F3087">
            <w:pPr>
              <w:autoSpaceDE w:val="0"/>
              <w:autoSpaceDN w:val="0"/>
              <w:adjustRightInd w:val="0"/>
              <w:spacing w:after="240"/>
              <w:rPr>
                <w:rFonts w:ascii="Times New Roman" w:hAnsi="Times New Roman" w:cs="Times New Roman"/>
                <w:b/>
                <w:color w:val="000000"/>
                <w:sz w:val="24"/>
              </w:rPr>
            </w:pPr>
            <w:r w:rsidRPr="00826586">
              <w:rPr>
                <w:rFonts w:ascii="Times New Roman" w:hAnsi="Times New Roman"/>
                <w:b/>
                <w:color w:val="000000"/>
                <w:sz w:val="24"/>
              </w:rPr>
              <w:t>Zabezpečenie kreditných derivátov</w:t>
            </w:r>
          </w:p>
          <w:p w14:paraId="321E0F5D" w14:textId="3A7C1C9C" w:rsidR="00F43911" w:rsidRPr="00826586" w:rsidRDefault="00F43911" w:rsidP="004F3087">
            <w:pPr>
              <w:autoSpaceDE w:val="0"/>
              <w:autoSpaceDN w:val="0"/>
              <w:adjustRightInd w:val="0"/>
              <w:spacing w:after="240"/>
              <w:jc w:val="both"/>
              <w:rPr>
                <w:rFonts w:ascii="Times New Roman" w:hAnsi="Times New Roman" w:cs="Times New Roman"/>
                <w:b/>
                <w:sz w:val="24"/>
              </w:rPr>
            </w:pPr>
            <w:r w:rsidRPr="00826586">
              <w:rPr>
                <w:rFonts w:ascii="Times New Roman" w:hAnsi="Times New Roman"/>
                <w:sz w:val="24"/>
              </w:rPr>
              <w:t>Kúpené alebo predané zabezpečenie kreditných derivátov</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treťou časťou hlavou II kapitolou 6 nariadenia (EÚ) </w:t>
            </w:r>
            <w:r w:rsidR="00826586">
              <w:rPr>
                <w:rFonts w:ascii="Times New Roman" w:hAnsi="Times New Roman"/>
                <w:sz w:val="24"/>
              </w:rPr>
              <w:t>č. </w:t>
            </w:r>
            <w:r w:rsidRPr="00826586">
              <w:rPr>
                <w:rFonts w:ascii="Times New Roman" w:hAnsi="Times New Roman"/>
                <w:sz w:val="24"/>
              </w:rPr>
              <w:t>575/2013.</w:t>
            </w:r>
          </w:p>
        </w:tc>
      </w:tr>
    </w:tbl>
    <w:p w14:paraId="2A1A8F86" w14:textId="77777777" w:rsidR="00F43911" w:rsidRPr="00826586" w:rsidRDefault="00F43911" w:rsidP="00F43911">
      <w:pPr>
        <w:pStyle w:val="Titlelevel2"/>
        <w:spacing w:before="0"/>
        <w:rPr>
          <w:rFonts w:ascii="Times New Roman" w:hAnsi="Times New Roman" w:cs="Times New Roman"/>
          <w:color w:val="auto"/>
          <w:sz w:val="24"/>
        </w:rPr>
      </w:pPr>
    </w:p>
    <w:p w14:paraId="5800BF80" w14:textId="77777777" w:rsidR="00F43911" w:rsidRPr="00826586" w:rsidRDefault="00F43911" w:rsidP="00F43911">
      <w:pPr>
        <w:pStyle w:val="Titlelevel2"/>
        <w:spacing w:before="0"/>
        <w:rPr>
          <w:rFonts w:ascii="Times New Roman" w:hAnsi="Times New Roman" w:cs="Times New Roman"/>
          <w:b/>
          <w:color w:val="auto"/>
          <w:sz w:val="24"/>
        </w:rPr>
      </w:pPr>
      <w:r w:rsidRPr="00826586">
        <w:rPr>
          <w:rFonts w:ascii="Times New Roman" w:hAnsi="Times New Roman"/>
          <w:b/>
          <w:color w:val="auto"/>
          <w:sz w:val="24"/>
        </w:rPr>
        <w:t xml:space="preserve">Vzor EU CCR7 – Výkazy peňažných tokov RWEA expozícií voči kreditnému riziku podľa IMM: </w:t>
      </w:r>
      <w:r w:rsidRPr="00826586">
        <w:rPr>
          <w:rFonts w:ascii="Times New Roman" w:hAnsi="Times New Roman"/>
          <w:color w:val="auto"/>
          <w:sz w:val="24"/>
        </w:rPr>
        <w:t>Pevný formát</w:t>
      </w:r>
    </w:p>
    <w:p w14:paraId="2FBF77B4" w14:textId="45883DD8" w:rsidR="00F43911" w:rsidRPr="001A2287"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1A2287">
        <w:rPr>
          <w:rFonts w:ascii="Times New Roman" w:hAnsi="Times New Roman"/>
          <w:color w:val="auto"/>
          <w:sz w:val="24"/>
        </w:rPr>
        <w:t>Inštitúcie zverejňujú informácie uvedené</w:t>
      </w:r>
      <w:r w:rsidR="00826586" w:rsidRPr="001A2287">
        <w:rPr>
          <w:rFonts w:ascii="Times New Roman" w:hAnsi="Times New Roman"/>
          <w:color w:val="auto"/>
          <w:sz w:val="24"/>
        </w:rPr>
        <w:t xml:space="preserve"> v </w:t>
      </w:r>
      <w:r w:rsidRPr="001A2287">
        <w:rPr>
          <w:rFonts w:ascii="Times New Roman" w:hAnsi="Times New Roman"/>
          <w:color w:val="auto"/>
          <w:sz w:val="24"/>
        </w:rPr>
        <w:t xml:space="preserve">článku 438 písm. h) nariadenia (EÚ) </w:t>
      </w:r>
      <w:r w:rsidR="00826586" w:rsidRPr="001A2287">
        <w:rPr>
          <w:rFonts w:ascii="Times New Roman" w:hAnsi="Times New Roman"/>
          <w:color w:val="auto"/>
          <w:sz w:val="24"/>
        </w:rPr>
        <w:t>č. </w:t>
      </w:r>
      <w:r w:rsidRPr="001A2287">
        <w:rPr>
          <w:rFonts w:ascii="Times New Roman" w:hAnsi="Times New Roman"/>
          <w:color w:val="auto"/>
          <w:sz w:val="24"/>
        </w:rPr>
        <w:t>575/2013 podľa pokynov uvedených nižšie</w:t>
      </w:r>
      <w:r w:rsidR="00826586" w:rsidRPr="001A2287">
        <w:rPr>
          <w:rFonts w:ascii="Times New Roman" w:hAnsi="Times New Roman"/>
          <w:color w:val="auto"/>
          <w:sz w:val="24"/>
        </w:rPr>
        <w:t xml:space="preserve"> v </w:t>
      </w:r>
      <w:r w:rsidRPr="001A2287">
        <w:rPr>
          <w:rFonts w:ascii="Times New Roman" w:hAnsi="Times New Roman"/>
          <w:color w:val="auto"/>
          <w:sz w:val="24"/>
        </w:rPr>
        <w:t>tejto prílohe</w:t>
      </w:r>
      <w:r w:rsidR="00826586" w:rsidRPr="001A2287">
        <w:rPr>
          <w:rFonts w:ascii="Times New Roman" w:hAnsi="Times New Roman"/>
          <w:color w:val="auto"/>
          <w:sz w:val="24"/>
        </w:rPr>
        <w:t xml:space="preserve"> s </w:t>
      </w:r>
      <w:r w:rsidRPr="001A2287">
        <w:rPr>
          <w:rFonts w:ascii="Times New Roman" w:hAnsi="Times New Roman"/>
          <w:color w:val="auto"/>
          <w:sz w:val="24"/>
        </w:rPr>
        <w:t>cieľom vyplniť vzor EU CCR7, ktorý je uvedený</w:t>
      </w:r>
      <w:r w:rsidR="00826586" w:rsidRPr="001A2287">
        <w:rPr>
          <w:rFonts w:ascii="Times New Roman" w:hAnsi="Times New Roman"/>
          <w:color w:val="auto"/>
          <w:sz w:val="24"/>
        </w:rPr>
        <w:t xml:space="preserve"> v </w:t>
      </w:r>
      <w:r w:rsidRPr="001A2287">
        <w:rPr>
          <w:rFonts w:ascii="Times New Roman" w:hAnsi="Times New Roman"/>
          <w:color w:val="auto"/>
          <w:sz w:val="24"/>
        </w:rPr>
        <w:t>prílohe XXV dokumentu</w:t>
      </w:r>
      <w:r w:rsidR="00826586" w:rsidRPr="001A2287">
        <w:rPr>
          <w:rFonts w:ascii="Times New Roman" w:hAnsi="Times New Roman"/>
          <w:color w:val="auto"/>
          <w:sz w:val="24"/>
        </w:rPr>
        <w:t xml:space="preserve"> s </w:t>
      </w:r>
      <w:r w:rsidRPr="001A2287">
        <w:rPr>
          <w:rFonts w:ascii="Times New Roman" w:hAnsi="Times New Roman"/>
          <w:color w:val="auto"/>
          <w:sz w:val="24"/>
        </w:rPr>
        <w:t>IT riešeniami orgánu EBA.</w:t>
      </w:r>
    </w:p>
    <w:p w14:paraId="5F6004F0" w14:textId="5F475759" w:rsidR="00F43911" w:rsidRPr="00826586"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826586">
        <w:rPr>
          <w:rFonts w:ascii="Times New Roman" w:hAnsi="Times New Roman"/>
          <w:color w:val="auto"/>
          <w:sz w:val="24"/>
        </w:rPr>
        <w:t>Inštitúcie, ktoré používajú IMM na výpočet hodnôt rizikovo vážených expozícií pre všetky svoje expozície voči CCR alebo pre časť</w:t>
      </w:r>
      <w:r w:rsidR="00826586">
        <w:rPr>
          <w:rFonts w:ascii="Times New Roman" w:hAnsi="Times New Roman"/>
          <w:color w:val="auto"/>
          <w:sz w:val="24"/>
        </w:rPr>
        <w:t xml:space="preserve"> z </w:t>
      </w:r>
      <w:r w:rsidRPr="00826586">
        <w:rPr>
          <w:rFonts w:ascii="Times New Roman" w:hAnsi="Times New Roman"/>
          <w:color w:val="auto"/>
          <w:sz w:val="24"/>
        </w:rPr>
        <w:t>nich</w:t>
      </w:r>
      <w:r w:rsidR="00826586">
        <w:rPr>
          <w:rFonts w:ascii="Times New Roman" w:hAnsi="Times New Roman"/>
          <w:color w:val="auto"/>
          <w:sz w:val="24"/>
        </w:rPr>
        <w:t xml:space="preserve"> v </w:t>
      </w:r>
      <w:r w:rsidRPr="00826586">
        <w:rPr>
          <w:rFonts w:ascii="Times New Roman" w:hAnsi="Times New Roman"/>
          <w:color w:val="auto"/>
          <w:sz w:val="24"/>
        </w:rPr>
        <w:t>súlade</w:t>
      </w:r>
      <w:r w:rsidR="00826586">
        <w:rPr>
          <w:rFonts w:ascii="Times New Roman" w:hAnsi="Times New Roman"/>
          <w:color w:val="auto"/>
          <w:sz w:val="24"/>
        </w:rPr>
        <w:t xml:space="preserve"> s </w:t>
      </w:r>
      <w:r w:rsidRPr="00826586">
        <w:rPr>
          <w:rFonts w:ascii="Times New Roman" w:hAnsi="Times New Roman"/>
          <w:color w:val="auto"/>
          <w:sz w:val="24"/>
        </w:rPr>
        <w:t xml:space="preserve">treťou časťou hlavou II kapitolou 6 nariadenia (EÚ) </w:t>
      </w:r>
      <w:r w:rsidR="00826586">
        <w:rPr>
          <w:rFonts w:ascii="Times New Roman" w:hAnsi="Times New Roman"/>
          <w:color w:val="auto"/>
          <w:sz w:val="24"/>
        </w:rPr>
        <w:t>č. </w:t>
      </w:r>
      <w:r w:rsidRPr="00826586">
        <w:rPr>
          <w:rFonts w:ascii="Times New Roman" w:hAnsi="Times New Roman"/>
          <w:color w:val="auto"/>
          <w:sz w:val="24"/>
        </w:rPr>
        <w:t>575/2013, bez ohľadu na prístup pre kreditné riziko použitý na určenie zodpovedajúcich rizikových váh, zverejňujú výkaz peňažných tokov,</w:t>
      </w:r>
      <w:r w:rsidR="00826586">
        <w:rPr>
          <w:rFonts w:ascii="Times New Roman" w:hAnsi="Times New Roman"/>
          <w:color w:val="auto"/>
          <w:sz w:val="24"/>
        </w:rPr>
        <w:t xml:space="preserve"> v </w:t>
      </w:r>
      <w:r w:rsidRPr="00826586">
        <w:rPr>
          <w:rFonts w:ascii="Times New Roman" w:hAnsi="Times New Roman"/>
          <w:color w:val="auto"/>
          <w:sz w:val="24"/>
        </w:rPr>
        <w:t>ktorom sú vysvetlené zmeny hodnôt rizikovo vážených expozícií derivátov</w:t>
      </w:r>
      <w:r w:rsidR="00826586">
        <w:rPr>
          <w:rFonts w:ascii="Times New Roman" w:hAnsi="Times New Roman"/>
          <w:color w:val="auto"/>
          <w:sz w:val="24"/>
        </w:rPr>
        <w:t xml:space="preserve"> a </w:t>
      </w:r>
      <w:r w:rsidRPr="00826586">
        <w:rPr>
          <w:rFonts w:ascii="Times New Roman" w:hAnsi="Times New Roman"/>
          <w:color w:val="auto"/>
          <w:sz w:val="24"/>
        </w:rPr>
        <w:t>SFT</w:t>
      </w:r>
      <w:r w:rsidR="00826586">
        <w:rPr>
          <w:rFonts w:ascii="Times New Roman" w:hAnsi="Times New Roman"/>
          <w:color w:val="auto"/>
          <w:sz w:val="24"/>
        </w:rPr>
        <w:t xml:space="preserve"> v </w:t>
      </w:r>
      <w:r w:rsidRPr="00826586">
        <w:rPr>
          <w:rFonts w:ascii="Times New Roman" w:hAnsi="Times New Roman"/>
          <w:color w:val="auto"/>
          <w:sz w:val="24"/>
        </w:rPr>
        <w:t>rámci IMM</w:t>
      </w:r>
      <w:r w:rsidR="00826586">
        <w:rPr>
          <w:rFonts w:ascii="Times New Roman" w:hAnsi="Times New Roman"/>
          <w:color w:val="auto"/>
          <w:sz w:val="24"/>
        </w:rPr>
        <w:t xml:space="preserve"> s </w:t>
      </w:r>
      <w:r w:rsidRPr="00826586">
        <w:rPr>
          <w:rFonts w:ascii="Times New Roman" w:hAnsi="Times New Roman"/>
          <w:color w:val="auto"/>
          <w:sz w:val="24"/>
        </w:rPr>
        <w:t>rozlíšením podľa kľúčových faktorov</w:t>
      </w:r>
      <w:r w:rsidR="00826586">
        <w:rPr>
          <w:rFonts w:ascii="Times New Roman" w:hAnsi="Times New Roman"/>
          <w:color w:val="auto"/>
          <w:sz w:val="24"/>
        </w:rPr>
        <w:t xml:space="preserve"> a </w:t>
      </w:r>
      <w:r w:rsidRPr="00826586">
        <w:rPr>
          <w:rFonts w:ascii="Times New Roman" w:hAnsi="Times New Roman"/>
          <w:color w:val="auto"/>
          <w:sz w:val="24"/>
        </w:rPr>
        <w:t>na základe racionálnych odhadov.</w:t>
      </w:r>
    </w:p>
    <w:p w14:paraId="01AA4F25" w14:textId="6D9CBB25" w:rsidR="00F43911" w:rsidRPr="00826586"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826586">
        <w:rPr>
          <w:rFonts w:ascii="Times New Roman" w:hAnsi="Times New Roman"/>
          <w:color w:val="auto"/>
          <w:sz w:val="24"/>
        </w:rPr>
        <w:t xml:space="preserve">Z tohto vzoru sú vylúčené hodnoty rizikovo vážených expozícií pre riziko úpravy ocenenia pohľadávok [tretia časť hlava VI nariadenia (EÚ) </w:t>
      </w:r>
      <w:r w:rsidR="00826586">
        <w:rPr>
          <w:rFonts w:ascii="Times New Roman" w:hAnsi="Times New Roman"/>
          <w:color w:val="auto"/>
          <w:sz w:val="24"/>
        </w:rPr>
        <w:t>č. </w:t>
      </w:r>
      <w:r w:rsidRPr="00826586">
        <w:rPr>
          <w:rFonts w:ascii="Times New Roman" w:hAnsi="Times New Roman"/>
          <w:color w:val="auto"/>
          <w:sz w:val="24"/>
        </w:rPr>
        <w:t>575/2013]</w:t>
      </w:r>
      <w:r w:rsidR="00826586">
        <w:rPr>
          <w:rFonts w:ascii="Times New Roman" w:hAnsi="Times New Roman"/>
          <w:color w:val="auto"/>
          <w:sz w:val="24"/>
        </w:rPr>
        <w:t xml:space="preserve"> a </w:t>
      </w:r>
      <w:r w:rsidRPr="00826586">
        <w:rPr>
          <w:rFonts w:ascii="Times New Roman" w:hAnsi="Times New Roman"/>
          <w:color w:val="auto"/>
          <w:sz w:val="24"/>
        </w:rPr>
        <w:t xml:space="preserve">expozície voči centrálnej protistrane [tretia časť hlava II kapitola 6 oddiel 9 nariadenia (EÚ) </w:t>
      </w:r>
      <w:r w:rsidR="00826586">
        <w:rPr>
          <w:rFonts w:ascii="Times New Roman" w:hAnsi="Times New Roman"/>
          <w:color w:val="auto"/>
          <w:sz w:val="24"/>
        </w:rPr>
        <w:t>č. </w:t>
      </w:r>
      <w:r w:rsidRPr="00826586">
        <w:rPr>
          <w:rFonts w:ascii="Times New Roman" w:hAnsi="Times New Roman"/>
          <w:color w:val="auto"/>
          <w:sz w:val="24"/>
        </w:rPr>
        <w:t>575/2013].</w:t>
      </w:r>
    </w:p>
    <w:p w14:paraId="7DAAFDC1" w14:textId="0AC6BD3D" w:rsidR="00F43911" w:rsidRPr="00826586"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826586">
        <w:rPr>
          <w:rFonts w:ascii="Times New Roman" w:hAnsi="Times New Roman"/>
          <w:color w:val="auto"/>
          <w:sz w:val="24"/>
        </w:rPr>
        <w:lastRenderedPageBreak/>
        <w:t>Inštitúcie zverejňujú peňažné toky RWEA ako zmeny medzi hodnotami rizikovo vážených expozícií ku koncu referenčného obdobia zverejňovania informácií (ako sa uvádza nižšie</w:t>
      </w:r>
      <w:r w:rsidR="00826586">
        <w:rPr>
          <w:rFonts w:ascii="Times New Roman" w:hAnsi="Times New Roman"/>
          <w:color w:val="auto"/>
          <w:sz w:val="24"/>
        </w:rPr>
        <w:t xml:space="preserve"> v </w:t>
      </w:r>
      <w:r w:rsidRPr="00826586">
        <w:rPr>
          <w:rFonts w:ascii="Times New Roman" w:hAnsi="Times New Roman"/>
          <w:color w:val="auto"/>
          <w:sz w:val="24"/>
        </w:rPr>
        <w:t>riadku 9 tohto vzoru)</w:t>
      </w:r>
      <w:r w:rsidR="00826586">
        <w:rPr>
          <w:rFonts w:ascii="Times New Roman" w:hAnsi="Times New Roman"/>
          <w:color w:val="auto"/>
          <w:sz w:val="24"/>
        </w:rPr>
        <w:t xml:space="preserve"> a </w:t>
      </w:r>
      <w:r w:rsidRPr="00826586">
        <w:rPr>
          <w:rFonts w:ascii="Times New Roman" w:hAnsi="Times New Roman"/>
          <w:color w:val="auto"/>
          <w:sz w:val="24"/>
        </w:rPr>
        <w:t>hodnotami rizikovo vážených expozícií ku koncu predchádzajúceho referenčného obdobia zverejňovania informácií (ako sa uvádza nižšie</w:t>
      </w:r>
      <w:r w:rsidR="00826586">
        <w:rPr>
          <w:rFonts w:ascii="Times New Roman" w:hAnsi="Times New Roman"/>
          <w:color w:val="auto"/>
          <w:sz w:val="24"/>
        </w:rPr>
        <w:t xml:space="preserve"> v </w:t>
      </w:r>
      <w:r w:rsidRPr="00826586">
        <w:rPr>
          <w:rFonts w:ascii="Times New Roman" w:hAnsi="Times New Roman"/>
          <w:color w:val="auto"/>
          <w:sz w:val="24"/>
        </w:rPr>
        <w:t>riadku 1 tohto vzoru;</w:t>
      </w:r>
      <w:r w:rsidR="00826586">
        <w:rPr>
          <w:rFonts w:ascii="Times New Roman" w:hAnsi="Times New Roman"/>
          <w:color w:val="auto"/>
          <w:sz w:val="24"/>
        </w:rPr>
        <w:t xml:space="preserve"> v </w:t>
      </w:r>
      <w:r w:rsidRPr="00826586">
        <w:rPr>
          <w:rFonts w:ascii="Times New Roman" w:hAnsi="Times New Roman"/>
          <w:color w:val="auto"/>
          <w:sz w:val="24"/>
        </w:rPr>
        <w:t>prípade štvrťročného zverejňovania informácií je to koniec štvrťroka pred štvrťrokom referenčného obdobia zverejňovania informácií). Inštitúcie môžu svoje zverejnenia</w:t>
      </w:r>
      <w:r w:rsidR="00826586">
        <w:rPr>
          <w:rFonts w:ascii="Times New Roman" w:hAnsi="Times New Roman"/>
          <w:color w:val="auto"/>
          <w:sz w:val="24"/>
        </w:rPr>
        <w:t xml:space="preserve"> v </w:t>
      </w:r>
      <w:r w:rsidRPr="00826586">
        <w:rPr>
          <w:rFonts w:ascii="Times New Roman" w:hAnsi="Times New Roman"/>
          <w:color w:val="auto"/>
          <w:sz w:val="24"/>
        </w:rPr>
        <w:t>rámci piliera 3 doplniť zverejnením rovnakých informácií za tri predchádzajúce štvrťroky.</w:t>
      </w:r>
    </w:p>
    <w:p w14:paraId="23D5C19D" w14:textId="69990556" w:rsidR="00F43911" w:rsidRPr="00826586" w:rsidRDefault="00F43911" w:rsidP="00F43911">
      <w:pPr>
        <w:pStyle w:val="Titlelevel2"/>
        <w:numPr>
          <w:ilvl w:val="0"/>
          <w:numId w:val="2"/>
        </w:numPr>
        <w:spacing w:before="0"/>
        <w:jc w:val="both"/>
        <w:rPr>
          <w:rFonts w:ascii="Times New Roman" w:hAnsi="Times New Roman"/>
          <w:color w:val="auto"/>
          <w:sz w:val="24"/>
        </w:rPr>
      </w:pPr>
      <w:r w:rsidRPr="00826586">
        <w:rPr>
          <w:rFonts w:ascii="Times New Roman" w:hAnsi="Times New Roman"/>
          <w:color w:val="auto"/>
          <w:sz w:val="24"/>
        </w:rPr>
        <w:t>Inštitúcie</w:t>
      </w:r>
      <w:r w:rsidR="00826586">
        <w:rPr>
          <w:rFonts w:ascii="Times New Roman" w:hAnsi="Times New Roman"/>
          <w:color w:val="auto"/>
          <w:sz w:val="24"/>
        </w:rPr>
        <w:t xml:space="preserve"> v </w:t>
      </w:r>
      <w:r w:rsidRPr="00826586">
        <w:rPr>
          <w:rFonts w:ascii="Times New Roman" w:hAnsi="Times New Roman"/>
          <w:color w:val="auto"/>
          <w:sz w:val="24"/>
        </w:rPr>
        <w:t>sprievodnom opise</w:t>
      </w:r>
      <w:r w:rsidR="00826586">
        <w:rPr>
          <w:rFonts w:ascii="Times New Roman" w:hAnsi="Times New Roman"/>
          <w:color w:val="auto"/>
          <w:sz w:val="24"/>
        </w:rPr>
        <w:t xml:space="preserve"> k </w:t>
      </w:r>
      <w:r w:rsidRPr="00826586">
        <w:rPr>
          <w:rFonts w:ascii="Times New Roman" w:hAnsi="Times New Roman"/>
          <w:color w:val="auto"/>
          <w:sz w:val="24"/>
        </w:rPr>
        <w:t>danému vzoru vysvetľujú číselné údaje zverejnené</w:t>
      </w:r>
      <w:r w:rsidR="00826586">
        <w:rPr>
          <w:rFonts w:ascii="Times New Roman" w:hAnsi="Times New Roman"/>
          <w:color w:val="auto"/>
          <w:sz w:val="24"/>
        </w:rPr>
        <w:t xml:space="preserve"> v </w:t>
      </w:r>
      <w:r w:rsidRPr="00826586">
        <w:rPr>
          <w:rFonts w:ascii="Times New Roman" w:hAnsi="Times New Roman"/>
          <w:color w:val="auto"/>
          <w:sz w:val="24"/>
        </w:rPr>
        <w:t>riadku 8 tohto vzoru, t. j. akékoľvek iné faktory, ktoré významne prispievajú</w:t>
      </w:r>
      <w:r w:rsidR="00826586">
        <w:rPr>
          <w:rFonts w:ascii="Times New Roman" w:hAnsi="Times New Roman"/>
          <w:color w:val="auto"/>
          <w:sz w:val="24"/>
        </w:rPr>
        <w:t xml:space="preserve"> k </w:t>
      </w:r>
      <w:r w:rsidRPr="00826586">
        <w:rPr>
          <w:rFonts w:ascii="Times New Roman" w:hAnsi="Times New Roman"/>
          <w:color w:val="auto"/>
          <w:sz w:val="24"/>
        </w:rPr>
        <w:t>zmenám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26586"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6083B68D" w:rsidR="00F43911" w:rsidRPr="00826586" w:rsidRDefault="00F43911" w:rsidP="004F3087">
            <w:pPr>
              <w:spacing w:after="240"/>
              <w:rPr>
                <w:rFonts w:ascii="Times New Roman" w:hAnsi="Times New Roman" w:cs="Times New Roman"/>
                <w:b/>
                <w:sz w:val="24"/>
              </w:rPr>
            </w:pPr>
            <w:r w:rsidRPr="00826586">
              <w:rPr>
                <w:rFonts w:ascii="Times New Roman" w:hAnsi="Times New Roman"/>
                <w:b/>
                <w:sz w:val="24"/>
              </w:rPr>
              <w:t>Odkazy na právne predpisy</w:t>
            </w:r>
            <w:r w:rsidR="00826586">
              <w:rPr>
                <w:rFonts w:ascii="Times New Roman" w:hAnsi="Times New Roman"/>
                <w:b/>
                <w:sz w:val="24"/>
              </w:rPr>
              <w:t xml:space="preserve"> a </w:t>
            </w:r>
            <w:r w:rsidRPr="00826586">
              <w:rPr>
                <w:rFonts w:ascii="Times New Roman" w:hAnsi="Times New Roman"/>
                <w:b/>
                <w:sz w:val="24"/>
              </w:rPr>
              <w:t>pokyny</w:t>
            </w:r>
          </w:p>
        </w:tc>
      </w:tr>
      <w:tr w:rsidR="00F43911" w:rsidRPr="00826586" w14:paraId="3CBABF6D" w14:textId="77777777" w:rsidTr="004F3087">
        <w:trPr>
          <w:trHeight w:val="238"/>
        </w:trPr>
        <w:tc>
          <w:tcPr>
            <w:tcW w:w="1384" w:type="dxa"/>
            <w:shd w:val="clear" w:color="auto" w:fill="D9D9D9" w:themeFill="background1" w:themeFillShade="D9"/>
          </w:tcPr>
          <w:p w14:paraId="28B9FC05" w14:textId="77777777" w:rsidR="00F43911" w:rsidRPr="00826586" w:rsidRDefault="00F43911" w:rsidP="004F3087">
            <w:pPr>
              <w:autoSpaceDE w:val="0"/>
              <w:autoSpaceDN w:val="0"/>
              <w:adjustRightInd w:val="0"/>
              <w:spacing w:after="240"/>
              <w:jc w:val="center"/>
              <w:rPr>
                <w:rFonts w:ascii="Times New Roman" w:hAnsi="Times New Roman" w:cs="Times New Roman"/>
                <w:b/>
                <w:sz w:val="24"/>
              </w:rPr>
            </w:pPr>
            <w:r w:rsidRPr="00826586">
              <w:rPr>
                <w:rFonts w:ascii="Times New Roman" w:hAnsi="Times New Roman"/>
                <w:b/>
                <w:sz w:val="24"/>
              </w:rPr>
              <w:t>Číslo riadku</w:t>
            </w:r>
          </w:p>
        </w:tc>
        <w:tc>
          <w:tcPr>
            <w:tcW w:w="7655" w:type="dxa"/>
            <w:shd w:val="clear" w:color="auto" w:fill="D9D9D9" w:themeFill="background1" w:themeFillShade="D9"/>
          </w:tcPr>
          <w:p w14:paraId="02060A03" w14:textId="77777777" w:rsidR="00F43911" w:rsidRPr="00826586" w:rsidRDefault="00F43911" w:rsidP="004F3087">
            <w:pPr>
              <w:autoSpaceDE w:val="0"/>
              <w:autoSpaceDN w:val="0"/>
              <w:adjustRightInd w:val="0"/>
              <w:spacing w:after="240"/>
              <w:rPr>
                <w:rFonts w:ascii="Times New Roman" w:hAnsi="Times New Roman" w:cs="Times New Roman"/>
                <w:color w:val="000000"/>
                <w:sz w:val="24"/>
              </w:rPr>
            </w:pPr>
            <w:r w:rsidRPr="00826586">
              <w:rPr>
                <w:rFonts w:ascii="Times New Roman" w:hAnsi="Times New Roman"/>
                <w:b/>
                <w:sz w:val="24"/>
              </w:rPr>
              <w:t>Vysvetlenie</w:t>
            </w:r>
          </w:p>
        </w:tc>
      </w:tr>
      <w:tr w:rsidR="00F43911" w:rsidRPr="00826586"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826586" w:rsidRDefault="00F43911" w:rsidP="004F3087">
            <w:pPr>
              <w:pStyle w:val="Applicationdirecte"/>
              <w:spacing w:before="0" w:after="240"/>
              <w:jc w:val="center"/>
            </w:pPr>
            <w:r w:rsidRPr="00826586">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RWEA ku koncu predchádzajúceho obdobia zverejňovania informácií</w:t>
            </w:r>
          </w:p>
          <w:p w14:paraId="7F1BADFD" w14:textId="77777777"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Hodnoty rizikovo vážených expozícií pre expozície voči CCR podľa IMM ku koncu predchádzajúceho obdobia zverejňovania informácií.</w:t>
            </w:r>
          </w:p>
        </w:tc>
      </w:tr>
      <w:tr w:rsidR="00F43911" w:rsidRPr="00826586"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826586" w:rsidRDefault="00F43911" w:rsidP="004F3087">
            <w:pPr>
              <w:pStyle w:val="Applicationdirecte"/>
              <w:spacing w:before="0" w:after="240"/>
              <w:jc w:val="center"/>
            </w:pPr>
            <w:r w:rsidRPr="00826586">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Objem aktív</w:t>
            </w:r>
          </w:p>
          <w:p w14:paraId="07D133F6" w14:textId="40066AD9"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Zmeny RWEA (kladné alebo záporné)</w:t>
            </w:r>
            <w:r w:rsidR="00826586">
              <w:rPr>
                <w:rFonts w:ascii="Times New Roman" w:hAnsi="Times New Roman"/>
                <w:sz w:val="24"/>
              </w:rPr>
              <w:t xml:space="preserve"> z </w:t>
            </w:r>
            <w:r w:rsidRPr="00826586">
              <w:rPr>
                <w:rFonts w:ascii="Times New Roman" w:hAnsi="Times New Roman"/>
                <w:sz w:val="24"/>
              </w:rPr>
              <w:t>dôvodu organických zmien rozsahu</w:t>
            </w:r>
            <w:r w:rsidR="00826586">
              <w:rPr>
                <w:rFonts w:ascii="Times New Roman" w:hAnsi="Times New Roman"/>
                <w:sz w:val="24"/>
              </w:rPr>
              <w:t xml:space="preserve"> a </w:t>
            </w:r>
            <w:r w:rsidRPr="00826586">
              <w:rPr>
                <w:rFonts w:ascii="Times New Roman" w:hAnsi="Times New Roman"/>
                <w:sz w:val="24"/>
              </w:rPr>
              <w:t>zloženia knihy (vrátane vzniku nových podnikov</w:t>
            </w:r>
            <w:r w:rsidR="00826586">
              <w:rPr>
                <w:rFonts w:ascii="Times New Roman" w:hAnsi="Times New Roman"/>
                <w:sz w:val="24"/>
              </w:rPr>
              <w:t xml:space="preserve"> a </w:t>
            </w:r>
            <w:r w:rsidRPr="00826586">
              <w:rPr>
                <w:rFonts w:ascii="Times New Roman" w:hAnsi="Times New Roman"/>
                <w:sz w:val="24"/>
              </w:rPr>
              <w:t>splatných expozícií), ale bez zmien rozsahu knihy</w:t>
            </w:r>
            <w:r w:rsidR="00826586">
              <w:rPr>
                <w:rFonts w:ascii="Times New Roman" w:hAnsi="Times New Roman"/>
                <w:sz w:val="24"/>
              </w:rPr>
              <w:t xml:space="preserve"> z </w:t>
            </w:r>
            <w:r w:rsidRPr="00826586">
              <w:rPr>
                <w:rFonts w:ascii="Times New Roman" w:hAnsi="Times New Roman"/>
                <w:sz w:val="24"/>
              </w:rPr>
              <w:t>dôvodu nadobudnutia</w:t>
            </w:r>
            <w:r w:rsidR="00826586">
              <w:rPr>
                <w:rFonts w:ascii="Times New Roman" w:hAnsi="Times New Roman"/>
                <w:sz w:val="24"/>
              </w:rPr>
              <w:t xml:space="preserve"> a </w:t>
            </w:r>
            <w:r w:rsidRPr="00826586">
              <w:rPr>
                <w:rFonts w:ascii="Times New Roman" w:hAnsi="Times New Roman"/>
                <w:sz w:val="24"/>
              </w:rPr>
              <w:t>odpredaja subjektov.</w:t>
            </w:r>
          </w:p>
        </w:tc>
      </w:tr>
      <w:tr w:rsidR="00F43911" w:rsidRPr="00826586"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826586" w:rsidRDefault="00F43911" w:rsidP="004F3087">
            <w:pPr>
              <w:pStyle w:val="Applicationdirecte"/>
              <w:spacing w:before="0" w:after="240"/>
              <w:jc w:val="center"/>
            </w:pPr>
            <w:r w:rsidRPr="00826586">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Kreditná kvalita protistrán</w:t>
            </w:r>
          </w:p>
          <w:p w14:paraId="70A7587F" w14:textId="6BD207D5"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Zmeny RWEA (kladné alebo záporné)</w:t>
            </w:r>
            <w:r w:rsidR="00826586">
              <w:rPr>
                <w:rFonts w:ascii="Times New Roman" w:hAnsi="Times New Roman"/>
                <w:sz w:val="24"/>
              </w:rPr>
              <w:t xml:space="preserve"> z </w:t>
            </w:r>
            <w:r w:rsidRPr="00826586">
              <w:rPr>
                <w:rFonts w:ascii="Times New Roman" w:hAnsi="Times New Roman"/>
                <w:sz w:val="24"/>
              </w:rPr>
              <w:t>dôvodu zmien</w:t>
            </w:r>
            <w:r w:rsidR="00826586">
              <w:rPr>
                <w:rFonts w:ascii="Times New Roman" w:hAnsi="Times New Roman"/>
                <w:sz w:val="24"/>
              </w:rPr>
              <w:t xml:space="preserve"> v </w:t>
            </w:r>
            <w:r w:rsidRPr="00826586">
              <w:rPr>
                <w:rFonts w:ascii="Times New Roman" w:hAnsi="Times New Roman"/>
                <w:sz w:val="24"/>
              </w:rPr>
              <w:t>hodnotenej kvalite protistrán inštitúcie, ktorá sa meria podľa rámca kreditného rizika, bez ohľadu na prístup, ktorý inštitúcia používa.</w:t>
            </w:r>
          </w:p>
          <w:p w14:paraId="5EFAE896" w14:textId="11781133"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Ak inštitúcia používa prístup IRB, tento riadok zahŕňa aj potenciálne zmeny RWEA</w:t>
            </w:r>
            <w:r w:rsidR="00826586">
              <w:rPr>
                <w:rFonts w:ascii="Times New Roman" w:hAnsi="Times New Roman"/>
                <w:sz w:val="24"/>
              </w:rPr>
              <w:t xml:space="preserve"> z </w:t>
            </w:r>
            <w:r w:rsidRPr="00826586">
              <w:rPr>
                <w:rFonts w:ascii="Times New Roman" w:hAnsi="Times New Roman"/>
                <w:sz w:val="24"/>
              </w:rPr>
              <w:t>dôvodu modelov IRB.</w:t>
            </w:r>
          </w:p>
        </w:tc>
      </w:tr>
      <w:tr w:rsidR="00F43911" w:rsidRPr="00826586"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826586" w:rsidRDefault="00F43911" w:rsidP="004F3087">
            <w:pPr>
              <w:pStyle w:val="Applicationdirecte"/>
              <w:spacing w:before="0" w:after="240"/>
              <w:jc w:val="center"/>
            </w:pPr>
            <w:r w:rsidRPr="00826586">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Aktualizácie modelu (len IMM)</w:t>
            </w:r>
          </w:p>
          <w:p w14:paraId="58308728" w14:textId="7F92DD35"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Zmeny RWEA (kladné alebo záporné)</w:t>
            </w:r>
            <w:r w:rsidR="00826586">
              <w:rPr>
                <w:rFonts w:ascii="Times New Roman" w:hAnsi="Times New Roman"/>
                <w:sz w:val="24"/>
              </w:rPr>
              <w:t xml:space="preserve"> z </w:t>
            </w:r>
            <w:r w:rsidRPr="00826586">
              <w:rPr>
                <w:rFonts w:ascii="Times New Roman" w:hAnsi="Times New Roman"/>
                <w:sz w:val="24"/>
              </w:rPr>
              <w:t>dôvodu zavádzania modelu, zmien</w:t>
            </w:r>
            <w:r w:rsidR="00826586">
              <w:rPr>
                <w:rFonts w:ascii="Times New Roman" w:hAnsi="Times New Roman"/>
                <w:sz w:val="24"/>
              </w:rPr>
              <w:t xml:space="preserve"> v </w:t>
            </w:r>
            <w:r w:rsidRPr="00826586">
              <w:rPr>
                <w:rFonts w:ascii="Times New Roman" w:hAnsi="Times New Roman"/>
                <w:sz w:val="24"/>
              </w:rPr>
              <w:t>rozsahu modelu alebo akýchkoľvek zmien zameraných na riešenie nedostatkov modelu.</w:t>
            </w:r>
          </w:p>
          <w:p w14:paraId="58BDFEF1" w14:textId="44B1094F"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Tento riadok odráža len zmeny</w:t>
            </w:r>
            <w:r w:rsidR="00826586">
              <w:rPr>
                <w:rFonts w:ascii="Times New Roman" w:hAnsi="Times New Roman"/>
                <w:sz w:val="24"/>
              </w:rPr>
              <w:t xml:space="preserve"> v </w:t>
            </w:r>
            <w:r w:rsidRPr="00826586">
              <w:rPr>
                <w:rFonts w:ascii="Times New Roman" w:hAnsi="Times New Roman"/>
                <w:sz w:val="24"/>
              </w:rPr>
              <w:t>IMM.</w:t>
            </w:r>
          </w:p>
        </w:tc>
      </w:tr>
      <w:tr w:rsidR="00F43911" w:rsidRPr="00826586"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826586" w:rsidRDefault="00F43911" w:rsidP="004F3087">
            <w:pPr>
              <w:pStyle w:val="Applicationdirecte"/>
              <w:spacing w:before="0" w:after="240"/>
              <w:jc w:val="center"/>
            </w:pPr>
            <w:r w:rsidRPr="00826586">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4FDDC144"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Metodika</w:t>
            </w:r>
            <w:r w:rsidR="00826586">
              <w:rPr>
                <w:rFonts w:ascii="Times New Roman" w:hAnsi="Times New Roman"/>
                <w:b/>
                <w:sz w:val="24"/>
              </w:rPr>
              <w:t xml:space="preserve"> a </w:t>
            </w:r>
            <w:r w:rsidRPr="00826586">
              <w:rPr>
                <w:rFonts w:ascii="Times New Roman" w:hAnsi="Times New Roman"/>
                <w:b/>
                <w:sz w:val="24"/>
              </w:rPr>
              <w:t>politika (len IMM)</w:t>
            </w:r>
          </w:p>
          <w:p w14:paraId="046BC00D" w14:textId="0682BD11"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Zmeny RWEA (kladné alebo záporné)</w:t>
            </w:r>
            <w:r w:rsidR="00826586">
              <w:rPr>
                <w:rFonts w:ascii="Times New Roman" w:hAnsi="Times New Roman"/>
                <w:sz w:val="24"/>
              </w:rPr>
              <w:t xml:space="preserve"> z </w:t>
            </w:r>
            <w:r w:rsidRPr="00826586">
              <w:rPr>
                <w:rFonts w:ascii="Times New Roman" w:hAnsi="Times New Roman"/>
                <w:sz w:val="24"/>
              </w:rPr>
              <w:t>dôvodu zmien</w:t>
            </w:r>
            <w:r w:rsidR="00826586">
              <w:rPr>
                <w:rFonts w:ascii="Times New Roman" w:hAnsi="Times New Roman"/>
                <w:sz w:val="24"/>
              </w:rPr>
              <w:t xml:space="preserve"> v </w:t>
            </w:r>
            <w:r w:rsidRPr="00826586">
              <w:rPr>
                <w:rFonts w:ascii="Times New Roman" w:hAnsi="Times New Roman"/>
                <w:sz w:val="24"/>
              </w:rPr>
              <w:t>metodike výpočtov, ktoré boli vyvolané zmenami regulačnej politiky, ako napríklad novými právnymi predpismi (len</w:t>
            </w:r>
            <w:r w:rsidR="00826586">
              <w:rPr>
                <w:rFonts w:ascii="Times New Roman" w:hAnsi="Times New Roman"/>
                <w:sz w:val="24"/>
              </w:rPr>
              <w:t xml:space="preserve"> v </w:t>
            </w:r>
            <w:r w:rsidRPr="00826586">
              <w:rPr>
                <w:rFonts w:ascii="Times New Roman" w:hAnsi="Times New Roman"/>
                <w:sz w:val="24"/>
              </w:rPr>
              <w:t>IMM)</w:t>
            </w:r>
          </w:p>
        </w:tc>
      </w:tr>
      <w:tr w:rsidR="00F43911" w:rsidRPr="00826586"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826586" w:rsidRDefault="00F43911" w:rsidP="004F3087">
            <w:pPr>
              <w:pStyle w:val="Applicationdirecte"/>
              <w:spacing w:before="0" w:after="240"/>
              <w:jc w:val="center"/>
            </w:pPr>
            <w:r w:rsidRPr="00826586">
              <w:lastRenderedPageBreak/>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497072D9"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Nadobudnutia</w:t>
            </w:r>
            <w:r w:rsidR="00826586">
              <w:rPr>
                <w:rFonts w:ascii="Times New Roman" w:hAnsi="Times New Roman"/>
                <w:b/>
                <w:sz w:val="24"/>
              </w:rPr>
              <w:t xml:space="preserve"> a </w:t>
            </w:r>
            <w:r w:rsidRPr="00826586">
              <w:rPr>
                <w:rFonts w:ascii="Times New Roman" w:hAnsi="Times New Roman"/>
                <w:b/>
                <w:sz w:val="24"/>
              </w:rPr>
              <w:t>odpredaje</w:t>
            </w:r>
          </w:p>
          <w:p w14:paraId="07E040C6" w14:textId="743F86AD"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Zmeny RWEA (kladné alebo záporné)</w:t>
            </w:r>
            <w:r w:rsidR="00826586">
              <w:rPr>
                <w:rFonts w:ascii="Times New Roman" w:hAnsi="Times New Roman"/>
                <w:sz w:val="24"/>
              </w:rPr>
              <w:t xml:space="preserve"> z </w:t>
            </w:r>
            <w:r w:rsidRPr="00826586">
              <w:rPr>
                <w:rFonts w:ascii="Times New Roman" w:hAnsi="Times New Roman"/>
                <w:sz w:val="24"/>
              </w:rPr>
              <w:t>dôvodu zmien</w:t>
            </w:r>
            <w:r w:rsidR="00826586">
              <w:rPr>
                <w:rFonts w:ascii="Times New Roman" w:hAnsi="Times New Roman"/>
                <w:sz w:val="24"/>
              </w:rPr>
              <w:t xml:space="preserve"> v </w:t>
            </w:r>
            <w:r w:rsidRPr="00826586">
              <w:rPr>
                <w:rFonts w:ascii="Times New Roman" w:hAnsi="Times New Roman"/>
                <w:sz w:val="24"/>
              </w:rPr>
              <w:t>rozsahu kníh</w:t>
            </w:r>
            <w:r w:rsidR="00826586">
              <w:rPr>
                <w:rFonts w:ascii="Times New Roman" w:hAnsi="Times New Roman"/>
                <w:sz w:val="24"/>
              </w:rPr>
              <w:t xml:space="preserve"> v </w:t>
            </w:r>
            <w:r w:rsidRPr="00826586">
              <w:rPr>
                <w:rFonts w:ascii="Times New Roman" w:hAnsi="Times New Roman"/>
                <w:sz w:val="24"/>
              </w:rPr>
              <w:t>dôsledku nadobudnutia</w:t>
            </w:r>
            <w:r w:rsidR="00826586">
              <w:rPr>
                <w:rFonts w:ascii="Times New Roman" w:hAnsi="Times New Roman"/>
                <w:sz w:val="24"/>
              </w:rPr>
              <w:t xml:space="preserve"> a </w:t>
            </w:r>
            <w:r w:rsidRPr="00826586">
              <w:rPr>
                <w:rFonts w:ascii="Times New Roman" w:hAnsi="Times New Roman"/>
                <w:sz w:val="24"/>
              </w:rPr>
              <w:t>odpredaja subjektov.</w:t>
            </w:r>
          </w:p>
        </w:tc>
      </w:tr>
      <w:tr w:rsidR="00F43911" w:rsidRPr="00826586"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826586" w:rsidRDefault="00F43911" w:rsidP="004F3087">
            <w:pPr>
              <w:pStyle w:val="Applicationdirecte"/>
              <w:spacing w:before="0" w:after="240"/>
              <w:jc w:val="center"/>
            </w:pPr>
            <w:r w:rsidRPr="00826586">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Pohyby výmenných kurzov</w:t>
            </w:r>
          </w:p>
          <w:p w14:paraId="2A243848" w14:textId="589F0428"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Zmeny RWEA (kladné alebo záporné)</w:t>
            </w:r>
            <w:r w:rsidR="00826586">
              <w:rPr>
                <w:rFonts w:ascii="Times New Roman" w:hAnsi="Times New Roman"/>
                <w:sz w:val="24"/>
              </w:rPr>
              <w:t xml:space="preserve"> z </w:t>
            </w:r>
            <w:r w:rsidRPr="00826586">
              <w:rPr>
                <w:rFonts w:ascii="Times New Roman" w:hAnsi="Times New Roman"/>
                <w:sz w:val="24"/>
              </w:rPr>
              <w:t>dôvodu zmien vyplývajúcich</w:t>
            </w:r>
            <w:r w:rsidR="00826586">
              <w:rPr>
                <w:rFonts w:ascii="Times New Roman" w:hAnsi="Times New Roman"/>
                <w:sz w:val="24"/>
              </w:rPr>
              <w:t xml:space="preserve"> z </w:t>
            </w:r>
            <w:r w:rsidRPr="00826586">
              <w:rPr>
                <w:rFonts w:ascii="Times New Roman" w:hAnsi="Times New Roman"/>
                <w:sz w:val="24"/>
              </w:rPr>
              <w:t>pohybov</w:t>
            </w:r>
            <w:r w:rsidR="00826586">
              <w:rPr>
                <w:rFonts w:ascii="Times New Roman" w:hAnsi="Times New Roman"/>
                <w:sz w:val="24"/>
              </w:rPr>
              <w:t xml:space="preserve"> v </w:t>
            </w:r>
            <w:r w:rsidRPr="00826586">
              <w:rPr>
                <w:rFonts w:ascii="Times New Roman" w:hAnsi="Times New Roman"/>
                <w:sz w:val="24"/>
              </w:rPr>
              <w:t>prepočte cudzích mien</w:t>
            </w:r>
          </w:p>
        </w:tc>
      </w:tr>
      <w:tr w:rsidR="00F43911" w:rsidRPr="00826586"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826586" w:rsidRDefault="00F43911" w:rsidP="004F3087">
            <w:pPr>
              <w:pStyle w:val="Applicationdirecte"/>
              <w:spacing w:before="0" w:after="240"/>
              <w:jc w:val="center"/>
            </w:pPr>
            <w:r w:rsidRPr="00826586">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Iné</w:t>
            </w:r>
          </w:p>
          <w:p w14:paraId="58936611" w14:textId="50BDDFF2" w:rsidR="00F43911" w:rsidRPr="00826586" w:rsidRDefault="00F43911" w:rsidP="004F3087">
            <w:pPr>
              <w:spacing w:after="240"/>
              <w:jc w:val="both"/>
              <w:rPr>
                <w:rFonts w:ascii="Times New Roman" w:hAnsi="Times New Roman" w:cs="Times New Roman"/>
                <w:sz w:val="24"/>
              </w:rPr>
            </w:pPr>
            <w:r w:rsidRPr="00826586">
              <w:rPr>
                <w:rFonts w:ascii="Times New Roman" w:hAnsi="Times New Roman"/>
                <w:sz w:val="24"/>
              </w:rPr>
              <w:t>Táto kategória sa používa na zachytenie zmien RWEA (kladných alebo záporných), ktoré nemožno priradiť</w:t>
            </w:r>
            <w:r w:rsidR="00826586">
              <w:rPr>
                <w:rFonts w:ascii="Times New Roman" w:hAnsi="Times New Roman"/>
                <w:sz w:val="24"/>
              </w:rPr>
              <w:t xml:space="preserve"> k </w:t>
            </w:r>
            <w:r w:rsidRPr="00826586">
              <w:rPr>
                <w:rFonts w:ascii="Times New Roman" w:hAnsi="Times New Roman"/>
                <w:sz w:val="24"/>
              </w:rPr>
              <w:t>uvedeným kategóriám. Inštitúcie do tohto riadku zahŕňajú súčet týchto zmien RWEA.</w:t>
            </w:r>
            <w:r w:rsidR="00826586">
              <w:rPr>
                <w:rFonts w:ascii="Times New Roman" w:hAnsi="Times New Roman"/>
                <w:sz w:val="24"/>
              </w:rPr>
              <w:t xml:space="preserve"> V </w:t>
            </w:r>
            <w:r w:rsidRPr="00826586">
              <w:rPr>
                <w:rFonts w:ascii="Times New Roman" w:hAnsi="Times New Roman"/>
                <w:sz w:val="24"/>
              </w:rPr>
              <w:t>sprievodnom opise</w:t>
            </w:r>
            <w:r w:rsidR="00826586">
              <w:rPr>
                <w:rFonts w:ascii="Times New Roman" w:hAnsi="Times New Roman"/>
                <w:sz w:val="24"/>
              </w:rPr>
              <w:t xml:space="preserve"> k </w:t>
            </w:r>
            <w:r w:rsidRPr="00826586">
              <w:rPr>
                <w:rFonts w:ascii="Times New Roman" w:hAnsi="Times New Roman"/>
                <w:sz w:val="24"/>
              </w:rPr>
              <w:t>tomuto vzoru inštitúcie podrobnejšie opisujú akékoľvek iné významné faktory pohybov rizikovo vážených hodnôt za obdobie zverejňovania informácií.</w:t>
            </w:r>
          </w:p>
        </w:tc>
      </w:tr>
      <w:tr w:rsidR="00F43911" w:rsidRPr="00826586"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826586" w:rsidRDefault="00F43911" w:rsidP="004F3087">
            <w:pPr>
              <w:pStyle w:val="Applicationdirecte"/>
              <w:spacing w:before="0" w:after="240"/>
              <w:jc w:val="center"/>
            </w:pPr>
            <w:r w:rsidRPr="00826586">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RWEA ku koncu bežného obdobia zverejňovania informácií</w:t>
            </w:r>
          </w:p>
          <w:p w14:paraId="1EF927DE" w14:textId="77777777" w:rsidR="00F43911" w:rsidRPr="00826586" w:rsidRDefault="00F43911" w:rsidP="004F3087">
            <w:pPr>
              <w:spacing w:after="240"/>
              <w:jc w:val="both"/>
              <w:rPr>
                <w:rFonts w:ascii="Times New Roman" w:hAnsi="Times New Roman" w:cs="Times New Roman"/>
                <w:i/>
                <w:sz w:val="24"/>
              </w:rPr>
            </w:pPr>
            <w:r w:rsidRPr="00826586">
              <w:rPr>
                <w:rFonts w:ascii="Times New Roman" w:hAnsi="Times New Roman"/>
                <w:sz w:val="24"/>
              </w:rPr>
              <w:t>Hodnoty rizikovo vážených expozícií pre expozície voči CCR podľa IMM ku koncu bežného obdobia zverejňovania informácií.</w:t>
            </w:r>
          </w:p>
        </w:tc>
      </w:tr>
      <w:tr w:rsidR="00F43911" w:rsidRPr="00826586"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826586" w:rsidRDefault="00F43911" w:rsidP="004F3087">
            <w:pPr>
              <w:pStyle w:val="Applicationdirecte"/>
              <w:spacing w:before="0" w:after="240"/>
              <w:jc w:val="center"/>
              <w:rPr>
                <w:b/>
              </w:rPr>
            </w:pPr>
            <w:r w:rsidRPr="00826586">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Vysvetlenie</w:t>
            </w:r>
          </w:p>
        </w:tc>
      </w:tr>
      <w:tr w:rsidR="00F43911" w:rsidRPr="00826586"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826586" w:rsidRDefault="00F43911" w:rsidP="004F3087">
            <w:pPr>
              <w:pStyle w:val="Applicationdirecte"/>
              <w:spacing w:before="0" w:after="240"/>
              <w:jc w:val="center"/>
            </w:pPr>
            <w:r w:rsidRPr="00826586">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826586" w:rsidRDefault="00F43911" w:rsidP="004F3087">
            <w:pPr>
              <w:spacing w:after="240"/>
              <w:jc w:val="both"/>
              <w:rPr>
                <w:rFonts w:ascii="Times New Roman" w:hAnsi="Times New Roman" w:cs="Times New Roman"/>
                <w:b/>
                <w:sz w:val="24"/>
              </w:rPr>
            </w:pPr>
            <w:r w:rsidRPr="00826586">
              <w:rPr>
                <w:rFonts w:ascii="Times New Roman" w:hAnsi="Times New Roman"/>
                <w:b/>
                <w:sz w:val="24"/>
              </w:rPr>
              <w:t>RWEA</w:t>
            </w:r>
          </w:p>
        </w:tc>
      </w:tr>
    </w:tbl>
    <w:p w14:paraId="2D6E78B2" w14:textId="77777777" w:rsidR="00F43911" w:rsidRPr="00826586" w:rsidRDefault="00F43911" w:rsidP="00F43911">
      <w:pPr>
        <w:pStyle w:val="Titlelevel2"/>
        <w:spacing w:before="0"/>
        <w:rPr>
          <w:rFonts w:ascii="Times New Roman" w:hAnsi="Times New Roman" w:cs="Times New Roman"/>
          <w:b/>
          <w:color w:val="auto"/>
          <w:sz w:val="24"/>
        </w:rPr>
      </w:pPr>
    </w:p>
    <w:p w14:paraId="13B2C969" w14:textId="77777777" w:rsidR="00826586" w:rsidRDefault="00F43911" w:rsidP="00F43911">
      <w:pPr>
        <w:pStyle w:val="Titlelevel2"/>
        <w:spacing w:before="0"/>
        <w:rPr>
          <w:rFonts w:ascii="Times New Roman" w:hAnsi="Times New Roman"/>
          <w:b/>
          <w:color w:val="auto"/>
          <w:sz w:val="24"/>
        </w:rPr>
      </w:pPr>
      <w:r w:rsidRPr="00826586">
        <w:rPr>
          <w:rFonts w:ascii="Times New Roman" w:hAnsi="Times New Roman"/>
          <w:b/>
          <w:color w:val="auto"/>
          <w:sz w:val="24"/>
        </w:rPr>
        <w:t xml:space="preserve">Vzor EU CCR8 – Expozície voči centrálnym protistranám: </w:t>
      </w:r>
      <w:r w:rsidRPr="00826586">
        <w:rPr>
          <w:rFonts w:ascii="Times New Roman" w:hAnsi="Times New Roman"/>
          <w:color w:val="auto"/>
          <w:sz w:val="24"/>
        </w:rPr>
        <w:t>Pevný formát</w:t>
      </w:r>
    </w:p>
    <w:p w14:paraId="14C03A10" w14:textId="7929A5B9" w:rsidR="00F43911" w:rsidRPr="001A2287"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1A2287">
        <w:rPr>
          <w:rFonts w:ascii="Times New Roman" w:hAnsi="Times New Roman"/>
          <w:color w:val="auto"/>
          <w:sz w:val="24"/>
        </w:rPr>
        <w:t>Inštitúcie zverejňujú informácie uvedené</w:t>
      </w:r>
      <w:r w:rsidR="00826586" w:rsidRPr="001A2287">
        <w:rPr>
          <w:rFonts w:ascii="Times New Roman" w:hAnsi="Times New Roman"/>
          <w:color w:val="auto"/>
          <w:sz w:val="24"/>
        </w:rPr>
        <w:t xml:space="preserve"> v </w:t>
      </w:r>
      <w:r w:rsidRPr="001A2287">
        <w:rPr>
          <w:rFonts w:ascii="Times New Roman" w:hAnsi="Times New Roman"/>
          <w:color w:val="auto"/>
          <w:sz w:val="24"/>
        </w:rPr>
        <w:t xml:space="preserve">článku 439 písm. i) nariadenia (EÚ) </w:t>
      </w:r>
      <w:r w:rsidR="00826586" w:rsidRPr="001A2287">
        <w:rPr>
          <w:rFonts w:ascii="Times New Roman" w:hAnsi="Times New Roman"/>
          <w:color w:val="auto"/>
          <w:sz w:val="24"/>
        </w:rPr>
        <w:t>č. </w:t>
      </w:r>
      <w:r w:rsidRPr="001A2287">
        <w:rPr>
          <w:rFonts w:ascii="Times New Roman" w:hAnsi="Times New Roman"/>
          <w:color w:val="auto"/>
          <w:sz w:val="24"/>
        </w:rPr>
        <w:t>575/2013 podľa pokynov uvedených nižšie</w:t>
      </w:r>
      <w:r w:rsidR="00826586" w:rsidRPr="001A2287">
        <w:rPr>
          <w:rFonts w:ascii="Times New Roman" w:hAnsi="Times New Roman"/>
          <w:color w:val="auto"/>
          <w:sz w:val="24"/>
        </w:rPr>
        <w:t xml:space="preserve"> v </w:t>
      </w:r>
      <w:r w:rsidRPr="001A2287">
        <w:rPr>
          <w:rFonts w:ascii="Times New Roman" w:hAnsi="Times New Roman"/>
          <w:color w:val="auto"/>
          <w:sz w:val="24"/>
        </w:rPr>
        <w:t>tejto prílohe</w:t>
      </w:r>
      <w:r w:rsidR="00826586" w:rsidRPr="001A2287">
        <w:rPr>
          <w:rFonts w:ascii="Times New Roman" w:hAnsi="Times New Roman"/>
          <w:color w:val="auto"/>
          <w:sz w:val="24"/>
        </w:rPr>
        <w:t xml:space="preserve"> s </w:t>
      </w:r>
      <w:r w:rsidRPr="001A2287">
        <w:rPr>
          <w:rFonts w:ascii="Times New Roman" w:hAnsi="Times New Roman"/>
          <w:color w:val="auto"/>
          <w:sz w:val="24"/>
        </w:rPr>
        <w:t>cieľom vyplniť vzor EU CCR8, ktorý je uvedený</w:t>
      </w:r>
      <w:r w:rsidR="00826586" w:rsidRPr="001A2287">
        <w:rPr>
          <w:rFonts w:ascii="Times New Roman" w:hAnsi="Times New Roman"/>
          <w:color w:val="auto"/>
          <w:sz w:val="24"/>
        </w:rPr>
        <w:t xml:space="preserve"> v </w:t>
      </w:r>
      <w:r w:rsidRPr="001A2287">
        <w:rPr>
          <w:rFonts w:ascii="Times New Roman" w:hAnsi="Times New Roman"/>
          <w:color w:val="auto"/>
          <w:sz w:val="24"/>
        </w:rPr>
        <w:t>prílohe XXV dokumentu</w:t>
      </w:r>
      <w:r w:rsidR="00826586" w:rsidRPr="001A2287">
        <w:rPr>
          <w:rFonts w:ascii="Times New Roman" w:hAnsi="Times New Roman"/>
          <w:color w:val="auto"/>
          <w:sz w:val="24"/>
        </w:rPr>
        <w:t xml:space="preserve"> s </w:t>
      </w:r>
      <w:r w:rsidRPr="001A2287">
        <w:rPr>
          <w:rFonts w:ascii="Times New Roman" w:hAnsi="Times New Roman"/>
          <w:color w:val="auto"/>
          <w:sz w:val="24"/>
        </w:rPr>
        <w:t>IT riešeniami orgánu EBA.</w:t>
      </w:r>
    </w:p>
    <w:p w14:paraId="2D8023A6" w14:textId="01737189" w:rsidR="00F43911" w:rsidRPr="001A2287" w:rsidRDefault="00F43911" w:rsidP="00F43911">
      <w:pPr>
        <w:pStyle w:val="Titlelevel2"/>
        <w:numPr>
          <w:ilvl w:val="0"/>
          <w:numId w:val="2"/>
        </w:numPr>
        <w:spacing w:before="0"/>
        <w:jc w:val="both"/>
        <w:rPr>
          <w:rFonts w:ascii="Times New Roman" w:hAnsi="Times New Roman"/>
          <w:b/>
          <w:color w:val="auto"/>
          <w:sz w:val="24"/>
        </w:rPr>
      </w:pPr>
      <w:r w:rsidRPr="001A2287">
        <w:rPr>
          <w:rFonts w:ascii="Times New Roman" w:hAnsi="Times New Roman"/>
          <w:color w:val="auto"/>
          <w:sz w:val="24"/>
        </w:rPr>
        <w:t>Expozície voči centrálnym protistranám: zmluvy</w:t>
      </w:r>
      <w:r w:rsidR="00826586" w:rsidRPr="001A2287">
        <w:rPr>
          <w:rFonts w:ascii="Times New Roman" w:hAnsi="Times New Roman"/>
          <w:color w:val="auto"/>
          <w:sz w:val="24"/>
        </w:rPr>
        <w:t xml:space="preserve"> a </w:t>
      </w:r>
      <w:r w:rsidRPr="001A2287">
        <w:rPr>
          <w:rFonts w:ascii="Times New Roman" w:hAnsi="Times New Roman"/>
          <w:color w:val="auto"/>
          <w:sz w:val="24"/>
        </w:rPr>
        <w:t>transakcie uvedené</w:t>
      </w:r>
      <w:r w:rsidR="00826586" w:rsidRPr="001A2287">
        <w:rPr>
          <w:rFonts w:ascii="Times New Roman" w:hAnsi="Times New Roman"/>
          <w:color w:val="auto"/>
          <w:sz w:val="24"/>
        </w:rPr>
        <w:t xml:space="preserve"> v </w:t>
      </w:r>
      <w:r w:rsidRPr="001A2287">
        <w:rPr>
          <w:rFonts w:ascii="Times New Roman" w:hAnsi="Times New Roman"/>
          <w:color w:val="auto"/>
          <w:sz w:val="24"/>
        </w:rPr>
        <w:t xml:space="preserve">článku 301 ods. 1 nariadenia (EÚ) </w:t>
      </w:r>
      <w:r w:rsidR="00826586" w:rsidRPr="001A2287">
        <w:rPr>
          <w:rFonts w:ascii="Times New Roman" w:hAnsi="Times New Roman"/>
          <w:color w:val="auto"/>
          <w:sz w:val="24"/>
        </w:rPr>
        <w:t>č. </w:t>
      </w:r>
      <w:r w:rsidRPr="001A2287">
        <w:rPr>
          <w:rFonts w:ascii="Times New Roman" w:hAnsi="Times New Roman"/>
          <w:color w:val="auto"/>
          <w:sz w:val="24"/>
        </w:rPr>
        <w:t>575/2013, pokiaľ sú nesplatené voči CCP, vrátane expozícií voči transakciám súvisiacim</w:t>
      </w:r>
      <w:r w:rsidR="00826586" w:rsidRPr="001A2287">
        <w:rPr>
          <w:rFonts w:ascii="Times New Roman" w:hAnsi="Times New Roman"/>
          <w:color w:val="auto"/>
          <w:sz w:val="24"/>
        </w:rPr>
        <w:t xml:space="preserve"> s </w:t>
      </w:r>
      <w:r w:rsidRPr="001A2287">
        <w:rPr>
          <w:rFonts w:ascii="Times New Roman" w:hAnsi="Times New Roman"/>
          <w:color w:val="auto"/>
          <w:sz w:val="24"/>
        </w:rPr>
        <w:t>CCP</w:t>
      </w:r>
      <w:r w:rsidR="00826586" w:rsidRPr="001A2287">
        <w:rPr>
          <w:rFonts w:ascii="Times New Roman" w:hAnsi="Times New Roman"/>
          <w:color w:val="auto"/>
          <w:sz w:val="24"/>
        </w:rPr>
        <w:t xml:space="preserve"> v </w:t>
      </w:r>
      <w:r w:rsidRPr="001A2287">
        <w:rPr>
          <w:rFonts w:ascii="Times New Roman" w:hAnsi="Times New Roman"/>
          <w:color w:val="auto"/>
          <w:sz w:val="24"/>
        </w:rPr>
        <w:t>súlade</w:t>
      </w:r>
      <w:r w:rsidR="00826586" w:rsidRPr="001A2287">
        <w:rPr>
          <w:rFonts w:ascii="Times New Roman" w:hAnsi="Times New Roman"/>
          <w:color w:val="auto"/>
          <w:sz w:val="24"/>
        </w:rPr>
        <w:t xml:space="preserve"> s </w:t>
      </w:r>
      <w:r w:rsidRPr="001A2287">
        <w:rPr>
          <w:rFonts w:ascii="Times New Roman" w:hAnsi="Times New Roman"/>
          <w:color w:val="auto"/>
          <w:sz w:val="24"/>
        </w:rPr>
        <w:t xml:space="preserve">článkom 300 ods. 2 nariadenia (EÚ) </w:t>
      </w:r>
      <w:r w:rsidR="00826586" w:rsidRPr="001A2287">
        <w:rPr>
          <w:rFonts w:ascii="Times New Roman" w:hAnsi="Times New Roman"/>
          <w:color w:val="auto"/>
          <w:sz w:val="24"/>
        </w:rPr>
        <w:t>č. </w:t>
      </w:r>
      <w:r w:rsidRPr="001A2287">
        <w:rPr>
          <w:rFonts w:ascii="Times New Roman" w:hAnsi="Times New Roman"/>
          <w:color w:val="auto"/>
          <w:sz w:val="24"/>
        </w:rPr>
        <w:t>575/2013, pri ktorých sa požiadavky na vlastné zdroje vypočítavajú</w:t>
      </w:r>
      <w:r w:rsidR="00826586" w:rsidRPr="001A2287">
        <w:rPr>
          <w:rFonts w:ascii="Times New Roman" w:hAnsi="Times New Roman"/>
          <w:color w:val="auto"/>
          <w:sz w:val="24"/>
        </w:rPr>
        <w:t xml:space="preserve"> v </w:t>
      </w:r>
      <w:r w:rsidRPr="001A2287">
        <w:rPr>
          <w:rFonts w:ascii="Times New Roman" w:hAnsi="Times New Roman"/>
          <w:color w:val="auto"/>
          <w:sz w:val="24"/>
        </w:rPr>
        <w:t>súlade</w:t>
      </w:r>
      <w:r w:rsidR="00826586" w:rsidRPr="001A2287">
        <w:rPr>
          <w:rFonts w:ascii="Times New Roman" w:hAnsi="Times New Roman"/>
          <w:color w:val="auto"/>
          <w:sz w:val="24"/>
        </w:rPr>
        <w:t xml:space="preserve"> s </w:t>
      </w:r>
      <w:r w:rsidRPr="001A2287">
        <w:rPr>
          <w:rFonts w:ascii="Times New Roman" w:hAnsi="Times New Roman"/>
          <w:color w:val="auto"/>
          <w:sz w:val="24"/>
        </w:rPr>
        <w:t xml:space="preserve">treťou časťou hlavou II kapitolou 6 oddielom 9 nariadenia (EÚ) </w:t>
      </w:r>
      <w:r w:rsidR="00826586" w:rsidRPr="001A2287">
        <w:rPr>
          <w:rFonts w:ascii="Times New Roman" w:hAnsi="Times New Roman"/>
          <w:color w:val="auto"/>
          <w:sz w:val="24"/>
        </w:rPr>
        <w:t>č. </w:t>
      </w:r>
      <w:r w:rsidRPr="001A2287">
        <w:rPr>
          <w:rFonts w:ascii="Times New Roman" w:hAnsi="Times New Roman"/>
          <w:color w:val="auto"/>
          <w:sz w:val="24"/>
        </w:rPr>
        <w:t xml:space="preserve">575/2013.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26586"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47AA42E7" w:rsidR="00F43911" w:rsidRPr="00826586" w:rsidRDefault="00F43911" w:rsidP="004F3087">
            <w:pPr>
              <w:spacing w:after="240"/>
              <w:rPr>
                <w:rFonts w:ascii="Times New Roman" w:hAnsi="Times New Roman" w:cs="Times New Roman"/>
                <w:b/>
                <w:sz w:val="24"/>
              </w:rPr>
            </w:pPr>
            <w:r w:rsidRPr="00826586">
              <w:rPr>
                <w:rFonts w:ascii="Times New Roman" w:hAnsi="Times New Roman"/>
                <w:b/>
                <w:sz w:val="24"/>
              </w:rPr>
              <w:t>Odkazy na právne predpisy</w:t>
            </w:r>
            <w:r w:rsidR="00826586">
              <w:rPr>
                <w:rFonts w:ascii="Times New Roman" w:hAnsi="Times New Roman"/>
                <w:b/>
                <w:sz w:val="24"/>
              </w:rPr>
              <w:t xml:space="preserve"> a </w:t>
            </w:r>
            <w:r w:rsidRPr="00826586">
              <w:rPr>
                <w:rFonts w:ascii="Times New Roman" w:hAnsi="Times New Roman"/>
                <w:b/>
                <w:sz w:val="24"/>
              </w:rPr>
              <w:t>pokyny</w:t>
            </w:r>
          </w:p>
        </w:tc>
      </w:tr>
      <w:tr w:rsidR="00F43911" w:rsidRPr="00826586" w14:paraId="6D3E09E0" w14:textId="77777777" w:rsidTr="004F3087">
        <w:trPr>
          <w:trHeight w:val="238"/>
        </w:trPr>
        <w:tc>
          <w:tcPr>
            <w:tcW w:w="1384" w:type="dxa"/>
            <w:shd w:val="clear" w:color="auto" w:fill="D9D9D9" w:themeFill="background1" w:themeFillShade="D9"/>
          </w:tcPr>
          <w:p w14:paraId="6F86EBCB" w14:textId="77777777" w:rsidR="00F43911" w:rsidRPr="00826586" w:rsidRDefault="00F43911" w:rsidP="004F3087">
            <w:pPr>
              <w:autoSpaceDE w:val="0"/>
              <w:autoSpaceDN w:val="0"/>
              <w:adjustRightInd w:val="0"/>
              <w:spacing w:after="240"/>
              <w:rPr>
                <w:rFonts w:ascii="Times New Roman" w:hAnsi="Times New Roman" w:cs="Times New Roman"/>
                <w:b/>
                <w:sz w:val="24"/>
              </w:rPr>
            </w:pPr>
            <w:r w:rsidRPr="00826586">
              <w:rPr>
                <w:rFonts w:ascii="Times New Roman" w:hAnsi="Times New Roman"/>
                <w:b/>
                <w:sz w:val="24"/>
              </w:rPr>
              <w:t>Číslo riadku</w:t>
            </w:r>
          </w:p>
        </w:tc>
        <w:tc>
          <w:tcPr>
            <w:tcW w:w="7655" w:type="dxa"/>
            <w:shd w:val="clear" w:color="auto" w:fill="D9D9D9" w:themeFill="background1" w:themeFillShade="D9"/>
          </w:tcPr>
          <w:p w14:paraId="2610CABA" w14:textId="77777777" w:rsidR="00F43911" w:rsidRPr="00826586" w:rsidRDefault="00F43911" w:rsidP="004F3087">
            <w:pPr>
              <w:autoSpaceDE w:val="0"/>
              <w:autoSpaceDN w:val="0"/>
              <w:adjustRightInd w:val="0"/>
              <w:spacing w:after="240"/>
              <w:rPr>
                <w:rFonts w:ascii="Times New Roman" w:hAnsi="Times New Roman" w:cs="Times New Roman"/>
                <w:color w:val="000000"/>
                <w:sz w:val="24"/>
              </w:rPr>
            </w:pPr>
            <w:r w:rsidRPr="00826586">
              <w:rPr>
                <w:rFonts w:ascii="Times New Roman" w:hAnsi="Times New Roman"/>
                <w:b/>
                <w:sz w:val="24"/>
              </w:rPr>
              <w:t>Vysvetlenie</w:t>
            </w:r>
          </w:p>
        </w:tc>
      </w:tr>
      <w:tr w:rsidR="00F43911" w:rsidRPr="00826586" w14:paraId="37AB1FB7" w14:textId="77777777" w:rsidTr="004F3087">
        <w:trPr>
          <w:trHeight w:val="680"/>
        </w:trPr>
        <w:tc>
          <w:tcPr>
            <w:tcW w:w="1384" w:type="dxa"/>
          </w:tcPr>
          <w:p w14:paraId="000DBB15" w14:textId="77777777" w:rsidR="00F43911" w:rsidRPr="00826586" w:rsidRDefault="00F43911" w:rsidP="004F3087">
            <w:pPr>
              <w:pStyle w:val="Applicationdirecte"/>
              <w:spacing w:before="0" w:after="240"/>
              <w:jc w:val="center"/>
            </w:pPr>
            <w:r w:rsidRPr="00826586">
              <w:lastRenderedPageBreak/>
              <w:t>1 – 10</w:t>
            </w:r>
          </w:p>
        </w:tc>
        <w:tc>
          <w:tcPr>
            <w:tcW w:w="7655" w:type="dxa"/>
            <w:vAlign w:val="center"/>
          </w:tcPr>
          <w:p w14:paraId="29CECCE7" w14:textId="77777777" w:rsidR="00F43911" w:rsidRPr="00826586" w:rsidRDefault="00F43911" w:rsidP="004F3087">
            <w:pPr>
              <w:keepNext/>
              <w:spacing w:after="240"/>
              <w:jc w:val="both"/>
              <w:rPr>
                <w:rFonts w:ascii="Times New Roman" w:eastAsia="Times New Roman" w:hAnsi="Times New Roman" w:cs="Times New Roman"/>
                <w:b/>
                <w:sz w:val="24"/>
              </w:rPr>
            </w:pPr>
            <w:r w:rsidRPr="00826586">
              <w:rPr>
                <w:rFonts w:ascii="Times New Roman" w:hAnsi="Times New Roman"/>
                <w:b/>
                <w:sz w:val="24"/>
              </w:rPr>
              <w:t>Kvalifikovaná centrálna protistrana (QCCP)</w:t>
            </w:r>
          </w:p>
          <w:p w14:paraId="7D977D34" w14:textId="108E5AFD" w:rsidR="00F43911" w:rsidRPr="00826586" w:rsidRDefault="00F43911" w:rsidP="004F3087">
            <w:pPr>
              <w:keepNext/>
              <w:spacing w:after="240"/>
              <w:jc w:val="both"/>
              <w:rPr>
                <w:rFonts w:ascii="Times New Roman" w:eastAsia="Times New Roman" w:hAnsi="Times New Roman" w:cs="Times New Roman"/>
                <w:sz w:val="24"/>
              </w:rPr>
            </w:pPr>
            <w:r w:rsidRPr="00826586">
              <w:rPr>
                <w:rFonts w:ascii="Times New Roman" w:hAnsi="Times New Roman"/>
                <w:sz w:val="24"/>
              </w:rPr>
              <w:t>Kvalifikovaná centrálna protistrana alebo „QCCP“</w:t>
            </w:r>
            <w:r w:rsidR="00826586">
              <w:rPr>
                <w:rFonts w:ascii="Times New Roman" w:hAnsi="Times New Roman"/>
                <w:sz w:val="24"/>
              </w:rPr>
              <w:t xml:space="preserve"> v </w:t>
            </w:r>
            <w:r w:rsidRPr="00826586">
              <w:rPr>
                <w:rFonts w:ascii="Times New Roman" w:hAnsi="Times New Roman"/>
                <w:sz w:val="24"/>
              </w:rPr>
              <w:t>zmysle vymedzenia</w:t>
            </w:r>
            <w:r w:rsidR="00826586">
              <w:rPr>
                <w:rFonts w:ascii="Times New Roman" w:hAnsi="Times New Roman"/>
                <w:sz w:val="24"/>
              </w:rPr>
              <w:t xml:space="preserve"> v </w:t>
            </w:r>
            <w:r w:rsidRPr="00826586">
              <w:rPr>
                <w:rFonts w:ascii="Times New Roman" w:hAnsi="Times New Roman"/>
                <w:sz w:val="24"/>
              </w:rPr>
              <w:t xml:space="preserve">článku 4 ods. 1 bode 88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68B0B77B" w14:textId="77777777" w:rsidTr="004F3087">
        <w:trPr>
          <w:trHeight w:val="680"/>
        </w:trPr>
        <w:tc>
          <w:tcPr>
            <w:tcW w:w="1384" w:type="dxa"/>
          </w:tcPr>
          <w:p w14:paraId="3AEC71A5" w14:textId="3AE1C383" w:rsidR="00F43911" w:rsidRPr="00826586" w:rsidRDefault="00F43911" w:rsidP="004F3087">
            <w:pPr>
              <w:pStyle w:val="Applicationdirecte"/>
              <w:spacing w:before="0" w:after="240"/>
              <w:jc w:val="center"/>
            </w:pPr>
            <w:r w:rsidRPr="00826586">
              <w:t>7</w:t>
            </w:r>
            <w:r w:rsidR="00826586">
              <w:t xml:space="preserve"> a </w:t>
            </w:r>
            <w:r w:rsidRPr="00826586">
              <w:t>8</w:t>
            </w:r>
          </w:p>
          <w:p w14:paraId="1BD08955" w14:textId="2EC98799" w:rsidR="00F43911" w:rsidRPr="00826586" w:rsidRDefault="00F43911" w:rsidP="004F3087">
            <w:pPr>
              <w:pStyle w:val="Fait"/>
              <w:spacing w:before="0" w:after="240"/>
              <w:jc w:val="center"/>
            </w:pPr>
            <w:r w:rsidRPr="00826586">
              <w:t>17</w:t>
            </w:r>
            <w:r w:rsidR="00826586">
              <w:t xml:space="preserve"> a </w:t>
            </w:r>
            <w:r w:rsidRPr="00826586">
              <w:t>18</w:t>
            </w:r>
          </w:p>
        </w:tc>
        <w:tc>
          <w:tcPr>
            <w:tcW w:w="7655" w:type="dxa"/>
            <w:vAlign w:val="center"/>
          </w:tcPr>
          <w:p w14:paraId="2A3132CF" w14:textId="77777777" w:rsidR="00F43911" w:rsidRPr="00826586" w:rsidRDefault="00F43911" w:rsidP="004F3087">
            <w:pPr>
              <w:keepNext/>
              <w:spacing w:after="240"/>
              <w:jc w:val="both"/>
              <w:rPr>
                <w:rFonts w:ascii="Times New Roman" w:eastAsia="Times New Roman" w:hAnsi="Times New Roman" w:cs="Times New Roman"/>
                <w:b/>
                <w:bCs/>
                <w:sz w:val="24"/>
              </w:rPr>
            </w:pPr>
            <w:r w:rsidRPr="00826586">
              <w:rPr>
                <w:rFonts w:ascii="Times New Roman" w:hAnsi="Times New Roman"/>
                <w:b/>
                <w:sz w:val="24"/>
              </w:rPr>
              <w:t>Počiatočná marža</w:t>
            </w:r>
          </w:p>
          <w:p w14:paraId="3C76FA21" w14:textId="3D9BDF4B" w:rsidR="00F43911" w:rsidRPr="00826586" w:rsidRDefault="00F43911" w:rsidP="004F3087">
            <w:pPr>
              <w:keepNext/>
              <w:spacing w:after="240"/>
              <w:jc w:val="both"/>
              <w:rPr>
                <w:rFonts w:ascii="Times New Roman" w:eastAsia="Times New Roman" w:hAnsi="Times New Roman" w:cs="Times New Roman"/>
                <w:sz w:val="24"/>
              </w:rPr>
            </w:pPr>
            <w:r w:rsidRPr="00826586">
              <w:rPr>
                <w:rFonts w:ascii="Times New Roman" w:hAnsi="Times New Roman"/>
                <w:sz w:val="24"/>
              </w:rPr>
              <w:t>Inštitúcie zverejňujú reálne hodnoty kolaterálu prijatého alebo poskytnutého ako počiatočná marža</w:t>
            </w:r>
            <w:r w:rsidR="00826586">
              <w:rPr>
                <w:rFonts w:ascii="Times New Roman" w:hAnsi="Times New Roman"/>
                <w:sz w:val="24"/>
              </w:rPr>
              <w:t xml:space="preserve"> v </w:t>
            </w:r>
            <w:r w:rsidRPr="00826586">
              <w:rPr>
                <w:rFonts w:ascii="Times New Roman" w:hAnsi="Times New Roman"/>
                <w:sz w:val="24"/>
              </w:rPr>
              <w:t>zmysle vymedzenia</w:t>
            </w:r>
            <w:r w:rsidR="00826586">
              <w:rPr>
                <w:rFonts w:ascii="Times New Roman" w:hAnsi="Times New Roman"/>
                <w:sz w:val="24"/>
              </w:rPr>
              <w:t xml:space="preserve"> v </w:t>
            </w:r>
            <w:r w:rsidRPr="00826586">
              <w:rPr>
                <w:rFonts w:ascii="Times New Roman" w:hAnsi="Times New Roman"/>
                <w:sz w:val="24"/>
              </w:rPr>
              <w:t xml:space="preserve">článku 4 ods. 1 bode 140 nariadenia (EÚ) </w:t>
            </w:r>
            <w:r w:rsidR="00826586">
              <w:rPr>
                <w:rFonts w:ascii="Times New Roman" w:hAnsi="Times New Roman"/>
                <w:sz w:val="24"/>
              </w:rPr>
              <w:t>č. </w:t>
            </w:r>
            <w:r w:rsidRPr="00826586">
              <w:rPr>
                <w:rFonts w:ascii="Times New Roman" w:hAnsi="Times New Roman"/>
                <w:sz w:val="24"/>
              </w:rPr>
              <w:t>575/2013.</w:t>
            </w:r>
          </w:p>
          <w:p w14:paraId="3B66900B" w14:textId="6A432B9B" w:rsidR="00F43911" w:rsidRPr="00826586" w:rsidRDefault="00F43911" w:rsidP="004F3087">
            <w:pPr>
              <w:keepNext/>
              <w:spacing w:after="240"/>
              <w:jc w:val="both"/>
              <w:rPr>
                <w:rFonts w:ascii="Times New Roman" w:eastAsia="Times New Roman" w:hAnsi="Times New Roman" w:cs="Times New Roman"/>
                <w:i/>
                <w:sz w:val="24"/>
              </w:rPr>
            </w:pPr>
            <w:r w:rsidRPr="00826586">
              <w:rPr>
                <w:rFonts w:ascii="Times New Roman" w:hAnsi="Times New Roman"/>
                <w:sz w:val="24"/>
              </w:rPr>
              <w:t>Na účely tohto vzoru počiatočná marža nezahŕňa príspevky do CCP na mutualizované mechanizmy rozdeľovania strát (t. j.</w:t>
            </w:r>
            <w:r w:rsidR="00826586">
              <w:rPr>
                <w:rFonts w:ascii="Times New Roman" w:hAnsi="Times New Roman"/>
                <w:sz w:val="24"/>
              </w:rPr>
              <w:t xml:space="preserve"> v </w:t>
            </w:r>
            <w:r w:rsidRPr="00826586">
              <w:rPr>
                <w:rFonts w:ascii="Times New Roman" w:hAnsi="Times New Roman"/>
                <w:sz w:val="24"/>
              </w:rPr>
              <w:t>prípadoch, keď CCP používa počiatočnú maržu na mutualizáciu strát medzi zúčtovacích členov, sa</w:t>
            </w:r>
            <w:r w:rsidR="00826586">
              <w:rPr>
                <w:rFonts w:ascii="Times New Roman" w:hAnsi="Times New Roman"/>
                <w:sz w:val="24"/>
              </w:rPr>
              <w:t xml:space="preserve"> s </w:t>
            </w:r>
            <w:r w:rsidRPr="00826586">
              <w:rPr>
                <w:rFonts w:ascii="Times New Roman" w:hAnsi="Times New Roman"/>
                <w:sz w:val="24"/>
              </w:rPr>
              <w:t>ňou bude zaobchádzať ako</w:t>
            </w:r>
            <w:r w:rsidR="00826586">
              <w:rPr>
                <w:rFonts w:ascii="Times New Roman" w:hAnsi="Times New Roman"/>
                <w:sz w:val="24"/>
              </w:rPr>
              <w:t xml:space="preserve"> s </w:t>
            </w:r>
            <w:r w:rsidRPr="00826586">
              <w:rPr>
                <w:rFonts w:ascii="Times New Roman" w:hAnsi="Times New Roman"/>
                <w:sz w:val="24"/>
              </w:rPr>
              <w:t xml:space="preserve">expozíciou voči fondu pre prípad zlyhania). </w:t>
            </w:r>
          </w:p>
        </w:tc>
      </w:tr>
      <w:tr w:rsidR="00F43911" w:rsidRPr="00826586" w14:paraId="514E9587" w14:textId="77777777" w:rsidTr="004F3087">
        <w:trPr>
          <w:trHeight w:val="680"/>
        </w:trPr>
        <w:tc>
          <w:tcPr>
            <w:tcW w:w="1384" w:type="dxa"/>
          </w:tcPr>
          <w:p w14:paraId="5E7BE072" w14:textId="02A3B7E6" w:rsidR="00F43911" w:rsidRPr="00826586" w:rsidRDefault="00F43911" w:rsidP="004F3087">
            <w:pPr>
              <w:pStyle w:val="Applicationdirecte"/>
              <w:spacing w:before="0" w:after="240"/>
              <w:jc w:val="center"/>
            </w:pPr>
            <w:r w:rsidRPr="00826586">
              <w:t>9</w:t>
            </w:r>
            <w:r w:rsidR="00826586">
              <w:t xml:space="preserve"> a </w:t>
            </w:r>
            <w:r w:rsidRPr="00826586">
              <w:t>19</w:t>
            </w:r>
          </w:p>
        </w:tc>
        <w:tc>
          <w:tcPr>
            <w:tcW w:w="7655" w:type="dxa"/>
            <w:vAlign w:val="center"/>
          </w:tcPr>
          <w:p w14:paraId="515E4B6E" w14:textId="77777777" w:rsidR="00F43911" w:rsidRPr="00826586" w:rsidRDefault="00F43911" w:rsidP="004F3087">
            <w:pPr>
              <w:keepNext/>
              <w:spacing w:after="240"/>
              <w:jc w:val="both"/>
              <w:rPr>
                <w:rFonts w:ascii="Times New Roman" w:eastAsia="Times New Roman" w:hAnsi="Times New Roman" w:cs="Times New Roman"/>
                <w:b/>
                <w:sz w:val="24"/>
              </w:rPr>
            </w:pPr>
            <w:r w:rsidRPr="00826586">
              <w:rPr>
                <w:rFonts w:ascii="Times New Roman" w:hAnsi="Times New Roman"/>
                <w:b/>
                <w:sz w:val="24"/>
              </w:rPr>
              <w:t>Predfinancované príspevky do fondu pre prípad zlyhania</w:t>
            </w:r>
          </w:p>
          <w:p w14:paraId="2980A8E2" w14:textId="77777777" w:rsidR="00F43911" w:rsidRPr="00826586" w:rsidRDefault="00F43911" w:rsidP="004F3087">
            <w:pPr>
              <w:keepNext/>
              <w:spacing w:after="240"/>
              <w:jc w:val="both"/>
              <w:rPr>
                <w:rFonts w:ascii="Times New Roman" w:eastAsia="Times New Roman" w:hAnsi="Times New Roman" w:cs="Times New Roman"/>
                <w:sz w:val="24"/>
              </w:rPr>
            </w:pPr>
            <w:r w:rsidRPr="00826586">
              <w:rPr>
                <w:rFonts w:ascii="Times New Roman" w:hAnsi="Times New Roman"/>
                <w:sz w:val="24"/>
              </w:rPr>
              <w:t>Príspevok do fondu centrálnej protistrany pre prípad zlyhania, ktorý platia inštitúcie.</w:t>
            </w:r>
          </w:p>
          <w:p w14:paraId="47DBAB7C" w14:textId="596AD93C" w:rsidR="00F43911" w:rsidRPr="00826586" w:rsidRDefault="00F43911" w:rsidP="004F3087">
            <w:pPr>
              <w:keepNext/>
              <w:spacing w:after="240"/>
              <w:jc w:val="both"/>
              <w:rPr>
                <w:rFonts w:ascii="Times New Roman" w:eastAsia="Times New Roman" w:hAnsi="Times New Roman" w:cs="Times New Roman"/>
                <w:sz w:val="24"/>
              </w:rPr>
            </w:pPr>
            <w:r w:rsidRPr="00826586">
              <w:rPr>
                <w:rFonts w:ascii="Times New Roman" w:hAnsi="Times New Roman"/>
                <w:sz w:val="24"/>
              </w:rPr>
              <w:t>„Fond pre prípad zlyhania“ je vymedzený</w:t>
            </w:r>
            <w:r w:rsidR="00826586">
              <w:rPr>
                <w:rFonts w:ascii="Times New Roman" w:hAnsi="Times New Roman"/>
                <w:sz w:val="24"/>
              </w:rPr>
              <w:t xml:space="preserve"> v </w:t>
            </w:r>
            <w:r w:rsidRPr="00826586">
              <w:rPr>
                <w:rFonts w:ascii="Times New Roman" w:hAnsi="Times New Roman"/>
                <w:sz w:val="24"/>
              </w:rPr>
              <w:t xml:space="preserve">článku 4 ods. 1 bode 89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368249A9" w14:textId="77777777" w:rsidTr="004F3087">
        <w:trPr>
          <w:trHeight w:val="680"/>
        </w:trPr>
        <w:tc>
          <w:tcPr>
            <w:tcW w:w="1384" w:type="dxa"/>
          </w:tcPr>
          <w:p w14:paraId="4ECB41F2" w14:textId="77777777" w:rsidR="00F43911" w:rsidRPr="00826586" w:rsidRDefault="00F43911" w:rsidP="004F3087">
            <w:pPr>
              <w:pStyle w:val="Applicationdirecte"/>
              <w:spacing w:before="0" w:after="240"/>
              <w:jc w:val="center"/>
            </w:pPr>
            <w:r w:rsidRPr="00826586">
              <w:t>20</w:t>
            </w:r>
          </w:p>
        </w:tc>
        <w:tc>
          <w:tcPr>
            <w:tcW w:w="7655" w:type="dxa"/>
            <w:vAlign w:val="center"/>
          </w:tcPr>
          <w:p w14:paraId="66ADBBF3" w14:textId="77777777" w:rsidR="00F43911" w:rsidRPr="00826586" w:rsidRDefault="00F43911" w:rsidP="004F3087">
            <w:pPr>
              <w:keepNext/>
              <w:spacing w:after="240"/>
              <w:jc w:val="both"/>
              <w:rPr>
                <w:rFonts w:ascii="Times New Roman" w:eastAsia="Times New Roman" w:hAnsi="Times New Roman" w:cs="Times New Roman"/>
                <w:b/>
                <w:sz w:val="24"/>
              </w:rPr>
            </w:pPr>
            <w:r w:rsidRPr="00826586">
              <w:rPr>
                <w:rFonts w:ascii="Times New Roman" w:hAnsi="Times New Roman"/>
                <w:b/>
                <w:sz w:val="24"/>
              </w:rPr>
              <w:t>Nefinancované príspevky do fondu pre prípad zlyhania</w:t>
            </w:r>
          </w:p>
          <w:p w14:paraId="32104DB8" w14:textId="2DBBBF07" w:rsidR="00F43911" w:rsidRPr="00826586" w:rsidRDefault="00F43911" w:rsidP="004F3087">
            <w:pPr>
              <w:keepNext/>
              <w:spacing w:after="240"/>
              <w:jc w:val="both"/>
              <w:rPr>
                <w:rFonts w:ascii="Times New Roman" w:eastAsia="Times New Roman" w:hAnsi="Times New Roman" w:cs="Times New Roman"/>
                <w:sz w:val="24"/>
              </w:rPr>
            </w:pPr>
            <w:r w:rsidRPr="00826586">
              <w:rPr>
                <w:rFonts w:ascii="Times New Roman" w:hAnsi="Times New Roman"/>
                <w:sz w:val="24"/>
              </w:rPr>
              <w:t>Príspevky, ktoré sa inštitúcia konajúca ako zúčtovací člen zmluvne zaviazala poskytnúť CCP po tom, ako CCP vyčerpala svoj fond pre prípad zlyhania, na pokrytie strát, ktoré jej vznikli</w:t>
            </w:r>
            <w:r w:rsidR="00826586">
              <w:rPr>
                <w:rFonts w:ascii="Times New Roman" w:hAnsi="Times New Roman"/>
                <w:sz w:val="24"/>
              </w:rPr>
              <w:t xml:space="preserve"> v </w:t>
            </w:r>
            <w:r w:rsidRPr="00826586">
              <w:rPr>
                <w:rFonts w:ascii="Times New Roman" w:hAnsi="Times New Roman"/>
                <w:sz w:val="24"/>
              </w:rPr>
              <w:t>dôsledku zlyhania jedného alebo viacerých jej zúčtovacích členov. „Fond pre prípad zlyhania“ je vymedzený</w:t>
            </w:r>
            <w:r w:rsidR="00826586">
              <w:rPr>
                <w:rFonts w:ascii="Times New Roman" w:hAnsi="Times New Roman"/>
                <w:sz w:val="24"/>
              </w:rPr>
              <w:t xml:space="preserve"> v </w:t>
            </w:r>
            <w:r w:rsidRPr="00826586">
              <w:rPr>
                <w:rFonts w:ascii="Times New Roman" w:hAnsi="Times New Roman"/>
                <w:sz w:val="24"/>
              </w:rPr>
              <w:t xml:space="preserve">článku 4 ods. 1 bode 89 nariadenia (EÚ) </w:t>
            </w:r>
            <w:r w:rsidR="00826586">
              <w:rPr>
                <w:rFonts w:ascii="Times New Roman" w:hAnsi="Times New Roman"/>
                <w:sz w:val="24"/>
              </w:rPr>
              <w:t>č. </w:t>
            </w:r>
            <w:r w:rsidRPr="00826586">
              <w:rPr>
                <w:rFonts w:ascii="Times New Roman" w:hAnsi="Times New Roman"/>
                <w:sz w:val="24"/>
              </w:rPr>
              <w:t>575/2013.</w:t>
            </w:r>
          </w:p>
        </w:tc>
      </w:tr>
      <w:tr w:rsidR="00F43911" w:rsidRPr="00826586" w14:paraId="5E181790" w14:textId="77777777" w:rsidTr="004F3087">
        <w:trPr>
          <w:trHeight w:val="680"/>
        </w:trPr>
        <w:tc>
          <w:tcPr>
            <w:tcW w:w="1384" w:type="dxa"/>
          </w:tcPr>
          <w:p w14:paraId="3F50AC9D" w14:textId="754C71AC" w:rsidR="00F43911" w:rsidRPr="00826586" w:rsidRDefault="00F43911" w:rsidP="004F3087">
            <w:pPr>
              <w:pStyle w:val="Applicationdirecte"/>
              <w:spacing w:before="0" w:after="240"/>
              <w:jc w:val="center"/>
            </w:pPr>
            <w:r w:rsidRPr="00826586">
              <w:t>7</w:t>
            </w:r>
            <w:r w:rsidR="00826586">
              <w:t xml:space="preserve"> a </w:t>
            </w:r>
            <w:r w:rsidRPr="00826586">
              <w:t>17</w:t>
            </w:r>
          </w:p>
        </w:tc>
        <w:tc>
          <w:tcPr>
            <w:tcW w:w="7655" w:type="dxa"/>
            <w:vAlign w:val="center"/>
          </w:tcPr>
          <w:p w14:paraId="14FAE32C" w14:textId="77777777" w:rsidR="00F43911" w:rsidRPr="00826586" w:rsidRDefault="00F43911" w:rsidP="004F3087">
            <w:pPr>
              <w:spacing w:after="240"/>
              <w:jc w:val="both"/>
              <w:rPr>
                <w:rFonts w:ascii="Times New Roman" w:eastAsia="Calibri" w:hAnsi="Times New Roman" w:cs="Times New Roman"/>
                <w:b/>
                <w:sz w:val="24"/>
              </w:rPr>
            </w:pPr>
            <w:r w:rsidRPr="00826586">
              <w:rPr>
                <w:rFonts w:ascii="Times New Roman" w:hAnsi="Times New Roman"/>
                <w:b/>
                <w:sz w:val="24"/>
              </w:rPr>
              <w:t>Oddelený</w:t>
            </w:r>
          </w:p>
          <w:p w14:paraId="77E9C42E" w14:textId="77777777" w:rsidR="00F43911" w:rsidRPr="00826586" w:rsidRDefault="00F43911" w:rsidP="004F3087">
            <w:pPr>
              <w:spacing w:after="240"/>
              <w:jc w:val="both"/>
              <w:rPr>
                <w:rFonts w:ascii="Times New Roman" w:eastAsia="Calibri" w:hAnsi="Times New Roman" w:cs="Times New Roman"/>
                <w:sz w:val="24"/>
              </w:rPr>
            </w:pPr>
            <w:r w:rsidRPr="00826586">
              <w:rPr>
                <w:rFonts w:ascii="Times New Roman" w:hAnsi="Times New Roman"/>
                <w:sz w:val="24"/>
              </w:rPr>
              <w:t>Pozri vymedzenie pojmu zahrnuté vo vzore EU CCR5.</w:t>
            </w:r>
          </w:p>
        </w:tc>
      </w:tr>
      <w:tr w:rsidR="00F43911" w:rsidRPr="00826586" w14:paraId="3243F74D" w14:textId="77777777" w:rsidTr="004F3087">
        <w:trPr>
          <w:trHeight w:val="680"/>
        </w:trPr>
        <w:tc>
          <w:tcPr>
            <w:tcW w:w="1384" w:type="dxa"/>
          </w:tcPr>
          <w:p w14:paraId="5D4CDD15" w14:textId="1021638D" w:rsidR="00F43911" w:rsidRPr="00826586" w:rsidRDefault="00F43911" w:rsidP="004F3087">
            <w:pPr>
              <w:pStyle w:val="Applicationdirecte"/>
              <w:spacing w:before="0" w:after="240"/>
              <w:jc w:val="center"/>
            </w:pPr>
            <w:r w:rsidRPr="00826586">
              <w:t>8</w:t>
            </w:r>
            <w:r w:rsidR="00826586">
              <w:t xml:space="preserve"> a </w:t>
            </w:r>
            <w:r w:rsidRPr="00826586">
              <w:t>18</w:t>
            </w:r>
          </w:p>
        </w:tc>
        <w:tc>
          <w:tcPr>
            <w:tcW w:w="7655" w:type="dxa"/>
            <w:vAlign w:val="center"/>
          </w:tcPr>
          <w:p w14:paraId="68CA4C70" w14:textId="77777777" w:rsidR="00F43911" w:rsidRPr="00826586" w:rsidRDefault="00F43911" w:rsidP="004F3087">
            <w:pPr>
              <w:spacing w:after="240"/>
              <w:jc w:val="both"/>
              <w:rPr>
                <w:rFonts w:ascii="Times New Roman" w:eastAsia="Calibri" w:hAnsi="Times New Roman" w:cs="Times New Roman"/>
                <w:b/>
                <w:sz w:val="24"/>
              </w:rPr>
            </w:pPr>
            <w:r w:rsidRPr="00826586">
              <w:rPr>
                <w:rFonts w:ascii="Times New Roman" w:hAnsi="Times New Roman"/>
                <w:b/>
                <w:sz w:val="24"/>
              </w:rPr>
              <w:t>Neoddelený</w:t>
            </w:r>
          </w:p>
          <w:p w14:paraId="33E34E6A" w14:textId="77777777" w:rsidR="00F43911" w:rsidRPr="00826586" w:rsidRDefault="00F43911" w:rsidP="004F3087">
            <w:pPr>
              <w:spacing w:after="240"/>
              <w:jc w:val="both"/>
              <w:rPr>
                <w:rFonts w:ascii="Times New Roman" w:eastAsia="Calibri" w:hAnsi="Times New Roman" w:cs="Times New Roman"/>
                <w:sz w:val="24"/>
              </w:rPr>
            </w:pPr>
            <w:r w:rsidRPr="00826586">
              <w:rPr>
                <w:rFonts w:ascii="Times New Roman" w:hAnsi="Times New Roman"/>
                <w:sz w:val="24"/>
              </w:rPr>
              <w:t>Pozri vymedzenie pojmu zahrnuté vo vzore EU CCR5.</w:t>
            </w:r>
          </w:p>
        </w:tc>
      </w:tr>
      <w:tr w:rsidR="00F43911" w:rsidRPr="00826586"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826586" w:rsidRDefault="00F43911" w:rsidP="004F3087">
            <w:pPr>
              <w:pStyle w:val="Applicationdirecte"/>
              <w:spacing w:before="0" w:after="240"/>
              <w:jc w:val="center"/>
              <w:rPr>
                <w:b/>
              </w:rPr>
            </w:pPr>
            <w:r w:rsidRPr="00826586">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826586" w:rsidRDefault="00F43911" w:rsidP="004F3087">
            <w:pPr>
              <w:pStyle w:val="TableMainHeading"/>
              <w:spacing w:before="0" w:after="240"/>
              <w:rPr>
                <w:rFonts w:ascii="Times New Roman" w:hAnsi="Times New Roman"/>
                <w:b/>
                <w:sz w:val="24"/>
                <w:szCs w:val="24"/>
              </w:rPr>
            </w:pPr>
            <w:r w:rsidRPr="00826586">
              <w:rPr>
                <w:rFonts w:ascii="Times New Roman" w:hAnsi="Times New Roman"/>
                <w:b/>
                <w:sz w:val="24"/>
              </w:rPr>
              <w:t>Vysvetlenie</w:t>
            </w:r>
          </w:p>
        </w:tc>
      </w:tr>
      <w:tr w:rsidR="00F43911" w:rsidRPr="00826586" w14:paraId="4DE730C0" w14:textId="77777777" w:rsidTr="004F3087">
        <w:trPr>
          <w:trHeight w:val="680"/>
        </w:trPr>
        <w:tc>
          <w:tcPr>
            <w:tcW w:w="1384" w:type="dxa"/>
          </w:tcPr>
          <w:p w14:paraId="0419643B" w14:textId="77777777" w:rsidR="00F43911" w:rsidRPr="00826586" w:rsidRDefault="00F43911" w:rsidP="004F3087">
            <w:pPr>
              <w:pStyle w:val="Applicationdirecte"/>
              <w:spacing w:before="0" w:after="240"/>
              <w:jc w:val="center"/>
            </w:pPr>
            <w:r w:rsidRPr="00826586">
              <w:t>a</w:t>
            </w:r>
          </w:p>
        </w:tc>
        <w:tc>
          <w:tcPr>
            <w:tcW w:w="7655" w:type="dxa"/>
            <w:vAlign w:val="center"/>
          </w:tcPr>
          <w:p w14:paraId="5D26D40B" w14:textId="77777777" w:rsidR="00F43911" w:rsidRPr="00826586" w:rsidRDefault="00F43911" w:rsidP="004F3087">
            <w:pPr>
              <w:keepNext/>
              <w:spacing w:after="240"/>
              <w:jc w:val="both"/>
              <w:rPr>
                <w:rFonts w:ascii="Times New Roman" w:eastAsia="Times New Roman" w:hAnsi="Times New Roman" w:cs="Times New Roman"/>
                <w:b/>
                <w:sz w:val="24"/>
              </w:rPr>
            </w:pPr>
            <w:r w:rsidRPr="00826586">
              <w:rPr>
                <w:rFonts w:ascii="Times New Roman" w:hAnsi="Times New Roman"/>
                <w:b/>
                <w:sz w:val="24"/>
              </w:rPr>
              <w:t>Hodnota expozície</w:t>
            </w:r>
          </w:p>
          <w:p w14:paraId="73D7A41C" w14:textId="3149BF4F" w:rsidR="00826586" w:rsidRDefault="00F43911" w:rsidP="004F3087">
            <w:pPr>
              <w:keepNext/>
              <w:spacing w:after="240"/>
              <w:jc w:val="both"/>
              <w:rPr>
                <w:rFonts w:ascii="Times New Roman" w:hAnsi="Times New Roman"/>
                <w:sz w:val="24"/>
              </w:rPr>
            </w:pPr>
            <w:r w:rsidRPr="00826586">
              <w:rPr>
                <w:rFonts w:ascii="Times New Roman" w:hAnsi="Times New Roman"/>
                <w:sz w:val="24"/>
              </w:rPr>
              <w:t>Hodnota expozície vypočítaná</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metódami stanovenými</w:t>
            </w:r>
            <w:r w:rsidR="00826586">
              <w:rPr>
                <w:rFonts w:ascii="Times New Roman" w:hAnsi="Times New Roman"/>
                <w:sz w:val="24"/>
              </w:rPr>
              <w:t xml:space="preserve"> v </w:t>
            </w:r>
            <w:r w:rsidRPr="00826586">
              <w:rPr>
                <w:rFonts w:ascii="Times New Roman" w:hAnsi="Times New Roman"/>
                <w:sz w:val="24"/>
              </w:rPr>
              <w:t>tretej časti hlave II kapitolách 4</w:t>
            </w:r>
            <w:r w:rsidR="00826586">
              <w:rPr>
                <w:rFonts w:ascii="Times New Roman" w:hAnsi="Times New Roman"/>
                <w:sz w:val="24"/>
              </w:rPr>
              <w:t xml:space="preserve"> a </w:t>
            </w:r>
            <w:r w:rsidRPr="00826586">
              <w:rPr>
                <w:rFonts w:ascii="Times New Roman" w:hAnsi="Times New Roman"/>
                <w:sz w:val="24"/>
              </w:rPr>
              <w:t xml:space="preserve">6 nariadenia (EÚ) </w:t>
            </w:r>
            <w:r w:rsidR="00826586">
              <w:rPr>
                <w:rFonts w:ascii="Times New Roman" w:hAnsi="Times New Roman"/>
                <w:sz w:val="24"/>
              </w:rPr>
              <w:t>č. </w:t>
            </w:r>
            <w:r w:rsidRPr="00826586">
              <w:rPr>
                <w:rFonts w:ascii="Times New Roman" w:hAnsi="Times New Roman"/>
                <w:sz w:val="24"/>
              </w:rPr>
              <w:t>575/2013 pre transakcie</w:t>
            </w:r>
            <w:r w:rsidR="00826586">
              <w:rPr>
                <w:rFonts w:ascii="Times New Roman" w:hAnsi="Times New Roman"/>
                <w:sz w:val="24"/>
              </w:rPr>
              <w:t xml:space="preserve"> v </w:t>
            </w:r>
            <w:r w:rsidRPr="00826586">
              <w:rPr>
                <w:rFonts w:ascii="Times New Roman" w:hAnsi="Times New Roman"/>
                <w:sz w:val="24"/>
              </w:rPr>
              <w:t xml:space="preserve">rozsahu pôsobnosti tretej časti hlavy II kapitoly 6 oddielu 9 nariadenia (EÚ) </w:t>
            </w:r>
            <w:r w:rsidR="00826586">
              <w:rPr>
                <w:rFonts w:ascii="Times New Roman" w:hAnsi="Times New Roman"/>
                <w:sz w:val="24"/>
              </w:rPr>
              <w:lastRenderedPageBreak/>
              <w:t>č. </w:t>
            </w:r>
            <w:r w:rsidRPr="00826586">
              <w:rPr>
                <w:rFonts w:ascii="Times New Roman" w:hAnsi="Times New Roman"/>
                <w:sz w:val="24"/>
              </w:rPr>
              <w:t>575/2013 po uplatnení príslušných úprav stanovených</w:t>
            </w:r>
            <w:r w:rsidR="00826586">
              <w:rPr>
                <w:rFonts w:ascii="Times New Roman" w:hAnsi="Times New Roman"/>
                <w:sz w:val="24"/>
              </w:rPr>
              <w:t xml:space="preserve"> v </w:t>
            </w:r>
            <w:r w:rsidRPr="00826586">
              <w:rPr>
                <w:rFonts w:ascii="Times New Roman" w:hAnsi="Times New Roman"/>
                <w:sz w:val="24"/>
              </w:rPr>
              <w:t>článkoch 304, 306</w:t>
            </w:r>
            <w:r w:rsidR="00826586">
              <w:rPr>
                <w:rFonts w:ascii="Times New Roman" w:hAnsi="Times New Roman"/>
                <w:sz w:val="24"/>
              </w:rPr>
              <w:t xml:space="preserve"> a </w:t>
            </w:r>
            <w:r w:rsidRPr="00826586">
              <w:rPr>
                <w:rFonts w:ascii="Times New Roman" w:hAnsi="Times New Roman"/>
                <w:sz w:val="24"/>
              </w:rPr>
              <w:t>308 uvedeného oddielu</w:t>
            </w:r>
            <w:r w:rsidR="00826586">
              <w:rPr>
                <w:rFonts w:ascii="Times New Roman" w:hAnsi="Times New Roman"/>
                <w:sz w:val="24"/>
              </w:rPr>
              <w:t>.</w:t>
            </w:r>
          </w:p>
          <w:p w14:paraId="12E09CAC" w14:textId="686B6B98" w:rsidR="00F43911" w:rsidRPr="00826586" w:rsidRDefault="00F43911" w:rsidP="004F3087">
            <w:pPr>
              <w:keepNext/>
              <w:spacing w:after="240"/>
              <w:jc w:val="both"/>
              <w:rPr>
                <w:rFonts w:ascii="Times New Roman" w:eastAsia="Times New Roman" w:hAnsi="Times New Roman" w:cs="Times New Roman"/>
                <w:i/>
                <w:sz w:val="24"/>
              </w:rPr>
            </w:pPr>
            <w:r w:rsidRPr="00826586">
              <w:rPr>
                <w:rFonts w:ascii="Times New Roman" w:hAnsi="Times New Roman"/>
                <w:sz w:val="24"/>
              </w:rPr>
              <w:t>Expozícia môže byť obchodnou expozíciou</w:t>
            </w:r>
            <w:r w:rsidR="00826586">
              <w:rPr>
                <w:rFonts w:ascii="Times New Roman" w:hAnsi="Times New Roman"/>
                <w:sz w:val="24"/>
              </w:rPr>
              <w:t xml:space="preserve"> v </w:t>
            </w:r>
            <w:r w:rsidRPr="00826586">
              <w:rPr>
                <w:rFonts w:ascii="Times New Roman" w:hAnsi="Times New Roman"/>
                <w:sz w:val="24"/>
              </w:rPr>
              <w:t>zmysle vymedzenia</w:t>
            </w:r>
            <w:r w:rsidR="00826586">
              <w:rPr>
                <w:rFonts w:ascii="Times New Roman" w:hAnsi="Times New Roman"/>
                <w:sz w:val="24"/>
              </w:rPr>
              <w:t xml:space="preserve"> v </w:t>
            </w:r>
            <w:r w:rsidRPr="00826586">
              <w:rPr>
                <w:rFonts w:ascii="Times New Roman" w:hAnsi="Times New Roman"/>
                <w:sz w:val="24"/>
              </w:rPr>
              <w:t xml:space="preserve">článku 4 ods. 1 bode 91 nariadenia (EÚ) </w:t>
            </w:r>
            <w:r w:rsidR="00826586">
              <w:rPr>
                <w:rFonts w:ascii="Times New Roman" w:hAnsi="Times New Roman"/>
                <w:sz w:val="24"/>
              </w:rPr>
              <w:t>č. </w:t>
            </w:r>
            <w:r w:rsidRPr="00826586">
              <w:rPr>
                <w:rFonts w:ascii="Times New Roman" w:hAnsi="Times New Roman"/>
                <w:sz w:val="24"/>
              </w:rPr>
              <w:t>575/2013. Zverejňovaná hodnota expozície je hodnota relevantná pre výpočet požiadaviek na vlastné zdroje</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treťou časťou hlavou II kapitolou 6 oddielom 9 nariadenia (EÚ) </w:t>
            </w:r>
            <w:r w:rsidR="00826586">
              <w:rPr>
                <w:rFonts w:ascii="Times New Roman" w:hAnsi="Times New Roman"/>
                <w:sz w:val="24"/>
              </w:rPr>
              <w:t>č. </w:t>
            </w:r>
            <w:r w:rsidRPr="00826586">
              <w:rPr>
                <w:rFonts w:ascii="Times New Roman" w:hAnsi="Times New Roman"/>
                <w:sz w:val="24"/>
              </w:rPr>
              <w:t>575/2013,</w:t>
            </w:r>
            <w:r w:rsidR="00826586">
              <w:rPr>
                <w:rFonts w:ascii="Times New Roman" w:hAnsi="Times New Roman"/>
                <w:sz w:val="24"/>
              </w:rPr>
              <w:t xml:space="preserve"> s </w:t>
            </w:r>
            <w:r w:rsidRPr="00826586">
              <w:rPr>
                <w:rFonts w:ascii="Times New Roman" w:hAnsi="Times New Roman"/>
                <w:sz w:val="24"/>
              </w:rPr>
              <w:t xml:space="preserve">prihliadnutím na požiadavky článku 497 nariadenia (EÚ) </w:t>
            </w:r>
            <w:r w:rsidR="00826586">
              <w:rPr>
                <w:rFonts w:ascii="Times New Roman" w:hAnsi="Times New Roman"/>
                <w:sz w:val="24"/>
              </w:rPr>
              <w:t>č. </w:t>
            </w:r>
            <w:r w:rsidRPr="00826586">
              <w:rPr>
                <w:rFonts w:ascii="Times New Roman" w:hAnsi="Times New Roman"/>
                <w:sz w:val="24"/>
              </w:rPr>
              <w:t>575/2013 počas prechodného obdobia stanoveného</w:t>
            </w:r>
            <w:r w:rsidR="00826586">
              <w:rPr>
                <w:rFonts w:ascii="Times New Roman" w:hAnsi="Times New Roman"/>
                <w:sz w:val="24"/>
              </w:rPr>
              <w:t xml:space="preserve"> v </w:t>
            </w:r>
            <w:r w:rsidRPr="00826586">
              <w:rPr>
                <w:rFonts w:ascii="Times New Roman" w:hAnsi="Times New Roman"/>
                <w:sz w:val="24"/>
              </w:rPr>
              <w:t>uvedenom článku.</w:t>
            </w:r>
          </w:p>
        </w:tc>
      </w:tr>
      <w:tr w:rsidR="00F43911" w:rsidRPr="00826586" w14:paraId="3E896BAB" w14:textId="77777777" w:rsidTr="004F3087">
        <w:trPr>
          <w:trHeight w:val="680"/>
        </w:trPr>
        <w:tc>
          <w:tcPr>
            <w:tcW w:w="1384" w:type="dxa"/>
          </w:tcPr>
          <w:p w14:paraId="39460D6B" w14:textId="77777777" w:rsidR="00F43911" w:rsidRPr="00826586" w:rsidRDefault="00F43911" w:rsidP="004F3087">
            <w:pPr>
              <w:pStyle w:val="Applicationdirecte"/>
              <w:spacing w:before="0" w:after="240"/>
              <w:jc w:val="center"/>
            </w:pPr>
            <w:r w:rsidRPr="00826586">
              <w:lastRenderedPageBreak/>
              <w:t>b</w:t>
            </w:r>
          </w:p>
        </w:tc>
        <w:tc>
          <w:tcPr>
            <w:tcW w:w="7655" w:type="dxa"/>
            <w:vAlign w:val="center"/>
          </w:tcPr>
          <w:p w14:paraId="4F7D8947" w14:textId="77777777" w:rsidR="00F43911" w:rsidRPr="00826586" w:rsidRDefault="00F43911" w:rsidP="004F3087">
            <w:pPr>
              <w:keepNext/>
              <w:spacing w:after="240"/>
              <w:jc w:val="both"/>
              <w:rPr>
                <w:rFonts w:ascii="Times New Roman" w:eastAsia="Times New Roman" w:hAnsi="Times New Roman" w:cs="Times New Roman"/>
                <w:b/>
                <w:sz w:val="24"/>
              </w:rPr>
            </w:pPr>
            <w:r w:rsidRPr="00826586">
              <w:rPr>
                <w:rFonts w:ascii="Times New Roman" w:hAnsi="Times New Roman"/>
                <w:b/>
                <w:sz w:val="24"/>
              </w:rPr>
              <w:t>RWEA</w:t>
            </w:r>
          </w:p>
          <w:p w14:paraId="1E08469B" w14:textId="4B25678B" w:rsidR="00F43911" w:rsidRPr="00826586" w:rsidRDefault="00F43911" w:rsidP="004F3087">
            <w:pPr>
              <w:keepNext/>
              <w:spacing w:after="240"/>
              <w:jc w:val="both"/>
              <w:rPr>
                <w:rFonts w:ascii="Times New Roman" w:eastAsia="Times New Roman" w:hAnsi="Times New Roman" w:cs="Times New Roman"/>
                <w:sz w:val="24"/>
              </w:rPr>
            </w:pPr>
            <w:r w:rsidRPr="00826586">
              <w:rPr>
                <w:rFonts w:ascii="Times New Roman" w:hAnsi="Times New Roman"/>
                <w:sz w:val="24"/>
              </w:rPr>
              <w:t>Hodnoty rizikovo vážených expozícií uvedené</w:t>
            </w:r>
            <w:r w:rsidR="00826586">
              <w:rPr>
                <w:rFonts w:ascii="Times New Roman" w:hAnsi="Times New Roman"/>
                <w:sz w:val="24"/>
              </w:rPr>
              <w:t xml:space="preserve"> v </w:t>
            </w:r>
            <w:r w:rsidRPr="00826586">
              <w:rPr>
                <w:rFonts w:ascii="Times New Roman" w:hAnsi="Times New Roman"/>
                <w:sz w:val="24"/>
              </w:rPr>
              <w:t xml:space="preserve">článku 92 ods. 3 písm. a) nariadenia (EÚ) </w:t>
            </w:r>
            <w:r w:rsidR="00826586">
              <w:rPr>
                <w:rFonts w:ascii="Times New Roman" w:hAnsi="Times New Roman"/>
                <w:sz w:val="24"/>
              </w:rPr>
              <w:t>č. </w:t>
            </w:r>
            <w:r w:rsidRPr="00826586">
              <w:rPr>
                <w:rFonts w:ascii="Times New Roman" w:hAnsi="Times New Roman"/>
                <w:sz w:val="24"/>
              </w:rPr>
              <w:t>575/2013 vypočítané</w:t>
            </w:r>
            <w:r w:rsidR="00826586">
              <w:rPr>
                <w:rFonts w:ascii="Times New Roman" w:hAnsi="Times New Roman"/>
                <w:sz w:val="24"/>
              </w:rPr>
              <w:t xml:space="preserve"> v </w:t>
            </w:r>
            <w:r w:rsidRPr="00826586">
              <w:rPr>
                <w:rFonts w:ascii="Times New Roman" w:hAnsi="Times New Roman"/>
                <w:sz w:val="24"/>
              </w:rPr>
              <w:t>súlade</w:t>
            </w:r>
            <w:r w:rsidR="00826586">
              <w:rPr>
                <w:rFonts w:ascii="Times New Roman" w:hAnsi="Times New Roman"/>
                <w:sz w:val="24"/>
              </w:rPr>
              <w:t xml:space="preserve"> s </w:t>
            </w:r>
            <w:r w:rsidRPr="00826586">
              <w:rPr>
                <w:rFonts w:ascii="Times New Roman" w:hAnsi="Times New Roman"/>
                <w:sz w:val="24"/>
              </w:rPr>
              <w:t xml:space="preserve">treťou časťou hlavou II kapitolou 6 oddielom 9 článkom 107 nariadenia (EÚ) </w:t>
            </w:r>
            <w:r w:rsidR="00826586">
              <w:rPr>
                <w:rFonts w:ascii="Times New Roman" w:hAnsi="Times New Roman"/>
                <w:sz w:val="24"/>
              </w:rPr>
              <w:t>č. </w:t>
            </w:r>
            <w:r w:rsidRPr="00826586">
              <w:rPr>
                <w:rFonts w:ascii="Times New Roman" w:hAnsi="Times New Roman"/>
                <w:sz w:val="24"/>
              </w:rPr>
              <w:t>575/2013.</w:t>
            </w:r>
          </w:p>
        </w:tc>
      </w:tr>
    </w:tbl>
    <w:p w14:paraId="38F46446" w14:textId="77777777" w:rsidR="00F43911" w:rsidRPr="00826586" w:rsidRDefault="00F43911" w:rsidP="00F43911">
      <w:pPr>
        <w:pStyle w:val="Titlelevel2"/>
        <w:spacing w:before="0"/>
        <w:rPr>
          <w:rFonts w:ascii="Times New Roman" w:hAnsi="Times New Roman" w:cs="Times New Roman"/>
          <w:color w:val="auto"/>
          <w:sz w:val="24"/>
        </w:rPr>
      </w:pPr>
    </w:p>
    <w:p w14:paraId="12B7B384" w14:textId="77777777" w:rsidR="00993FC2" w:rsidRPr="00826586" w:rsidRDefault="00993FC2"/>
    <w:sectPr w:rsidR="00993FC2" w:rsidRPr="00826586">
      <w:headerReference w:type="even" r:id="rId11"/>
      <w:headerReference w:type="default" r:id="rId12"/>
      <w:foot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9091C" w14:textId="77777777" w:rsidR="00BD031E" w:rsidRDefault="00BD031E" w:rsidP="00F43911">
      <w:r>
        <w:separator/>
      </w:r>
    </w:p>
  </w:endnote>
  <w:endnote w:type="continuationSeparator" w:id="0">
    <w:p w14:paraId="70A8747E" w14:textId="77777777" w:rsidR="00BD031E" w:rsidRDefault="00BD031E"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A5385" w14:textId="77777777" w:rsidR="00BD031E" w:rsidRDefault="00BD031E" w:rsidP="00F43911">
      <w:r>
        <w:separator/>
      </w:r>
    </w:p>
  </w:footnote>
  <w:footnote w:type="continuationSeparator" w:id="0">
    <w:p w14:paraId="58BB8CA0" w14:textId="77777777" w:rsidR="00BD031E" w:rsidRDefault="00BD031E" w:rsidP="00F43911">
      <w:r>
        <w:continuationSeparator/>
      </w:r>
    </w:p>
  </w:footnote>
  <w:footnote w:id="1">
    <w:p w14:paraId="4BEF01B5" w14:textId="6E6E56D6" w:rsidR="00F43911" w:rsidRPr="00826586" w:rsidRDefault="00F43911" w:rsidP="00F43911">
      <w:pPr>
        <w:pStyle w:val="FootnoteText"/>
        <w:rPr>
          <w:rFonts w:cstheme="minorHAnsi"/>
        </w:rPr>
      </w:pPr>
      <w:r w:rsidRPr="00826586">
        <w:rPr>
          <w:rStyle w:val="FootnoteReference"/>
          <w:rFonts w:cstheme="minorHAnsi"/>
        </w:rPr>
        <w:footnoteRef/>
      </w:r>
      <w:r w:rsidRPr="00826586">
        <w:tab/>
        <w:t>Nariadenie Európskeho parlamentu</w:t>
      </w:r>
      <w:r w:rsidR="00826586">
        <w:t xml:space="preserve"> a </w:t>
      </w:r>
      <w:r w:rsidRPr="00826586">
        <w:t xml:space="preserve">Rady (EÚ) </w:t>
      </w:r>
      <w:r w:rsidR="00826586">
        <w:t>č. </w:t>
      </w:r>
      <w:r w:rsidRPr="00826586">
        <w:t>575/2013</w:t>
      </w:r>
      <w:r w:rsidR="00826586">
        <w:t xml:space="preserve"> z </w:t>
      </w:r>
      <w:r w:rsidRPr="00826586">
        <w:t>26</w:t>
      </w:r>
      <w:r w:rsidR="00826586">
        <w:t>. júna</w:t>
      </w:r>
      <w:r w:rsidRPr="00826586">
        <w:t xml:space="preserve"> 2013</w:t>
      </w:r>
      <w:r w:rsidR="00826586">
        <w:t xml:space="preserve"> o </w:t>
      </w:r>
      <w:r w:rsidRPr="00826586">
        <w:t>prudenciálnych požiadavkách na úverové inštitúcie</w:t>
      </w:r>
      <w:r w:rsidR="00826586">
        <w:t xml:space="preserve"> a o </w:t>
      </w:r>
      <w:r w:rsidRPr="00826586">
        <w:t xml:space="preserve">zmene nariadenia (EÚ) </w:t>
      </w:r>
      <w:r w:rsidR="00826586">
        <w:t>č. </w:t>
      </w:r>
      <w:r w:rsidRPr="00826586">
        <w:t xml:space="preserve">648/2012, zmenené nariadením (EÚ) 2024/1623 </w:t>
      </w:r>
      <w:r w:rsidRPr="00826586">
        <w:rPr>
          <w:color w:val="444444"/>
        </w:rPr>
        <w:t>[</w:t>
      </w:r>
      <w:hyperlink r:id="rId1" w:history="1">
        <w:r w:rsidRPr="00826586">
          <w:rPr>
            <w:rStyle w:val="Hyperlink"/>
            <w:color w:val="800080"/>
          </w:rPr>
          <w:t>Ú. v. EÚ L 176, 27.6.2013, s. 1</w:t>
        </w:r>
      </w:hyperlink>
      <w:r w:rsidRPr="00826586">
        <w:rPr>
          <w:color w:val="800080"/>
          <w:u w:val="single"/>
        </w:rPr>
        <w:t xml:space="preserve">; </w:t>
      </w:r>
      <w:hyperlink r:id="rId2" w:history="1">
        <w:r w:rsidRPr="00826586">
          <w:rPr>
            <w:rStyle w:val="Hyperlink"/>
          </w:rPr>
          <w:t>Nariadenie (EÚ) 2024/1623 – SK – EUR-Lex (europa.eu)</w:t>
        </w:r>
      </w:hyperlink>
      <w:r w:rsidRPr="00826586">
        <w:rPr>
          <w:color w:val="444444"/>
        </w:rPr>
        <w:t>]</w:t>
      </w:r>
      <w:r w:rsidRPr="0082658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7C9B1F" id="_x0000_t202" coordsize="21600,21600" o:spt="202" path="m,l,21600r21600,l21600,xe">
              <v:stroke joinstyle="miter"/>
              <v:path gradientshapeok="t" o:connecttype="rect"/>
            </v:shapetype>
            <v:shape id="Text Box 2" o:spid="_x0000_s1026" type="#_x0000_t202" alt="EBA Bežné použiti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1FCC4E90" w:rsidR="00532BBF" w:rsidRPr="00532BBF" w:rsidRDefault="00532BBF" w:rsidP="00532BBF">
                          <w:pPr>
                            <w:rPr>
                              <w:rFonts w:ascii="Calibri" w:eastAsia="Calibri" w:hAnsi="Calibri" w:cs="Calibri"/>
                              <w:noProof/>
                              <w:color w:val="000000"/>
                              <w:sz w:val="24"/>
                            </w:rPr>
                          </w:pPr>
                          <w:r>
                            <w:rPr>
                              <w:rFonts w:ascii="Calibri" w:hAnsi="Calibri"/>
                              <w:color w:val="000000"/>
                              <w:sz w:val="24"/>
                            </w:rPr>
                            <w:t xml:space="preserve">EBA </w:t>
                          </w:r>
                          <w:r w:rsidR="00826586">
                            <w:rPr>
                              <w:rFonts w:ascii="Calibri" w:hAnsi="Calibri"/>
                              <w:color w:val="000000"/>
                              <w:sz w:val="24"/>
                            </w:rPr>
                            <w:t>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54AF2C4" id="_x0000_t202" coordsize="21600,21600" o:spt="202" path="m,l,21600r21600,l21600,xe">
              <v:stroke joinstyle="miter"/>
              <v:path gradientshapeok="t" o:connecttype="rect"/>
            </v:shapetype>
            <v:shape id="Text Box 3" o:spid="_x0000_s1027" type="#_x0000_t202" alt="EBA Bežné použiti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B5B00D7" w14:textId="1FCC4E90" w:rsidR="00532BBF" w:rsidRPr="00532BBF" w:rsidRDefault="00532BBF" w:rsidP="00532BBF">
                    <w:pPr>
                      <w:rPr>
                        <w:rFonts w:ascii="Calibri" w:eastAsia="Calibri" w:hAnsi="Calibri" w:cs="Calibri"/>
                        <w:noProof/>
                        <w:color w:val="000000"/>
                        <w:sz w:val="24"/>
                      </w:rPr>
                    </w:pPr>
                    <w:r>
                      <w:rPr>
                        <w:rFonts w:ascii="Calibri" w:hAnsi="Calibri"/>
                        <w:color w:val="000000"/>
                        <w:sz w:val="24"/>
                      </w:rPr>
                      <w:t xml:space="preserve">EBA </w:t>
                    </w:r>
                    <w:r w:rsidR="00826586">
                      <w:rPr>
                        <w:rFonts w:ascii="Calibri" w:hAnsi="Calibri"/>
                        <w:color w:val="000000"/>
                        <w:sz w:val="24"/>
                      </w:rPr>
                      <w:t>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F7B3877" id="_x0000_t202" coordsize="21600,21600" o:spt="202" path="m,l,21600r21600,l21600,xe">
              <v:stroke joinstyle="miter"/>
              <v:path gradientshapeok="t" o:connecttype="rect"/>
            </v:shapetype>
            <v:shape id="Text Box 1" o:spid="_x0000_s1028" type="#_x0000_t202" alt="EBA Bežné použiti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A2287"/>
    <w:rsid w:val="001D5CCE"/>
    <w:rsid w:val="0036757D"/>
    <w:rsid w:val="00532BBF"/>
    <w:rsid w:val="006B1D12"/>
    <w:rsid w:val="007D0CF7"/>
    <w:rsid w:val="007D4C3D"/>
    <w:rsid w:val="00826586"/>
    <w:rsid w:val="008F4881"/>
    <w:rsid w:val="00986E15"/>
    <w:rsid w:val="00993FC2"/>
    <w:rsid w:val="00AB0BDD"/>
    <w:rsid w:val="00BD031E"/>
    <w:rsid w:val="00CD5187"/>
    <w:rsid w:val="00D45C33"/>
    <w:rsid w:val="00D50CDF"/>
    <w:rsid w:val="00DD6E68"/>
    <w:rsid w:val="00DE2E80"/>
    <w:rsid w:val="00E04A45"/>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sk-S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826586"/>
    <w:rPr>
      <w:sz w:val="16"/>
      <w:szCs w:val="16"/>
    </w:rPr>
  </w:style>
  <w:style w:type="paragraph" w:styleId="CommentText">
    <w:name w:val="annotation text"/>
    <w:basedOn w:val="Normal"/>
    <w:link w:val="CommentTextChar"/>
    <w:uiPriority w:val="99"/>
    <w:semiHidden/>
    <w:unhideWhenUsed/>
    <w:rsid w:val="00826586"/>
    <w:rPr>
      <w:sz w:val="20"/>
      <w:szCs w:val="20"/>
    </w:rPr>
  </w:style>
  <w:style w:type="character" w:customStyle="1" w:styleId="CommentTextChar">
    <w:name w:val="Comment Text Char"/>
    <w:basedOn w:val="DefaultParagraphFont"/>
    <w:link w:val="CommentText"/>
    <w:uiPriority w:val="99"/>
    <w:semiHidden/>
    <w:rsid w:val="0082658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26586"/>
    <w:rPr>
      <w:b/>
      <w:bCs/>
    </w:rPr>
  </w:style>
  <w:style w:type="character" w:customStyle="1" w:styleId="CommentSubjectChar">
    <w:name w:val="Comment Subject Char"/>
    <w:basedOn w:val="CommentTextChar"/>
    <w:link w:val="CommentSubject"/>
    <w:uiPriority w:val="99"/>
    <w:semiHidden/>
    <w:rsid w:val="00826586"/>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K/TXT/?uri=OJ:L_202401623" TargetMode="External"/><Relationship Id="rId1" Type="http://schemas.openxmlformats.org/officeDocument/2006/relationships/hyperlink" Target="https://eur-lex.europa.eu/legal-content/SK/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77C99D-51E2-4E17-BA03-078B32573EE2}"/>
</file>

<file path=customXml/itemProps2.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3.xml><?xml version="1.0" encoding="utf-8"?>
<ds:datastoreItem xmlns:ds="http://schemas.openxmlformats.org/officeDocument/2006/customXml" ds:itemID="{C2F1F86E-7905-4B96-BF33-51251731C19C}">
  <ds:schemaRefs>
    <ds:schemaRef ds:uri="http://schemas.openxmlformats.org/officeDocument/2006/bibliography"/>
  </ds:schemaRefs>
</ds:datastoreItem>
</file>

<file path=customXml/itemProps4.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42</TotalTime>
  <Pages>16</Pages>
  <Words>4901</Words>
  <Characters>28038</Characters>
  <Application>Microsoft Office Word</Application>
  <DocSecurity>0</DocSecurity>
  <Lines>652</Lines>
  <Paragraphs>329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PRACROS GIRMANOVA Andrea (DGT)</cp:lastModifiedBy>
  <cp:revision>12</cp:revision>
  <dcterms:created xsi:type="dcterms:W3CDTF">2021-03-11T13:24:00Z</dcterms:created>
  <dcterms:modified xsi:type="dcterms:W3CDTF">2024-10-18T10:15:00Z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