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756E" w14:textId="77777777" w:rsidR="00F43911" w:rsidRPr="007F4CC8" w:rsidRDefault="00F43911" w:rsidP="00F43911">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t>XXVI PRIEDAS. Sandorio šalies kredito rizikos atskleidimo lentelės ir formos. Nurodymai</w:t>
      </w:r>
    </w:p>
    <w:p w14:paraId="4C2BDA19" w14:textId="77B83EEA"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Pildydamos EBI IT sprendimų XXV priede pateiktas lenteles ir formas įstaigos atskleidžia Reglamento (ES) Nr. 575/2013</w:t>
      </w:r>
      <w:r w:rsidRPr="007F4CC8">
        <w:rPr>
          <w:rStyle w:val="FootnoteReference"/>
          <w:color w:val="auto"/>
          <w:lang w:val="en-GB"/>
        </w:rPr>
        <w:footnoteReference w:id="1"/>
      </w:r>
      <w:r>
        <w:rPr>
          <w:rFonts w:ascii="Times New Roman" w:hAnsi="Times New Roman"/>
          <w:color w:val="auto"/>
          <w:sz w:val="24"/>
        </w:rPr>
        <w:t xml:space="preserve"> (toliau – KRR) 439 straipsnyje nurodytą su savo turima sandorio šalies kredito rizikos pozicija susijusią informaciją, kaip nurodyta KRR trečios dalies II antraštinės dalies 6 skyriuje, vadovaudamosi šiame priede pateiktais nurodymais. </w:t>
      </w:r>
    </w:p>
    <w:p w14:paraId="495AC274" w14:textId="77777777" w:rsidR="00F43911" w:rsidRPr="007F4CC8" w:rsidRDefault="00F43911" w:rsidP="00F43911">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EU CCRA lentelė. Su sandorio šalies kredito rizika susijusios kokybinės informacijos atskleidimas</w:t>
      </w:r>
      <w:r>
        <w:rPr>
          <w:rFonts w:ascii="Times New Roman" w:hAnsi="Times New Roman"/>
          <w:sz w:val="24"/>
        </w:rPr>
        <w:t xml:space="preserve"> </w:t>
      </w:r>
      <w:r>
        <w:rPr>
          <w:rFonts w:ascii="Times New Roman" w:hAnsi="Times New Roman"/>
          <w:color w:val="000000"/>
          <w:sz w:val="24"/>
        </w:rPr>
        <w:t xml:space="preserve">(laisvos formos teksto laukeliai) </w:t>
      </w:r>
    </w:p>
    <w:p w14:paraId="39E2C005" w14:textId="60AA582D" w:rsidR="00F43911" w:rsidRPr="007F4CC8" w:rsidRDefault="00F43911" w:rsidP="00F43911">
      <w:pPr>
        <w:pStyle w:val="Titlelevel2"/>
        <w:numPr>
          <w:ilvl w:val="0"/>
          <w:numId w:val="2"/>
        </w:numPr>
        <w:spacing w:before="0"/>
        <w:jc w:val="both"/>
        <w:rPr>
          <w:rFonts w:ascii="Times New Roman" w:hAnsi="Times New Roman" w:cs="Times New Roman"/>
          <w:sz w:val="24"/>
        </w:rPr>
      </w:pPr>
      <w:r>
        <w:rPr>
          <w:rFonts w:ascii="Times New Roman" w:hAnsi="Times New Roman"/>
          <w:color w:val="auto"/>
          <w:sz w:val="24"/>
        </w:rPr>
        <w:t>Pildydamos EBI IT sprendimų XXV priede pateiktą EU CCRA lentelę įstaigos atskleidžia Reglamento (ES) Nr. 575/2013 439 straipsnio a–d punktuose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F502B4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D5E87"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Nuorodos į teisės aktus ir nurodymai</w:t>
            </w:r>
          </w:p>
        </w:tc>
      </w:tr>
      <w:tr w:rsidR="00F43911" w:rsidRPr="007F4CC8" w14:paraId="4303C7D7" w14:textId="77777777" w:rsidTr="004F3087">
        <w:trPr>
          <w:trHeight w:val="238"/>
        </w:trPr>
        <w:tc>
          <w:tcPr>
            <w:tcW w:w="1384" w:type="dxa"/>
            <w:shd w:val="clear" w:color="auto" w:fill="D9D9D9" w:themeFill="background1" w:themeFillShade="D9"/>
          </w:tcPr>
          <w:p w14:paraId="1199DCAD"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56B3990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Paaiškinimas</w:t>
            </w:r>
          </w:p>
        </w:tc>
      </w:tr>
      <w:tr w:rsidR="00F43911" w:rsidRPr="007F4CC8" w14:paraId="090E4832" w14:textId="77777777" w:rsidTr="004F3087">
        <w:trPr>
          <w:trHeight w:val="680"/>
        </w:trPr>
        <w:tc>
          <w:tcPr>
            <w:tcW w:w="1384" w:type="dxa"/>
          </w:tcPr>
          <w:p w14:paraId="03165275" w14:textId="77777777" w:rsidR="00F43911" w:rsidRPr="007F4CC8" w:rsidRDefault="00F43911" w:rsidP="004F3087">
            <w:pPr>
              <w:pStyle w:val="Applicationdirecte"/>
              <w:spacing w:before="0" w:after="240"/>
              <w:jc w:val="center"/>
            </w:pPr>
            <w:r>
              <w:t>a)</w:t>
            </w:r>
          </w:p>
        </w:tc>
        <w:tc>
          <w:tcPr>
            <w:tcW w:w="7655" w:type="dxa"/>
            <w:vAlign w:val="center"/>
          </w:tcPr>
          <w:p w14:paraId="0A6613B2" w14:textId="69564A45"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Atskleisdamos Reglamento (ES) Nr. 575/2013 439 straipsnio a punkte reikalaujamą pateikti informaciją įstaigos pateikia metodikos, taikomos siekiant nustatyti vidaus kapitalo ir kredito ribas sandorio šalies kredito rizikos pozicijoms, įskaitant metodų, taikomų siekiant nustatyti tas ribas pagrindinių sandorio šalių pozicijoms, aprašymą.</w:t>
            </w:r>
          </w:p>
        </w:tc>
      </w:tr>
      <w:tr w:rsidR="00F43911" w:rsidRPr="007F4CC8" w14:paraId="5C895156" w14:textId="77777777" w:rsidTr="004F3087">
        <w:trPr>
          <w:trHeight w:val="680"/>
        </w:trPr>
        <w:tc>
          <w:tcPr>
            <w:tcW w:w="1384" w:type="dxa"/>
          </w:tcPr>
          <w:p w14:paraId="03F456F0" w14:textId="77777777" w:rsidR="00F43911" w:rsidRPr="007F4CC8" w:rsidRDefault="00F43911" w:rsidP="004F3087">
            <w:pPr>
              <w:pStyle w:val="Applicationdirecte"/>
              <w:spacing w:before="0" w:after="240"/>
              <w:jc w:val="center"/>
            </w:pPr>
            <w:r>
              <w:t>b)</w:t>
            </w:r>
          </w:p>
        </w:tc>
        <w:tc>
          <w:tcPr>
            <w:tcW w:w="7655" w:type="dxa"/>
          </w:tcPr>
          <w:p w14:paraId="4FB7E2EC" w14:textId="2E6C1B13"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Atskleisdamos Reglamento (ES) Nr. 575/2013 439 straipsnio b punkte reikalaujamą pateikti informaciją įstaigos pateikia politikos, susijusios su garantijomis ir kitomis kredito rizikos mažinimo priemonėmis, pvz., užtikrinimo priemonių garantavimo ir kredito rezervų sukūrimo politikos, aprašymą.</w:t>
            </w:r>
          </w:p>
        </w:tc>
      </w:tr>
      <w:tr w:rsidR="00F43911" w:rsidRPr="007F4CC8" w14:paraId="0916C922" w14:textId="77777777" w:rsidTr="004F3087">
        <w:trPr>
          <w:trHeight w:val="436"/>
        </w:trPr>
        <w:tc>
          <w:tcPr>
            <w:tcW w:w="1384" w:type="dxa"/>
          </w:tcPr>
          <w:p w14:paraId="1B024A74" w14:textId="77777777" w:rsidR="00F43911" w:rsidRPr="007F4CC8" w:rsidRDefault="00F43911" w:rsidP="004F3087">
            <w:pPr>
              <w:pStyle w:val="Applicationdirecte"/>
              <w:spacing w:before="0" w:after="240"/>
              <w:jc w:val="center"/>
            </w:pPr>
            <w:r>
              <w:t>c)</w:t>
            </w:r>
          </w:p>
        </w:tc>
        <w:tc>
          <w:tcPr>
            <w:tcW w:w="7655" w:type="dxa"/>
          </w:tcPr>
          <w:p w14:paraId="41EF016F" w14:textId="29B7C31D"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Atskleisdamos Reglamento (ES) Nr. 575/2013 439 straipsnio c punkte reikalaujamą pateikti informaciją įstaigos pateikia su klaidingų sprendimų rizika, apibrėžta to reglamento 291 straipsnyje, susijusios politikos aprašymą.</w:t>
            </w:r>
          </w:p>
        </w:tc>
      </w:tr>
      <w:tr w:rsidR="00F43911" w:rsidRPr="007F4CC8" w14:paraId="111B3E08" w14:textId="77777777" w:rsidTr="004F3087">
        <w:trPr>
          <w:trHeight w:val="557"/>
        </w:trPr>
        <w:tc>
          <w:tcPr>
            <w:tcW w:w="1384" w:type="dxa"/>
          </w:tcPr>
          <w:p w14:paraId="4A2ECD9B" w14:textId="77777777" w:rsidR="00F43911" w:rsidRPr="007F4CC8" w:rsidRDefault="00F43911" w:rsidP="004F3087">
            <w:pPr>
              <w:pStyle w:val="Applicationdirecte"/>
              <w:spacing w:before="0" w:after="240"/>
              <w:jc w:val="center"/>
            </w:pPr>
            <w:r>
              <w:t>d)</w:t>
            </w:r>
          </w:p>
        </w:tc>
        <w:tc>
          <w:tcPr>
            <w:tcW w:w="7655" w:type="dxa"/>
          </w:tcPr>
          <w:p w14:paraId="00928C41" w14:textId="09C5003D"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sz w:val="24"/>
              </w:rPr>
              <w:t>Remdamosi Reglamento (ES) Nr. 575/2013 431 straipsnio 3 ir 4 dalimis, įstaigos pirmiau nurodytą informaciją papildo bet kokiais kitais sandorio šalies kredito rizikos valdymo tikslais ir atitinkama politika.</w:t>
            </w:r>
          </w:p>
        </w:tc>
      </w:tr>
      <w:tr w:rsidR="00F43911" w:rsidRPr="007F4CC8" w14:paraId="54F07496" w14:textId="77777777" w:rsidTr="004F3087">
        <w:trPr>
          <w:trHeight w:val="557"/>
        </w:trPr>
        <w:tc>
          <w:tcPr>
            <w:tcW w:w="1384" w:type="dxa"/>
          </w:tcPr>
          <w:p w14:paraId="5D277706" w14:textId="77777777" w:rsidR="00F43911" w:rsidRPr="007F4CC8" w:rsidRDefault="00F43911" w:rsidP="004F3087">
            <w:pPr>
              <w:pStyle w:val="Applicationdirecte"/>
              <w:spacing w:before="0" w:after="240"/>
              <w:jc w:val="center"/>
            </w:pPr>
            <w:r>
              <w:t>e)</w:t>
            </w:r>
          </w:p>
        </w:tc>
        <w:tc>
          <w:tcPr>
            <w:tcW w:w="7655" w:type="dxa"/>
          </w:tcPr>
          <w:p w14:paraId="4E0DF669" w14:textId="65A6C953"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sz w:val="24"/>
              </w:rPr>
              <w:t>Atskleisdamos Reglamento (ES) Nr. 575/2013 439 straipsnio d punkte reikalaujamą pateikti informaciją įstaigos nurodo užtikrinimo priemonių sumą, kurią įstaigoms tektų pateikti, jeigu jų kredito reitingas būtų sumažintas.</w:t>
            </w:r>
            <w:r>
              <w:rPr>
                <w:rFonts w:ascii="Times New Roman" w:hAnsi="Times New Roman"/>
                <w:color w:val="000000"/>
                <w:sz w:val="24"/>
              </w:rPr>
              <w:t xml:space="preserve"> </w:t>
            </w:r>
          </w:p>
          <w:p w14:paraId="08B2F868"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color w:val="000000"/>
                <w:sz w:val="24"/>
              </w:rPr>
              <w:t xml:space="preserve">Jeigu valstybės narės centrinis bankas įsipareigoja teikti paramą likvidumui padidinti, kuri yra užtikrinimo priemone padengti apsikeitimo sandoriai, kompetentinga institucija gali įstaigai netaikyti prievolės teikti šią informaciją, </w:t>
            </w:r>
            <w:r>
              <w:rPr>
                <w:rFonts w:ascii="Times New Roman" w:hAnsi="Times New Roman"/>
                <w:color w:val="000000"/>
                <w:sz w:val="24"/>
              </w:rPr>
              <w:lastRenderedPageBreak/>
              <w:t>jeigu mano, kad atskleidžiant čia nurodytą informaciją galėtų būti atskleista informacija apie teikiamą skubią paramą likvidumui padidinti. Šiais tikslais kompetentinga institucija nustato atitinkamas ribas ir objektyvius kriterijus.</w:t>
            </w:r>
          </w:p>
        </w:tc>
      </w:tr>
    </w:tbl>
    <w:p w14:paraId="27B59149"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7B935B7B"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EU CCR1 forma. CCR pozicijos analizė pagal metodus </w:t>
      </w:r>
      <w:r>
        <w:rPr>
          <w:rFonts w:ascii="Times New Roman" w:hAnsi="Times New Roman"/>
          <w:color w:val="auto"/>
          <w:sz w:val="24"/>
        </w:rPr>
        <w:t>(nustatytasis formatas)</w:t>
      </w:r>
    </w:p>
    <w:p w14:paraId="5F298634" w14:textId="50AAEB3C"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Pildydamos EBI IT sprendimų XXV priede pateiktą EU CCR1 formą įstaigos atskleidžia Reglamento (ES) Nr. 575/2013 439 straipsnio f, g ir k punktuose nurodytą informaciją, vadovaudamosi toliau šiame priede pateiktais nurodymais.</w:t>
      </w:r>
    </w:p>
    <w:p w14:paraId="570E50EE" w14:textId="6EAB5FC6"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000000"/>
          <w:sz w:val="24"/>
        </w:rPr>
        <w:t>Į šią formą nuosavų lėšų reikalavimai CVA rizikai padengti (Reglamento (ES) Nr. 575/2013 trečios dalies VI antraštinė dalis) ir pagrindinės sandorio šalies pozicijos (Reglamento (ES) Nr. 575/2013 trečios dalies II antraštinės dalies 6 skyriaus 9 skirsnis), kaip apibrėžta EU CCR8 formos tikslu, neįtraukiami.</w:t>
      </w:r>
      <w:r>
        <w:t xml:space="preserve"> </w:t>
      </w:r>
      <w:r>
        <w:rPr>
          <w:rFonts w:ascii="Times New Roman" w:hAnsi="Times New Roman"/>
          <w:color w:val="000000"/>
          <w:sz w:val="24"/>
        </w:rPr>
        <w:t>Vertybinių popierių įsigijimo finansavimo sandorių atveju formoje pagal Reglamento (ES) Nr. 575/2013 439 straipsnio g punktą nurodomos pozicijų vertės prieš atsižvelgiant į kredito rizikos mažinimo poveikį ir į jį atsižvelgus, kaip nustatyta pagal to reglamento trečios dalies II antraštinės dalies 4 ir 6 skyriuose nustatytus atitinkamus taikomus metodus, ir susijusios rizikos pozicijų sumos, suskirstytos pagal taikomą metodą.</w:t>
      </w:r>
    </w:p>
    <w:p w14:paraId="5B43A4B5" w14:textId="294B364B"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Įstaigos, taikančios Reglamento (ES) Nr. 575/2013 trečios dalies II antraštinės dalies 6 skyriaus 4–5 skirsniuose nustatytus metodus, prie formos pridedamose aiškinamosiose pastabose nurodo su balansinėmis ir nebalansinėmis išvestinėmis finansinėmis priemonėmis susijusios savo veiklos mastą, apskaičiuotą atitinkamai pagal to reglamento 273a straipsnio 1 arba 2 dalį, taikant to reglamento 439 straipsnio m punktą.</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5F106C62"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2A352"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Nuorodos į teisės aktus ir nurodymai</w:t>
            </w:r>
          </w:p>
        </w:tc>
      </w:tr>
      <w:tr w:rsidR="00F43911" w:rsidRPr="007F4CC8" w14:paraId="44A608CD" w14:textId="77777777" w:rsidTr="004F3087">
        <w:trPr>
          <w:trHeight w:val="238"/>
        </w:trPr>
        <w:tc>
          <w:tcPr>
            <w:tcW w:w="1384" w:type="dxa"/>
            <w:shd w:val="clear" w:color="auto" w:fill="D9D9D9" w:themeFill="background1" w:themeFillShade="D9"/>
          </w:tcPr>
          <w:p w14:paraId="141AE583"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66E39A5E"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Paaiškinimas</w:t>
            </w:r>
          </w:p>
        </w:tc>
      </w:tr>
      <w:tr w:rsidR="00F43911" w:rsidRPr="007F4CC8" w14:paraId="12C559C4" w14:textId="77777777" w:rsidTr="004F3087">
        <w:trPr>
          <w:trHeight w:val="680"/>
        </w:trPr>
        <w:tc>
          <w:tcPr>
            <w:tcW w:w="1384" w:type="dxa"/>
          </w:tcPr>
          <w:p w14:paraId="30AC7598" w14:textId="77777777" w:rsidR="00F43911" w:rsidRPr="007F4CC8" w:rsidRDefault="00F43911" w:rsidP="004F3087">
            <w:pPr>
              <w:pStyle w:val="Applicationdirecte"/>
              <w:spacing w:before="0" w:after="240"/>
              <w:jc w:val="center"/>
            </w:pPr>
            <w:r>
              <w:t>EU-1</w:t>
            </w:r>
          </w:p>
        </w:tc>
        <w:tc>
          <w:tcPr>
            <w:tcW w:w="7655" w:type="dxa"/>
          </w:tcPr>
          <w:p w14:paraId="632808E1"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Pradinės pozicijos metodas (išvestinėms finansinėms priemonėms)</w:t>
            </w:r>
          </w:p>
          <w:p w14:paraId="11E99694" w14:textId="456EAC3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Išvestinės finansinės priemonės ir ilgalaikiai atsiskaitymo sandoriai, kuriems įstaigos yra nusprendusios apskaičiuoti pozicijos vertę kaip alfa įvertį* (RC+PFE), kai α=1,4, o RC ir PFE apskaičiuojami pagal Reglamento (ES) Nr. 575/2013 trečios dalies II antraštinės dalies 6 skyriaus 5 skirsnio 282 straipsnį.</w:t>
            </w:r>
          </w:p>
          <w:p w14:paraId="49426263" w14:textId="41D2ADED"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Šį supaprastintą išvestinių finansinių priemonių pozicijų vertės apskaičiavimo metodą gali taikyti tik tos įstaigos, kurios atitinka Reglamento (ES) Nr. 575/2013 trečios dalies II antraštinės dalies 6 skyriaus 273a straipsnio 2 arba 4 dalyje nustatytas sąlygas.</w:t>
            </w:r>
          </w:p>
        </w:tc>
      </w:tr>
      <w:tr w:rsidR="00F43911" w:rsidRPr="007F4CC8" w14:paraId="554E3BC9" w14:textId="77777777" w:rsidTr="004F3087">
        <w:trPr>
          <w:trHeight w:val="680"/>
        </w:trPr>
        <w:tc>
          <w:tcPr>
            <w:tcW w:w="1384" w:type="dxa"/>
          </w:tcPr>
          <w:p w14:paraId="381179F6" w14:textId="77777777" w:rsidR="00F43911" w:rsidRPr="007F4CC8" w:rsidRDefault="00F43911" w:rsidP="004F3087">
            <w:pPr>
              <w:pStyle w:val="Applicationdirecte"/>
              <w:spacing w:before="0" w:after="240"/>
              <w:jc w:val="center"/>
            </w:pPr>
            <w:r>
              <w:t>EU-2</w:t>
            </w:r>
          </w:p>
        </w:tc>
        <w:tc>
          <w:tcPr>
            <w:tcW w:w="7655" w:type="dxa"/>
          </w:tcPr>
          <w:p w14:paraId="1180B055"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Supaprastintas standartizuotas CCR vertinimo metodas (supaprastintas išvestinių finansinių priemonių SA-CCR)</w:t>
            </w:r>
          </w:p>
          <w:p w14:paraId="10F957D1" w14:textId="4A672A0C"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Išvestinės finansinės priemonės ir ilgalaikiai atsiskaitymo sandoriai, kuriems įstaigos yra nusprendusios apskaičiuoti pozicijos vertę kaip alfa įvertį* </w:t>
            </w:r>
            <w:r>
              <w:rPr>
                <w:rFonts w:ascii="Times New Roman" w:hAnsi="Times New Roman"/>
                <w:sz w:val="24"/>
              </w:rPr>
              <w:lastRenderedPageBreak/>
              <w:t>(RC+PFE), kai α=1,4, o RC ir PFE apskaičiuojami pagal Reglamento (ES) Nr. 575/2013 trečios dalies II antraštinės dalies 6 skyriaus 4 skirsnio 281 straipsnį.</w:t>
            </w:r>
          </w:p>
          <w:p w14:paraId="48AAA379" w14:textId="72C4FD1A"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 xml:space="preserve">Šį supaprastintą standartizuotą išvestinių finansinių priemonių pozicijų vertės apskaičiavimo metodą gali taikyti tik tos įstaigos, kurios atitinka Reglamento (ES) Nr. 575/2013 trečios dalies II antraštinės dalies 6 skyriaus 273a straipsnio 1 arba 4 dalyje nustatytas sąlygas. </w:t>
            </w:r>
          </w:p>
        </w:tc>
      </w:tr>
      <w:tr w:rsidR="00F43911" w:rsidRPr="007F4CC8" w14:paraId="3680CF86" w14:textId="77777777" w:rsidTr="004F3087">
        <w:trPr>
          <w:trHeight w:val="680"/>
        </w:trPr>
        <w:tc>
          <w:tcPr>
            <w:tcW w:w="1384" w:type="dxa"/>
          </w:tcPr>
          <w:p w14:paraId="35587E43" w14:textId="77777777" w:rsidR="00F43911" w:rsidRPr="007F4CC8" w:rsidRDefault="00F43911" w:rsidP="004F3087">
            <w:pPr>
              <w:pStyle w:val="Applicationdirecte"/>
              <w:spacing w:before="0" w:after="240"/>
              <w:jc w:val="center"/>
            </w:pPr>
            <w:r>
              <w:lastRenderedPageBreak/>
              <w:t>1</w:t>
            </w:r>
          </w:p>
        </w:tc>
        <w:tc>
          <w:tcPr>
            <w:tcW w:w="7655" w:type="dxa"/>
          </w:tcPr>
          <w:p w14:paraId="1EF0ADED"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Standartizuotas CCR vertinimo metodas (išvestinių finansinių priemonių SA-CCR)</w:t>
            </w:r>
          </w:p>
          <w:p w14:paraId="124D31EB" w14:textId="0A2EBA1F"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Išvestinės finansinės priemonės ir ilgalaikiai atsiskaitymo sandoriai, kuriems įstaigos yra nusprendusios apskaičiuoti pozicijos vertę kaip alfa įvertį* (RC+PFE), kai α=1,4, o RC ir PFE apskaičiuojami pagal Reglamento (ES) Nr. 575/2013 trečios dalies II antraštinės dalies 6 skyriaus 3 skirsnį.</w:t>
            </w:r>
          </w:p>
        </w:tc>
      </w:tr>
      <w:tr w:rsidR="00F43911" w:rsidRPr="007F4CC8" w14:paraId="578C8E76" w14:textId="77777777" w:rsidTr="004F3087">
        <w:trPr>
          <w:trHeight w:val="680"/>
        </w:trPr>
        <w:tc>
          <w:tcPr>
            <w:tcW w:w="1384" w:type="dxa"/>
          </w:tcPr>
          <w:p w14:paraId="06A628A4" w14:textId="77777777" w:rsidR="00F43911" w:rsidRPr="007F4CC8" w:rsidRDefault="00F43911" w:rsidP="004F3087">
            <w:pPr>
              <w:pStyle w:val="Applicationdirecte"/>
              <w:spacing w:before="0" w:after="240"/>
              <w:jc w:val="center"/>
              <w:rPr>
                <w:highlight w:val="yellow"/>
              </w:rPr>
            </w:pPr>
            <w:r>
              <w:t>2</w:t>
            </w:r>
          </w:p>
        </w:tc>
        <w:tc>
          <w:tcPr>
            <w:tcW w:w="7655" w:type="dxa"/>
          </w:tcPr>
          <w:p w14:paraId="2F71D0B4"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IMM (išvestinėms finansinėms priemonėms ir VPĮFS)</w:t>
            </w:r>
          </w:p>
          <w:p w14:paraId="3C605AEA" w14:textId="3DA6EB7D" w:rsidR="00F43911" w:rsidRPr="007F4CC8" w:rsidRDefault="00F43911" w:rsidP="004F3087">
            <w:pPr>
              <w:autoSpaceDE w:val="0"/>
              <w:autoSpaceDN w:val="0"/>
              <w:adjustRightInd w:val="0"/>
              <w:spacing w:after="240"/>
              <w:jc w:val="both"/>
              <w:rPr>
                <w:rFonts w:ascii="Times New Roman" w:hAnsi="Times New Roman" w:cs="Times New Roman"/>
                <w:i/>
                <w:sz w:val="24"/>
              </w:rPr>
            </w:pPr>
            <w:r>
              <w:rPr>
                <w:rFonts w:ascii="Times New Roman" w:hAnsi="Times New Roman"/>
                <w:sz w:val="24"/>
              </w:rPr>
              <w:t>Išvestinės finansinės priemonės, ilgalaikiai atsiskaitymo sandoriai ir VPĮFS, kurių pozicijos vertę įstaigoms leista apskaičiuoti taikant vidaus modelio metodą (IMM) pagal Reglamento (ES) Nr. 575/2013 trečios dalies II antraštinės dalies 6 skyriaus 6 skirsnį</w:t>
            </w:r>
          </w:p>
        </w:tc>
      </w:tr>
      <w:tr w:rsidR="00F43911" w:rsidRPr="007F4CC8" w14:paraId="143A2404" w14:textId="77777777" w:rsidTr="004F3087">
        <w:trPr>
          <w:trHeight w:val="680"/>
        </w:trPr>
        <w:tc>
          <w:tcPr>
            <w:tcW w:w="1384" w:type="dxa"/>
          </w:tcPr>
          <w:p w14:paraId="46421B56" w14:textId="77777777" w:rsidR="00F43911" w:rsidRPr="007F4CC8" w:rsidRDefault="00F43911" w:rsidP="004F3087">
            <w:pPr>
              <w:pStyle w:val="Applicationdirecte"/>
              <w:spacing w:before="0" w:after="240"/>
              <w:jc w:val="center"/>
            </w:pPr>
            <w:r>
              <w:t>EU-2a</w:t>
            </w:r>
          </w:p>
        </w:tc>
        <w:tc>
          <w:tcPr>
            <w:tcW w:w="7655" w:type="dxa"/>
          </w:tcPr>
          <w:p w14:paraId="711F7D3E"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Iš jų vertybinių popierių įsigijimo finansavimo sandorių užskaitos grupės</w:t>
            </w:r>
          </w:p>
          <w:p w14:paraId="6014ACE8" w14:textId="47A4E50A"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Užskaitos grupės, kurias sudaro tik Reglamento (ES) Nr. 575/2013 4 straipsnio 1 dalies 139 punkte apibrėžti VPĮFS ir kurių pozicijos vertę įstaigoms leista nustatyti taikant IMM</w:t>
            </w:r>
          </w:p>
        </w:tc>
      </w:tr>
      <w:tr w:rsidR="00F43911" w:rsidRPr="007F4CC8" w14:paraId="2A9527B7" w14:textId="77777777" w:rsidTr="004F3087">
        <w:trPr>
          <w:trHeight w:val="680"/>
        </w:trPr>
        <w:tc>
          <w:tcPr>
            <w:tcW w:w="1384" w:type="dxa"/>
          </w:tcPr>
          <w:p w14:paraId="158457DE" w14:textId="77777777" w:rsidR="00F43911" w:rsidRPr="007F4CC8" w:rsidRDefault="00F43911" w:rsidP="004F3087">
            <w:pPr>
              <w:pStyle w:val="Applicationdirecte"/>
              <w:spacing w:before="0" w:after="240"/>
              <w:jc w:val="center"/>
            </w:pPr>
            <w:r>
              <w:t>EU-2b</w:t>
            </w:r>
          </w:p>
        </w:tc>
        <w:tc>
          <w:tcPr>
            <w:tcW w:w="7655" w:type="dxa"/>
          </w:tcPr>
          <w:p w14:paraId="112B8BC9"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Iš jų išvestinių finansinių priemonių ir ilgalaikių atsiskaitymo sandorių užskaitos grupės</w:t>
            </w:r>
          </w:p>
          <w:p w14:paraId="4E9E50F8" w14:textId="68959B51"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Užskaitos grupės, kurias sudaro tik Reglamento (ES) Nr. 575/2013 II priede išvardytos išvestinės finansinės priemonės ir Reglamento (ES) Nr. 575/2013 272 straipsnio 2 dalyje apibrėžti ilgalaikiai atsiskaitymo sandoriai, kurių pozicijos vertę įstaigoms leista nustatyti taikant IMM</w:t>
            </w:r>
          </w:p>
        </w:tc>
      </w:tr>
      <w:tr w:rsidR="00F43911" w:rsidRPr="007F4CC8" w14:paraId="124CD73D" w14:textId="77777777" w:rsidTr="004F3087">
        <w:trPr>
          <w:trHeight w:val="680"/>
        </w:trPr>
        <w:tc>
          <w:tcPr>
            <w:tcW w:w="1384" w:type="dxa"/>
          </w:tcPr>
          <w:p w14:paraId="3721675B" w14:textId="77777777" w:rsidR="00F43911" w:rsidRPr="007F4CC8" w:rsidRDefault="00F43911" w:rsidP="004F3087">
            <w:pPr>
              <w:pStyle w:val="Applicationdirecte"/>
              <w:spacing w:before="0" w:after="240"/>
              <w:jc w:val="center"/>
            </w:pPr>
            <w:r>
              <w:t>EU-2c</w:t>
            </w:r>
          </w:p>
        </w:tc>
        <w:tc>
          <w:tcPr>
            <w:tcW w:w="7655" w:type="dxa"/>
          </w:tcPr>
          <w:p w14:paraId="1786D9AA"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Iš jų iš sutartinės kryžminės produktų užskaitos grupės</w:t>
            </w:r>
          </w:p>
          <w:p w14:paraId="2B590CCD" w14:textId="62BAAF0A"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Užskaitos grupės, kurias sudaro įvairių kategorijų produktų, t. y. išvestinių finansinių priemonių ir VPĮFS, sandoriai (Reglamento (ES) Nr. 575/2013 272 straipsnio 11 punktas), dėl kurių sudarytas Reglamento (ES) Nr. 575/2013 272 straipsnio 25 punkte apibrėžtas įpareigojantis kryžminės produktų užskaitos susitarimas ir kurių pozicijos vertę įstaigoms leista nustatyti taikant IMM</w:t>
            </w:r>
          </w:p>
        </w:tc>
      </w:tr>
      <w:tr w:rsidR="00F43911" w:rsidRPr="007F4CC8" w14:paraId="7D81F05B" w14:textId="77777777" w:rsidTr="004F3087">
        <w:trPr>
          <w:trHeight w:val="680"/>
        </w:trPr>
        <w:tc>
          <w:tcPr>
            <w:tcW w:w="1384" w:type="dxa"/>
          </w:tcPr>
          <w:p w14:paraId="28E9EC92" w14:textId="77777777" w:rsidR="00F43911" w:rsidRPr="00A03D37" w:rsidRDefault="00F43911" w:rsidP="004F3087">
            <w:pPr>
              <w:pStyle w:val="Applicationdirecte"/>
              <w:spacing w:before="0" w:after="240"/>
              <w:jc w:val="center"/>
            </w:pPr>
            <w:r>
              <w:t>3, 4</w:t>
            </w:r>
          </w:p>
        </w:tc>
        <w:tc>
          <w:tcPr>
            <w:tcW w:w="7655" w:type="dxa"/>
          </w:tcPr>
          <w:p w14:paraId="3125535D" w14:textId="77777777" w:rsidR="00F43911" w:rsidRPr="00A03D37"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Paprastasis finansinių užtikrinimo priemonių metodas (taikomas VPĮFS) ir išsamusis finansinių užtikrinimo priemonių metodas (taikomas VPĮFS)</w:t>
            </w:r>
          </w:p>
          <w:p w14:paraId="7FFBE4B5" w14:textId="7D2E8323"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 xml:space="preserve">Atpirkimo sandoriai, vertybinių popierių arba biržos prekių skolinimo arba skolinimosi sandoriai ir garantinės įmokos skolinimo sandoriai, kurių </w:t>
            </w:r>
            <w:r>
              <w:rPr>
                <w:rFonts w:ascii="Times New Roman" w:hAnsi="Times New Roman"/>
                <w:sz w:val="24"/>
              </w:rPr>
              <w:lastRenderedPageBreak/>
              <w:t>pozicijos vertę įstaigos nusprendė nustatyti pagal Reglamento (ES) Nr. 575/2013 trečios dalies II antraštinės dalies 4 skyriaus 222 ir 223 straipsnius, o ne pagal to reglamento trečios dalies II antraštinės dalies 6 skyriaus 271 straipsnio 2 dalį</w:t>
            </w:r>
          </w:p>
        </w:tc>
      </w:tr>
      <w:tr w:rsidR="00F43911" w:rsidRPr="007F4CC8" w14:paraId="0521450C" w14:textId="77777777" w:rsidTr="004F3087">
        <w:trPr>
          <w:trHeight w:val="680"/>
        </w:trPr>
        <w:tc>
          <w:tcPr>
            <w:tcW w:w="1384" w:type="dxa"/>
          </w:tcPr>
          <w:p w14:paraId="7CEED5F4" w14:textId="77777777" w:rsidR="00F43911" w:rsidRPr="007F4CC8" w:rsidRDefault="00F43911" w:rsidP="004F3087">
            <w:pPr>
              <w:pStyle w:val="Applicationdirecte"/>
              <w:spacing w:before="0" w:after="240"/>
              <w:jc w:val="center"/>
              <w:rPr>
                <w:highlight w:val="yellow"/>
              </w:rPr>
            </w:pPr>
            <w:r>
              <w:lastRenderedPageBreak/>
              <w:t>5</w:t>
            </w:r>
          </w:p>
        </w:tc>
        <w:tc>
          <w:tcPr>
            <w:tcW w:w="7655" w:type="dxa"/>
          </w:tcPr>
          <w:p w14:paraId="7192FE6E"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VPĮFS vertės pokyčio rizika (VaR)</w:t>
            </w:r>
          </w:p>
          <w:p w14:paraId="2F37A77D" w14:textId="7C69D743"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Atpirkimo sandoriai, vertybinių popierių arba biržos prekių skolinimo arba skolinimosi sandoriai, garantinės įmokos skolinimo sandoriai arba kiti kapitalo rinkos veikiami sandoriai, išskyrus išvestinių finansinių priemonių sandorius, kurių pozicijos vertė (pagal Reglamento (ES) Nr. 575/2013 221 straipsnį) apskaičiuojama taikant vidaus modelio metodą (IMA), pagal kurį atsižvelgiama į koreliacijos tarp vertybinių popierių pozicijų, kurioms taikomas pagrindinis užskaitos sandoris, poveikį ir į susijusių priemonių likvidumą</w:t>
            </w:r>
          </w:p>
        </w:tc>
      </w:tr>
      <w:tr w:rsidR="00F43911" w:rsidRPr="007F4CC8" w14:paraId="31D989D4" w14:textId="77777777" w:rsidTr="004F3087">
        <w:trPr>
          <w:trHeight w:val="680"/>
        </w:trPr>
        <w:tc>
          <w:tcPr>
            <w:tcW w:w="1384" w:type="dxa"/>
          </w:tcPr>
          <w:p w14:paraId="6862A0A5" w14:textId="77777777" w:rsidR="00F43911" w:rsidRPr="007F4CC8" w:rsidRDefault="00F43911" w:rsidP="004F3087">
            <w:pPr>
              <w:pStyle w:val="Applicationdirecte"/>
              <w:spacing w:before="0" w:after="240"/>
              <w:jc w:val="center"/>
            </w:pPr>
            <w:r>
              <w:t>6</w:t>
            </w:r>
          </w:p>
        </w:tc>
        <w:tc>
          <w:tcPr>
            <w:tcW w:w="7655" w:type="dxa"/>
          </w:tcPr>
          <w:p w14:paraId="2AB9B821"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Iš viso</w:t>
            </w:r>
          </w:p>
        </w:tc>
      </w:tr>
      <w:tr w:rsidR="00F43911" w:rsidRPr="007F4CC8" w14:paraId="56B6586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95A91" w14:textId="77777777" w:rsidR="00F43911" w:rsidRPr="007F4CC8" w:rsidRDefault="00F43911" w:rsidP="004F3087">
            <w:pPr>
              <w:pStyle w:val="Applicationdirecte"/>
              <w:spacing w:before="0" w:after="240"/>
              <w:jc w:val="center"/>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42A45"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Paaiškinimas</w:t>
            </w:r>
          </w:p>
        </w:tc>
      </w:tr>
      <w:tr w:rsidR="00F43911" w:rsidRPr="007F4CC8" w14:paraId="464AD38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793D" w14:textId="77777777" w:rsidR="00F43911" w:rsidRPr="007F4CC8" w:rsidRDefault="00F43911" w:rsidP="004F3087">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5CDBD8"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 xml:space="preserve">Pakeitimo išlaidos (RC) ir galima būsima pozicija (PFE) </w:t>
            </w:r>
          </w:p>
          <w:p w14:paraId="366AE0A2"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RC ir PFE įverčiai apskaičiuojami:</w:t>
            </w:r>
          </w:p>
          <w:p w14:paraId="3D3887A9" w14:textId="037427CB"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 pradinės pozicijos metodo atveju (šios formos EU-1 eilutė) pagal Reglamento (ES) Nr. 575/2013 trečios dalies II antraštinės dalies 6 skyriaus 5 skirsnio 282 straipsnio 3 ir 4 dalis; </w:t>
            </w:r>
          </w:p>
          <w:p w14:paraId="3CB92BF2" w14:textId="1A27535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supaprastinto SA-CCR metodo atveju (šios formos EU-2 eilutė) pagal Reglamento (ES) Nr. 575/2013 trečios dalies II antraštinės dalies 6 skyriaus 5 skirsnio 281 straipsnį;</w:t>
            </w:r>
          </w:p>
          <w:p w14:paraId="26D7BCAE" w14:textId="71B5EE99"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SA-CCR metodo atveju (šios formos 1 eilutė) pagal Reglamento (ES) Nr. 575/2013 trečios dalies II antraštinės dalies 6 skyriaus 4 ir 5 skirsnių 275 ir 278 straipsnius.</w:t>
            </w:r>
          </w:p>
          <w:p w14:paraId="3D6E29EA" w14:textId="77777777" w:rsidR="00F43911" w:rsidRPr="007F4CC8" w:rsidRDefault="00F43911" w:rsidP="004F3087">
            <w:pPr>
              <w:spacing w:after="240"/>
            </w:pPr>
            <w:r>
              <w:rPr>
                <w:rFonts w:ascii="Times New Roman" w:hAnsi="Times New Roman"/>
                <w:sz w:val="24"/>
              </w:rPr>
              <w:t>Įstaigos atitinkamose eilutėse atskleidžia visų užskaitos grupių pakeitimo išlaidų sumą.</w:t>
            </w:r>
          </w:p>
        </w:tc>
      </w:tr>
      <w:tr w:rsidR="00F43911" w:rsidRPr="007F4CC8" w14:paraId="48B76C0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1632B" w14:textId="77777777" w:rsidR="00F43911" w:rsidRPr="007F4CC8" w:rsidRDefault="00F43911" w:rsidP="004F3087">
            <w:pPr>
              <w:pStyle w:val="Applicationdirecte"/>
              <w:spacing w:before="0" w:after="24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D6637E6"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Faktinė tikėtina teigiama pozicija (EEPE)</w:t>
            </w:r>
          </w:p>
          <w:p w14:paraId="457B2CC6" w14:textId="76476F86"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Kiekvienos užskaitos grupės faktinė EEPE yra apibrėžta Reglamento (ES) Nr. 575/2013 272 straipsnio 22 punkte ir apskaičiuojama pagal Reglamento (ES) Nr. 575/2013 284 straipsnio 6 dalį.</w:t>
            </w:r>
          </w:p>
          <w:p w14:paraId="217186F1" w14:textId="2D8E5933"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Čia atskleistina EEPE yra lygi EEPE, taikomai nustatant nuosavų lėšų reikalavimus pagal Reglamento (ES) Nr. 575/2013 284 straipsnio 3 dalį, t. y. EEPE, apskaičiuotai taikant dabartinius rinkos duomenis, arba EEPE, </w:t>
            </w:r>
            <w:r>
              <w:rPr>
                <w:rFonts w:ascii="Times New Roman" w:hAnsi="Times New Roman"/>
              </w:rPr>
              <w:lastRenderedPageBreak/>
              <w:t>apskaičiuotai taikant kalibravimą nepalankiausiomis sąlygomis, priklausomai nuo to, kuri iš jų lemia didesnį nuosavų lėšų reikalavimą.</w:t>
            </w:r>
          </w:p>
          <w:p w14:paraId="1B528B51" w14:textId="77777777"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 xml:space="preserve">Įstaigos prie formos pridedamose aiškinamosiose pastabose nurodo, kuri EEPE vertė įrašyta. </w:t>
            </w:r>
          </w:p>
        </w:tc>
      </w:tr>
      <w:tr w:rsidR="00F43911" w:rsidRPr="007F4CC8" w14:paraId="4A0819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B74A70" w14:textId="77777777" w:rsidR="00F43911" w:rsidRPr="007F4CC8" w:rsidRDefault="00F43911" w:rsidP="004F3087">
            <w:pPr>
              <w:pStyle w:val="Applicationdirecte"/>
              <w:spacing w:before="0" w:after="240"/>
              <w:jc w:val="center"/>
            </w:pPr>
            <w:r>
              <w:lastRenderedPageBreak/>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AF8FFD"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Reguliuojamos pozicijos vertės apskaičiavimui naudojama alfa vertė</w:t>
            </w:r>
          </w:p>
          <w:p w14:paraId="6B33CCED" w14:textId="4900B432"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Pagal Reglamento (ES) Nr. 575/2013 282 straipsnio 2 dalį, 281 straipsnio 1 dalį ir 274 straipsnio 2 dalį šios formos EU-1, EU-2 ir 1 eilutėse nustatoma, kad α vertė yra 1,4.</w:t>
            </w:r>
          </w:p>
          <w:p w14:paraId="3D498F38" w14:textId="1A3CD52A"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IMM tikslais α vertė gali būti lygi standartinei 1,4 vertei arba kitokiai vertei, kai kompetentingos institucijos reikalauja didesnės α vertės pagal Reglamento (ES) Nr. 575/2013 284 straipsnio 4 dalį arba leidžia įstaigoms naudoti savo įverčius pagal to reglamento trečios dalies II antraštinės dalies 6 skyriaus 6 skirsnio 284 straipsnio 9 dalį.</w:t>
            </w:r>
          </w:p>
        </w:tc>
      </w:tr>
      <w:tr w:rsidR="00F43911" w:rsidRPr="007F4CC8" w14:paraId="55D7A8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BBD322" w14:textId="77777777" w:rsidR="00F43911" w:rsidRPr="007F4CC8" w:rsidRDefault="00F43911" w:rsidP="004F3087">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9F80C4"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Pozicijos vertė prieš taikant KRM priemones</w:t>
            </w:r>
          </w:p>
          <w:p w14:paraId="4D1BA8A2" w14:textId="2ACA7816"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CCR veiklos pozicijos vertė prieš taikant KRM priemones apskaičiuojama pagal Reglamento (ES) Nr. 575/2013 trečios dalies II antraštinės dalies 4 ir 6 skyriuose nustatytus metodus, atsižvelgiant į užskaitos poveikį, tačiau neatsižvelgiant į jokias kitas kredito rizikos mažinimo priemones (pvz., garantinės įmokos užtikrinimo priemones).</w:t>
            </w:r>
          </w:p>
          <w:p w14:paraId="392128FE"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VPĮFS atveju nustatant pozicijos vertę prieš taikant KRM priemones, kai gaunama užtikrinimo priemonė, į užtikrinimo priemonės dalį neatsižvelgiama, todėl pozicijos vertė nesumažėja. Ir priešingai, į VPĮFS užtikrinimo priemonės dalį atsižvelgiama įprastai nustatant pozicijos vertę prieš taikant KRM priemones, kai pateikiama užtikrinimo priemonė. </w:t>
            </w:r>
          </w:p>
          <w:p w14:paraId="482E5F75"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Be to, užstatu užtikrintas verslas tvarkomas kaip užstatu neužtikrintas verslas, t. y. netaikomas joks garantinės įmokos poveikis.</w:t>
            </w:r>
          </w:p>
          <w:p w14:paraId="3610D469" w14:textId="346DB6F0"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Sandorių, kurių atžvilgiu nustatyta specifinė klaidingų sprendimų rizika, pozicijos vertė prieš taikant KRM priemones turi būti nustatoma pagal Reglamento (ES) Nr. 575/2013 291 straipsnį.</w:t>
            </w:r>
          </w:p>
          <w:p w14:paraId="3EB18FDE" w14:textId="700FF1F2"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Nustatant pozicijos vertę prieš taikant KRM metodus neatsižvelgiama į patirtų CVA nuostolių atskaitymą pagal Reglamento (ES) Nr. 575/2013 273 straipsnio 6 dalį.</w:t>
            </w:r>
          </w:p>
          <w:p w14:paraId="3CE91BAE"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Visų pozicijų verčių prieš taikant KRM priemones sumą įstaiga atskleidžia atitinkamoje eilutėje.</w:t>
            </w:r>
          </w:p>
        </w:tc>
      </w:tr>
      <w:tr w:rsidR="00F43911" w:rsidRPr="007F4CC8" w14:paraId="0C2F5E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67D226" w14:textId="77777777" w:rsidR="00F43911" w:rsidRPr="007F4CC8" w:rsidRDefault="00F43911" w:rsidP="004F3087">
            <w:pPr>
              <w:pStyle w:val="Applicationdirecte"/>
              <w:spacing w:before="0" w:after="24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2F5D69F"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Pozicijos vertė (po KRM priemonių taikymo)</w:t>
            </w:r>
          </w:p>
          <w:p w14:paraId="4C374AEE" w14:textId="5BC2862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CCR veiklos pozicijos vertė po KRM priemonių taikymo apskaičiuojama pagal Reglamento (ES) Nr. 575/2013 trečios dalies II antraštinės dalies 4 ir 6 </w:t>
            </w:r>
            <w:r>
              <w:rPr>
                <w:rFonts w:ascii="Times New Roman" w:hAnsi="Times New Roman"/>
                <w:sz w:val="24"/>
              </w:rPr>
              <w:lastRenderedPageBreak/>
              <w:t>skyriuose nustatytus metodus, prireikus pritaikius KRM priemones pagal to reglamento trečios dalies II antraštinės dalies 4 ir 6 skyrius.</w:t>
            </w:r>
          </w:p>
          <w:p w14:paraId="00427D02" w14:textId="50A27684"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Sandorių, kurių atžvilgiu nustatyta specifinė klaidingų sprendimų rizika, pozicijos vertė nustatoma pagal Reglamento (ES) Nr. 575/2013 291 straipsnį.</w:t>
            </w:r>
          </w:p>
          <w:p w14:paraId="11C26276" w14:textId="03A97DB3"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Pagal Reglamento (ES) Nr. 575/2013 273 straipsnio 6 dalį patirtas CVA nuostolis nėra atskaitomas iš pozicijos vertės pritaikius KRM priemones.</w:t>
            </w:r>
          </w:p>
          <w:p w14:paraId="69480D33"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Visų pozicijų verčių pritaikius KRM priemones sumą įstaiga atskleidžia atitinkamoje eilutėje.</w:t>
            </w:r>
          </w:p>
        </w:tc>
      </w:tr>
      <w:tr w:rsidR="00F43911" w:rsidRPr="007F4CC8" w14:paraId="253BA6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58E697" w14:textId="77777777" w:rsidR="00F43911" w:rsidRPr="007F4CC8" w:rsidRDefault="00F43911" w:rsidP="004F3087">
            <w:pPr>
              <w:pStyle w:val="Applicationdirecte"/>
              <w:spacing w:before="0" w:after="240"/>
              <w:jc w:val="center"/>
            </w:pPr>
            <w:r>
              <w:lastRenderedPageBreak/>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92EF72"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Pozicijos vertė</w:t>
            </w:r>
          </w:p>
          <w:p w14:paraId="48F8B1EB" w14:textId="504B8CE3"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CCR veiklos pozicijos vertė, apskaičiuota pagal Reglamento (ES) Nr. 575/2013 trečios dalies II antraštinės dalies 4 ir 6 skyriuose nustatytus metodus kaip tinkama suma nuosavų lėšų reikalavimo sumai apskaičiuoti, t. y. pritaikius KRM priemones pagal to reglamento trečios dalies II antraštinės dalies 4 ir 6 skyrius ir atsižvelgus į patirto CVA nuostolio atskaitymą pagal to reglamento 273 straipsnio 6 dalį.</w:t>
            </w:r>
          </w:p>
          <w:p w14:paraId="07CE657B" w14:textId="7D68C218"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Sandorių, kurių atžvilgiu nustatyta specifinė klaidingų sprendimų rizika, pozicijų vertė nustatoma pagal Reglamento (ES) Nr. 575/2013 291 straipsnį.</w:t>
            </w:r>
          </w:p>
          <w:p w14:paraId="1417E2BF"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Tais atvejais, kai vienai sandorio šaliai taikomas daugiau nei vienas CCR metodas, patirtas CVA nuostolis, atskaitytas sandorio šalies lygmeniu, priskiriamas prie skirtingų pagal kiekvieną CCR metodą nurodytų užskaitos grupių pozicijų vertės, parodant atitinkamų užskaitos grupių pozicijų vertės po KRM priemonių taikymo dalį, palyginti su sandorio šalies bendra pozicijų verte po KRM priemonių taikymo.</w:t>
            </w:r>
          </w:p>
          <w:p w14:paraId="736282AA"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Visų pozicijų verčių pritaikius KRM priemones sumą įstaiga atskleidžia atitinkamoje eilutėje.</w:t>
            </w:r>
          </w:p>
        </w:tc>
      </w:tr>
      <w:tr w:rsidR="00F43911" w:rsidRPr="007F4CC8" w14:paraId="622D679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C688DA6" w14:textId="77777777" w:rsidR="00F43911" w:rsidRPr="007F4CC8" w:rsidRDefault="00F43911" w:rsidP="004F3087">
            <w:pPr>
              <w:pStyle w:val="Applicationdirecte"/>
              <w:spacing w:before="0" w:after="240"/>
              <w:jc w:val="center"/>
            </w:pPr>
            <w: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0F0ECB"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RWEA</w:t>
            </w:r>
          </w:p>
          <w:p w14:paraId="26B75465" w14:textId="746E1CA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Pagal riziką įvertintų pozicijų sumos, kaip apibrėžta Reglamento (ES) Nr. 575/2013 92 straipsnio 3 ir 4 dalyse, apskaičiuotos pagal to reglamento 107 straipsnį, susijusios su elementais, kurių rizikos koeficientai apskaičiuojami pagal to reglamento trečios dalies II antraštinės dalies 2 ir 3 skyriuose nustatytus reikalavimus, o CCR veiklos pozicijos vertė apskaičiuojama pagal to reglamento trečios dalies II antraštinės dalies 4 ir 6 skyrius.</w:t>
            </w:r>
          </w:p>
        </w:tc>
      </w:tr>
    </w:tbl>
    <w:p w14:paraId="06E4BA45" w14:textId="77777777" w:rsidR="007D4C3D" w:rsidRDefault="007D4C3D" w:rsidP="00F43911">
      <w:pPr>
        <w:pStyle w:val="Titlelevel2"/>
        <w:jc w:val="both"/>
        <w:rPr>
          <w:rFonts w:ascii="Times New Roman" w:hAnsi="Times New Roman" w:cs="Times New Roman"/>
          <w:b/>
          <w:color w:val="auto"/>
          <w:sz w:val="24"/>
          <w:lang w:val="en-GB"/>
        </w:rPr>
      </w:pPr>
    </w:p>
    <w:p w14:paraId="518FC88E" w14:textId="345A4A64" w:rsidR="00F43911" w:rsidRPr="007F4CC8" w:rsidRDefault="00F43911" w:rsidP="00F43911">
      <w:pPr>
        <w:pStyle w:val="Titlelevel2"/>
        <w:jc w:val="both"/>
        <w:rPr>
          <w:rFonts w:ascii="Times New Roman" w:hAnsi="Times New Roman" w:cs="Times New Roman"/>
          <w:color w:val="auto"/>
          <w:sz w:val="24"/>
        </w:rPr>
      </w:pPr>
      <w:r>
        <w:rPr>
          <w:rFonts w:ascii="Times New Roman" w:hAnsi="Times New Roman"/>
          <w:b/>
          <w:color w:val="auto"/>
          <w:sz w:val="24"/>
        </w:rPr>
        <w:t xml:space="preserve">EU CCR3 forma. Standartizuotas metodas. CCR pozicijos pagal reguliuojamą pozicijų klasę ir rizikos koeficientus </w:t>
      </w:r>
      <w:r>
        <w:rPr>
          <w:rFonts w:ascii="Times New Roman" w:hAnsi="Times New Roman"/>
          <w:color w:val="auto"/>
          <w:sz w:val="24"/>
        </w:rPr>
        <w:t>(nustatytasis formatas)</w:t>
      </w:r>
    </w:p>
    <w:p w14:paraId="140DD484" w14:textId="71C4BF7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lastRenderedPageBreak/>
        <w:t>Pildydamos EBI IT sprendimų XXV priede pateiktą EU CCR3 formą įstaigos atskleidžia Reglamento (ES) Nr. 575/2013 444 straipsnio e punkte nurodytą informaciją, vadovaudamosi toliau šiame priede pateiktais nurodymais.</w:t>
      </w:r>
    </w:p>
    <w:p w14:paraId="719E9920" w14:textId="53B7429A"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Standartizuotą kredito rizikos vertinimo metodą pagal riziką įvertintų pozicijų sumoms (išskyrus sumas, susidariusias dėl nuosavų lėšų reikalavimų CVA rizikai padengti ir susijusias su pozicijomis, kurių tarpuskaitą atlieka PSŠ), susijusioms su visomis ar kai kuriomis jų CCR pozicijomis pagal Reglamento (ES) Nr. 575/2013 107 straipsnį, nepriklausomai nuo jų taikomo CCR metodo pozicijų vertėms nustatyti pagal to reglamento trečios dalies II antraštinės dalies 4 ir 6 skyrius, apskaičiuoti taikančios įstaigos atskleidžia toliau nurodytą informaciją.</w:t>
      </w:r>
      <w:r>
        <w:rPr>
          <w:rFonts w:ascii="Times New Roman" w:hAnsi="Times New Roman"/>
          <w:color w:val="auto"/>
          <w:sz w:val="24"/>
        </w:rPr>
        <w:t xml:space="preserve"> </w:t>
      </w:r>
    </w:p>
    <w:p w14:paraId="6C656446"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Jei, įstaigos manymu, šioje formoje atskleistina informacija nėra prasminga, nes pozicija ir pagal riziką įvertintų pozicijų sumos nėra reikšmingos, įstaiga gali priimti sprendimą šios formos nepildyti. Tačiau aiškinamosiose pastabose įstaiga turi paaiškinti, kodėl, jos manymu, informacija nėra prasminga, pateikdama susijusių portfelių pozicijų aprašymą ir nurodydama visų tokių pagal riziką įvertintų pozicijų sumų bendrą vertę.</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7CBFFE3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4B0D1"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Nuorodos į teisės aktus ir nurodymai</w:t>
            </w:r>
          </w:p>
        </w:tc>
      </w:tr>
      <w:tr w:rsidR="00F43911" w:rsidRPr="007F4CC8" w14:paraId="5AB7769D" w14:textId="77777777" w:rsidTr="004F3087">
        <w:trPr>
          <w:trHeight w:val="238"/>
        </w:trPr>
        <w:tc>
          <w:tcPr>
            <w:tcW w:w="1384" w:type="dxa"/>
            <w:shd w:val="clear" w:color="auto" w:fill="D9D9D9" w:themeFill="background1" w:themeFillShade="D9"/>
          </w:tcPr>
          <w:p w14:paraId="6C8972D4"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700714D7"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Paaiškinimas</w:t>
            </w:r>
          </w:p>
        </w:tc>
      </w:tr>
      <w:tr w:rsidR="00F43911" w:rsidRPr="007F4CC8" w14:paraId="2810F45B" w14:textId="77777777" w:rsidTr="004F3087">
        <w:trPr>
          <w:trHeight w:val="680"/>
        </w:trPr>
        <w:tc>
          <w:tcPr>
            <w:tcW w:w="1384" w:type="dxa"/>
          </w:tcPr>
          <w:p w14:paraId="4B4E3E46" w14:textId="77777777" w:rsidR="00F43911" w:rsidRPr="007F4CC8" w:rsidRDefault="00F43911" w:rsidP="004F3087">
            <w:pPr>
              <w:pStyle w:val="Applicationdirecte"/>
              <w:spacing w:before="0" w:after="240"/>
              <w:jc w:val="center"/>
            </w:pPr>
            <w:r>
              <w:t>1–9</w:t>
            </w:r>
          </w:p>
        </w:tc>
        <w:tc>
          <w:tcPr>
            <w:tcW w:w="7655" w:type="dxa"/>
            <w:vAlign w:val="center"/>
          </w:tcPr>
          <w:p w14:paraId="13B7EA16"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Pozicijų klasės</w:t>
            </w:r>
          </w:p>
          <w:p w14:paraId="119BFBA0" w14:textId="3882FF9D"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Šios eilutės yra skirtos reguliuojamoms pozicijų klasėms, kaip apibrėžta Reglamento (ES) Nr. 575/2013 trečios dalies II antraštinės dalies 4 skyriaus 112–134 straipsniuose. Kiekvienoje eilutėje atskleidžiamos atitinkamos pozicijų vertės (žr. apibrėžtį EU CCR1 formos g skiltyje). </w:t>
            </w:r>
          </w:p>
        </w:tc>
      </w:tr>
      <w:tr w:rsidR="00F43911" w:rsidRPr="007F4CC8" w14:paraId="24450E66" w14:textId="77777777" w:rsidTr="004F3087">
        <w:trPr>
          <w:trHeight w:val="680"/>
        </w:trPr>
        <w:tc>
          <w:tcPr>
            <w:tcW w:w="1384" w:type="dxa"/>
          </w:tcPr>
          <w:p w14:paraId="2D7B089F" w14:textId="77777777" w:rsidR="00F43911" w:rsidRPr="007F4CC8" w:rsidRDefault="00F43911" w:rsidP="004F3087">
            <w:pPr>
              <w:pStyle w:val="Applicationdirecte"/>
              <w:spacing w:before="0" w:after="240"/>
              <w:jc w:val="center"/>
            </w:pPr>
            <w:r>
              <w:t>10</w:t>
            </w:r>
          </w:p>
        </w:tc>
        <w:tc>
          <w:tcPr>
            <w:tcW w:w="7655" w:type="dxa"/>
            <w:vAlign w:val="center"/>
          </w:tcPr>
          <w:p w14:paraId="6406932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Kitos pozicijos</w:t>
            </w:r>
          </w:p>
          <w:p w14:paraId="6B472AE2" w14:textId="1813D90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Čia nurodomas turtas, kuriam taikomas Reglamento (ES) Nr. 575/2013 trečios dalies II antraštinės dalies 4 skyriaus 134 straipsnyje nustatytas konkretus rizikos koeficientas, ir kiti straipsniai, neįtraukti į šios formos 1–9 eilutes. Čia taip pat nurodomas turtas, neatskaitytas taikant Reglamento (ES) Nr. 575/2013 39 straipsnį (mokesčių permokos, į ankstesnius metus perkelti mokestiniai nuostoliai ir atidėtųjų mokesčių turtas, kurie nepriklauso nuo būsimo pelningumo), 41 straipsnį (nustatyto dydžio išmokų pensijų fondo turtas), 46 ir 469 straipsnius (nereikšmingos investicijos į finansų sektoriaus subjektų bendrą 1 lygio nuosavą kapitalą (CET1)), 49 ir 471 straipsnius (dalyvavimas draudimo įmonėse, neatsižvelgiant į tai, ar jos yra prižiūrimos pagal Konglomeratų direktyvą), 60 ir 475 straipsnius (nereikšmingos ir reikšmingos netiesioginės investicijos į finansų sektoriaus subjektų papildomą 1 lygio kapitalą (AT1)), 70 ir 477 straipsnius (nereikšmingas ir reikšmingas netiesiogiai ir dirbtinai turimas finansų sektoriaus subjekto 2 lygio kapitalas), jei jis nepriskirtas prie kitų pozicijų klasių ir ne finansų sektoriaus įmonėse turimų kvalifikuotųjų akcijų paketo dalių, jei joms netaikomas 1250 % rizikos </w:t>
            </w:r>
            <w:r>
              <w:rPr>
                <w:rFonts w:ascii="Times New Roman" w:hAnsi="Times New Roman"/>
                <w:sz w:val="24"/>
              </w:rPr>
              <w:lastRenderedPageBreak/>
              <w:t>koeficientas (taikant Reglamento (ES) Nr. 575/2013 antros dalies I antraštinės dalies 2 skyriaus 36 straipsnio k punktą).</w:t>
            </w:r>
          </w:p>
        </w:tc>
      </w:tr>
      <w:tr w:rsidR="00F43911" w:rsidRPr="007F4CC8" w14:paraId="40CEECAA" w14:textId="77777777" w:rsidTr="004F3087">
        <w:trPr>
          <w:trHeight w:val="680"/>
        </w:trPr>
        <w:tc>
          <w:tcPr>
            <w:tcW w:w="1384" w:type="dxa"/>
          </w:tcPr>
          <w:p w14:paraId="084620EC" w14:textId="77777777" w:rsidR="00F43911" w:rsidRPr="007F4CC8" w:rsidRDefault="00F43911" w:rsidP="004F3087">
            <w:pPr>
              <w:pStyle w:val="Applicationdirecte"/>
              <w:spacing w:before="0" w:after="240"/>
              <w:jc w:val="center"/>
            </w:pPr>
            <w:r>
              <w:lastRenderedPageBreak/>
              <w:t>11</w:t>
            </w:r>
          </w:p>
        </w:tc>
        <w:tc>
          <w:tcPr>
            <w:tcW w:w="7655" w:type="dxa"/>
            <w:vAlign w:val="center"/>
          </w:tcPr>
          <w:p w14:paraId="0569A44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Bendra pozicijos vertė</w:t>
            </w:r>
          </w:p>
        </w:tc>
      </w:tr>
      <w:tr w:rsidR="00F43911" w:rsidRPr="007F4CC8" w14:paraId="68F92AF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9FF30" w14:textId="77777777" w:rsidR="00F43911" w:rsidRPr="007F4CC8" w:rsidRDefault="00F43911" w:rsidP="004F3087">
            <w:pPr>
              <w:pStyle w:val="Applicationdirecte"/>
              <w:spacing w:before="0" w:after="240"/>
              <w:jc w:val="center"/>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AE93"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Paaiškinimas</w:t>
            </w:r>
          </w:p>
        </w:tc>
      </w:tr>
      <w:tr w:rsidR="00F43911" w:rsidRPr="007F4CC8" w14:paraId="32077C70" w14:textId="77777777" w:rsidTr="004F3087">
        <w:trPr>
          <w:trHeight w:val="680"/>
        </w:trPr>
        <w:tc>
          <w:tcPr>
            <w:tcW w:w="1384" w:type="dxa"/>
          </w:tcPr>
          <w:p w14:paraId="39F1752F" w14:textId="77777777" w:rsidR="00F43911" w:rsidRPr="007F4CC8" w:rsidRDefault="00F43911" w:rsidP="004F3087">
            <w:pPr>
              <w:pStyle w:val="Applicationdirecte"/>
              <w:spacing w:before="0" w:after="240"/>
              <w:jc w:val="center"/>
            </w:pPr>
            <w:r>
              <w:t>a–k</w:t>
            </w:r>
          </w:p>
          <w:p w14:paraId="7F295BCB" w14:textId="77777777" w:rsidR="00F43911" w:rsidRPr="007F4CC8" w:rsidRDefault="00F43911" w:rsidP="004F3087">
            <w:pPr>
              <w:spacing w:after="240"/>
              <w:jc w:val="center"/>
              <w:rPr>
                <w:rFonts w:ascii="Times New Roman" w:hAnsi="Times New Roman" w:cs="Times New Roman"/>
                <w:sz w:val="24"/>
              </w:rPr>
            </w:pPr>
          </w:p>
        </w:tc>
        <w:tc>
          <w:tcPr>
            <w:tcW w:w="7655" w:type="dxa"/>
            <w:vAlign w:val="center"/>
          </w:tcPr>
          <w:p w14:paraId="70B38523" w14:textId="4C78B73B"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 xml:space="preserve">Šiose skiltyse atskleidžiamos su kredito rizikos kokybės žingsniais / rizikos koeficientais, kaip nurodyta Reglamento (ES) Nr. 575/2013 trečios dalies II antraštinės dalies 2 skyriuje, susijusios pozicijų vertės (žr. apibrėžtį EU CCR1 formos g skiltyje). </w:t>
            </w:r>
          </w:p>
        </w:tc>
      </w:tr>
      <w:tr w:rsidR="00F43911" w:rsidRPr="007F4CC8" w14:paraId="7038985C" w14:textId="77777777" w:rsidTr="004F3087">
        <w:trPr>
          <w:trHeight w:val="680"/>
        </w:trPr>
        <w:tc>
          <w:tcPr>
            <w:tcW w:w="1384" w:type="dxa"/>
          </w:tcPr>
          <w:p w14:paraId="643D9DBE" w14:textId="77777777" w:rsidR="00F43911" w:rsidRPr="007F4CC8" w:rsidRDefault="00F43911" w:rsidP="004F3087">
            <w:pPr>
              <w:pStyle w:val="Applicationdirecte"/>
              <w:spacing w:before="0" w:after="240"/>
              <w:jc w:val="center"/>
            </w:pPr>
            <w:r>
              <w:t>l</w:t>
            </w:r>
          </w:p>
        </w:tc>
        <w:tc>
          <w:tcPr>
            <w:tcW w:w="7655" w:type="dxa"/>
            <w:vAlign w:val="center"/>
          </w:tcPr>
          <w:p w14:paraId="2AD95FAF"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 xml:space="preserve">Bendra pozicijos vertė </w:t>
            </w:r>
          </w:p>
        </w:tc>
      </w:tr>
    </w:tbl>
    <w:p w14:paraId="4639EED1" w14:textId="77777777" w:rsidR="00F43911" w:rsidRPr="007F4CC8" w:rsidRDefault="00F43911" w:rsidP="00F43911">
      <w:pPr>
        <w:pStyle w:val="Titlelevel2"/>
        <w:spacing w:before="0"/>
        <w:rPr>
          <w:rFonts w:ascii="Times New Roman" w:hAnsi="Times New Roman" w:cs="Times New Roman"/>
          <w:color w:val="auto"/>
          <w:sz w:val="24"/>
          <w:lang w:val="en-GB"/>
        </w:rPr>
      </w:pPr>
    </w:p>
    <w:p w14:paraId="378BA942" w14:textId="77777777" w:rsidR="00F43911" w:rsidRPr="007F4CC8" w:rsidRDefault="00F43911" w:rsidP="00F43911">
      <w:pPr>
        <w:pStyle w:val="Titlelevel2"/>
        <w:spacing w:before="0"/>
        <w:jc w:val="both"/>
        <w:rPr>
          <w:rFonts w:ascii="Times New Roman" w:hAnsi="Times New Roman" w:cs="Times New Roman"/>
          <w:b/>
          <w:color w:val="auto"/>
          <w:sz w:val="24"/>
        </w:rPr>
      </w:pPr>
      <w:r>
        <w:rPr>
          <w:rFonts w:ascii="Times New Roman" w:hAnsi="Times New Roman"/>
          <w:b/>
          <w:color w:val="auto"/>
          <w:sz w:val="24"/>
        </w:rPr>
        <w:t xml:space="preserve">EU CCR4 forma. IRB metodas. CCR pozicijos pagal pozicijų klasę ir PD skalę </w:t>
      </w:r>
      <w:r>
        <w:rPr>
          <w:rFonts w:ascii="Times New Roman" w:hAnsi="Times New Roman"/>
          <w:color w:val="auto"/>
          <w:sz w:val="24"/>
        </w:rPr>
        <w:t>(nustatytasis formatas)</w:t>
      </w:r>
    </w:p>
    <w:p w14:paraId="03E920F2" w14:textId="6901BA2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Pildydamos EBI IT sprendimų XXV priede pateiktą EU CCR4 formą įstaigos atskleidžia Reglamento (ES) Nr. 575/2013 452 straipsnio g punkte nurodytą informaciją, vadovaudamosi toliau šiame priede pateiktais nurodymais. </w:t>
      </w:r>
    </w:p>
    <w:p w14:paraId="21A1A0D5" w14:textId="71F1C68D"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Pažangųjį arba pagrindinį IRB metodą pagal riziką įvertintų pozicijų sumoms (išskyrus sumas, susidariusias dėl nuosavų lėšų reikalavimų CVA rizikai padengti ir susijusias su pozicijomis, kurių tarpuskaitą atlieka PSŠ), susijusioms su visomis ar kai kuriomis jų CCR pozicijomis pagal Reglamento (ES) Nr. 575/2013 107 straipsnį, nepriklausomai nuo jų taikomo CCR metodo pozicijų vertei nustatyti pagal to reglamento trečios dalies II antraštinės dalies 4 ir 6 skyrius, apskaičiuoti taikančios įstaigos atskleidžia toliau nurodytą informaciją.</w:t>
      </w:r>
      <w:r>
        <w:rPr>
          <w:rFonts w:ascii="Times New Roman" w:hAnsi="Times New Roman"/>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38BD5C9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3D8B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Nuorodos į teisės aktus ir nurodymai</w:t>
            </w:r>
          </w:p>
        </w:tc>
      </w:tr>
      <w:tr w:rsidR="00F43911" w:rsidRPr="007F4CC8" w14:paraId="176F7ACC" w14:textId="77777777" w:rsidTr="004F3087">
        <w:trPr>
          <w:trHeight w:val="238"/>
        </w:trPr>
        <w:tc>
          <w:tcPr>
            <w:tcW w:w="1384" w:type="dxa"/>
            <w:shd w:val="clear" w:color="auto" w:fill="D9D9D9" w:themeFill="background1" w:themeFillShade="D9"/>
          </w:tcPr>
          <w:p w14:paraId="5396CA1A"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5AD423D5"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Paaiškinimas</w:t>
            </w:r>
          </w:p>
        </w:tc>
      </w:tr>
      <w:tr w:rsidR="00F43911" w:rsidRPr="007F4CC8" w14:paraId="02634469" w14:textId="77777777" w:rsidTr="004F3087">
        <w:trPr>
          <w:trHeight w:val="680"/>
        </w:trPr>
        <w:tc>
          <w:tcPr>
            <w:tcW w:w="1384" w:type="dxa"/>
          </w:tcPr>
          <w:p w14:paraId="2AC6A479" w14:textId="77777777" w:rsidR="00F43911" w:rsidRPr="007F4CC8" w:rsidRDefault="00F43911" w:rsidP="004F3087">
            <w:pPr>
              <w:pStyle w:val="Applicationdirecte"/>
              <w:spacing w:before="0" w:after="240"/>
              <w:jc w:val="center"/>
            </w:pPr>
            <w:r>
              <w:t>1–8</w:t>
            </w:r>
          </w:p>
        </w:tc>
        <w:tc>
          <w:tcPr>
            <w:tcW w:w="7655" w:type="dxa"/>
            <w:vAlign w:val="center"/>
          </w:tcPr>
          <w:p w14:paraId="21A090EC"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PD skalė</w:t>
            </w:r>
          </w:p>
          <w:p w14:paraId="27E474D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CCR pozicijos priskiriamos atitinkamam fiksuotos PD skalės intervalui, remiantis kiekvienam įsipareigojančiajam asmeniui, priskirtam šiai pozicijos klasei, įvertinta PD (neatsižvelgiant į jokį pakeitimą dėl garantijos arba kredito išvestinės finansinės priemonės egzistavimą). Įstaigos susieja kiekvieną poziciją su formoje nurodyta PD skale, taip pat atsižvelgdamos į tolydžias skales. Visos pozicijos esant įsipareigojimų neįvykdymui įtraukiamos į 100 % PD atitinkantį intervalą.</w:t>
            </w:r>
          </w:p>
        </w:tc>
      </w:tr>
      <w:tr w:rsidR="00F43911" w:rsidRPr="007F4CC8" w14:paraId="67FC8DC7" w14:textId="77777777" w:rsidTr="004F3087">
        <w:trPr>
          <w:trHeight w:val="680"/>
        </w:trPr>
        <w:tc>
          <w:tcPr>
            <w:tcW w:w="1384" w:type="dxa"/>
          </w:tcPr>
          <w:p w14:paraId="35441DA1" w14:textId="77777777" w:rsidR="00F43911" w:rsidRPr="007F4CC8" w:rsidRDefault="00F43911" w:rsidP="004F3087">
            <w:pPr>
              <w:pStyle w:val="Applicationdirecte"/>
              <w:spacing w:before="0" w:after="240"/>
              <w:jc w:val="center"/>
            </w:pPr>
            <w:r>
              <w:t>1–x</w:t>
            </w:r>
          </w:p>
        </w:tc>
        <w:tc>
          <w:tcPr>
            <w:tcW w:w="7655" w:type="dxa"/>
            <w:vAlign w:val="center"/>
          </w:tcPr>
          <w:p w14:paraId="113166C9"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X pozicijų klasė</w:t>
            </w:r>
          </w:p>
          <w:p w14:paraId="2F40E777" w14:textId="635AFB9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lastRenderedPageBreak/>
              <w:t>Čia reikia įrašyti informaciją apie skirtingų klasių, išvardytų Reglamento (ES) Nr. 575/2013 trečios dalies II antraštinės dalies 3 skyriaus 147 straipsnyje, pozicijas.</w:t>
            </w:r>
          </w:p>
        </w:tc>
      </w:tr>
      <w:tr w:rsidR="00F43911" w:rsidRPr="007F4CC8" w14:paraId="63C15CE0" w14:textId="77777777" w:rsidTr="004F3087">
        <w:trPr>
          <w:trHeight w:val="680"/>
        </w:trPr>
        <w:tc>
          <w:tcPr>
            <w:tcW w:w="1384" w:type="dxa"/>
          </w:tcPr>
          <w:p w14:paraId="5ED80B6B" w14:textId="77777777" w:rsidR="00F43911" w:rsidRPr="007F4CC8" w:rsidRDefault="00F43911" w:rsidP="004F3087">
            <w:pPr>
              <w:pStyle w:val="Applicationdirecte"/>
              <w:spacing w:before="0" w:after="240"/>
              <w:jc w:val="center"/>
            </w:pPr>
            <w:r>
              <w:lastRenderedPageBreak/>
              <w:t>x ir y</w:t>
            </w:r>
          </w:p>
        </w:tc>
        <w:tc>
          <w:tcPr>
            <w:tcW w:w="7655" w:type="dxa"/>
            <w:vAlign w:val="center"/>
          </w:tcPr>
          <w:p w14:paraId="213AF8F1"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Tarpinė suma (X pozicijų klasė) / bendra suma (visos su CCR susijusios pozicijų klasės)</w:t>
            </w:r>
          </w:p>
          <w:p w14:paraId="6E6CECB2"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Pozicijų verčių, pagal riziką įvertintų pozicijų sumų ir įsipareigojančiųjų asmenų skaičiaus (tarpinė) suma yra tiesiog atitinkamų skilčių verčių suma. Kiek tai susiję su skirtingais parametrais (PD vidurkis, LGD vidurkis, termino vidurkis ir RWEA tankis), toliau pateiktos apibrėžtys taikomos X pozicijų klasės imčiai arba visoms su CCR susijusioms pozicijų klasėms.</w:t>
            </w:r>
          </w:p>
        </w:tc>
      </w:tr>
      <w:tr w:rsidR="00F43911" w:rsidRPr="007F4CC8" w14:paraId="1870016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4F317" w14:textId="77777777" w:rsidR="00F43911" w:rsidRPr="007F4CC8" w:rsidRDefault="00F43911" w:rsidP="004F3087">
            <w:pPr>
              <w:pStyle w:val="Applicationdirecte"/>
              <w:spacing w:before="0" w:after="240"/>
              <w:jc w:val="center"/>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E7A8C"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Paaiškinimas</w:t>
            </w:r>
          </w:p>
        </w:tc>
      </w:tr>
      <w:tr w:rsidR="00F43911" w:rsidRPr="007F4CC8" w14:paraId="4672F613" w14:textId="77777777" w:rsidTr="004F3087">
        <w:trPr>
          <w:trHeight w:val="680"/>
        </w:trPr>
        <w:tc>
          <w:tcPr>
            <w:tcW w:w="1384" w:type="dxa"/>
          </w:tcPr>
          <w:p w14:paraId="1BF1F31B" w14:textId="77777777" w:rsidR="00F43911" w:rsidRPr="007F4CC8" w:rsidRDefault="00F43911" w:rsidP="004F3087">
            <w:pPr>
              <w:pStyle w:val="Applicationdirecte"/>
              <w:spacing w:before="0" w:after="240"/>
              <w:jc w:val="center"/>
            </w:pPr>
            <w:r>
              <w:t>a</w:t>
            </w:r>
          </w:p>
        </w:tc>
        <w:tc>
          <w:tcPr>
            <w:tcW w:w="7655" w:type="dxa"/>
            <w:vAlign w:val="center"/>
          </w:tcPr>
          <w:p w14:paraId="2C0818DE" w14:textId="77777777" w:rsidR="00F43911" w:rsidRPr="00880BCD" w:rsidRDefault="00F43911" w:rsidP="004F3087">
            <w:pPr>
              <w:spacing w:after="240"/>
              <w:jc w:val="both"/>
              <w:rPr>
                <w:rFonts w:ascii="Times New Roman" w:hAnsi="Times New Roman" w:cs="Times New Roman"/>
                <w:b/>
                <w:sz w:val="24"/>
              </w:rPr>
            </w:pPr>
            <w:r>
              <w:rPr>
                <w:rFonts w:ascii="Times New Roman" w:hAnsi="Times New Roman"/>
                <w:b/>
                <w:sz w:val="24"/>
              </w:rPr>
              <w:t>Pozicijos vertė</w:t>
            </w:r>
          </w:p>
          <w:p w14:paraId="4DAED01E" w14:textId="3471DCB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Pozicijų vertė (žr. apibrėžtį EU CCR1 formos g skiltyje), suskirstyta pagal pozicijų klases ir nurodytą PD skalę, kaip nustatyta Reglamento (ES) Nr. 575/2013 trečios dalies II antraštinės dalies 3 skyriuje</w:t>
            </w:r>
          </w:p>
        </w:tc>
      </w:tr>
      <w:tr w:rsidR="00F43911" w:rsidRPr="007F4CC8" w14:paraId="29BE1BD5" w14:textId="77777777" w:rsidTr="004F3087">
        <w:trPr>
          <w:trHeight w:val="680"/>
        </w:trPr>
        <w:tc>
          <w:tcPr>
            <w:tcW w:w="1384" w:type="dxa"/>
          </w:tcPr>
          <w:p w14:paraId="43571550" w14:textId="77777777" w:rsidR="00F43911" w:rsidRPr="007F4CC8" w:rsidRDefault="00F43911" w:rsidP="004F3087">
            <w:pPr>
              <w:pStyle w:val="Applicationdirecte"/>
              <w:spacing w:before="0" w:after="240"/>
              <w:jc w:val="center"/>
            </w:pPr>
            <w:r>
              <w:t>b</w:t>
            </w:r>
          </w:p>
        </w:tc>
        <w:tc>
          <w:tcPr>
            <w:tcW w:w="7655" w:type="dxa"/>
            <w:vAlign w:val="center"/>
          </w:tcPr>
          <w:p w14:paraId="7ED972CE"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Pozicijų svertinis PD vidurkis (%)</w:t>
            </w:r>
          </w:p>
          <w:p w14:paraId="77163362" w14:textId="77777777" w:rsidR="00F43911" w:rsidRPr="007F4CC8" w:rsidRDefault="00F43911" w:rsidP="004F3087">
            <w:pPr>
              <w:spacing w:after="240"/>
              <w:rPr>
                <w:rFonts w:ascii="Times New Roman" w:eastAsia="Times New Roman" w:hAnsi="Times New Roman" w:cs="Times New Roman"/>
                <w:sz w:val="24"/>
              </w:rPr>
            </w:pPr>
            <w:r>
              <w:rPr>
                <w:rFonts w:ascii="Times New Roman" w:hAnsi="Times New Roman"/>
                <w:sz w:val="24"/>
              </w:rPr>
              <w:t>Atskiro įsipareigojančiojo asmens rango PD vidurkis, įvertintas pagal jų atitinkamą pozicijų vertę, nurodytą šios formos a skiltyje</w:t>
            </w:r>
          </w:p>
        </w:tc>
      </w:tr>
      <w:tr w:rsidR="00F43911" w:rsidRPr="007F4CC8" w14:paraId="54178E8C" w14:textId="77777777" w:rsidTr="004F3087">
        <w:trPr>
          <w:trHeight w:val="680"/>
        </w:trPr>
        <w:tc>
          <w:tcPr>
            <w:tcW w:w="1384" w:type="dxa"/>
          </w:tcPr>
          <w:p w14:paraId="7D3E7D23" w14:textId="77777777" w:rsidR="00F43911" w:rsidRPr="007F4CC8" w:rsidRDefault="00F43911" w:rsidP="004F3087">
            <w:pPr>
              <w:pStyle w:val="Applicationdirecte"/>
              <w:spacing w:before="0" w:after="240"/>
              <w:jc w:val="center"/>
            </w:pPr>
            <w:r>
              <w:t>c</w:t>
            </w:r>
          </w:p>
        </w:tc>
        <w:tc>
          <w:tcPr>
            <w:tcW w:w="7655" w:type="dxa"/>
            <w:vAlign w:val="center"/>
          </w:tcPr>
          <w:p w14:paraId="6153A1D9"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Įsipareigojančiųjų asmenų skaičius</w:t>
            </w:r>
          </w:p>
          <w:p w14:paraId="6074DEAB"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Juridinių asmenų arba įsipareigojančiųjų asmenų, kurie priskirti kiekvienam nustatytos PD skalės intervalui ir kuriems buvo suteiktas atskiras reitingas, skaičius, neatsižvelgiant į suteiktų skirtingų paskolų ar pozicijų skaičių.</w:t>
            </w:r>
          </w:p>
          <w:p w14:paraId="7E8F21FB" w14:textId="0F2C452D"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Jeigu skirtingos to paties įsipareigojančiojo asmens pozicijos reitinguojamos atskirai, jos skaičiuojamos atskirai. Tokia padėtis gali susiklostyti, jei atskiros to paties įsipareigojančiojo asmens pozicijos priskiriamos skirtingiems įsipareigojančiojo asmens rangams pagal Reglamento (ES) Nr. 575/2013 172 straipsnio 1 dalies e punkto antrą sakinį.</w:t>
            </w:r>
          </w:p>
        </w:tc>
      </w:tr>
      <w:tr w:rsidR="00F43911" w:rsidRPr="007F4CC8" w14:paraId="3C6F4AC7" w14:textId="77777777" w:rsidTr="004F3087">
        <w:trPr>
          <w:trHeight w:val="680"/>
        </w:trPr>
        <w:tc>
          <w:tcPr>
            <w:tcW w:w="1384" w:type="dxa"/>
          </w:tcPr>
          <w:p w14:paraId="26C46E26" w14:textId="77777777" w:rsidR="00F43911" w:rsidRPr="007F4CC8" w:rsidRDefault="00F43911" w:rsidP="004F3087">
            <w:pPr>
              <w:pStyle w:val="Applicationdirecte"/>
              <w:spacing w:before="0" w:after="240"/>
              <w:jc w:val="center"/>
            </w:pPr>
            <w:r>
              <w:t>d</w:t>
            </w:r>
          </w:p>
        </w:tc>
        <w:tc>
          <w:tcPr>
            <w:tcW w:w="7655" w:type="dxa"/>
            <w:vAlign w:val="center"/>
          </w:tcPr>
          <w:p w14:paraId="58C260C0"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Pozicijų svertinis LGD vidurkis (%)</w:t>
            </w:r>
          </w:p>
          <w:p w14:paraId="34068163"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Įsipareigojančiojo asmens rango LGD įverčių vidurkis, įvertintas pagal jų atitinkamą pozicijos vertę.</w:t>
            </w:r>
          </w:p>
          <w:p w14:paraId="789E926C"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Atskleidžiamas LGD atitinka galutinį LGD įvertį, naudotą apskaičiuojant nuosavų lėšų reikalavimus, atsižvelgus į visą kredito rizikos mažinimo poveikį ir, jei reikia, į ekonomikos nuosmukio sąlygas. </w:t>
            </w:r>
          </w:p>
          <w:p w14:paraId="766422CE" w14:textId="30667EC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Jeigu pozicijoms taikomas dvigubo įsipareigojimų neįvykdymo vertinimas, atskleidžiamas LGD – tai vertė, pasirinkta pagal Reglamento (ES) Nr. 575/2013 161 straipsnio 4 dalį.</w:t>
            </w:r>
          </w:p>
          <w:p w14:paraId="7A98367D" w14:textId="671A714E"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lastRenderedPageBreak/>
              <w:t>Pozicijų esant įsipareigojimų neįvykdymui pagal A-IRB metodą atveju atsižvelgiama į Reglamento (ES) Nr. 575/2013 181 straipsnio 1 dalies h punkto nuostatas. Atskleidžiamas LGD atitinka LGD įvertį esant įsipareigojimų neįvykdymui.</w:t>
            </w:r>
          </w:p>
        </w:tc>
      </w:tr>
      <w:tr w:rsidR="00F43911" w:rsidRPr="007F4CC8" w14:paraId="63804F3F" w14:textId="77777777" w:rsidTr="004F3087">
        <w:trPr>
          <w:trHeight w:val="680"/>
        </w:trPr>
        <w:tc>
          <w:tcPr>
            <w:tcW w:w="1384" w:type="dxa"/>
          </w:tcPr>
          <w:p w14:paraId="14948764" w14:textId="77777777" w:rsidR="00F43911" w:rsidRPr="007F4CC8" w:rsidRDefault="00F43911" w:rsidP="004F3087">
            <w:pPr>
              <w:pStyle w:val="Applicationdirecte"/>
              <w:spacing w:before="0" w:after="240"/>
              <w:jc w:val="center"/>
            </w:pPr>
            <w:r>
              <w:lastRenderedPageBreak/>
              <w:t>e</w:t>
            </w:r>
          </w:p>
        </w:tc>
        <w:tc>
          <w:tcPr>
            <w:tcW w:w="7655" w:type="dxa"/>
            <w:vAlign w:val="center"/>
          </w:tcPr>
          <w:p w14:paraId="211ACBAA"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Pozicijų vidutinis svertinis terminas (metais)</w:t>
            </w:r>
          </w:p>
          <w:p w14:paraId="1C040569"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Įsipareigojančiojo asmens terminų vidurkis metais, įvertintas pagal jų atitinkamą pozicijų vertę, nurodytą šios formos a skiltyje.</w:t>
            </w:r>
          </w:p>
          <w:p w14:paraId="61506003" w14:textId="7C79B57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Nurodoma termino vertė yra nustatoma pagal Reglamento (ES) Nr. 575/2013 162 straipsnį.</w:t>
            </w:r>
          </w:p>
        </w:tc>
      </w:tr>
      <w:tr w:rsidR="00F43911" w:rsidRPr="007F4CC8" w14:paraId="2E8E0E01" w14:textId="77777777" w:rsidTr="004F3087">
        <w:trPr>
          <w:trHeight w:val="680"/>
        </w:trPr>
        <w:tc>
          <w:tcPr>
            <w:tcW w:w="1384" w:type="dxa"/>
          </w:tcPr>
          <w:p w14:paraId="4C6CFCE7" w14:textId="77777777" w:rsidR="00F43911" w:rsidRPr="007F4CC8" w:rsidRDefault="00F43911" w:rsidP="004F3087">
            <w:pPr>
              <w:pStyle w:val="Applicationdirecte"/>
              <w:spacing w:before="0" w:after="240"/>
              <w:jc w:val="center"/>
            </w:pPr>
            <w:r>
              <w:t>f</w:t>
            </w:r>
          </w:p>
        </w:tc>
        <w:tc>
          <w:tcPr>
            <w:tcW w:w="7655" w:type="dxa"/>
            <w:vAlign w:val="center"/>
          </w:tcPr>
          <w:p w14:paraId="0C2EFBA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RWEA</w:t>
            </w:r>
          </w:p>
          <w:p w14:paraId="0179891F" w14:textId="5A822C45"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Pagal riziką įvertintų pozicijų sumos, apskaičiuotos pagal reikalavimus, nustatytus Reglamento (ES) Nr. 575/2013 trečios dalies II antraštinės dalies 3 skyriuje; pagal riziką įvertintų centrinės valdžios, centrinių bankų, įstaigų ir įmonių pozicijų suma, apskaičiuota pagal Reglamento (ES) Nr. 575/2013 153 straipsnio 1–4 dalis; atsižvelgiama į MVĮ ir infrastruktūros rėmimo koeficientą, nustatytą pagal Reglamento (ES) Nr. 575/2013 501 ir 501a straipsnius; pagal riziką įvertintų nuosavybės vertybinių popierių pozicijų, kurioms taikomas PD / LGD metodas, suma, apskaičiuota pagal Reglamento (ES) Nr. 575/2013 155 straipsnio 3 dalį</w:t>
            </w:r>
          </w:p>
        </w:tc>
      </w:tr>
      <w:tr w:rsidR="00F43911" w:rsidRPr="007F4CC8" w14:paraId="4DB973B0" w14:textId="77777777" w:rsidTr="004F3087">
        <w:trPr>
          <w:trHeight w:val="680"/>
        </w:trPr>
        <w:tc>
          <w:tcPr>
            <w:tcW w:w="1384" w:type="dxa"/>
          </w:tcPr>
          <w:p w14:paraId="1ABC087F" w14:textId="77777777" w:rsidR="00F43911" w:rsidRPr="007F4CC8" w:rsidRDefault="00F43911" w:rsidP="004F3087">
            <w:pPr>
              <w:pStyle w:val="Applicationdirecte"/>
              <w:spacing w:before="0" w:after="240"/>
              <w:jc w:val="center"/>
            </w:pPr>
            <w:r>
              <w:t>g</w:t>
            </w:r>
          </w:p>
        </w:tc>
        <w:tc>
          <w:tcPr>
            <w:tcW w:w="7655" w:type="dxa"/>
            <w:vAlign w:val="center"/>
          </w:tcPr>
          <w:p w14:paraId="3A9E9DB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Pagal riziką įvertintų pozicijų sumų tankis</w:t>
            </w:r>
          </w:p>
          <w:p w14:paraId="7215E9DB"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Pagal riziką įvertintų pozicijų sumų bendros sumos (nurodytos šios formos f skiltyje) ir pozicijų vertės (nurodytos šios formos a skiltyje) santykis</w:t>
            </w:r>
          </w:p>
        </w:tc>
      </w:tr>
    </w:tbl>
    <w:p w14:paraId="5E980DF6" w14:textId="77777777" w:rsidR="00F43911" w:rsidRPr="007F4CC8" w:rsidRDefault="00F43911" w:rsidP="00F43911">
      <w:pPr>
        <w:pStyle w:val="Titlelevel2"/>
        <w:spacing w:before="0"/>
        <w:rPr>
          <w:rFonts w:ascii="Times New Roman" w:hAnsi="Times New Roman" w:cs="Times New Roman"/>
          <w:color w:val="auto"/>
          <w:sz w:val="24"/>
          <w:lang w:val="en-GB"/>
        </w:rPr>
      </w:pPr>
    </w:p>
    <w:p w14:paraId="0A5C8D35"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EU CCR5 forma. CCR pozicijų užtikrinimo priemonių sudėtis </w:t>
      </w:r>
      <w:r>
        <w:rPr>
          <w:rFonts w:ascii="Times New Roman" w:hAnsi="Times New Roman"/>
          <w:color w:val="auto"/>
          <w:sz w:val="24"/>
        </w:rPr>
        <w:t>(nustatytosios skiltys)</w:t>
      </w:r>
    </w:p>
    <w:p w14:paraId="1BA1E0E1" w14:textId="5021D3B2"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Pildydamos EBI IT sprendimų XXV priede pateiktą EU CCR5 formą įstaigos atskleidžia Reglamento (ES) Nr. 575/2013 439 straipsnio e punkte nurodytą informaciją, vadovaudamosi toliau šiame priede pateiktais nurodymais.</w:t>
      </w:r>
    </w:p>
    <w:p w14:paraId="2C3CDB2D"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Į šią formą įrašomos užtikrinimo priemonės (pateiktos arba gautos), naudojamos CCR pozicijoms, susijusioms su išvestinių finansinių priemonių sandoriais arba VPĮFS, tikrosios vertės, neatsižvelgiant į tai, ar sandorių tarpuskaitą atlieka PSŠ ir ar užtikrinimo priemonė pateikiama pagrindinei sandorio šaliai. </w:t>
      </w:r>
    </w:p>
    <w:p w14:paraId="35B1131B"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Jeigu valstybės narės centrinis bankas įsipareigoja teikti paramą likvidumui padidinti, kuri yra užtikrinimo priemone padengti apsikeitimo sandoriai, kompetentinga institucija gali įstaigai netaikyti prievolės pateikti informaciją šioje formoje, jeigu mano, kad atskleidžiant šią informaciją galėtų būti atskleista informacija apie teikiamą skubią paramą likvidumui padidinti. Šiais tikslais kompetentinga institucija nustato atitinkamas ribas ir objektyvius kriterijus.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2F3E6D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6D0C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Nuorodos į teisės aktus ir nurodymai</w:t>
            </w:r>
          </w:p>
        </w:tc>
      </w:tr>
      <w:tr w:rsidR="00F43911" w:rsidRPr="007F4CC8" w14:paraId="32B68885" w14:textId="77777777" w:rsidTr="004F3087">
        <w:trPr>
          <w:trHeight w:val="238"/>
        </w:trPr>
        <w:tc>
          <w:tcPr>
            <w:tcW w:w="1384" w:type="dxa"/>
            <w:shd w:val="clear" w:color="auto" w:fill="D9D9D9" w:themeFill="background1" w:themeFillShade="D9"/>
          </w:tcPr>
          <w:p w14:paraId="61EC8932"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lastRenderedPageBreak/>
              <w:t>Eilutės numeris</w:t>
            </w:r>
          </w:p>
        </w:tc>
        <w:tc>
          <w:tcPr>
            <w:tcW w:w="7655" w:type="dxa"/>
            <w:shd w:val="clear" w:color="auto" w:fill="D9D9D9" w:themeFill="background1" w:themeFillShade="D9"/>
          </w:tcPr>
          <w:p w14:paraId="4A5825F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Paaiškinimas</w:t>
            </w:r>
          </w:p>
        </w:tc>
      </w:tr>
      <w:tr w:rsidR="00F43911" w:rsidRPr="007F4CC8" w14:paraId="40BB2DFC" w14:textId="77777777" w:rsidTr="004F3087">
        <w:trPr>
          <w:trHeight w:val="680"/>
        </w:trPr>
        <w:tc>
          <w:tcPr>
            <w:tcW w:w="1384" w:type="dxa"/>
          </w:tcPr>
          <w:p w14:paraId="1FA02AD6" w14:textId="77777777" w:rsidR="00F43911" w:rsidRPr="007F4CC8" w:rsidRDefault="00F43911" w:rsidP="004F3087">
            <w:pPr>
              <w:pStyle w:val="Applicationdirecte"/>
              <w:spacing w:before="0" w:after="240"/>
              <w:jc w:val="center"/>
            </w:pPr>
            <w:r>
              <w:t>1–8</w:t>
            </w:r>
          </w:p>
        </w:tc>
        <w:tc>
          <w:tcPr>
            <w:tcW w:w="7655" w:type="dxa"/>
            <w:vAlign w:val="center"/>
          </w:tcPr>
          <w:p w14:paraId="5E982962" w14:textId="77777777" w:rsidR="00F43911" w:rsidRPr="00BC5D5C"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Užtikrinimo priemonės rūšis</w:t>
            </w:r>
          </w:p>
          <w:p w14:paraId="0E78860C"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Suskirstymas pagal užtikrinimo priemonės rūšį</w:t>
            </w:r>
          </w:p>
        </w:tc>
      </w:tr>
      <w:tr w:rsidR="00F43911" w:rsidRPr="007F4CC8" w14:paraId="2B9EF130" w14:textId="77777777" w:rsidTr="004F3087">
        <w:trPr>
          <w:trHeight w:val="680"/>
        </w:trPr>
        <w:tc>
          <w:tcPr>
            <w:tcW w:w="1384" w:type="dxa"/>
          </w:tcPr>
          <w:p w14:paraId="67DFFC27" w14:textId="77777777" w:rsidR="00F43911" w:rsidRPr="007F4CC8" w:rsidRDefault="00F43911" w:rsidP="004F3087">
            <w:pPr>
              <w:pStyle w:val="Applicationdirecte"/>
              <w:spacing w:before="0" w:after="240"/>
              <w:jc w:val="center"/>
            </w:pPr>
            <w:r>
              <w:t>9</w:t>
            </w:r>
          </w:p>
        </w:tc>
        <w:tc>
          <w:tcPr>
            <w:tcW w:w="7655" w:type="dxa"/>
          </w:tcPr>
          <w:p w14:paraId="16D95BAE" w14:textId="77777777" w:rsidR="00F43911" w:rsidRPr="00BC5D5C" w:rsidRDefault="00F43911" w:rsidP="004F3087">
            <w:pPr>
              <w:spacing w:after="240"/>
              <w:rPr>
                <w:rFonts w:ascii="Times New Roman" w:eastAsia="Times New Roman" w:hAnsi="Times New Roman" w:cs="Times New Roman"/>
                <w:b/>
                <w:sz w:val="24"/>
              </w:rPr>
            </w:pPr>
            <w:r>
              <w:rPr>
                <w:rFonts w:ascii="Times New Roman" w:hAnsi="Times New Roman"/>
                <w:b/>
                <w:sz w:val="24"/>
              </w:rPr>
              <w:t>Iš viso</w:t>
            </w:r>
          </w:p>
        </w:tc>
      </w:tr>
      <w:tr w:rsidR="00F43911" w:rsidRPr="007F4CC8" w14:paraId="61AFE27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78326" w14:textId="77777777" w:rsidR="00F43911" w:rsidRPr="007F4CC8" w:rsidRDefault="00F43911" w:rsidP="004F3087">
            <w:pPr>
              <w:pStyle w:val="Applicationdirecte"/>
              <w:spacing w:before="0" w:after="240"/>
              <w:jc w:val="center"/>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F11EF"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Paaiškinimas</w:t>
            </w:r>
          </w:p>
        </w:tc>
      </w:tr>
      <w:tr w:rsidR="00F43911" w:rsidRPr="007F4CC8" w14:paraId="1561EBA0" w14:textId="77777777" w:rsidTr="004F3087">
        <w:trPr>
          <w:trHeight w:val="416"/>
        </w:trPr>
        <w:tc>
          <w:tcPr>
            <w:tcW w:w="1384" w:type="dxa"/>
          </w:tcPr>
          <w:p w14:paraId="338F53CF" w14:textId="77777777" w:rsidR="00F43911" w:rsidRPr="007F4CC8" w:rsidRDefault="00F43911" w:rsidP="004F3087">
            <w:pPr>
              <w:pStyle w:val="Applicationdirecte"/>
              <w:spacing w:before="0" w:after="240"/>
              <w:jc w:val="center"/>
            </w:pPr>
            <w:r>
              <w:t>a, c, e ir g</w:t>
            </w:r>
          </w:p>
        </w:tc>
        <w:tc>
          <w:tcPr>
            <w:tcW w:w="7655" w:type="dxa"/>
            <w:vAlign w:val="center"/>
          </w:tcPr>
          <w:p w14:paraId="1C8EF39C"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Atskirta</w:t>
            </w:r>
          </w:p>
          <w:p w14:paraId="33245F1F" w14:textId="6699E1D8"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Užtikrinimo priemonė, laikoma kaip neliečiama bankroto atveju, kaip apibrėžta Reglamento (ES) Nr. 575/2013 300 straipsnio 1 dalyje</w:t>
            </w:r>
          </w:p>
        </w:tc>
      </w:tr>
      <w:tr w:rsidR="00F43911" w:rsidRPr="007F4CC8" w14:paraId="7FF41939" w14:textId="77777777" w:rsidTr="004F3087">
        <w:trPr>
          <w:trHeight w:val="680"/>
        </w:trPr>
        <w:tc>
          <w:tcPr>
            <w:tcW w:w="1384" w:type="dxa"/>
          </w:tcPr>
          <w:p w14:paraId="689917EA" w14:textId="77777777" w:rsidR="00F43911" w:rsidRPr="007F4CC8" w:rsidRDefault="00F43911" w:rsidP="004F3087">
            <w:pPr>
              <w:pStyle w:val="Applicationdirecte"/>
              <w:spacing w:before="0" w:after="240"/>
              <w:jc w:val="center"/>
            </w:pPr>
            <w:r>
              <w:t>b, d, f ir h</w:t>
            </w:r>
          </w:p>
        </w:tc>
        <w:tc>
          <w:tcPr>
            <w:tcW w:w="7655" w:type="dxa"/>
            <w:vAlign w:val="center"/>
          </w:tcPr>
          <w:p w14:paraId="54374E17"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Neatskirta</w:t>
            </w:r>
          </w:p>
          <w:p w14:paraId="68BB9947" w14:textId="3879F65C"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Užtikrinimo priemonė, kuri nėra laikoma kaip neliečiama bankroto atveju, kaip apibrėžta Reglamento (ES) Nr. 575/2013 300 straipsnio 1 dalyje</w:t>
            </w:r>
          </w:p>
        </w:tc>
      </w:tr>
      <w:tr w:rsidR="00F43911" w:rsidRPr="007F4CC8" w14:paraId="432D8F5C" w14:textId="77777777" w:rsidTr="004F3087">
        <w:trPr>
          <w:trHeight w:val="680"/>
        </w:trPr>
        <w:tc>
          <w:tcPr>
            <w:tcW w:w="1384" w:type="dxa"/>
          </w:tcPr>
          <w:p w14:paraId="52789724" w14:textId="77777777" w:rsidR="00F43911" w:rsidRPr="007F4CC8" w:rsidRDefault="00F43911" w:rsidP="004F3087">
            <w:pPr>
              <w:pStyle w:val="Applicationdirecte"/>
              <w:spacing w:before="0" w:after="240"/>
              <w:jc w:val="center"/>
            </w:pPr>
            <w:r>
              <w:t>a–d</w:t>
            </w:r>
          </w:p>
        </w:tc>
        <w:tc>
          <w:tcPr>
            <w:tcW w:w="7655" w:type="dxa"/>
            <w:vAlign w:val="center"/>
          </w:tcPr>
          <w:p w14:paraId="774B2E98"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Išvestinių finansinių priemonių sandoriuose naudotos užtikrinimo priemonės</w:t>
            </w:r>
          </w:p>
          <w:p w14:paraId="1A477A5A" w14:textId="507C455F"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Užtikrinimo priemonės (įskaitant pradinės garantinės įmokos ir kintamosios garantinės įmokos užtikrinimo priemonę), naudojamos CCR pozicijoms, susijusioms su bet kuria iš išvestinių finansinių priemonių, išvardytų Reglamento (ES) Nr. 575/2013 II priede, arba ilgalaikiu atsiskaitymo sandoriu pagal to reglamento 271 straipsnio 2 dalį, neatitinkančiu VPĮFS kriterijų</w:t>
            </w:r>
          </w:p>
        </w:tc>
      </w:tr>
      <w:tr w:rsidR="00F43911" w:rsidRPr="007F4CC8" w14:paraId="51EF5990" w14:textId="77777777" w:rsidTr="004F3087">
        <w:trPr>
          <w:trHeight w:val="680"/>
        </w:trPr>
        <w:tc>
          <w:tcPr>
            <w:tcW w:w="1384" w:type="dxa"/>
          </w:tcPr>
          <w:p w14:paraId="45E18CE5" w14:textId="77777777" w:rsidR="00F43911" w:rsidRPr="007F4CC8" w:rsidRDefault="00F43911" w:rsidP="004F3087">
            <w:pPr>
              <w:pStyle w:val="Applicationdirecte"/>
              <w:spacing w:before="0" w:after="240"/>
              <w:jc w:val="center"/>
            </w:pPr>
            <w:r>
              <w:t>e–h</w:t>
            </w:r>
          </w:p>
        </w:tc>
        <w:tc>
          <w:tcPr>
            <w:tcW w:w="7655" w:type="dxa"/>
            <w:vAlign w:val="center"/>
          </w:tcPr>
          <w:p w14:paraId="78E70A2D"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VPĮFS naudotos užtikrinimo priemonės</w:t>
            </w:r>
          </w:p>
          <w:p w14:paraId="527E4A25" w14:textId="77777777"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Užtikrinimo priemonės (įskaitant pradinės garantinės įmokos ir kintamosios garantinės įmokos užtikrinimo priemonę, taip pat VPĮFS užtikrinimo dalies užtikrinimo priemonę), naudojamą CCR pozicijoms, susijusioms su bet kokiu VPĮFS arba ilgalaikiu atsiskaitymo sandoriu, kuris nelaikomas išvestine finansine priemone</w:t>
            </w:r>
          </w:p>
        </w:tc>
      </w:tr>
    </w:tbl>
    <w:p w14:paraId="664BC745" w14:textId="77777777" w:rsidR="00F43911" w:rsidRPr="007F4CC8" w:rsidRDefault="00F43911" w:rsidP="00F43911">
      <w:pPr>
        <w:pStyle w:val="Titlelevel2"/>
        <w:spacing w:before="0"/>
        <w:rPr>
          <w:rFonts w:ascii="Times New Roman" w:hAnsi="Times New Roman" w:cs="Times New Roman"/>
          <w:color w:val="auto"/>
          <w:sz w:val="24"/>
          <w:lang w:val="en-GB"/>
        </w:rPr>
      </w:pPr>
    </w:p>
    <w:p w14:paraId="042899BB" w14:textId="77777777" w:rsidR="00F43911" w:rsidRPr="00DD0C4D"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EU CCR6 forma. Kredito išvestinių finansinių priemonių pozicijos </w:t>
      </w:r>
      <w:r>
        <w:rPr>
          <w:rFonts w:ascii="Times New Roman" w:hAnsi="Times New Roman"/>
          <w:color w:val="auto"/>
          <w:sz w:val="24"/>
        </w:rPr>
        <w:t>(nustatytasis formatas)</w:t>
      </w:r>
    </w:p>
    <w:p w14:paraId="249E517C" w14:textId="75CDD354"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Pildydamos EBI IT sprendimų XXV priede pateiktą EU CCR6 formą įstaigos atskleidžia Reglamento (ES) Nr. 575/2013 439 straipsnio j punkte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2CA197D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8BE83"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Nuorodos į teisės aktus ir nurodymai</w:t>
            </w:r>
          </w:p>
        </w:tc>
      </w:tr>
      <w:tr w:rsidR="00F43911" w:rsidRPr="007F4CC8" w14:paraId="123E5F61" w14:textId="77777777" w:rsidTr="004F3087">
        <w:trPr>
          <w:trHeight w:val="238"/>
        </w:trPr>
        <w:tc>
          <w:tcPr>
            <w:tcW w:w="1384" w:type="dxa"/>
            <w:shd w:val="clear" w:color="auto" w:fill="D9D9D9" w:themeFill="background1" w:themeFillShade="D9"/>
          </w:tcPr>
          <w:p w14:paraId="4E4AA3F7"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lastRenderedPageBreak/>
              <w:t>Eilutės numeris</w:t>
            </w:r>
          </w:p>
        </w:tc>
        <w:tc>
          <w:tcPr>
            <w:tcW w:w="7655" w:type="dxa"/>
            <w:shd w:val="clear" w:color="auto" w:fill="D9D9D9" w:themeFill="background1" w:themeFillShade="D9"/>
          </w:tcPr>
          <w:p w14:paraId="20810F8D"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Paaiškinimas</w:t>
            </w:r>
          </w:p>
        </w:tc>
      </w:tr>
      <w:tr w:rsidR="00F43911" w:rsidRPr="007F4CC8" w14:paraId="5A72954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DDC6D4"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021B4DE" w14:textId="77777777"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 xml:space="preserve">Tariamosios sumos </w:t>
            </w:r>
          </w:p>
          <w:p w14:paraId="68247A3E" w14:textId="77777777" w:rsidR="00F43911" w:rsidRPr="007F4CC8" w:rsidRDefault="00F43911" w:rsidP="004F3087">
            <w:pPr>
              <w:autoSpaceDE w:val="0"/>
              <w:autoSpaceDN w:val="0"/>
              <w:adjustRightInd w:val="0"/>
              <w:spacing w:after="240"/>
              <w:rPr>
                <w:rFonts w:ascii="Times New Roman" w:hAnsi="Times New Roman" w:cs="Times New Roman"/>
                <w:sz w:val="24"/>
              </w:rPr>
            </w:pPr>
            <w:r>
              <w:rPr>
                <w:rFonts w:ascii="Times New Roman" w:hAnsi="Times New Roman"/>
                <w:sz w:val="24"/>
              </w:rPr>
              <w:t>Absoliučių tariamųjų išvestinių finansinių priemonių verčių suma prieš bet kokią užskaitą, suskirstyta pagal produkto rūšį</w:t>
            </w:r>
          </w:p>
        </w:tc>
      </w:tr>
      <w:tr w:rsidR="00F43911" w:rsidRPr="007F4CC8" w14:paraId="69078EC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D6CA0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1F9BC" w14:textId="77777777"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Tikrosios vertės</w:t>
            </w:r>
          </w:p>
          <w:p w14:paraId="43A6974F" w14:textId="77777777" w:rsidR="00F43911" w:rsidRPr="007F4CC8" w:rsidRDefault="00F43911" w:rsidP="004F3087">
            <w:pPr>
              <w:autoSpaceDE w:val="0"/>
              <w:autoSpaceDN w:val="0"/>
              <w:adjustRightInd w:val="0"/>
              <w:spacing w:after="240"/>
              <w:rPr>
                <w:rFonts w:ascii="Times New Roman" w:hAnsi="Times New Roman" w:cs="Times New Roman"/>
                <w:i/>
                <w:sz w:val="24"/>
              </w:rPr>
            </w:pPr>
            <w:r>
              <w:rPr>
                <w:rFonts w:ascii="Times New Roman" w:hAnsi="Times New Roman"/>
                <w:sz w:val="24"/>
              </w:rPr>
              <w:t>Tikrosios vertės, suskirstytos pagal turtą (teigiamos tikrosios vertės) ir įsipareigojimus (neigiamos tikrosios vertės)</w:t>
            </w:r>
          </w:p>
        </w:tc>
      </w:tr>
      <w:tr w:rsidR="00F43911" w:rsidRPr="007F4CC8" w14:paraId="50E63E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C993E" w14:textId="77777777" w:rsidR="00F43911" w:rsidRPr="007F4CC8" w:rsidRDefault="00F43911" w:rsidP="004F3087">
            <w:pPr>
              <w:pStyle w:val="Applicationdirecte"/>
              <w:spacing w:before="0" w:after="240"/>
              <w:jc w:val="center"/>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FC786"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Paaiškinimas</w:t>
            </w:r>
          </w:p>
        </w:tc>
      </w:tr>
      <w:tr w:rsidR="00F43911" w:rsidRPr="007F4CC8" w14:paraId="4640416B"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5ED3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CAB8BE" w14:textId="77777777" w:rsidR="00F43911" w:rsidRPr="00BC5D5C" w:rsidRDefault="00F43911" w:rsidP="004F3087">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Kredito išvestinių finansinių priemonių užtikrinimas</w:t>
            </w:r>
          </w:p>
          <w:p w14:paraId="321E0F5D" w14:textId="63C4245C" w:rsidR="00F43911" w:rsidRPr="007F4CC8" w:rsidRDefault="00F43911" w:rsidP="004F3087">
            <w:pPr>
              <w:autoSpaceDE w:val="0"/>
              <w:autoSpaceDN w:val="0"/>
              <w:adjustRightInd w:val="0"/>
              <w:spacing w:after="240"/>
              <w:jc w:val="both"/>
              <w:rPr>
                <w:rFonts w:ascii="Times New Roman" w:hAnsi="Times New Roman" w:cs="Times New Roman"/>
                <w:b/>
                <w:sz w:val="24"/>
              </w:rPr>
            </w:pPr>
            <w:r>
              <w:rPr>
                <w:rFonts w:ascii="Times New Roman" w:hAnsi="Times New Roman"/>
                <w:sz w:val="24"/>
              </w:rPr>
              <w:t>Įsigytas arba parduotas kredito išvestinių finansinių priemonių užtikrinimas pagal Reglamento (ES) Nr. 575/2013 trečios dalies II antraštinės dalies 6 skyrių</w:t>
            </w:r>
          </w:p>
        </w:tc>
      </w:tr>
    </w:tbl>
    <w:p w14:paraId="2A1A8F86" w14:textId="77777777" w:rsidR="00F43911" w:rsidRPr="007F4CC8" w:rsidRDefault="00F43911" w:rsidP="00F43911">
      <w:pPr>
        <w:pStyle w:val="Titlelevel2"/>
        <w:spacing w:before="0"/>
        <w:rPr>
          <w:rFonts w:ascii="Times New Roman" w:hAnsi="Times New Roman" w:cs="Times New Roman"/>
          <w:color w:val="auto"/>
          <w:sz w:val="24"/>
          <w:lang w:val="en-GB"/>
        </w:rPr>
      </w:pPr>
    </w:p>
    <w:p w14:paraId="5800BF80" w14:textId="77777777"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EU CCR7 forma. CCR pozicijų, kurioms taikomas IMM, RWEA srautų ataskaitos </w:t>
      </w:r>
      <w:r>
        <w:rPr>
          <w:rFonts w:ascii="Times New Roman" w:hAnsi="Times New Roman"/>
          <w:color w:val="auto"/>
          <w:sz w:val="24"/>
        </w:rPr>
        <w:t>(nustatytasis formatas)</w:t>
      </w:r>
    </w:p>
    <w:p w14:paraId="2FBF77B4" w14:textId="7EA8A8C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Pildydamos EBI IT sprendimų XXV priede pateiktą EU CCR7 formą įstaigos atskleidžia Reglamento (ES) Nr. 575/2013 438 straipsnio h punkte nurodytą informaciją, vadovaudamosi toliau šiame priede pateiktais nurodymais.</w:t>
      </w:r>
    </w:p>
    <w:p w14:paraId="5F6004F0" w14:textId="6839AF1F"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Įstaigos, taikančios IMM visų savo CCR pozicijų arba jų dalies pagal riziką įvertintų pozicijų sumoms apskaičiuoti pagal Reglamento (ES) Nr. 575/2013 trečios dalies II antraštinės dalies 6 skyrių, nepriklausomai nuo kredito rizikos vertinimo metodo, taikyto atitinkamiems rizikos koeficientams nustatyti, atskleidžia srautų ataskaitą, kurioje paaiškina išvestinių finansinių priemonių ir VPĮFS pagal IMM taikymo sritį pagal riziką įvertintų pozicijų sumų pokyčius, diferencijuotus pagal pagrindinius veiksnius ir grindžiamus pagrįstais įverčiais.</w:t>
      </w:r>
    </w:p>
    <w:p w14:paraId="01AA4F25" w14:textId="0847242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Į šią formą pagal riziką įvertintų pozicijų sumos, susijusios su CVA rizika (Reglamento (ES) Nr. 575/2013 trečios dalies VI antraštinė dalis) ir pagrindinės sandorio šalies pozicijomis (Reglamento (ES) Nr. 575/2013 trečios dalies II antraštinės dalies 6 skyriaus 9 skirsnis), neįtrauktos.</w:t>
      </w:r>
    </w:p>
    <w:p w14:paraId="7DAAFDC1"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Įstaigos atskleidžia RWEA srautus kaip pokyčius tarp pagal riziką įvertintų pozicijų sumų ataskaitinio laikotarpio pabaigoje (kaip nurodyta toliau šios formos 9 eilutėje) ir pagal riziką įvertintų pozicijų sumų ankstesnio ataskaitinio laikotarpio pabaigoje (kaip nurodyta toliau šios formos 1 eilutėje; jei informacija atskleidžiama kas ketvirtį, naudojami ketvirčio, ėjusio prieš ataskaitinį laikotarpį, pabaigos duomenys). Įstaigos gali papildyti savo atskleidžiamą 3-io ramsčio informaciją pateikdamos tuos pačius duomenis už tris ankstesnius ketvirčius.</w:t>
      </w:r>
    </w:p>
    <w:p w14:paraId="23D5C19D" w14:textId="77777777" w:rsidR="00F43911" w:rsidRPr="007F4CC8" w:rsidRDefault="00F43911" w:rsidP="00F43911">
      <w:pPr>
        <w:pStyle w:val="Titlelevel2"/>
        <w:numPr>
          <w:ilvl w:val="0"/>
          <w:numId w:val="2"/>
        </w:numPr>
        <w:spacing w:before="0"/>
        <w:jc w:val="both"/>
        <w:rPr>
          <w:rFonts w:ascii="Times New Roman" w:hAnsi="Times New Roman"/>
          <w:color w:val="auto"/>
          <w:sz w:val="24"/>
        </w:rPr>
      </w:pPr>
      <w:r>
        <w:rPr>
          <w:rFonts w:ascii="Times New Roman" w:hAnsi="Times New Roman"/>
          <w:color w:val="auto"/>
          <w:sz w:val="24"/>
        </w:rPr>
        <w:lastRenderedPageBreak/>
        <w:t>Įstaigos formos aiškinamosiose pastabose paaiškina šios formos 8 eilutėje atskleistus skaičius, t. y. visus kitus veiksnius, turinčius reikšmingos įtakos RWEA pokyčiams.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4B08B94F"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63A6"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Nuorodos į teisės aktus ir nurodymai</w:t>
            </w:r>
          </w:p>
        </w:tc>
      </w:tr>
      <w:tr w:rsidR="00F43911" w:rsidRPr="007F4CC8" w14:paraId="3CBABF6D" w14:textId="77777777" w:rsidTr="004F3087">
        <w:trPr>
          <w:trHeight w:val="238"/>
        </w:trPr>
        <w:tc>
          <w:tcPr>
            <w:tcW w:w="1384" w:type="dxa"/>
            <w:shd w:val="clear" w:color="auto" w:fill="D9D9D9" w:themeFill="background1" w:themeFillShade="D9"/>
          </w:tcPr>
          <w:p w14:paraId="28B9FC05"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02060A03"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Paaiškinimas</w:t>
            </w:r>
          </w:p>
        </w:tc>
      </w:tr>
      <w:tr w:rsidR="00F43911" w:rsidRPr="007F4CC8" w14:paraId="63EEBD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34E8420" w14:textId="77777777" w:rsidR="00F43911" w:rsidRPr="007F4CC8" w:rsidRDefault="00F43911" w:rsidP="004F3087">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562FB410"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RWEA ankstesnio informacijos atskleidimo laikotarpio pabaigoje</w:t>
            </w:r>
          </w:p>
          <w:p w14:paraId="7F1BADFD"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Pagal riziką įvertintų CCR pozicijų, kurioms taikytas IMM, sumos ankstesnio informacijos atskleidimo laikotarpio pabaigoje.</w:t>
            </w:r>
          </w:p>
        </w:tc>
      </w:tr>
      <w:tr w:rsidR="00F43911" w:rsidRPr="007F4CC8" w14:paraId="7FC32BB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8E86AE8" w14:textId="77777777" w:rsidR="00F43911" w:rsidRPr="007F4CC8" w:rsidRDefault="00F43911" w:rsidP="004F3087">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675A21D7"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Turto dydis</w:t>
            </w:r>
          </w:p>
          <w:p w14:paraId="07D133F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RWEA pokyčiai (teigiami arba neigiami) dėl organinių knygos dydžio ir sudėties pokyčių (įskaitant naujų įmonių atsiradimą ir pozicijų terminų pasibaigimą), išskyrus knygos dydžio pokyčius dėl subjektų įsigijimų ir perleidimų</w:t>
            </w:r>
          </w:p>
        </w:tc>
      </w:tr>
      <w:tr w:rsidR="00F43911" w:rsidRPr="007F4CC8" w14:paraId="5AB9A46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D7048DE" w14:textId="77777777" w:rsidR="00F43911" w:rsidRPr="007F4CC8" w:rsidRDefault="00F43911" w:rsidP="004F3087">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7A85A91"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Sandorio šalių kredito kokybė</w:t>
            </w:r>
          </w:p>
          <w:p w14:paraId="70A7587F"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RWEA pokyčiai (teigiami arba neigiami) dėl pagal kredito rizikos sistemą įvertintos įstaigos sandorio šalių kokybės pokyčių, kad ir kokį metodą įstaiga taiko</w:t>
            </w:r>
          </w:p>
          <w:p w14:paraId="5EFAE89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Į šią eilutę įtraukiami galimi RWEA pokyčiai dėl IRB modelių, jei įstaiga taiko IRB metodą.</w:t>
            </w:r>
          </w:p>
        </w:tc>
      </w:tr>
      <w:tr w:rsidR="00F43911" w:rsidRPr="007F4CC8" w14:paraId="0BEA559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EE5AC96" w14:textId="77777777" w:rsidR="00F43911" w:rsidRPr="007F4CC8" w:rsidRDefault="00F43911" w:rsidP="004F3087">
            <w:pPr>
              <w:pStyle w:val="Applicationdirecte"/>
              <w:spacing w:before="0" w:after="240"/>
              <w:jc w:val="center"/>
            </w:pPr>
            <w:r>
              <w:t>4</w:t>
            </w:r>
          </w:p>
        </w:tc>
        <w:tc>
          <w:tcPr>
            <w:tcW w:w="7655" w:type="dxa"/>
            <w:tcBorders>
              <w:top w:val="single" w:sz="4" w:space="0" w:color="auto"/>
              <w:left w:val="single" w:sz="4" w:space="0" w:color="auto"/>
              <w:bottom w:val="single" w:sz="4" w:space="0" w:color="auto"/>
              <w:right w:val="single" w:sz="4" w:space="0" w:color="auto"/>
            </w:tcBorders>
            <w:vAlign w:val="center"/>
          </w:tcPr>
          <w:p w14:paraId="6C1AB8CD"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Modelio atnaujinimai (tik IMM)</w:t>
            </w:r>
          </w:p>
          <w:p w14:paraId="5830872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RWEA pokyčiai (teigiami arba neigiami) dėl modelio įgyvendinimo, modelio taikymo srities pakeitimų arba kitų pakeitimų, kuriais siekiama šalinti modelio trūkumus</w:t>
            </w:r>
          </w:p>
          <w:p w14:paraId="58BDFEF1"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Šioje eilutėje atspindimi tik IMM pokyčiai.</w:t>
            </w:r>
          </w:p>
        </w:tc>
      </w:tr>
      <w:tr w:rsidR="00F43911" w:rsidRPr="007F4CC8" w14:paraId="34B3658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7E26D3B" w14:textId="77777777" w:rsidR="00F43911" w:rsidRPr="007F4CC8" w:rsidRDefault="00F43911" w:rsidP="004F3087">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04852F14"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Metodika ir politika (tik IMM)</w:t>
            </w:r>
          </w:p>
          <w:p w14:paraId="046BC00D"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RWEA pokyčiai (teigiami arba neigiami) dėl metodinių skaičiavimo pakeitimų, atsiradusių dėl reguliavimo politikos pakeitimų, pvz., naujų taisyklių (tik taikant IMM)</w:t>
            </w:r>
          </w:p>
        </w:tc>
      </w:tr>
      <w:tr w:rsidR="00F43911" w:rsidRPr="007F4CC8" w14:paraId="4121B1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14AA55D" w14:textId="77777777" w:rsidR="00F43911" w:rsidRPr="007F4CC8" w:rsidRDefault="00F43911" w:rsidP="004F3087">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07B6B8E8"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Įsigijimai ir perleidimai</w:t>
            </w:r>
          </w:p>
          <w:p w14:paraId="07E040C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RWEA pokyčiai (teigiami arba neigiami) dėl apskaitos knygų dydžių pokyčių dėl subjektų įsigijimų ir perleidimų</w:t>
            </w:r>
          </w:p>
        </w:tc>
      </w:tr>
      <w:tr w:rsidR="00F43911" w:rsidRPr="007F4CC8" w14:paraId="4A8FFE6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490AC10" w14:textId="77777777" w:rsidR="00F43911" w:rsidRPr="007F4CC8" w:rsidRDefault="00F43911" w:rsidP="004F3087">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7D25B1D5"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Užsienio valiutos kursų pokyčiai</w:t>
            </w:r>
          </w:p>
          <w:p w14:paraId="2A24384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lastRenderedPageBreak/>
              <w:t>RWEA pokyčiai (teigiami arba neigiami) dėl pokyčių, atsirandančių dėl užsienio valiutos perskaičiavimo pokyčių</w:t>
            </w:r>
          </w:p>
        </w:tc>
      </w:tr>
      <w:tr w:rsidR="00F43911" w:rsidRPr="007F4CC8" w14:paraId="29BF8EB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11F332C" w14:textId="77777777" w:rsidR="00F43911" w:rsidRPr="007F4CC8" w:rsidRDefault="00F43911" w:rsidP="004F3087">
            <w:pPr>
              <w:pStyle w:val="Applicationdirecte"/>
              <w:spacing w:before="0" w:after="240"/>
              <w:jc w:val="center"/>
            </w:pPr>
            <w:r>
              <w:lastRenderedPageBreak/>
              <w:t>8</w:t>
            </w:r>
          </w:p>
        </w:tc>
        <w:tc>
          <w:tcPr>
            <w:tcW w:w="7655" w:type="dxa"/>
            <w:tcBorders>
              <w:top w:val="single" w:sz="4" w:space="0" w:color="auto"/>
              <w:left w:val="single" w:sz="4" w:space="0" w:color="auto"/>
              <w:bottom w:val="single" w:sz="4" w:space="0" w:color="auto"/>
              <w:right w:val="single" w:sz="4" w:space="0" w:color="auto"/>
            </w:tcBorders>
            <w:vAlign w:val="center"/>
          </w:tcPr>
          <w:p w14:paraId="74FAE79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Kita</w:t>
            </w:r>
          </w:p>
          <w:p w14:paraId="58936611"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Ši kategorija naudojama siekiant perteikti RWEA pokyčius (teigiamus arba neigiamus), kurių negalima priskirti prie pirmiau nurodytų kategorijų. Šioje eilutėje įstaigos nurodo šių RWEA pokyčių sumą. Prie šios formos pridedamose aiškinamosiose pastabose įstaigos detaliau paaiškina visus kitus reikšmingus veiksnius, lemiančius pagal riziką įvertintų sumų pokyčius per informacijos atskleidimo laikotarpį.</w:t>
            </w:r>
          </w:p>
        </w:tc>
      </w:tr>
      <w:tr w:rsidR="00F43911" w:rsidRPr="007F4CC8" w14:paraId="577B21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4D1E116" w14:textId="77777777" w:rsidR="00F43911" w:rsidRPr="007F4CC8" w:rsidRDefault="00F43911" w:rsidP="004F3087">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72B4D91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RWEA einamojo informacijos atskleidimo laikotarpio pabaigoje</w:t>
            </w:r>
          </w:p>
          <w:p w14:paraId="1EF927DE" w14:textId="77777777" w:rsidR="00F43911" w:rsidRPr="007F4CC8" w:rsidRDefault="00F43911" w:rsidP="004F3087">
            <w:pPr>
              <w:spacing w:after="240"/>
              <w:jc w:val="both"/>
              <w:rPr>
                <w:rFonts w:ascii="Times New Roman" w:hAnsi="Times New Roman" w:cs="Times New Roman"/>
                <w:i/>
                <w:sz w:val="24"/>
              </w:rPr>
            </w:pPr>
            <w:r>
              <w:rPr>
                <w:rFonts w:ascii="Times New Roman" w:hAnsi="Times New Roman"/>
                <w:sz w:val="24"/>
              </w:rPr>
              <w:t>Pagal riziką įvertintų CCR pozicijų, kurioms taikytas IMM, sumos einamojo informacijos atskleidimo laikotarpio pabaigoje</w:t>
            </w:r>
          </w:p>
        </w:tc>
      </w:tr>
      <w:tr w:rsidR="00F43911" w:rsidRPr="007F4CC8" w14:paraId="633E665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BA5767" w14:textId="77777777" w:rsidR="00F43911" w:rsidRPr="005947B9" w:rsidRDefault="00F43911" w:rsidP="004F3087">
            <w:pPr>
              <w:pStyle w:val="Applicationdirecte"/>
              <w:spacing w:before="0" w:after="240"/>
              <w:jc w:val="center"/>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D39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Paaiškinimas</w:t>
            </w:r>
          </w:p>
        </w:tc>
      </w:tr>
      <w:tr w:rsidR="00F43911" w:rsidRPr="007F4CC8" w14:paraId="791172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E9AAF7" w14:textId="77777777" w:rsidR="00F43911" w:rsidRPr="007F4CC8" w:rsidRDefault="00F43911" w:rsidP="004F3087">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E50B3D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RWEA</w:t>
            </w:r>
          </w:p>
        </w:tc>
      </w:tr>
    </w:tbl>
    <w:p w14:paraId="2D6E78B2"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02190422" w14:textId="77777777"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EU CCR8. Pagrindinių sandorio šalių pozicijos </w:t>
      </w:r>
      <w:r>
        <w:rPr>
          <w:rFonts w:ascii="Times New Roman" w:hAnsi="Times New Roman"/>
          <w:color w:val="auto"/>
          <w:sz w:val="24"/>
        </w:rPr>
        <w:t>(nustatytasis formatas)</w:t>
      </w:r>
      <w:r>
        <w:rPr>
          <w:rFonts w:ascii="Times New Roman" w:hAnsi="Times New Roman"/>
          <w:b/>
          <w:color w:val="auto"/>
          <w:sz w:val="24"/>
        </w:rPr>
        <w:t xml:space="preserve"> </w:t>
      </w:r>
    </w:p>
    <w:p w14:paraId="14C03A10" w14:textId="4291866F"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Pildydamos EBI IT sprendimų XXV priede pateiktą EU CCR8 formą įstaigos atskleidžia Reglamento (ES) Nr. 575/2013 439 straipsnio i punkte nurodytą informaciją, vadovaudamosi toliau šiame priede pateiktais nurodymais.</w:t>
      </w:r>
    </w:p>
    <w:p w14:paraId="2D8023A6" w14:textId="13DE5A1F" w:rsidR="00F43911" w:rsidRPr="007F4CC8" w:rsidRDefault="00F43911" w:rsidP="00F43911">
      <w:pPr>
        <w:pStyle w:val="Titlelevel2"/>
        <w:numPr>
          <w:ilvl w:val="0"/>
          <w:numId w:val="2"/>
        </w:numPr>
        <w:spacing w:before="0"/>
        <w:jc w:val="both"/>
        <w:rPr>
          <w:rFonts w:ascii="Times New Roman" w:hAnsi="Times New Roman"/>
          <w:b/>
          <w:color w:val="auto"/>
          <w:sz w:val="24"/>
        </w:rPr>
      </w:pPr>
      <w:r>
        <w:rPr>
          <w:rFonts w:ascii="Times New Roman" w:hAnsi="Times New Roman"/>
          <w:color w:val="000000"/>
          <w:sz w:val="24"/>
        </w:rPr>
        <w:t xml:space="preserve">Pagrindinių sandorio šalių pozicijos – Reglamento (ES) Nr. 575/2013 301 straipsnio 1 dalyje išvardytos sutartys ir sandoriai, pagal kuriuos dar neatsiskaityta su PSŠ, įskaitant su PSŠ susijusių sandorių pozicijas pagal to reglamento 300 straipsnio 2 dalį, kurioms nuosavų lėšų reikalavimai apskaičiuojami pagal to reglamento trečios dalies II antraštinės dalies 6 skyriaus 9 skirsnį.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106736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6BC0"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Nuorodos į teisės aktus ir nurodymai</w:t>
            </w:r>
          </w:p>
        </w:tc>
      </w:tr>
      <w:tr w:rsidR="00F43911" w:rsidRPr="007F4CC8" w14:paraId="6D3E09E0" w14:textId="77777777" w:rsidTr="004F3087">
        <w:trPr>
          <w:trHeight w:val="238"/>
        </w:trPr>
        <w:tc>
          <w:tcPr>
            <w:tcW w:w="1384" w:type="dxa"/>
            <w:shd w:val="clear" w:color="auto" w:fill="D9D9D9" w:themeFill="background1" w:themeFillShade="D9"/>
          </w:tcPr>
          <w:p w14:paraId="6F86EBCB"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2610CABA"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Paaiškinimas</w:t>
            </w:r>
          </w:p>
        </w:tc>
      </w:tr>
      <w:tr w:rsidR="00F43911" w:rsidRPr="007F4CC8" w14:paraId="37AB1FB7" w14:textId="77777777" w:rsidTr="004F3087">
        <w:trPr>
          <w:trHeight w:val="680"/>
        </w:trPr>
        <w:tc>
          <w:tcPr>
            <w:tcW w:w="1384" w:type="dxa"/>
          </w:tcPr>
          <w:p w14:paraId="000DBB15" w14:textId="77777777" w:rsidR="00F43911" w:rsidRPr="007F4CC8" w:rsidRDefault="00F43911" w:rsidP="004F3087">
            <w:pPr>
              <w:pStyle w:val="Applicationdirecte"/>
              <w:spacing w:before="0" w:after="240"/>
              <w:jc w:val="center"/>
            </w:pPr>
            <w:r>
              <w:t>1–10</w:t>
            </w:r>
          </w:p>
        </w:tc>
        <w:tc>
          <w:tcPr>
            <w:tcW w:w="7655" w:type="dxa"/>
            <w:vAlign w:val="center"/>
          </w:tcPr>
          <w:p w14:paraId="29CECCE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Reikalavimus atitinkanti PSŠ</w:t>
            </w:r>
          </w:p>
          <w:p w14:paraId="7D977D34" w14:textId="54340F62"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Reikalavimus atitinkanti pagrindinė sandorio šalis, apibrėžta Reglamento (ES) 575/2013 4 straipsnio 1 dalies 88 punkte</w:t>
            </w:r>
          </w:p>
        </w:tc>
      </w:tr>
      <w:tr w:rsidR="00F43911" w:rsidRPr="007F4CC8" w14:paraId="68B0B77B" w14:textId="77777777" w:rsidTr="004F3087">
        <w:trPr>
          <w:trHeight w:val="680"/>
        </w:trPr>
        <w:tc>
          <w:tcPr>
            <w:tcW w:w="1384" w:type="dxa"/>
          </w:tcPr>
          <w:p w14:paraId="3AEC71A5" w14:textId="77777777" w:rsidR="00F43911" w:rsidRPr="007F4CC8" w:rsidRDefault="00F43911" w:rsidP="004F3087">
            <w:pPr>
              <w:pStyle w:val="Applicationdirecte"/>
              <w:spacing w:before="0" w:after="240"/>
              <w:jc w:val="center"/>
            </w:pPr>
            <w:r>
              <w:lastRenderedPageBreak/>
              <w:t>7 ir 8</w:t>
            </w:r>
          </w:p>
          <w:p w14:paraId="1BD08955" w14:textId="77777777" w:rsidR="00F43911" w:rsidRPr="007F4CC8" w:rsidRDefault="00F43911" w:rsidP="004F3087">
            <w:pPr>
              <w:pStyle w:val="Fait"/>
              <w:spacing w:before="0" w:after="240"/>
              <w:jc w:val="center"/>
            </w:pPr>
            <w:r>
              <w:t>17 ir 18</w:t>
            </w:r>
          </w:p>
        </w:tc>
        <w:tc>
          <w:tcPr>
            <w:tcW w:w="7655" w:type="dxa"/>
            <w:vAlign w:val="center"/>
          </w:tcPr>
          <w:p w14:paraId="2A3132CF" w14:textId="77777777" w:rsidR="00F43911" w:rsidRPr="005947B9" w:rsidRDefault="00F43911" w:rsidP="004F3087">
            <w:pPr>
              <w:keepNext/>
              <w:spacing w:after="240"/>
              <w:jc w:val="both"/>
              <w:rPr>
                <w:rFonts w:ascii="Times New Roman" w:eastAsia="Times New Roman" w:hAnsi="Times New Roman" w:cs="Times New Roman"/>
                <w:b/>
                <w:bCs/>
                <w:sz w:val="24"/>
              </w:rPr>
            </w:pPr>
            <w:r>
              <w:rPr>
                <w:rFonts w:ascii="Times New Roman" w:hAnsi="Times New Roman"/>
                <w:b/>
                <w:sz w:val="24"/>
              </w:rPr>
              <w:t>Pradinė garantinė įmoka</w:t>
            </w:r>
          </w:p>
          <w:p w14:paraId="3C76FA21" w14:textId="6C3EFE50"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Įstaigos atskleidžia kaip pradinę garantinę įmoką, apibrėžtą Reglamento (ES) Nr. 575/2013 4 straipsnio 1 dalies 140 punkte, gautos arba pateiktos užtikrinimo priemonės tikrąsias vertes.</w:t>
            </w:r>
          </w:p>
          <w:p w14:paraId="3B66900B" w14:textId="77777777" w:rsidR="00F43911" w:rsidRPr="007F4CC8" w:rsidRDefault="00F43911" w:rsidP="004F3087">
            <w:pPr>
              <w:keepNext/>
              <w:spacing w:after="240"/>
              <w:jc w:val="both"/>
              <w:rPr>
                <w:rFonts w:ascii="Times New Roman" w:eastAsia="Times New Roman" w:hAnsi="Times New Roman" w:cs="Times New Roman"/>
                <w:i/>
                <w:sz w:val="24"/>
              </w:rPr>
            </w:pPr>
            <w:r>
              <w:rPr>
                <w:rFonts w:ascii="Times New Roman" w:hAnsi="Times New Roman"/>
                <w:sz w:val="24"/>
              </w:rPr>
              <w:t xml:space="preserve">Pildant šią formą, pradinė garantinė įmoka neapima įmokų pagrindinei sandorio šaliai pagal nuostolių pasidalijimo tarpusavyje susitarimus (t. y. tais atvejais, kai PSŠ naudoja pradinę garantinę įmoką nuostoliams paskirstyti tarp tarpuskaitos narių, ši įmoka laikoma įsipareigojimų neįvykdymo fondo pozicija). </w:t>
            </w:r>
          </w:p>
        </w:tc>
      </w:tr>
      <w:tr w:rsidR="00F43911" w:rsidRPr="007F4CC8" w14:paraId="514E9587" w14:textId="77777777" w:rsidTr="004F3087">
        <w:trPr>
          <w:trHeight w:val="680"/>
        </w:trPr>
        <w:tc>
          <w:tcPr>
            <w:tcW w:w="1384" w:type="dxa"/>
          </w:tcPr>
          <w:p w14:paraId="5E7BE072" w14:textId="77777777" w:rsidR="00F43911" w:rsidRPr="007F4CC8" w:rsidRDefault="00F43911" w:rsidP="004F3087">
            <w:pPr>
              <w:pStyle w:val="Applicationdirecte"/>
              <w:spacing w:before="0" w:after="240"/>
              <w:jc w:val="center"/>
            </w:pPr>
            <w:r>
              <w:t>9 ir 19</w:t>
            </w:r>
          </w:p>
        </w:tc>
        <w:tc>
          <w:tcPr>
            <w:tcW w:w="7655" w:type="dxa"/>
            <w:vAlign w:val="center"/>
          </w:tcPr>
          <w:p w14:paraId="515E4B6E"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Iš anksto finansuotos įsipareigojimų neįvykdymo fondo įmokos</w:t>
            </w:r>
          </w:p>
          <w:p w14:paraId="2980A8E2" w14:textId="77777777"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Įstaigų mokama įmoka į PSŠ įsipareigojimų neįvykdymo fondą.</w:t>
            </w:r>
          </w:p>
          <w:p w14:paraId="47DBAB7C" w14:textId="47AF297D"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Įsipareigojimų neįvykdymo fondas yra apibrėžtas Reglamento (ES) Nr. 575/2013 4 straipsnio 1 dalies 89 punkte.</w:t>
            </w:r>
          </w:p>
        </w:tc>
      </w:tr>
      <w:tr w:rsidR="00F43911" w:rsidRPr="007F4CC8" w14:paraId="368249A9" w14:textId="77777777" w:rsidTr="004F3087">
        <w:trPr>
          <w:trHeight w:val="680"/>
        </w:trPr>
        <w:tc>
          <w:tcPr>
            <w:tcW w:w="1384" w:type="dxa"/>
          </w:tcPr>
          <w:p w14:paraId="4ECB41F2" w14:textId="77777777" w:rsidR="00F43911" w:rsidRPr="007F4CC8" w:rsidRDefault="00F43911" w:rsidP="004F3087">
            <w:pPr>
              <w:pStyle w:val="Applicationdirecte"/>
              <w:spacing w:before="0" w:after="240"/>
              <w:jc w:val="center"/>
            </w:pPr>
            <w:r>
              <w:t>20</w:t>
            </w:r>
          </w:p>
        </w:tc>
        <w:tc>
          <w:tcPr>
            <w:tcW w:w="7655" w:type="dxa"/>
            <w:vAlign w:val="center"/>
          </w:tcPr>
          <w:p w14:paraId="66ADBBF3"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Nefinansuojamos įsipareigojimų neįvykdymo fondo įmokos</w:t>
            </w:r>
          </w:p>
          <w:p w14:paraId="32104DB8" w14:textId="25D785F1"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Įmokos, kurias įstaiga, atliekanti tarpuskaitos narės vaidmenį, sutartyje įsipareigojo pateikti PSŠ po to, kai PSŠ išnaudoja savo įsipareigojimų neįvykdymo fondo lėšas nuostoliams, kuriuos ji patyrė vienam arba keliems jos tarpuskaitos nariams neįvykdžius įsipareigojimų, padengti. Įsipareigojimų neįvykdymo fondas yra apibrėžtas Reglamento (ES) Nr. 575/2013 4 straipsnio 1 dalies 89 punkte.</w:t>
            </w:r>
          </w:p>
        </w:tc>
      </w:tr>
      <w:tr w:rsidR="00F43911" w:rsidRPr="007F4CC8" w14:paraId="5E181790" w14:textId="77777777" w:rsidTr="004F3087">
        <w:trPr>
          <w:trHeight w:val="680"/>
        </w:trPr>
        <w:tc>
          <w:tcPr>
            <w:tcW w:w="1384" w:type="dxa"/>
          </w:tcPr>
          <w:p w14:paraId="3F50AC9D" w14:textId="77777777" w:rsidR="00F43911" w:rsidRPr="007F4CC8" w:rsidRDefault="00F43911" w:rsidP="004F3087">
            <w:pPr>
              <w:pStyle w:val="Applicationdirecte"/>
              <w:spacing w:before="0" w:after="240"/>
              <w:jc w:val="center"/>
            </w:pPr>
            <w:r>
              <w:t>7 ir 17</w:t>
            </w:r>
          </w:p>
        </w:tc>
        <w:tc>
          <w:tcPr>
            <w:tcW w:w="7655" w:type="dxa"/>
            <w:vAlign w:val="center"/>
          </w:tcPr>
          <w:p w14:paraId="14FAE32C"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Atskirta</w:t>
            </w:r>
          </w:p>
          <w:p w14:paraId="77E9C42E" w14:textId="77777777" w:rsidR="00F43911" w:rsidRPr="007F4CC8" w:rsidRDefault="00F43911" w:rsidP="004F3087">
            <w:pPr>
              <w:spacing w:after="240"/>
              <w:jc w:val="both"/>
              <w:rPr>
                <w:rFonts w:ascii="Times New Roman" w:eastAsia="Calibri" w:hAnsi="Times New Roman" w:cs="Times New Roman"/>
                <w:sz w:val="24"/>
              </w:rPr>
            </w:pPr>
            <w:r>
              <w:rPr>
                <w:rFonts w:ascii="Times New Roman" w:hAnsi="Times New Roman"/>
                <w:sz w:val="24"/>
              </w:rPr>
              <w:t>Žr. EU CCR5 formoje pateiktą apibrėžtį.</w:t>
            </w:r>
          </w:p>
        </w:tc>
      </w:tr>
      <w:tr w:rsidR="00F43911" w:rsidRPr="007F4CC8" w14:paraId="3243F74D" w14:textId="77777777" w:rsidTr="004F3087">
        <w:trPr>
          <w:trHeight w:val="680"/>
        </w:trPr>
        <w:tc>
          <w:tcPr>
            <w:tcW w:w="1384" w:type="dxa"/>
          </w:tcPr>
          <w:p w14:paraId="5D4CDD15" w14:textId="77777777" w:rsidR="00F43911" w:rsidRPr="007F4CC8" w:rsidRDefault="00F43911" w:rsidP="004F3087">
            <w:pPr>
              <w:pStyle w:val="Applicationdirecte"/>
              <w:spacing w:before="0" w:after="240"/>
              <w:jc w:val="center"/>
            </w:pPr>
            <w:r>
              <w:t>8 ir 18</w:t>
            </w:r>
          </w:p>
        </w:tc>
        <w:tc>
          <w:tcPr>
            <w:tcW w:w="7655" w:type="dxa"/>
            <w:vAlign w:val="center"/>
          </w:tcPr>
          <w:p w14:paraId="68CA4C70"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Neatskirta</w:t>
            </w:r>
          </w:p>
          <w:p w14:paraId="33E34E6A" w14:textId="77777777" w:rsidR="00F43911" w:rsidRPr="007F4CC8" w:rsidRDefault="00F43911" w:rsidP="004F3087">
            <w:pPr>
              <w:spacing w:after="240"/>
              <w:jc w:val="both"/>
              <w:rPr>
                <w:rFonts w:ascii="Times New Roman" w:eastAsia="Calibri" w:hAnsi="Times New Roman" w:cs="Times New Roman"/>
                <w:sz w:val="24"/>
              </w:rPr>
            </w:pPr>
            <w:r>
              <w:rPr>
                <w:rFonts w:ascii="Times New Roman" w:hAnsi="Times New Roman"/>
                <w:sz w:val="24"/>
              </w:rPr>
              <w:t>Žr. EU CCR5 formoje pateiktą apibrėžtį.</w:t>
            </w:r>
          </w:p>
        </w:tc>
      </w:tr>
      <w:tr w:rsidR="00F43911" w:rsidRPr="007F4CC8" w14:paraId="2495062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300B0" w14:textId="77777777" w:rsidR="00F43911" w:rsidRPr="007F4CC8" w:rsidRDefault="00F43911" w:rsidP="004F3087">
            <w:pPr>
              <w:pStyle w:val="Applicationdirecte"/>
              <w:spacing w:before="0" w:after="240"/>
              <w:jc w:val="center"/>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E5738"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Paaiškinimas</w:t>
            </w:r>
          </w:p>
        </w:tc>
      </w:tr>
      <w:tr w:rsidR="00F43911" w:rsidRPr="007F4CC8" w14:paraId="4DE730C0" w14:textId="77777777" w:rsidTr="004F3087">
        <w:trPr>
          <w:trHeight w:val="680"/>
        </w:trPr>
        <w:tc>
          <w:tcPr>
            <w:tcW w:w="1384" w:type="dxa"/>
          </w:tcPr>
          <w:p w14:paraId="0419643B" w14:textId="77777777" w:rsidR="00F43911" w:rsidRPr="007F4CC8" w:rsidRDefault="00F43911" w:rsidP="004F3087">
            <w:pPr>
              <w:pStyle w:val="Applicationdirecte"/>
              <w:spacing w:before="0" w:after="240"/>
              <w:jc w:val="center"/>
            </w:pPr>
            <w:r>
              <w:t>a</w:t>
            </w:r>
          </w:p>
        </w:tc>
        <w:tc>
          <w:tcPr>
            <w:tcW w:w="7655" w:type="dxa"/>
            <w:vAlign w:val="center"/>
          </w:tcPr>
          <w:p w14:paraId="5D26D40B"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Pozicijos vertė</w:t>
            </w:r>
          </w:p>
          <w:p w14:paraId="35A19512" w14:textId="30257E7C"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 xml:space="preserve">Pagal Reglamento (ES) Nr. 575/2013 trečios dalies II antraštinės dalies 4 ir 6 skyriuose nurodytus metodus apskaičiuota sandorių, patenkančių į to reglamento trečios dalies II antraštinės dalies 6 skyriaus 9 skirsnio taikymo sritį, pozicijos vertė, pritaikius atitinkamus koregavimus, numatytus to skirsnio 304, 306 ir 308 straipsniuose. </w:t>
            </w:r>
          </w:p>
          <w:p w14:paraId="12E09CAC" w14:textId="75171097" w:rsidR="00F43911" w:rsidRPr="007F4CC8" w:rsidRDefault="00F43911" w:rsidP="004F3087">
            <w:pPr>
              <w:keepNext/>
              <w:spacing w:after="240"/>
              <w:jc w:val="both"/>
              <w:rPr>
                <w:rFonts w:ascii="Times New Roman" w:eastAsia="Times New Roman" w:hAnsi="Times New Roman" w:cs="Times New Roman"/>
                <w:i/>
                <w:sz w:val="24"/>
              </w:rPr>
            </w:pPr>
            <w:r>
              <w:rPr>
                <w:rFonts w:ascii="Times New Roman" w:hAnsi="Times New Roman"/>
                <w:sz w:val="24"/>
              </w:rPr>
              <w:t xml:space="preserve">Pozicija gali būti prekybos pozicija, kaip apibrėžta Reglamento (ES) 575/2013 4 straipsnio 1 dalies 91 punkte. Atskleidžiama pozicijos vertė yra suma, svarbi apskaičiuojant nuosavų lėšų reikalavimus pagal Reglamento (ES) Nr. 575/2013 trečios dalies II antraštinės dalies 6 skyriaus 9 skirsnį, </w:t>
            </w:r>
            <w:r>
              <w:rPr>
                <w:rFonts w:ascii="Times New Roman" w:hAnsi="Times New Roman"/>
                <w:sz w:val="24"/>
              </w:rPr>
              <w:lastRenderedPageBreak/>
              <w:t>atsižvelgiant į to reglamento 497 straipsnyje nustatytus reikalavimus tame straipsnyje numatytu pereinamuoju laikotarpiu.</w:t>
            </w:r>
          </w:p>
        </w:tc>
      </w:tr>
      <w:tr w:rsidR="00F43911" w:rsidRPr="007F4CC8" w14:paraId="3E896BAB" w14:textId="77777777" w:rsidTr="004F3087">
        <w:trPr>
          <w:trHeight w:val="680"/>
        </w:trPr>
        <w:tc>
          <w:tcPr>
            <w:tcW w:w="1384" w:type="dxa"/>
          </w:tcPr>
          <w:p w14:paraId="39460D6B" w14:textId="77777777" w:rsidR="00F43911" w:rsidRPr="007F4CC8" w:rsidRDefault="00F43911" w:rsidP="004F3087">
            <w:pPr>
              <w:pStyle w:val="Applicationdirecte"/>
              <w:spacing w:before="0" w:after="240"/>
              <w:jc w:val="center"/>
            </w:pPr>
            <w:r>
              <w:lastRenderedPageBreak/>
              <w:t>b</w:t>
            </w:r>
          </w:p>
        </w:tc>
        <w:tc>
          <w:tcPr>
            <w:tcW w:w="7655" w:type="dxa"/>
            <w:vAlign w:val="center"/>
          </w:tcPr>
          <w:p w14:paraId="4F7D894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RWEA</w:t>
            </w:r>
          </w:p>
          <w:p w14:paraId="1E08469B" w14:textId="2290AF23"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Reglamento (ES) Nr. 575/2013 92 straipsnio 3 dalies a punkte nurodytos pagal riziką įvertintų pozicijų sumos, apskaičiuotos pagal to reglamento trečios dalies II antraštinės dalies 6 skyriaus 9 skirsnio 107 straipsnį.</w:t>
            </w:r>
          </w:p>
        </w:tc>
      </w:tr>
    </w:tbl>
    <w:p w14:paraId="38F46446" w14:textId="77777777" w:rsidR="00F43911" w:rsidRPr="007F4CC8" w:rsidRDefault="00F43911" w:rsidP="00F43911">
      <w:pPr>
        <w:pStyle w:val="Titlelevel2"/>
        <w:spacing w:before="0"/>
        <w:rPr>
          <w:rFonts w:ascii="Times New Roman" w:hAnsi="Times New Roman" w:cs="Times New Roman"/>
          <w:color w:val="auto"/>
          <w:sz w:val="24"/>
          <w:lang w:val="en-GB"/>
        </w:rPr>
      </w:pPr>
    </w:p>
    <w:p w14:paraId="12B7B384" w14:textId="77777777" w:rsidR="00993FC2" w:rsidRDefault="00993FC2"/>
    <w:sectPr w:rsidR="00993FC2">
      <w:headerReference w:type="even" r:id="rId10"/>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79FB" w14:textId="77777777" w:rsidR="008F4881" w:rsidRDefault="008F4881" w:rsidP="00F43911">
      <w:r>
        <w:separator/>
      </w:r>
    </w:p>
  </w:endnote>
  <w:endnote w:type="continuationSeparator" w:id="0">
    <w:p w14:paraId="48686D03" w14:textId="77777777" w:rsidR="008F4881" w:rsidRDefault="008F4881" w:rsidP="00F4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40641"/>
      <w:docPartObj>
        <w:docPartGallery w:val="Page Numbers (Bottom of Page)"/>
        <w:docPartUnique/>
      </w:docPartObj>
    </w:sdtPr>
    <w:sdtEndPr>
      <w:rPr>
        <w:noProof/>
      </w:rPr>
    </w:sdtEndPr>
    <w:sdtContent>
      <w:p w14:paraId="30758E19" w14:textId="77777777" w:rsidR="00F43911" w:rsidRDefault="00F43911">
        <w:pPr>
          <w:pStyle w:val="Footer"/>
          <w:jc w:val="right"/>
        </w:pPr>
        <w:r>
          <w:fldChar w:fldCharType="begin"/>
        </w:r>
        <w:r>
          <w:instrText xml:space="preserve"> PAGE   \* MERGEFORMAT </w:instrText>
        </w:r>
        <w:r>
          <w:fldChar w:fldCharType="separate"/>
        </w:r>
        <w:r>
          <w:t>8</w:t>
        </w:r>
        <w:r>
          <w:fldChar w:fldCharType="end"/>
        </w:r>
      </w:p>
    </w:sdtContent>
  </w:sdt>
  <w:p w14:paraId="28D91080" w14:textId="77777777" w:rsidR="00F43911" w:rsidRDefault="00F43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87706" w14:textId="77777777" w:rsidR="008F4881" w:rsidRDefault="008F4881" w:rsidP="00F43911">
      <w:r>
        <w:separator/>
      </w:r>
    </w:p>
  </w:footnote>
  <w:footnote w:type="continuationSeparator" w:id="0">
    <w:p w14:paraId="2A6C6F9F" w14:textId="77777777" w:rsidR="008F4881" w:rsidRDefault="008F4881" w:rsidP="00F43911">
      <w:r>
        <w:continuationSeparator/>
      </w:r>
    </w:p>
  </w:footnote>
  <w:footnote w:id="1">
    <w:p w14:paraId="4BEF01B5" w14:textId="7B31B879" w:rsidR="00F43911" w:rsidRPr="00222AAB" w:rsidRDefault="00F43911" w:rsidP="00F43911">
      <w:pPr>
        <w:pStyle w:val="FootnoteText"/>
        <w:rPr>
          <w:rFonts w:cstheme="minorHAnsi"/>
        </w:rPr>
      </w:pPr>
      <w:r>
        <w:rPr>
          <w:rStyle w:val="FootnoteReference"/>
          <w:rFonts w:cstheme="minorHAnsi"/>
        </w:rPr>
        <w:footnoteRef/>
      </w:r>
      <w:r>
        <w:tab/>
        <w:t>2013 m. birželio 26 d. Europos Parlamento ir Tarybos reglamentas (ES) Nr. 575/2013 dėl riziką ribojančių reikalavimų kredito įstaigoms, kuriuo iš dalies keičiamas Reglamentas (ES) Nr. 648/2012, su pakeitimais, padarytais Reglamentu (ES) 2024/1623, (</w:t>
      </w:r>
      <w:hyperlink r:id="rId1" w:history="1">
        <w:r>
          <w:rPr>
            <w:rStyle w:val="Hyperlink"/>
            <w:color w:val="800080"/>
          </w:rPr>
          <w:t>OL L 176, 2013 6 27, p. 1;</w:t>
        </w:r>
      </w:hyperlink>
      <w:r>
        <w:rPr>
          <w:color w:val="800080"/>
          <w:u w:val="single"/>
        </w:rPr>
        <w:t xml:space="preserve"> </w:t>
      </w:r>
      <w:hyperlink r:id="rId2" w:history="1">
        <w:r>
          <w:rPr>
            <w:rStyle w:val="Hyperlink"/>
          </w:rPr>
          <w:t>Reglamentas (ES) 2024/1623 - LT - EUR-Lex (europa.eu)</w:t>
        </w:r>
      </w:hyperlink>
      <w:r>
        <w:rPr>
          <w:color w:val="444444"/>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6C42" w14:textId="0C7B97D6" w:rsidR="00532BBF" w:rsidRDefault="00532BBF">
    <w:pPr>
      <w:pStyle w:val="Header"/>
    </w:pPr>
    <w:r>
      <w:rPr>
        <w:noProof/>
      </w:rPr>
      <mc:AlternateContent>
        <mc:Choice Requires="wps">
          <w:drawing>
            <wp:anchor distT="0" distB="0" distL="0" distR="0" simplePos="0" relativeHeight="251659264" behindDoc="0" locked="0" layoutInCell="1" allowOverlap="1" wp14:anchorId="7C7C9B1F" wp14:editId="66BC1432">
              <wp:simplePos x="635" y="635"/>
              <wp:positionH relativeFrom="page">
                <wp:align>left</wp:align>
              </wp:positionH>
              <wp:positionV relativeFrom="page">
                <wp:align>top</wp:align>
              </wp:positionV>
              <wp:extent cx="443865" cy="443865"/>
              <wp:effectExtent l="0" t="0" r="3175" b="4445"/>
              <wp:wrapNone/>
              <wp:docPr id="21150069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B08EA5" w14:textId="635D4341" w:rsidR="00532BBF" w:rsidRPr="00532BBF" w:rsidRDefault="00532BBF" w:rsidP="00532BBF">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C7C9B1F"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6FB08EA5" w14:textId="635D4341"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0DF0" w14:textId="6BDBAB63" w:rsidR="00532BBF" w:rsidRDefault="00532BBF">
    <w:pPr>
      <w:pStyle w:val="Header"/>
    </w:pPr>
    <w:r>
      <w:rPr>
        <w:noProof/>
      </w:rPr>
      <mc:AlternateContent>
        <mc:Choice Requires="wps">
          <w:drawing>
            <wp:anchor distT="0" distB="0" distL="0" distR="0" simplePos="0" relativeHeight="251660288" behindDoc="0" locked="0" layoutInCell="1" allowOverlap="1" wp14:anchorId="654AF2C4" wp14:editId="236AFA69">
              <wp:simplePos x="914400" y="447675"/>
              <wp:positionH relativeFrom="page">
                <wp:align>left</wp:align>
              </wp:positionH>
              <wp:positionV relativeFrom="page">
                <wp:align>top</wp:align>
              </wp:positionV>
              <wp:extent cx="443865" cy="443865"/>
              <wp:effectExtent l="0" t="0" r="3175" b="4445"/>
              <wp:wrapNone/>
              <wp:docPr id="8285696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B00D7" w14:textId="6D3C2832" w:rsidR="00532BBF" w:rsidRPr="00532BBF" w:rsidRDefault="00532BBF" w:rsidP="00532BBF">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54AF2C4"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7B5B00D7" w14:textId="6D3C2832"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8AD9" w14:textId="3BDEDAC3" w:rsidR="00532BBF" w:rsidRDefault="00532BBF">
    <w:pPr>
      <w:pStyle w:val="Header"/>
    </w:pPr>
    <w:r>
      <w:rPr>
        <w:noProof/>
      </w:rPr>
      <mc:AlternateContent>
        <mc:Choice Requires="wps">
          <w:drawing>
            <wp:anchor distT="0" distB="0" distL="0" distR="0" simplePos="0" relativeHeight="251658240" behindDoc="0" locked="0" layoutInCell="1" allowOverlap="1" wp14:anchorId="6F7B3877" wp14:editId="2CC51CFC">
              <wp:simplePos x="635" y="635"/>
              <wp:positionH relativeFrom="page">
                <wp:align>left</wp:align>
              </wp:positionH>
              <wp:positionV relativeFrom="page">
                <wp:align>top</wp:align>
              </wp:positionV>
              <wp:extent cx="443865" cy="443865"/>
              <wp:effectExtent l="0" t="0" r="3175" b="4445"/>
              <wp:wrapNone/>
              <wp:docPr id="16990109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51D1" w14:textId="2F36AB80" w:rsidR="00532BBF" w:rsidRPr="00532BBF" w:rsidRDefault="00532BBF" w:rsidP="00532BBF">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F7B3877"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7B1351D1" w14:textId="2F36AB80"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273977">
    <w:abstractNumId w:val="0"/>
  </w:num>
  <w:num w:numId="2" w16cid:durableId="288097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D5187"/>
    <w:rsid w:val="000E630B"/>
    <w:rsid w:val="001D5CCE"/>
    <w:rsid w:val="00532BBF"/>
    <w:rsid w:val="006B1D12"/>
    <w:rsid w:val="007D4C3D"/>
    <w:rsid w:val="008F4881"/>
    <w:rsid w:val="00993FC2"/>
    <w:rsid w:val="00AB0BDD"/>
    <w:rsid w:val="00AC0928"/>
    <w:rsid w:val="00CD5187"/>
    <w:rsid w:val="00D50CDF"/>
    <w:rsid w:val="00DD6E68"/>
    <w:rsid w:val="00F43911"/>
    <w:rsid w:val="00F743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F83C63"/>
  <w15:chartTrackingRefBased/>
  <w15:docId w15:val="{567D4A0B-B731-4BD6-ABD1-DB5AD25B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F4391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F43911"/>
    <w:rPr>
      <w:rFonts w:eastAsiaTheme="minorEastAsia"/>
      <w:sz w:val="18"/>
      <w:szCs w:val="18"/>
      <w:lang w:val="lt-L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 w:type="paragraph" w:styleId="Revision">
    <w:name w:val="Revision"/>
    <w:hidden/>
    <w:uiPriority w:val="99"/>
    <w:semiHidden/>
    <w:rsid w:val="00DD6E68"/>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T/TXT/?uri=OJ:L_202401623" TargetMode="External"/><Relationship Id="rId1" Type="http://schemas.openxmlformats.org/officeDocument/2006/relationships/hyperlink" Target="https://eur-lex.europa.eu/legal-content/LT/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AF98D6-CBF7-434A-9A70-030233195C58}">
  <ds:schemaRefs>
    <ds:schemaRef ds:uri="http://schemas.microsoft.com/sharepoint/v3/contenttype/forms"/>
  </ds:schemaRefs>
</ds:datastoreItem>
</file>

<file path=customXml/itemProps2.xml><?xml version="1.0" encoding="utf-8"?>
<ds:datastoreItem xmlns:ds="http://schemas.openxmlformats.org/officeDocument/2006/customXml" ds:itemID="{9BFBD7B6-171B-420E-8750-0F3A5E433B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374AF28-B4DF-4403-9FE0-75603217F0C9}"/>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21</TotalTime>
  <Pages>16</Pages>
  <Words>4309</Words>
  <Characters>28614</Characters>
  <Application>Microsoft Office Word</Application>
  <DocSecurity>0</DocSecurity>
  <Lines>635</Lines>
  <Paragraphs>322</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VITKUTE Ugne (DGT)</cp:lastModifiedBy>
  <cp:revision>9</cp:revision>
  <dcterms:created xsi:type="dcterms:W3CDTF">2021-03-11T13:24:00Z</dcterms:created>
  <dcterms:modified xsi:type="dcterms:W3CDTF">2024-10-17T13:41:00Z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ClassificationContentMarkingHeaderShapeIds">
    <vt:lpwstr>a207c22,c9b3e9a,4f04c07</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y fmtid="{D5CDD505-2E9C-101B-9397-08002B2CF9AE}" pid="6" name="MSIP_Label_6bd9ddd1-4d20-43f6-abfa-fc3c07406f94_Enabled">
    <vt:lpwstr>true</vt:lpwstr>
  </property>
  <property fmtid="{D5CDD505-2E9C-101B-9397-08002B2CF9AE}" pid="7" name="MSIP_Label_6bd9ddd1-4d20-43f6-abfa-fc3c07406f94_SetDate">
    <vt:lpwstr>2024-09-26T14:31:28Z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f63e2b8b-8eae-40a4-8290-ac7d5722f91f</vt:lpwstr>
  </property>
  <property fmtid="{D5CDD505-2E9C-101B-9397-08002B2CF9AE}" pid="12" name="MSIP_Label_6bd9ddd1-4d20-43f6-abfa-fc3c07406f94_ContentBits">
    <vt:lpwstr>0</vt:lpwstr>
  </property>
</Properties>
</file>