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29B3" w14:textId="77777777" w:rsidR="001A67EA" w:rsidRPr="007F4CC8" w:rsidRDefault="001A67EA" w:rsidP="001A67EA">
      <w:pPr>
        <w:pStyle w:val="Annexetitre"/>
        <w:spacing w:before="0"/>
      </w:pPr>
      <w:r>
        <w:t xml:space="preserve">ANNESS XVIII - Divulgazzjoni tal-użu tat-tekniki ta’ mitigazzjoni tar-riskju ta’ kreditu</w:t>
      </w:r>
    </w:p>
    <w:p w14:paraId="180377C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8177053" w14:textId="77777777" w:rsidR="001A67EA" w:rsidRPr="007F4CC8" w:rsidRDefault="001A67EA" w:rsidP="001A67EA">
      <w:pPr>
        <w:spacing w:after="120"/>
        <w:rPr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Tabella EU CRC – Rekwiżiti ta’ divulgazzjoni kwalitattiva relatati mat-tekniki tas-CRM.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Tabella flessibbli</w:t>
      </w:r>
    </w:p>
    <w:p w14:paraId="163D083B" w14:textId="60F05672" w:rsidR="001A67EA" w:rsidRPr="007F4CC8" w:rsidRDefault="001A67EA" w:rsidP="001A67EA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(a) sa (e) tal-Artikolu 453 tar-Regolament (UE) 575/2013</w:t>
      </w:r>
      <w:r w:rsidRPr="007F4CC8">
        <w:rPr>
          <w:rStyle w:val="FootnoteReference"/>
          <w:rFonts w:ascii="Times New Roman" w:hAnsi="Times New Roman" w:cs="Times New Roman"/>
          <w:sz w:val="24"/>
        </w:rPr>
        <w:footnoteReference w:id="1"/>
      </w:r>
      <w:r>
        <w:rPr>
          <w:sz w:val="24"/>
          <w:rFonts w:ascii="Times New Roman" w:hAnsi="Times New Roman"/>
        </w:rPr>
        <w:t xml:space="preserve"> (“CRR”) billi jsegwu l-istruzzjonijiet ipprovduti hawn taħt f’dan l-Anness sabiex jimlew it-tabella EU CRC li hija ppreżentata fl-Anness XVII tas-soluzzjonijiet tal-IT tal-EBA.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4AD1712D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17E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  <w:p w14:paraId="2309F28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A1416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1A67EA" w:rsidRPr="007F4CC8" w14:paraId="60B868A1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F95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26F67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883"/>
        <w:gridCol w:w="6782"/>
      </w:tblGrid>
      <w:tr w:rsidR="001A67EA" w:rsidRPr="007F4CC8" w14:paraId="6046C957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D92DAC2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5DEF80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453 CRR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DDFD2E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jiddikjaraw informazzjoni dwar il-politiki ta’ netting tagħhom u l-użu tan-netting f’konformità mal-punt (a) tal-Artikolu 453 CRR, l-istituzzjonijiet għandhom jipprovdu deskrizzjoni ċara tal-politiki u tal-proċessi dwar is-CRM li jikkonċernaw il-ftehimiet ta’ netting fil-karta bilanċjali, ta’ netting barra l-karta bilanċjali u l-ftehimiet prinċipali ta’ netting.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għandhom jindikaw ukoll sa liema punt intużaw ftehimiet ta’ netting fil-karta bilanċjali, ta’ netting barra l-karta bilanċjali u ftehimiet prinċipali ta’ netting u l-importanza tagħhom fir-rigward tal-ġestjoni tar-riskju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jistgħu jsemmu b’mod speċjali d-dettalji dwar it-tekniki fl-użu kif ukoll il-pożizzjonijiet koperti minn ftehimiet ta’ netting fil-karta bilanċjali u l-istrumenti finanzjarji inklużi fil-ftehimiet prinċipali ta’ netting.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il-kundizzjonijiet meħtieġa sabiex tiġi żgurata l-effettività ta’ dawn it-tekniki u l-kontrolli fis-seħħ għar-riskju legali jistgħu jiġu deskritti wkoll.</w:t>
            </w:r>
          </w:p>
        </w:tc>
      </w:tr>
      <w:tr w:rsidR="001A67EA" w:rsidRPr="007F4CC8" w14:paraId="088E4178" w14:textId="77777777" w:rsidTr="004F3087">
        <w:trPr>
          <w:trHeight w:val="841"/>
        </w:trPr>
        <w:tc>
          <w:tcPr>
            <w:tcW w:w="1407" w:type="dxa"/>
          </w:tcPr>
          <w:p w14:paraId="16A703B9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883" w:type="dxa"/>
          </w:tcPr>
          <w:p w14:paraId="20468003" w14:textId="77777777" w:rsidR="001A67EA" w:rsidRPr="007F4CC8" w:rsidRDefault="001A67EA" w:rsidP="004F3087">
            <w:pPr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 453</w:t>
            </w:r>
          </w:p>
          <w:p w14:paraId="4BA9C895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GHL</w:t>
            </w:r>
          </w:p>
        </w:tc>
        <w:tc>
          <w:tcPr>
            <w:tcW w:w="6782" w:type="dxa"/>
          </w:tcPr>
          <w:p w14:paraId="4B80DFA2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Bħala parti mid-divulgazzjonijiet tagħhom dwar il-karatteristiċi ewlenin tal-politiki u tal-proċessi tagħhom għall-valwazzjoni u għall-ġestjoni tal-kollateral eliġibbli f’konformità mal-punt (b) tal-Artikolu 453 CRR, l-istituzzjonijiet għandhom jiddikjaraw:</w:t>
            </w:r>
          </w:p>
          <w:p w14:paraId="2A102C16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il-bażi għall-valutazzjoni u għall-evalwazzjoni tal-kollateral mirhun inkluża l-valutazzjoni taċ-ċertezza tad-dritt tat-tekniki tas-CRM;</w:t>
            </w:r>
          </w:p>
          <w:p w14:paraId="4978007D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it-tip ta’ valwazzjoni (valur tas-suq, valur tas-self ipotekarju, tipi oħra ta’ valuri);</w:t>
            </w:r>
          </w:p>
          <w:p w14:paraId="1BB7939A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sa liema punt il-valur ikkalkolat tal-kollateral jitnaqqas b’telf impost;</w:t>
            </w:r>
          </w:p>
          <w:p w14:paraId="6CA64CC4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il-proċess, il-frekwenza u l-metodi fis-seħħ għall-monitoraġġ tal-valur tal-kollateral ipotekarju u ta’ kollateral fiżiku ieħor.</w:t>
            </w:r>
          </w:p>
          <w:p w14:paraId="42DBE288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Barra minn hekk, l-istituzzjonijiet jistgħu jiddikjaraw ukoll jekk hemmx sistema ta’ limiti ta’ skopertura ta’ kreditu fis-seħħ u l-impatt tal-kollateral aċċettat fil-kwantifikazzjoni ta’ dawk il-limiti.</w:t>
            </w:r>
          </w:p>
        </w:tc>
      </w:tr>
      <w:tr w:rsidR="001A67EA" w:rsidRPr="007F4CC8" w:rsidDel="00915DC9" w14:paraId="3A5626B8" w14:textId="77777777" w:rsidTr="004F3087">
        <w:trPr>
          <w:trHeight w:val="973"/>
        </w:trPr>
        <w:tc>
          <w:tcPr>
            <w:tcW w:w="1407" w:type="dxa"/>
          </w:tcPr>
          <w:p w14:paraId="547245B3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883" w:type="dxa"/>
          </w:tcPr>
          <w:p w14:paraId="3EE8CB34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453 CRR</w:t>
            </w:r>
          </w:p>
        </w:tc>
        <w:tc>
          <w:tcPr>
            <w:tcW w:w="6782" w:type="dxa"/>
          </w:tcPr>
          <w:p w14:paraId="03C8684E" w14:textId="77777777" w:rsidR="001A67EA" w:rsidRPr="007F4CC8" w:rsidDel="00915DC9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jiddeskrivu l-kollateral meħud f’konformità mal-punt (c) tal-Artikolu 453 CRR, l-istituzzjonijiet għandhom jipprovdu deskrizzjoni dettaljata tat-tipi ewlenin ta’ kollateral aċċettati sabiex itaffu r-riskju ta’ kreditu, skont it-tip ta’ skoperturi.</w:t>
            </w:r>
          </w:p>
        </w:tc>
      </w:tr>
      <w:tr w:rsidR="001A67EA" w:rsidRPr="007F4CC8" w14:paraId="0B958E6C" w14:textId="77777777" w:rsidTr="004F3087">
        <w:trPr>
          <w:trHeight w:val="1265"/>
        </w:trPr>
        <w:tc>
          <w:tcPr>
            <w:tcW w:w="1407" w:type="dxa"/>
          </w:tcPr>
          <w:p w14:paraId="16182508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883" w:type="dxa"/>
          </w:tcPr>
          <w:p w14:paraId="3751629F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 453 CRR</w:t>
            </w:r>
          </w:p>
        </w:tc>
        <w:tc>
          <w:tcPr>
            <w:tcW w:w="6782" w:type="dxa"/>
          </w:tcPr>
          <w:p w14:paraId="484148E0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Id-deskrizzjoni tat-tipi ewlenin ta’ garanti u ta’ kontropartijiet f’derivattivi ta’ kreditu u l-affidabbiltà kreditizja tagħhom li għandhom jiġu ddikjarati f’konformità mal-punt (d) tal-Artikolu 453 CRR għandha tkopri derivattivi ta’ kreditu użati għall-finijiet tat-tnaqqis tar-rekwiżiti kapitali, esklużi dawk użati bħala parti minn strutturi ta’ titolizzazzjoni sintetiċi.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jistgħu jinkludu wkoll deskrizzjoni tal-metodi użati għar-rikonoxximent tal-effetti tal-garanziji jew tad-derivattivi ta’ kreditu pprovduti mit-tipi ewlenin ta’ garanti u ta’ kontropartijiet.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A67EA" w:rsidRPr="007F4CC8" w14:paraId="45D6C7FC" w14:textId="77777777" w:rsidTr="004F3087">
        <w:trPr>
          <w:trHeight w:val="1405"/>
        </w:trPr>
        <w:tc>
          <w:tcPr>
            <w:tcW w:w="1407" w:type="dxa"/>
          </w:tcPr>
          <w:p w14:paraId="03857EEF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883" w:type="dxa"/>
          </w:tcPr>
          <w:p w14:paraId="3363450E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 453 CRR</w:t>
            </w:r>
          </w:p>
        </w:tc>
        <w:tc>
          <w:tcPr>
            <w:tcW w:w="6782" w:type="dxa"/>
          </w:tcPr>
          <w:p w14:paraId="025D06B4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informazzjoni dwar il-konċentrazzjonijiet tar-riskju tas-suq jew tal-kreditu fis-CRM meħuda f’konformità mal-punt (e) tal-Artikolu 453 CRR, l-istituzzjonijiet għandhom jipprovdu analiżi ta’ kwalunkwe konċentrazzjoni li tirriżulta minħabba l-miżuri tas-CRM u li tista’ twaqqaf lill-istrumenti tas-CRM milli jkunu effettivi.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Il-konċentrazzjonijiet fl-ambitu ta’ dawk id-dikjarazzjonijiet jistgħu jinkludu konċentrazzjonijiet skont it-tip ta’ strument użat bħala kollateral, l-entità (konċentrazzjoni skont it-tip ta’ garanti u l-fornituri ta’ derivattivi ta’ kreditu), is-settur, iż-żona ġeografika, il-munita, il-klassifikazzjoni jew fatturi oħra li potenzjalment jaffettwaw il-valur tal-protezzjoni u b’hekk inaqqsu din il-protezzjoni.</w:t>
            </w:r>
          </w:p>
        </w:tc>
      </w:tr>
    </w:tbl>
    <w:p w14:paraId="5BC2E8E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F6E25BC" w14:textId="77777777" w:rsidR="001A67EA" w:rsidRPr="007F4CC8" w:rsidRDefault="001A67EA" w:rsidP="001A67EA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CR3 — ħarsa ġenerali lejn it-tekniki CRM: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Divulgazzjoni tal-użu tat-tekniki ta’ mitigazzjoni tar-riskju ta’ kreditu.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Mudell fiss.</w:t>
      </w:r>
    </w:p>
    <w:p w14:paraId="1FAA7723" w14:textId="77777777" w:rsidR="001A67EA" w:rsidRPr="007F4CC8" w:rsidRDefault="001A67EA" w:rsidP="001A67EA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 għandha tiddikjara l-informazzjoni msemmija fil-punt (f) tal-Artikolu 453 CRR billi ssegwi l-istruzzjonijiet ipprovduti hawn taħt f’dan l-Anness sabiex timla l-Mudell EU CR3 li huwa ppreżentat fl-Anness XVII ta’ dan ir-Regolament ta’ Implimentazzjoni.</w:t>
      </w:r>
    </w:p>
    <w:p w14:paraId="69A94B62" w14:textId="77777777" w:rsidR="001A67EA" w:rsidRPr="007F4CC8" w:rsidRDefault="001A67EA" w:rsidP="001A67EA">
      <w:pPr>
        <w:spacing w:after="120"/>
        <w:jc w:val="both"/>
        <w:rPr>
          <w:b/>
          <w:iCs/>
          <w:sz w:val="24"/>
          <w:rFonts w:ascii="Times New Roman" w:eastAsia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Dan il-mudell ikopri t-tekniki kollha tas-CRM rikonoxxuti skont il-qafas kontabilistiku applikabbli irrispettivament minn jekk dawn it-tekniki humiex rikonoxxuti skont is-CRR, inklużi, iżda mhux biss, it-tipi kollha ta’ kollateral, il-garanziji finanzjarji u d-derivattivi ta’ kreditu użati għall-iskoperturi koperti kollha, irrispettivament minn jekk jintużax l-approċċ standardizzat jew l-approċċ IRB għall-kalkolu tal-ammont tal-iskopertura ponderat għar-riskju (RWEA).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jissupplimentaw il-mudell b’kummentarju narattiv sabiex jispjegaw kwalunkwe tibdil sinifikanti matul il-perjodu ta’ divulgazzjoni u l-fatturi ewlenin ta’ tali tibdiliet.</w:t>
      </w:r>
    </w:p>
    <w:p w14:paraId="1EBDEE5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3A73F47C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DE74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EA746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1A67EA" w:rsidRPr="007F4CC8" w14:paraId="583C89A3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6FA8A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62A2B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1A67EA" w:rsidRPr="007F4CC8" w14:paraId="35223F05" w14:textId="77777777" w:rsidTr="004F3087">
        <w:trPr>
          <w:trHeight w:val="316"/>
        </w:trPr>
        <w:tc>
          <w:tcPr>
            <w:tcW w:w="1413" w:type="dxa"/>
          </w:tcPr>
          <w:p w14:paraId="2579202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32D2A419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riportat mhux kopert: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5EE349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ta’ skoperturi (netti mill-allowances/indebolimenti) li ma jibbenefikawx minn kwalunkwe teknika tas-CRM, irrispettivament minn jekk din it-teknika hijiex rikonoxxuta skont is-CRR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E635E37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B’mod partikolari, dan jirreferi għal skoperturi li għalihom la ġie mirhun kollateral u lanqas ma ġiet riċevuta garanzija finanzjarja.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 mhux koperta ta’ skopertura parzjalment koperta jew parzjalment iggarantita ma għandhiex tiġi inkluża.</w:t>
            </w:r>
          </w:p>
        </w:tc>
      </w:tr>
      <w:tr w:rsidR="001A67EA" w:rsidRPr="007F4CC8" w14:paraId="475E6E51" w14:textId="77777777" w:rsidTr="004F3087">
        <w:trPr>
          <w:trHeight w:val="316"/>
        </w:trPr>
        <w:tc>
          <w:tcPr>
            <w:tcW w:w="1413" w:type="dxa"/>
          </w:tcPr>
          <w:p w14:paraId="7DD870E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736FBF01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riportat kopert: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0FF840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ta’ skoperturi li għandhom tal-anqas teknika waħda tas-CRM (kollateral, garanziji finanzjarji, derivattivi ta’ kreditu) assoċjata magħhom</w:t>
            </w:r>
          </w:p>
          <w:p w14:paraId="05789AFF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F’każ li l-valur tal-kollateral, tal-garanziji finanzjarji u tad-derivattivi ta’ kreditu li jkopru skopertura jaqbeż l-ammont riportat ta’ dik l-iskopertura, għandhom jiġu inklużi biss il-valuri sal-ammont riportat ta’ dik 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l-ammont riportat ta’ skopertura jaqbeż il-valur tal-kollateral, tal-garanziji finanzjarji u tad-derivattivi ta’ kreditu li jkopru dik l-iskopertura, għandu jiġi inkluż l-ammont riportat sħiħ ta’ dik l-iskopertura.</w:t>
            </w:r>
          </w:p>
          <w:p w14:paraId="7EDEE0AE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Għall-fini tal-kolonni c, d u e li ġejjin, l-allokazzjoni tal-ammont riportat ta’ skoperturi b’aktar minn kopertura waħda għat-tekniki tas-CRM differenti tagħhom issir skont l-ordni ta’ prijorità, billi tibda bit-teknika tas-CRM li mistennija tiġi eżerċitata l-ewwel fil-każ ta’ nuqqas ta’ ħlas, u fil-limiti tal-ammont riportat tal-iskoperturi koperti.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Kwalunkwe parti mill-iskopertura għandha tiġi inkluża f’waħda biss mill-kolonni c, d jew e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A67EA" w:rsidRPr="007F4CC8" w14:paraId="37B3496C" w14:textId="77777777" w:rsidTr="004F3087">
        <w:trPr>
          <w:trHeight w:val="316"/>
        </w:trPr>
        <w:tc>
          <w:tcPr>
            <w:tcW w:w="1413" w:type="dxa"/>
          </w:tcPr>
          <w:p w14:paraId="0CBB040D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7D972C67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minnu kopert b’kollateral: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B8F68C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subsett tal-kolonna b ta’ dan il-mudell u jirrappreżenta l-ammont riportat ta’ skoperturi (netti mill-allowances/indebolimenti) jew partijiet ta’ skoperturi koperti b’kollateral.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skopertura tkun koperta b’kollateral u b’teknika/i oħra tas-CRM li tkun/ikunu mistennija tiġi eżerċitata/jiġu eżerċitati minn qabel fil-każ ta’ nuqqas ta’ ħlas, l-ammont riportat tal-iskopertura koperta bil-kollateral ikun is-sehem li jifdal tal-iskopertura wara kunsiderazzjoni tal-ishma tal-iskoperturi diġà koperti b’tekniki ta’ mitigazzjoni oħrajn, sal-ammont riportat ta’ dik l-iskopertura.</w:t>
            </w:r>
          </w:p>
        </w:tc>
      </w:tr>
      <w:tr w:rsidR="001A67EA" w:rsidRPr="007F4CC8" w14:paraId="50B32400" w14:textId="77777777" w:rsidTr="004F3087">
        <w:trPr>
          <w:trHeight w:val="316"/>
        </w:trPr>
        <w:tc>
          <w:tcPr>
            <w:tcW w:w="1413" w:type="dxa"/>
          </w:tcPr>
          <w:p w14:paraId="741497BC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550E0FE4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minnu kopert b’garanziji finanzjarji: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7847CC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subsett tal-kolonna b ta’ dan il-mudell u jirrappreżenta l-ammont riportat ta’ skoperturi (netti mill-allowances/indebolimenti) jew partijiet ta’ skoperturi koperti b’garanziji.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skopertura tkun koperta b’garanziji u b’tekniki oħra tas-CRM li jkunu mistennija jiġu eżerċitati minn qabel fil-każ ta’ nuqqas ta’ ħlas, l-ammont riportat tal-iskopertura koperta bil-garanziji jkun il-parti li jifdal tal-iskopertura wara kunsiderazzjoni tal-ishma tal-iskopertura diġà koperta b’tekniki ta’ mitigazzjoni oħrajn, sal-ammont riportat ta’ dik l-iskopertura.</w:t>
            </w:r>
          </w:p>
        </w:tc>
      </w:tr>
      <w:tr w:rsidR="001A67EA" w:rsidRPr="007F4CC8" w14:paraId="674417F3" w14:textId="77777777" w:rsidTr="004F3087">
        <w:trPr>
          <w:trHeight w:val="316"/>
        </w:trPr>
        <w:tc>
          <w:tcPr>
            <w:tcW w:w="1413" w:type="dxa"/>
          </w:tcPr>
          <w:p w14:paraId="0378E1B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4" w:type="dxa"/>
          </w:tcPr>
          <w:p w14:paraId="4F7777BA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koperti b’derivattivi ta’ kreditu: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5390365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subsett tal-kolonna d (garanziji finanzjarji) ta’ dan il-mudell u jirrappreżenta l-ammont riportat ta’ skoperturi (netti mill-allowances/indebolimenti) jew partijiet ta’ skoperturi koperti b’derivattivi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skopertura tkun koperta b’derivattivi ta’ kreditu u b’tekniki oħra tas-CRM li jkunu mistennija jiġu eżerċitati minn qabel fil-każ ta’ nuqqas ta’ ħlas, l-ammont riportat tal-iskopertura koperta b’derivattivi ta’ kreditu jkun is-sehem li jifdal tal-iskopertura wara kunsiderazzjoni tal-ishma tal-iskopertura diġà koperta b’tekniki ta’ mitigazzjoni oħrajn, sal-ammont riportat ta’ dik 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3A57B273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1A67EA" w:rsidRPr="007F4CC8" w14:paraId="4ED59B80" w14:textId="77777777" w:rsidTr="004F3087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5B23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725938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1A67EA" w:rsidRPr="007F4CC8" w14:paraId="2D299A07" w14:textId="77777777" w:rsidTr="004F3087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B556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7B9A3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8266"/>
      </w:tblGrid>
      <w:tr w:rsidR="001A67EA" w:rsidRPr="007F4CC8" w14:paraId="67790BED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006C31B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E779E01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u avvanzi</w:t>
            </w:r>
          </w:p>
          <w:p w14:paraId="1DF552E0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“Self u avvanzi” huma strumenti ta’ dejn miżmuma mill-istituzzjonijiet li ma jkunux titoli;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l-entrata tinkludi “self” f’konformità mar-Regolament (UE) 1071/2013 (“ir-Regolament tal-BĊE dwar il-BSI”)</w:t>
            </w:r>
            <w:r w:rsidRPr="007F4CC8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kif ukoll avvanzi li ma jistgħux jiġu kklassifikati bħala “self” f’konformità mar-Regolament tal-BĊE dwar il-BSI, kif definiti fil-paragrafu 32 tal-Parti 1 tal-Anness V tar-Regolament ta’ Implimentazzjoni tal-Kummissjoni (UE) 680/2014</w:t>
            </w:r>
            <w:r w:rsidRPr="007F4CC8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1A67EA" w:rsidRPr="007F4CC8" w14:paraId="04E2555D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B77EA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064C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 ta’ dejn</w:t>
            </w:r>
          </w:p>
          <w:p w14:paraId="64329DF3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Titoli ta’ dejn huma strumenti ta’ dejn miżmuma mill-istituzzjoni maħruġa bħala titoli li mhumiex self skont ir-Regolament BSI tal-BĊE, kif definiti fil-paragrafu 31 tal-Parti 1 tal-Anness V għar-Regolament ta' Implimentazzjoni tal-Kummissjoni (UE) 680/2014.</w:t>
            </w:r>
          </w:p>
        </w:tc>
      </w:tr>
      <w:tr w:rsidR="001A67EA" w:rsidRPr="007F4CC8" w14:paraId="05FBC0A7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7B5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BF67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Totali</w:t>
            </w:r>
          </w:p>
          <w:p w14:paraId="1D5CA391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tal-ammonti fir-ringieli 1 u 2 ta’ dan il-mudell</w:t>
            </w:r>
          </w:p>
        </w:tc>
      </w:tr>
      <w:tr w:rsidR="001A67EA" w:rsidRPr="007F4CC8" w14:paraId="232D94F6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8B61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1D15E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skoperturi li ma jrendux</w:t>
            </w:r>
          </w:p>
          <w:p w14:paraId="3AA9E7C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ma jrendux f’konformità mal-Artikolu 47a CRR</w:t>
            </w:r>
          </w:p>
        </w:tc>
      </w:tr>
      <w:tr w:rsidR="001A67EA" w:rsidRPr="007F4CC8" w14:paraId="1562F9C2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68C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EU-5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51BE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inadempjenti</w:t>
            </w:r>
          </w:p>
          <w:p w14:paraId="6D84A962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inadempjenti f’konformità mal-Artikolu 178 CRR</w:t>
            </w:r>
          </w:p>
        </w:tc>
      </w:tr>
    </w:tbl>
    <w:p w14:paraId="1114435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16865D4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2D174E35" w14:textId="77777777" w:rsidR="00993FC2" w:rsidRDefault="00993FC2" w:rsidP="001A67EA"/>
    <w:sectPr w:rsidR="00993FC2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916F" w14:textId="77777777" w:rsidR="00FE2307" w:rsidRDefault="00FE2307" w:rsidP="001A67EA">
      <w:r>
        <w:separator/>
      </w:r>
    </w:p>
  </w:endnote>
  <w:endnote w:type="continuationSeparator" w:id="0">
    <w:p w14:paraId="6DA24895" w14:textId="77777777" w:rsidR="00FE2307" w:rsidRDefault="00FE2307" w:rsidP="001A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856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45D7D" w14:textId="77777777" w:rsidR="001A67EA" w:rsidRDefault="001A6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2B367C4" w14:textId="77777777" w:rsidR="001A67EA" w:rsidRDefault="001A6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D53A" w14:textId="77777777" w:rsidR="00FE2307" w:rsidRDefault="00FE2307" w:rsidP="001A67EA">
      <w:r>
        <w:separator/>
      </w:r>
    </w:p>
  </w:footnote>
  <w:footnote w:type="continuationSeparator" w:id="0">
    <w:p w14:paraId="308DFB3F" w14:textId="77777777" w:rsidR="00FE2307" w:rsidRDefault="00FE2307" w:rsidP="001A67EA">
      <w:r>
        <w:continuationSeparator/>
      </w:r>
    </w:p>
  </w:footnote>
  <w:footnote w:id="1">
    <w:p w14:paraId="46EBDC9A" w14:textId="0643DC4B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ta’ kreditu u d-ditti tal-investiment u li jemenda r-Regolament (UE) Nru 648/2012, kif emendat bir-Regolament (UE) Nru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Regolament - MT - 2024/1623 - MT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617AD8C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1071/2013 TAL-BANK ĊENTRALI EWROPEW tal-24 ta’ Settembru 2013 dwar il-karta tal-bilanċ ikkonsolidata tas-settur tal-istituzzjonijiet finanzjarji monetarji (BĊE/2013/33) (ĠU L 297, 7.11.2013, p. 1).</w:t>
      </w:r>
    </w:p>
  </w:footnote>
  <w:footnote w:id="3">
    <w:p w14:paraId="40DC675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TA’ IMPLIMENTAZZJONI TAL-KUMMISSJONI (UE) Nru 680/2014 tas-16 ta' April 2014 li jistabbilixxi standards tekniċi ta' implimentazzjoni fir-rigward tar-rappurtar superviżorju ta' istituzzjonijiet skont ir-Regolament (UE) Nru 575/2013 tal-Parlament Ewropew u tal-Kunsill (ĠU L 191, 28.6.2014,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D94" w14:textId="0D45C6BA" w:rsidR="00D03F87" w:rsidRDefault="00D03F87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48E57A27" wp14:editId="38EFA05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1192801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14E2E" w14:textId="6051178C" w:rsidR="00D03F87" w:rsidRPr="00D03F87" w:rsidRDefault="00D03F87" w:rsidP="00D03F8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E57A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4CF14E2E" w14:textId="6051178C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84A0" w14:textId="4D7564CB" w:rsidR="00D03F87" w:rsidRDefault="00D03F87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2BA8A8F2" wp14:editId="73F2E6A4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551966805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3A51A" w14:textId="77519130" w:rsidR="00D03F87" w:rsidRPr="00D03F87" w:rsidRDefault="00D03F87" w:rsidP="00D03F8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A8A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B33A51A" w14:textId="77519130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360" w14:textId="228A2E9F" w:rsidR="00D03F87" w:rsidRDefault="00D03F87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A2B5F7B" wp14:editId="256233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13512796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F4275" w14:textId="46855021" w:rsidR="00D03F87" w:rsidRPr="00D03F87" w:rsidRDefault="00D03F87" w:rsidP="00D03F8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A2B5F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295F4275" w14:textId="46855021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82C49"/>
    <w:rsid w:val="001A67EA"/>
    <w:rsid w:val="00382C49"/>
    <w:rsid w:val="004E6337"/>
    <w:rsid w:val="00993FC2"/>
    <w:rsid w:val="00CA68B1"/>
    <w:rsid w:val="00D03F87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0B00"/>
  <w15:chartTrackingRefBased/>
  <w15:docId w15:val="{10B9F566-ECEB-472F-BF93-6D8F7AA9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EA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1A67EA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1A67EA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1A67EA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1A67EA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1A67EA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1A67E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table" w:styleId="TableProfessional">
    <w:name w:val="Table Professional"/>
    <w:basedOn w:val="TableNormal"/>
    <w:uiPriority w:val="99"/>
    <w:semiHidden/>
    <w:unhideWhenUsed/>
    <w:rsid w:val="001A67EA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7EA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7EA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3137BF-684A-47C7-AB9E-AD4BE43C47AF}"/>
</file>

<file path=customXml/itemProps2.xml><?xml version="1.0" encoding="utf-8"?>
<ds:datastoreItem xmlns:ds="http://schemas.openxmlformats.org/officeDocument/2006/customXml" ds:itemID="{A934157E-7AEB-4CF0-8BFD-234DD5622C23}"/>
</file>

<file path=customXml/itemProps3.xml><?xml version="1.0" encoding="utf-8"?>
<ds:datastoreItem xmlns:ds="http://schemas.openxmlformats.org/officeDocument/2006/customXml" ds:itemID="{B707AAC7-5B5B-43E3-8B10-B329F2BBB5E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7560</Characters>
  <Application>Microsoft Office Word</Application>
  <DocSecurity>0</DocSecurity>
  <Lines>198</Lines>
  <Paragraphs>82</Paragraphs>
  <ScaleCrop>false</ScaleCrop>
  <Company>European Banking Authority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2021-03-11T13:17:00Z</dcterms:created>
  <dcterms:modified xsi:type="dcterms:W3CDTF">2024-09-26T15:08:00Z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18a5b45c,5a12f8e1,20e65855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2024-09-26T15:08:54Z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70db11ff-dbab-49fe-8b5a-723b3ae89617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