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BILAGA XXIV – Offentliggörande av specialutlåning och aktieexponeringar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Mall EU CR10 – Specialutlåning och aktieexponeringar</w:t>
      </w:r>
      <w:r>
        <w:rPr>
          <w:rFonts w:ascii="Times New Roman" w:hAnsi="Times New Roman"/>
          <w:sz w:val="24"/>
        </w:rPr>
        <w:t xml:space="preserve"> Mall med fast format.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Instituten ska offentliggöra den information som avses i artikel 438 e i förordning (EU) nr 575/2013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iCs/>
          <w:sz w:val="24"/>
        </w:rPr>
        <w:t>kapitalkravsförordningen</w:t>
      </w:r>
      <w:r>
        <w:rPr>
          <w:rFonts w:ascii="Times New Roman" w:hAnsi="Times New Roman"/>
          <w:sz w:val="24"/>
        </w:rPr>
        <w:t xml:space="preserve">) genom att följa de instruktioner som anges nedan i denna bilaga för att fylla i mall EU CR10, vilken återfinns i bilaga XXIII till </w:t>
      </w:r>
      <w:proofErr w:type="spellStart"/>
      <w:r>
        <w:rPr>
          <w:rFonts w:ascii="Times New Roman" w:hAnsi="Times New Roman"/>
          <w:sz w:val="24"/>
        </w:rPr>
        <w:t>EBA:s</w:t>
      </w:r>
      <w:proofErr w:type="spellEnd"/>
      <w:r>
        <w:rPr>
          <w:rFonts w:ascii="Times New Roman" w:hAnsi="Times New Roman"/>
          <w:sz w:val="24"/>
        </w:rPr>
        <w:t xml:space="preserve"> it-lösningar. Instituten ska lämna upplysningar om följande: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Information om följande exponeringsslag som utgör specialutlåning som avses i tabell 1 i artikel 153.5: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”Projektfinansiering” i mall EU CR10.1.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”Intäktsgenererande fastigheter och kommersiella fastigheter med hög volatilitet” i mall EU CR10.2.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”Objektfinansiering” i mall EU CR10.3.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”Råvarufinansiering” i mall EU CR10.4.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Information om aktieexponeringar i mall EU 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7632"/>
      </w:tblGrid>
      <w:tr w:rsidR="00A81FD5" w:rsidRPr="007F4CC8" w14:paraId="78CCACB1" w14:textId="77777777" w:rsidTr="0026456D">
        <w:trPr>
          <w:trHeight w:val="90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Kolumnreferens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Rättsliga hänvisningar och instruktioner</w:t>
            </w:r>
          </w:p>
        </w:tc>
      </w:tr>
      <w:tr w:rsidR="00A81FD5" w:rsidRPr="007F4CC8" w14:paraId="7EA5F71F" w14:textId="77777777" w:rsidTr="0026456D">
        <w:trPr>
          <w:trHeight w:val="359"/>
        </w:trPr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3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Förklaring</w:t>
            </w:r>
          </w:p>
        </w:tc>
      </w:tr>
      <w:tr w:rsidR="00A81FD5" w:rsidRPr="007F4CC8" w14:paraId="5BE84BFB" w14:textId="77777777" w:rsidTr="0026456D">
        <w:trPr>
          <w:trHeight w:val="316"/>
        </w:trPr>
        <w:tc>
          <w:tcPr>
            <w:tcW w:w="1435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32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Exponeringar i balansräkningen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Instituten ska offentliggöra exponeringsvärdet för exponeringar i balansräkningen i enlighet med artiklarna 166.1–166.7 och 167.1 i förordning (EU) nr 575/2013.</w:t>
            </w:r>
          </w:p>
        </w:tc>
      </w:tr>
      <w:tr w:rsidR="00A81FD5" w:rsidRPr="007F4CC8" w14:paraId="0D47376E" w14:textId="77777777" w:rsidTr="0026456D">
        <w:trPr>
          <w:trHeight w:val="316"/>
        </w:trPr>
        <w:tc>
          <w:tcPr>
            <w:tcW w:w="1435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32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Exponeringar utanför balansräkningen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Instituten ska offentliggöra exponeringsvärdet för exponeringar utanför balansräkningen i enlighet med artiklarna 166 och 167.2 i förordning (EU) nr 575/2013 utan beaktande av eventuella konverteringsfaktorer som anges i artikel 166.8 eller 166.9 i den förordningen, eller procentsatser som anges i artikel 166.10 i den förordningen.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Exponeringar utanför balansräkningen ska omfatta alla åtagna men ej utnyttjade belopp och alla poster utanför balansräkningen, enligt förteckningen i bilaga I till förordning (EU) nr 575/2013.</w:t>
            </w:r>
          </w:p>
        </w:tc>
      </w:tr>
      <w:tr w:rsidR="00A81FD5" w:rsidRPr="007F4CC8" w14:paraId="348A6D93" w14:textId="77777777" w:rsidTr="0026456D">
        <w:trPr>
          <w:trHeight w:val="316"/>
        </w:trPr>
        <w:tc>
          <w:tcPr>
            <w:tcW w:w="1435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32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Riskvikt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Detta är en fast kolumn för mallarna EU CR 10.1–EU CR 10.4. Den ska inte ändras.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Denna kolumn har fastställts i enlighet med artikel 153.5 i förordning (EU) nr 575/2013 för mallarna EU CR10.1–EU CR10.4.  I fråga om mall EU CR 10.5 är denna kolumn flexibel. Instituten ska tillämpa relevanta riskvikter i enlighet med artiklarna 133.3–133.6 och 495a.3 i förordning (EU) nr 575/2013.</w:t>
            </w:r>
          </w:p>
        </w:tc>
      </w:tr>
      <w:tr w:rsidR="00A81FD5" w:rsidRPr="007F4CC8" w14:paraId="7603C34A" w14:textId="77777777" w:rsidTr="0026456D">
        <w:trPr>
          <w:trHeight w:val="316"/>
        </w:trPr>
        <w:tc>
          <w:tcPr>
            <w:tcW w:w="1435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32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Exponeringsvärde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Exponeringsvärde i enlighet med artikel 166 eller 167 i förordning (EU) nr 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Denna kolumn ska innehålla summan av exponeringsvärdet för exponeringar i och utanför balansräkningen efter konverteringsfaktorer och procentsatser i enlighet med artikel 166.8–166.10 i förordning (EU) nr 575/2013. </w:t>
            </w:r>
          </w:p>
        </w:tc>
      </w:tr>
      <w:tr w:rsidR="00A81FD5" w:rsidRPr="007F4CC8" w14:paraId="101D075B" w14:textId="77777777" w:rsidTr="0026456D">
        <w:trPr>
          <w:trHeight w:val="316"/>
        </w:trPr>
        <w:tc>
          <w:tcPr>
            <w:tcW w:w="1435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(mallarna EU CR10.1–EU CR10.4)</w:t>
            </w:r>
          </w:p>
        </w:tc>
        <w:tc>
          <w:tcPr>
            <w:tcW w:w="7632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Riskvägt exponeringsbelopp (specialutlåningsexponeringar enligt tillsynsklassificeringsmetoden)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Riskvägt exponeringsbelopp beräknat i enlighet med artikel 153.5 i förordning (EU) nr 575/2013, efter stödfaktorer i enlighet med artiklarna 501 och 501a i den förordningen, i relevanta fall.</w:t>
            </w:r>
          </w:p>
        </w:tc>
      </w:tr>
      <w:tr w:rsidR="00A81FD5" w:rsidRPr="007F4CC8" w14:paraId="697C0CA4" w14:textId="77777777" w:rsidTr="0026456D">
        <w:trPr>
          <w:trHeight w:val="316"/>
        </w:trPr>
        <w:tc>
          <w:tcPr>
            <w:tcW w:w="1435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(mallarna EU CR10.1–EU CR10.4)</w:t>
            </w:r>
          </w:p>
        </w:tc>
        <w:tc>
          <w:tcPr>
            <w:tcW w:w="7632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Förväntat förlustbelopp (specialutlåningsexponeringar enligt tillsynsklassificeringsmetoden)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Förväntat förlustbelopp beräknat i enlighet med artikel 158.6 i förordning (EU) nr 575/2013.</w:t>
            </w:r>
          </w:p>
        </w:tc>
      </w:tr>
      <w:tr w:rsidR="00A81FD5" w:rsidRPr="007F4CC8" w14:paraId="4F8B2187" w14:textId="77777777" w:rsidTr="0026456D">
        <w:trPr>
          <w:trHeight w:val="316"/>
        </w:trPr>
        <w:tc>
          <w:tcPr>
            <w:tcW w:w="1435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(mall EU CR10.5)</w:t>
            </w:r>
          </w:p>
        </w:tc>
        <w:tc>
          <w:tcPr>
            <w:tcW w:w="7632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Förväntat förlustbelopp (aktieexponeringar enligt den förenklade riskviktmetoden)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Förväntat förlustbelopp i tillämpliga fall beräknat i enlighet med artikel 158.7 i förordning (EU) nr 575/2013.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Rad nr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Rättsliga hänvisningar och instruktioner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Förklaring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Lagstadgad kategori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Mallarna EU CR10.1–EU 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Lagstadgade kategorier tillämpliga på specialutlåning enligt tillsynsklassificeringsmetoden för varje klass av specialutlåningsexponeringar, såsom specificeras i artikel 153.5 i förordning (EU) nr 575/2013 och i det slutliga utkastet till teknisk standard för tillsyn för tillsynsklassificeringsmetoden.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Kategorier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Mall EU CR10.5 Flexibel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Instituten ska ange relevanta lagstadgade kategorier tillämpliga på aktier i enlighet med artiklarna 133.3–133.6 och 495a.3 i förordning (EU) nr 575/2013.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ab/>
        <w:t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rStyle w:val="Hyperlink"/>
            <w:color w:val="800080"/>
          </w:rPr>
          <w:t>EUT L 176, 27.6.2013, s.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förordning 2024/1623 – SV – EUR-Lex (europa.eu)</w:t>
        </w:r>
      </w:hyperlink>
      <w:r>
        <w:rPr>
          <w:color w:val="444444"/>
        </w:rPr>
        <w:t>[].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6456D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sv-S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356D4-7155-4CBC-AE5B-9CAB9386AF94}"/>
</file>

<file path=customXml/itemProps3.xml><?xml version="1.0" encoding="utf-8"?>
<ds:datastoreItem xmlns:ds="http://schemas.openxmlformats.org/officeDocument/2006/customXml" ds:itemID="{46F91B7F-2E45-4DE8-A002-2A11107AA794}"/>
</file>

<file path=customXml/itemProps4.xml><?xml version="1.0" encoding="utf-8"?>
<ds:datastoreItem xmlns:ds="http://schemas.openxmlformats.org/officeDocument/2006/customXml" ds:itemID="{9C14D805-F584-42F2-80E4-073F814429A0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561</Words>
  <Characters>3204</Characters>
  <Application>Microsoft Office Word</Application>
  <DocSecurity>0</DocSecurity>
  <Lines>97</Lines>
  <Paragraphs>53</Paragraphs>
  <ScaleCrop>false</ScaleCrop>
  <Company>European Banking Authority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LINDGREN Katja (DGT)</cp:lastModifiedBy>
  <cp:revision>15</cp:revision>
  <dcterms:created xsi:type="dcterms:W3CDTF">2021-03-11T13:21:00Z</dcterms:created>
  <dcterms:modified xsi:type="dcterms:W3CDTF">2024-10-18T16:44:00Z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