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3B806" w14:textId="66831D99" w:rsidR="009E7D0C" w:rsidRDefault="009E7D0C" w:rsidP="00A33695">
      <w:pPr>
        <w:jc w:val="center"/>
        <w:rPr>
          <w:rFonts w:ascii="Times New Roman" w:hAnsi="Times New Roman"/>
          <w:sz w:val="24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FI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24333E7A" w14:textId="5EEA2C00" w:rsidR="008D696E" w:rsidRDefault="008D696E" w:rsidP="00A33695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LIITE XLIV</w:t>
      </w:r>
    </w:p>
    <w:p w14:paraId="327777EC" w14:textId="412B4B5A" w:rsidR="002648B0" w:rsidRPr="002A677E" w:rsidRDefault="00D03B1B" w:rsidP="00C87C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Julkistamisohjeet kryptovaroihin liittyviä vastuita varten</w:t>
      </w:r>
    </w:p>
    <w:p w14:paraId="2C40683C" w14:textId="77777777" w:rsidR="00436204" w:rsidRPr="002A677E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4099A354" w14:textId="5F7E540B" w:rsidR="00464F34" w:rsidRPr="00D03B1B" w:rsidRDefault="00D03B1B" w:rsidP="002F1D8D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bookmarkStart w:id="2" w:name="_Toc163551527"/>
      <w:bookmarkEnd w:id="0"/>
      <w:bookmarkEnd w:id="1"/>
      <w:r>
        <w:rPr>
          <w:rFonts w:ascii="Times New Roman" w:hAnsi="Times New Roman"/>
          <w:b/>
          <w:sz w:val="24"/>
          <w:u w:val="none"/>
        </w:rPr>
        <w:t>Lomake EU CAE 1 – Kryptovaroja koskeva lomake</w:t>
      </w:r>
      <w:bookmarkEnd w:id="2"/>
      <w:r>
        <w:rPr>
          <w:rFonts w:ascii="Times New Roman" w:hAnsi="Times New Roman"/>
          <w:b/>
          <w:sz w:val="24"/>
          <w:u w:val="none"/>
        </w:rPr>
        <w:t>.</w:t>
      </w:r>
      <w:r>
        <w:rPr>
          <w:rFonts w:ascii="Times New Roman" w:hAnsi="Times New Roman"/>
          <w:sz w:val="24"/>
          <w:u w:val="none"/>
        </w:rPr>
        <w:t xml:space="preserve"> Vakiomuotoinen lomake.</w:t>
      </w:r>
    </w:p>
    <w:p w14:paraId="041009DD" w14:textId="3EFC441D" w:rsidR="00464F34" w:rsidRPr="0076606B" w:rsidRDefault="00D03B1B" w:rsidP="002F1D8D">
      <w:pPr>
        <w:pStyle w:val="InstructionsText2"/>
        <w:jc w:val="both"/>
      </w:pPr>
      <w:r>
        <w:t>Laitosten on sovellettava jäljempänä olevia ohjeita täyttäessään EPV:n tietoteknisten ratkaisujen liitteessä XLIII olevan lomakkeen EU CAE1 tietojen julkistamiseksi asetuksen (EU) N:o 575/2013</w:t>
      </w:r>
      <w:r w:rsidR="0076606B" w:rsidRPr="0076606B">
        <w:rPr>
          <w:rStyle w:val="FootnoteReference"/>
          <w:rFonts w:ascii="Times New Roman" w:eastAsiaTheme="minorEastAsia" w:hAnsi="Times New Roman"/>
          <w:bCs w:val="0"/>
          <w:color w:val="000000"/>
          <w:sz w:val="24"/>
          <w:szCs w:val="24"/>
          <w:vertAlign w:val="superscript"/>
        </w:rPr>
        <w:footnoteReference w:id="2"/>
      </w:r>
      <w:r>
        <w:t> 501 d artiklan 2 kohdassa tarkoitettujen erityyppisten kryptovaroihin liittyvien vastuiden riskipainotetuista vastuueristä ja omien varojen vaatimuksista.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5"/>
        <w:gridCol w:w="8303"/>
      </w:tblGrid>
      <w:tr w:rsidR="00464F34" w:rsidRPr="002A677E" w14:paraId="05FA098D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76571629" w14:textId="6F36549B" w:rsidR="00464F34" w:rsidRPr="002A677E" w:rsidRDefault="0076606B" w:rsidP="002F1D8D">
            <w:pPr>
              <w:pStyle w:val="InstructionsText"/>
            </w:pPr>
            <w:r>
              <w:t>Lainsäädäntöviitteet ja ohjeet</w:t>
            </w:r>
          </w:p>
        </w:tc>
      </w:tr>
      <w:tr w:rsidR="0076606B" w:rsidRPr="0076606B" w14:paraId="355F95A3" w14:textId="77777777" w:rsidTr="00EA0EB4">
        <w:tc>
          <w:tcPr>
            <w:tcW w:w="1615" w:type="dxa"/>
            <w:shd w:val="clear" w:color="auto" w:fill="CCCCCC"/>
          </w:tcPr>
          <w:p w14:paraId="5227B491" w14:textId="69309BFD" w:rsidR="0076606B" w:rsidRPr="0076606B" w:rsidRDefault="0076606B" w:rsidP="002F1D8D">
            <w:pPr>
              <w:pStyle w:val="InstructionsText"/>
            </w:pPr>
            <w:r>
              <w:t>Sara</w:t>
            </w:r>
            <w:r w:rsidR="00EA0EB4">
              <w:t>k</w:t>
            </w:r>
            <w:r>
              <w:t xml:space="preserve">keen numero </w:t>
            </w:r>
          </w:p>
        </w:tc>
        <w:tc>
          <w:tcPr>
            <w:tcW w:w="8303" w:type="dxa"/>
            <w:shd w:val="clear" w:color="auto" w:fill="CCCCCC"/>
          </w:tcPr>
          <w:p w14:paraId="5846F631" w14:textId="28D78C36" w:rsidR="0076606B" w:rsidRPr="0076606B" w:rsidRDefault="0076606B" w:rsidP="002F1D8D">
            <w:pPr>
              <w:pStyle w:val="InstructionsText"/>
            </w:pPr>
            <w:r>
              <w:t>Selitys</w:t>
            </w:r>
          </w:p>
        </w:tc>
      </w:tr>
      <w:tr w:rsidR="002953A0" w:rsidRPr="0076606B" w14:paraId="11675C2A" w14:textId="77777777" w:rsidTr="00EA0EB4">
        <w:tc>
          <w:tcPr>
            <w:tcW w:w="1615" w:type="dxa"/>
          </w:tcPr>
          <w:p w14:paraId="4BE7CB71" w14:textId="77777777" w:rsidR="002953A0" w:rsidRPr="0076606B" w:rsidRDefault="002953A0" w:rsidP="002F1D8D">
            <w:pPr>
              <w:pStyle w:val="InstructionsText"/>
            </w:pPr>
            <w:r>
              <w:t>a</w:t>
            </w:r>
          </w:p>
        </w:tc>
        <w:tc>
          <w:tcPr>
            <w:tcW w:w="8303" w:type="dxa"/>
          </w:tcPr>
          <w:p w14:paraId="16748558" w14:textId="2EDF205C" w:rsidR="002953A0" w:rsidRPr="0076606B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Vastuuarvo</w:t>
            </w:r>
          </w:p>
          <w:p w14:paraId="3168829C" w14:textId="3F57F48A" w:rsidR="002953A0" w:rsidRPr="0076606B" w:rsidRDefault="002953A0" w:rsidP="002F1D8D">
            <w:pPr>
              <w:pStyle w:val="InstructionsText"/>
            </w:pPr>
            <w:r>
              <w:t>Kryptovaroihin liittyvien vastuiden arvo asetuksen (EU) N:o 575/2013 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501 d artiklan 2 kohdassa</w:t>
            </w:r>
            <w:r>
              <w:t xml:space="preserve"> tarkoitettujen erityyppisten kryptovarojen osalta</w:t>
            </w:r>
            <w:r>
              <w:rPr>
                <w:rStyle w:val="InstructionsTabelleberschrift"/>
              </w:rPr>
              <w:t>.</w:t>
            </w:r>
          </w:p>
        </w:tc>
      </w:tr>
      <w:tr w:rsidR="00E46AC0" w:rsidRPr="0076606B" w14:paraId="25D246EF" w14:textId="77777777" w:rsidTr="00EA0EB4">
        <w:tc>
          <w:tcPr>
            <w:tcW w:w="1615" w:type="dxa"/>
          </w:tcPr>
          <w:p w14:paraId="15D7F3E0" w14:textId="5E6C5043" w:rsidR="0076606B" w:rsidRPr="0076606B" w:rsidRDefault="002953A0" w:rsidP="002F1D8D">
            <w:pPr>
              <w:pStyle w:val="InstructionsText"/>
            </w:pPr>
            <w:r>
              <w:t>b</w:t>
            </w:r>
          </w:p>
        </w:tc>
        <w:tc>
          <w:tcPr>
            <w:tcW w:w="8303" w:type="dxa"/>
          </w:tcPr>
          <w:p w14:paraId="18B3A388" w14:textId="519B3BC9" w:rsidR="00E46AC0" w:rsidRPr="0076606B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Riskipainotetut vastuuerät</w:t>
            </w:r>
          </w:p>
          <w:p w14:paraId="2AB54302" w14:textId="6CD1C0C9" w:rsidR="002953A0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t xml:space="preserve">Asetuksen (EU) N:o 575/2013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501 d artiklan 2 kohta</w:t>
            </w:r>
            <w:r>
              <w:t>.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14:paraId="2EA1E817" w14:textId="7862AD81" w:rsidR="002953A0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t>Asetuksen (EU) N:o 575/2013 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501 d artiklan 2 kohdan f alakohdan mukaisesti lasketut erityyppisten kryptovaroihin liittyvien vastuiden riskipainotetut vastuuerät.</w:t>
            </w:r>
          </w:p>
          <w:p w14:paraId="019E027E" w14:textId="27A9F1F5" w:rsidR="000811A0" w:rsidRPr="0076606B" w:rsidRDefault="000811A0" w:rsidP="002F1D8D">
            <w:pPr>
              <w:pStyle w:val="InstructionsText"/>
            </w:pPr>
          </w:p>
        </w:tc>
      </w:tr>
      <w:tr w:rsidR="0076606B" w:rsidRPr="0076606B" w14:paraId="31E88113" w14:textId="77777777" w:rsidTr="00EA0EB4">
        <w:tc>
          <w:tcPr>
            <w:tcW w:w="1615" w:type="dxa"/>
          </w:tcPr>
          <w:p w14:paraId="276588C9" w14:textId="2559B7BA" w:rsidR="0076606B" w:rsidRDefault="002953A0" w:rsidP="002F1D8D">
            <w:pPr>
              <w:pStyle w:val="InstructionsText"/>
            </w:pPr>
            <w:r>
              <w:t>c</w:t>
            </w:r>
          </w:p>
        </w:tc>
        <w:tc>
          <w:tcPr>
            <w:tcW w:w="8303" w:type="dxa"/>
          </w:tcPr>
          <w:p w14:paraId="1DB08D4E" w14:textId="77777777" w:rsidR="0076606B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Omien varojen vaatimukset </w:t>
            </w:r>
          </w:p>
          <w:p w14:paraId="7787F909" w14:textId="33023A71" w:rsidR="003B6B5F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t xml:space="preserve">Asetuksen (EU) N:o 575/2013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501 d artiklan 2 kohta</w:t>
            </w:r>
            <w:r>
              <w:t>.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14:paraId="7D3D40B6" w14:textId="26A2D5FE" w:rsidR="0076606B" w:rsidRPr="0076606B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Omien varojen vaatimukset, jotka vastaavat erityyppisten kryptovaroihin liittyvien vastuiden riskipainotettuja vastuueriä.</w:t>
            </w:r>
          </w:p>
        </w:tc>
      </w:tr>
    </w:tbl>
    <w:p w14:paraId="310FB6E2" w14:textId="77777777" w:rsidR="00464F34" w:rsidRPr="0076606B" w:rsidRDefault="00464F34" w:rsidP="002F1D8D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95"/>
        <w:gridCol w:w="8123"/>
      </w:tblGrid>
      <w:tr w:rsidR="00D9757A" w:rsidRPr="002A677E" w14:paraId="485D8F4A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57E6B293" w14:textId="77777777" w:rsidR="00D9757A" w:rsidRPr="002A677E" w:rsidRDefault="00D9757A" w:rsidP="002F1D8D">
            <w:pPr>
              <w:pStyle w:val="InstructionsText"/>
            </w:pPr>
            <w:r>
              <w:t>Lainsäädäntöviitteet ja ohjeet</w:t>
            </w:r>
          </w:p>
        </w:tc>
      </w:tr>
      <w:tr w:rsidR="00464F34" w:rsidRPr="0076606B" w14:paraId="511AFFC7" w14:textId="77777777" w:rsidTr="00EA0EB4">
        <w:tc>
          <w:tcPr>
            <w:tcW w:w="1795" w:type="dxa"/>
            <w:shd w:val="clear" w:color="auto" w:fill="CCCCCC"/>
          </w:tcPr>
          <w:p w14:paraId="42E7C874" w14:textId="4DAD3DCD" w:rsidR="00464F34" w:rsidRPr="0076606B" w:rsidRDefault="007106FB" w:rsidP="002F1D8D">
            <w:pPr>
              <w:pStyle w:val="InstructionsText"/>
            </w:pPr>
            <w:r>
              <w:t>Rivinumero</w:t>
            </w:r>
          </w:p>
        </w:tc>
        <w:tc>
          <w:tcPr>
            <w:tcW w:w="8123" w:type="dxa"/>
            <w:shd w:val="clear" w:color="auto" w:fill="CCCCCC"/>
          </w:tcPr>
          <w:p w14:paraId="5101E780" w14:textId="6FFAFB3B" w:rsidR="00464F34" w:rsidRPr="0076606B" w:rsidRDefault="0076606B" w:rsidP="002F1D8D">
            <w:pPr>
              <w:pStyle w:val="InstructionsText"/>
            </w:pPr>
            <w:r>
              <w:t>Selitys</w:t>
            </w:r>
          </w:p>
        </w:tc>
      </w:tr>
      <w:tr w:rsidR="00464F34" w:rsidRPr="0076606B" w14:paraId="4200F5F5" w14:textId="77777777" w:rsidTr="00EA0EB4">
        <w:tc>
          <w:tcPr>
            <w:tcW w:w="1795" w:type="dxa"/>
          </w:tcPr>
          <w:p w14:paraId="13D34CD0" w14:textId="17D414E2" w:rsidR="00464F34" w:rsidRPr="0076606B" w:rsidRDefault="0076606B" w:rsidP="002F1D8D">
            <w:pPr>
              <w:pStyle w:val="InstructionsText"/>
            </w:pPr>
            <w:r>
              <w:t>1</w:t>
            </w:r>
          </w:p>
        </w:tc>
        <w:tc>
          <w:tcPr>
            <w:tcW w:w="8123" w:type="dxa"/>
          </w:tcPr>
          <w:p w14:paraId="6642D329" w14:textId="77777777" w:rsidR="002F1D8D" w:rsidRDefault="00A15ACF" w:rsidP="002F1D8D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</w:pPr>
            <w:r>
              <w:rPr>
                <w:rStyle w:val="cf01"/>
                <w:rFonts w:ascii="Times New Roman" w:hAnsi="Times New Roman"/>
                <w:b/>
                <w:sz w:val="24"/>
              </w:rPr>
              <w:t>Tokenisoidut perinteiset omaisuuserät</w:t>
            </w:r>
          </w:p>
          <w:p w14:paraId="2C368109" w14:textId="5EEDDCF7" w:rsidR="000811A0" w:rsidRPr="0076606B" w:rsidRDefault="000C1FFC" w:rsidP="002F1D8D">
            <w:pPr>
              <w:pStyle w:val="InstructionsText"/>
            </w:pPr>
            <w:r>
              <w:t xml:space="preserve">Asetuksen (EU) N:o 575/2013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501 d artiklan 2 kohdan a alakohta</w:t>
            </w:r>
            <w:r>
              <w:t>.</w:t>
            </w:r>
          </w:p>
        </w:tc>
      </w:tr>
      <w:tr w:rsidR="00373762" w:rsidRPr="0076606B" w14:paraId="3CBB5149" w14:textId="77777777" w:rsidTr="00EA0EB4">
        <w:tc>
          <w:tcPr>
            <w:tcW w:w="1795" w:type="dxa"/>
          </w:tcPr>
          <w:p w14:paraId="6C15DAA6" w14:textId="315E07AC" w:rsidR="00373762" w:rsidRPr="0076606B" w:rsidRDefault="0076606B" w:rsidP="002F1D8D">
            <w:pPr>
              <w:pStyle w:val="InstructionsText"/>
            </w:pPr>
            <w:r>
              <w:t>2</w:t>
            </w:r>
          </w:p>
        </w:tc>
        <w:tc>
          <w:tcPr>
            <w:tcW w:w="8123" w:type="dxa"/>
          </w:tcPr>
          <w:p w14:paraId="1BDD91BD" w14:textId="121E64C7" w:rsidR="000C1FFC" w:rsidRPr="0076606B" w:rsidRDefault="00A02EBC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Omaisuusreferenssitokenit</w:t>
            </w:r>
          </w:p>
          <w:p w14:paraId="1D7215CE" w14:textId="2358370C" w:rsidR="000811A0" w:rsidRPr="0076606B" w:rsidRDefault="000811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t>Asetuksen (EU) N:o 575/2013 501 d artiklan 2 kohdan b alakohta.</w:t>
            </w:r>
          </w:p>
        </w:tc>
      </w:tr>
      <w:tr w:rsidR="00373762" w:rsidRPr="0076606B" w14:paraId="5E466513" w14:textId="77777777" w:rsidTr="00EA0EB4">
        <w:tc>
          <w:tcPr>
            <w:tcW w:w="1795" w:type="dxa"/>
          </w:tcPr>
          <w:p w14:paraId="39E8A0FB" w14:textId="215B912E" w:rsidR="00373762" w:rsidRPr="0076606B" w:rsidRDefault="00D9757A" w:rsidP="002F1D8D">
            <w:pPr>
              <w:pStyle w:val="InstructionsText"/>
            </w:pPr>
            <w:r>
              <w:lastRenderedPageBreak/>
              <w:t>3</w:t>
            </w:r>
          </w:p>
        </w:tc>
        <w:tc>
          <w:tcPr>
            <w:tcW w:w="8123" w:type="dxa"/>
          </w:tcPr>
          <w:p w14:paraId="0CD31563" w14:textId="11ABCDFB" w:rsidR="000C1FFC" w:rsidRPr="0076606B" w:rsidRDefault="006C06AC" w:rsidP="002F1D8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Muihin kryptovaroihin liittyvät vastuut</w:t>
            </w:r>
          </w:p>
          <w:p w14:paraId="22594EAC" w14:textId="2A3C1F16" w:rsidR="00373762" w:rsidRPr="0076606B" w:rsidRDefault="000811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 xml:space="preserve">Asetuksen (EU) N:o 575/2013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501 d artiklan 2 kohdan c alakohta</w:t>
            </w:r>
            <w:r>
              <w:t>.</w:t>
            </w:r>
          </w:p>
          <w:p w14:paraId="1BCB3895" w14:textId="0709C3F8" w:rsidR="000811A0" w:rsidRPr="00D9757A" w:rsidRDefault="4EBA09A7" w:rsidP="002F1D8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Muut kryptovaroihin liittyvät vastuut, jotka eroavat asetuksen (EU) N:o 575/2013 501 d artiklan 2 kohdan a ja b alakohdan vastuista.</w:t>
            </w:r>
          </w:p>
        </w:tc>
      </w:tr>
      <w:tr w:rsidR="00623C6D" w:rsidRPr="0076606B" w14:paraId="10277CD1" w14:textId="77777777" w:rsidTr="00EA0EB4">
        <w:tc>
          <w:tcPr>
            <w:tcW w:w="1795" w:type="dxa"/>
          </w:tcPr>
          <w:p w14:paraId="33D217D5" w14:textId="13A52B17" w:rsidR="00623C6D" w:rsidRPr="0076606B" w:rsidRDefault="00D9757A" w:rsidP="002F1D8D">
            <w:pPr>
              <w:pStyle w:val="InstructionsText"/>
            </w:pPr>
            <w:r>
              <w:t>4</w:t>
            </w:r>
          </w:p>
        </w:tc>
        <w:tc>
          <w:tcPr>
            <w:tcW w:w="8123" w:type="dxa"/>
          </w:tcPr>
          <w:p w14:paraId="5385821A" w14:textId="259A3565" w:rsidR="00623C6D" w:rsidRPr="0076606B" w:rsidRDefault="00931726" w:rsidP="002F1D8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Yhteensä</w:t>
            </w:r>
          </w:p>
          <w:p w14:paraId="55F5AED4" w14:textId="5039CC11" w:rsidR="003B6B5F" w:rsidRDefault="0088549A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Rivien 1, 2 ja 3 summana lasketut kokonaisarvot. </w:t>
            </w:r>
          </w:p>
          <w:p w14:paraId="2CF3B315" w14:textId="6D98023C" w:rsidR="00623C6D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Kokonaisriskin määrä on yhtä suuri kuin lomakkeen EU OV1 rivillä EU24a sarakkeessa a ilmoitettu määrä.</w:t>
            </w:r>
          </w:p>
          <w:p w14:paraId="1DE909BE" w14:textId="28825665" w:rsidR="003B6B5F" w:rsidRPr="0076606B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Omien varojen vaatimusten yhteismäärä on yhtä suuri kuin lomakkeen EU OV1 rivillä 24a sarakkeessa c ilmoitettu määrä.</w:t>
            </w:r>
          </w:p>
        </w:tc>
      </w:tr>
      <w:tr w:rsidR="001F0121" w:rsidRPr="0076606B" w14:paraId="1E203B4D" w14:textId="77777777" w:rsidTr="00EA0EB4">
        <w:tc>
          <w:tcPr>
            <w:tcW w:w="1795" w:type="dxa"/>
            <w:shd w:val="clear" w:color="auto" w:fill="D9D9D9" w:themeFill="background1" w:themeFillShade="D9"/>
          </w:tcPr>
          <w:p w14:paraId="5024020C" w14:textId="77777777" w:rsidR="001F0121" w:rsidRDefault="001F0121" w:rsidP="002F1D8D">
            <w:pPr>
              <w:pStyle w:val="InstructionsText"/>
            </w:pPr>
          </w:p>
        </w:tc>
        <w:tc>
          <w:tcPr>
            <w:tcW w:w="8123" w:type="dxa"/>
            <w:shd w:val="clear" w:color="auto" w:fill="D9D9D9" w:themeFill="background1" w:themeFillShade="D9"/>
          </w:tcPr>
          <w:p w14:paraId="106F6FC9" w14:textId="3BB95B54" w:rsidR="001F0121" w:rsidRPr="001F0121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Lisätietoerä </w:t>
            </w:r>
          </w:p>
        </w:tc>
      </w:tr>
      <w:tr w:rsidR="001F0121" w:rsidRPr="0076606B" w14:paraId="50DA30D3" w14:textId="77777777" w:rsidTr="00EA0EB4">
        <w:tc>
          <w:tcPr>
            <w:tcW w:w="1795" w:type="dxa"/>
          </w:tcPr>
          <w:p w14:paraId="41FBBB67" w14:textId="5DBC581B" w:rsidR="001F0121" w:rsidRDefault="001F0121" w:rsidP="002F1D8D">
            <w:pPr>
              <w:pStyle w:val="InstructionsText"/>
            </w:pPr>
            <w:r>
              <w:t>5</w:t>
            </w:r>
          </w:p>
        </w:tc>
        <w:tc>
          <w:tcPr>
            <w:tcW w:w="8123" w:type="dxa"/>
          </w:tcPr>
          <w:p w14:paraId="47F1511E" w14:textId="768E44DB" w:rsidR="00AA385A" w:rsidRDefault="00685F67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Muihin kryptovaroihin liittyvät vastuut ilmaistuna prosenttiosuutena laitoksen ensisijaisesta pääomasta (T1)</w:t>
            </w:r>
          </w:p>
          <w:p w14:paraId="77AFF5E7" w14:textId="2EE951BB" w:rsidR="001F0121" w:rsidRPr="0076606B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 xml:space="preserve">Asetuksen (EU) N:o 575/2013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501 d artiklan 3 kohta</w:t>
            </w:r>
            <w:r>
              <w:t>.</w:t>
            </w:r>
          </w:p>
          <w:p w14:paraId="715123E0" w14:textId="3FEC4A67" w:rsidR="001F0121" w:rsidRPr="001F0121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</w:p>
        </w:tc>
      </w:tr>
    </w:tbl>
    <w:p w14:paraId="0793ABC6" w14:textId="77777777" w:rsidR="001C7AB7" w:rsidRPr="002A677E" w:rsidRDefault="001C7AB7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1C7AB7" w:rsidRPr="002A677E" w:rsidSect="00570E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 w:rsidRPr="00ED1956">
      <w:rPr>
        <w:rFonts w:ascii="Times New Roman" w:hAnsi="Times New Roman"/>
        <w:sz w:val="20"/>
      </w:rPr>
      <w:fldChar w:fldCharType="begin"/>
    </w:r>
    <w:r w:rsidRPr="00ED1956">
      <w:rPr>
        <w:rFonts w:ascii="Times New Roman" w:hAnsi="Times New Roman"/>
        <w:sz w:val="20"/>
      </w:rPr>
      <w:instrText xml:space="preserve"> PAGE   \* MERGEFORMAT </w:instrText>
    </w:r>
    <w:r w:rsidRPr="00ED1956">
      <w:rPr>
        <w:rFonts w:ascii="Times New Roman" w:hAnsi="Times New Roman"/>
        <w:sz w:val="20"/>
      </w:rPr>
      <w:fldChar w:fldCharType="separate"/>
    </w:r>
    <w:r w:rsidR="008F3052">
      <w:rPr>
        <w:rFonts w:ascii="Times New Roman" w:hAnsi="Times New Roman"/>
        <w:sz w:val="20"/>
      </w:rPr>
      <w:t>42</w:t>
    </w:r>
    <w:r w:rsidRPr="00ED1956">
      <w:rPr>
        <w:rFonts w:ascii="Times New Roman" w:hAnsi="Times New Roman"/>
        <w:sz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6765E" w14:textId="77777777" w:rsidR="00507E56" w:rsidRDefault="00507E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  <w:footnote w:id="2">
    <w:p w14:paraId="5704B613" w14:textId="770B6789" w:rsidR="0076606B" w:rsidRPr="00D9757A" w:rsidRDefault="0076606B" w:rsidP="0076606B">
      <w:pPr>
        <w:pStyle w:val="FootnoteText"/>
        <w:rPr>
          <w:rFonts w:ascii="Times New Roman" w:eastAsia="Calibri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  <w:szCs w:val="20"/>
        </w:rPr>
        <w:footnoteRef/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</w:r>
      <w:r>
        <w:rPr>
          <w:sz w:val="18"/>
        </w:rPr>
        <w:t>Euroopan parlamentin ja neuvoston asetus (EU) N:o 575/2013, annettu 26 päivänä kesäkuuta 2013, luottolaitosten vakavaraisuusvaatimuksista ja asetuksen (EU) N:o 648/2012 muuttamisesta, sellaisena kuin se on muutettuna asetuksella (EU) 2024/1623</w:t>
      </w:r>
      <w:r>
        <w:rPr>
          <w:color w:val="444444"/>
          <w:sz w:val="18"/>
        </w:rPr>
        <w:t>(</w:t>
      </w:r>
      <w:hyperlink r:id="rId1" w:history="1">
        <w:r>
          <w:rPr>
            <w:rStyle w:val="Hyperlink"/>
            <w:color w:val="800080"/>
          </w:rPr>
          <w:t>EUVL L 176, 27.6.2013, s. 1</w:t>
        </w:r>
      </w:hyperlink>
      <w:r>
        <w:rPr>
          <w:color w:val="800080"/>
          <w:sz w:val="18"/>
          <w:u w:val="single"/>
        </w:rPr>
        <w:t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>Asetus - EU - 2024/1623 - FI - EUR-Lex (europa.eu)</w:t>
        </w:r>
      </w:hyperlink>
      <w:r>
        <w:rPr>
          <w:color w:val="444444"/>
        </w:rPr>
        <w:t>)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PV – Normaaliin käyttöö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EPV – Normaaliin käyttöön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EPV – Normaaliin käyttöön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EPV – Normaaliin käyttöön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PV – Normaaliin käyttöö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0A8EB4ED" w:rsidR="00C3070C" w:rsidRPr="003B6094" w:rsidRDefault="00507E5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6411E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EPV – Normaaliin käyttöön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0A8EB4ED" w:rsidR="00C3070C" w:rsidRPr="003B6094" w:rsidRDefault="00507E56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 w:rsidRPr="006411EB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PV – Normaaliin käyttöö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EPV – Normaaliin käyttöön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EPV – Normaaliin käyttöön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EPV – Normaaliin käyttöön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360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activeWritingStyle w:appName="MSWord" w:lang="fi-FI" w:vendorID="64" w:dllVersion="0" w:nlCheck="1" w:checkStyle="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B67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479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D8D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82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07E56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85F67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0A3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B90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1F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385A"/>
    <w:rsid w:val="00AA42A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458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03C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0D0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EB4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fi-FI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fi-FI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fi-FI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fi-FI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fi-FI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fi-F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fi-FI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2F1D8D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fi-FI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2F1D8D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fi-FI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fi-FI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fi-FI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fi-FI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fi-FI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fi-FI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fi-FI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FI/TXT/?uri=OJ:L_202401623" TargetMode="External"/><Relationship Id="rId1" Type="http://schemas.openxmlformats.org/officeDocument/2006/relationships/hyperlink" Target="https://eur-lex.europa.eu/legal-content/FI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86716F-C5B8-485C-A02A-F9596074EBE6}"/>
</file>

<file path=customXml/itemProps3.xml><?xml version="1.0" encoding="utf-8"?>
<ds:datastoreItem xmlns:ds="http://schemas.openxmlformats.org/officeDocument/2006/customXml" ds:itemID="{929EF5DA-74B2-4ECF-992C-AA7C584520C3}"/>
</file>

<file path=customXml/itemProps4.xml><?xml version="1.0" encoding="utf-8"?>
<ds:datastoreItem xmlns:ds="http://schemas.openxmlformats.org/officeDocument/2006/customXml" ds:itemID="{018C623E-9FAF-494F-BC01-85A93B35D6C3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1854</Characters>
  <Application>Microsoft Office Word</Application>
  <DocSecurity>0</DocSecurity>
  <Lines>66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2024-10-03T09:03:00Z</dcterms:created>
  <dcterms:modified xsi:type="dcterms:W3CDTF">2024-10-03T09:03:00Z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2024-09-26T14:35:25Z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a7de5dab-f179-4ce4-a821-7fc8370dee9b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