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b/>
          <w:color w:val="auto"/>
          <w:sz w:val="24"/>
          <w:rFonts w:ascii="Times New Roman" w:hAnsi="Times New Roman" w:cs="Times New Roman"/>
        </w:rPr>
      </w:pPr>
      <w:r>
        <w:rPr>
          <w:b/>
          <w:color w:val="auto"/>
          <w:sz w:val="24"/>
          <w:rFonts w:ascii="Times New Roman" w:hAnsi="Times New Roman"/>
        </w:rPr>
        <w:t xml:space="preserve">BILAGA XXX – Tabeller och mallar för offentliggörande av information om marknadsrisk enligt schablonmetod och internmetod:</w:t>
      </w:r>
      <w:r>
        <w:rPr>
          <w:b/>
          <w:color w:val="auto"/>
          <w:sz w:val="24"/>
          <w:rFonts w:ascii="Times New Roman" w:hAnsi="Times New Roman"/>
        </w:rPr>
        <w:t xml:space="preserve"> </w:t>
      </w:r>
      <w:r>
        <w:rPr>
          <w:b/>
          <w:color w:val="auto"/>
          <w:sz w:val="24"/>
          <w:rFonts w:ascii="Times New Roman" w:hAnsi="Times New Roman"/>
        </w:rPr>
        <w:t xml:space="preserve">Anvisningar</w:t>
      </w:r>
      <w:r>
        <w:rPr>
          <w:b/>
          <w:color w:val="auto"/>
          <w:sz w:val="24"/>
          <w:rFonts w:ascii="Times New Roman" w:hAnsi="Times New Roman"/>
        </w:rPr>
        <w:t xml:space="preserve">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 denna bilaga ingår instruktioner som instituten ska följa när de offentliggör den information som avses i artiklarna 435, 445 och 455 i förordning (EU) nr 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color w:val="auto"/>
          <w:sz w:val="24"/>
          <w:rFonts w:ascii="Times New Roman" w:hAnsi="Times New Roman"/>
        </w:rPr>
        <w:t xml:space="preserve"> (</w:t>
      </w:r>
      <w:r>
        <w:rPr>
          <w:color w:val="auto"/>
          <w:sz w:val="24"/>
          <w:i/>
          <w:iCs/>
          <w:rFonts w:ascii="Times New Roman" w:hAnsi="Times New Roman"/>
        </w:rPr>
        <w:t xml:space="preserve">kapitalkravsförordningen</w:t>
      </w:r>
      <w:r>
        <w:rPr>
          <w:color w:val="auto"/>
          <w:sz w:val="24"/>
          <w:rFonts w:ascii="Times New Roman" w:hAnsi="Times New Roman"/>
        </w:rPr>
        <w:t xml:space="preserve">) för att fylla i de tabeller och mallar för rapportering av marknadsrisk som återfinns i bilaga XXIX till EBA:s it-lösningar.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69DA8DE0" w14:textId="77777777" w:rsidR="00931C32" w:rsidRPr="001F1865" w:rsidRDefault="00931C32" w:rsidP="00931C32">
      <w:pPr>
        <w:spacing w:after="24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 EU MRA – Kvalitativa upplysningskrav avseende marknadsrisk: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Fält för fri text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sz w:val="24"/>
          <w:rFonts w:ascii="Times New Roman" w:hAnsi="Times New Roman" w:cs="Times New Roman"/>
        </w:rPr>
      </w:pPr>
      <w:r>
        <w:rPr>
          <w:color w:val="000000" w:themeColor="text1"/>
          <w:sz w:val="24"/>
          <w:rFonts w:ascii="Times New Roman" w:hAnsi="Times New Roman"/>
        </w:rPr>
        <w:t xml:space="preserve">Instituten ska offentliggöra den information som avses i artikel 435.1 a–d i förordning (EU) nr 575/2013 med avseende på marknadsrisk genom att följa instruktionerna nedan i denna bilaga för att fylla i tabell EU MRA, vilken återfinns i bilaga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 xml:space="preserve">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När instituten offentliggör den information som avses i artikel 435.1 a och d i förordning (EU) nr 575/2013 om målen och riktlinjerna för hantering av marknadsrisk ska de inkludera följande: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förklaring av deras lednings strategiska mål vid utförandet av handelsverksamhet.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beskrivning av de riktlinjer som avses i artikel 104.1 för att avgöra vilka positioner som ska ingå i handelslagret, däribland definitionen av inaktuella positioner och riskhanteringsriktlinjer för att övervaka sådana positioner.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Dessutom ska instituten beskriva fall där instrument klassificeras som i respektive utanför handelslagret i motsättning till de allmänna presumtionerna för deras instrumentkategorier, inklusive marknadsvärdet och det verkliga värdet i sådana fall liksom alla omklassificeringar mellan ”i handelslagret” och ”utanför handelslagret” sedan den senaste rapporteringsperioden, inklusive det verkliga värdet i sådana fall och skälet till omklassificeringen.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beskrivning av interna risköverföringar, inklusive typerna av interna risköverföringshandlarbord.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processer som har genomförts för att identifiera, mäta, övervaka och kontrollera institutets marknadsrisker.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Riktlinjerna för risksäkring och riskreducering.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Strategierna och processerna för övervakning av de risksäkrande åtgärdernas fortlöpande effektivitet.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 xml:space="preserve">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När instituten offentliggör den information som avses i artikel 435.1 b i förordning (EU) nr 575/2013 om marknadsriskhanteringsfunktionens struktur och organisation ska de inkludera följande: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beskrivning av den marknadsriskstyrningsstruktur som införts för att genomföra de av institutets strategier och processer som behandlas i rad a ovan.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beskrivning av förbindelserna och kommunikationsmekanismerna mellan de olika parter som deltar i marknadsriskhanteringen.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 xml:space="preserve">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När instituten offentliggör den information som avses i artikel 435.1 c i förordning (EU) nr 575/2013 om marknadsriskrapporteringens och mätsystemens omfattning och karaktär ska de tillhandahålla en beskrivning av marknadsriskrapporteringens och mätsystemens omfattning och karaktär.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När instituten offentliggör den information som avses i artikel 445.1 i förordning (EU) nr 575/2013 om en allmän översikt av positionerna i handelslagret ska de tillhandahålla en övergripande beskrivning av sina positioner i handelslagret.</w:t>
            </w:r>
          </w:p>
        </w:tc>
      </w:tr>
    </w:tbl>
    <w:p w14:paraId="0A37501D" w14:textId="5B1DE2AB" w:rsidR="00931C32" w:rsidRPr="001F1865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  <w:lang w:val="en-GB"/>
        </w:rPr>
      </w:pPr>
    </w:p>
    <w:p w14:paraId="6A05A809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21FE8BB6" w14:textId="0765936F" w:rsidR="00931C32" w:rsidRPr="00DB0A49" w:rsidRDefault="4E51ABE0" w:rsidP="00DB0A49">
      <w:pPr>
        <w:spacing w:after="240"/>
        <w:rPr>
          <w:sz w:val="24"/>
          <w:rFonts w:ascii="Times New Roman" w:eastAsia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 MR1 – Marknadsrisk som behandlas enligt den alternativa schablonmetoden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color w:val="auto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 w:themeColor="text1"/>
          <w:rFonts w:ascii="Times New Roman" w:hAnsi="Times New Roman"/>
        </w:rPr>
        <w:t xml:space="preserve">Instituten ska offentliggöra den information som avses i artikel 445 i förordning (EU) nr 575/2013 genom att följa de instruktioner som anges nedan i denna bilaga för att fylla i mall EU MR1, vilken återfinns i bilaga XXIX.</w:t>
      </w:r>
      <w:r>
        <w:rPr>
          <w:sz w:val="24"/>
          <w:color w:val="000000" w:themeColor="text1"/>
          <w:rFonts w:ascii="Times New Roman" w:hAnsi="Times New Roman"/>
        </w:rPr>
        <w:t xml:space="preserve"> </w:t>
      </w:r>
      <w:r>
        <w:rPr>
          <w:sz w:val="24"/>
          <w:color w:val="auto"/>
          <w:rFonts w:ascii="Times New Roman" w:hAnsi="Times New Roman"/>
        </w:rPr>
        <w:t xml:space="preserve">Instituten ska inte ange några uppgifter om sina interna risköverföringshandlarbord i denna mall.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u w:val="single"/>
                <w:b/>
                <w:rFonts w:ascii="Times New Roman" w:hAnsi="Times New Roman"/>
              </w:rPr>
              <w:t xml:space="preserve">Känslighetsbaserad metod</w:t>
            </w:r>
            <w:r>
              <w:rPr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del tre avdelning IV kapitel 1a avsnitt 2 i förordning (EU) nr 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Generell ränterisk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i) i förordning (EU) nr 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Aktierisk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v i förordning (EU) nr 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Råvarurisk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vi i förordning (EU) nr 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Valutarisk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vii i förordning (EU) nr 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Kreditspreadrisk för icke-värdepapperiseringar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ii i förordning (EU) nr 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Kreditspreadrisk för värdepapperiseringar som inte ingår i den alternativa korrelationshandelsportföljen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iii i förordning (EU) nr 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Kreditspreadrisk för värdepapperiseringar som ingår i den alternativa korrelationshandelsportföljen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a och 325d.1 iv i förordning (EU) nr 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Fallissemangsrisk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del tre avdelning IV kapitel 1a avsnitt 5 i förordning (EU) nr 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Icke-värdepapperiseringar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artikel 325c.2 b och del tre avdelning IV kapitel 1a avsnitt 5 underavsnitt 1 i förordning (EU) nr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Värdepapperiseringar som inte ingår i den alternativa korrelationshandelsportföljen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artikel 325c.2 b och del tre avdelning IV kapitel 1a avsnitt 5 underavsnitt 2 i förordning (EU) nr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Värdepapperiseringar som ingår i den alternativa korrelationshandelsportföljen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artikel 325c.2 b och del tre avdelning IV kapitel 1a avsnitt 5 underavsnitt 3 i förordning (EU) nr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Kvarstående risk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Del tre avdelning IV kapitel 1a avsnitt 4 i förordning (EU) nr 575/2013.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EU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Exotiska underliggande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c och 325u.2 a i förordning (EU) nr 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Andra kvarstående risker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artiklarna 325c.2 c och 325u.2 b i förordning (EU) nr 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Totala kapitalbaskrav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raderna 1–EU 11b.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Kolumnbokstav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Totala kapitalbaskrav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Offentliggörande av de kapitalbaskrav som avses i artikel 438 d i förordning (EU) nr 575/2013, beräknade som en enkel summering av beloppen ovan i raderna 1–EU 11b.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b/>
          <w:bCs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 EU MRB: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Kvalitativa upplysningskrav för institut som använder den alternativa internmodellmetoden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Fri text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b/>
          <w:sz w:val="24"/>
          <w:rFonts w:ascii="Times New Roman" w:hAnsi="Times New Roman" w:cs="Times New Roman"/>
        </w:rPr>
      </w:pPr>
      <w:r>
        <w:rPr>
          <w:color w:val="000000" w:themeColor="text1"/>
          <w:sz w:val="24"/>
          <w:rFonts w:ascii="Times New Roman" w:hAnsi="Times New Roman"/>
        </w:rPr>
        <w:t xml:space="preserve">Instituten ska offentliggöra den information som avses i artikel 455 a, b, c, d, e och f i förordning (EU) nr 575/2013 genom att följa de instruktioner som anges nedan i denna bilaga för att fylla i tabell EU MRB, vilken presenteras i bilaga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När instituten offentliggör den information som avses i artikel 455.1a i förordning (EU) nr 575/2013 om de alternativa internmodellmetoderna för marknadsrisk ska de inkludera följande: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Institutens mål med handelsverksamheten samt vilka processer som genomförts för att identifiera, mäta, övervaka och kontrollera institutets marknadsrisker.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Denna information kan lämnas genom en korshänvisning till tabell EU 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De riktlinjer som avses i artikel 104.1 för fastställande av vilka positioner som ska ingå i handelslagret.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Denna information kan lämnas genom en korshänvisning till tabell EU MRA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Strukturen bakom och organiseringen av funktionen för marknadsriskhantering och styrning avseende marknadsrisk.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A) B) Allmän beskrivning av handlarbordets struktur och de typer av instrument som ingår i handlarbord enligt den alternativa internmodellmetoden i enlighet med artikel 455.1 c och d i förordning (EU) nr 575/2013.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 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När instituten offentliggör information som avses i artikel 455.1 c i förordning (EU) nr 575/2013 ska de tillhandahålla en allmän beskrivning av strukturen för de handlarbord som omfattas av de interna modeller som avses i artikel 325az, däribland för varje bord en allmän beskrivning av bordets affärsstrategi, de instrument som är tillåtna och de huvudsakliga risktyperna för det bordet.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När instituten offentliggör information som avses i artikel 455.1 d i förordning (EU) nr 575/2013 ska de tillhandahålla en allmän översikt av de positioner i handelslagret som inte omfattas av de interna modeller som avses i artikel 325az, däribland en allmän beskrivning av bordets struktur och av de typer av instrument som ingår i borden eller i bordskategorierna i enlighet med artikel 104b.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B) C) E) En beskrivning av huvuddragen i de modeller som används på gruppnivå, däribland de metoder som används vid valideringen av modellerna och modelleringsprocesserna.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 b) c) d) 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När instituten offentliggör den information som avses i artikel 455.1 f i) i förordning (EU) nr 575/2013 ska de tillhandahålla följande: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En beskrivning av omfattningen av och huvuddragen och de viktigaste modelleringsvalen för de olika interna modeller som avses i artikel 325az i förordning (EU) nr 575/2013 och som används för att beräkna de riskvägda exponeringsbeloppen för de huvudmodeller som används på gruppnivå och en beskrivning av i vilken omfattning dessa interna modeller representerar alla modeller som används på gruppnivå, däribland i tillämpliga fall följande: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i) En allmän beskrivning av den modelleringsansats som används för att beräkna expected shortfall enligt artikel 325ba.1 a i kapitalkravsförordningen, inbegripet hur ofta uppgifterna uppdateras.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När instituten offentliggör den information som avses i artikel 455.1 f ii i förordning (EU) nr 575/2013 ska de, i tillämpliga fall, tillhandahålla följande: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En allmän beskrivning av den metod som används för att beräkna det riskmått med stresscenarier som avses i artikel 325ba.1 b i förordning (EU) nr 575/2013, förutom de specifikationer som anges i artikel 325bk.3 i den förordningen.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D) Beskrivning av interna modeller för att beräkna kapitalbaskrav för fallissemangsrisk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När instituten offentliggör den information som avses i artikel 455.1 f iii i förordning (EU) nr 575/2013 ska de, i tillämpliga fall, tillhandahålla följande: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En allmän beskrivning av den modelleringsansats som används för att beräkna det kapitalbaskrav för fallissemangsrisk som avses i artikel 325ba.2 i förordning (EU) nr 575/2013, inbegripet hur ofta uppgifterna uppdateras.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Mall EU MR2 – Marknadsrisk som behandlas enligt den alternativa internmodellmetoden: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Fast format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color w:val="auto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 w:themeColor="text1"/>
          <w:rFonts w:ascii="Times New Roman" w:hAnsi="Times New Roman"/>
        </w:rPr>
        <w:t xml:space="preserve">Instituten ska offentliggöra den information som avses i artikel 455.2 i förordning (EU) nr 575/2013 genom att följa de instruktioner som anges nedan i denna bilaga för att fylla i mall EU MR2, vilken återfinns i bilaga XXIX.</w:t>
      </w:r>
      <w:r>
        <w:rPr>
          <w:sz w:val="24"/>
          <w:color w:val="000000" w:themeColor="text1"/>
          <w:rFonts w:ascii="Times New Roman" w:hAnsi="Times New Roman"/>
        </w:rPr>
        <w:t xml:space="preserve"> </w:t>
      </w:r>
      <w:r>
        <w:rPr>
          <w:sz w:val="24"/>
          <w:color w:val="auto"/>
          <w:rFonts w:ascii="Times New Roman" w:hAnsi="Times New Roman"/>
        </w:rPr>
        <w:t xml:space="preserve">Instituten ska inte ange några uppgifter om sina interna risköverföringshandlarbord i denna mall.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Oinskränkta expected shortfall-måttet (UESt)</w:t>
            </w:r>
          </w:p>
          <w:p w14:paraId="1E53AB6F" w14:textId="2D37B3D8" w:rsidR="3E91330B" w:rsidRPr="00DB0A49" w:rsidRDefault="3BB31265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värde som offentliggörs ska beräknas på nivån för den allmänna portföljen och inte på nivån för en övergripande riskfaktorkategori i enlighet med artiklarna 325bb och 325bc i förordning (EU) nr 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Oinskränkta expected shortfall-måttet (UESt) för riskfaktorkategorin ränta</w:t>
            </w:r>
          </w:p>
          <w:p w14:paraId="39E48A15" w14:textId="5243BB2A" w:rsidR="40EE3118" w:rsidRPr="00DB0A49" w:rsidRDefault="749F8553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värde som offentliggörs ska beräknas för riskfaktorerna i riskfaktorkategorin ränta i enlighet med artiklarna 325bb, 325bc och 325bd i förordning (EU) nr 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Oinskränkta expected shortfall-måttet (UESt) för riskfaktorkategorin aktier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4E1BA488" w14:textId="705548F0" w:rsidR="00234F41" w:rsidRPr="00DB0A49" w:rsidRDefault="7A25B94F" w:rsidP="140F9DE1">
            <w:pPr>
              <w:rPr>
                <w:b/>
                <w:bCs/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värde som offentliggörs ska beräknas för riskfaktorerna i riskfaktorkategorin aktier i enlighet med artiklarna 325bb, 325bc och 325bd i förordning (EU) nr 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Oinskränkta expected shortfall-måttet (UESt) för riskfaktorkategorin råvaror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värde som offentliggörs ska beräknas för riskfaktorerna i riskfaktorkategorin råvaror i enlighet med artiklarna 325bb, 325bc och 325bd i förordning (EU) nr 575/2013.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Oinskränkta expected shortfall-måttet (UESt) för riskfaktorkategorin valuta</w:t>
            </w:r>
          </w:p>
          <w:p w14:paraId="1880B223" w14:textId="34F16589" w:rsidR="002F3022" w:rsidRPr="00DB0A49" w:rsidRDefault="1F3BA536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color w:val="44444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värde som offentliggörs ska beräknas för riskfaktorerna i riskfaktorkategorin valuta i enlighet med artiklarna 325bb, 325bc och 325bd i förordning (EU) nr 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Oinskränkta expected shortfall-måttet (UESt) för riskfaktorkategorin kreditspread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C567B92" w14:textId="2263B6AC" w:rsidR="00234F41" w:rsidRPr="00DB0A49" w:rsidRDefault="79641B5E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värde som offentliggörs ska beräknas för riskfaktorerna i riskfaktorkategorin kreditspread i enlighet med artiklarna 325bb, 325bc och 325bd i förordning (EU) nr 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Summa av det oinskränkta expected shortfall-måttet (UESt) för övergripande riskfaktorkategorier </w:t>
            </w:r>
            <w:r>
              <w:rPr>
                <w:sz w:val="24"/>
                <w:rFonts w:ascii="Times New Roman" w:hAnsi="Times New Roman"/>
              </w:rPr>
              <w:t xml:space="preserve">(∑UES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i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14CC777" w14:textId="17C0E236" w:rsidR="00234F41" w:rsidRPr="00AA44B0" w:rsidRDefault="00F80764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raderna 2–6.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Expected shortfall-måttet (ES</w:t>
            </w:r>
            <w:r>
              <w:rPr>
                <w:b/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b/>
                <w:sz w:val="24"/>
                <w:rFonts w:ascii="Times New Roman" w:hAnsi="Times New Roman"/>
              </w:rPr>
              <w:t xml:space="preserve">)</w:t>
            </w:r>
          </w:p>
          <w:p w14:paraId="3985A7B9" w14:textId="37C4DB19" w:rsidR="00234F41" w:rsidRPr="00DB0A49" w:rsidRDefault="5D2FC7FD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Expected shortfall-måttet ska beräknas i enlighet med artikel 325ba.1 a i) i förordning (EU) nr 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Riskmått med stresscenarier (SS</w:t>
            </w:r>
            <w:r>
              <w:rPr>
                <w:b/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b/>
                <w:sz w:val="24"/>
                <w:rFonts w:ascii="Times New Roman" w:hAnsi="Times New Roman"/>
              </w:rPr>
              <w:t xml:space="preserve">)</w:t>
            </w:r>
          </w:p>
          <w:p w14:paraId="1A984573" w14:textId="59113B26" w:rsidR="00234F41" w:rsidRPr="00DB0A49" w:rsidRDefault="060F6C17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Riskmåttet med stresscenarier ska beräknas i enlighet med artikel 325ba.1 a ii i förordning (EU) nr 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för fallissemangsrisk (DRC</w:t>
            </w:r>
            <w:r>
              <w:rPr>
                <w:b/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b/>
                <w:sz w:val="24"/>
                <w:rFonts w:ascii="Times New Roman" w:hAnsi="Times New Roman"/>
              </w:rPr>
              <w:t xml:space="preserve">)</w:t>
            </w:r>
          </w:p>
          <w:p w14:paraId="0AF5675B" w14:textId="1F8133B2" w:rsidR="00234F41" w:rsidRPr="00DB0A49" w:rsidRDefault="654BF7D8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Kapitalbaskrav för fallissemangsrisk ska beräknas i enlighet med artikel 325ba.2 a i förordning (EU) nr 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PLAaddon</w:t>
            </w:r>
          </w:p>
          <w:p w14:paraId="72CEFFB9" w14:textId="21DFFB57" w:rsidR="00234F41" w:rsidRPr="00DB0A49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beräknas i enlighet med artikel 325ba.3 i förordning (EU) nr 575/2013 jämförd med artikel 10.1 i förordning (EU)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för verksamhet i och utanför balansräkningen plus PLAaddon (den alternativa internmodellmetoden + PLAaddon)</w:t>
            </w:r>
          </w:p>
          <w:p w14:paraId="595AB2F9" w14:textId="23FB87CE" w:rsidR="00234F41" w:rsidRPr="00DB0A49" w:rsidRDefault="00234F41" w:rsidP="00234F4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beräknas i enlighet med artikel 10.1 i förordning (EU) 2022/2059.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Värdet av rad 11 ska läggas till.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kapitalbaskrav enligt den alternativa schablonmetoden för handlarbord som inte är kvalificerade för användning av den alternativa internmodellmetoden (ASAnon-aima)</w:t>
            </w:r>
          </w:p>
          <w:p w14:paraId="010A62FB" w14:textId="286F0BA2" w:rsidR="00234F41" w:rsidRPr="00DB0A49" w:rsidRDefault="11B9774E" w:rsidP="140F9DE1">
            <w:pPr>
              <w:rPr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beräknas så som fastställs i artikel 325ba.3 i förordning (EU) nr 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Skillnad mellan kapitalbaskrav enligt den alternativa internmodellmetoden och den alternativa schablonmetoden för handlarbord enligt den alternativa internmodellmetoden (AIMA - ASAaima)</w:t>
            </w:r>
          </w:p>
          <w:p w14:paraId="326E0483" w14:textId="73A09039" w:rsidR="00234F41" w:rsidRPr="00DB0A49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beräknas som skillnaden mellan kapitalbaskrav för handlarbord enligt den alternativa internmodellmetoden (artikel 10.1 i förordning (EU) 2022/2059) och värdet för kapitalbaskrav enligt den alternativa schablonmetoden för alla handlarbord enligt den alternativa internmodellmetoden (portföljöversikt) (artikel 10.1 i förordning (EU) 2022/2059).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enligt den alternativa schablonmetoden för alla handlarbord (inklusive de som omfattas av den alternativa internmodellmetoden) (ASAall portfolio)</w:t>
            </w:r>
          </w:p>
          <w:p w14:paraId="7232E72B" w14:textId="0064FE14" w:rsidR="00234F41" w:rsidRPr="00DB0A49" w:rsidRDefault="3A829CD0" w:rsidP="140F9DE1">
            <w:pPr>
              <w:rPr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beräknas så som fastställs i artikel 325ba.3 i förordning (EU) nr 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kapitalbaskrav enligt den alternativa internmodellmetoden (TotalAIMA)</w:t>
            </w:r>
          </w:p>
          <w:p w14:paraId="11A40A93" w14:textId="2A4DA65C" w:rsidR="00234F41" w:rsidRPr="00DB0A49" w:rsidRDefault="7D4B7A18" w:rsidP="3821DFBC">
            <w:pPr>
              <w:rPr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beräknas så som fastställs i artikel 325ba.3 i förordning (EU) nr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Kolumnbokstav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Offentliggörande av senaste riskmått [rad 1–10] eller kapitalbaskrav [rad 11–16] under innevarande kvartal.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Medelvärde för riskmåttet [rad 1–10] under de föregående 60 handelsdagarna [rad 1–9] eller under de föregående 12 veckorna [rad 10] under innevarande kvartal.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Högsta riskmått under de föregående 60 handelsdagarna [rad 1–6] under innevarande kvartal.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Lägsta riskmått under de föregående 60 handelsdagarna [rad 1–6] under innevarande kvartal.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 överskridanden enligt utfallstester [rad 1]</w:t>
            </w:r>
          </w:p>
          <w:p w14:paraId="486CF129" w14:textId="49048050" w:rsidR="00234F41" w:rsidRPr="00445013" w:rsidRDefault="51A69309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Antalet överskridanden som anges i denna cell ska vara det antal som används för att fastställa tillägget i enlighet med tabell 3 i artikel 325bf.6 b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Överskridanden som har undantagits med den behöriga myndighetens tillstånd ska inte införas.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Senaste riskmått [rad 1–10] eller kapitalbaskrav [rad 11–16] under föregående kvartal.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Medelvärde för riskmåttet [rad 1–10] under de föregående 60 handelsdagarna [rad 1–9] eller under de föregående 12 veckorna [rad 10] under föregående kvartal.</w:t>
            </w:r>
          </w:p>
        </w:tc>
      </w:tr>
    </w:tbl>
    <w:p w14:paraId="60061E4C" w14:textId="6CE0B0D3" w:rsidR="00AA4A0F" w:rsidRPr="001F1865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Mall EU MR3 – Marknadsrisk som behandlas enligt den förenklade schablonmetoden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Fast format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000000" w:themeColor="text1"/>
          <w:sz w:val="24"/>
          <w:rFonts w:ascii="Times New Roman" w:hAnsi="Times New Roman"/>
        </w:rPr>
        <w:t xml:space="preserve">Instituten ska offentliggöra den information som avses i artikel 445 i förordning (EU) nr 575/2013 genom att följa de instruktioner som anges nedan i denna bilaga för att fylla i mall EU MR3, vilken återfinns i bilaga XXIX till it-lösningarna.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Ränterisk (generell och specifik)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Generell och specifik risk för positioner i omsatta skuldinstrument i handelslagret, i enlighet med del tre avdelning IV kapitel 2 i förordning (EU) nr 575/2013, med undantag för specifik risk kopplad till värdepapperisering.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Aktierisk (generell och specifik)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Generell och specifik risk för positioner i aktier i handelslagret, i enlighet med del tre avdelning IV kapitel 2 i förordning (EU) nr 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Råvarurisk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 för positioner i råvaror i enlighet med del tre avdelning IV kapitel 4 i förordning (EU) nr 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Valutarisk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 för positioner i utländsk valuta i enlighet med del tre avdelning IV kapitel 3 i förordning (EU) nr 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 (specifik risk)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Specifik risk för värdepapperiseringspositioner i handelslagret i enlighet med artiklarna 337 och 338 i del tre avdelning IV kapitel 2 i förordning (EU) nr 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kapitalbaskrav enligt den förenklade schablonmetoden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DD2D55D" w14:textId="027A9E83" w:rsidR="00AA4A0F" w:rsidRPr="001F1865" w:rsidRDefault="00AA4A0F" w:rsidP="00DE090B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Offentliggörande av de kapitalbaskrav som avses i artikel 438 d i förordning (EU) nr 575/2013, vilka för kolumn a beräknas som en enkel summering av beloppen i raderna 1–5 ovan och för kolumnerna b, c och d beräknas som en enkel summering av beloppen i raderna 1–4 ovan.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Kolumnbokstav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Direkta produkter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szCs w:val="22"/>
                <w:rFonts w:ascii="Times New Roman" w:eastAsia="Calibr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Positioner i produkter som inte är valfria och som inte ingår i tekniska tillsynsstandarder för optioners icke-deltarisker i samband med standardmetoden för marknadsrisk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Optioner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Förenklad metod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optioner eller warranter i enlighet med definitionen i artikel 329.3 i del tre avdelning IV kapitel 2 i förordning (EU) nr 575/2013 för vilka instituten beräknar sina kapitalbaskrav i samband med icke-deltarisker med hjälp av den förenklade metoden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Delta-plus-metoden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optioner eller warranter i handelslagret i enlighet med definitionen i artikel 329.3 i del tre avdelning IV kapitel 2 i förordning (EU) nr 575/2013 för vilka instituten beräknar sina kapitalbaskrav i samband med icke-deltarisker med hjälp av delta-plus-metoden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Scenariometod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optioner eller warranter i handelslagret i enlighet med definitionen i artikel 329.3 i del tre avdelning IV kapitel 2 i förordning (EU) nr 575/2013 för vilka instituten beräknar sina kapitalbaskrav i samband med icke-deltarisker med hjälp av scenariometoden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</w:tbl>
    <w:p w14:paraId="79592B57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sectPr w:rsidR="00931C32" w:rsidRPr="001F186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t>14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Europaparlamentets och rådets förordning (EU) nr 575/2013 av den 26 juni 2013 om tillsynskrav för kreditinstitut och om ändring av förordning (EU) nr 648/2012, i dess lydelse enligt förordning (EU) 2024/1623 (</w:t>
      </w:r>
      <w:hyperlink r:id="rId1" w:history="1">
        <w:r>
          <w:rPr>
            <w:rStyle w:val="Hyperlink"/>
            <w:color w:val="800080"/>
          </w:rPr>
          <w:t xml:space="preserve">EUT L 176, 27.6.2013, s. 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förordning 2024/1623 – SV – EUR-Lex (europa.eu)</w:t>
        </w:r>
      </w:hyperlink>
      <w:r>
        <w:rPr>
          <w:color w:val="444444"/>
        </w:rPr>
        <w:t xml:space="preserve">[].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ab/>
      </w:r>
      <w:r>
        <w:t xml:space="preserve">Enligt definitionen i kommissionens delegerade förordning (EU) nr 528/2014 av den 12 mars 2014 om komplettering av Europaparlamentets och rådets förordning (EU) nr 575/2013 vad gäller tekniska tillsynsstandarder för optioners icke-deltarisker i samband med standardmetoden för marknadsrisk (EUT L 148, 20.5.2014, s. 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Enligt definitionen i kommissionens delegerade förordning (EU) nr 528/2014 av den 12 mars 2014 om komplettering av Europaparlamentets och rådets förordning (EU) nr 575/2013 vad gäller tekniska tillsynsstandarder för optioners icke-deltarisker i samband med standardmetoden för marknadsrisk (EUT L 148, 20.5.2014, s. 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Enligt definitionen i kommissionens delegerade förordning (EU) nr 528/2014 av den 12 mars 2014 om komplettering av Europaparlamentets och rådets förordning (EU) nr 575/2013 vad gäller tekniska tillsynsstandarder för optioners icke-deltarisker i samband med standardmetoden för marknadsrisk (EUT L 148, 20.5.2014, s. 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Enligt definitionen i kommissionens delegerade förordning (EU) nr 528/2014 av den 12 mars 2014 om komplettering av Europaparlamentets och rådets förordning (EU) nr 575/2013 vad gäller tekniska tillsynsstandarder för optioners icke-deltarisker i samband med standardmetoden för marknadsrisk (EUT L 148, 20.5.2014, s. 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sv-SE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  <w:lang w:val="sv-SE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sv-S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V/TXT/?uri=OJ:L_202401623" TargetMode="External"/><Relationship Id="rId1" Type="http://schemas.openxmlformats.org/officeDocument/2006/relationships/hyperlink" Target="https://eur-lex.europa.eu/legal-content/SV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C7ECA-0F73-40D6-9DE5-6C70413F476B}"/>
</file>

<file path=customXml/itemProps3.xml><?xml version="1.0" encoding="utf-8"?>
<ds:datastoreItem xmlns:ds="http://schemas.openxmlformats.org/officeDocument/2006/customXml" ds:itemID="{AB137551-ACF1-4000-8A46-C0E36431C36E}"/>
</file>

<file path=customXml/itemProps4.xml><?xml version="1.0" encoding="utf-8"?>
<ds:datastoreItem xmlns:ds="http://schemas.openxmlformats.org/officeDocument/2006/customXml" ds:itemID="{BFA6100C-9E94-4033-A5D3-35DFACC2987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2826</Words>
  <Characters>15011</Characters>
  <Application>Microsoft Office Word</Application>
  <DocSecurity>0</DocSecurity>
  <Lines>428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2024-09-26T14:32:00Z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