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 xml:space="preserve">ΠΑΡΑΡΤΗΜΑ VI – Οδηγίες για τη δημοσιοποίηση πληροφοριών σχετικά με το πεδίο εφαρμογής του ρυθμιστικού πλαισίου</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b/>
          <w:sz w:val="24"/>
          <w:rFonts w:ascii="Times New Roman" w:hAnsi="Times New Roman" w:cs="Times New Roman"/>
        </w:rPr>
      </w:pPr>
      <w:r>
        <w:rPr>
          <w:sz w:val="24"/>
          <w:b/>
          <w:rFonts w:ascii="Times New Roman" w:hAnsi="Times New Roman"/>
        </w:rPr>
        <w:t xml:space="preserve">Υπόδειγμα EU-LI1 – Διαφορές μεταξύ του λογιστικού πεδίου εφαρμογής και του πεδίου εφαρμογής εποπτικής ενοποίησης και χαρτογράφηση κατηγοριών οικονομικών καταστάσεων με κατηγορίες ρυθμιστικού κινδύνου.</w:t>
      </w:r>
      <w:r>
        <w:rPr>
          <w:sz w:val="24"/>
          <w:rFonts w:ascii="Times New Roman" w:hAnsi="Times New Roman"/>
        </w:rPr>
        <w:t xml:space="preserve"> </w:t>
      </w:r>
      <w:r>
        <w:rPr>
          <w:sz w:val="24"/>
          <w:rFonts w:ascii="Times New Roman" w:hAnsi="Times New Roman"/>
        </w:rPr>
        <w:t xml:space="preserve">Ευέλικτος μορφότυπος.</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436 στοιχείο γ) του κανονισμού (ΕΕ) αριθ. 575/2013</w:t>
      </w:r>
      <w:r w:rsidRPr="007F4CC8">
        <w:rPr>
          <w:rStyle w:val="FootnoteReference"/>
        </w:rPr>
        <w:footnoteReference w:id="1"/>
      </w:r>
      <w:r>
        <w:rPr>
          <w:sz w:val="24"/>
          <w:rFonts w:ascii="Times New Roman" w:hAnsi="Times New Roman"/>
        </w:rPr>
        <w:t xml:space="preserve"> («ΚΚΑ») ακολουθώντας τις οδηγίες που παρέχονται παρακάτω στο παρόν παράρτημα για τη συμπλήρωση του υποδείγματος EU LI1, το οποίο παρατίθεται στο παράρτημα V των λύσεων ΤΠ της ΕΑΤ.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Νομικά κείμενα αναφοράς και οδηγίες</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 έως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Σύνολο στοιχείων ενεργητικού</w:t>
            </w:r>
            <w:r>
              <w:rPr>
                <w:b/>
                <w:sz w:val="24"/>
                <w:rFonts w:ascii="Times New Roman" w:hAnsi="Times New Roman"/>
              </w:rPr>
              <w:t xml:space="preserve"> </w:t>
            </w:r>
          </w:p>
          <w:p w14:paraId="77036C7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Η δομή των γραμμών είναι η ίδια με τη δομή γραμμών του ισολογισμού που χρησιμοποιείται στην τελευταία διαθέσιμη οικονομική αναφορά του ιδρύματος.</w:t>
            </w:r>
            <w:r>
              <w:rPr>
                <w:sz w:val="24"/>
                <w:rFonts w:ascii="Times New Roman" w:hAnsi="Times New Roman"/>
              </w:rPr>
              <w:t xml:space="preserve"> </w:t>
            </w:r>
          </w:p>
          <w:p w14:paraId="596558D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Η «χρηματοοικονομική πληροφόρηση» αναφέρεται στις ετήσιες ατομικές ή ενοποιημένες οικονομικές καταστάσεις που ορίζονται στα άρθρα 4 και 24 της οδηγίας (ΕΕ) 2013/34</w:t>
            </w:r>
            <w:r w:rsidRPr="007F4CC8">
              <w:rPr>
                <w:rStyle w:val="FootnoteReference"/>
                <w:rFonts w:eastAsia="Times New Roman" w:cs="Times New Roman"/>
              </w:rPr>
              <w:footnoteReference w:id="2"/>
            </w:r>
            <w:r>
              <w:rPr>
                <w:sz w:val="24"/>
                <w:rFonts w:ascii="Times New Roman" w:hAnsi="Times New Roman"/>
              </w:rPr>
              <w:t xml:space="preserve">, καθώς και (κατά περίπτωση) στις οικονομικές καταστάσεις κατά την έννοια των διεθνών λογιστικών προτύπων όπως εγκρίθηκαν από την ΕΕ κατά την εφαρμογή του κανονισμού (ΕΚ) αριθ. 1606/2002</w:t>
            </w:r>
            <w:r w:rsidRPr="007F4CC8">
              <w:rPr>
                <w:rStyle w:val="FootnoteReference"/>
                <w:rFonts w:eastAsia="Times New Roman" w:cs="Times New Roman"/>
              </w:rPr>
              <w:footnoteReference w:id="3"/>
            </w:r>
            <w:r>
              <w:rPr>
                <w:sz w:val="24"/>
                <w:rFonts w:ascii="Times New Roman" w:hAnsi="Times New Roman"/>
              </w:rPr>
              <w:t xml:space="preserve">.</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 έως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Σύνολο παθητικού</w:t>
            </w:r>
          </w:p>
          <w:p w14:paraId="3FFCF1F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Η δομή των γραμμών είναι η ίδια με τη δομή γραμμών του ισολογισμού που χρησιμοποιείται στην τελευταία διαθέσιμη οικονομική αναφορά του ιδρύματος.</w:t>
            </w:r>
            <w:r>
              <w:rPr>
                <w:sz w:val="24"/>
                <w:rFonts w:ascii="Times New Roman" w:hAnsi="Times New Roman"/>
              </w:rPr>
              <w:t xml:space="preserve"> </w:t>
            </w:r>
          </w:p>
          <w:p w14:paraId="65DBAE9A"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Η «χρηματοοικονομική πληροφόρηση» αναφέρεται στις ετήσιες ατομικές ή ενοποιημένες οικονομικές καταστάσεις που ορίζονται στα άρθρα 4 και 24 της οδηγίας 2013/34/ΕΕ, καθώς και (κατά περίπτωση) στις οικονομικές καταστάσεις κατά την έννοια των διεθνών λογιστικών προτύπων όπως εγκρίθηκαν από την ΕΕ κατά την εφαρμογή του κανονισμού (ΕΚ) αριθ. 1606/2002.</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Νομικά κείμενα αναφοράς και οδηγίες</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Αναφορά στήλης</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α</w:t>
            </w:r>
          </w:p>
        </w:tc>
        <w:tc>
          <w:tcPr>
            <w:tcW w:w="7655" w:type="dxa"/>
            <w:shd w:val="clear" w:color="auto" w:fill="FFFFFF" w:themeFill="background1"/>
          </w:tcPr>
          <w:p w14:paraId="189A484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Λογιστικές αξίες όπως αναφέρονται στις δημοσιευμένες οικονομικές καταστάσεις</w:t>
            </w:r>
          </w:p>
          <w:p w14:paraId="71D45C87"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Ποσό που αναφέρεται στο ενεργητικό και στο παθητικό του ισολογισμού που καταρτίζεται σύμφωνα με τις απαιτήσεις ενοποίησης στο ισχύον λογιστικό πλαίσιο, συμπεριλαμβανομένων πλαισίων που βασίζονται στην οδηγία 2013/34/ΕΕ και στην οδηγία 86/635/ΕΟΚ</w:t>
            </w:r>
            <w:r w:rsidRPr="007F4CC8">
              <w:rPr>
                <w:rStyle w:val="FootnoteReference"/>
                <w:rFonts w:eastAsia="Times New Roman" w:cs="Times New Roman"/>
              </w:rPr>
              <w:footnoteReference w:id="4"/>
            </w:r>
            <w:r>
              <w:rPr>
                <w:sz w:val="24"/>
                <w:rFonts w:ascii="Times New Roman" w:hAnsi="Times New Roman"/>
              </w:rPr>
              <w:t xml:space="preserve">, ή στα διεθνή λογιστικά πρότυπα όπως έχουν εγκριθεί στην ΕΕ</w:t>
            </w:r>
            <w:r>
              <w:rPr>
                <w:sz w:val="24"/>
                <w:rFonts w:ascii="Times New Roman" w:hAnsi="Times New Roman"/>
              </w:rPr>
              <w:t xml:space="preserve">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β</w:t>
            </w:r>
          </w:p>
        </w:tc>
        <w:tc>
          <w:tcPr>
            <w:tcW w:w="7655" w:type="dxa"/>
            <w:shd w:val="clear" w:color="auto" w:fill="FFFFFF" w:themeFill="background1"/>
          </w:tcPr>
          <w:p w14:paraId="77E7A6A9"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Λογιστικές αξίες βάσει του πεδίου εφαρμογής της εποπτικής ενοποίησης</w:t>
            </w:r>
            <w:r>
              <w:rPr>
                <w:b/>
                <w:sz w:val="24"/>
                <w:rFonts w:ascii="Times New Roman" w:hAnsi="Times New Roman"/>
              </w:rPr>
              <w:t xml:space="preserve"> </w:t>
            </w:r>
          </w:p>
          <w:p w14:paraId="0CF19370" w14:textId="77777777" w:rsidR="00C04D6C" w:rsidRPr="007F4CC8" w:rsidRDefault="00C04D6C" w:rsidP="00D819DE">
            <w:pPr>
              <w:jc w:val="both"/>
              <w:rPr>
                <w:sz w:val="24"/>
                <w:rFonts w:ascii="Times New Roman" w:hAnsi="Times New Roman" w:cs="Times New Roman"/>
              </w:rPr>
            </w:pPr>
            <w:r>
              <w:rPr>
                <w:sz w:val="24"/>
                <w:rFonts w:ascii="Times New Roman" w:hAnsi="Times New Roman"/>
              </w:rPr>
              <w:t xml:space="preserve">Ποσό που αναφέρεται στο ενεργητικό και στο παθητικό του ισολογισμού που καταρτίζεται σύμφωνα με τις απαιτήσεις ρυθμιστικής ενοποίησης του πρώτου μέρους τίτλος II τμήματα 2 και 3 του ΚΚΑ</w:t>
            </w:r>
          </w:p>
          <w:p w14:paraId="2AB1F4D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Εάν το πεδίο εφαρμογής της λογιστικής ενοποίησης και το πεδίο εφαρμογής της εποπτικής ενοποίησης είναι ακριβώς τα ίδια, οι στήλες α) και β) του παρόντος υποδείγματος συγχωνεύονται.</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γ</w:t>
            </w:r>
          </w:p>
        </w:tc>
        <w:tc>
          <w:tcPr>
            <w:tcW w:w="7655" w:type="dxa"/>
            <w:shd w:val="clear" w:color="auto" w:fill="FFFFFF" w:themeFill="background1"/>
          </w:tcPr>
          <w:p w14:paraId="63176B4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Λογιστικές αξίες στοιχείων που υπόκεινται στο πλαίσιο του πιστωτικού κινδύνου</w:t>
            </w:r>
          </w:p>
          <w:p w14:paraId="147B3513"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Λογιστικά ποσά στο πλαίσιο του πεδίου εφαρμογής της εποπτικής ενοποίησης στοιχείων (εκτός των στοιχείων εκτός ισολογισμού) για τα οποία ισχύει το τρίτο μέρος τίτλος II κεφάλαια 2 και 3 του ΚΚΑ</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δ</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b/>
                <w:sz w:val="24"/>
                <w:rFonts w:ascii="Times New Roman" w:eastAsia="Times New Roman" w:hAnsi="Times New Roman" w:cs="Times New Roman"/>
              </w:rPr>
            </w:pPr>
            <w:r>
              <w:rPr>
                <w:b/>
                <w:sz w:val="24"/>
                <w:rFonts w:ascii="Times New Roman" w:hAnsi="Times New Roman"/>
              </w:rPr>
              <w:t xml:space="preserve">Λογιστικές αξίες στοιχείων που υπόκεινται στο πλαίσιο του πιστωτικού κινδύνου αντισυμβαλλομένου</w:t>
            </w:r>
          </w:p>
          <w:p w14:paraId="64D3EA20"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Λογιστικά ποσά στο πλαίσιο του πεδίου εφαρμογής της εποπτικής ενοποίησης στοιχείων (εκτός των στοιχείων εκτός ισολογισμού) για τα οποία ισχύει το τρίτο μέρος τίτλος II κεφάλαιο 6 του ΚΚΑ</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ε</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Λογιστικές αξίες στοιχείων που υπόκεινται στο πλαίσιο της τιτλοποίησης</w:t>
            </w:r>
            <w:r>
              <w:rPr>
                <w:b/>
                <w:sz w:val="24"/>
                <w:rFonts w:ascii="Times New Roman" w:hAnsi="Times New Roman"/>
              </w:rPr>
              <w:t xml:space="preserve"> </w:t>
            </w:r>
          </w:p>
          <w:p w14:paraId="7880C10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Λογιστικά ποσά στο πλαίσιο του πεδίου εφαρμογής της εποπτικής ενοποίησης στοιχείων (εκτός των στοιχείων εκτός ισολογισμού) εκτός του χαρτοφυλακίου συναλλαγών για τα οποία ισχύει το τρίτο μέρος τίτλος II κεφάλαιο 5 του ΚΚΑ</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στ</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Λογιστικές αξίες στοιχείων που υπόκεινται στο πλαίσιο του κινδύνου αγοράς</w:t>
            </w:r>
          </w:p>
          <w:p w14:paraId="2081B8AC"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Λογιστικά ποσά στο πλαίσιο του πεδίου εφαρμογής της εποπτικής ενοποίησης στοιχείων (εκτός των στοιχείων εκτός ισολογισμού) για τα οποία ισχύει το τρίτο μέρος τίτλος IV του ΚΚΑ</w:t>
            </w:r>
            <w:r>
              <w:rPr>
                <w:sz w:val="24"/>
                <w:rFonts w:ascii="Times New Roman" w:hAnsi="Times New Roman"/>
              </w:rPr>
              <w:t xml:space="preserve"> </w:t>
            </w:r>
            <w:r>
              <w:rPr>
                <w:sz w:val="24"/>
                <w:rFonts w:ascii="Times New Roman" w:hAnsi="Times New Roman"/>
              </w:rPr>
              <w:t xml:space="preserve">Σε αυτήν τη στήλη περιλαμβάνονται στοιχεία που αντιστοιχούν σε θέσεις τιτλοποίησης στο χαρτοφυλάκιο συναλλαγών για τα οποία ισχύουν οι απαιτήσεις στο τρίτο μέρος τίτλος IV του ΚΚΑ.</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ζ</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Λογιστικές αξίες στοιχείων που δεν υπόκεινται σε απαιτήσεις ιδίων κεφαλαίων, ή που υπόκεινται σε αφαίρεση από τα ίδια κεφάλαια</w:t>
            </w:r>
          </w:p>
          <w:p w14:paraId="2DE2BC8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Λογιστικά ποσά στο πλαίσιο του πεδίου εφαρμογής της εποπτικής ενοποίησης στοιχείων (εκτός των στοιχείων εκτός ισολογισμού) που δεν υπόκεινται σε απαιτήσεις ιδίων κεφαλαίων σύμφωνα με τον ΚΚΑ·</w:t>
            </w:r>
            <w:r>
              <w:rPr>
                <w:sz w:val="24"/>
                <w:rFonts w:ascii="Times New Roman" w:hAnsi="Times New Roman"/>
              </w:rPr>
              <w:t xml:space="preserve"> </w:t>
            </w:r>
            <w:r>
              <w:rPr>
                <w:sz w:val="24"/>
                <w:rFonts w:ascii="Times New Roman" w:hAnsi="Times New Roman"/>
              </w:rPr>
              <w:t xml:space="preserve">λογιστικά ποσά στο πλαίσιο του πεδίου εφαρμογής της εποπτικής ενοποίησης στοιχείων (εκτός των στοιχείων εκτός ισολογισμού) που υπόκεινται σε αφαιρέσεις από τα ίδια κεφάλαια σύμφωνα με το δεύτερο μέρος του ΚΚΑ</w:t>
            </w:r>
          </w:p>
          <w:p w14:paraId="6E671A99"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Στα στοιχεία που αφαιρούνται μπορεί να περιλαμβάνονται, για παράδειγμα, τα στοιχεία που αναφέρονται στα άρθρα 37, 38, 39 και 41 του ΚΚΑ.</w:t>
            </w:r>
            <w:r>
              <w:rPr>
                <w:sz w:val="24"/>
                <w:rFonts w:ascii="Times New Roman" w:hAnsi="Times New Roman"/>
              </w:rPr>
              <w:t xml:space="preserve"> </w:t>
            </w:r>
          </w:p>
          <w:p w14:paraId="0474491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Τα ποσά για τα στοιχεία του ενεργητικού είναι τα ποσά που αφαιρούνται πραγματικά από τα ίδια κεφάλαια, λαμβανομένου υπόψη τυχόν συμψηφισμού με υποχρεώσεις που επιτρέπεται με (και τυχόν κατώτατου ορίου για) αφαίρεση που ισχύει σύμφωνα με τα σχετικά άρθρα στο δεύτερο μέρος του ΚΚΑ.</w:t>
            </w:r>
          </w:p>
          <w:p w14:paraId="7C247A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Όταν τα στοιχεία που αναφέρονται στο άρθρο 36 παράγραφος 1 στοιχείο ια) και στο άρθρο 48 του ΚΚΑ υπόκεινται σε στάθμιση κινδύνου 1 250 %, αντί να αφαιρούνται, δεν δημοσιοποιούνται στη στήλη ζ) του παρόντος υποδείγματος, αλλά στις άλλες κατάλληλες στήλες του υποδείγματος EU LI1.</w:t>
            </w:r>
            <w:r>
              <w:rPr>
                <w:sz w:val="24"/>
                <w:rFonts w:ascii="Times New Roman" w:hAnsi="Times New Roman"/>
              </w:rPr>
              <w:t xml:space="preserve"> </w:t>
            </w:r>
            <w:r>
              <w:rPr>
                <w:sz w:val="24"/>
                <w:rFonts w:ascii="Times New Roman" w:hAnsi="Times New Roman"/>
              </w:rPr>
              <w:t xml:space="preserve">Αυτό ισχύει και για οποιοδήποτε άλλο στοιχείο υπόκειται σε στάθμιση κινδύνου 1 250 % σύμφωνα με τις απαιτήσεις του ΚΚΑ.</w:t>
            </w:r>
          </w:p>
          <w:p w14:paraId="1E8AD1D2"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Τα ποσά για υποχρεώσεις είναι το ποσό των υποχρεώσεων που πρέπει να ληφθεί υπόψη για τον προσδιορισμό του ποσού του ενεργητικού που πρέπει να αφαιρεθεί από τα ίδια κεφάλαια σύμφωνα με τα σχετικά άρθρα του δεύτερου μέρους του ΚΚΑ.</w:t>
            </w:r>
            <w:r>
              <w:rPr>
                <w:sz w:val="24"/>
                <w:rFonts w:ascii="Times New Roman" w:hAnsi="Times New Roman"/>
              </w:rPr>
              <w:t xml:space="preserve"> </w:t>
            </w:r>
            <w:r>
              <w:rPr>
                <w:sz w:val="24"/>
                <w:rFonts w:ascii="Times New Roman" w:hAnsi="Times New Roman"/>
              </w:rPr>
              <w:t xml:space="preserve">Επιπλέον, σε αυτήν τη στήλη δημοσιοποιούνται όλα τα στοιχεία του παθητικού εκτός από όσα (i) αφορούν την εφαρμογή των απαιτήσεων στο τρίτο μέρος τίτλος II κεφάλαιο 4 του ΚΚΑ, ή (ii) αφορούν την εφαρμογή των απαιτήσεων στο τρίτο μέρος τίτλος II κεφάλαιο 6 του ΚΚΑ και στο τρίτο μέρος τίτλος IV του ΚΚΑ.</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όλες</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b/>
                <w:color w:val="000000" w:themeColor="text1"/>
                <w:sz w:val="24"/>
                <w:rFonts w:ascii="Times New Roman" w:eastAsia="Times New Roman" w:hAnsi="Times New Roman" w:cs="Times New Roman"/>
              </w:rPr>
            </w:pPr>
            <w:r>
              <w:rPr>
                <w:sz w:val="24"/>
                <w:rFonts w:ascii="Times New Roman" w:hAnsi="Times New Roman"/>
              </w:rPr>
              <w:t xml:space="preserve">Όταν ένα μεμονωμένο στοιχείο συνεπάγεται κεφαλαιακές απαιτήσεις σύμφωνα με περισσότερα από ένα πλαίσια κινδύνου, οι αξίες δημοσιοποιούνται σε όλες τις στήλες που αντιστοιχούν στις κεφαλαιακές απαιτήσεις τις οποίες αφορούν.</w:t>
            </w:r>
            <w:r>
              <w:rPr>
                <w:sz w:val="24"/>
                <w:rFonts w:ascii="Times New Roman" w:hAnsi="Times New Roman"/>
              </w:rPr>
              <w:t xml:space="preserve"> </w:t>
            </w:r>
            <w:r>
              <w:rPr>
                <w:sz w:val="24"/>
                <w:rFonts w:ascii="Times New Roman" w:hAnsi="Times New Roman"/>
              </w:rPr>
              <w:t xml:space="preserve">Κατά συνέπεια, το άθροισμα των ποσών στις στήλες γ) έως ζ) του παρόντος υποδείγματος μπορεί να είναι μεγαλύτερο από το ποσό στη στήλη β) του παρόντος υποδείγματος.</w:t>
            </w:r>
            <w:r>
              <w:rPr>
                <w:sz w:val="24"/>
                <w:rFonts w:ascii="Times New Roman" w:hAnsi="Times New Roman"/>
              </w:rPr>
              <w:t xml:space="preserve"> </w:t>
            </w:r>
            <w:r>
              <w:rPr>
                <w:sz w:val="24"/>
                <w:rFonts w:ascii="Times New Roman" w:hAnsi="Times New Roman"/>
              </w:rPr>
              <w:t xml:space="preserve">Τα ιδρύματα παρέχουν ποιοτικές εξηγήσεις για τα στοιχεία του ενεργητικού και του παθητικού που υπόκεινται σε κεφαλαιακές απαιτήσεις για περισσότερα από ένα πλαίσια κινδύνου που αναφέρονται στο τρίτο μέρος του ΚΚΑ.</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b/>
          <w:sz w:val="24"/>
          <w:rFonts w:ascii="Times New Roman" w:hAnsi="Times New Roman" w:cs="Times New Roman"/>
        </w:rPr>
      </w:pPr>
      <w:r>
        <w:rPr>
          <w:sz w:val="24"/>
          <w:b/>
          <w:rFonts w:ascii="Times New Roman" w:hAnsi="Times New Roman"/>
        </w:rPr>
        <w:t xml:space="preserve">Υπόδειγμα EU LI2 – Κύριες πηγές διαφορών μεταξύ κανονιστικών ποσών ανοίγματος και λογιστικών αξιών στις οικονομικές καταστάσεις.</w:t>
      </w:r>
      <w:r>
        <w:rPr>
          <w:sz w:val="24"/>
          <w:b/>
          <w:rFonts w:ascii="Times New Roman" w:hAnsi="Times New Roman"/>
        </w:rPr>
        <w:t xml:space="preserve"> </w:t>
      </w:r>
      <w:r>
        <w:rPr>
          <w:sz w:val="24"/>
          <w:rFonts w:ascii="Times New Roman" w:hAnsi="Times New Roman"/>
        </w:rPr>
        <w:t xml:space="preserve">Σταθερός μορφότυπος.</w:t>
      </w:r>
      <w:r>
        <w:rPr>
          <w:sz w:val="24"/>
          <w:b/>
          <w:rFonts w:ascii="Times New Roman" w:hAnsi="Times New Roman"/>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color w:val="000000" w:themeColor="text1"/>
          <w:rFonts w:ascii="Times New Roman" w:hAnsi="Times New Roman"/>
        </w:rPr>
        <w:t xml:space="preserve">Τα ιδρύματα δημοσιοποιούν τις πληροφορίες που αναφέρονται στο άρθρο 436 στοιχείο δ) του ΚΚΑ ακολουθώντας τις οδηγίες που παρέχονται παρακάτω στο παρόν παράρτημα για τη συμπλήρωση του υποδείγματος EU LI2, το οποίο παρατίθεται στο παράρτημα 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Νομικά κείμενα αναφοράς και οδηγίες</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w:t>
            </w:r>
          </w:p>
        </w:tc>
        <w:tc>
          <w:tcPr>
            <w:tcW w:w="7655" w:type="dxa"/>
            <w:shd w:val="clear" w:color="auto" w:fill="FFFFFF" w:themeFill="background1"/>
          </w:tcPr>
          <w:p w14:paraId="011E728E"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Λογιστική αξία ενεργητικού βάσει του πεδίου εφαρμογής της εποπτικής ενοποίησης</w:t>
            </w:r>
          </w:p>
          <w:p w14:paraId="081D690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Τα ποσά στις στήλες β) έως ε) του παρόντος υποδείγματος είναι τα ίδια με τα ποσά στις στήλες γ) έως στ) του υποδείγματος EU LI1.</w:t>
            </w:r>
            <w:r>
              <w:rPr>
                <w:sz w:val="24"/>
                <w:rFonts w:ascii="Times New Roman" w:hAnsi="Times New Roman"/>
              </w:rPr>
              <w:t xml:space="preserve">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Λογιστική αξία παθητικού βάσει του πεδίου εφαρμογής της εποπτικής ενοποίησης</w:t>
            </w:r>
          </w:p>
          <w:p w14:paraId="3C83C58B"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Τα ποσά στις στήλες β) έως ε) του παρόντος υποδείγματος είναι τα ίδια με τα ποσά στις στήλες γ) έως στ) του υποδείγματος EU LI1.</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3</w:t>
            </w:r>
          </w:p>
        </w:tc>
        <w:tc>
          <w:tcPr>
            <w:tcW w:w="7655" w:type="dxa"/>
            <w:shd w:val="clear" w:color="auto" w:fill="FFFFFF" w:themeFill="background1"/>
          </w:tcPr>
          <w:p w14:paraId="28B60EA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Συνολικό καθαρό ποσό βάσει του πεδίου εφαρμογής της εποπτικής ενοποίησης</w:t>
            </w:r>
            <w:r>
              <w:rPr>
                <w:b/>
                <w:sz w:val="24"/>
                <w:rFonts w:ascii="Times New Roman" w:hAnsi="Times New Roman"/>
              </w:rPr>
              <w:t xml:space="preserve"> </w:t>
            </w:r>
          </w:p>
          <w:p w14:paraId="6B5D974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Ποσό μετά τον συμψηφισμό εντός ισολογισμού μεταξύ ενεργητικού και παθητικού στο πλαίσιο του πεδίου εφαρμογής της εποπτικής ενοποίησης, ανεξάρτητα από την επιλεξιμότητα των εν λόγω στοιχείων ενεργητικού και παθητικού των ειδικών κανόνων συμψηφισμού κατά την εφαρμογή του τρίτου μέρους τίτλος II κεφάλαια 4 και 5 του ΚΚΑ και του τρίτου μέρους τίτλος IV του ΚΚΑ.</w:t>
            </w:r>
          </w:p>
          <w:p w14:paraId="0082555F"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Το ποσό σε αυτήν τη γραμμή είναι ίσο με την αξία στη γραμμή 1 αφαιρουμένης της αξίας στη γραμμή 2 του παρόντος υποδείγματος.</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4</w:t>
            </w:r>
          </w:p>
        </w:tc>
        <w:tc>
          <w:tcPr>
            <w:tcW w:w="7655" w:type="dxa"/>
            <w:shd w:val="clear" w:color="auto" w:fill="FFFFFF" w:themeFill="background1"/>
          </w:tcPr>
          <w:p w14:paraId="7FF54E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Ποσά εκτός ισολογισμού</w:t>
            </w:r>
          </w:p>
          <w:p w14:paraId="00C5BCD8"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Συμπεριλαμβάνονται αρχικά ανοίγματα εκτός ισολογισμού, πριν από τη χρήση συντελεστή μετατροπής, κατά περίπτωση, από την καταρτισθείσα κατάσταση στοιχείων εκτός ισολογισμού, σύμφωνα με το πεδίο εφαρμογής της εποπτικής ενοποίησης στη στήλη α) έως δ) του παρόντος υποδείγματος.</w:t>
            </w:r>
            <w:r>
              <w:rPr>
                <w:sz w:val="24"/>
                <w:rFonts w:ascii="Times New Roman" w:hAnsi="Times New Roman"/>
              </w:rPr>
              <w:t xml:space="preserve">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5</w:t>
            </w:r>
          </w:p>
        </w:tc>
        <w:tc>
          <w:tcPr>
            <w:tcW w:w="7655" w:type="dxa"/>
            <w:shd w:val="clear" w:color="auto" w:fill="FFFFFF" w:themeFill="background1"/>
          </w:tcPr>
          <w:p w14:paraId="3C19E71F"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Διαφορές στις αποτιμήσεις</w:t>
            </w:r>
          </w:p>
          <w:p w14:paraId="48C473F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Αντίκτυπος της λογιστικής αξίας των προσαρμογών αξίας σύμφωνα με το δεύτερο μέρος τίτλος Ι κεφάλαιο 2 άρθρο 34 του ΚΚΑ και με το τρίτο μέρος τίτλος I κεφάλαιο 3 άρθρο 105 του ΚΚΑ επί των ανοιγμάτων εντός και εκτός χαρτοφυλακίου συναλλαγών, μετρούμενων στην εύλογη αξία σύμφωνα με το ισχύον λογιστικό πλαίσιο.</w:t>
            </w:r>
          </w:p>
          <w:p w14:paraId="33A2A80C"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Αυτό το ποσό είναι συναφές με το ποσό στη γραμμή 7 του υποδείγματος EU CC1, καθώς και με το ποσό στη γραμμή 12 στήλη στ) του υποδείγματος EU PV1.</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6</w:t>
            </w:r>
          </w:p>
        </w:tc>
        <w:tc>
          <w:tcPr>
            <w:tcW w:w="7655" w:type="dxa"/>
            <w:shd w:val="clear" w:color="auto" w:fill="FFFFFF" w:themeFill="background1"/>
          </w:tcPr>
          <w:p w14:paraId="3A8E70A3"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Διαφορές που οφείλονται σε διαφορετικούς κανόνες συμψηφισμού, εκτός από όσες περιλαμβάνονται ήδη στη γραμμή 2 του παρόντος υποδείγματος</w:t>
            </w:r>
          </w:p>
          <w:p w14:paraId="0583DDBB" w14:textId="77777777" w:rsidR="00C04D6C" w:rsidRPr="007F4CC8" w:rsidRDefault="00C04D6C" w:rsidP="00D819DE">
            <w:pPr>
              <w:spacing w:before="60" w:after="120"/>
              <w:jc w:val="both"/>
              <w:rPr>
                <w:i/>
                <w:sz w:val="24"/>
                <w:rFonts w:ascii="Times New Roman" w:eastAsia="Times New Roman" w:hAnsi="Times New Roman" w:cs="Times New Roman"/>
              </w:rPr>
            </w:pPr>
            <w:r>
              <w:rPr>
                <w:sz w:val="24"/>
                <w:rFonts w:ascii="Times New Roman" w:hAnsi="Times New Roman"/>
              </w:rPr>
              <w:t xml:space="preserve">Αυτό το στοιχείο αφορά τα καθαρά ποσά ανοιγμάτων εντός και εκτός ισολογισμού μετά την εφαρμογή των ειδικών κανόνων συμψηφισμού στο τρίτο μέρος τίτλος II κεφάλαια 4 και 5 του ΚΚΑ και στο τρίτο μέρος τίτλος IV του ΚΚΑ.</w:t>
            </w:r>
            <w:r>
              <w:rPr>
                <w:sz w:val="24"/>
                <w:rFonts w:ascii="Times New Roman" w:hAnsi="Times New Roman"/>
              </w:rPr>
              <w:t xml:space="preserve"> </w:t>
            </w:r>
            <w:r>
              <w:rPr>
                <w:sz w:val="24"/>
                <w:rFonts w:ascii="Times New Roman" w:hAnsi="Times New Roman"/>
              </w:rPr>
              <w:t xml:space="preserve">Ο αντίκτυπος της εφαρμογής των κανόνων συμψηφισμού μπορεί να είναι αρνητικός (σε περίπτωση που πρέπει να συμψηφιστούν περισσότερα ανοίγματα από τη χρήση συμψηφισμού εντός ισολογισμού στη γραμμή 2 του παρόντος υποδείγματος) ή θετικός (στην περίπτωση που η εφαρμογή των κανόνων συμψηφισμού στον ΚΚΑ οδηγεί σε συμψηφισμό χαμηλότερου ποσού από τον συμψηφισμό εντός ισολογισμού στη γραμμή 2 του παρόντος υποδείγματος).</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7</w:t>
            </w:r>
          </w:p>
        </w:tc>
        <w:tc>
          <w:tcPr>
            <w:tcW w:w="7655" w:type="dxa"/>
            <w:shd w:val="clear" w:color="auto" w:fill="FFFFFF" w:themeFill="background1"/>
          </w:tcPr>
          <w:p w14:paraId="788C1A56"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Διαφορές λόγω σχετικών προβλέψεων</w:t>
            </w:r>
          </w:p>
          <w:p w14:paraId="31DB4868"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Επανένταξη στην αξία ανοιγμάτων συγκεκριμένων και γενικών προσαρμογών πιστωτικού κινδύνου (όπως ορίζεται στον κατ’ εξουσιοδότηση κανονισμό (ΕΕ) αριθ. 183/2014 της Επιτροπής</w:t>
            </w:r>
            <w:r w:rsidRPr="007F4CC8">
              <w:rPr>
                <w:rStyle w:val="FootnoteReference"/>
                <w:rFonts w:eastAsia="Times New Roman" w:cs="Times New Roman"/>
              </w:rPr>
              <w:footnoteReference w:id="5"/>
            </w:r>
            <w:r>
              <w:rPr>
                <w:sz w:val="24"/>
                <w:rFonts w:ascii="Times New Roman" w:hAnsi="Times New Roman"/>
              </w:rPr>
              <w:t xml:space="preserve">) που έχουν αφαιρεθεί σύμφωνα με το εφαρμοστέο λογιστικό πλαίσιο από τη λογιστική αξία των ανοιγμάτων βάσει του τρίτου μέρους τίτλος II κεφάλαιο 3 του ΚΚΑ για σκοπούς στάθμισης κινδύνου.</w:t>
            </w:r>
            <w:r>
              <w:rPr>
                <w:sz w:val="24"/>
                <w:rFonts w:ascii="Times New Roman" w:hAnsi="Times New Roman"/>
              </w:rPr>
              <w:t xml:space="preserve"> </w:t>
            </w:r>
            <w:r>
              <w:rPr>
                <w:sz w:val="24"/>
                <w:rFonts w:ascii="Times New Roman" w:hAnsi="Times New Roman"/>
              </w:rPr>
              <w:t xml:space="preserve">Όσον αφορά τα σταθμισμένα ως προς τον κίνδυνο ανοίγματα σύμφωνα με το τρίτο μέρος τίτλος II κεφάλαιο 2 του ΚΚΑ, όταν η λογιστική αξία στις οικονομικές καταστάσεις στο πλαίσιο του πεδίου εφαρμογής της εποπτικής ενοποίησης έχει μειωθεί από στοιχεία που χαρακτηρίζονται ως γενικές προσαρμογές πιστωτικού κινδύνου βάσει του προαναφερθέντος κατ’ εξουσιοδότηση κανονισμού, τα στοιχεία αυτά επανεντάσσονται στην αξία των ανοιγμάτων.</w:t>
            </w:r>
            <w:r>
              <w:rPr>
                <w:sz w:val="24"/>
                <w:rFonts w:ascii="Times New Roman" w:hAnsi="Times New Roman"/>
              </w:rPr>
              <w:t xml:space="preserve">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8</w:t>
            </w:r>
          </w:p>
        </w:tc>
        <w:tc>
          <w:tcPr>
            <w:tcW w:w="7655" w:type="dxa"/>
            <w:shd w:val="clear" w:color="auto" w:fill="FFFFFF" w:themeFill="background1"/>
          </w:tcPr>
          <w:p w14:paraId="1F94DD70"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Διαφορές λόγω της χρήσης τεχνικών μείωσης πιστωτικού κινδύνου</w:t>
            </w:r>
            <w:r>
              <w:rPr>
                <w:b/>
                <w:i/>
                <w:sz w:val="24"/>
                <w:rFonts w:ascii="Times New Roman" w:hAnsi="Times New Roman"/>
              </w:rPr>
              <w:t xml:space="preserve">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Αντίκτυπος επί της αξίας ανοίγματος στο πλαίσιο του πεδίου εφαρμογής της εποπτικής ενοποίησης κατά τη χρήση τεχνικών μείωσης του πιστωτικού κινδύνου όπως ορίζεται στον ΚΚΑ.</w:t>
            </w:r>
            <w:r>
              <w:rPr>
                <w:sz w:val="24"/>
                <w:rFonts w:ascii="Times New Roman" w:hAnsi="Times New Roman"/>
              </w:rPr>
              <w:t xml:space="preserve">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9</w:t>
            </w:r>
          </w:p>
        </w:tc>
        <w:tc>
          <w:tcPr>
            <w:tcW w:w="7655" w:type="dxa"/>
            <w:shd w:val="clear" w:color="auto" w:fill="FFFFFF" w:themeFill="background1"/>
          </w:tcPr>
          <w:p w14:paraId="1E44E476"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Διαφορές λόγω συντελεστών μετατροπής πιστωτικού κινδύνου</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Αντίκτυπος επί της αξίας ανοίγματος των εκτός ισολογισμού ανοιγμάτων στο πλαίσιο του πεδίου εφαρμογής της εποπτικής ενοποίησης κατά τη χρήση των σχετικών συντελεστών μετατροπής σύμφωνα με τον ΚΚΑ.</w:t>
            </w:r>
          </w:p>
          <w:p w14:paraId="75BD9AEB" w14:textId="77777777" w:rsidR="00C04D6C" w:rsidRPr="007F4CC8" w:rsidRDefault="00C04D6C" w:rsidP="00D819DE">
            <w:pPr>
              <w:spacing w:after="120"/>
              <w:jc w:val="both"/>
              <w:rPr>
                <w:b/>
                <w:sz w:val="24"/>
                <w:rFonts w:ascii="Times New Roman" w:eastAsia="Times New Roman" w:hAnsi="Times New Roman" w:cs="Times New Roman"/>
              </w:rPr>
            </w:pPr>
            <w:r>
              <w:rPr>
                <w:sz w:val="24"/>
                <w:rFonts w:ascii="Times New Roman" w:hAnsi="Times New Roman"/>
              </w:rPr>
              <w:t xml:space="preserve">Ο συντελεστής μετατροπής για τα σταθμισμένα ως προς τον κίνδυνο στοιχεία εκτός ισολογισμού κατά την εφαρμογή του τρίτου μέρους τίτλος II του ΚΚΑ καθορίζεται σύμφωνα με τα άρθρα 111, 166, 167 και 182 (όπως ισχύουν για τον πιστωτικό κίνδυνο), και με το άρθρο 246 του ΚΚΑ (όπως ισχύει για τον κίνδυνο τιτλοποίησης).</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10</w:t>
            </w:r>
          </w:p>
        </w:tc>
        <w:tc>
          <w:tcPr>
            <w:tcW w:w="7655" w:type="dxa"/>
            <w:shd w:val="clear" w:color="auto" w:fill="FFFFFF" w:themeFill="background1"/>
          </w:tcPr>
          <w:p w14:paraId="5F1391ED" w14:textId="77777777" w:rsidR="00C04D6C" w:rsidRPr="007F4CC8" w:rsidRDefault="00C04D6C" w:rsidP="00D819DE">
            <w:pPr>
              <w:spacing w:after="240"/>
              <w:jc w:val="both"/>
              <w:rPr>
                <w:b/>
                <w:i/>
                <w:sz w:val="24"/>
                <w:rFonts w:ascii="Times New Roman" w:eastAsia="Times New Roman" w:hAnsi="Times New Roman" w:cs="Times New Roman"/>
              </w:rPr>
            </w:pPr>
            <w:r>
              <w:rPr>
                <w:b/>
                <w:i/>
                <w:sz w:val="24"/>
                <w:rFonts w:ascii="Times New Roman" w:hAnsi="Times New Roman"/>
              </w:rPr>
              <w:t xml:space="preserve">Διαφορές λόγω τιτλοποίησης με μεταφορά κινδύνου</w:t>
            </w:r>
          </w:p>
          <w:p w14:paraId="0CD216A1"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Αντίκτυπος επί της αξίας ανοίγματος τιτλοποιημένων ανοιγμάτων από τη χρήση τιτλοποιημένων συναλλαγών για τη μεταφορά πιστωτικού κινδύνου σε τρίτους σύμφωνα με τον ΚΚΑ.</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11</w:t>
            </w:r>
          </w:p>
        </w:tc>
        <w:tc>
          <w:tcPr>
            <w:tcW w:w="7655" w:type="dxa"/>
            <w:shd w:val="clear" w:color="auto" w:fill="FFFFFF" w:themeFill="background1"/>
          </w:tcPr>
          <w:p w14:paraId="7523D1FE" w14:textId="77777777" w:rsidR="00C04D6C" w:rsidRPr="007F4CC8" w:rsidRDefault="00C04D6C" w:rsidP="00D819DE">
            <w:pPr>
              <w:spacing w:before="60" w:after="120"/>
              <w:jc w:val="both"/>
              <w:rPr>
                <w:b/>
                <w:i/>
                <w:sz w:val="24"/>
                <w:rFonts w:ascii="Times New Roman" w:eastAsia="Times New Roman" w:hAnsi="Times New Roman" w:cs="Times New Roman"/>
              </w:rPr>
            </w:pPr>
            <w:r>
              <w:rPr>
                <w:i/>
                <w:sz w:val="24"/>
                <w:b/>
                <w:rFonts w:ascii="Times New Roman" w:hAnsi="Times New Roman"/>
              </w:rPr>
              <w:t xml:space="preserve">Άλλες διαφορές </w:t>
            </w:r>
            <w:r>
              <w:rPr>
                <w:i/>
                <w:sz w:val="24"/>
                <w:rFonts w:ascii="Times New Roman" w:hAnsi="Times New Roman"/>
              </w:rPr>
              <w:t xml:space="preserve">(εάν υπάρχουν)</w:t>
            </w:r>
          </w:p>
          <w:p w14:paraId="7A3BEA11"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Άλλοι σημαντικοί παράγοντες για διαφορές μεταξύ των λογιστικών αξιών των οικονομικών καταστάσεων στο πλαίσιο του κανονιστικού πεδίου εφαρμογής και των ποσών ανοιγμάτων που λαμβάνονται υπόψη για κανονιστικούς σκοπούς.</w:t>
            </w:r>
          </w:p>
          <w:p w14:paraId="678F847C" w14:textId="77777777" w:rsidR="00C04D6C" w:rsidRPr="007F4CC8" w:rsidRDefault="00C04D6C" w:rsidP="00D819DE">
            <w:pPr>
              <w:spacing w:before="60" w:after="120"/>
              <w:jc w:val="both"/>
              <w:rPr>
                <w:b/>
                <w:i/>
                <w:sz w:val="24"/>
                <w:rFonts w:ascii="Times New Roman" w:eastAsia="Times New Roman" w:hAnsi="Times New Roman" w:cs="Times New Roman"/>
              </w:rPr>
            </w:pPr>
            <w:r>
              <w:rPr>
                <w:sz w:val="24"/>
                <w:rFonts w:ascii="Times New Roman" w:hAnsi="Times New Roman"/>
              </w:rPr>
              <w:t xml:space="preserve">Τα ιδρύματα συμπληρώνουν τα ποσοτικά στοιχεία δημοσιοποίησης που περιλαμβάνονται σε αυτήν τη γραμμή με ποιοτικές εξηγήσεις σχετικά με τους κύριους παράγοντες των διαφορών αυτών στον πίνακα EU 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12</w:t>
            </w:r>
          </w:p>
        </w:tc>
        <w:tc>
          <w:tcPr>
            <w:tcW w:w="7655" w:type="dxa"/>
            <w:shd w:val="clear" w:color="auto" w:fill="FFFFFF" w:themeFill="background1"/>
          </w:tcPr>
          <w:p w14:paraId="2416DA9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Ποσά ανοίγματος που λαμβάνονται υπόψη για κανονιστικούς σκοπούς</w:t>
            </w:r>
          </w:p>
          <w:p w14:paraId="1BCDD66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Συνολικό ποσό που θεωρείται ως αφετηρία του υπολογισμού των RWEA μετά την εφαρμογή μεθόδων μείωσης του πιστωτικού κινδύνου (CRM) εκτός του συμψηφισμού στο τρίτο μέρος τίτλος II κεφάλαιο 4 του ΚΚΑ και μετά την εφαρμογή των απαιτήσεων συμψηφισμού στο τρίτο μέρος τίτλος II κεφάλαια 4 και 5 του ΚΚΑ και στο τρίτο μέρος τίτλος IV του ίδιου κανονισμού για καθεμία από τις κατηγορίες κινδύνου.</w:t>
            </w:r>
          </w:p>
          <w:p w14:paraId="42A65886"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Σε περίπτωση που εφαρμόζεται η τυποποιημένη προσέγγιση (SA), είναι η αξία μετά από συγκεκριμένες προσαρμογές πιστωτικού κινδύνου, πρόσθετες προσαρμογές αξίας σύμφωνα με τα άρθρα 34 και 110 του ΚΚΑ και άλλες μειώσεις ιδίων κεφαλαίων που σχετίζονται με το στοιχείο του ενεργητικού.</w:t>
            </w:r>
            <w:r>
              <w:rPr>
                <w:sz w:val="24"/>
                <w:rFonts w:ascii="Times New Roman" w:hAnsi="Times New Roman"/>
              </w:rPr>
              <w:t xml:space="preserve"> </w:t>
            </w:r>
            <w:r>
              <w:rPr>
                <w:sz w:val="24"/>
                <w:rFonts w:ascii="Times New Roman" w:hAnsi="Times New Roman"/>
              </w:rPr>
              <w:t xml:space="preserve">Για τα στοιχεία εκτός ισολογισμού που απαριθμούνται στο παράρτημα Ι του παρόντος εκτελεστικού κανονισμού, η αξία ανοίγματος είναι η ονομαστική αξία μετά τη μείωση συγκεκριμένων προσαρμογών πιστωτικού κινδύνου, πολλαπλασιαζόμενη με το εφαρμοστέο ποσοστό που αναφέρεται στο άρθρο 111 παράγραφος 1 στοιχεία α) και δ) του ΚΚΑ.</w:t>
            </w:r>
          </w:p>
          <w:p w14:paraId="029EEE3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Για την προσέγγιση IRB, η αξία που δημοσιοποιείται είναι η αξία ανοίγματος κατά την έννοια των άρθρων 166, 167 και 168 του ΚΚΑ.</w:t>
            </w:r>
          </w:p>
          <w:p w14:paraId="262660AB"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Έτσι, οι λογιστικές αξίες που αναφέρονται στις οικονομικές καταστάσεις βάσει του πεδίου εφαρμογής της εποπτικής ενοποίησης δημοσιοποιούνται στις αντίστοιχες γραμμές 1 έως 3 του παρόντος υποδείγματος, ενώ τα αρχικά ανοίγματα εκτός ισολογισμού δημοσιοποιούνται στη γραμμή 4 του παρόντος υποδείγματος.</w:t>
            </w:r>
            <w:r>
              <w:rPr>
                <w:sz w:val="24"/>
                <w:rFonts w:ascii="Times New Roman" w:hAnsi="Times New Roman"/>
              </w:rPr>
              <w:t xml:space="preserve"> </w:t>
            </w:r>
            <w:r>
              <w:rPr>
                <w:sz w:val="24"/>
                <w:rFonts w:ascii="Times New Roman" w:hAnsi="Times New Roman"/>
              </w:rPr>
              <w:t xml:space="preserve">Οποιαδήποτε συγκεκριμένη κανονιστική προσθήκη ή μείωση σχετικά με τα ποσά αυτά συμπεριλαμβάνεται στις γραμμές 5 έως 11 του παρόντος υποδείγματος ώστε να εξηγείται ο τρόπος συνδυασμού των εν λόγω ποσών με το ποσό του ανοίγματος για σκοπούς ρύθμισης ως σημείο εκκίνησης του υπολογισμού των RWEA σύμφωνα με κάθε ένα από τα πλαίσια που αναφέρονται στις στήλες β) έως ε) του παρόντος υποδείγματος.</w:t>
            </w:r>
            <w:r>
              <w:rPr>
                <w:sz w:val="24"/>
                <w:rFonts w:ascii="Times New Roman" w:hAnsi="Times New Roman"/>
              </w:rPr>
              <w:t xml:space="preserve"> </w:t>
            </w:r>
            <w:r>
              <w:rPr>
                <w:sz w:val="24"/>
                <w:rFonts w:ascii="Times New Roman" w:hAnsi="Times New Roman"/>
              </w:rPr>
              <w:t xml:space="preserve">Αυτό σημαίνει ότι, ειδικότερα για τον πιστωτικό κίνδυνο, τα ποσά ανοίγματος που εξετάζονται για κανονιστικούς σκοπούς και δημοσιοποιούνται στη γραμμή 12 του παρόντος υποδείγματος διαφέρουν από τις λογιστικές αξίες που αναφέρονται στις οικονομικές καταστάσεις του πεδίου εφαρμογής της εποπτικής ενοποίησης λόγω της συγκεκριμένης κανονιστικής αντιμετώπισης των λογιστικών προβλέψεων για τον υπολογισμό των RWEA.</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Αναφορά στήλης</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color w:val="000000"/>
                <w:sz w:val="24"/>
                <w:rFonts w:ascii="Times New Roman" w:hAnsi="Times New Roman" w:cs="Times New Roman"/>
              </w:rPr>
            </w:pPr>
            <w:r>
              <w:rPr>
                <w:b/>
                <w:sz w:val="24"/>
                <w:rFonts w:ascii="Times New Roman" w:hAnsi="Times New Roman"/>
              </w:rPr>
              <w:t xml:space="preserve">Επεξήγηση</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α</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b/>
                <w:sz w:val="24"/>
                <w:rFonts w:ascii="Times New Roman" w:hAnsi="Times New Roman"/>
              </w:rPr>
            </w:pPr>
            <w:r>
              <w:rPr>
                <w:b/>
                <w:sz w:val="24"/>
                <w:rFonts w:ascii="Times New Roman" w:hAnsi="Times New Roman"/>
              </w:rPr>
              <w:t xml:space="preserve">Σύνολο</w:t>
            </w:r>
          </w:p>
          <w:p w14:paraId="07AF5974"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Σύνολο στη στήλη α) του υποδείγματος EU LI2 = Ποσά στη στήλη β) του υποδείγματος EU LI1 – Ποσά στη στήλη ζ) του υποδείγματος EU LI1.</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Η ανάλυση των στηλών στις κανονιστικές κατηγορίες κινδύνου β) έως ε) αντιστοιχεί στην ανάλυση που αναφέρεται στο τρίτο μέρος του ΚΚΑ:</w:t>
            </w:r>
            <w:r>
              <w:rPr>
                <w:sz w:val="24"/>
                <w:rFonts w:ascii="Times New Roman" w:hAnsi="Times New Roman"/>
              </w:rPr>
              <w:t xml:space="preserve">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β</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Πλαίσιο πιστωτικού κινδύνου</w:t>
            </w:r>
          </w:p>
          <w:p w14:paraId="0254C74A"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Ανοίγματα στο τρίτο μέρος τίτλος II του ΚΚΑ</w:t>
            </w:r>
          </w:p>
          <w:p w14:paraId="096E08B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Τα ανοίγματα βάσει του πλαισίου πιστωτικού κινδύνου αντιστοιχούν είτε στο ποσό ανοίγματος που εφαρμόζεται στην τυποποιημένη προσέγγιση πιστωτικού κινδύνου (βλέπε τρίτο μέρος τίτλος ΙΙ κεφάλαιο 2 άρθρο 111 του ΚΚΑ) είτε στα ανοίγματα σε περίπτωση αθέτησης (EAD) στην προσέγγιση IRB του πιστωτικού κινδύνου (βλέπε τρίτο μέρος τίτλος ΙΙ κεφάλαιο 3 άρθρα 166, 167 και 168 του ΚΚΑ).</w:t>
            </w:r>
            <w:r>
              <w:rPr>
                <w:sz w:val="24"/>
                <w:rFonts w:ascii="Times New Roman" w:hAnsi="Times New Roman"/>
              </w:rPr>
              <w:t xml:space="preserve">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γ</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Πλαίσιο τιτλοποίησης</w:t>
            </w:r>
            <w:r>
              <w:rPr>
                <w:b/>
                <w:sz w:val="24"/>
                <w:rFonts w:ascii="Times New Roman" w:hAnsi="Times New Roman"/>
              </w:rPr>
              <w:t xml:space="preserve"> </w:t>
            </w:r>
          </w:p>
          <w:p w14:paraId="67C4B0D7"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Ανοίγματα πέραν του χαρτοφυλακίου συναλλαγών που αναφέρονται στο τρίτο μέρος τίτλος II κεφάλαιο 5 του ΚΚΑ</w:t>
            </w:r>
          </w:p>
          <w:p w14:paraId="7FC11C3E"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Τα ανοίγματα τιτλοποίησης προσδιορίζονται σύμφωνα με το τρίτο μέρος τίτλος II κεφάλαιο 5 άρθρο 246 του ΚΚΑ.</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δ</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Πλαίσιο πιστωτικού κινδύνου αντισυμβαλλομένου (CCR)</w:t>
            </w:r>
          </w:p>
          <w:p w14:paraId="00BCF7AF" w14:textId="77777777" w:rsidR="00C04D6C" w:rsidRPr="007F4CC8" w:rsidRDefault="00C04D6C" w:rsidP="00D819DE">
            <w:pPr>
              <w:spacing w:before="60" w:after="120"/>
              <w:jc w:val="both"/>
              <w:rPr>
                <w:b/>
                <w:sz w:val="24"/>
                <w:rFonts w:ascii="Times New Roman" w:hAnsi="Times New Roman"/>
              </w:rPr>
            </w:pPr>
            <w:r>
              <w:rPr>
                <w:sz w:val="24"/>
                <w:rFonts w:ascii="Times New Roman" w:hAnsi="Times New Roman"/>
              </w:rPr>
              <w:t xml:space="preserve">Ανοίγματα που εξετάζονται στο τρίτο μέρος τίτλος ΙΙ κεφάλαιο 6 του ΚΚΑ</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ε</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Πλαίσιο κινδύνου αγοράς</w:t>
            </w:r>
          </w:p>
          <w:p w14:paraId="73E5DB24" w14:textId="77777777" w:rsidR="00C04D6C" w:rsidRPr="007F4CC8" w:rsidRDefault="00C04D6C" w:rsidP="00D819DE">
            <w:pPr>
              <w:spacing w:before="60" w:after="120"/>
              <w:jc w:val="both"/>
              <w:rPr>
                <w:sz w:val="24"/>
                <w:rFonts w:ascii="Times New Roman" w:hAnsi="Times New Roman"/>
              </w:rPr>
            </w:pPr>
            <w:r>
              <w:rPr>
                <w:sz w:val="24"/>
                <w:rFonts w:ascii="Times New Roman" w:hAnsi="Times New Roman"/>
              </w:rPr>
              <w:t xml:space="preserve">Ανοίγματα κινδύνου αγοράς που αντιστοιχούν σε θέσεις οι οποίες υπόκεινται στο πλαίσιο κινδύνου αγοράς στο τρίτο μέρος τίτλος IV του ΚΚΑ</w:t>
            </w:r>
          </w:p>
          <w:p w14:paraId="5414F91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Μόνον οι γραμμές 1 έως 3 και 12 του παρόντος υποδείγματος δημοσιοποιούνται όσον αφορά αυτήν τη στήλη.</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όλες</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Όταν ένα μεμονωμένο στοιχείο υπόκειται σε κεφαλαιακές απαιτήσεις σύμφωνα με περισσότερα από ένα πλαίσια κινδύνου, δημοσιοποιείται σε όλες τις σχετικές στήλες που αντιστοιχούν στις κεφαλαιακές απαιτήσεις.</w:t>
            </w:r>
            <w:r>
              <w:rPr>
                <w:sz w:val="24"/>
                <w:rFonts w:ascii="Times New Roman" w:hAnsi="Times New Roman"/>
              </w:rPr>
              <w:t xml:space="preserve"> </w:t>
            </w:r>
            <w:r>
              <w:rPr>
                <w:sz w:val="24"/>
                <w:rFonts w:ascii="Times New Roman" w:hAnsi="Times New Roman"/>
              </w:rPr>
              <w:t xml:space="preserve">Κατά συνέπεια, το άθροισμα των ποσών στις στήλες β) έως ε) του παρόντος υποδείγματος μπορεί να είναι μεγαλύτερο από το ποσό στη στήλη α) του παρόντος υποδείγματος.</w:t>
            </w:r>
            <w:r>
              <w:rPr>
                <w:sz w:val="24"/>
                <w:rFonts w:ascii="Times New Roman" w:hAnsi="Times New Roman"/>
              </w:rPr>
              <w:t xml:space="preserve"> </w:t>
            </w:r>
            <w:r>
              <w:rPr>
                <w:sz w:val="24"/>
                <w:rFonts w:ascii="Times New Roman" w:hAnsi="Times New Roman"/>
              </w:rPr>
              <w:t xml:space="preserve">Τα ιδρύματα παρέχουν ποιοτικές εξηγήσεις για τα στοιχεία του ενεργητικού και του παθητικού που υπόκεινται σε κεφαλαιακές απαιτήσεις για περισσότερα από ένα πλαίσια κινδύνου που αναφέρονται στο τρίτο μέρος του ΚΚΑ.</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b/>
          <w:sz w:val="24"/>
          <w:rFonts w:ascii="Times New Roman" w:hAnsi="Times New Roman" w:cs="Times New Roman"/>
        </w:rPr>
      </w:pPr>
      <w:r>
        <w:rPr>
          <w:b/>
          <w:sz w:val="24"/>
          <w:rFonts w:ascii="Times New Roman" w:hAnsi="Times New Roman"/>
        </w:rPr>
        <w:t xml:space="preserve">Υπόδειγμα EU LI3 – Περίληψη των διαφορών στα πεδία εφαρμογής της ενοποίησης (οντότητα προς οντότητα)</w:t>
      </w:r>
    </w:p>
    <w:p w14:paraId="220A6A8C" w14:textId="77777777" w:rsidR="00C04D6C" w:rsidRPr="007F4CC8" w:rsidRDefault="00C04D6C" w:rsidP="00C04D6C">
      <w:pPr>
        <w:pStyle w:val="ListParagraph"/>
        <w:numPr>
          <w:ilvl w:val="0"/>
          <w:numId w:val="1"/>
        </w:numPr>
        <w:spacing w:before="120" w:after="120"/>
        <w:ind w:left="432"/>
        <w:jc w:val="both"/>
        <w:rPr>
          <w:color w:val="000000" w:themeColor="text1"/>
          <w:sz w:val="24"/>
          <w:rFonts w:ascii="Times New Roman" w:hAnsi="Times New Roman"/>
        </w:rPr>
      </w:pPr>
      <w:r>
        <w:rPr>
          <w:sz w:val="24"/>
          <w:color w:val="000000" w:themeColor="text1"/>
          <w:rFonts w:ascii="Times New Roman" w:hAnsi="Times New Roman"/>
        </w:rPr>
        <w:t xml:space="preserve">Τα ιδρύματα</w:t>
      </w:r>
      <w:r>
        <w:rPr>
          <w:sz w:val="24"/>
          <w:rFonts w:ascii="Times New Roman" w:hAnsi="Times New Roman"/>
        </w:rPr>
        <w:t xml:space="preserve"> δημοσιοποιούν τις πληροφορίες που αναφέρονται στο </w:t>
      </w:r>
      <w:r>
        <w:rPr>
          <w:sz w:val="24"/>
          <w:color w:val="000000" w:themeColor="text1"/>
          <w:rFonts w:ascii="Times New Roman" w:hAnsi="Times New Roman"/>
        </w:rPr>
        <w:t xml:space="preserve">άρθρο 436 στοιχείο β) του ΚΚΑ</w:t>
      </w:r>
      <w:r>
        <w:rPr>
          <w:sz w:val="24"/>
          <w:rFonts w:ascii="Times New Roman" w:hAnsi="Times New Roman"/>
        </w:rPr>
        <w:t xml:space="preserve"> ακολουθώντας τις οδηγίες που παρέχονται παρακάτω στο παρόν παράρτημα για τη συμπλήρωση του υποδείγματος EU LI3, το οποίο παρατίθεται στο παράρτημα V του παρόντος εκτελεστικού κανονισμού</w:t>
      </w:r>
      <w:r>
        <w:rPr>
          <w:sz w:val="24"/>
          <w:color w:val="000000" w:themeColor="text1"/>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Νομικά κείμενα αναφοράς και οδηγίες</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Οι γραμμές είναι ευέλικτες.</w:t>
            </w:r>
            <w:r>
              <w:rPr>
                <w:sz w:val="24"/>
                <w:rFonts w:ascii="Times New Roman" w:hAnsi="Times New Roman"/>
              </w:rPr>
              <w:t xml:space="preserve"> </w:t>
            </w:r>
            <w:r>
              <w:rPr>
                <w:sz w:val="24"/>
                <w:rFonts w:ascii="Times New Roman" w:hAnsi="Times New Roman"/>
              </w:rPr>
              <w:t xml:space="preserve">Παρέχονται δημοσιοποιήσεις για τις οντότητες που περιλαμβάνονται στο λογιστικό και το ρυθμιστικό πεδίο ενοποίησης, όπως ορίζονται σύμφωνα με το εφαρμοστέο λογιστικό πλαίσιο και το πρώτο μέρος τίτλος II τμήματα 2 και 3 του ΚΚΑ, για τις οποίες η μέθοδος της λογιστικής ενοποίησης διαφέρει από τη μέθοδο της ρυθμιστικής ενοποίησης.</w:t>
            </w:r>
            <w:r>
              <w:rPr>
                <w:sz w:val="24"/>
                <w:rFonts w:ascii="Times New Roman" w:hAnsi="Times New Roman"/>
              </w:rPr>
              <w:t xml:space="preserve"> </w:t>
            </w:r>
            <w:r>
              <w:rPr>
                <w:sz w:val="24"/>
                <w:rFonts w:ascii="Times New Roman" w:hAnsi="Times New Roman"/>
              </w:rPr>
              <w:t xml:space="preserve">Μία γραμμή ανά οντότητα.</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Νομικά κείμενα αναφοράς και οδηγίες</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Αναφορά στήλης</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α</w:t>
            </w:r>
          </w:p>
        </w:tc>
        <w:tc>
          <w:tcPr>
            <w:tcW w:w="7655" w:type="dxa"/>
            <w:shd w:val="clear" w:color="auto" w:fill="auto"/>
          </w:tcPr>
          <w:p w14:paraId="1A700FFF"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Επωνυμία φορέα</w:t>
            </w:r>
          </w:p>
          <w:p w14:paraId="582262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Εμπορική επωνυμία οποιασδήποτε οντότητας περιλαμβάνεται ή αφαιρείται από το κανονιστικό και λογιστικό πεδίο εφαρμογής της ενοποίησης ενός ιδρύματος</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β</w:t>
            </w:r>
          </w:p>
        </w:tc>
        <w:tc>
          <w:tcPr>
            <w:tcW w:w="7655" w:type="dxa"/>
            <w:shd w:val="clear" w:color="auto" w:fill="auto"/>
          </w:tcPr>
          <w:p w14:paraId="734193F7"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Μέθοδος λογιστικής ενοποίησης</w:t>
            </w:r>
          </w:p>
          <w:p w14:paraId="35D66850"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Μέθοδος ενοποίησης που χρησιμοποιείται σύμφωνα με το ισχύον λογιστικό πλαίσιο</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γ έως ζ</w:t>
            </w:r>
          </w:p>
        </w:tc>
        <w:tc>
          <w:tcPr>
            <w:tcW w:w="7655" w:type="dxa"/>
            <w:shd w:val="clear" w:color="auto" w:fill="auto"/>
          </w:tcPr>
          <w:p w14:paraId="4A761352"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Μέθοδος ρυθμιστικής ενοποίησης</w:t>
            </w:r>
          </w:p>
          <w:p w14:paraId="2ED012A6"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Μέθοδος ενοποίησης που εφαρμόζεται για τους σκοπούς του πρώτου μέρους τίτλος II κεφάλαιο 2 του ΚΚΑ</w:t>
            </w:r>
          </w:p>
          <w:p w14:paraId="7F682652"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Κατ’ ελάχιστον, δημοσιοποιούνται οι μέθοδοι που αναφέρονται στο άρθρο 436 στοιχείο β) του ΚΚΑ.</w:t>
            </w:r>
          </w:p>
          <w:p w14:paraId="599304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Τα ιδρύματα σημειώνουν τις κατάλληλες στήλες για να προσδιορίσουν τη μέθοδο ενοποίησης κάθε οντότητας στο πλαίσιο του λογιστικού πλαισίου και εάν, στο πλαίσιο του πεδίου εφαρμογής της εποπτικής ενοποίησης, κάθε οντότητα (i) είναι πλήρως ενοποιημένη,</w:t>
            </w:r>
            <w:r>
              <w:rPr>
                <w:sz w:val="24"/>
                <w:rFonts w:ascii="Times New Roman" w:hAnsi="Times New Roman"/>
              </w:rPr>
              <w:t xml:space="preserve"> </w:t>
            </w:r>
            <w:r>
              <w:rPr>
                <w:sz w:val="24"/>
                <w:rFonts w:ascii="Times New Roman" w:hAnsi="Times New Roman"/>
              </w:rPr>
              <w:t xml:space="preserve">(ii) είναι ενοποιημένη με τη μέθοδο της αναλογικής ενοποίησης,</w:t>
            </w:r>
            <w:r>
              <w:rPr>
                <w:sz w:val="24"/>
                <w:rFonts w:ascii="Times New Roman" w:hAnsi="Times New Roman"/>
              </w:rPr>
              <w:t xml:space="preserve"> </w:t>
            </w:r>
            <w:r>
              <w:rPr>
                <w:sz w:val="24"/>
                <w:rFonts w:ascii="Times New Roman" w:hAnsi="Times New Roman"/>
              </w:rPr>
              <w:t xml:space="preserve">(iii) είναι αναγνωρισμένη βάσει της μεθόδου της καθαρής θέσης,</w:t>
            </w:r>
            <w:r>
              <w:rPr>
                <w:sz w:val="24"/>
                <w:rFonts w:ascii="Times New Roman" w:hAnsi="Times New Roman"/>
              </w:rPr>
              <w:t xml:space="preserve"> </w:t>
            </w:r>
            <w:r>
              <w:rPr>
                <w:sz w:val="24"/>
                <w:rFonts w:ascii="Times New Roman" w:hAnsi="Times New Roman"/>
              </w:rPr>
              <w:t xml:space="preserve">(iv) ούτε ενοποιείται, ούτε αφαιρείται από τα ίδια κεφάλαια, ή</w:t>
            </w:r>
            <w:r>
              <w:rPr>
                <w:sz w:val="24"/>
                <w:rFonts w:ascii="Times New Roman" w:hAnsi="Times New Roman"/>
              </w:rPr>
              <w:t xml:space="preserve"> </w:t>
            </w:r>
            <w:r>
              <w:rPr>
                <w:sz w:val="24"/>
                <w:rFonts w:ascii="Times New Roman" w:hAnsi="Times New Roman"/>
              </w:rPr>
              <w:t xml:space="preserve">(v) αφαιρείται.</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η</w:t>
            </w:r>
          </w:p>
        </w:tc>
        <w:tc>
          <w:tcPr>
            <w:tcW w:w="7655" w:type="dxa"/>
            <w:shd w:val="clear" w:color="auto" w:fill="auto"/>
          </w:tcPr>
          <w:p w14:paraId="58EFFF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Περιγραφή της οντότητας</w:t>
            </w:r>
          </w:p>
          <w:p w14:paraId="0A1DF23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Σύντομη περιγραφή της οντότητας, με (τουλάχιστον) δημοσιοποίηση του τομέα δραστηριότητάς της</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sz w:val="24"/>
          <w:rFonts w:ascii="Times New Roman" w:hAnsi="Times New Roman" w:cs="Times New Roman"/>
        </w:rPr>
      </w:pPr>
      <w:r>
        <w:rPr>
          <w:sz w:val="24"/>
          <w:b/>
          <w:rFonts w:ascii="Times New Roman" w:hAnsi="Times New Roman"/>
        </w:rPr>
        <w:t xml:space="preserve">Πίνακας EU LIA – Επεξηγήσεις διαφορών μεταξύ ποσών λογιστικών και ρυθμιστικών ανοιγμάτων.</w:t>
      </w:r>
      <w:r>
        <w:rPr>
          <w:sz w:val="24"/>
          <w:b/>
          <w:rFonts w:ascii="Times New Roman" w:hAnsi="Times New Roman"/>
        </w:rPr>
        <w:t xml:space="preserve"> </w:t>
      </w:r>
      <w:r>
        <w:rPr>
          <w:sz w:val="24"/>
          <w:rFonts w:ascii="Times New Roman" w:hAnsi="Times New Roman"/>
        </w:rPr>
        <w:t xml:space="preserve">Πλαίσια ελεύθερου κειμένου για δημοσιοποίηση ποιοτικών πληροφοριών</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Τα ιδρύματα</w:t>
      </w:r>
      <w:r>
        <w:rPr>
          <w:sz w:val="24"/>
          <w:color w:val="000000" w:themeColor="text1"/>
          <w:rFonts w:ascii="Times New Roman" w:hAnsi="Times New Roman"/>
        </w:rPr>
        <w:t xml:space="preserve"> </w:t>
      </w:r>
      <w:r>
        <w:rPr>
          <w:sz w:val="24"/>
          <w:rFonts w:ascii="Times New Roman" w:hAnsi="Times New Roman"/>
        </w:rPr>
        <w:t xml:space="preserve">δημοσιοποιούν τις πληροφορίες που αναφέρονται στο </w:t>
      </w:r>
      <w:r>
        <w:rPr>
          <w:sz w:val="24"/>
          <w:color w:val="000000" w:themeColor="text1"/>
          <w:rFonts w:ascii="Times New Roman" w:hAnsi="Times New Roman"/>
        </w:rPr>
        <w:t xml:space="preserve">άρθρο 436 στοιχεία β) και δ) του ΚΚΑ ακολουθώντας τις οδηγίες που παρέχονται παρακάτω στο παρόν παράρτημα για τη συμπλήρωση του πίνακα EU LIA, ο οποίος παρατίθεται στο παράρτημα 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Νομικά κείμενα αναφοράς και οδηγίες</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α)</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Τα ιδρύματα επεξηγούν και παρέχουν ποσοτικά στοιχεία για την προέλευση τυχόν σημαντικών διαφορών μεταξύ των ποσών στις στήλες α) και β) στο υπόδειγμα EU LI1, ανεξάρτητα από το εάν οι διαφορές προκύπτουν από διαφορετικούς κανόνες ενοποίησης ή από τη χρήση διαφορετικών λογιστικών προτύπων μεταξύ της λογιστικής και της ρυθμιστικής ενοποίησης.</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β)</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Τα ιδρύματα επεξηγούν την προέλευση των διαφορών μεταξύ των λογιστικών αξιών στο πλαίσιο του πεδίου εφαρμογής της εποπτικής ενοποίησης και των ποσών που λαμβάνονται υπόψη για ρυθμιστικούς σκοπούς και παρατίθενται στο υπόδειγμα EU LI2.</w:t>
            </w:r>
          </w:p>
        </w:tc>
      </w:tr>
    </w:tbl>
    <w:p w14:paraId="5B834D3C" w14:textId="77777777" w:rsidR="00C04D6C" w:rsidRPr="007F4CC8" w:rsidRDefault="00C04D6C" w:rsidP="00C04D6C">
      <w:pPr>
        <w:ind w:left="360"/>
        <w:jc w:val="both"/>
        <w:rPr>
          <w:sz w:val="24"/>
          <w:rFonts w:ascii="Times New Roman" w:hAnsi="Times New Roman" w:cs="Times New Roman"/>
        </w:rPr>
      </w:pPr>
      <w:r>
        <w:rPr>
          <w:sz w:val="24"/>
          <w:rFonts w:ascii="Times New Roman" w:hAnsi="Times New Roman"/>
        </w:rPr>
        <w:t xml:space="preserve"> </w:t>
      </w:r>
    </w:p>
    <w:p w14:paraId="5736EA43" w14:textId="77777777" w:rsidR="00C04D6C" w:rsidRPr="007F4CC8" w:rsidRDefault="00C04D6C" w:rsidP="00C04D6C">
      <w:pPr>
        <w:spacing w:after="120"/>
        <w:rPr>
          <w:sz w:val="24"/>
          <w:rFonts w:ascii="Times New Roman" w:hAnsi="Times New Roman" w:cs="Times New Roman"/>
        </w:rPr>
      </w:pPr>
      <w:r>
        <w:rPr>
          <w:sz w:val="24"/>
          <w:b/>
          <w:rFonts w:ascii="Times New Roman" w:hAnsi="Times New Roman"/>
        </w:rPr>
        <w:t xml:space="preserve">Πίνακας EU LIB – Άλλες ποιοτικές πληροφορίες σχετικά με το πεδίο εφαρμογής.</w:t>
      </w:r>
      <w:r>
        <w:rPr>
          <w:sz w:val="24"/>
          <w:rFonts w:ascii="Times New Roman" w:hAnsi="Times New Roman"/>
        </w:rPr>
        <w:t xml:space="preserve"> </w:t>
      </w:r>
      <w:r>
        <w:rPr>
          <w:sz w:val="24"/>
          <w:rFonts w:ascii="Times New Roman" w:hAnsi="Times New Roman"/>
        </w:rPr>
        <w:t xml:space="preserve">Πλαίσια ελεύθερου κειμένου για δημοσιοποίηση ποιοτικών πληροφοριών</w:t>
      </w:r>
    </w:p>
    <w:p w14:paraId="70C5E2A8" w14:textId="7777777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436 στοιχεία στ), ζ) και η) του ΚΚΑ ακολουθώντας τις οδηγίες που παρέχονται παρακάτω στο παρόν παράρτημα για τη συμπλήρωση του πίνακα EU LIB, ο οποίος παρατίθεται στο παράρτημα 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α)</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Τα ιδρύματα δημοσιοποιούν το συνολικό ποσό κατά το οποίο τα πραγματικά ίδια κεφάλαια υπολείπονται των απαιτούμενων σε όλες τις θυγατρικές που δεν περιλαμβάνονται στην ενοποίηση και την επωνυμία ή τις επωνυμίες των θυγατρικών αυτών.</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β)</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Κατά περίπτωση, τα ιδρύματα δημοσιοποιούν το όνομα ή τα ονόματα των θυγατρικών που δεν περιλαμβάνονται στην ενοποίηση.</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γ)</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Κατά περίπτωση, τα ιδρύματα δημοσιοποιούν τις περιστάσεις υπό τις οποίες γίνεται χρήση της παρέκκλισης που αναφέρεται στο άρθρο 7 του ΚΚΑ ή της μεθόδου μερικής ενοποίησης που ορίζεται στο άρθρο 9 του ΚΚΑ.</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δ)</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Κατά περίπτωση, τα ιδρύματα δημοσιοποιούν το συνολικό ποσό κατά το οποίο τα πραγματικά ίδια κεφάλαια υπολείπονται των απαιτούμενων σε όλες τις θυγατρικές που δεν περιλαμβάνονται στην ενοποίηση και την επωνυμία ή τις επωνυμίες των θυγατρικών αυτών.</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sz w:val="24"/>
          <w:rFonts w:ascii="Times New Roman" w:hAnsi="Times New Roman" w:cs="Times New Roman"/>
        </w:rPr>
      </w:pPr>
      <w:r>
        <w:rPr>
          <w:sz w:val="24"/>
          <w:b/>
          <w:rFonts w:ascii="Times New Roman" w:hAnsi="Times New Roman"/>
        </w:rPr>
        <w:t xml:space="preserve">Υπόδειγμα EU PV1 — Προσαρμογές συνετής αποτίμησης (PVA):</w:t>
      </w:r>
      <w:r>
        <w:rPr>
          <w:sz w:val="24"/>
          <w:b/>
          <w:rFonts w:ascii="Times New Roman" w:hAnsi="Times New Roman"/>
        </w:rPr>
        <w:t xml:space="preserve"> </w:t>
      </w:r>
      <w:r>
        <w:rPr>
          <w:sz w:val="24"/>
          <w:rFonts w:ascii="Times New Roman" w:hAnsi="Times New Roman"/>
        </w:rPr>
        <w:t xml:space="preserve">Σταθερός μορφότυπος</w:t>
      </w:r>
    </w:p>
    <w:p w14:paraId="01BBAEB3" w14:textId="77777777" w:rsidR="00C04D6C" w:rsidRPr="007F4CC8" w:rsidRDefault="00C04D6C" w:rsidP="00C04D6C">
      <w:pPr>
        <w:pStyle w:val="ListParagraph"/>
        <w:numPr>
          <w:ilvl w:val="0"/>
          <w:numId w:val="1"/>
        </w:numPr>
        <w:spacing w:before="60" w:after="120"/>
        <w:jc w:val="both"/>
        <w:rPr>
          <w:sz w:val="24"/>
          <w:rFonts w:ascii="Times New Roman" w:hAnsi="Times New Roman"/>
        </w:rPr>
      </w:pPr>
      <w:r>
        <w:rPr>
          <w:sz w:val="24"/>
          <w:rFonts w:ascii="Times New Roman" w:hAnsi="Times New Roman"/>
        </w:rPr>
        <w:t xml:space="preserve">Τα ιδρύματα που εφαρμόζουν τη βασική προσέγγιση για τον καθορισμό της πρόσθετης προσαρμογής αποτίμησης για τη συνετή αποτίμηση σύμφωνα με το κεφάλαιο III του κατ’ εξουσιοδότηση κανονισμού (ΕΕ) 2016/101 της Επιτροπής</w:t>
      </w:r>
      <w:r w:rsidRPr="007F4CC8">
        <w:rPr>
          <w:rStyle w:val="FootnoteReference"/>
          <w:rFonts w:ascii="Times New Roman" w:hAnsi="Times New Roman"/>
          <w:bCs/>
          <w:sz w:val="24"/>
          <w:szCs w:val="24"/>
        </w:rPr>
        <w:footnoteReference w:id="6"/>
      </w:r>
      <w:r>
        <w:rPr>
          <w:sz w:val="24"/>
          <w:rFonts w:ascii="Times New Roman" w:hAnsi="Times New Roman"/>
        </w:rPr>
        <w:t xml:space="preserve"> δημοσιοποιούν τις πληροφορίες που αναφέρονται στο άρθρο 436 στοιχείο ε) του ΚΚΑ ακολουθώντας τις οδηγίες που παρέχονται παρακάτω στο παρόν παράρτημα για τη συμπλήρωση του υποδείγματος EU PV1, το οποίο παρουσιάζεται στο παράρτημα 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sz w:val="24"/>
                <w:rFonts w:ascii="Times New Roman" w:hAnsi="Times New Roman" w:cs="Times New Roman"/>
              </w:rPr>
            </w:pPr>
            <w:r>
              <w:rPr>
                <w:sz w:val="24"/>
                <w:rFonts w:ascii="Times New Roman" w:hAnsi="Times New Roman"/>
              </w:rPr>
              <w:t xml:space="preserve">Γραμμές 1 έως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επιπέδου κατηγορίας</w:t>
            </w:r>
          </w:p>
          <w:p w14:paraId="4E570456"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Οι ΠΠΑ επιπέδου κατηγορίας για την αβεβαιότητα τιμών στην αγορά, τα έξοδα εκκαθάρισης, τον κίνδυνο υποδείγματος, τις συγκεντρωμένες θέσεις, τις μελλοντικές διοικητικές δαπάνες, την πρόωρη λήξη και τον λειτουργικό κίνδυνο καθορίζονται σύμφωνα με τα άρθρα 9 έως 11 και 14 έως 17 του κατ’ εξουσιοδότηση κανονισμού (ΕΕ) 2016/101, αντιστοίχως.</w:t>
            </w:r>
          </w:p>
          <w:p w14:paraId="7B4E3C6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Για τις κατηγορίες της αβεβαιότητας τιμών στην αγορά, των εξόδων εκκαθάρισης και του κινδύνου υποδείγματος, οι οποίες υπόκεινται σε όφελος διαφοροποίησης, όπως ορίζεται στο άρθρο 9 παράγραφος 6, στο άρθρο 10 παράγραφος 7 και στο άρθρο 11 παράγραφος 7 του κατ’ εξουσιοδότηση κανονισμού (ΕΕ) 2016/101, αντιστοίχως, οι ΠΠΑ επιπέδου κατηγορίας δημοσιοποιούνται στις στήλες α έως EU-ε2 του παρόντος υποδείγματος ως το κατ’ αποκοπή άθροισμα των μεμονωμένων ΠΠΑ πριν από το όφελος διαφοροποίησης.</w:t>
            </w:r>
            <w:r>
              <w:rPr>
                <w:sz w:val="24"/>
                <w:rFonts w:ascii="Times New Roman" w:hAnsi="Times New Roman"/>
              </w:rPr>
              <w:t xml:space="preserve"> </w:t>
            </w:r>
            <w:r>
              <w:rPr>
                <w:sz w:val="24"/>
                <w:rFonts w:ascii="Times New Roman" w:hAnsi="Times New Roman"/>
              </w:rPr>
              <w:t xml:space="preserve">Τα οφέλη διαφοροποίησης σύμφωνα με το άρθρο 9 παράγραφος 6, το άρθρο 10 παράγραφος 7 και το άρθρο 11 παράγραφος 7 του κατ’ εξουσιοδότηση κανονισμού (ΕΕ) 2016/101 της Επιτροπής περιλαμβάνονται στη στήλη στ) του παρόντος υποδείγματος.</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Αβεβαιότητα τιμών στην αγορά</w:t>
            </w:r>
          </w:p>
          <w:p w14:paraId="3D2F467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Άρθρο 105 παράγραφος 10 του ΚΚΑ</w:t>
            </w:r>
          </w:p>
          <w:p w14:paraId="59AE9885" w14:textId="77777777" w:rsidR="00C04D6C" w:rsidRPr="007F4CC8" w:rsidRDefault="00C04D6C"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Οι AVA αβεβαιότητας των τιμών στην αγορά υπολογίζονται σύμφωνα με το άρθρο 9 του κατ’ εξουσιοδότηση κανονισμού (ΕΕ) 2016/101 της Επιτροπής.</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rStyle w:val="InstructionsTabelleberschrift"/>
                <w:sz w:val="24"/>
                <w:rFonts w:ascii="Times New Roman" w:hAnsi="Times New Roman"/>
              </w:rPr>
              <w:t xml:space="preserve">Άνευ αντικειμένου</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Έξοδα εκκαθάρισης</w:t>
            </w:r>
          </w:p>
          <w:p w14:paraId="7AF430E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Άρθρο 105 παράγραφος 10 του ΚΚΑ</w:t>
            </w:r>
          </w:p>
          <w:p w14:paraId="05054C64"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Οι AVA εξόδων εκκαθάρισης υπολογίζονται σύμφωνα με το άρθρο 10 του κατ’ εξουσιοδότηση κανονισμού (ΕΕ) 2016/101 της Επιτροπής.</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Συγκεντρωμένες θέσεις</w:t>
            </w:r>
          </w:p>
          <w:p w14:paraId="08370B0D"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Άρθρο 105 παράγραφος 11 του ΚΚΑ</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Οι AVA συγκεντρωμένων θέσεων υπολογίζονται σύμφωνα με το άρθρο 14 του κατ’ εξουσιοδότηση κανονισμού (ΕΕ) 2016/101 της Επιτροπής.</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Πρόωρη λήξη</w:t>
            </w:r>
          </w:p>
          <w:p w14:paraId="52C42C7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Άρθρο 105 παράγραφος 10 του ΚΚΑ</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Οι AVA πρόωρης λήξης υπολογίζονται σύμφωνα με το άρθρο 16 του κατ’ εξουσιοδότηση κανονισμού (ΕΕ) 2016/101 της Επιτροπής.</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Κίνδυνος υποδείγματος</w:t>
            </w:r>
          </w:p>
          <w:p w14:paraId="49ED331A"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Άρθρο 105 παράγραφος 10 του ΚΚΑ</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Οι AVA κινδύνου υποδείγματος υπολογίζονται σύμφωνα με το άρθρο 11 του κατ’ εξουσιοδότηση κανονισμού (ΕΕ) 2016/101 της Επιτροπής.</w:t>
            </w:r>
            <w:r>
              <w:rPr>
                <w:rFonts w:ascii="Times New Roman" w:hAnsi="Times New Roman"/>
              </w:rPr>
              <w:t xml:space="preserve">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Λειτουργικός κίνδυνος</w:t>
            </w:r>
          </w:p>
          <w:p w14:paraId="3EE7FBBF"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Άρθρο 105 παράγραφος 10 του ΚΚΑ</w:t>
            </w:r>
          </w:p>
          <w:p w14:paraId="64B1AD8B" w14:textId="77777777" w:rsidR="00C04D6C" w:rsidRPr="007F4CC8" w:rsidRDefault="00C04D6C" w:rsidP="00D819DE">
            <w:pPr>
              <w:pStyle w:val="Default"/>
              <w:spacing w:before="60" w:after="120"/>
              <w:jc w:val="both"/>
              <w:rPr>
                <w:i/>
                <w:rFonts w:ascii="Times New Roman" w:hAnsi="Times New Roman" w:cs="Times New Roman"/>
              </w:rPr>
            </w:pPr>
            <w:r>
              <w:rPr>
                <w:rFonts w:ascii="Times New Roman" w:hAnsi="Times New Roman"/>
              </w:rPr>
              <w:t xml:space="preserve">Οι AVA λειτουργικού κινδύνου υπολογίζονται σύμφωνα με το άρθρο 17 του κατ’ εξουσιοδότηση κανονισμού (ΕΕ) 2016/101 της Επιτροπής.</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Άνευ αντικειμένου</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Άνευ αντικειμένου</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Μελλοντικές διοικητικές δαπάνες</w:t>
            </w:r>
          </w:p>
          <w:p w14:paraId="03DE082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Άρθρο 105 παράγραφος 10 του ΚΚΑ</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Οι AVA μελλοντικών διοικητικών δαπανών υπολογίζονται σύμφωνα με το άρθρο 15 του κατ’ εξουσιοδότηση κανονισμού (ΕΕ) 2016/101 της Επιτροπής.</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Άνευ αντικειμένου</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Συνολικές πρόσθετες προσαρμογές αποτίμησης</w:t>
            </w:r>
          </w:p>
          <w:p w14:paraId="773818D3" w14:textId="77777777" w:rsidR="00C04D6C" w:rsidRPr="007F4CC8" w:rsidRDefault="00C04D6C" w:rsidP="00D819DE">
            <w:pPr>
              <w:pStyle w:val="Default"/>
              <w:spacing w:after="120"/>
              <w:jc w:val="both"/>
              <w:rPr>
                <w:color w:val="auto"/>
                <w:rFonts w:ascii="Times New Roman" w:hAnsi="Times New Roman" w:cs="Times New Roman"/>
              </w:rPr>
            </w:pPr>
            <w:r>
              <w:rPr>
                <w:color w:val="auto"/>
                <w:rFonts w:ascii="Times New Roman" w:hAnsi="Times New Roman"/>
              </w:rPr>
              <w:t xml:space="preserve">Οι συνολικές AVA που αφαιρούνται από ίδια κεφάλαια σύμφωνα με τα άρθρα 34 και 105 του ΚΚΑ δημοσιοποιούνται στη γραμμή 12 στήλη στ) </w:t>
            </w:r>
            <w:r>
              <w:rPr>
                <w:rFonts w:ascii="Times New Roman" w:hAnsi="Times New Roman"/>
              </w:rPr>
              <w:t xml:space="preserve">του παρόντος υποδείγματος</w:t>
            </w:r>
            <w:r>
              <w:rPr>
                <w:color w:val="auto"/>
                <w:rFonts w:ascii="Times New Roman" w:hAnsi="Times New Roman"/>
              </w:rPr>
              <w:t xml:space="preserve">.</w:t>
            </w:r>
            <w:r>
              <w:rPr>
                <w:color w:val="auto"/>
                <w:rFonts w:ascii="Times New Roman" w:hAnsi="Times New Roman"/>
              </w:rPr>
              <w:t xml:space="preserve"> </w:t>
            </w:r>
            <w:r>
              <w:rPr>
                <w:color w:val="auto"/>
                <w:rFonts w:ascii="Times New Roman" w:hAnsi="Times New Roman"/>
              </w:rPr>
              <w:t xml:space="preserve">Αυτό το ποσό είναι συναφές με το ποσό στη γραμμή 7 του υποδείγματος EU CC1, καθώς και με το ποσό στη γραμμή 5 στήλη α) του υποδείγματος EU LI2.</w:t>
            </w:r>
            <w:r>
              <w:rPr>
                <w:color w:val="auto"/>
                <w:rFonts w:ascii="Times New Roman" w:hAnsi="Times New Roman"/>
              </w:rPr>
              <w:t xml:space="preserve"> </w:t>
            </w:r>
          </w:p>
          <w:p w14:paraId="3E1D4E77" w14:textId="77777777" w:rsidR="00C04D6C" w:rsidRPr="007F4CC8" w:rsidRDefault="00C04D6C" w:rsidP="00D819DE">
            <w:pPr>
              <w:pStyle w:val="Default"/>
              <w:spacing w:after="120"/>
              <w:jc w:val="both"/>
              <w:rPr>
                <w:color w:val="auto"/>
                <w:rFonts w:ascii="Times New Roman" w:hAnsi="Times New Roman" w:cs="Times New Roman"/>
              </w:rPr>
            </w:pPr>
            <w:r>
              <w:rPr>
                <w:color w:val="auto"/>
                <w:rFonts w:ascii="Times New Roman" w:hAnsi="Times New Roman"/>
              </w:rPr>
              <w:t xml:space="preserve">Για τα χαρτοφυλάκια που υπόκεινται στη βασική προσέγγιση, όπως ορίζεται στο κεφάλαιο III του κατ’ εξουσιοδότηση κανονισμού (ΕΕ) 2016/101 σχετικά με τη συνετή αποτίμηση, οι συνολικές AVA είναι το άθροισμα των ποσών στις γραμμές 1 έως 10 του παρόντος υποδείγματος, και των ποσών που υπολογίζονται σύμφωνα με το άρθρο 7 παράγραφος 2 στοιχείο β) εδάφια i) έως iii) του κατ’ εξουσιοδότηση κανονισμού (ΕΕ) 2016/101 για τα χαρτοφυλάκια που υπόκεινται στην εφεδρική προσέγγιση, εάν υπάρχουν.</w:t>
            </w:r>
            <w:r>
              <w:rPr>
                <w:color w:val="auto"/>
                <w:rFonts w:ascii="Times New Roman" w:hAnsi="Times New Roman"/>
              </w:rPr>
              <w:t xml:space="preserve"> </w:t>
            </w:r>
          </w:p>
          <w:p w14:paraId="0557EFCB" w14:textId="77777777" w:rsidR="00C04D6C" w:rsidRPr="007F4CC8" w:rsidRDefault="00C04D6C" w:rsidP="00D819DE">
            <w:pPr>
              <w:pStyle w:val="Default"/>
              <w:spacing w:after="120"/>
              <w:jc w:val="both"/>
              <w:rPr>
                <w:rFonts w:ascii="Times New Roman" w:hAnsi="Times New Roman" w:cs="Times New Roman"/>
              </w:rPr>
            </w:pPr>
            <w:r>
              <w:rPr>
                <w:color w:val="auto"/>
                <w:rFonts w:ascii="Times New Roman" w:hAnsi="Times New Roman"/>
              </w:rPr>
              <w:t xml:space="preserve">Για τα χαρτοφυλάκια που υπόκεινται στην απλουστευμένη προσέγγιση, όπως ορίζεται στο κεφάλαιο II του κατ’ εξουσιοδότηση κανονισμού (ΕΕ) 2016/101 σχετικά με τη συνετή αποτίμηση, οι συνολικές AVA που περιλαμβάνονται στη στήλη στ) του παρόντος υποδείγματος είναι το ποσό που υπολογίζεται σύμφωνα με το άρθρο 5 αυτού του κεφαλαίου.</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b/>
                <w:sz w:val="24"/>
                <w:szCs w:val="24"/>
                <w:rFonts w:ascii="Times New Roman" w:hAnsi="Times New Roman"/>
              </w:rPr>
            </w:pPr>
            <w:r>
              <w:rPr>
                <w:b/>
                <w:sz w:val="24"/>
                <w:rFonts w:ascii="Times New Roman" w:hAnsi="Times New Roman"/>
              </w:rPr>
              <w:t xml:space="preserve">Επεξήγηση</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α-ε</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Ανάλυση ανά ΚΑΤΗΓΟΡΙΑ ΚΙΝΔΥΝΟΥ</w:t>
            </w:r>
          </w:p>
          <w:p w14:paraId="19554FB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Τα ιδρύματα κατανέμουν τα οικεία στοιχεία ενεργητικού και παθητικού εύλογης αξίας που περιλαμβάνονται στον υπολογισμό του ορίου, σύμφωνα με το άρθρο 4 παράγραφος 1 του κατ’ εξουσιοδότηση κανονισμού (ΕΕ) 2016/101 της Επιτροπής (χαρτοφυλάκιο συναλλαγών και τραπεζικό χαρτοφυλάκιο), σύμφωνα με τις ακόλουθες κατηγορίες κινδύνου:</w:t>
            </w:r>
            <w:r>
              <w:rPr>
                <w:sz w:val="24"/>
                <w:rFonts w:ascii="Times New Roman" w:hAnsi="Times New Roman"/>
              </w:rPr>
              <w:t xml:space="preserve"> </w:t>
            </w:r>
            <w:r>
              <w:rPr>
                <w:sz w:val="24"/>
                <w:rFonts w:ascii="Times New Roman" w:hAnsi="Times New Roman"/>
              </w:rPr>
              <w:t xml:space="preserve">επιτόκιο, συνάλλαγμα, πίστωση, μετοχές, βασικό εμπόρευμα.</w:t>
            </w:r>
            <w:r>
              <w:rPr>
                <w:sz w:val="24"/>
                <w:rFonts w:ascii="Times New Roman" w:hAnsi="Times New Roman"/>
              </w:rPr>
              <w:t xml:space="preserve"> </w:t>
            </w:r>
          </w:p>
          <w:p w14:paraId="78E03628"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Η ανάλυση σε αυτές τις στήλες εξαιρεί τις AVA που υπολογίζονται σύμφωνα με τα άρθρα 12 και 13 του κατ’ εξουσιοδότηση κανονισμού (ΕΕ) 2016/101 της Επιτροπής που δημοσιοποιούνται στις στήλες EU-ε1 και EU-ε2 του παρόντος υποδείγματος.</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ε1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AVA επιπέδου κατηγορίας – Αβεβαιότητα αποτίμησης:</w:t>
            </w:r>
            <w:r>
              <w:rPr>
                <w:b/>
                <w:sz w:val="24"/>
                <w:u w:val="single"/>
                <w:rFonts w:ascii="Times New Roman" w:hAnsi="Times New Roman"/>
              </w:rPr>
              <w:t xml:space="preserve"> </w:t>
            </w:r>
            <w:r>
              <w:rPr>
                <w:b/>
                <w:sz w:val="24"/>
                <w:u w:val="single"/>
                <w:rFonts w:ascii="Times New Roman" w:hAnsi="Times New Roman"/>
              </w:rPr>
              <w:t xml:space="preserve">AVA μη δεδουλευμένων πιστωτικών περιθωρίων</w:t>
            </w:r>
          </w:p>
          <w:p w14:paraId="2381E111" w14:textId="77777777" w:rsidR="00C04D6C" w:rsidRPr="007F4CC8" w:rsidRDefault="00C04D6C" w:rsidP="00D819DE">
            <w:pPr>
              <w:spacing w:beforeLines="60" w:before="144" w:afterLines="60" w:after="144"/>
              <w:rPr>
                <w:sz w:val="24"/>
                <w:rFonts w:ascii="Times New Roman" w:hAnsi="Times New Roman" w:cs="Times New Roman"/>
              </w:rPr>
            </w:pPr>
            <w:r>
              <w:rPr>
                <w:sz w:val="24"/>
                <w:rFonts w:ascii="Times New Roman" w:hAnsi="Times New Roman"/>
              </w:rPr>
              <w:t xml:space="preserve">Άρθρο 105 παράγραφος 10 του ΚΚΑ, άρθρο 12 του κατ’ εξουσιοδότηση κανονισμού (ΕΕ) 2016/101 της Επιτροπής</w:t>
            </w:r>
            <w:r>
              <w:rPr>
                <w:sz w:val="24"/>
                <w:rFonts w:ascii="Times New Roman" w:hAnsi="Times New Roman"/>
              </w:rPr>
              <w:t xml:space="preserve"> </w:t>
            </w:r>
          </w:p>
          <w:p w14:paraId="48A3FCCD"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Η συνολική AVA για μη δεδουλευμένα πιστωτικά περιθώρια («AVA για CVA») και η κατανομή της στις AVA αβεβαιότητας των τιμών στην αγορά, εξόδων εκκαθάρισης ή κινδύνου υποδείγματος, καθορίζεται βάσει του άρθρου 12 του κατ’ εξουσιοδότηση κανονισμού (ΕΕ) 2016/101 της Επιτροπής.</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ε2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AVA επιπέδου κατηγορίας – AVA επενδυτικών εξόδων και εξόδων χρηματοδότησης</w:t>
            </w:r>
          </w:p>
          <w:p w14:paraId="4E0DC4BC" w14:textId="77777777" w:rsidR="00C04D6C" w:rsidRPr="007F4CC8" w:rsidRDefault="00C04D6C" w:rsidP="00D819DE">
            <w:pPr>
              <w:spacing w:beforeLines="60" w:before="144" w:afterLines="60" w:after="144"/>
              <w:rPr>
                <w:caps/>
                <w:sz w:val="24"/>
                <w:u w:val="single"/>
                <w:rFonts w:ascii="Times New Roman" w:hAnsi="Times New Roman" w:cs="Times New Roman"/>
              </w:rPr>
            </w:pPr>
            <w:r>
              <w:rPr>
                <w:sz w:val="24"/>
                <w:rFonts w:ascii="Times New Roman" w:hAnsi="Times New Roman"/>
              </w:rPr>
              <w:t xml:space="preserve">Άρθρο 105 παράγραφος 10 του ΚΚΑ, άρθρο 13 του κατ’ εξουσιοδότηση κανονισμού (ΕΕ) 2016/101 της Επιτροπής</w:t>
            </w:r>
          </w:p>
          <w:p w14:paraId="014133D9"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Η συνολική AVA επενδυτικών εξόδων και εξόδων χρηματοδότησης και η κατανομή της στις AVA αβεβαιότητας των τιμών στην αγορά, εξόδων εκκαθάρισης ή κινδύνου υποδείγματος, καθορίζεται βάσει του άρθρου 13 του κατ’ εξουσιοδότηση κανονισμού (ΕΕ) 2016/101 της Επιτροπής.</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στ</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Σύνολο επιπέδου κατηγορίας μετά τη διαφοροποίηση</w:t>
            </w:r>
          </w:p>
          <w:p w14:paraId="7AC1D089"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Για τα χαρτοφυλάκια που υπόκεινται στη βασική προσέγγιση, όπως ορίζεται στο κεφάλαιο III του κατ’ εξουσιοδότηση κανονισμού (ΕΕ) 2016/101 της Επιτροπής, το σύνολο επιπέδου κατηγορίας μετά τη διαφοροποίηση περιλαμβάνει τις συνολικές AVA που υπολογίζονται σύμφωνα με τη βασική προσέγγιση για τα στοιχεία ενεργητικού και παθητικού εύλογης αξίας τα οποία περιλαμβάνονται στον υπολογισμό κατώτατων ορίων σύμφωνα με το άρθρο 4 παράγραφος 1 του κατ’ εξουσιοδότηση κανονισμού (ΕΕ) 2016/101 της Επιτροπής.</w:t>
            </w:r>
            <w:r>
              <w:rPr>
                <w:sz w:val="24"/>
                <w:rFonts w:ascii="Times New Roman" w:hAnsi="Times New Roman"/>
              </w:rPr>
              <w:t xml:space="preserve"> </w:t>
            </w:r>
            <w:r>
              <w:rPr>
                <w:sz w:val="24"/>
                <w:rFonts w:ascii="Times New Roman" w:hAnsi="Times New Roman"/>
              </w:rPr>
              <w:t xml:space="preserve">Περιλαμβάνει τα οφέλη διαφοροποίησης που καθορίζονται σύμφωνα με το άρθρο 9 παράγραφος 6, το άρθρο 10 παράγραφος 7 και το άρθρο 11 παράγραφος 7 του κατ’ εξουσιοδότηση κανονισμού (ΕΕ) 2016/101 της Επιτροπής.</w:t>
            </w:r>
          </w:p>
          <w:p w14:paraId="786A07B6"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Οι συνολικές AVA στη γραμμή 12 στήλη στ) του παρόντος υποδείγματος περιλαμβάνουν τα ποσά που υπολογίζονται σύμφωνα με το άρθρο 7 παράγραφος 2 στοιχείο β) εδάφια i) έως iii) του κατ’ εξουσιοδότηση κανονισμού (ΕΕ) 2016/101 για τα χαρτοφυλάκια που υπόκεινται στην εφεδρική προσέγγιση, εάν υπάρχουν.</w:t>
            </w:r>
          </w:p>
          <w:p w14:paraId="16B6B958" w14:textId="77777777" w:rsidR="00C04D6C" w:rsidRPr="00CA31E6" w:rsidRDefault="00C04D6C" w:rsidP="00D819DE">
            <w:pPr>
              <w:autoSpaceDE w:val="0"/>
              <w:autoSpaceDN w:val="0"/>
              <w:adjustRightInd w:val="0"/>
              <w:spacing w:before="60" w:after="120"/>
              <w:jc w:val="both"/>
              <w:rPr>
                <w:i/>
                <w:sz w:val="24"/>
                <w:rFonts w:ascii="Times New Roman" w:hAnsi="Times New Roman" w:cs="Times New Roman"/>
              </w:rPr>
            </w:pPr>
            <w:r>
              <w:rPr>
                <w:sz w:val="24"/>
                <w:rFonts w:ascii="Times New Roman" w:hAnsi="Times New Roman"/>
              </w:rPr>
              <w:t xml:space="preserve">Για τα χαρτοφυλάκια που υπόκεινται στην απλουστευμένη προσέγγιση, όπως ορίζεται στο κεφάλαιο II του κατ’ εξουσιοδότηση κανονισμού (ΕΕ) 2016/101 σχετικά με τη συνετή αποτίμηση, οι συνολικές AVA που περιλαμβάνονται στη γραμμή 12 του παρόντος υποδείγματος είναι το ποσό που υπολογίζεται σύμφωνα με το άρθρο 5 αυτού του κεφαλαίου.</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ζ</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Εκ των οποίων:</w:t>
            </w:r>
            <w:r>
              <w:rPr>
                <w:b/>
                <w:sz w:val="24"/>
                <w:u w:val="single"/>
                <w:rFonts w:ascii="Times New Roman" w:hAnsi="Times New Roman"/>
              </w:rPr>
              <w:t xml:space="preserve"> </w:t>
            </w:r>
            <w:r>
              <w:rPr>
                <w:b/>
                <w:sz w:val="24"/>
                <w:u w:val="single"/>
                <w:rFonts w:ascii="Times New Roman" w:hAnsi="Times New Roman"/>
              </w:rPr>
              <w:t xml:space="preserve">συνολική βασική προσέγγιση εντός του χαρτοφυλακίου</w:t>
            </w:r>
          </w:p>
          <w:p w14:paraId="77520A81"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Για κάθε σχετική κατηγορία AVA, για τα χαρτοφυλάκια που υπόκεινται στη βασική προσέγγιση όπως ορίζεται στο κεφάλαιο III του κατ’ εξουσιοδότηση κανονισμού (ΕΕ) 2016/101 της Επιτροπής, ποσοστό των AVA που προκύπτουν από θέσεις οι οποίες διατηρούνται στο χαρτοφυλάκιο συναλλαγών:</w:t>
            </w:r>
            <w:r>
              <w:rPr>
                <w:sz w:val="24"/>
                <w:rFonts w:ascii="Times New Roman" w:hAnsi="Times New Roman"/>
              </w:rPr>
              <w:t xml:space="preserve"> </w:t>
            </w:r>
            <w:r>
              <w:rPr>
                <w:sz w:val="24"/>
                <w:rFonts w:ascii="Times New Roman" w:hAnsi="Times New Roman"/>
              </w:rPr>
              <w:t xml:space="preserve">το σύνολο των θέσεων σε χρηματοοικονομικά μέσα και βασικά εμπορεύματα οι οποίες κατέχονται από ένα ίδρυμα με σκοπό τη συναλλαγή ή την αντιστάθμιση θέσεων που κατέχονται με σκοπό τη διαπραγμάτευση σύμφωνα με το άρθρο 104 του ΚΚΑ.</w:t>
            </w:r>
            <w:r>
              <w:rPr>
                <w:sz w:val="24"/>
                <w:rFonts w:ascii="Times New Roman" w:hAnsi="Times New Roman"/>
              </w:rPr>
              <w:t xml:space="preserve"> </w:t>
            </w:r>
          </w:p>
          <w:p w14:paraId="2169FF03"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sz w:val="24"/>
                <w:rFonts w:ascii="Times New Roman" w:hAnsi="Times New Roman"/>
              </w:rPr>
              <w:t xml:space="preserve">Η αξία που δημοσιοποιείται περιλαμβάνει τα οφέλη διαφοροποίησης που καθορίζονται σύμφωνα με το άρθρο 9 παράγραφος 6, το άρθρο 10 παράγραφος 7 και το άρθρο 11 παράγραφος 7 του κατ’ εξουσιοδότηση κανονισμού (ΕΕ) 2016/101 της Επιτροπής.</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Εκ των οποίων:</w:t>
            </w:r>
            <w:r>
              <w:rPr>
                <w:b/>
                <w:sz w:val="24"/>
                <w:u w:val="single"/>
                <w:rFonts w:ascii="Times New Roman" w:hAnsi="Times New Roman"/>
              </w:rPr>
              <w:t xml:space="preserve"> </w:t>
            </w:r>
            <w:r>
              <w:rPr>
                <w:b/>
                <w:sz w:val="24"/>
                <w:u w:val="single"/>
                <w:rFonts w:ascii="Times New Roman" w:hAnsi="Times New Roman"/>
              </w:rPr>
              <w:t xml:space="preserve">συνολική βασική προσέγγιση εντός του χαρτοφυλακίου τραπεζικών συναλλαγών</w:t>
            </w:r>
          </w:p>
          <w:p w14:paraId="4EC457E4" w14:textId="77777777" w:rsidR="00C04D6C" w:rsidRPr="007F4CC8" w:rsidRDefault="00C04D6C" w:rsidP="00D819DE">
            <w:pPr>
              <w:autoSpaceDE w:val="0"/>
              <w:autoSpaceDN w:val="0"/>
              <w:adjustRightInd w:val="0"/>
              <w:spacing w:before="60" w:after="120"/>
              <w:jc w:val="both"/>
              <w:rPr>
                <w:color w:val="000000"/>
                <w:sz w:val="24"/>
                <w:rFonts w:ascii="Times New Roman" w:hAnsi="Times New Roman" w:cs="Times New Roman"/>
              </w:rPr>
            </w:pPr>
            <w:r>
              <w:rPr>
                <w:sz w:val="24"/>
                <w:rFonts w:ascii="Times New Roman" w:hAnsi="Times New Roman"/>
              </w:rPr>
              <w:t xml:space="preserve">Για κάθε σχετική κατηγορία AVA, για τα χαρτοφυλάκια που υπόκεινται στη βασική προσέγγιση όπως ορίζεται στο κεφάλαιο III του κατ’ εξουσιοδότηση κανονισμού (ΕΕ) 2016/101 της Επιτροπής, ποσοστό των AVA που προκύπτουν από </w:t>
            </w:r>
            <w:r>
              <w:rPr>
                <w:sz w:val="24"/>
                <w:color w:val="000000"/>
                <w:rFonts w:ascii="Times New Roman" w:hAnsi="Times New Roman"/>
              </w:rPr>
              <w:t xml:space="preserve">θέσεις εύλογης αξίας</w:t>
            </w:r>
            <w:r>
              <w:rPr>
                <w:sz w:val="24"/>
                <w:rFonts w:ascii="Times New Roman" w:hAnsi="Times New Roman"/>
              </w:rPr>
              <w:t xml:space="preserve"> σε χρηματοπιστωτικά μέσα και εμπορεύματα οι οποίες </w:t>
            </w:r>
            <w:r>
              <w:rPr>
                <w:sz w:val="24"/>
                <w:color w:val="000000"/>
                <w:rFonts w:ascii="Times New Roman" w:hAnsi="Times New Roman"/>
              </w:rPr>
              <w:t xml:space="preserve">δεν διατηρούνται στο χαρτοφυλάκιο συναλλαγών</w:t>
            </w:r>
          </w:p>
          <w:p w14:paraId="5D6CB732"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Η αξία που δημοσιοποιείται περιλαμβάνει τα οφέλη διαφοροποίησης που καθορίζονται σύμφωνα με το άρθρο 9 παράγραφος 6, το άρθρο 10 παράγραφος 7 και το άρθρο 11 παράγραφος 7 του κατ’ εξουσιοδότηση κανονισμού (ΕΕ) 2016/101 της Επιτροπής.</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όπως τροποποιήθηκε με τον κανονισμό (ΕΕ) 2024/1623 (</w:t>
      </w:r>
      <w:hyperlink r:id="rId1" w:history="1">
        <w:r>
          <w:rPr>
            <w:rStyle w:val="Hyperlink"/>
            <w:color w:val="800080"/>
          </w:rPr>
          <w:t xml:space="preserve">ΕΕ L 176 της 27.6.2013, σ. 1</w:t>
        </w:r>
      </w:hyperlink>
      <w: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ab/>
      </w:r>
      <w:r>
        <w:t xml:space="preserve">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78/660/ΕΟΚ και 83/349/ΕΟΚ του Συμβουλίου (ΕΕ L 182 της 29.6.2013, σ.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ab/>
      </w:r>
      <w:r>
        <w:t xml:space="preserve">ΚΑΝΟΝΙΣΜΟΣ (ΕΚ) αριθ. 1606/2002 ΤΟΥ ΕΥΡΩΠΑΪΚΟΥ ΚΟΙΝΟΒΟΥΛΙΟΥ ΚΑΙ ΤΟΥ ΣΥΜΒΟΥΛΙΟΥ, της 19ης Ιουλίου 2002, για την εφαρμογή διεθνών λογιστικών προτύπων (ΕΕ L 243 της 11.9.2002, σ.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ab/>
      </w:r>
      <w:r>
        <w:t xml:space="preserve">ΟΔΗΓΙΑ 86/635/ΕΟΚ ΤΟΥ ΣΥΜΒΟΥΛΙΟΥ, της 8ης Δεκεμβρίου 1986 για τους ετήσιους και ενοποιημένους λογαριασμούς των τραπεζών και λοιπών άλλων χρηματοπιστωτικών ιδρυμάτων (EE L 372 της 31.12.1986, σ.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ab/>
      </w:r>
      <w:r>
        <w:t xml:space="preserve">ΚΑΤ’ ΕΞΟΥΣΙΟΔΟΤΗΣΗ ΚΑΝΟΝΙΣΜΟΣ (ΕΕ) αριθ. 183/2014 ΤΗΣ ΕΠΙΤΡΟΠΗΣ, της 20ής Δεκεμβρίου 2013, για τη συμπλήρωση του κανονισμού (ΕΕ) αριθ. 575/2013 του Ευρωπαϊκού Κοινοβουλίου και του Συμβουλίου σχετικά με τις απαιτήσεις προληπτικής εποπτείας για πιστωτικά ιδρύματα και επιχειρήσεις επενδύσεων, όσον αφορά ρυθμιστικά τεχνικά πρότυπα για τον καθορισμό του τρόπου υπολογισμού των ειδικών και γενικών προσαρμογών πιστωτικού κινδύνου (ΕΕ L 57 της 27.2.2014, σ.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ab/>
      </w:r>
      <w:r>
        <w:t xml:space="preserve">ΚΑΤ’ ΕΞΟΥΣΙΟΔΟΤΗΣΗ ΚΑΝΟΝΙΣΜΟΣ (ΕΕ) 2016/101 ΤΗΣ ΕΠΙΤΡΟΠΗΣ, της 26ης Οκτωβρίου 2015, για τη συμπλήρωση του κανονισμού (ΕΕ) αριθ. 575/2013 του Ευρωπαϊκού Κοινοβουλίου και του Συμβουλίου όσον αφορά ρυθμιστικά τεχνικά πρότυπα για τη συνετή αποτίμηση βάσει του άρθρου 105 παράγραφος 14 (ΕΕ L 21 της 28.1.2016, σ.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lang w:val="el-GR"/>
    </w:rPr>
  </w:style>
  <w:style w:type="character" w:customStyle="1" w:styleId="FootnoteTextChar">
    <w:name w:val="Footnote Text Char"/>
    <w:basedOn w:val="DefaultParagraphFont"/>
    <w:link w:val="FootnoteText"/>
    <w:rsid w:val="00C04D6C"/>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B29CC9-9DDF-4955-BC9B-32B3BD035F5A}"/>
</file>

<file path=customXml/itemProps2.xml><?xml version="1.0" encoding="utf-8"?>
<ds:datastoreItem xmlns:ds="http://schemas.openxmlformats.org/officeDocument/2006/customXml" ds:itemID="{AEB3C82F-D60F-402C-AE06-50708B4902B1}"/>
</file>

<file path=customXml/itemProps3.xml><?xml version="1.0" encoding="utf-8"?>
<ds:datastoreItem xmlns:ds="http://schemas.openxmlformats.org/officeDocument/2006/customXml" ds:itemID="{04325165-7E6F-44CA-A564-E2BFD93281D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4097</Words>
  <Characters>21840</Characters>
  <Application>Microsoft Office Word</Application>
  <DocSecurity>0</DocSecurity>
  <Lines>532</Lines>
  <Paragraphs>285</Paragraphs>
  <ScaleCrop>false</ScaleCrop>
  <Company>European Banking Authority</Company>
  <LinksUpToDate>false</LinksUpToDate>
  <CharactersWithSpaces>25652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2021-03-11T11:51:00Z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