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3152" w14:textId="4E11F668" w:rsidR="00A81FD5" w:rsidRPr="007F4CC8" w:rsidRDefault="00A81FD5" w:rsidP="00A81FD5">
      <w:pPr>
        <w:pStyle w:val="Annexetitre"/>
        <w:spacing w:before="0"/>
      </w:pPr>
      <w:r>
        <w:t xml:space="preserve">BIJLAGE XXIV – “Informatieverschaffing over blootstellingen uit hoofde van gespecialiseerde kredietverlening en blootstellingen in aandelen” </w:t>
      </w:r>
    </w:p>
    <w:p w14:paraId="085C05B0" w14:textId="77777777" w:rsidR="00A81FD5" w:rsidRPr="007F4CC8" w:rsidRDefault="00A81FD5" w:rsidP="00A81FD5">
      <w:pPr>
        <w:spacing w:after="120"/>
        <w:rPr>
          <w:rFonts w:ascii="Times New Roman" w:hAnsi="Times New Roman" w:cs="Times New Roman"/>
          <w:sz w:val="24"/>
        </w:rPr>
      </w:pPr>
    </w:p>
    <w:p w14:paraId="4D52DDD2" w14:textId="2226D869" w:rsidR="00A81FD5" w:rsidRPr="007F4CC8" w:rsidRDefault="00A81FD5" w:rsidP="00A81FD5">
      <w:pPr>
        <w:spacing w:after="120"/>
        <w:ind w:left="3"/>
        <w:rPr>
          <w:rFonts w:ascii="Times New Roman" w:hAnsi="Times New Roman"/>
          <w:sz w:val="24"/>
        </w:rPr>
      </w:pPr>
      <w:r>
        <w:rPr>
          <w:rFonts w:ascii="Times New Roman" w:hAnsi="Times New Roman"/>
          <w:b/>
          <w:sz w:val="24"/>
        </w:rPr>
        <w:t>Template EU CR10 – Gespecialiseerde kredietverlening en blootstellingen in aandelen.</w:t>
      </w:r>
      <w:r>
        <w:rPr>
          <w:rFonts w:ascii="Times New Roman" w:hAnsi="Times New Roman"/>
          <w:sz w:val="24"/>
        </w:rPr>
        <w:t xml:space="preserve"> Vaste template.</w:t>
      </w:r>
    </w:p>
    <w:p w14:paraId="7F14938F" w14:textId="5C3615E8" w:rsidR="00A81FD5" w:rsidRPr="00AF68CB" w:rsidRDefault="00A81FD5" w:rsidP="00AF68CB">
      <w:pPr>
        <w:pStyle w:val="ListParagraph"/>
        <w:numPr>
          <w:ilvl w:val="0"/>
          <w:numId w:val="2"/>
        </w:numPr>
        <w:spacing w:after="120"/>
        <w:ind w:hanging="357"/>
        <w:jc w:val="both"/>
        <w:rPr>
          <w:rFonts w:ascii="Times New Roman" w:hAnsi="Times New Roman"/>
          <w:sz w:val="24"/>
        </w:rPr>
      </w:pPr>
      <w:r>
        <w:rPr>
          <w:rFonts w:ascii="Times New Roman" w:hAnsi="Times New Roman"/>
          <w:sz w:val="24"/>
        </w:rPr>
        <w:t>De instellingen maken de in artikel 438, punt e), van Verordening (EU) nr. 575/2013</w:t>
      </w:r>
      <w:r w:rsidR="0016297E">
        <w:rPr>
          <w:rStyle w:val="FootnoteReference"/>
        </w:rPr>
        <w:footnoteReference w:id="1"/>
      </w:r>
      <w:r>
        <w:rPr>
          <w:rFonts w:ascii="Times New Roman" w:hAnsi="Times New Roman"/>
          <w:sz w:val="24"/>
        </w:rPr>
        <w:t xml:space="preserve"> bedoelde informatie openbaar overeenkomstig onderstaande instructies in deze bijlage voor het invullen van tabel EU CR10 die in bijlage XXIII bij de IT-oplossingen van de EBA is opgenomen. De instellingen maken volgende informatie openbaar:</w:t>
      </w:r>
    </w:p>
    <w:p w14:paraId="536DBFB9" w14:textId="77777777" w:rsidR="00A81FD5" w:rsidRPr="007F4CC8" w:rsidRDefault="00A81FD5" w:rsidP="00A81FD5">
      <w:pPr>
        <w:pStyle w:val="ListParagraph"/>
        <w:numPr>
          <w:ilvl w:val="1"/>
          <w:numId w:val="2"/>
        </w:numPr>
        <w:spacing w:after="120"/>
        <w:rPr>
          <w:rFonts w:ascii="Times New Roman" w:hAnsi="Times New Roman"/>
          <w:sz w:val="24"/>
          <w:szCs w:val="24"/>
        </w:rPr>
      </w:pPr>
      <w:r>
        <w:rPr>
          <w:rFonts w:ascii="Times New Roman" w:hAnsi="Times New Roman"/>
          <w:sz w:val="24"/>
        </w:rPr>
        <w:t>informatie over de volgende soorten blootstellingen uit hoofde van gespecialiseerde kredietverlening bedoeld in tabel 1 van artikel 153, lid 5:</w:t>
      </w:r>
    </w:p>
    <w:p w14:paraId="3460EFE7"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“projectfinanciering” in template EU CR10.1;</w:t>
      </w:r>
    </w:p>
    <w:p w14:paraId="05E046A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“inkomstengenererend onroerend goed (beleggingspanden) en zakelijk onroerend goed met grote volatiliteit” in template EU CR10.2;</w:t>
      </w:r>
    </w:p>
    <w:p w14:paraId="0802AD4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“objectfinanciering” in template EU CR10.3;</w:t>
      </w:r>
    </w:p>
    <w:p w14:paraId="69BDB935"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“grondstoffenfinanciering” in template EU CR10.4;</w:t>
      </w:r>
    </w:p>
    <w:p w14:paraId="2E77063D" w14:textId="13E594D0" w:rsidR="00A81FD5" w:rsidRPr="007F4CC8" w:rsidRDefault="00A81FD5" w:rsidP="00A81FD5">
      <w:pPr>
        <w:pStyle w:val="ListParagraph"/>
        <w:numPr>
          <w:ilvl w:val="1"/>
          <w:numId w:val="2"/>
        </w:numPr>
        <w:spacing w:after="120"/>
        <w:ind w:hanging="357"/>
        <w:rPr>
          <w:rFonts w:ascii="Times New Roman" w:hAnsi="Times New Roman"/>
          <w:sz w:val="24"/>
          <w:szCs w:val="24"/>
        </w:rPr>
      </w:pPr>
      <w:r>
        <w:rPr>
          <w:rFonts w:ascii="Times New Roman" w:hAnsi="Times New Roman"/>
          <w:sz w:val="24"/>
        </w:rPr>
        <w:t>“informatie over blootstellingen in aandelen” in template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78CCACB1"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371FCA"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B42C1"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Verwijzingen naar wetgeving en instructies</w:t>
            </w:r>
          </w:p>
        </w:tc>
      </w:tr>
      <w:tr w:rsidR="00A81FD5" w:rsidRPr="007F4CC8" w14:paraId="7EA5F71F" w14:textId="77777777" w:rsidTr="004F3087">
        <w:trPr>
          <w:trHeight w:val="359"/>
        </w:trPr>
        <w:tc>
          <w:tcPr>
            <w:tcW w:w="1413" w:type="dxa"/>
            <w:vMerge/>
            <w:tcBorders>
              <w:left w:val="single" w:sz="4" w:space="0" w:color="auto"/>
              <w:right w:val="single" w:sz="4" w:space="0" w:color="auto"/>
            </w:tcBorders>
            <w:shd w:val="clear" w:color="auto" w:fill="D9D9D9" w:themeFill="background1" w:themeFillShade="D9"/>
          </w:tcPr>
          <w:p w14:paraId="5F0A068C"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EAA19A1"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A81FD5" w:rsidRPr="007F4CC8" w14:paraId="5BE84BFB" w14:textId="77777777" w:rsidTr="004F3087">
        <w:trPr>
          <w:trHeight w:val="316"/>
        </w:trPr>
        <w:tc>
          <w:tcPr>
            <w:tcW w:w="1413" w:type="dxa"/>
          </w:tcPr>
          <w:p w14:paraId="400664F6"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505BFF38" w14:textId="77777777" w:rsidR="00A81FD5" w:rsidRPr="00B42FC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Blootstellingen binnen de balanstelling</w:t>
            </w:r>
          </w:p>
          <w:p w14:paraId="745AD69D" w14:textId="7830AC6E"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De instellingen maken de blootstellingswaarde van blootstellingen binnen de balanstelling overeenkomstig artikel 166, leden 1 tot en met 7, en artikel 167, lid 1, van Verordening (EU) nr. 575/2013 openbaar.</w:t>
            </w:r>
          </w:p>
        </w:tc>
      </w:tr>
      <w:tr w:rsidR="00A81FD5" w:rsidRPr="007F4CC8" w14:paraId="0D47376E" w14:textId="77777777" w:rsidTr="004F3087">
        <w:trPr>
          <w:trHeight w:val="316"/>
        </w:trPr>
        <w:tc>
          <w:tcPr>
            <w:tcW w:w="1413" w:type="dxa"/>
          </w:tcPr>
          <w:p w14:paraId="79B7BB44"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8980CCD"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Blootstellingen buiten de balanstelling</w:t>
            </w:r>
          </w:p>
          <w:p w14:paraId="1C2FD9EF" w14:textId="191BEB22"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De instellingen maken de blootstellingswaarde van blootstellingen buiten de balanstelling overeenkomstig artikel 166, en artikel 167, lid 2, van Verordening (EU) nr. 575/2013 openbaar zonder rekening te houden met de omrekeningsfactoren gespecificeerd in artikel 166, lid 8 of lid 9, van Verordening (EU) nr. 575/2013, noch de percentages gespecificeerd in artikel 166, lid 10, van Verordening (EU) nr. 575/2013.</w:t>
            </w:r>
          </w:p>
          <w:p w14:paraId="72C867E8" w14:textId="03DDDFD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Blootstellingen buiten de balanstelling omvatten alle gecommitteerde maar niet opgenomen bedragen en alle posten buiten de balanstelling, zoals vermeld in bijlage I bij Verordening (EU) nr. 575/2013.</w:t>
            </w:r>
          </w:p>
        </w:tc>
      </w:tr>
      <w:tr w:rsidR="00A81FD5" w:rsidRPr="007F4CC8" w14:paraId="348A6D93" w14:textId="77777777" w:rsidTr="004F3087">
        <w:trPr>
          <w:trHeight w:val="316"/>
        </w:trPr>
        <w:tc>
          <w:tcPr>
            <w:tcW w:w="1413" w:type="dxa"/>
          </w:tcPr>
          <w:p w14:paraId="00262C1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53761983"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Risicogewicht</w:t>
            </w:r>
          </w:p>
          <w:p w14:paraId="74BDA868" w14:textId="5C580C4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Dit is een vaste kolom voor de templates EU CR 10.1 tot en met EU CR 10.4. Zij mag niet worden gewijzigd. </w:t>
            </w:r>
          </w:p>
          <w:p w14:paraId="2AF282A3" w14:textId="143D6409"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Deze kolom is gespecificeerd overeenkomstig artikel 153, lid 5, van Verordening (EU) nr. 575/2013 voor de templates EU CR10.1 tot en met EU </w:t>
            </w:r>
            <w:r>
              <w:rPr>
                <w:rFonts w:ascii="Times New Roman" w:hAnsi="Times New Roman"/>
                <w:sz w:val="24"/>
              </w:rPr>
              <w:lastRenderedPageBreak/>
              <w:t>CR10.4.  Voor template EU CR 10.5 is deze kolom flexibel. De instellingen passen de desbetreffende risicogewichten toe overeenkomstig artikel 133, leden 3 tot en met 6, en artikel 495 bis, lid 3, van Verordening (EU) nr. 575/2013.</w:t>
            </w:r>
          </w:p>
        </w:tc>
      </w:tr>
      <w:tr w:rsidR="00A81FD5" w:rsidRPr="007F4CC8" w14:paraId="7603C34A" w14:textId="77777777" w:rsidTr="004F3087">
        <w:trPr>
          <w:trHeight w:val="316"/>
        </w:trPr>
        <w:tc>
          <w:tcPr>
            <w:tcW w:w="1413" w:type="dxa"/>
          </w:tcPr>
          <w:p w14:paraId="3D9A6962"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7C9AB4B"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Blootstellingswaarde</w:t>
            </w:r>
          </w:p>
          <w:p w14:paraId="3EBD3C28" w14:textId="12336578" w:rsidR="00A81FD5" w:rsidRPr="007F4CC8" w:rsidRDefault="00A81FD5" w:rsidP="004F3087">
            <w:pPr>
              <w:autoSpaceDE w:val="0"/>
              <w:autoSpaceDN w:val="0"/>
              <w:adjustRightInd w:val="0"/>
              <w:spacing w:after="120"/>
              <w:rPr>
                <w:rFonts w:ascii="Times New Roman" w:hAnsi="Times New Roman" w:cs="Times New Roman"/>
                <w:sz w:val="24"/>
              </w:rPr>
            </w:pPr>
            <w:r>
              <w:rPr>
                <w:rFonts w:ascii="Times New Roman" w:hAnsi="Times New Roman"/>
                <w:sz w:val="24"/>
              </w:rPr>
              <w:t>De blootstellingswaarde overeenkomstig artikel 166 of artikel 167 van Verordening (EU) 575/2013.</w:t>
            </w:r>
          </w:p>
          <w:p w14:paraId="7CB9912F" w14:textId="58C868E9"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 xml:space="preserve">Deze kolom bevat de som van de blootstellingswaarde van blootstellingen binnen de balanstelling en de blootstellingswaarde van blootstellingen buiten de balanstelling na toepassing van omrekeningsfactoren en percentages overeenkomstig artikel 166, leden 8 tot en met 10, van Verordening (EU) nr. 575/2013. </w:t>
            </w:r>
          </w:p>
        </w:tc>
      </w:tr>
      <w:tr w:rsidR="00A81FD5" w:rsidRPr="007F4CC8" w14:paraId="101D075B" w14:textId="77777777" w:rsidTr="004F3087">
        <w:trPr>
          <w:trHeight w:val="316"/>
        </w:trPr>
        <w:tc>
          <w:tcPr>
            <w:tcW w:w="1413" w:type="dxa"/>
            <w:tcBorders>
              <w:bottom w:val="single" w:sz="4" w:space="0" w:color="auto"/>
            </w:tcBorders>
          </w:tcPr>
          <w:p w14:paraId="0967DA9C" w14:textId="77777777" w:rsidR="00A81FD5" w:rsidRPr="0019427B" w:rsidRDefault="00A81FD5" w:rsidP="004F3087">
            <w:pPr>
              <w:autoSpaceDE w:val="0"/>
              <w:autoSpaceDN w:val="0"/>
              <w:adjustRightInd w:val="0"/>
              <w:spacing w:after="120"/>
              <w:jc w:val="both"/>
              <w:rPr>
                <w:rFonts w:ascii="Times New Roman" w:hAnsi="Times New Roman"/>
                <w:sz w:val="24"/>
                <w:lang w:val="fr-BE"/>
              </w:rPr>
            </w:pPr>
            <w:r w:rsidRPr="0019427B">
              <w:rPr>
                <w:rFonts w:ascii="Times New Roman" w:hAnsi="Times New Roman"/>
                <w:sz w:val="24"/>
                <w:lang w:val="fr-BE"/>
              </w:rPr>
              <w:t>e (templates EU CR10.1 tot en met EU CR10.4)</w:t>
            </w:r>
          </w:p>
        </w:tc>
        <w:tc>
          <w:tcPr>
            <w:tcW w:w="7654" w:type="dxa"/>
          </w:tcPr>
          <w:p w14:paraId="703A355C"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Risicogewogen posten (blootstellingen uit hoofde van gespecialiseerde kredietverlening volgens de onderbrengingsbenadering)</w:t>
            </w:r>
          </w:p>
          <w:p w14:paraId="041E0E73" w14:textId="698ABDE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De risicogewogen posten berekend overeenkomstig artikel 153, lid 5, van Verordening (EU) nr. 575/2013 na toepassing van ondersteuningsfactoren overeenkomstig de artikelen 501 en 501 bis van Verordening (EU) nr. 575/2013, indien van toepassing.</w:t>
            </w:r>
          </w:p>
        </w:tc>
      </w:tr>
      <w:tr w:rsidR="00A81FD5" w:rsidRPr="007F4CC8" w14:paraId="697C0CA4" w14:textId="77777777" w:rsidTr="004F3087">
        <w:trPr>
          <w:trHeight w:val="316"/>
        </w:trPr>
        <w:tc>
          <w:tcPr>
            <w:tcW w:w="1413" w:type="dxa"/>
            <w:tcBorders>
              <w:bottom w:val="nil"/>
            </w:tcBorders>
          </w:tcPr>
          <w:p w14:paraId="1672DF90" w14:textId="77777777" w:rsidR="00A81FD5" w:rsidRPr="0019427B" w:rsidRDefault="00A81FD5" w:rsidP="004F3087">
            <w:pPr>
              <w:autoSpaceDE w:val="0"/>
              <w:autoSpaceDN w:val="0"/>
              <w:adjustRightInd w:val="0"/>
              <w:spacing w:after="120"/>
              <w:jc w:val="both"/>
              <w:rPr>
                <w:rFonts w:ascii="Times New Roman" w:hAnsi="Times New Roman"/>
                <w:sz w:val="24"/>
                <w:lang w:val="fr-BE"/>
              </w:rPr>
            </w:pPr>
            <w:r w:rsidRPr="0019427B">
              <w:rPr>
                <w:rFonts w:ascii="Times New Roman" w:hAnsi="Times New Roman"/>
                <w:sz w:val="24"/>
                <w:lang w:val="fr-BE"/>
              </w:rPr>
              <w:t>f (templates EU CR10.1 tot en met EU CR10.4)</w:t>
            </w:r>
          </w:p>
        </w:tc>
        <w:tc>
          <w:tcPr>
            <w:tcW w:w="7654" w:type="dxa"/>
          </w:tcPr>
          <w:p w14:paraId="4FF75FE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Verwachte verliespost (blootstellingen uit hoofde van gespecialiseerde kredietverlening volgens de onderbrengingsbenadering)</w:t>
            </w:r>
          </w:p>
          <w:p w14:paraId="60279495" w14:textId="26DC979B"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Verwachte verliespost berekend overeenkomstig artikel 158, lid 6, van Verordening (EU) nr. 575/2013.</w:t>
            </w:r>
          </w:p>
        </w:tc>
      </w:tr>
      <w:tr w:rsidR="00A81FD5" w:rsidRPr="007F4CC8" w14:paraId="4F8B2187" w14:textId="77777777" w:rsidTr="004F3087">
        <w:trPr>
          <w:trHeight w:val="316"/>
        </w:trPr>
        <w:tc>
          <w:tcPr>
            <w:tcW w:w="1413" w:type="dxa"/>
            <w:tcBorders>
              <w:top w:val="nil"/>
            </w:tcBorders>
          </w:tcPr>
          <w:p w14:paraId="56FDDAB9"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(template EU CR10.5)</w:t>
            </w:r>
          </w:p>
        </w:tc>
        <w:tc>
          <w:tcPr>
            <w:tcW w:w="7654" w:type="dxa"/>
          </w:tcPr>
          <w:p w14:paraId="63BCE1A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Verwachte verliespost (blootstellingen in aandelen in het kader van de eenvoudige risicogewichtbenadering)</w:t>
            </w:r>
          </w:p>
          <w:p w14:paraId="602A3DA1" w14:textId="4D627F3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Verwachte verliespost berekend overeenkomstig artikel 158, lid 7, van Verordening (EU) nr. 575/2013, waar van toepassing.</w:t>
            </w:r>
          </w:p>
        </w:tc>
      </w:tr>
    </w:tbl>
    <w:p w14:paraId="2792224B" w14:textId="77777777" w:rsidR="00A81FD5" w:rsidRPr="007F4CC8" w:rsidRDefault="00A81FD5" w:rsidP="00A81FD5">
      <w:pPr>
        <w:spacing w:after="120"/>
        <w:rPr>
          <w:rFonts w:ascii="Times New Roman" w:hAnsi="Times New Roman" w:cs="Times New Roman"/>
          <w:sz w:val="24"/>
        </w:rPr>
      </w:pPr>
    </w:p>
    <w:p w14:paraId="2C3A6074" w14:textId="77777777"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32"/>
      </w:tblGrid>
      <w:tr w:rsidR="00A81FD5" w:rsidRPr="007F4CC8" w14:paraId="3C9F1404" w14:textId="77777777" w:rsidTr="0019427B">
        <w:trPr>
          <w:trHeight w:val="90"/>
        </w:trPr>
        <w:tc>
          <w:tcPr>
            <w:tcW w:w="1435" w:type="dxa"/>
            <w:vMerge w:val="restart"/>
            <w:tcBorders>
              <w:top w:val="single" w:sz="4" w:space="0" w:color="auto"/>
              <w:left w:val="single" w:sz="4" w:space="0" w:color="auto"/>
              <w:right w:val="single" w:sz="4" w:space="0" w:color="auto"/>
            </w:tcBorders>
            <w:shd w:val="clear" w:color="auto" w:fill="D9D9D9" w:themeFill="background1" w:themeFillShade="D9"/>
          </w:tcPr>
          <w:p w14:paraId="56930760"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Rijnummer</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C16B"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Verwijzingen naar wetgeving en instructies</w:t>
            </w:r>
          </w:p>
        </w:tc>
      </w:tr>
      <w:tr w:rsidR="00A81FD5" w:rsidRPr="007F4CC8" w14:paraId="05D9511C" w14:textId="77777777" w:rsidTr="0019427B">
        <w:trPr>
          <w:trHeight w:val="403"/>
        </w:trPr>
        <w:tc>
          <w:tcPr>
            <w:tcW w:w="1435" w:type="dxa"/>
            <w:vMerge/>
            <w:tcBorders>
              <w:left w:val="single" w:sz="4" w:space="0" w:color="auto"/>
              <w:right w:val="single" w:sz="4" w:space="0" w:color="auto"/>
            </w:tcBorders>
            <w:shd w:val="clear" w:color="auto" w:fill="D9D9D9" w:themeFill="background1" w:themeFillShade="D9"/>
          </w:tcPr>
          <w:p w14:paraId="3DCFB7BE"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32" w:type="dxa"/>
            <w:tcBorders>
              <w:left w:val="single" w:sz="4" w:space="0" w:color="auto"/>
            </w:tcBorders>
            <w:shd w:val="clear" w:color="auto" w:fill="D9D9D9" w:themeFill="background1" w:themeFillShade="D9"/>
          </w:tcPr>
          <w:p w14:paraId="64C8C924"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A81FD5" w:rsidRPr="007F4CC8" w14:paraId="5A7F3F5E" w14:textId="77777777" w:rsidTr="0019427B">
        <w:trPr>
          <w:trHeight w:val="316"/>
        </w:trPr>
        <w:tc>
          <w:tcPr>
            <w:tcW w:w="1435" w:type="dxa"/>
          </w:tcPr>
          <w:p w14:paraId="7D09494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 de regelgeving bepaalde categorie</w:t>
            </w:r>
          </w:p>
        </w:tc>
        <w:tc>
          <w:tcPr>
            <w:tcW w:w="7632" w:type="dxa"/>
          </w:tcPr>
          <w:p w14:paraId="684D2C24" w14:textId="77777777" w:rsidR="00A81FD5" w:rsidRPr="0019427B" w:rsidRDefault="00A81FD5" w:rsidP="004F3087">
            <w:pPr>
              <w:spacing w:after="120"/>
              <w:jc w:val="both"/>
              <w:rPr>
                <w:rFonts w:ascii="Times New Roman" w:eastAsiaTheme="minorHAnsi" w:hAnsi="Times New Roman" w:cs="Times New Roman"/>
                <w:b/>
                <w:sz w:val="24"/>
                <w:lang w:val="fr-BE"/>
              </w:rPr>
            </w:pPr>
            <w:r w:rsidRPr="0019427B">
              <w:rPr>
                <w:rFonts w:ascii="Times New Roman" w:hAnsi="Times New Roman"/>
                <w:b/>
                <w:sz w:val="24"/>
                <w:lang w:val="fr-BE"/>
              </w:rPr>
              <w:t>Templates EU CR10.1 – EU CR10.4</w:t>
            </w:r>
          </w:p>
          <w:p w14:paraId="73A34AF3" w14:textId="5763928A"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Regelgevingscategorieën die van toepassing zijn op gespecialiseerde kredietverlening volgens de onderbrengingsbenadering voor elke klasse blootstellingen uit hoofde van gespecialiseerde kredietverlening; zoals bepaald in artikel 153, lid 5, van Verordening (EU) nr. 575/2013 en in de definitieve ontwerp-RTS inzake onderbrengingsbenadering.</w:t>
            </w:r>
          </w:p>
        </w:tc>
      </w:tr>
      <w:tr w:rsidR="00A81FD5" w:rsidRPr="007F4CC8" w14:paraId="06F4029F" w14:textId="77777777" w:rsidTr="0019427B">
        <w:trPr>
          <w:trHeight w:val="316"/>
        </w:trPr>
        <w:tc>
          <w:tcPr>
            <w:tcW w:w="1435" w:type="dxa"/>
          </w:tcPr>
          <w:p w14:paraId="5EAED2FC"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Categorieën</w:t>
            </w:r>
          </w:p>
        </w:tc>
        <w:tc>
          <w:tcPr>
            <w:tcW w:w="7632" w:type="dxa"/>
          </w:tcPr>
          <w:p w14:paraId="73E10594" w14:textId="0741463C" w:rsidR="00A81FD5" w:rsidRPr="00360C8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Template EU CR10.5. Flexibel</w:t>
            </w:r>
          </w:p>
          <w:p w14:paraId="1A9FFE85" w14:textId="723ADCB0" w:rsidR="00A81FD5" w:rsidRPr="007F4CC8" w:rsidRDefault="005122C8" w:rsidP="004F3087">
            <w:pPr>
              <w:spacing w:after="120"/>
              <w:jc w:val="both"/>
              <w:rPr>
                <w:rFonts w:ascii="Times New Roman" w:eastAsiaTheme="minorHAnsi" w:hAnsi="Times New Roman" w:cs="Times New Roman"/>
                <w:sz w:val="24"/>
              </w:rPr>
            </w:pPr>
            <w:r>
              <w:rPr>
                <w:rFonts w:ascii="Times New Roman" w:hAnsi="Times New Roman"/>
                <w:sz w:val="24"/>
              </w:rPr>
              <w:t xml:space="preserve">De instellingen nemen de relevante in de regelgeving bepaalde categorieën die van toepassing zijn op aandelen op, overeenkomstig artikel 133, leden 3 tot en met 6, en artikel 495 bis, lid 3, van Verordening (EU) nr. 575/2013. </w:t>
            </w:r>
          </w:p>
        </w:tc>
      </w:tr>
    </w:tbl>
    <w:p w14:paraId="5A153A1E" w14:textId="77777777" w:rsidR="00A81FD5" w:rsidRPr="007F4CC8" w:rsidRDefault="00A81FD5" w:rsidP="00A81FD5">
      <w:pPr>
        <w:tabs>
          <w:tab w:val="left" w:pos="1430"/>
        </w:tabs>
        <w:rPr>
          <w:rFonts w:ascii="Times New Roman" w:hAnsi="Times New Roman" w:cs="Times New Roman"/>
          <w:sz w:val="24"/>
        </w:rPr>
      </w:pPr>
    </w:p>
    <w:p w14:paraId="7B637F1D" w14:textId="77777777" w:rsidR="00993FC2" w:rsidRDefault="00993FC2" w:rsidP="00A81FD5"/>
    <w:sectPr w:rsidR="00993FC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D73" w14:textId="77777777" w:rsidR="00703E80" w:rsidRDefault="00703E80" w:rsidP="00A81FD5">
      <w:r>
        <w:separator/>
      </w:r>
    </w:p>
  </w:endnote>
  <w:endnote w:type="continuationSeparator" w:id="0">
    <w:p w14:paraId="4133069B" w14:textId="77777777"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12"/>
      <w:docPartObj>
        <w:docPartGallery w:val="Page Numbers (Bottom of Page)"/>
        <w:docPartUnique/>
      </w:docPartObj>
    </w:sdtPr>
    <w:sdtEndPr>
      <w:rPr>
        <w:noProof/>
      </w:rPr>
    </w:sdtEndPr>
    <w:sdtContent>
      <w:p w14:paraId="293BD6A0" w14:textId="77777777" w:rsidR="00A81FD5" w:rsidRDefault="00A81FD5">
        <w:pPr>
          <w:pStyle w:val="Footer"/>
          <w:jc w:val="right"/>
        </w:pPr>
        <w:r>
          <w:fldChar w:fldCharType="begin"/>
        </w:r>
        <w:r>
          <w:instrText xml:space="preserve"> PAGE   \* MERGEFORMAT </w:instrText>
        </w:r>
        <w:r>
          <w:fldChar w:fldCharType="separate"/>
        </w:r>
        <w:r>
          <w:t>2</w:t>
        </w:r>
        <w:r>
          <w:fldChar w:fldCharType="end"/>
        </w:r>
      </w:p>
    </w:sdtContent>
  </w:sdt>
  <w:p w14:paraId="77A576E9" w14:textId="77777777"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66AE" w14:textId="77777777" w:rsidR="00703E80" w:rsidRDefault="00703E80" w:rsidP="00A81FD5">
      <w:r>
        <w:separator/>
      </w:r>
    </w:p>
  </w:footnote>
  <w:footnote w:type="continuationSeparator" w:id="0">
    <w:p w14:paraId="32022626" w14:textId="77777777" w:rsidR="00703E80" w:rsidRDefault="00703E80" w:rsidP="00A81FD5">
      <w:r>
        <w:continuationSeparator/>
      </w:r>
    </w:p>
  </w:footnote>
  <w:footnote w:id="1">
    <w:p w14:paraId="5DF9A988" w14:textId="1DC1B74B" w:rsidR="0016297E" w:rsidRPr="0016297E" w:rsidRDefault="0016297E" w:rsidP="0016297E">
      <w:pPr>
        <w:pStyle w:val="FootnoteText"/>
      </w:pPr>
      <w:r>
        <w:rPr>
          <w:rStyle w:val="FootnoteReference"/>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CA2D" w14:textId="4B287E36" w:rsidR="0089557A" w:rsidRDefault="0089557A">
    <w:pPr>
      <w:pStyle w:val="Header"/>
    </w:pPr>
    <w:r>
      <w:rPr>
        <w:noProof/>
      </w:rPr>
      <mc:AlternateContent>
        <mc:Choice Requires="wps">
          <w:drawing>
            <wp:anchor distT="0" distB="0" distL="0" distR="0" simplePos="0" relativeHeight="251659264" behindDoc="0" locked="0" layoutInCell="1" allowOverlap="1" wp14:anchorId="6B7ECC36" wp14:editId="1A347A40">
              <wp:simplePos x="635" y="635"/>
              <wp:positionH relativeFrom="page">
                <wp:align>left</wp:align>
              </wp:positionH>
              <wp:positionV relativeFrom="page">
                <wp:align>top</wp:align>
              </wp:positionV>
              <wp:extent cx="443865" cy="443865"/>
              <wp:effectExtent l="0" t="0" r="3175" b="4445"/>
              <wp:wrapNone/>
              <wp:docPr id="1572534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FEE100" w14:textId="1A0A7B31" w:rsidR="0089557A" w:rsidRPr="0089557A" w:rsidRDefault="0089557A" w:rsidP="0089557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B7ECC36"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13B" w14:textId="19D0E53F" w:rsidR="0089557A" w:rsidRDefault="0089557A">
    <w:pPr>
      <w:pStyle w:val="Header"/>
    </w:pPr>
    <w:r>
      <w:rPr>
        <w:noProof/>
      </w:rPr>
      <mc:AlternateContent>
        <mc:Choice Requires="wps">
          <w:drawing>
            <wp:anchor distT="0" distB="0" distL="0" distR="0" simplePos="0" relativeHeight="251660288" behindDoc="0" locked="0" layoutInCell="1" allowOverlap="1" wp14:anchorId="7DF76086" wp14:editId="609448B1">
              <wp:simplePos x="914400" y="447675"/>
              <wp:positionH relativeFrom="page">
                <wp:align>left</wp:align>
              </wp:positionH>
              <wp:positionV relativeFrom="page">
                <wp:align>top</wp:align>
              </wp:positionV>
              <wp:extent cx="443865" cy="443865"/>
              <wp:effectExtent l="0" t="0" r="3175" b="4445"/>
              <wp:wrapNone/>
              <wp:docPr id="334500121"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1C80" w14:textId="385EA0F0"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r w:rsidR="0019427B">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F76086"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9C71C80" w14:textId="385EA0F0"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r w:rsidR="0019427B">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2FD7" w14:textId="1F8C1CF5" w:rsidR="0089557A" w:rsidRDefault="0089557A">
    <w:pPr>
      <w:pStyle w:val="Header"/>
    </w:pPr>
    <w:r>
      <w:rPr>
        <w:noProof/>
      </w:rPr>
      <mc:AlternateContent>
        <mc:Choice Requires="wps">
          <w:drawing>
            <wp:anchor distT="0" distB="0" distL="0" distR="0" simplePos="0" relativeHeight="251658240" behindDoc="0" locked="0" layoutInCell="1" allowOverlap="1" wp14:anchorId="5D3FAAB5" wp14:editId="5BE3112C">
              <wp:simplePos x="635" y="635"/>
              <wp:positionH relativeFrom="page">
                <wp:align>left</wp:align>
              </wp:positionH>
              <wp:positionV relativeFrom="page">
                <wp:align>top</wp:align>
              </wp:positionV>
              <wp:extent cx="443865" cy="443865"/>
              <wp:effectExtent l="0" t="0" r="3175" b="4445"/>
              <wp:wrapNone/>
              <wp:docPr id="14944306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8DAD4" w14:textId="694FABB0" w:rsidR="0089557A" w:rsidRPr="0089557A" w:rsidRDefault="0089557A" w:rsidP="0089557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D3FAAB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5923548">
    <w:abstractNumId w:val="0"/>
  </w:num>
  <w:num w:numId="2" w16cid:durableId="60935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56335"/>
    <w:rsid w:val="001409C0"/>
    <w:rsid w:val="0016297E"/>
    <w:rsid w:val="0019427B"/>
    <w:rsid w:val="002A29F0"/>
    <w:rsid w:val="00456335"/>
    <w:rsid w:val="005122C8"/>
    <w:rsid w:val="0053271E"/>
    <w:rsid w:val="006120BE"/>
    <w:rsid w:val="00703E80"/>
    <w:rsid w:val="0089557A"/>
    <w:rsid w:val="00964BDB"/>
    <w:rsid w:val="00993FC2"/>
    <w:rsid w:val="00A81FD5"/>
    <w:rsid w:val="00AF68CB"/>
    <w:rsid w:val="00C15CE4"/>
    <w:rsid w:val="00CF64BB"/>
    <w:rsid w:val="00D6345C"/>
    <w:rsid w:val="00F96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BC956"/>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16297E"/>
    <w:pPr>
      <w:spacing w:before="80" w:line="200" w:lineRule="exact"/>
      <w:jc w:val="both"/>
    </w:pPr>
    <w:rPr>
      <w:sz w:val="18"/>
      <w:szCs w:val="18"/>
    </w:rPr>
  </w:style>
  <w:style w:type="character" w:customStyle="1" w:styleId="FootnoteTextChar">
    <w:name w:val="Footnote Text Char"/>
    <w:basedOn w:val="DefaultParagraphFont"/>
    <w:link w:val="FootnoteText"/>
    <w:rsid w:val="0016297E"/>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 w:type="character" w:styleId="CommentReference">
    <w:name w:val="annotation reference"/>
    <w:basedOn w:val="DefaultParagraphFont"/>
    <w:uiPriority w:val="99"/>
    <w:semiHidden/>
    <w:unhideWhenUsed/>
    <w:rsid w:val="0089557A"/>
    <w:rPr>
      <w:sz w:val="16"/>
      <w:szCs w:val="16"/>
    </w:rPr>
  </w:style>
  <w:style w:type="paragraph" w:styleId="CommentText">
    <w:name w:val="annotation text"/>
    <w:basedOn w:val="Normal"/>
    <w:link w:val="CommentTextChar"/>
    <w:uiPriority w:val="99"/>
    <w:unhideWhenUsed/>
    <w:rsid w:val="0089557A"/>
    <w:rPr>
      <w:sz w:val="20"/>
      <w:szCs w:val="20"/>
    </w:rPr>
  </w:style>
  <w:style w:type="character" w:customStyle="1" w:styleId="CommentTextChar">
    <w:name w:val="Comment Text Char"/>
    <w:basedOn w:val="DefaultParagraphFont"/>
    <w:link w:val="CommentText"/>
    <w:uiPriority w:val="99"/>
    <w:rsid w:val="0089557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557A"/>
    <w:rPr>
      <w:b/>
      <w:bCs/>
    </w:rPr>
  </w:style>
  <w:style w:type="character" w:customStyle="1" w:styleId="CommentSubjectChar">
    <w:name w:val="Comment Subject Char"/>
    <w:basedOn w:val="CommentTextChar"/>
    <w:link w:val="CommentSubject"/>
    <w:uiPriority w:val="99"/>
    <w:semiHidden/>
    <w:rsid w:val="0089557A"/>
    <w:rPr>
      <w:rFonts w:eastAsiaTheme="minorEastAsia"/>
      <w:b/>
      <w:bCs/>
      <w:sz w:val="20"/>
      <w:szCs w:val="20"/>
    </w:rPr>
  </w:style>
  <w:style w:type="paragraph" w:styleId="Revision">
    <w:name w:val="Revision"/>
    <w:hidden/>
    <w:uiPriority w:val="99"/>
    <w:semiHidden/>
    <w:rsid w:val="002A29F0"/>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CF0BC-64A7-44A4-BE6C-A045FAF69AE5}">
  <ds:schemaRefs>
    <ds:schemaRef ds:uri="http://schemas.openxmlformats.org/officeDocument/2006/bibliography"/>
  </ds:schemaRefs>
</ds:datastoreItem>
</file>

<file path=customXml/itemProps2.xml><?xml version="1.0" encoding="utf-8"?>
<ds:datastoreItem xmlns:ds="http://schemas.openxmlformats.org/officeDocument/2006/customXml" ds:itemID="{FECFAA8E-3288-4EFD-B518-1E37476B65E9}"/>
</file>

<file path=customXml/itemProps3.xml><?xml version="1.0" encoding="utf-8"?>
<ds:datastoreItem xmlns:ds="http://schemas.openxmlformats.org/officeDocument/2006/customXml" ds:itemID="{A3D255B3-3812-418A-AB59-63D24BB95FAC}"/>
</file>

<file path=customXml/itemProps4.xml><?xml version="1.0" encoding="utf-8"?>
<ds:datastoreItem xmlns:ds="http://schemas.openxmlformats.org/officeDocument/2006/customXml" ds:itemID="{FC522382-551F-4238-A109-CA1A9C779AD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37</TotalTime>
  <Pages>2</Pages>
  <Words>627</Words>
  <Characters>3997</Characters>
  <Application>Microsoft Office Word</Application>
  <DocSecurity>0</DocSecurity>
  <Lines>102</Lines>
  <Paragraphs>45</Paragraphs>
  <ScaleCrop>false</ScaleCrop>
  <Company>European Banking Authority</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15</cp:revision>
  <dcterms:created xsi:type="dcterms:W3CDTF">2021-03-11T13:21:00Z</dcterms:created>
  <dcterms:modified xsi:type="dcterms:W3CDTF">2024-09-30T09:33:00Z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591333ba,5dbaf94b,13f01119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2024-09-26T14:30:38Z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b845363d-b496-4e81-8635-4e3aececf02f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