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 xml:space="preserve">PRILOGA XXXII – Navodila za predloge za razkritje operativnega tveganja</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bCs/>
          <w:sz w:val="24"/>
          <w:rFonts w:ascii="Times New Roman" w:hAnsi="Times New Roman"/>
        </w:rPr>
      </w:pPr>
      <w:r>
        <w:rPr>
          <w:sz w:val="24"/>
          <w:b/>
          <w:rFonts w:ascii="Times New Roman" w:hAnsi="Times New Roman"/>
        </w:rPr>
        <w:t xml:space="preserve">Razpredelnica EU ORA – Kvalitativne informacije o operativnem tveganju.</w:t>
      </w:r>
      <w:r>
        <w:rPr>
          <w:sz w:val="24"/>
          <w:b/>
          <w:rFonts w:ascii="Times New Roman" w:hAnsi="Times New Roman"/>
        </w:rPr>
        <w:t xml:space="preserve"> </w:t>
      </w:r>
      <w:r>
        <w:rPr>
          <w:sz w:val="24"/>
          <w:rFonts w:ascii="Times New Roman" w:hAnsi="Times New Roman"/>
        </w:rPr>
        <w:t xml:space="preserve">Prilagodljiva razpredelnica.</w:t>
      </w:r>
    </w:p>
    <w:p w14:paraId="2E1E5572" w14:textId="6D56D6EF" w:rsidR="00E114F3" w:rsidRPr="008D71E9" w:rsidRDefault="2A1FD4BE" w:rsidP="44B77564">
      <w:pPr>
        <w:numPr>
          <w:ilvl w:val="0"/>
          <w:numId w:val="1"/>
        </w:numPr>
        <w:spacing w:after="120"/>
        <w:jc w:val="both"/>
        <w:rPr>
          <w:color w:val="000000"/>
          <w:rFonts w:ascii="Calibri" w:eastAsia="Times New Roman" w:hAnsi="Calibri" w:cs="Times New Roman"/>
        </w:rPr>
      </w:pPr>
      <w:r>
        <w:rPr>
          <w:sz w:val="24"/>
          <w:rFonts w:ascii="Times New Roman" w:hAnsi="Times New Roman"/>
        </w:rPr>
        <w:t xml:space="preserve">Institucije razkrijejo informacije iz te razpredelnice v skladu s členom 435(1) in členom 446(1), točka (a), Uredbe (EU) št. 575/2013</w:t>
      </w:r>
      <w:r>
        <w:rPr>
          <w:rStyle w:val="FootnoteReference"/>
          <w:rFonts w:ascii="Times New Roman" w:hAnsi="Times New Roman"/>
          <w:sz w:val="24"/>
          <w:szCs w:val="24"/>
        </w:rPr>
        <w:footnoteReference w:id="2"/>
      </w:r>
      <w:r>
        <w:rPr>
          <w:sz w:val="24"/>
          <w:rFonts w:ascii="Times New Roman" w:hAnsi="Times New Roman"/>
        </w:rPr>
        <w:t xml:space="preserve">.</w:t>
      </w:r>
    </w:p>
    <w:p w14:paraId="728254AD" w14:textId="52B3E768" w:rsidR="00E114F3" w:rsidRPr="008D71E9" w:rsidRDefault="00E114F3" w:rsidP="00E114F3">
      <w:pPr>
        <w:numPr>
          <w:ilvl w:val="0"/>
          <w:numId w:val="1"/>
        </w:numPr>
        <w:spacing w:after="120"/>
        <w:jc w:val="both"/>
        <w:rPr>
          <w:bCs/>
          <w:sz w:val="24"/>
          <w:rFonts w:ascii="Times New Roman" w:hAnsi="Times New Roman"/>
        </w:rPr>
      </w:pPr>
      <w:r>
        <w:rPr>
          <w:sz w:val="24"/>
          <w:rFonts w:ascii="Times New Roman" w:hAnsi="Times New Roman"/>
        </w:rPr>
        <w:t xml:space="preserve">Institucije upoštevajo navodila iz te priloge za izpolnjevanje razpredelnice z razkritji o operativnem tveganju EU ORA iz Priloge XXXI k rešitvam IT EBA.</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Pravna podlaga in navodila</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Številka vrstice</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Pojasnilo</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(a)</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Razkritje ciljev in politik upravljanja tveganj</w:t>
            </w:r>
          </w:p>
          <w:p w14:paraId="65684A44" w14:textId="7101D8E2" w:rsidR="00E114F3" w:rsidRPr="008D71E9" w:rsidRDefault="2A1FD4BE">
            <w:pPr>
              <w:spacing w:after="120"/>
              <w:rPr>
                <w:color w:val="000000"/>
                <w:sz w:val="24"/>
                <w:rFonts w:ascii="Times New Roman" w:eastAsia="Times New Roman" w:hAnsi="Times New Roman" w:cs="Times New Roman"/>
              </w:rPr>
            </w:pPr>
            <w:r>
              <w:rPr>
                <w:sz w:val="24"/>
                <w:color w:val="000000" w:themeColor="text1"/>
                <w:rFonts w:ascii="Times New Roman" w:hAnsi="Times New Roman"/>
              </w:rPr>
              <w:t xml:space="preserve">Institucije v skladu s členom 435(1), točka (a), </w:t>
            </w:r>
            <w:r>
              <w:rPr>
                <w:sz w:val="24"/>
                <w:rFonts w:ascii="Times New Roman" w:hAnsi="Times New Roman"/>
              </w:rPr>
              <w:t xml:space="preserve">Uredbe (EU) št. 575/2013 </w:t>
            </w:r>
            <w:r>
              <w:rPr>
                <w:sz w:val="24"/>
                <w:color w:val="000000" w:themeColor="text1"/>
                <w:rFonts w:ascii="Times New Roman" w:hAnsi="Times New Roman"/>
              </w:rPr>
              <w:t xml:space="preserve">razkrijejo svoje cilje, politike, okvire in smernice za upravljanje operativnega tveganja, vključno s strategijami in procesi za upravljanje tega tveganja.</w:t>
            </w:r>
            <w:r>
              <w:t xml:space="preserve"> </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(b)</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Razkritje strukture in organizacije funkcije upravljanja operativnega tveganja</w:t>
            </w:r>
          </w:p>
          <w:p w14:paraId="739779F0" w14:textId="092C61F0" w:rsidR="00E114F3" w:rsidRPr="008D71E9" w:rsidRDefault="00885AC5">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Institucije v skladu s členom 435(1), točka (b), </w:t>
            </w:r>
            <w:r>
              <w:rPr>
                <w:sz w:val="24"/>
                <w:rFonts w:ascii="Times New Roman" w:hAnsi="Times New Roman"/>
              </w:rPr>
              <w:t xml:space="preserve">Uredbe (EU) št. 575/2013 </w:t>
            </w:r>
            <w:r>
              <w:rPr>
                <w:sz w:val="24"/>
                <w:color w:val="000000" w:themeColor="text1"/>
                <w:rFonts w:ascii="Times New Roman" w:hAnsi="Times New Roman"/>
              </w:rPr>
              <w:t xml:space="preserve">razkrijejo strukturo in organizacijo funkcije upravljanja operativnega tveganja, vključno z informacijami o podlagi za njena pooblastila, pristojnosti in odgovornost v skladu z ustanovnimi akti in listinami o upravljanju institucije, ter funkcije nadzora.</w:t>
            </w:r>
            <w:r>
              <w:rPr>
                <w:sz w:val="24"/>
                <w:rFonts w:ascii="Times New Roman" w:hAnsi="Times New Roman"/>
              </w:rPr>
              <w:t xml:space="preserve"> </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Opis obsega in narave sistema merjenja</w:t>
            </w:r>
          </w:p>
          <w:p w14:paraId="2426746E" w14:textId="37F86BBD" w:rsidR="00E114F3" w:rsidRPr="008D71E9" w:rsidRDefault="005129A3">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Institucije v skladu s členom 435(1), točka (c), </w:t>
            </w:r>
            <w:r>
              <w:rPr>
                <w:sz w:val="24"/>
                <w:rFonts w:ascii="Times New Roman" w:hAnsi="Times New Roman"/>
              </w:rPr>
              <w:t xml:space="preserve">Uredbe (EU) št. 575/2013</w:t>
            </w:r>
            <w:r>
              <w:rPr>
                <w:sz w:val="24"/>
                <w:color w:val="000000" w:themeColor="text1"/>
                <w:rFonts w:ascii="Times New Roman" w:hAnsi="Times New Roman"/>
              </w:rPr>
              <w:t xml:space="preserve"> razkrijejo obseg in naravo sistema merjenja operativnega tveganja (tj. sisteme in podatke, uporabljene za merjenje operativnega tveganja za oceno kapitalske zahteve za operativno tveganje).</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b/>
                <w:color w:val="000000"/>
                <w:sz w:val="24"/>
                <w:rFonts w:ascii="Times New Roman" w:eastAsia="Times New Roman" w:hAnsi="Times New Roman" w:cs="Times New Roman"/>
              </w:rPr>
            </w:pPr>
            <w:r>
              <w:rPr>
                <w:b/>
                <w:color w:val="000000" w:themeColor="text1"/>
                <w:sz w:val="24"/>
                <w:rFonts w:ascii="Times New Roman" w:hAnsi="Times New Roman"/>
              </w:rPr>
              <w:t xml:space="preserve">Opis obsega in narave okvira poročanja o operativnem tveganju</w:t>
            </w:r>
          </w:p>
          <w:p w14:paraId="1EE9A69D" w14:textId="3E92FDF7" w:rsidR="00E114F3" w:rsidRPr="008D71E9" w:rsidRDefault="005D02AE">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Institucije v skladu s členom 435(1), točka (c), </w:t>
            </w:r>
            <w:r>
              <w:rPr>
                <w:sz w:val="24"/>
                <w:rFonts w:ascii="Times New Roman" w:hAnsi="Times New Roman"/>
              </w:rPr>
              <w:t xml:space="preserve">Uredbe (EU) št. 575/2013</w:t>
            </w:r>
            <w:r>
              <w:rPr>
                <w:sz w:val="24"/>
                <w:color w:val="000000" w:themeColor="text1"/>
                <w:rFonts w:ascii="Times New Roman" w:hAnsi="Times New Roman"/>
              </w:rPr>
              <w:t xml:space="preserve"> razkrijejo obseg in naravo okvira poročanja o operativnem tveganju izvršnemu vodstvu in upravnemu odboru.</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color w:val="000000"/>
                <w:sz w:val="24"/>
                <w:rFonts w:ascii="Times New Roman" w:eastAsia="Times New Roman" w:hAnsi="Times New Roman" w:cs="Times New Roman"/>
              </w:rPr>
            </w:pPr>
            <w:r>
              <w:rPr>
                <w:b/>
                <w:color w:val="000000" w:themeColor="text1"/>
                <w:sz w:val="24"/>
                <w:rFonts w:ascii="Times New Roman" w:hAnsi="Times New Roman"/>
              </w:rPr>
              <w:t xml:space="preserve">Opis politik in strategij za zmanjševanje tveganj in varovanje pred tveganji</w:t>
            </w:r>
          </w:p>
          <w:p w14:paraId="443DC7A5" w14:textId="704D717D" w:rsidR="00E5460F" w:rsidRPr="008D71E9" w:rsidDel="009A4E43" w:rsidRDefault="00E25C0C" w:rsidP="00E25C0C">
            <w:pPr>
              <w:spacing w:after="120"/>
              <w:jc w:val="both"/>
              <w:rPr>
                <w:b/>
                <w:color w:val="000000"/>
                <w:sz w:val="24"/>
                <w:rFonts w:ascii="Times New Roman" w:eastAsia="Times New Roman" w:hAnsi="Times New Roman" w:cs="Times New Roman"/>
              </w:rPr>
            </w:pPr>
            <w:r>
              <w:t xml:space="preserve"> </w:t>
            </w:r>
            <w:r>
              <w:rPr>
                <w:sz w:val="24"/>
                <w:color w:val="000000" w:themeColor="text1"/>
                <w:rFonts w:ascii="Times New Roman" w:hAnsi="Times New Roman"/>
              </w:rPr>
              <w:t xml:space="preserve">Institucije v skladu s členom 435(1), točka (d),</w:t>
            </w:r>
            <w:r>
              <w:rPr>
                <w:sz w:val="24"/>
                <w:rFonts w:ascii="Times New Roman" w:hAnsi="Times New Roman"/>
              </w:rPr>
              <w:t xml:space="preserve"> Uredbe (EU) št. 575/2013</w:t>
            </w:r>
            <w:r>
              <w:rPr>
                <w:sz w:val="24"/>
                <w:color w:val="000000" w:themeColor="text1"/>
                <w:rFonts w:ascii="Times New Roman" w:hAnsi="Times New Roman"/>
              </w:rPr>
              <w:t xml:space="preserve"> razkrijejo svoje politike in strategije za zmanjševanje tveganj in varovanje pred tveganji, uporabljene pri upravljanju operativnega tveganja, vključno s tem, kdaj se operativno tveganje zmanjšuje s politiko (v tem primeru razkrijejo politike o kulturi tveganja, nagnjenosti k prevzemanju tveganj in zunanjem izvajanju) oziroma kdaj se zmanjšuje z odsvojitvijo visoko tveganih delov poslovanja ali vzpostavitvijo kontrol.</w:t>
            </w:r>
            <w:r>
              <w:rPr>
                <w:sz w:val="24"/>
                <w:color w:val="000000" w:themeColor="text1"/>
                <w:rFonts w:ascii="Times New Roman" w:hAnsi="Times New Roman"/>
              </w:rPr>
              <w:t xml:space="preserve"> </w:t>
            </w:r>
            <w:r>
              <w:rPr>
                <w:sz w:val="24"/>
                <w:color w:val="000000" w:themeColor="text1"/>
                <w:rFonts w:ascii="Times New Roman" w:hAnsi="Times New Roman"/>
              </w:rPr>
              <w:t xml:space="preserve">Institucije razkrijejo tudi preostale izpostavljenosti, ki jih pokrivajo institucije same, ali, kjer je relevantno, preostale izpostavljenosti, ki so prenesene na različne načine, vključno prek zavarovanja.</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bCs/>
          <w:sz w:val="24"/>
          <w:rFonts w:ascii="Times New Roman" w:hAnsi="Times New Roman" w:cs="Times New Roman"/>
        </w:rPr>
      </w:pPr>
      <w:r>
        <w:rPr>
          <w:sz w:val="24"/>
          <w:b/>
          <w:rFonts w:ascii="Times New Roman" w:hAnsi="Times New Roman"/>
        </w:rPr>
        <w:t xml:space="preserve">Predloga EU OR1 – Izgube iz operativnega tveganja.</w:t>
      </w:r>
      <w:r>
        <w:rPr>
          <w:sz w:val="24"/>
          <w:b/>
          <w:rFonts w:ascii="Times New Roman" w:hAnsi="Times New Roman"/>
        </w:rPr>
        <w:t xml:space="preserve"> </w:t>
      </w:r>
      <w:r>
        <w:rPr>
          <w:sz w:val="24"/>
          <w:rFonts w:ascii="Times New Roman" w:hAnsi="Times New Roman"/>
        </w:rPr>
        <w:t xml:space="preserve">Fiksna predloga.</w:t>
      </w:r>
    </w:p>
    <w:p w14:paraId="70B287DB" w14:textId="2D9C856F"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Institucije razkrijejo informacije iz predloge EU OR1 v skladu s členom 446(2), točki (a) in (b), Uredbe (EU) št. 575/2013.</w:t>
      </w:r>
      <w:r>
        <w:rPr>
          <w:sz w:val="24"/>
          <w:rFonts w:ascii="Times New Roman" w:hAnsi="Times New Roman"/>
        </w:rPr>
        <w:t xml:space="preserve"> </w:t>
      </w:r>
      <w:r>
        <w:rPr>
          <w:sz w:val="24"/>
          <w:rFonts w:ascii="Times New Roman" w:hAnsi="Times New Roman"/>
        </w:rPr>
        <w:t xml:space="preserve">Ta predloga vsebuje informacije o letnih izgubah iz operativnega tveganja, nastalih v zadnjih 10 letih, na podlagi datuma računovodskega obračuna nastalih izgub.</w:t>
      </w:r>
      <w:r>
        <w:rPr>
          <w:sz w:val="24"/>
          <w:rFonts w:ascii="Times New Roman" w:hAnsi="Times New Roman"/>
        </w:rPr>
        <w:t xml:space="preserve"> </w:t>
      </w:r>
      <w:r>
        <w:rPr>
          <w:sz w:val="24"/>
          <w:rFonts w:ascii="Times New Roman" w:hAnsi="Times New Roman"/>
        </w:rPr>
        <w:t xml:space="preserve">Te letne izgube iz operativnega tveganja se izračunajo v skladu s členom 316(1) Uredbe (EU) št. 575/2013 in zajemajo, v skladu s členom 317(2) Uredbe (EU) št. 575/2013, vse izgube, ki izhajajo iz vseh subjektov, ki so vključeni v obseg konsolidacije, vključno z izgubami združenih ali prevzetih subjektov ali dejavnosti (v skladu s členom 321(1) Uredbe (EU) št. 575/2013).</w:t>
      </w:r>
      <w:r>
        <w:rPr>
          <w:sz w:val="24"/>
          <w:rFonts w:ascii="Times New Roman" w:hAnsi="Times New Roman"/>
        </w:rPr>
        <w:t xml:space="preserve"> </w:t>
      </w:r>
      <w:r>
        <w:rPr>
          <w:sz w:val="24"/>
          <w:rFonts w:ascii="Times New Roman" w:hAnsi="Times New Roman"/>
        </w:rPr>
        <w:t xml:space="preserve">Te informacije se zagotavljajo v obsegu, v katerem so razpoložljive, in na podlagi najboljših prizadevanj, dokler veljajo členi 316(3), 317(9), 320(3) in 321(2) Uredbe (EU) št. 575/2013.</w:t>
      </w:r>
      <w:r>
        <w:rPr>
          <w:sz w:val="24"/>
          <w:rFonts w:ascii="Times New Roman" w:hAnsi="Times New Roman"/>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Institucije za vsako od zadnjih 10 let razkrijejo podatke o številu izgub iz operativnega tveganja in številu izključenih izgub iz operativnega tveganja, skupnem znesku izgub iz operativnega tveganja brez povrnitev ter skupnem znesku izgub iz operativnega tveganja brez povrnitev in brez izključenih izgub.</w:t>
      </w:r>
      <w:r>
        <w:rPr>
          <w:sz w:val="24"/>
          <w:rFonts w:ascii="Times New Roman" w:hAnsi="Times New Roman"/>
        </w:rPr>
        <w:t xml:space="preserve"> </w:t>
      </w:r>
      <w:r>
        <w:rPr>
          <w:sz w:val="24"/>
          <w:rFonts w:ascii="Times New Roman" w:hAnsi="Times New Roman"/>
        </w:rPr>
        <w:t xml:space="preserve">Skupni letni znesek izgub iz operativnega tveganja se izračuna kot vsota vseh neto izgub v danem poslovnem letu, izračunanih v skladu s členom 318(1) Uredbe (EU) št. 575/2013, ki so enake ali presegajo pragove za podatke o izgubah iz člena 319(1) oziroma (2) navedene uredbe (to je 20 000 EUR oziroma 100 000 EUR).</w:t>
      </w:r>
      <w:r>
        <w:rPr>
          <w:sz w:val="24"/>
          <w:rFonts w:ascii="Times New Roman" w:hAnsi="Times New Roman"/>
        </w:rPr>
        <w:t xml:space="preserve"> </w:t>
      </w:r>
      <w:r>
        <w:rPr>
          <w:sz w:val="24"/>
          <w:rFonts w:ascii="Times New Roman" w:hAnsi="Times New Roman"/>
        </w:rPr>
        <w:t xml:space="preserve">Izgube, ki jih povzroči pogost dogodek operativnega tveganja ali več dogodkov, povezanih z istim dogodkom operativnega tveganja („izvorni dogodek“), pripoznane v različnih računovodskih letih, pa se seštejejo za zadnjih 10 let za namene določitve, ali je prag za razkritje presežen ali ne.</w:t>
      </w:r>
      <w:r>
        <w:rPr>
          <w:sz w:val="24"/>
          <w:rFonts w:ascii="Times New Roman" w:hAnsi="Times New Roman"/>
        </w:rPr>
        <w:t xml:space="preserve"> </w:t>
      </w:r>
      <w:r>
        <w:rPr>
          <w:sz w:val="24"/>
          <w:rFonts w:ascii="Times New Roman" w:hAnsi="Times New Roman"/>
        </w:rPr>
        <w:t xml:space="preserve">Izgube in prilagoditve je treba razkriti ob upoštevanju določb iz člena 317(3)(c) in člena 318 Uredbe (EU) št. 575/2013.</w:t>
      </w:r>
      <w:r>
        <w:rPr>
          <w:sz w:val="24"/>
          <w:rFonts w:ascii="Times New Roman" w:hAnsi="Times New Roman"/>
        </w:rPr>
        <w:t xml:space="preserve"> </w:t>
      </w:r>
      <w:r>
        <w:rPr>
          <w:sz w:val="24"/>
          <w:rFonts w:ascii="Times New Roman" w:hAnsi="Times New Roman"/>
        </w:rPr>
        <w:t xml:space="preserve">Ti zneski se razkrijejo v letu, v katerem so bili evidentirani v računovodskih izkazih.</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Institucije v priloženem besedilu razkrijejo skupne utemeljitve za izjemne dogodke operativnega tveganja, ki so bili izključeni iz izračuna letnih izgub iz operativnega tveganja, v skladu s členom 446(2), točka (b), Uredbe (EU) št. 575/2013.</w:t>
      </w:r>
      <w:r>
        <w:rPr>
          <w:sz w:val="24"/>
          <w:rFonts w:ascii="Times New Roman" w:hAnsi="Times New Roman"/>
        </w:rPr>
        <w:t xml:space="preserve">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Institucije tudi razkrijejo, na skupni osnovi, vse pomembne informacije, ki bi lahko uporabnikom pomagale pri razumevanju preteklih izgub, povrnitev in zakonskih rezerv institucije, z izjemo zaupnih informacij in informacij, ki so poslovna skrivnost.</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bCs/>
                <w:sz w:val="24"/>
                <w:rFonts w:ascii="Times New Roman" w:hAnsi="Times New Roman"/>
              </w:rPr>
            </w:pPr>
            <w:r>
              <w:rPr>
                <w:b/>
                <w:sz w:val="24"/>
                <w:rFonts w:ascii="Times New Roman" w:hAnsi="Times New Roman"/>
              </w:rPr>
              <w:t xml:space="preserve">Stolpec</w:t>
            </w:r>
          </w:p>
        </w:tc>
        <w:tc>
          <w:tcPr>
            <w:tcW w:w="7745" w:type="dxa"/>
            <w:shd w:val="clear" w:color="auto" w:fill="BFBFBF" w:themeFill="background1" w:themeFillShade="BF"/>
          </w:tcPr>
          <w:p w14:paraId="0773BD79"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Pravna podlaga in navodila</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a do j</w:t>
            </w:r>
          </w:p>
        </w:tc>
        <w:tc>
          <w:tcPr>
            <w:tcW w:w="7745" w:type="dxa"/>
          </w:tcPr>
          <w:p w14:paraId="0B872A50" w14:textId="77777777" w:rsidR="00D740B8" w:rsidRPr="002755E0" w:rsidRDefault="00D740B8">
            <w:pPr>
              <w:spacing w:before="120" w:after="120"/>
              <w:jc w:val="both"/>
              <w:rPr>
                <w:sz w:val="24"/>
                <w:rFonts w:ascii="Times New Roman" w:eastAsia="Times New Roman" w:hAnsi="Times New Roman" w:cs="Times New Roman"/>
              </w:rPr>
            </w:pPr>
            <w:r>
              <w:rPr>
                <w:b/>
                <w:sz w:val="24"/>
                <w:rFonts w:ascii="Times New Roman" w:hAnsi="Times New Roman"/>
              </w:rPr>
              <w:t xml:space="preserve">Leto (T, T–1, T–2, T–3, T–4, T–5, T–6, T–7, T–8, T–9)</w:t>
            </w:r>
          </w:p>
          <w:p w14:paraId="5B6EF35C" w14:textId="3033D1CC" w:rsidR="00D740B8" w:rsidRPr="008D71E9" w:rsidRDefault="00D740B8">
            <w:pPr>
              <w:spacing w:before="120" w:after="120"/>
              <w:rPr>
                <w:sz w:val="24"/>
                <w:rFonts w:ascii="Times New Roman" w:hAnsi="Times New Roman"/>
              </w:rPr>
            </w:pPr>
            <w:r>
              <w:rPr>
                <w:sz w:val="24"/>
                <w:rFonts w:ascii="Times New Roman" w:hAnsi="Times New Roman"/>
              </w:rPr>
              <w:t xml:space="preserve">Vrednost, navedena v ustrezni vrstici, za zadnjih 10 poslovnih let.</w:t>
            </w:r>
            <w:r>
              <w:rPr>
                <w:sz w:val="24"/>
                <w:rFonts w:ascii="Times New Roman" w:hAnsi="Times New Roman"/>
              </w:rPr>
              <w:t xml:space="preserve">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k</w:t>
            </w:r>
          </w:p>
        </w:tc>
        <w:tc>
          <w:tcPr>
            <w:tcW w:w="7745" w:type="dxa"/>
          </w:tcPr>
          <w:p w14:paraId="50D93A86"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10-letno povprečje</w:t>
            </w:r>
          </w:p>
          <w:p w14:paraId="38A7187F" w14:textId="0CB464F2" w:rsidR="00D740B8" w:rsidRPr="008D71E9" w:rsidRDefault="00D740B8">
            <w:pPr>
              <w:spacing w:before="120" w:after="120"/>
              <w:rPr>
                <w:bCs/>
                <w:sz w:val="24"/>
                <w:rFonts w:ascii="Times New Roman" w:hAnsi="Times New Roman"/>
              </w:rPr>
            </w:pPr>
            <w:r>
              <w:rPr>
                <w:sz w:val="24"/>
                <w:rFonts w:ascii="Times New Roman" w:hAnsi="Times New Roman"/>
              </w:rPr>
              <w:t xml:space="preserve">Povprečje vrednosti, navedenih v ustrezni vrstici, za zadnjih 10 let.</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Vrstica</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b/>
                <w:sz w:val="24"/>
                <w:rFonts w:ascii="Times New Roman" w:hAnsi="Times New Roman" w:cs="Times New Roman"/>
              </w:rPr>
            </w:pPr>
            <w:r>
              <w:rPr>
                <w:b/>
                <w:sz w:val="24"/>
                <w:rFonts w:ascii="Times New Roman" w:hAnsi="Times New Roman"/>
              </w:rPr>
              <w:t xml:space="preserve">Pravna podlaga in navodila</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Skupni znesek izgub iz operativnega tveganja brez povrnitev (brez izključitev)</w:t>
            </w:r>
          </w:p>
          <w:p w14:paraId="73A6B59F" w14:textId="42A729DD"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Člen 446(2), točka (a), in člen 316(1) Uredbe (EU) št. 575/2013.</w:t>
            </w:r>
          </w:p>
          <w:p w14:paraId="5D929629" w14:textId="149BDB35" w:rsidR="00D740B8" w:rsidRPr="008D71E9" w:rsidRDefault="002B0785">
            <w:pPr>
              <w:spacing w:before="120" w:after="120"/>
              <w:jc w:val="both"/>
              <w:rPr>
                <w:b/>
                <w:sz w:val="24"/>
                <w:rFonts w:ascii="Times New Roman" w:eastAsia="Times New Roman" w:hAnsi="Times New Roman" w:cs="Times New Roman"/>
              </w:rPr>
            </w:pPr>
            <w:r>
              <w:rPr>
                <w:sz w:val="24"/>
                <w:rFonts w:ascii="Times New Roman" w:hAnsi="Times New Roman"/>
              </w:rPr>
              <w:t xml:space="preserve">V tej vrstici se razkrije skupni znesek izgub brez povrnitev, ki izhajajo iz dogodkov izgube, ki presegajo prag za dogodke izgube v višini 20 000 EUR, za vsako od zadnjih 10 obdobij poročanja, vključno z izgubami iz združitev in prevzemov.</w:t>
            </w:r>
            <w:r>
              <w:rPr>
                <w:sz w:val="24"/>
                <w:rFonts w:ascii="Times New Roman" w:hAnsi="Times New Roman"/>
              </w:rPr>
              <w:t xml:space="preserve"> </w:t>
            </w:r>
            <w:r>
              <w:rPr>
                <w:sz w:val="24"/>
                <w:rFonts w:ascii="Times New Roman" w:hAnsi="Times New Roman"/>
              </w:rPr>
              <w:t xml:space="preserve">Izgube, ki jih povzroči pogost dogodek operativnega tveganja ali več dogodkov, povezanih z istim dogodkom operativnega tveganja, pripoznane v različnih računovodskih letih, se seštejejo za zadnjih 10 let za namene določitve, ali je prag za razkritje presežen ali ne.</w:t>
            </w:r>
            <w:r>
              <w:rPr>
                <w:sz w:val="24"/>
                <w:rFonts w:ascii="Times New Roman" w:hAnsi="Times New Roman"/>
              </w:rPr>
              <w:t xml:space="preserve"> </w:t>
            </w:r>
            <w:r>
              <w:rPr>
                <w:sz w:val="24"/>
                <w:rFonts w:ascii="Times New Roman" w:hAnsi="Times New Roman"/>
              </w:rPr>
              <w:t xml:space="preserve">Izjemni dogodki operativnega tveganja, do katerih je prišlo med letom, ki niso več relevantni za profil tveganja institucije, v zvezi s katerimi je institucija dobila dovoljenje pristojnega organa za njihovo izključitev iz svojih letnih izgub iz operativnega tveganja v skladu s členom 320(1) Uredbe (EU) št. 575/2013, se še vedno upoštevajo pri izračunu postavke za to vrstico.</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Skupno število izgub iz operativnega tveganja</w:t>
            </w:r>
          </w:p>
          <w:p w14:paraId="2EA91375" w14:textId="28AF0058"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Člen 446(2), točka (a), in člen 316(1) Uredbe (EU) št. 575/2013.</w:t>
            </w:r>
          </w:p>
          <w:p w14:paraId="275C478C" w14:textId="69738AFF" w:rsidR="00D740B8" w:rsidRPr="008D71E9" w:rsidRDefault="00471410">
            <w:pPr>
              <w:spacing w:before="120" w:after="120"/>
              <w:rPr>
                <w:sz w:val="24"/>
                <w:rFonts w:ascii="Times New Roman" w:eastAsia="Times New Roman" w:hAnsi="Times New Roman" w:cs="Times New Roman"/>
              </w:rPr>
            </w:pPr>
            <w:r>
              <w:rPr>
                <w:sz w:val="24"/>
                <w:rFonts w:ascii="Times New Roman" w:hAnsi="Times New Roman"/>
              </w:rPr>
              <w:t xml:space="preserve">Skupno število izgub iz operativnega tveganja, ki presegajo prag za dogodke izgube v višini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Skupni znesek izključenih izgub iz operativnega tveganja</w:t>
            </w:r>
          </w:p>
          <w:p w14:paraId="5C1A66AF" w14:textId="5CAD041D"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Člen 446(2), točka (b), in člen 320(1) Uredbe (EU) št. 575/2013.</w:t>
            </w:r>
          </w:p>
          <w:p w14:paraId="7BE235CA" w14:textId="7483A5B2" w:rsidR="00D740B8" w:rsidRPr="008D71E9" w:rsidRDefault="002B0785">
            <w:pPr>
              <w:spacing w:before="120" w:after="120"/>
              <w:rPr>
                <w:sz w:val="24"/>
                <w:rFonts w:ascii="Times New Roman" w:eastAsia="Times New Roman" w:hAnsi="Times New Roman" w:cs="Times New Roman"/>
              </w:rPr>
            </w:pPr>
            <w:r>
              <w:rPr>
                <w:sz w:val="24"/>
                <w:rFonts w:ascii="Times New Roman" w:hAnsi="Times New Roman"/>
              </w:rPr>
              <w:t xml:space="preserve">Skupni zneski neto izgub, ki presegajo prag za izgube v višini 20 000 EUR, izključenih v skladu s členom 320(1) Uredbe (EU) št. 575/2013, za vsako od zadnjih 10 obdobij poročanja.</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Skupno število izključenih dogodkov operativnega tveganja</w:t>
            </w:r>
          </w:p>
          <w:p w14:paraId="7914E462" w14:textId="7978A3B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Člen 446(2), točka (b), in člen 320(1) Uredbe (EU) št. 575/2013.</w:t>
            </w:r>
          </w:p>
          <w:p w14:paraId="318A732C" w14:textId="242D554F" w:rsidR="00D740B8" w:rsidRPr="008D71E9" w:rsidRDefault="009D4A12">
            <w:pPr>
              <w:spacing w:before="120" w:after="120"/>
              <w:jc w:val="both"/>
              <w:rPr>
                <w:sz w:val="24"/>
                <w:rFonts w:ascii="Times New Roman" w:eastAsia="Times New Roman" w:hAnsi="Times New Roman" w:cs="Times New Roman"/>
              </w:rPr>
            </w:pPr>
            <w:r>
              <w:rPr>
                <w:sz w:val="24"/>
                <w:rFonts w:ascii="Times New Roman" w:hAnsi="Times New Roman"/>
              </w:rPr>
              <w:t xml:space="preserve">Skupno število izjemnih dogodkov operativnega tveganja, ki presegajo prag za dogodke izgube v višini 20 000 EUR, izključenih v skladu s členom 320(1) Uredbe (EU) št. 575/2013, za vsako od zadnjih 10 obdobij poročanja.</w:t>
            </w:r>
            <w:r>
              <w:rPr>
                <w:sz w:val="24"/>
                <w:rFonts w:ascii="Times New Roman" w:hAnsi="Times New Roman"/>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Skupni znesek izgub iz operativnega tveganja brez povrnitev in brez izključenih izgub</w:t>
            </w:r>
          </w:p>
          <w:p w14:paraId="4203582A" w14:textId="6CAD1497" w:rsidR="00D740B8" w:rsidRPr="008D71E9" w:rsidRDefault="002B0785">
            <w:pPr>
              <w:spacing w:before="120" w:after="120"/>
              <w:jc w:val="both"/>
              <w:rPr>
                <w:sz w:val="24"/>
                <w:rFonts w:ascii="Times New Roman" w:eastAsia="Times New Roman" w:hAnsi="Times New Roman" w:cs="Times New Roman"/>
              </w:rPr>
            </w:pPr>
            <w:r>
              <w:rPr>
                <w:sz w:val="24"/>
                <w:rFonts w:ascii="Times New Roman" w:hAnsi="Times New Roman"/>
              </w:rPr>
              <w:t xml:space="preserve">Skupni znesek izgub iz operativnega tveganja, zmanjšan za znesek povrnitev, razkrit v vrstici 1, in za izključene izgube, razkrite v vrstici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Skupni znesek izgub iz operativnega tveganja brez povrnitev (brez izključitev)</w:t>
            </w:r>
          </w:p>
          <w:p w14:paraId="647BDEC8" w14:textId="66617A83"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Člen 446(2), točka (a), in člen 316(1) Uredbe (EU) št. 575/2013.</w:t>
            </w:r>
          </w:p>
          <w:p w14:paraId="7F1E94AA" w14:textId="28CE55AE"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Skupni znesek izgub iz operativnega tveganja, zmanjšan za znesek povrnitev, ki izhajajo iz dogodkov izgube, ki presegajo prag za dogodke izgube v višini 100 000  EUR, za vsako od zadnjih 10 obdobij poročanja, vključno z izgubami iz združitev in prevzemov.</w:t>
            </w:r>
            <w:r>
              <w:rPr>
                <w:sz w:val="24"/>
                <w:rFonts w:ascii="Times New Roman" w:hAnsi="Times New Roman"/>
              </w:rPr>
              <w:t xml:space="preserve"> </w:t>
            </w:r>
            <w:r>
              <w:rPr>
                <w:sz w:val="24"/>
                <w:rFonts w:ascii="Times New Roman" w:hAnsi="Times New Roman"/>
              </w:rPr>
              <w:t xml:space="preserve">Izgube, ki jih povzroči pogost dogodek operativnega tveganja ali več dogodkov, povezanih z istim dogodkom operativnega tveganja, pripoznane v različnih računovodskih letih, se seštejejo za zadnjih 10 let za namene določitve, ali je prag za razkritje presežen ali ne.</w:t>
            </w:r>
            <w:r>
              <w:rPr>
                <w:sz w:val="24"/>
                <w:rFonts w:ascii="Times New Roman" w:hAnsi="Times New Roman"/>
              </w:rPr>
              <w:t xml:space="preserve"> </w:t>
            </w:r>
            <w:r>
              <w:rPr>
                <w:sz w:val="24"/>
                <w:rFonts w:ascii="Times New Roman" w:hAnsi="Times New Roman"/>
              </w:rPr>
              <w:t xml:space="preserve">Izjemni dogodki operativnega tveganja, do katerih je prišlo med letom, ki niso več relevantni za profil tveganja institucije, v zvezi s katerimi je institucija dobila dovoljenje pristojnega organa za njihovo izključitev iz svojih letnih izgub iz operativnega tveganja v skladu s členom 320(1) Uredbe (EU) št. 575/2013, se še vedno upoštevajo pri izračunu postavke za to vrstico.</w:t>
            </w:r>
            <w:r>
              <w:rPr>
                <w:sz w:val="24"/>
                <w:rFonts w:ascii="Times New Roman" w:hAnsi="Times New Roman"/>
              </w:rPr>
              <w:t xml:space="preserv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Skupno število izgub iz operativnega tveganja</w:t>
            </w:r>
          </w:p>
          <w:p w14:paraId="7AD8EE0D" w14:textId="092E19E2"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Člen 446(2), točka (a), in člen 316(1) Uredbe (EU) št. 575/2013.</w:t>
            </w:r>
          </w:p>
          <w:p w14:paraId="6F316B8B" w14:textId="6ABB567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Skupno število izgub iz operativnega tveganja, ki presegajo prag za dogodke izgube v višini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Skupni znesek izključenih izgub iz operativnega tveganja</w:t>
            </w:r>
          </w:p>
          <w:p w14:paraId="71DECF65" w14:textId="48A395A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Člen 446(2), točka (b), in člen 320(1) Uredbe (EU) št. 575/2013.</w:t>
            </w:r>
          </w:p>
          <w:p w14:paraId="0BC74916" w14:textId="396B699A"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Skupni zneski neto izgub, ki presegajo prag za dogodke izgube v višini 100 000 EUR, izključenih v skladu s členom 320(1) Uredbe (EU) št. 575/2013, za vsako od zadnjih 10 obdobij poročanja.</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Skupno število izključenih dogodkov operativnega tveganja</w:t>
            </w:r>
          </w:p>
          <w:p w14:paraId="2B56754D" w14:textId="46B0AAAA"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Člen 446(2), točka (b), in člen 320(1) Uredbe (EU) št. 575/2013.</w:t>
            </w:r>
          </w:p>
          <w:p w14:paraId="2EDEC8CA" w14:textId="02901FC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Skupno število izjemnih dogodkov operativnega tveganja, ki presegajo prag za dogodke izgube v višini 100 000 EUR, izključenih v skladu s členom 320(1) Uredbe (EU) št. 575/2013, za vsako od zadnjih 10 obdobij poročanja.</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Skupni znesek izgub iz operativnega tveganja brez povrnitev in brez izključenih izgub</w:t>
            </w:r>
          </w:p>
          <w:p w14:paraId="65622881" w14:textId="32C07686" w:rsidR="00D740B8" w:rsidRPr="008D71E9" w:rsidRDefault="006943D3">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V vrstici se razkrije skupni znesek izgub iz operativnega tveganja, zmanjšan za znesek povrnitev, razkrit v vrstici 6, in za znesek izključenih izgub, razkrit v vrstici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bCs w:val="0"/>
                <w:sz w:val="24"/>
                <w:rFonts w:ascii="Times New Roman" w:eastAsia="Times New Roman" w:hAnsi="Times New Roman"/>
              </w:rPr>
            </w:pPr>
            <w:r>
              <w:rPr>
                <w:sz w:val="24"/>
                <w:rFonts w:ascii="Times New Roman" w:hAnsi="Times New Roman"/>
              </w:rPr>
              <w:t xml:space="preserve">Ni relevantno.</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Ni relevantno.</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Ni relevantno.</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Predloga EU OR2 – Kazalnik poslovanja, komponente in podkomponente.</w:t>
      </w:r>
      <w:r>
        <w:rPr>
          <w:sz w:val="24"/>
          <w:b/>
          <w:rFonts w:ascii="Times New Roman" w:hAnsi="Times New Roman"/>
        </w:rPr>
        <w:t xml:space="preserve"> </w:t>
      </w:r>
      <w:r>
        <w:rPr>
          <w:sz w:val="24"/>
          <w:rFonts w:ascii="Times New Roman" w:hAnsi="Times New Roman"/>
        </w:rPr>
        <w:t xml:space="preserve">Fiksna predloga.</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Institucije razkrijejo informacije iz predloge EU OR2 v skladu s členom 446(1), točki (c) in (d), Uredbe (EU) št. 575/2013.</w:t>
      </w:r>
      <w:r>
        <w:rPr>
          <w:sz w:val="24"/>
          <w:rFonts w:ascii="Times New Roman" w:hAnsi="Times New Roman"/>
        </w:rPr>
        <w:t xml:space="preserve"> </w:t>
      </w:r>
      <w:r>
        <w:rPr>
          <w:sz w:val="24"/>
          <w:rFonts w:ascii="Times New Roman" w:hAnsi="Times New Roman"/>
        </w:rPr>
        <w:t xml:space="preserve">Ta predloga vsebuje informacije o izračunu komponente kazalnika poslovanja v skladu s členom 313 Uredbe (EU) št. 575/2013 in o izračunu kazalnika poslovanja, komponent in podkomponent v skladu s členom 314 Uredbe (EU) št. 575/2013.</w:t>
      </w:r>
      <w:r>
        <w:rPr>
          <w:sz w:val="24"/>
          <w:rFonts w:ascii="Times New Roman" w:hAnsi="Times New Roman"/>
        </w:rPr>
        <w:t xml:space="preserve"> </w:t>
      </w:r>
      <w:r>
        <w:rPr>
          <w:sz w:val="24"/>
          <w:rFonts w:ascii="Times New Roman" w:hAnsi="Times New Roman"/>
        </w:rPr>
        <w:t xml:space="preserve">Poleg tega ta predloga vsebuje tudi informacije o zneskih, izključenih iz kazalnika poslovanja, povezanih z odtujenimi subjekti ali dejavnostmi, v skladu s členom 315(2).</w:t>
      </w:r>
      <w:r>
        <w:rPr>
          <w:sz w:val="24"/>
          <w:rFonts w:ascii="Times New Roman" w:hAnsi="Times New Roman"/>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Institucije za zadnja tri poslovna leta razkrijejo informacije o znesku ustreznega seznama postavk, potrebnih za izračun podkomponent kazalnika poslovanja, ki prispevajo k izračunu kapitalskih zahtev za operativno tveganje.</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Skladno s členom 314(8) Uredbe (EU) št. 575/2013 institucije poročajo ocene prihodnjega poslovanja, če podatki za pretekla obdobja niso na voljo.</w:t>
      </w:r>
      <w:r>
        <w:rPr>
          <w:sz w:val="24"/>
          <w:rFonts w:ascii="Times New Roman" w:hAnsi="Times New Roman"/>
        </w:rPr>
        <w:t xml:space="preserve"> </w:t>
      </w:r>
    </w:p>
    <w:p w14:paraId="14A23528" w14:textId="485ED75C"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Če imajo institucije podatke v zvezi s podrobnimi postavkami, vključenimi v komponente kazalnika poslovanja, na razpolago za manj kot tri leta, se razpoložljivi podatki za pretekla obdobja prednostno dodelijo ustreznim stolpcem predloge.</w:t>
      </w:r>
      <w:r>
        <w:rPr>
          <w:sz w:val="24"/>
          <w:rFonts w:ascii="Times New Roman" w:hAnsi="Times New Roman"/>
        </w:rPr>
        <w:t xml:space="preserve"> </w:t>
      </w:r>
      <w:r>
        <w:rPr>
          <w:sz w:val="24"/>
          <w:rFonts w:ascii="Times New Roman" w:hAnsi="Times New Roman"/>
        </w:rPr>
        <w:t xml:space="preserve">Če imajo institucije podatke za pretekla obdobja, povezane s komponentami kazalnika poslovanja, na razpolago samo za eno leto, se ti podatki poročajo v stolpcu, ki ustreza zadnjemu letu (npr. „zadnje leto“).</w:t>
      </w:r>
      <w:r>
        <w:rPr>
          <w:sz w:val="24"/>
          <w:rFonts w:ascii="Times New Roman" w:hAnsi="Times New Roman"/>
        </w:rPr>
        <w:t xml:space="preserve"> </w:t>
      </w:r>
      <w:r>
        <w:rPr>
          <w:sz w:val="24"/>
          <w:rFonts w:ascii="Times New Roman" w:hAnsi="Times New Roman"/>
        </w:rPr>
        <w:t xml:space="preserve">Kjer se zdi smiselno, se ocene prihodnjega poslovanja vključijo v Leto – 1 oziroma Leto – 2, dokler ti podatki ne postanejo razpoložljivi.</w:t>
      </w:r>
    </w:p>
    <w:p w14:paraId="2DDE0943" w14:textId="7978B770"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Institucije v podpostavke, uporabljene pri izračunu sestavine obresti, zakupov in dividend (ILDC), ne vključijo nobene vrednosti, povezane s tistimi specifičnimi podrejenimi institucijami, katerih ILDC se izračuna ločeno v skladu s členom 314(3) Uredbe (EU) št. 575/2013.</w:t>
      </w:r>
      <w:r>
        <w:rPr>
          <w:sz w:val="24"/>
          <w:rFonts w:ascii="Times New Roman" w:hAnsi="Times New Roman"/>
        </w:rPr>
        <w:t xml:space="preserve"> </w:t>
      </w:r>
    </w:p>
    <w:p w14:paraId="3512454B" w14:textId="27224DC8" w:rsidR="00841A0D"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Institucije v podpostavke, uporabljene pri izračunu sestavine obresti, zakupov in dividend (ILDC), ne vključijo nobenih vrednosti iz poslovnih področij bančništva na drobno in/ali komercialnega bančništva, če je institucija prejela dovoljenje za uporabo člena 314(4) Uredbe (EU) št.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bCs/>
          <w:sz w:val="24"/>
          <w:rFonts w:ascii="Times New Roman" w:hAnsi="Times New Roman" w:cs="Times New Roman"/>
        </w:rPr>
      </w:pPr>
      <w:r>
        <w:rPr>
          <w:sz w:val="24"/>
          <w:rFonts w:ascii="Times New Roman" w:hAnsi="Times New Roman"/>
        </w:rPr>
        <w:t xml:space="preserve">Kljub temu institucije v vrstici 1 poročajo skupni znesek ILDC, vključno z zneski, izračunanimi v skladu s členom 314(3) Uredbe (EU) št. 575/2013.</w:t>
      </w:r>
      <w:r>
        <w:rPr>
          <w:sz w:val="24"/>
          <w:rFonts w:ascii="Times New Roman" w:hAnsi="Times New Roman"/>
        </w:rPr>
        <w:t xml:space="preserve"> </w:t>
      </w:r>
      <w:r>
        <w:rPr>
          <w:sz w:val="24"/>
          <w:rFonts w:ascii="Times New Roman" w:hAnsi="Times New Roman"/>
        </w:rPr>
        <w:t xml:space="preserve">V vrstici EU 1 se poroča tudi ILDC, iz katere so izključeni subjekti, obravnavani v členu 314(3).</w:t>
      </w:r>
      <w:r>
        <w:rPr>
          <w:sz w:val="24"/>
          <w:rFonts w:ascii="Times New Roman" w:hAnsi="Times New Roman"/>
        </w:rPr>
        <w:t xml:space="preserve">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Institucije v priloženem besedilu v skladu s členom 446(1) Uredbe (EU) št. 575/2013 razkrijejo utemeljitve za vsako izključitev iz kazalnika poslovanja z izjemo izključitve poslovnih področij bančništva na drobno in komercialnega bančništva, obravnavanih v členu 314(4).</w:t>
      </w:r>
      <w:r>
        <w:rPr>
          <w:sz w:val="24"/>
          <w:rFonts w:ascii="Times New Roman" w:hAnsi="Times New Roman"/>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bCs/>
          <w:sz w:val="24"/>
          <w:rFonts w:ascii="Times New Roman" w:hAnsi="Times New Roman" w:cs="Times New Roman"/>
        </w:rPr>
      </w:pPr>
      <w:r>
        <w:rPr>
          <w:sz w:val="24"/>
          <w:rFonts w:ascii="Times New Roman" w:hAnsi="Times New Roman"/>
        </w:rPr>
        <w:t xml:space="preserve">Glede na tesno povezanost zahtev glede razkritij v zvezi z operativnim tveganjem in računovodskih izkazov institucije se sklici na zahteve glede poročanja iz Priloge V k Izvedbeni uredbi (EU) 2021/451 (FINREP) odražajo povsod po navodilih.</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Stolpec</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b/>
                <w:sz w:val="24"/>
                <w:rFonts w:ascii="Times New Roman" w:hAnsi="Times New Roman"/>
              </w:rPr>
              <w:t xml:space="preserve">Pravna podlaga in navodila</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a, b, c</w:t>
            </w:r>
          </w:p>
        </w:tc>
        <w:tc>
          <w:tcPr>
            <w:tcW w:w="7756" w:type="dxa"/>
          </w:tcPr>
          <w:p w14:paraId="510A12A5"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Vrednost</w:t>
            </w:r>
            <w:r>
              <w:rPr>
                <w:rStyle w:val="InstructionsTabelleberschrift"/>
                <w:sz w:val="24"/>
                <w:u w:val="none"/>
                <w:rFonts w:ascii="Times New Roman" w:hAnsi="Times New Roman"/>
              </w:rPr>
              <w:t xml:space="preserv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Člen 446(1), točka (d), in člen 314(1) Uredbe (EU) št.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Vrednost za seznam postavk, ki so del izračuna kazalnika poslovanja in njegovih komponent (izračuna sestavine obresti, zakupov in dividend (ILDC), sestavine storitev in finančne sestavine) v skladu z računovodskimi standardi, ki veljajo za vsako od zadnjih treh poslovnih let.</w:t>
            </w:r>
            <w:r>
              <w:t xml:space="preserve">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Poročajo se zneski po uporabi prilagoditev, povezanih z združitvami/prevzemi in odsvojenimi dejavnostmi.</w:t>
            </w:r>
            <w:r>
              <w:t xml:space="preserv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Za finančno sestavino vrednosti, ki jih je treba razkriti, odražajo računovodske vrednosti, določene v skladu z računovodskim pristopom ali pristopom bonitetnih mej (PBA), za opredelitev postavk trgovalne in netrgovalne knjige </w:t>
            </w:r>
            <w:r>
              <w:rPr>
                <w:rStyle w:val="normaltextrun"/>
              </w:rPr>
              <w:t xml:space="preserve">za vsako od zadnjih treh poslovnih let v skladu s členom 314(6) Uredbe (EU) št. 575/2013</w:t>
            </w:r>
            <w:r>
              <w:t xml:space="preserve">.</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d</w:t>
            </w:r>
          </w:p>
        </w:tc>
        <w:tc>
          <w:tcPr>
            <w:tcW w:w="7756" w:type="dxa"/>
          </w:tcPr>
          <w:p w14:paraId="117DF1D7"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Povprečne vrednosti</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Člen 314(2), (5) in (6) Uredbe (EU) št.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Izračunane vrednosti za ILDC, sestavino storitev in finančno sestavino ter povprečna vrednost njihovih povezanih podkomponent, izračunana za zadnja tri poslovna leta glede na leto T.</w:t>
            </w:r>
            <w:r>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sz w:val="24"/>
                <w:rFonts w:ascii="Times New Roman" w:hAnsi="Times New Roman"/>
              </w:rPr>
            </w:pPr>
            <w:r>
              <w:rPr>
                <w:rStyle w:val="normaltextrun"/>
              </w:rPr>
              <w:t xml:space="preserve">Povprečje se izračuna ob upoštevanju računovodskih vrednosti za vsako od zadnjih treh let.</w:t>
            </w:r>
            <w:r>
              <w:rPr>
                <w:rStyle w:val="normaltextrun"/>
              </w:rPr>
              <w:t xml:space="preserve">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Vrstica</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b/>
                <w:sz w:val="24"/>
                <w:rFonts w:ascii="Times New Roman" w:hAnsi="Times New Roman" w:cs="Times New Roman"/>
              </w:rPr>
            </w:pPr>
            <w:r>
              <w:rPr>
                <w:b/>
                <w:sz w:val="24"/>
                <w:rFonts w:ascii="Times New Roman" w:hAnsi="Times New Roman"/>
              </w:rPr>
              <w:t xml:space="preserve">Pravna podlaga in navodila</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Sestavina obresti, zakupov in dividend (ILDC)</w:t>
            </w:r>
            <w:r>
              <w:rPr>
                <w:b/>
                <w:sz w:val="24"/>
                <w:rFonts w:ascii="Times New Roman" w:hAnsi="Times New Roman"/>
              </w:rPr>
              <w:t xml:space="preserve"> </w:t>
            </w:r>
          </w:p>
          <w:p w14:paraId="78381763" w14:textId="2625CE0B" w:rsidR="00D740B8" w:rsidRPr="008D71E9" w:rsidRDefault="00D740B8">
            <w:pPr>
              <w:spacing w:before="60" w:after="120"/>
              <w:jc w:val="both"/>
              <w:rPr>
                <w:b/>
                <w:sz w:val="24"/>
                <w:rFonts w:ascii="Times New Roman" w:eastAsia="Times New Roman" w:hAnsi="Times New Roman" w:cs="Times New Roman"/>
              </w:rPr>
            </w:pPr>
            <w:r>
              <w:rPr>
                <w:sz w:val="24"/>
                <w:rFonts w:ascii="Times New Roman" w:hAnsi="Times New Roman"/>
              </w:rPr>
              <w:t xml:space="preserve">Sestavina obresti, zakupov in dividend (ILDC) se izračuna v skladu s členom 314(2) Uredbe (EU) št. 575/2013 ter, kjer je relevantno, vključuje zneske, izračunane v skladu s členom 314(3) Uredbe (EU) št. 575/2013.</w:t>
            </w:r>
            <w:r>
              <w:rPr>
                <w:sz w:val="24"/>
                <w:rFonts w:ascii="Times New Roman" w:hAnsi="Times New Roman"/>
              </w:rPr>
              <w:t xml:space="preserve"> </w:t>
            </w:r>
            <w:r>
              <w:rPr>
                <w:sz w:val="24"/>
                <w:rFonts w:ascii="Times New Roman" w:hAnsi="Times New Roman"/>
              </w:rPr>
              <w:t xml:space="preserve">Če za institucijo velja odstopanje iz člena 314(4) Uredbe (EU) št. 575/2013, institucija ne vključi nobenih vrednosti iz poslovnih področij bančništva na drobno in komercialnega bančništva.</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b/>
                <w:sz w:val="24"/>
                <w:rFonts w:ascii="Times New Roman" w:eastAsia="Times New Roman" w:hAnsi="Times New Roman" w:cs="Times New Roman"/>
              </w:rPr>
            </w:pPr>
            <w:r>
              <w:rPr>
                <w:b/>
                <w:sz w:val="24"/>
                <w:rFonts w:ascii="Times New Roman" w:hAnsi="Times New Roman"/>
              </w:rPr>
              <w:t xml:space="preserve">ILDC v zvezi s posamezno institucijo/konsolidirano skupino (brez subjektov, obravnavanih v členu 314(3))</w:t>
            </w:r>
          </w:p>
          <w:p w14:paraId="3B4A0231" w14:textId="6A33703B" w:rsidR="00E2624F" w:rsidRPr="008D71E9" w:rsidRDefault="00E2624F" w:rsidP="00413B96">
            <w:pPr>
              <w:rPr>
                <w:color w:val="000000" w:themeColor="text1"/>
                <w:sz w:val="24"/>
                <w:rFonts w:ascii="Times New Roman" w:hAnsi="Times New Roman"/>
              </w:rPr>
            </w:pPr>
            <w:r>
              <w:rPr>
                <w:sz w:val="24"/>
                <w:rFonts w:ascii="Times New Roman" w:hAnsi="Times New Roman"/>
              </w:rPr>
              <w:t xml:space="preserve">Sestavina obresti, zakupov in dividend (ILDC), izračunana v skladu s členom 314(2) Uredbe (EU) št. 575/2013, brez vključitve kakršnih koli vrednosti, ki so del izračuna ILDC </w:t>
            </w:r>
            <w:r>
              <w:rPr>
                <w:sz w:val="24"/>
                <w:color w:val="000000" w:themeColor="text1"/>
                <w:rFonts w:ascii="Times New Roman" w:hAnsi="Times New Roman"/>
              </w:rPr>
              <w:t xml:space="preserve">v tistih primerih, v katerih institucija uporablja odstopanje v skladu s členom 314(3) Uredbe (EU) št.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Prihodki od obresti in zakupov</w:t>
            </w:r>
          </w:p>
          <w:p w14:paraId="742C7468" w14:textId="52553B06" w:rsidR="00D740B8" w:rsidRPr="008D71E9" w:rsidRDefault="00D740B8">
            <w:pPr>
              <w:rPr>
                <w:sz w:val="24"/>
                <w:rFonts w:ascii="Times New Roman" w:eastAsia="Times New Roman" w:hAnsi="Times New Roman" w:cs="Times New Roman"/>
              </w:rPr>
            </w:pPr>
            <w:r>
              <w:rPr>
                <w:sz w:val="24"/>
                <w:rFonts w:ascii="Times New Roman" w:hAnsi="Times New Roman"/>
              </w:rPr>
              <w:t xml:space="preserve">Vsota prihodkov od obresti iz vseh finančnih sredstev, drugih prihodkov iz sredstev v zakupu in dobičkov iz sredstev v zakupu v skladu s Prilogo V k Izvedbeni uredbi (EU) 2021/451, vključno z zneski, izračunanimi v skladu s členom 314(3) Uredbe (EU) št. 575/2013, kjer je relevantno.</w:t>
            </w:r>
            <w:r>
              <w:rPr>
                <w:sz w:val="24"/>
                <w:rFonts w:ascii="Times New Roman" w:hAnsi="Times New Roman"/>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Odhodki za obresti in zakupe</w:t>
            </w:r>
          </w:p>
          <w:p w14:paraId="0FA351B6" w14:textId="0A358A40" w:rsidR="00D740B8" w:rsidRPr="008D71E9" w:rsidRDefault="00D740B8">
            <w:pPr>
              <w:rPr>
                <w:sz w:val="24"/>
                <w:rFonts w:ascii="Times New Roman" w:eastAsia="Times New Roman" w:hAnsi="Times New Roman" w:cs="Times New Roman"/>
              </w:rPr>
            </w:pPr>
            <w:r>
              <w:rPr>
                <w:sz w:val="24"/>
                <w:rFonts w:ascii="Times New Roman" w:hAnsi="Times New Roman"/>
              </w:rPr>
              <w:t xml:space="preserve">Vsota odhodkov za obresti iz vseh finančnih obveznosti, drugih odhodkov, odhodkov iz sredstev v zakupu, izgub, amortizacije in oslabitve sredstev v zakupu, kot je navedeno v Prilogi V k Izvedbeni uredbi Komisije (EU) 2021/451, vključno z zneski, izračunanimi v skladu s členom 314(3) Uredbe (EU) št. 575/2013, kjer je relevantno.</w:t>
            </w:r>
            <w:r>
              <w:rPr>
                <w:sz w:val="24"/>
                <w:rFonts w:ascii="Times New Roman" w:hAnsi="Times New Roman"/>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Skupna sredstva/sestavina sredstev</w:t>
            </w:r>
            <w:r>
              <w:rPr>
                <w:rStyle w:val="InstructionsTabelleberschrift"/>
                <w:sz w:val="24"/>
                <w:u w:val="none"/>
                <w:rFonts w:ascii="Times New Roman" w:hAnsi="Times New Roman"/>
              </w:rPr>
              <w:t xml:space="preserve"> </w:t>
            </w:r>
          </w:p>
          <w:p w14:paraId="15501679" w14:textId="5BCDFDC6" w:rsidR="00D740B8" w:rsidRPr="008D71E9" w:rsidRDefault="00B76736">
            <w:pPr>
              <w:spacing w:before="60" w:after="120"/>
              <w:jc w:val="both"/>
              <w:rPr>
                <w:sz w:val="24"/>
                <w:rFonts w:ascii="Times New Roman" w:eastAsia="Times New Roman" w:hAnsi="Times New Roman" w:cs="Times New Roman"/>
              </w:rPr>
            </w:pPr>
            <w:r>
              <w:rPr>
                <w:sz w:val="24"/>
                <w:rFonts w:ascii="Times New Roman" w:hAnsi="Times New Roman"/>
              </w:rPr>
              <w:t xml:space="preserve">V stolpcu (d) sestavina sredstev, kot je izračunana v skladu s členom 314(2) Uredbe (EU) št. 575/2013.</w:t>
            </w:r>
            <w:r>
              <w:rPr>
                <w:sz w:val="24"/>
                <w:rFonts w:ascii="Times New Roman" w:hAnsi="Times New Roman"/>
              </w:rPr>
              <w:t xml:space="preserve"> </w:t>
            </w:r>
          </w:p>
          <w:p w14:paraId="65FF56C9" w14:textId="3B0DD3E9" w:rsidR="004E3E86" w:rsidRPr="008D71E9" w:rsidRDefault="003E3201" w:rsidP="00373F9D">
            <w:pPr>
              <w:rPr>
                <w:sz w:val="24"/>
                <w:rFonts w:ascii="Times New Roman" w:hAnsi="Times New Roman"/>
              </w:rPr>
            </w:pPr>
            <w:r>
              <w:rPr>
                <w:sz w:val="24"/>
                <w:rFonts w:ascii="Times New Roman" w:hAnsi="Times New Roman"/>
              </w:rPr>
              <w:t xml:space="preserve">V drugih stolpcih skupna sredstva ustrezajo vsoti bruto knjigovodske vrednosti denarnih stanj pri centralnih bankah in drugih vlog na vpogled, dolžniških vrednostnih papirjev, kreditov in drugih finančnih sredstev ter knjigovodske vrednosti izvedenih finančnih instrumentov (trgovanje in ekonomska varovanja pred tveganjem ter obračunavanje varovanja pred tveganjem) in sredstev, ki so predmet zakupa (opredmetena in neopredmetena).</w:t>
            </w:r>
            <w:r>
              <w:rPr>
                <w:sz w:val="24"/>
                <w:rFonts w:ascii="Times New Roman" w:hAnsi="Times New Roman"/>
              </w:rPr>
              <w:t xml:space="preserve"> </w:t>
            </w:r>
            <w:r>
              <w:rPr>
                <w:sz w:val="24"/>
                <w:rFonts w:ascii="Times New Roman" w:hAnsi="Times New Roman"/>
              </w:rPr>
              <w:t xml:space="preserve">Te postavke se nanašajo na Prilogo V k Izvedbeni uredbi Komisije (EU) 2021/451, vključno z zneski, izračunanimi v skladu s členom 314(3) Uredbe (EU) št. 575/2013, kjer je relevantno.</w:t>
            </w:r>
            <w:r>
              <w:rPr>
                <w:sz w:val="24"/>
                <w:rFonts w:ascii="Times New Roman" w:hAnsi="Times New Roman"/>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Prihodki od dividend/sestavina dividend</w:t>
            </w:r>
          </w:p>
          <w:p w14:paraId="1A066B7B" w14:textId="7F67417D" w:rsidR="00D740B8" w:rsidRPr="008D71E9" w:rsidRDefault="00B76736" w:rsidP="004E3E86">
            <w:pPr>
              <w:spacing w:before="60" w:after="120"/>
              <w:jc w:val="both"/>
              <w:rPr>
                <w:sz w:val="24"/>
                <w:rFonts w:ascii="Times New Roman" w:eastAsia="Times New Roman" w:hAnsi="Times New Roman" w:cs="Times New Roman"/>
              </w:rPr>
            </w:pPr>
            <w:r>
              <w:rPr>
                <w:sz w:val="24"/>
                <w:rFonts w:ascii="Times New Roman" w:hAnsi="Times New Roman"/>
              </w:rPr>
              <w:t xml:space="preserve">V stolpcu (d) sestavina dividend, kot je izračunana v skladu s členom 314(2) Uredbe (EU) št. 575/2013.</w:t>
            </w:r>
            <w:r>
              <w:rPr>
                <w:sz w:val="24"/>
                <w:rFonts w:ascii="Times New Roman" w:hAnsi="Times New Roman"/>
              </w:rPr>
              <w:t xml:space="preserve"> </w:t>
            </w:r>
          </w:p>
          <w:p w14:paraId="3F4B342E" w14:textId="6E4867AC" w:rsidR="004E3E86" w:rsidRPr="008D71E9" w:rsidRDefault="004E3E86" w:rsidP="004E3E86">
            <w:pPr>
              <w:rPr>
                <w:sz w:val="24"/>
                <w:rFonts w:ascii="Times New Roman" w:hAnsi="Times New Roman"/>
              </w:rPr>
            </w:pPr>
            <w:r>
              <w:rPr>
                <w:sz w:val="24"/>
                <w:rFonts w:ascii="Times New Roman" w:hAnsi="Times New Roman"/>
              </w:rPr>
              <w:t xml:space="preserve">Institucije poročajo prihodke od dividend v skladu s Prilogo V k Izvedbeni uredbi Komisije (EU) 2021/451, vključno z zneski, izračunanimi v skladu s členom 314(3) Uredbe (EU) št. 575/2013, kjer je relevantno.</w:t>
            </w:r>
            <w:r>
              <w:rPr>
                <w:sz w:val="24"/>
                <w:rFonts w:ascii="Times New Roman" w:hAnsi="Times New Roman"/>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Sestavina storitev</w:t>
            </w:r>
            <w:r>
              <w:rPr>
                <w:b/>
                <w:sz w:val="24"/>
                <w:rFonts w:ascii="Times New Roman" w:hAnsi="Times New Roman"/>
              </w:rPr>
              <w:t xml:space="preserve"> </w:t>
            </w:r>
          </w:p>
          <w:p w14:paraId="2EFCFDAF" w14:textId="1BEFB0FF" w:rsidR="003826D3" w:rsidRPr="008D71E9" w:rsidRDefault="005E7C4C"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Sestavina storitev, izračunana v skladu s členom 314(5) Uredbe (EU) št. 575/2013.</w:t>
            </w:r>
            <w:r>
              <w:rPr>
                <w:sz w:val="24"/>
                <w:rFonts w:ascii="Times New Roman" w:hAnsi="Times New Roman"/>
              </w:rPr>
              <w:t xml:space="preserve"> </w:t>
            </w:r>
            <w:r>
              <w:rPr>
                <w:sz w:val="24"/>
                <w:rFonts w:ascii="Times New Roman" w:hAnsi="Times New Roman"/>
              </w:rPr>
              <w:t xml:space="preserve">Če za institucijo velja odstopanje iz člena 314(4) Uredbe (EU) št. 575/2013, institucija ne vključi nobenih vrednosti iz poslovnih področij bančništva na drobno in komercialnega bančništva.</w:t>
            </w:r>
            <w:r>
              <w:rPr>
                <w:sz w:val="24"/>
                <w:rFonts w:ascii="Times New Roman" w:hAnsi="Times New Roman"/>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Prihodki iz provizij in opravnin</w:t>
            </w:r>
          </w:p>
          <w:p w14:paraId="388F841F" w14:textId="399AB0C3" w:rsidR="003826D3" w:rsidRPr="008D71E9" w:rsidRDefault="009816D6"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Prihodki iz provizij in opravnin iz Priloge V k Izvedbeni uredbi Komisije (EU) 2021/451, izračunani v skladu s členom 314(5) Uredbe (EU) št.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Odhodki za provizije in opravnine</w:t>
            </w:r>
          </w:p>
          <w:p w14:paraId="37B7C759" w14:textId="77939277" w:rsidR="003826D3" w:rsidRPr="008D71E9" w:rsidRDefault="009816D6"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Odhodki za provizije in opravnine iz Priloge V k Izvedbeni uredbi Komisije (EU) 2021/451, izračunani v skladu s členom 314(5) Uredbe (EU) št.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Drugi poslovni prihodki</w:t>
            </w:r>
          </w:p>
          <w:p w14:paraId="035A399D" w14:textId="748A9DAE" w:rsidR="00671F1C"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Drugi poslovni prihodki, vključno z:</w:t>
            </w:r>
            <w:r>
              <w:rPr>
                <w:sz w:val="24"/>
                <w:rFonts w:ascii="Times New Roman" w:hAnsi="Times New Roman"/>
              </w:rPr>
              <w:t xml:space="preserve"> </w:t>
            </w:r>
            <w:r>
              <w:rPr>
                <w:sz w:val="24"/>
                <w:rFonts w:ascii="Times New Roman" w:hAnsi="Times New Roman"/>
              </w:rPr>
              <w:t xml:space="preserve">dobički </w:t>
            </w:r>
            <w:r>
              <w:rPr>
                <w:sz w:val="24"/>
                <w:color w:val="000000" w:themeColor="text1"/>
                <w:rFonts w:ascii="Times New Roman" w:hAnsi="Times New Roman"/>
              </w:rPr>
              <w:t xml:space="preserve">iz nekratkoročnih sredstev in skupin za odtujitev, razvrščenih med sredstva v posesti za prodajo, ki jih ni mogoče razvrstiti kot ustavljeno poslovanje (v primeru izgub se šteje, da so vrednosti enake nič), ter drugimi poslovnimi prihodki </w:t>
            </w:r>
            <w:r>
              <w:rPr>
                <w:sz w:val="24"/>
                <w:rFonts w:ascii="Times New Roman" w:hAnsi="Times New Roman"/>
              </w:rPr>
              <w:t xml:space="preserve">iz Priloge V k Izvedbeni uredbi Komisije (EU) 2021/451, vendar brez prihodkov iz poslovnih zakupov in vseh postavk, določenih v skladu s členom 314(7) Uredbe (EU) 2021/451.</w:t>
            </w:r>
            <w:r>
              <w:rPr>
                <w:sz w:val="24"/>
                <w:rFonts w:ascii="Times New Roman" w:hAnsi="Times New Roman"/>
              </w:rPr>
              <w:t xml:space="preserve"> </w:t>
            </w:r>
          </w:p>
          <w:p w14:paraId="685D1BC1" w14:textId="3C43FE42"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Znesek te vrstice se izračuna v skladu s členom 314(5) Uredbe (EU) št.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Drugi poslovni odhodki</w:t>
            </w:r>
          </w:p>
          <w:p w14:paraId="4E633503" w14:textId="666616FA" w:rsidR="00543CE4"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Drugi poslovni odhodki, vključno z:</w:t>
            </w:r>
            <w:r>
              <w:rPr>
                <w:sz w:val="24"/>
                <w:rFonts w:ascii="Times New Roman" w:hAnsi="Times New Roman"/>
              </w:rPr>
              <w:t xml:space="preserve">  </w:t>
            </w:r>
            <w:r>
              <w:rPr>
                <w:sz w:val="24"/>
                <w:rFonts w:ascii="Times New Roman" w:hAnsi="Times New Roman"/>
              </w:rPr>
              <w:t xml:space="preserve">izgubami iz nekratkoročnih sredstev in skupin za odtujitev, razvrščenih med sredstva v posesti za prodajo, ki jih ni mogoče razvrstiti kot ustavljeno poslovanje (v primeru dobičkov se šteje, da so vrednosti enake nič);</w:t>
            </w:r>
            <w:r>
              <w:rPr>
                <w:sz w:val="24"/>
                <w:rFonts w:ascii="Times New Roman" w:hAnsi="Times New Roman"/>
              </w:rPr>
              <w:t xml:space="preserve"> </w:t>
            </w:r>
            <w:r>
              <w:rPr>
                <w:sz w:val="24"/>
                <w:rFonts w:ascii="Times New Roman" w:hAnsi="Times New Roman"/>
              </w:rPr>
              <w:t xml:space="preserve">vsemi izgubami, odhodki, rezervacijami in drugimi finančnimi učinki, povezanimi z dogodki operativnega tveganja, ter drugimi poslovnimi odhodki iz Priloge V k Izvedbeni uredbi Komisije (EU) 2021/451</w:t>
            </w:r>
            <w:r>
              <w:rPr>
                <w:sz w:val="24"/>
                <w:rFonts w:ascii="Times New Roman" w:hAnsi="Times New Roman"/>
              </w:rPr>
              <w:t xml:space="preserve">, razen tistih postavk, ki so že razkrite v drugih delih te predloge, pri čemer se zlasti izključijo vsi odhodki iz poslovnih zakupov in vse postavke, določene v skladu s členom 314(7) Uredbe (EU) št. 575/2013.</w:t>
            </w:r>
            <w:r>
              <w:rPr>
                <w:sz w:val="24"/>
                <w:rFonts w:ascii="Times New Roman" w:hAnsi="Times New Roman"/>
              </w:rPr>
              <w:t xml:space="preserve"> </w:t>
            </w:r>
          </w:p>
          <w:p w14:paraId="6F1C30F0" w14:textId="6B1C9DD9" w:rsidR="003826D3" w:rsidRPr="008D71E9" w:rsidRDefault="00DE3384"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Znesek te vrstice se izračuna v skladu s členom 314(5) Uredbe (EU) št.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Finančna sestavina</w:t>
            </w:r>
          </w:p>
          <w:p w14:paraId="1C2CD9AE" w14:textId="16B8F7FC"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Finančna sestavina, izračunana v skladu s členom 314(6) Uredbe (EU) št. 575/2013.</w:t>
            </w:r>
            <w:r>
              <w:rPr>
                <w:sz w:val="24"/>
                <w:rStyle w:val="InstructionsTabelleberschrift"/>
                <w:b w:val="0"/>
                <w:u w:val="none"/>
                <w:rFonts w:ascii="Times New Roman" w:hAnsi="Times New Roman"/>
              </w:rPr>
              <w:t xml:space="preserve"> </w:t>
            </w:r>
            <w:r>
              <w:rPr>
                <w:sz w:val="24"/>
                <w:rFonts w:ascii="Times New Roman" w:hAnsi="Times New Roman"/>
              </w:rPr>
              <w:t xml:space="preserve">Če za institucijo velja odstopanje iz člena 314(4) Uredbe (EU) št. 575/2013, institucija ne vključi nobenih vrednosti iz poslovnih področij bančništva na drobno in komercialnega bančništva.</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Čisti poslovni izid za trgovalno knjigo</w:t>
            </w:r>
          </w:p>
          <w:p w14:paraId="4E177CA3" w14:textId="3117C8C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Čisti poslovni izid za trgovalno knjigo, izračunan na podlagi postavk, vključenih v predlogo F 02.00 „Izkaz poslovnega izida“ Priloge IV k Izvedbeni uredbi Komisije (EU) 2021/451.</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 xml:space="preserve">Vrednosti, ki jih je treba razkriti, odražajo računovodske vrednosti, določene v skladu z računovodskim pristopom ali pristopom bonitetnih mej (PBA), za opredelitev postavk trgovalne in netrgovalne knjige </w:t>
            </w:r>
            <w:r>
              <w:rPr>
                <w:rStyle w:val="normaltextrun"/>
              </w:rPr>
              <w:t xml:space="preserve">za vsako od zadnjih treh poslovnih let v skladu s členom 314(6) Uredbe (EU) št. 575/2013</w:t>
            </w:r>
            <w:r>
              <w:t xml:space="preserve">.</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Čisti poslovni izid za netrgovalno knjigo</w:t>
            </w:r>
          </w:p>
          <w:p w14:paraId="16F13570" w14:textId="2B0892A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Čisti poslovni izid za netrgovalno knjigo, izračunan na podlagi postavk, vključenih v predlogo F 02.00 „Izkaz poslovnega izida“ Priloge IV k Izvedbeni uredbi Komisije (EU) 2021/451.</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Vrednosti, ki jih je treba razkriti, odražajo računovodske vrednosti, določene v skladu z računovodskim pristopom ali pristopom bonitetnih mej (PBA), za opredelitev postavk trgovalne in netrgovalne knjige </w:t>
            </w:r>
            <w:r>
              <w:rPr>
                <w:rStyle w:val="normaltextrun"/>
              </w:rPr>
              <w:t xml:space="preserve">za vsako od zadnjih treh poslovnih let v skladu s členom 314(6) Uredbe (EU) št. 575/2013</w:t>
            </w:r>
            <w:r>
              <w:t xml:space="preserve">.</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Pristop, uporabljen za določanje meje med trgovalno in netrgovalno knjigo (pristop bonitetnih mej (PBA) ali računovodski pristop)</w:t>
            </w:r>
          </w:p>
          <w:p w14:paraId="00A81A34" w14:textId="0A7D6D1A"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Pristop, uporabljen na referenčni datum, za določitev finančne sestavine: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računovodska ali bonitetna razvrstitev (PBA).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Pristop se uporablja dosledno za zneske, razkrite za vsako od zadnjih treh poslovnih let.</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Kazalnik poslovanja</w:t>
            </w:r>
          </w:p>
          <w:p w14:paraId="35C99FE1" w14:textId="0AFECB2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Kazalnik poslovanja, izračunan v skladu s členom 314(1) </w:t>
            </w:r>
            <w:r>
              <w:rPr>
                <w:sz w:val="24"/>
                <w:rFonts w:ascii="Times New Roman" w:hAnsi="Times New Roman"/>
              </w:rPr>
              <w:t xml:space="preserve">Uredbe (EU) št. 575/2013</w:t>
            </w:r>
            <w:r>
              <w:rPr>
                <w:sz w:val="24"/>
                <w:rStyle w:val="InstructionsTabelleberschrift"/>
                <w:b w:val="0"/>
                <w:u w:val="none"/>
                <w:rFonts w:ascii="Times New Roman" w:hAnsi="Times New Roman"/>
              </w:rPr>
              <w:t xml:space="preserve">, ki je vsota treh komponent:</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ILDC, sestavine storitev in finančne sestavine.</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Komponenta kazalnika poslovanja</w:t>
            </w:r>
          </w:p>
          <w:p w14:paraId="4AC6BDA5" w14:textId="5507A684"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Komponenta kazalnika poslovanja</w:t>
            </w:r>
            <w:r>
              <w:rPr>
                <w:sz w:val="24"/>
                <w:rFonts w:ascii="Times New Roman" w:hAnsi="Times New Roman"/>
              </w:rPr>
              <w:t xml:space="preserve">, izračunana v skladu s členom 313 Uredbe (EU) št. 575/2013.</w:t>
            </w:r>
            <w:r>
              <w:rPr>
                <w:sz w:val="24"/>
                <w:rFonts w:ascii="Times New Roman" w:hAnsi="Times New Roman"/>
              </w:rPr>
              <w:t xml:space="preserve">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Kazalnik poslovanja skupaj z izključenimi odsvojenimi dejavnostmi</w:t>
            </w:r>
          </w:p>
          <w:p w14:paraId="4B01F051" w14:textId="6AEF7EE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Znesek kazalnika poslovanja, vključno z izključenimi odsvojenimi dejavnostmi, v skladu s členom 315(2) Uredbe (EU) št. 575/2013.</w:t>
            </w:r>
            <w:r>
              <w:rPr>
                <w:sz w:val="24"/>
                <w:rStyle w:val="InstructionsTabelleberschrift"/>
                <w:b w:val="0"/>
                <w:u w:val="none"/>
                <w:rFonts w:ascii="Times New Roman" w:hAnsi="Times New Roman"/>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Zmanjšanje kazalnika poslovanja zaradi izključenih odsvojenih dejavnosti</w:t>
            </w:r>
          </w:p>
          <w:p w14:paraId="100A0132" w14:textId="636B5EF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Razlika med kazalnikom poslovanja skupaj z odsvojenimi dejavnostmi (vrstica 6a) in skupnim kazalnikom poslovanja (vrstica 4).</w:t>
            </w:r>
            <w:r>
              <w:rPr>
                <w:rStyle w:val="InstructionsTabelleberschrift"/>
                <w:b w:val="0"/>
                <w:sz w:val="24"/>
                <w:u w:val="none"/>
                <w:rFonts w:ascii="Times New Roman" w:hAnsi="Times New Roman"/>
              </w:rPr>
              <w:t xml:space="preserve">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Vpliv združitev/pridobitev na kazalnik poslovanja</w:t>
            </w:r>
          </w:p>
          <w:p w14:paraId="68B0EB8C" w14:textId="39D7482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Znesek, vključen v kazalnik poslovanja, ki ustreza komponentam kazalnika poslovanja, ki izhajajo iz združenih ali prevzetih subjektov ali dejavnosti, izračunan, v skladu s členom 315(1) Uredbe (EU) št.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Predloga EU OR3 – Kapitalske zahteve in zneski izpostavljenosti tveganju za operativno tveganje.</w:t>
      </w:r>
      <w:r>
        <w:rPr>
          <w:sz w:val="24"/>
          <w:b/>
          <w:rFonts w:ascii="Times New Roman" w:hAnsi="Times New Roman"/>
        </w:rPr>
        <w:t xml:space="preserve"> </w:t>
      </w:r>
      <w:r>
        <w:rPr>
          <w:sz w:val="24"/>
          <w:rFonts w:ascii="Times New Roman" w:hAnsi="Times New Roman"/>
        </w:rPr>
        <w:t xml:space="preserve">Fiksna predloga.</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Institucije razkrijejo informacije iz predloge EU OR3 v skladu s členom 446(1), točka (b), Uredbe (EU) št. 575/2013.</w:t>
      </w:r>
      <w:r>
        <w:rPr>
          <w:sz w:val="24"/>
          <w:rFonts w:ascii="Times New Roman" w:hAnsi="Times New Roman"/>
        </w:rPr>
        <w:t xml:space="preserve"> </w:t>
      </w:r>
      <w:r>
        <w:rPr>
          <w:sz w:val="24"/>
          <w:rFonts w:ascii="Times New Roman" w:hAnsi="Times New Roman"/>
        </w:rPr>
        <w:t xml:space="preserve">Ta predloga vsebuje informacije o izračunu kapitalskih zahtev za operativno tveganje v skladu s členi 312 do 315 Uredbe (EU) št. 575/2013.</w:t>
      </w:r>
      <w:r>
        <w:rPr>
          <w:sz w:val="24"/>
          <w:rFonts w:ascii="Times New Roman" w:hAnsi="Times New Roman"/>
        </w:rPr>
        <w:t xml:space="preserve">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Vrstica</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b/>
                <w:sz w:val="24"/>
                <w:rFonts w:ascii="Times New Roman" w:hAnsi="Times New Roman" w:cs="Times New Roman"/>
              </w:rPr>
            </w:pPr>
            <w:r>
              <w:rPr>
                <w:b/>
                <w:sz w:val="24"/>
                <w:rFonts w:ascii="Times New Roman" w:hAnsi="Times New Roman"/>
              </w:rPr>
              <w:t xml:space="preserve">Pojasnilo</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Komponenta kazalnika poslovanja</w:t>
            </w:r>
          </w:p>
          <w:p w14:paraId="1B10BB72" w14:textId="77777777" w:rsidR="00D740B8" w:rsidRPr="008D71E9"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V tej vrstici se predstavi komponenta kazalnika poslovanja, ki se izračuna v skladu s členom 313 Uredbe (EU) št.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b/>
                <w:sz w:val="24"/>
                <w:rFonts w:ascii="Times New Roman" w:eastAsia="Times New Roman" w:hAnsi="Times New Roman" w:cs="Times New Roman"/>
              </w:rPr>
            </w:pPr>
            <w:r>
              <w:rPr>
                <w:b/>
                <w:sz w:val="24"/>
                <w:rFonts w:ascii="Times New Roman" w:hAnsi="Times New Roman"/>
              </w:rPr>
              <w:t xml:space="preserve">Kapitalske zahteve (OROF) po alternativnem standardiziranem pristopu (ASA) na podlagi člena 314(4)</w:t>
            </w:r>
          </w:p>
          <w:p w14:paraId="7762DF0B" w14:textId="6E2ACCB9" w:rsidR="004A58B5" w:rsidRPr="008D71E9" w:rsidRDefault="005B4907">
            <w:pPr>
              <w:spacing w:before="60" w:after="120"/>
              <w:jc w:val="both"/>
              <w:rPr>
                <w:b/>
                <w:sz w:val="24"/>
                <w:rFonts w:ascii="Times New Roman" w:eastAsia="Times New Roman" w:hAnsi="Times New Roman" w:cs="Times New Roman"/>
              </w:rPr>
            </w:pPr>
            <w:r>
              <w:rPr>
                <w:sz w:val="24"/>
                <w:rFonts w:ascii="Times New Roman" w:hAnsi="Times New Roman"/>
              </w:rPr>
              <w:t xml:space="preserve">Ta vrstica vključuje kapitalske zahteve za poslovni področji, obravnavani v skladu s členom 314(4), kjer je relevantno, do 31. decembra 2027 oziroma dokler konsolidacijski nadzornik ne izda dovoljenja v skladu s členom 314(3), odvisno, kaj nastopi prej.</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sz w:val="24"/>
                <w:rFonts w:ascii="Times New Roman" w:eastAsia="Times New Roman" w:hAnsi="Times New Roman" w:cs="Times New Roman"/>
              </w:rPr>
            </w:pPr>
            <w:r>
              <w:rPr>
                <w:sz w:val="24"/>
                <w:rFonts w:ascii="Times New Roman" w:hAnsi="Times New Roman"/>
              </w:rPr>
              <w:t xml:space="preserve">Ni relevantno.</w:t>
            </w:r>
            <w:r>
              <w:rPr>
                <w:sz w:val="24"/>
                <w:rFonts w:ascii="Times New Roman" w:hAnsi="Times New Roman"/>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Minimalne kapitalske zahteve za operativno tveganje (OROF)</w:t>
            </w:r>
          </w:p>
          <w:p w14:paraId="2A7C24D0" w14:textId="54D9C5FF" w:rsidR="00D740B8" w:rsidRPr="008D71E9" w:rsidRDefault="00977842">
            <w:pPr>
              <w:spacing w:before="60" w:after="120"/>
              <w:jc w:val="both"/>
              <w:rPr>
                <w:sz w:val="24"/>
                <w:rFonts w:ascii="Times New Roman" w:eastAsia="Times New Roman" w:hAnsi="Times New Roman" w:cs="Times New Roman"/>
              </w:rPr>
            </w:pPr>
            <w:r>
              <w:rPr>
                <w:sz w:val="24"/>
                <w:rFonts w:ascii="Times New Roman" w:hAnsi="Times New Roman"/>
              </w:rPr>
              <w:t xml:space="preserve">Kapitalske zahteve se izračunajo v skladu s členom 312 Uredbe (EU) št. 575/2013.</w:t>
            </w:r>
            <w:r>
              <w:rPr>
                <w:sz w:val="24"/>
                <w:rFonts w:ascii="Times New Roman" w:hAnsi="Times New Roman"/>
              </w:rPr>
              <w:t xml:space="preserve"> </w:t>
            </w:r>
            <w:r>
              <w:rPr>
                <w:sz w:val="24"/>
                <w:rFonts w:ascii="Times New Roman" w:hAnsi="Times New Roman"/>
              </w:rPr>
              <w:t xml:space="preserve">V tej vrstici so predstavljene kapitalske zahteve za operativno tveganje, ki se ujemajo z vsoto komponente kazalnika poslovanja in kapitalskih zahtev za poslovni področji, obravnavani v členu 314(4), kjer je relevantno.</w:t>
            </w:r>
            <w:r>
              <w:rPr>
                <w:sz w:val="24"/>
                <w:rFonts w:ascii="Times New Roman" w:hAnsi="Times New Roman"/>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Zneski izpostavljenosti operativnemu tveganju (REA)</w:t>
            </w:r>
          </w:p>
          <w:p w14:paraId="317F9BDE" w14:textId="77777777" w:rsidR="00D740B8" w:rsidRPr="00CF1BAE"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Na podlagi člena 92(3), točka (e), in člena 92(4) Uredbe (EU) št. 575/2013 se v tej vrstici razkrijejo kapitalske zahteve iz vrstice 1, pomnožene z 12,5.</w:t>
            </w:r>
            <w:r>
              <w:rPr>
                <w:sz w:val="24"/>
                <w:rFonts w:ascii="Times New Roman" w:hAnsi="Times New Roman"/>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t xml:space="preserve">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r>
      <w:r>
        <w:t xml:space="preserve">Uredba (EU) št. 575/2013 Evropskega parlamenta in Sveta z dne 26. junija 2013 o bonitetnih zahtevah za kreditne institucije in o spremembi Uredbe (EU) št. 648/2012, kot je bila spremenjena z Uredbo (EU) 2024/1623 </w:t>
      </w:r>
      <w:r>
        <w:rPr>
          <w:color w:val="444444"/>
        </w:rPr>
        <w:t xml:space="preserve">(</w:t>
      </w:r>
      <w:hyperlink r:id="rId1" w:history="1">
        <w:r>
          <w:rPr>
            <w:rStyle w:val="Hyperlink"/>
            <w:color w:val="800080"/>
          </w:rPr>
          <w:t xml:space="preserve">UL L 176, 27.6.2013, str. 1</w:t>
        </w:r>
      </w:hyperlink>
      <w:r>
        <w:t xml:space="preserve">;</w:t>
      </w:r>
      <w:r>
        <w:rPr>
          <w:color w:val="800080"/>
          <w:u w:val="single"/>
        </w:rPr>
        <w:t xml:space="preserve"> </w:t>
      </w:r>
      <w:hyperlink r:id="rId2" w:history="1">
        <w:r>
          <w:rPr>
            <w:rStyle w:val="Hyperlink"/>
          </w:rPr>
          <w:t xml:space="preserve">Uredba - EU - 2024/1623 - SL - EUR-Lex (europa.eu)</w:t>
        </w:r>
      </w:hyperlink>
      <w:r>
        <w:rPr>
          <w:color w:val="444444"/>
        </w:rPr>
        <w:t xml:space="preserve">)</w:t>
      </w:r>
      <w:r>
        <w:t xml:space="preserve">.</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sl-SI"/>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sl-SI"/>
    </w:rPr>
  </w:style>
  <w:style w:type="character" w:customStyle="1" w:styleId="FootnoteTextChar">
    <w:name w:val="Footnote Text Char"/>
    <w:basedOn w:val="DefaultParagraphFont"/>
    <w:link w:val="FootnoteText"/>
    <w:rsid w:val="003D3122"/>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sl-SI"/>
    </w:rPr>
  </w:style>
  <w:style w:type="character" w:customStyle="1" w:styleId="CommentTextChar">
    <w:name w:val="Comment Text Char"/>
    <w:basedOn w:val="DefaultParagraphFont"/>
    <w:link w:val="CommentText"/>
    <w:uiPriority w:val="99"/>
    <w:rsid w:val="00095D07"/>
    <w:rPr>
      <w:rFonts w:eastAsiaTheme="minorEastAsia"/>
      <w:sz w:val="20"/>
      <w:szCs w:val="20"/>
      <w:lang w:val="sl-SI"/>
    </w:rPr>
  </w:style>
  <w:style w:type="paragraph" w:customStyle="1" w:styleId="numberedparagraph">
    <w:name w:val="numbered paragraph"/>
    <w:basedOn w:val="Normal"/>
    <w:qFormat/>
    <w:rsid w:val="00095D07"/>
    <w:pPr>
      <w:numPr>
        <w:numId w:val="7"/>
      </w:numPr>
      <w:spacing w:before="240" w:after="120" w:line="276" w:lineRule="auto"/>
      <w:jc w:val="both"/>
    </w:pPr>
    <w:rPr>
      <w:lang w:val="sl-SI"/>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sl-SI"/>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AC2FC509-0542-4480-987E-54A6B9F86A3A}"/>
</file>

<file path=customXml/itemProps3.xml><?xml version="1.0" encoding="utf-8"?>
<ds:datastoreItem xmlns:ds="http://schemas.openxmlformats.org/officeDocument/2006/customXml" ds:itemID="{DDA30AFC-033D-4064-9105-DC122C624609}"/>
</file>

<file path=customXml/itemProps4.xml><?xml version="1.0" encoding="utf-8"?>
<ds:datastoreItem xmlns:ds="http://schemas.openxmlformats.org/officeDocument/2006/customXml" ds:itemID="{9F6EAC79-9E94-4DE0-B6C4-C8823429594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3687</Words>
  <Characters>20248</Characters>
  <Application>Microsoft Office Word</Application>
  <DocSecurity>0</DocSecurity>
  <Lines>460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2024-09-26T14:33:00Z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