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B2EC" w14:textId="32E0DD0C" w:rsidR="00C04D6C" w:rsidRPr="00911707" w:rsidRDefault="00C04D6C" w:rsidP="00C04D6C">
      <w:pPr>
        <w:pStyle w:val="Annexetitre"/>
      </w:pPr>
      <w:r w:rsidRPr="00911707">
        <w:t>PRÍLOHA VI – Pokyny na zverejňovanie informácií</w:t>
      </w:r>
      <w:r w:rsidR="00911707">
        <w:t xml:space="preserve"> o </w:t>
      </w:r>
      <w:r w:rsidRPr="00911707">
        <w:t>rozsahu uplatňovania regulačného rámca</w:t>
      </w:r>
    </w:p>
    <w:p w14:paraId="4DDCFE1F" w14:textId="77777777" w:rsidR="00C04D6C" w:rsidRPr="00911707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320DC4CD" w14:textId="7E237B17" w:rsidR="00C04D6C" w:rsidRPr="00911707" w:rsidRDefault="00C04D6C" w:rsidP="00C04D6C">
      <w:pPr>
        <w:rPr>
          <w:rFonts w:ascii="Times New Roman" w:hAnsi="Times New Roman" w:cs="Times New Roman"/>
          <w:b/>
          <w:sz w:val="24"/>
        </w:rPr>
      </w:pPr>
      <w:r w:rsidRPr="00911707">
        <w:rPr>
          <w:rFonts w:ascii="Times New Roman" w:hAnsi="Times New Roman"/>
          <w:b/>
          <w:sz w:val="24"/>
        </w:rPr>
        <w:t>Vzor EU LI1 – Rozdiely medzi účtovným</w:t>
      </w:r>
      <w:r w:rsidR="00911707">
        <w:rPr>
          <w:rFonts w:ascii="Times New Roman" w:hAnsi="Times New Roman"/>
          <w:b/>
          <w:sz w:val="24"/>
        </w:rPr>
        <w:t xml:space="preserve"> a </w:t>
      </w:r>
      <w:r w:rsidRPr="00911707">
        <w:rPr>
          <w:rFonts w:ascii="Times New Roman" w:hAnsi="Times New Roman"/>
          <w:b/>
          <w:sz w:val="24"/>
        </w:rPr>
        <w:t>prudenciálnym rozsahom konsolidácie</w:t>
      </w:r>
      <w:r w:rsidR="00911707">
        <w:rPr>
          <w:rFonts w:ascii="Times New Roman" w:hAnsi="Times New Roman"/>
          <w:b/>
          <w:sz w:val="24"/>
        </w:rPr>
        <w:t xml:space="preserve"> a </w:t>
      </w:r>
      <w:r w:rsidRPr="00911707">
        <w:rPr>
          <w:rFonts w:ascii="Times New Roman" w:hAnsi="Times New Roman"/>
          <w:b/>
          <w:sz w:val="24"/>
        </w:rPr>
        <w:t>mapovanie kategórií účtovných závierok</w:t>
      </w:r>
      <w:r w:rsidR="00911707">
        <w:rPr>
          <w:rFonts w:ascii="Times New Roman" w:hAnsi="Times New Roman"/>
          <w:b/>
          <w:sz w:val="24"/>
        </w:rPr>
        <w:t xml:space="preserve"> k </w:t>
      </w:r>
      <w:r w:rsidRPr="00911707">
        <w:rPr>
          <w:rFonts w:ascii="Times New Roman" w:hAnsi="Times New Roman"/>
          <w:b/>
          <w:sz w:val="24"/>
        </w:rPr>
        <w:t>regulačným kategóriám rizika.</w:t>
      </w:r>
      <w:r w:rsidRPr="00911707">
        <w:rPr>
          <w:rFonts w:ascii="Times New Roman" w:hAnsi="Times New Roman"/>
          <w:sz w:val="24"/>
        </w:rPr>
        <w:t xml:space="preserve"> Flexibilný formát.</w:t>
      </w:r>
    </w:p>
    <w:p w14:paraId="5543C8A2" w14:textId="381E4B54" w:rsidR="00C04D6C" w:rsidRPr="00911707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2474D8BA" w14:textId="3A9EE6A4" w:rsidR="00C04D6C" w:rsidRPr="00911707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911707">
        <w:rPr>
          <w:rFonts w:ascii="Times New Roman" w:hAnsi="Times New Roman"/>
          <w:sz w:val="24"/>
        </w:rPr>
        <w:t>Inštitúcie zverejňujú informácie uvedené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 xml:space="preserve">článku 436 písm. c) nariadenia (EÚ) </w:t>
      </w:r>
      <w:r w:rsidR="00911707">
        <w:rPr>
          <w:rFonts w:ascii="Times New Roman" w:hAnsi="Times New Roman"/>
          <w:sz w:val="24"/>
        </w:rPr>
        <w:t>č. </w:t>
      </w:r>
      <w:r w:rsidRPr="00911707">
        <w:rPr>
          <w:rFonts w:ascii="Times New Roman" w:hAnsi="Times New Roman"/>
          <w:sz w:val="24"/>
        </w:rPr>
        <w:t>575/2013</w:t>
      </w:r>
      <w:r w:rsidRPr="00911707">
        <w:rPr>
          <w:rStyle w:val="FootnoteReference"/>
        </w:rPr>
        <w:footnoteReference w:id="1"/>
      </w:r>
      <w:r w:rsidRPr="00911707">
        <w:rPr>
          <w:rFonts w:ascii="Times New Roman" w:hAnsi="Times New Roman"/>
          <w:sz w:val="24"/>
        </w:rPr>
        <w:t xml:space="preserve"> („CRR“) podľa pokynov uvedených nižšie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vzor EU LI1, ktorý je uvedený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dokumentu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IT riešeniami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0D9C5174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B244C" w14:textId="31042D15" w:rsidR="00C04D6C" w:rsidRPr="00911707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1707">
              <w:rPr>
                <w:rFonts w:ascii="Times New Roman" w:hAnsi="Times New Roman"/>
                <w:noProof w:val="0"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noProof w:val="0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noProof w:val="0"/>
                <w:sz w:val="24"/>
              </w:rPr>
              <w:t>pokyny</w:t>
            </w:r>
          </w:p>
        </w:tc>
      </w:tr>
      <w:tr w:rsidR="00C04D6C" w:rsidRPr="00911707" w14:paraId="3FA5AAD9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ED7A73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F672A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200E05C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981295" w14:textId="77777777" w:rsidR="00C04D6C" w:rsidRPr="00911707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 až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BAB73A" w14:textId="77777777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Celkové aktíva</w:t>
            </w:r>
          </w:p>
          <w:p w14:paraId="34FE8B73" w14:textId="74B6A3E6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Štruktúra riadkov musí byť rovnaká ako štruktúra riadkov súvahy použitej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poslednom dostupnom finančnom výkazníctve inštitúcie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596558D7" w14:textId="748B5F87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„Finančné výkazníctvo“ sa vzťahuje na ročnú individuálnu alebo konsolidovanú účtovnú závierku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zmysle vymedzenia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článkoch 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24 smernice 2013/34/EÚ</w:t>
            </w:r>
            <w:r w:rsidRPr="00911707">
              <w:rPr>
                <w:rStyle w:val="FootnoteReference"/>
                <w:rFonts w:eastAsia="Times New Roman" w:cs="Times New Roman"/>
              </w:rPr>
              <w:footnoteReference w:id="2"/>
            </w:r>
            <w:r w:rsidRPr="00911707">
              <w:rPr>
                <w:rFonts w:ascii="Times New Roman" w:hAnsi="Times New Roman"/>
                <w:sz w:val="24"/>
              </w:rPr>
              <w:t>, ako aj (ak je to vhodné) na účtovnú závierku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zmysle medzinárodných účtovných štandardov schválených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EÚ pri uplatňovaní nariadenia (ES) </w:t>
            </w:r>
            <w:r w:rsidR="00911707">
              <w:rPr>
                <w:rFonts w:ascii="Times New Roman" w:hAnsi="Times New Roman"/>
                <w:sz w:val="24"/>
              </w:rPr>
              <w:t>č. </w:t>
            </w:r>
            <w:r w:rsidRPr="00911707">
              <w:rPr>
                <w:rFonts w:ascii="Times New Roman" w:hAnsi="Times New Roman"/>
                <w:sz w:val="24"/>
              </w:rPr>
              <w:t>1606/2002</w:t>
            </w:r>
            <w:r w:rsidRPr="00911707">
              <w:rPr>
                <w:rStyle w:val="FootnoteReference"/>
                <w:rFonts w:eastAsia="Times New Roman" w:cs="Times New Roman"/>
              </w:rPr>
              <w:footnoteReference w:id="3"/>
            </w:r>
            <w:r w:rsidRPr="0091170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04D6C" w:rsidRPr="00911707" w14:paraId="37C63F49" w14:textId="77777777" w:rsidTr="00D819DE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F61D4" w14:textId="77777777" w:rsidR="00C04D6C" w:rsidRPr="00911707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 až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8DC01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Záväzky spolu</w:t>
            </w:r>
          </w:p>
          <w:p w14:paraId="29E0E09D" w14:textId="66DAA6B2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Štruktúra riadkov musí byť rovnaká ako štruktúra riadkov súvahy použitej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poslednom dostupnom finančnom výkazníctve inštitúcie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65DBAE9A" w14:textId="282B7A4C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„Finančné výkazníctvo“ sa vzťahuje na ročnú individuálnu alebo konsolidovanú účtovnú závierku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zmysle vymedzenia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článkoch 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24 smernice 2013/34/EÚ, ako aj (ak je to vhodné) na účtovnú závierku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zmysle medzinárodných účtovných štandardov schválených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EÚ pri uplatňovaní nariadenia (ES) </w:t>
            </w:r>
            <w:r w:rsidR="00911707">
              <w:rPr>
                <w:rFonts w:ascii="Times New Roman" w:hAnsi="Times New Roman"/>
                <w:sz w:val="24"/>
              </w:rPr>
              <w:t>č. </w:t>
            </w:r>
            <w:r w:rsidRPr="00911707">
              <w:rPr>
                <w:rFonts w:ascii="Times New Roman" w:hAnsi="Times New Roman"/>
                <w:sz w:val="24"/>
              </w:rPr>
              <w:t>1606/2002.</w:t>
            </w:r>
          </w:p>
        </w:tc>
      </w:tr>
    </w:tbl>
    <w:p w14:paraId="4B76983A" w14:textId="77777777" w:rsidR="00C04D6C" w:rsidRPr="00911707" w:rsidRDefault="00C04D6C" w:rsidP="00C04D6C">
      <w:pPr>
        <w:rPr>
          <w:rFonts w:ascii="Times New Roman" w:hAnsi="Times New Roman" w:cs="Times New Roman"/>
          <w:sz w:val="24"/>
        </w:rPr>
      </w:pPr>
    </w:p>
    <w:p w14:paraId="1FBAD891" w14:textId="77777777" w:rsidR="00C04D6C" w:rsidRPr="00911707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17B22538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2F0F1" w14:textId="72671F1C" w:rsidR="00C04D6C" w:rsidRPr="00911707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1707">
              <w:rPr>
                <w:rFonts w:ascii="Times New Roman" w:hAnsi="Times New Roman"/>
                <w:noProof w:val="0"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noProof w:val="0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noProof w:val="0"/>
                <w:sz w:val="24"/>
              </w:rPr>
              <w:t>pokyny</w:t>
            </w:r>
          </w:p>
        </w:tc>
      </w:tr>
      <w:tr w:rsidR="00C04D6C" w:rsidRPr="00911707" w14:paraId="43350AAC" w14:textId="77777777" w:rsidTr="00D819DE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4A9CC1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516C4F8F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7AEEADD6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E74DA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89A484C" w14:textId="46209F86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vykazované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</w:rPr>
              <w:t>uverejnenej účtovnej závierke</w:t>
            </w:r>
          </w:p>
          <w:p w14:paraId="71D45C87" w14:textId="28FF4852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Suma vykazovaná na strane aktív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na strane záväzkov súvahy, ku ktorej sa dospelo na základe požiadaviek konsolidácie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uplatniteľnom účtovnom rámci vrátane rámcov založených na smernici 2013/34/EÚ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smernici 86/635/EHS</w:t>
            </w:r>
            <w:r w:rsidRPr="00911707">
              <w:rPr>
                <w:rStyle w:val="FootnoteReference"/>
                <w:rFonts w:eastAsia="Times New Roman" w:cs="Times New Roman"/>
              </w:rPr>
              <w:footnoteReference w:id="4"/>
            </w:r>
            <w:r w:rsidRPr="00911707">
              <w:rPr>
                <w:rFonts w:ascii="Times New Roman" w:hAnsi="Times New Roman"/>
                <w:sz w:val="24"/>
              </w:rPr>
              <w:t xml:space="preserve"> alebo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medzinárodných účtovných štandardoch schválených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EÚ. </w:t>
            </w:r>
          </w:p>
        </w:tc>
      </w:tr>
      <w:tr w:rsidR="00C04D6C" w:rsidRPr="00911707" w14:paraId="080AF56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18FE241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lastRenderedPageBreak/>
              <w:t>b</w:t>
            </w:r>
          </w:p>
        </w:tc>
        <w:tc>
          <w:tcPr>
            <w:tcW w:w="7655" w:type="dxa"/>
            <w:shd w:val="clear" w:color="auto" w:fill="FFFFFF" w:themeFill="background1"/>
          </w:tcPr>
          <w:p w14:paraId="5A3FBAD6" w14:textId="77777777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</w:rPr>
              <w:t>prudenciálnom rozsahu konsolidácie</w:t>
            </w:r>
          </w:p>
          <w:p w14:paraId="0CF19370" w14:textId="1F13EB89" w:rsidR="00C04D6C" w:rsidRPr="00911707" w:rsidRDefault="00C04D6C" w:rsidP="00D819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Suma vykazovaná na strane aktív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na strane záväzkov súvahy, ku ktorej sa dospelo na základe požiadaviek regulačnej konsolidácie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prvej časti hlave II oddieloch 2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3 CRR.</w:t>
            </w:r>
          </w:p>
          <w:p w14:paraId="2AB1F4D9" w14:textId="236F018F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je účtovný rozsah konsolidácie úplne rovnaký ako prudenciálny rozsah konsolidácie, stĺpce a)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b) tohto vzoru sa zlúčia.</w:t>
            </w:r>
          </w:p>
        </w:tc>
      </w:tr>
      <w:tr w:rsidR="00C04D6C" w:rsidRPr="00911707" w14:paraId="55AFC8C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775890C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shd w:val="clear" w:color="auto" w:fill="FFFFFF" w:themeFill="background1"/>
          </w:tcPr>
          <w:p w14:paraId="63176B46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položiek podliehajúcich rámcu kreditného rizika</w:t>
            </w:r>
          </w:p>
          <w:p w14:paraId="147B3513" w14:textId="0DD4DBAF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položiek), na ktoré sa vzťahuje tretia časť hlava II kapitola 2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3 CRR.</w:t>
            </w:r>
          </w:p>
        </w:tc>
      </w:tr>
      <w:tr w:rsidR="00C04D6C" w:rsidRPr="00911707" w14:paraId="30C9B06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3B77BCC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shd w:val="clear" w:color="auto" w:fill="FFFFFF" w:themeFill="background1"/>
          </w:tcPr>
          <w:p w14:paraId="41152FB4" w14:textId="77777777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položiek podliehajúcich rámcu kreditného rizika protistrany</w:t>
            </w:r>
          </w:p>
          <w:p w14:paraId="64D3EA20" w14:textId="0AA509B3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položiek), na ktoré sa vzťahuje tretia časť hlava II kapitola 6 CRR.</w:t>
            </w:r>
          </w:p>
        </w:tc>
      </w:tr>
      <w:tr w:rsidR="00C04D6C" w:rsidRPr="00911707" w14:paraId="7E7B04C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480628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shd w:val="clear" w:color="auto" w:fill="FFFFFF" w:themeFill="background1"/>
          </w:tcPr>
          <w:p w14:paraId="584C19C7" w14:textId="77777777" w:rsid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položiek podliehajúcich rámcu sekuritizácie</w:t>
            </w:r>
          </w:p>
          <w:p w14:paraId="7880C10D" w14:textId="59EF9C4D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neobchodnej knihy, na ktoré sa vzťahuje tretia časť hlava II kapitola 5 CRR.</w:t>
            </w:r>
          </w:p>
        </w:tc>
      </w:tr>
      <w:tr w:rsidR="00C04D6C" w:rsidRPr="00911707" w14:paraId="2B965A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0727C30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3132510" w14:textId="77777777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položiek podliehajúcich rámcu trhového rizika</w:t>
            </w:r>
          </w:p>
          <w:p w14:paraId="2081B8AC" w14:textId="7B0237CA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položiek), na ktoré sa vzťahuje tretia časť hlava IV CRR. Položky zodpovedajúce sekuritizačným pozíciám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obchodnej knihe – na ktoré sa vzťahujú požiadavky tretej časti hlavy IV CRR – sa zahrnú do tohto stĺpca.</w:t>
            </w:r>
          </w:p>
        </w:tc>
      </w:tr>
      <w:tr w:rsidR="00C04D6C" w:rsidRPr="00911707" w14:paraId="4EA0353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21ACD4C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g</w:t>
            </w:r>
          </w:p>
        </w:tc>
        <w:tc>
          <w:tcPr>
            <w:tcW w:w="7655" w:type="dxa"/>
            <w:shd w:val="clear" w:color="auto" w:fill="FFFFFF" w:themeFill="background1"/>
          </w:tcPr>
          <w:p w14:paraId="1942AC90" w14:textId="77777777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Účtovné hodnoty položiek, ktoré nepodliehajú požiadavkám na vlastné zdroje alebo podliehajú odpočítaniu od vlastných zdrojov</w:t>
            </w:r>
          </w:p>
          <w:p w14:paraId="2DE2BC86" w14:textId="6D55A0CB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položiek), na ktoré sa nevzťahujú požiadavky na vlastné zdroje podľa CRR; účtovné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 položiek (iných ako podsúvahových položiek), na ktoré sa vzťahuje odpočítanie od vlastných zdrojov podľa druhej časti CRR.</w:t>
            </w:r>
          </w:p>
          <w:p w14:paraId="64478689" w14:textId="2863370C" w:rsid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Odpočítané položky môžu zahŕňať napríklad položky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článkoch 37, 38, 39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41 CRR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04744916" w14:textId="271BEBB8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Sumy musia byť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aktív sumami skutočne odpočítanými od vlastných zdrojov, berúc do úvahy akékoľvek vzájomné započítanie záväzkov povolené na základe odpočítania (s akoukoľvek prahovou hodnotou) uplatniteľného podľa príslušných článkov druhej časti CRR.</w:t>
            </w:r>
          </w:p>
          <w:p w14:paraId="7C247AE0" w14:textId="3A77D3B6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Keď sa na položky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článku 36 ods. 1 písm. k)</w:t>
            </w:r>
            <w:r w:rsidR="00911707">
              <w:rPr>
                <w:rFonts w:ascii="Times New Roman" w:hAnsi="Times New Roman"/>
                <w:sz w:val="24"/>
              </w:rPr>
              <w:t xml:space="preserve"> a v </w:t>
            </w:r>
            <w:r w:rsidRPr="00911707">
              <w:rPr>
                <w:rFonts w:ascii="Times New Roman" w:hAnsi="Times New Roman"/>
                <w:sz w:val="24"/>
              </w:rPr>
              <w:t>článku 48 CRR namiesto odpočítania uplatňuje riziková váha 1 250</w:t>
            </w:r>
            <w:r w:rsidR="00911707">
              <w:rPr>
                <w:rFonts w:ascii="Times New Roman" w:hAnsi="Times New Roman"/>
                <w:sz w:val="24"/>
              </w:rPr>
              <w:t> %</w:t>
            </w:r>
            <w:r w:rsidRPr="00911707">
              <w:rPr>
                <w:rFonts w:ascii="Times New Roman" w:hAnsi="Times New Roman"/>
                <w:sz w:val="24"/>
              </w:rPr>
              <w:t>, nezverejňujú sa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g) tohto vzoru, ale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iných príslušných stĺpcoch vzoru EU LI1. To isté platí aj pre akúkoľvek inú položku, ktorá je rizikovo vážená na úrovni 1 250</w:t>
            </w:r>
            <w:r w:rsidR="00911707">
              <w:rPr>
                <w:rFonts w:ascii="Times New Roman" w:hAnsi="Times New Roman"/>
                <w:sz w:val="24"/>
              </w:rPr>
              <w:t> %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požiadavkami CRR.</w:t>
            </w:r>
          </w:p>
          <w:p w14:paraId="1E8AD1D2" w14:textId="03559E35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Sumy musia byť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záväzkov sumou záväzkov, ktorá sa musí brať do úvahy pri určovaní sumy aktív, ktoré sa majú odpočítať od vlastných zdrojov podľa príslušných článkov druhej časti CRR.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tomto stĺpci sa okrem toho zverejňujú všetky záväzky okrem tých, ktoré i) sú relevantné pre uplatňovanie požiadaviek tretej časti hlavy II kapitoly 4 CRR alebo ii) sú relevantné pre uplatňovanie požiadaviek tretej časti hlavy II kapitoly 6 CRR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tretej časti hlavy IV CRR.</w:t>
            </w:r>
          </w:p>
        </w:tc>
      </w:tr>
      <w:tr w:rsidR="00C04D6C" w:rsidRPr="00911707" w14:paraId="7179E48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32737BA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lastRenderedPageBreak/>
              <w:t>všetky</w:t>
            </w:r>
          </w:p>
        </w:tc>
        <w:tc>
          <w:tcPr>
            <w:tcW w:w="7655" w:type="dxa"/>
            <w:shd w:val="clear" w:color="auto" w:fill="FFFFFF" w:themeFill="background1"/>
          </w:tcPr>
          <w:p w14:paraId="4291E137" w14:textId="38A5D0AF" w:rsidR="00C04D6C" w:rsidRPr="00911707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sa na jednu položku vzťahujú kapitálové požiadavky podľa viac než jedného rámca rizika, hodnoty sa zverejňujú vo všetkých stĺpcoch zodpovedajúcich kapitálovým požiadavkám, ktorých sa týkajú.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dôsledku toho môže byť súčet súm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c) až g) tohto vzoru väčší než suma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b) tohto vzoru. Inštitúcie poskytujú kvalitatívne vysvetlenie aktív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záväzkov, ktoré podliehajú kapitálovým požiadavkám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viac než jedného rámca rizika uvedeného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CRR.</w:t>
            </w:r>
          </w:p>
        </w:tc>
      </w:tr>
    </w:tbl>
    <w:p w14:paraId="6C41F2CD" w14:textId="77777777" w:rsidR="00C04D6C" w:rsidRPr="00911707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73DC8A7F" w14:textId="5771273E" w:rsidR="00911707" w:rsidRDefault="00C04D6C" w:rsidP="00C04D6C">
      <w:pPr>
        <w:spacing w:after="120"/>
        <w:jc w:val="both"/>
        <w:rPr>
          <w:rFonts w:ascii="Times New Roman" w:hAnsi="Times New Roman"/>
          <w:sz w:val="24"/>
        </w:rPr>
      </w:pPr>
      <w:r w:rsidRPr="00911707">
        <w:rPr>
          <w:rFonts w:ascii="Times New Roman" w:hAnsi="Times New Roman"/>
          <w:b/>
          <w:sz w:val="24"/>
        </w:rPr>
        <w:t>Vzor EU LI2 – Hlavné zdroje rozdielov medzi regulačnými hodnotami expozícií</w:t>
      </w:r>
      <w:r w:rsidR="00911707">
        <w:rPr>
          <w:rFonts w:ascii="Times New Roman" w:hAnsi="Times New Roman"/>
          <w:b/>
          <w:sz w:val="24"/>
        </w:rPr>
        <w:t xml:space="preserve"> a </w:t>
      </w:r>
      <w:r w:rsidRPr="00911707">
        <w:rPr>
          <w:rFonts w:ascii="Times New Roman" w:hAnsi="Times New Roman"/>
          <w:b/>
          <w:sz w:val="24"/>
        </w:rPr>
        <w:t>účtovnými hodnotami</w:t>
      </w:r>
      <w:r w:rsidR="00911707">
        <w:rPr>
          <w:rFonts w:ascii="Times New Roman" w:hAnsi="Times New Roman"/>
          <w:b/>
          <w:sz w:val="24"/>
        </w:rPr>
        <w:t xml:space="preserve"> v </w:t>
      </w:r>
      <w:r w:rsidRPr="00911707">
        <w:rPr>
          <w:rFonts w:ascii="Times New Roman" w:hAnsi="Times New Roman"/>
          <w:b/>
          <w:sz w:val="24"/>
        </w:rPr>
        <w:t xml:space="preserve">účtovnej závierke. </w:t>
      </w:r>
      <w:r w:rsidRPr="00911707">
        <w:rPr>
          <w:rFonts w:ascii="Times New Roman" w:hAnsi="Times New Roman"/>
          <w:sz w:val="24"/>
        </w:rPr>
        <w:t>Pevný formát</w:t>
      </w:r>
      <w:r w:rsidR="00911707">
        <w:rPr>
          <w:rFonts w:ascii="Times New Roman" w:hAnsi="Times New Roman"/>
          <w:sz w:val="24"/>
        </w:rPr>
        <w:t>.</w:t>
      </w:r>
    </w:p>
    <w:p w14:paraId="31823E5C" w14:textId="63154791" w:rsidR="00C04D6C" w:rsidRPr="00911707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 w:rsidRPr="00911707">
        <w:rPr>
          <w:rFonts w:ascii="Times New Roman" w:hAnsi="Times New Roman"/>
          <w:sz w:val="24"/>
        </w:rPr>
        <w:t xml:space="preserve">Inštitúcie </w:t>
      </w:r>
      <w:r w:rsidRPr="00911707">
        <w:rPr>
          <w:rFonts w:ascii="Times New Roman" w:hAnsi="Times New Roman"/>
          <w:color w:val="000000" w:themeColor="text1"/>
          <w:sz w:val="24"/>
        </w:rPr>
        <w:t>zverejňujú informácie uvedené</w:t>
      </w:r>
      <w:r w:rsidR="00911707">
        <w:rPr>
          <w:rFonts w:ascii="Times New Roman" w:hAnsi="Times New Roman"/>
          <w:color w:val="000000" w:themeColor="text1"/>
          <w:sz w:val="24"/>
        </w:rPr>
        <w:t xml:space="preserve"> v </w:t>
      </w:r>
      <w:r w:rsidRPr="00911707">
        <w:rPr>
          <w:rFonts w:ascii="Times New Roman" w:hAnsi="Times New Roman"/>
          <w:color w:val="000000" w:themeColor="text1"/>
          <w:sz w:val="24"/>
        </w:rPr>
        <w:t>článku 436 písm. d) CRR</w:t>
      </w:r>
      <w:r w:rsidRPr="00911707">
        <w:rPr>
          <w:rFonts w:ascii="Times New Roman" w:hAnsi="Times New Roman"/>
          <w:sz w:val="24"/>
        </w:rPr>
        <w:t xml:space="preserve"> podľa pokynov uvedených nižšie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vzor EU LI2, ktorý je uvedený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k </w:t>
      </w:r>
      <w:r w:rsidRPr="00911707">
        <w:rPr>
          <w:rFonts w:ascii="Times New Roman" w:hAnsi="Times New Roman"/>
          <w:sz w:val="24"/>
        </w:rPr>
        <w:t>tomuto vykonávaciemu nariadeniu</w:t>
      </w:r>
      <w:r w:rsidRPr="00911707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2E557FAA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F1780" w14:textId="07D840AD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351DFAD6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0F6178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1B01B9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6B5341A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A2CBB68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shd w:val="clear" w:color="auto" w:fill="FFFFFF" w:themeFill="background1"/>
          </w:tcPr>
          <w:p w14:paraId="011E728E" w14:textId="4A3A2DE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Účtovná hodnota aktív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</w:rPr>
              <w:t>prudenciálnom rozsahu konsolidácie</w:t>
            </w:r>
          </w:p>
          <w:p w14:paraId="081D6909" w14:textId="4BB3E5E1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b) až e) tohto vzoru sú rovnaké ako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stĺpcoch c) až f) vzoru EU LI1. </w:t>
            </w:r>
          </w:p>
        </w:tc>
      </w:tr>
      <w:tr w:rsidR="00C04D6C" w:rsidRPr="00911707" w14:paraId="263E4AC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09AE24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shd w:val="clear" w:color="auto" w:fill="FFFFFF" w:themeFill="background1"/>
          </w:tcPr>
          <w:p w14:paraId="326A8BD9" w14:textId="7E230D9C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Účtovná hodnota záväzkov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</w:rPr>
              <w:t>prudenciálnom rozsahu konsolidácie</w:t>
            </w:r>
          </w:p>
          <w:p w14:paraId="3C83C58B" w14:textId="18906C82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b) až e) tohto vzoru sú rovnaké ako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c) až f) vzoru EU LI1.</w:t>
            </w:r>
          </w:p>
        </w:tc>
      </w:tr>
      <w:tr w:rsidR="00C04D6C" w:rsidRPr="00911707" w14:paraId="2311BC4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EC86421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shd w:val="clear" w:color="auto" w:fill="FFFFFF" w:themeFill="background1"/>
          </w:tcPr>
          <w:p w14:paraId="77FE8AA4" w14:textId="77777777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Celková čistá hodnota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</w:rPr>
              <w:t>prudenciálnom rozsahu konsolidácie</w:t>
            </w:r>
          </w:p>
          <w:p w14:paraId="6B5D974D" w14:textId="7A85BF08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Suma po vzájomnom započítaní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súvahe medzi aktívami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záväzkami podľa prudenciálneho rozsahu konsolidácie bez ohľadu na prípustnosť uvedených aktív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 xml:space="preserve">záväzkov podľa špecifických pravidiel vzájomného započítavania pri </w:t>
            </w:r>
            <w:r w:rsidRPr="00911707">
              <w:rPr>
                <w:rFonts w:ascii="Times New Roman" w:hAnsi="Times New Roman"/>
                <w:sz w:val="24"/>
              </w:rPr>
              <w:lastRenderedPageBreak/>
              <w:t>uplatňovaní tretej časti hlavy II kapitol 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5 CRR, ako aj tretej časti hlavy IV CRR.</w:t>
            </w:r>
          </w:p>
          <w:p w14:paraId="0082555F" w14:textId="0C649BBD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Hodnota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tomto riadku sa rovná hodnote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1, od ktorej sa odpočíta hodnota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2 tohto vzoru.</w:t>
            </w:r>
          </w:p>
        </w:tc>
      </w:tr>
      <w:tr w:rsidR="00C04D6C" w:rsidRPr="00911707" w14:paraId="3CEA54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A71EF46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655" w:type="dxa"/>
            <w:shd w:val="clear" w:color="auto" w:fill="FFFFFF" w:themeFill="background1"/>
          </w:tcPr>
          <w:p w14:paraId="7FF54E31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Hodnoty podsúvahových expozícií</w:t>
            </w:r>
          </w:p>
          <w:p w14:paraId="00C5BCD8" w14:textId="381B9C70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Zahrnú sa podsúvahové pôvodné expozície pred použitím konverzného faktora, ak je to relevantné, zo zostavenej podsúvahy podľa prudenciálneho rozsahu konsolidácie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stĺpcoch a) až d) tohto vzoru. </w:t>
            </w:r>
          </w:p>
        </w:tc>
      </w:tr>
      <w:tr w:rsidR="00C04D6C" w:rsidRPr="00911707" w14:paraId="0215A6DC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B8AEE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shd w:val="clear" w:color="auto" w:fill="FFFFFF" w:themeFill="background1"/>
          </w:tcPr>
          <w:p w14:paraId="3C19E71F" w14:textId="2C68FE22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oceneniach</w:t>
            </w:r>
          </w:p>
          <w:p w14:paraId="48C473FE" w14:textId="681D8C9C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Vplyv účtovnej hodnoty úprav ocenenia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druhou časťou hlavou I kapitolou 2 článkom 34 CRR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treťou časťou hlavou I kapitolou 3 článkom 105 CRR na expozície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obchodnej knihe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neobchodnej knihe oceňované reálnou hodnotou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uplatniteľným účtovným rámcom.</w:t>
            </w:r>
          </w:p>
          <w:p w14:paraId="33A2A80C" w14:textId="1EFEAAD6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Táto hodnota musí byť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 so sumou uvedenou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7 vzoru EU CC1, ako aj so sumou uvedenou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12 stĺpci f) vzoru EU PV1.</w:t>
            </w:r>
          </w:p>
        </w:tc>
      </w:tr>
      <w:tr w:rsidR="00C04D6C" w:rsidRPr="00911707" w14:paraId="2EDE1179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3AEF8E0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shd w:val="clear" w:color="auto" w:fill="FFFFFF" w:themeFill="background1"/>
          </w:tcPr>
          <w:p w14:paraId="3A8E70A3" w14:textId="2F1F81BE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dôsledku rôznych pravidiel vzájomného započítavania okrem pravidiel, ktoré už sú zahrnuté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riadku 2 tohto vzoru</w:t>
            </w:r>
          </w:p>
          <w:p w14:paraId="0583DDBB" w14:textId="4B1DA0A9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Táto položka sa vzťahuje na čistú hodnotu súvahových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podsúvahových expozícií po uplatnení špecifických pravidiel vzájomného započítavania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kapitolách 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5 CRR, ako aj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IV CRR. Vplyv uplatnenia pravidiel vzájomného započítavania môže byť negatívny (ak sa musí vzájomne započítať viac expozícií než pri použití vzájomného započítavania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súvahe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2 tohto vzoru) alebo pozitívny (v prípade uplatnenia pravidiel vzájomného započítavania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CRR, čo vedie</w:t>
            </w:r>
            <w:r w:rsidR="00911707">
              <w:rPr>
                <w:rFonts w:ascii="Times New Roman" w:hAnsi="Times New Roman"/>
                <w:sz w:val="24"/>
              </w:rPr>
              <w:t xml:space="preserve"> k </w:t>
            </w:r>
            <w:r w:rsidRPr="00911707">
              <w:rPr>
                <w:rFonts w:ascii="Times New Roman" w:hAnsi="Times New Roman"/>
                <w:sz w:val="24"/>
              </w:rPr>
              <w:t>tomu, že sa vzájomne započíta nižšia suma než pri vzájomnom započítaní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súvahe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2 tohto vzoru).</w:t>
            </w:r>
          </w:p>
        </w:tc>
      </w:tr>
      <w:tr w:rsidR="00C04D6C" w:rsidRPr="00911707" w14:paraId="44759EA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8510DD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shd w:val="clear" w:color="auto" w:fill="FFFFFF" w:themeFill="background1"/>
          </w:tcPr>
          <w:p w14:paraId="788C1A56" w14:textId="46B48F22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dôsledku zohľadnenia ustanovení</w:t>
            </w:r>
          </w:p>
          <w:p w14:paraId="31DB4868" w14:textId="31D946DC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Opätovná integrácia špecifických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všeobecných úprav kreditného rizika [v zmysle vymedzenia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delegovanom nariadení Komisie (EÚ) </w:t>
            </w:r>
            <w:r w:rsidR="00911707">
              <w:rPr>
                <w:rFonts w:ascii="Times New Roman" w:hAnsi="Times New Roman"/>
                <w:sz w:val="24"/>
              </w:rPr>
              <w:t>č. </w:t>
            </w:r>
            <w:r w:rsidRPr="00911707">
              <w:rPr>
                <w:rFonts w:ascii="Times New Roman" w:hAnsi="Times New Roman"/>
                <w:sz w:val="24"/>
              </w:rPr>
              <w:t>183/2014</w:t>
            </w:r>
            <w:r w:rsidRPr="00911707">
              <w:rPr>
                <w:rStyle w:val="FootnoteReference"/>
                <w:rFonts w:eastAsia="Times New Roman" w:cs="Times New Roman"/>
              </w:rPr>
              <w:footnoteReference w:id="5"/>
            </w:r>
            <w:r w:rsidRPr="00911707">
              <w:rPr>
                <w:rFonts w:ascii="Times New Roman" w:hAnsi="Times New Roman"/>
                <w:sz w:val="24"/>
              </w:rPr>
              <w:t>] do hodnoty expozície, pričom tieto úpravy boli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uplatniteľným účtovným rámcom odpočítané od účtovnej hodnoty expozícií podľa tretej časti hlavy II kapitoly 3 CRR na účely rizikového váženia. Pokiaľ ide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>expozície, ktoré boli rizikovo vážené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treťou časťou hlavou II kapitolou 2 CRR, ak bola účtovná hodnota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účtovnej závierke podľa prudenciálneho rozsahu konsolidácie znížená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 xml:space="preserve">prvky, ktoré sa podľa uvedeného delegovaného nariadenia kvalifikujú ako všeobecné úpravy kreditného rizika, tieto prvky sa opätovne integrujú do hodnoty expozície. </w:t>
            </w:r>
          </w:p>
        </w:tc>
      </w:tr>
      <w:tr w:rsidR="00C04D6C" w:rsidRPr="00911707" w14:paraId="0A77124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54B446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shd w:val="clear" w:color="auto" w:fill="FFFFFF" w:themeFill="background1"/>
          </w:tcPr>
          <w:p w14:paraId="245F8B68" w14:textId="77777777" w:rsidR="00911707" w:rsidRDefault="00C04D6C" w:rsidP="00D819DE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dôsledku využívania postupov zmierňovania kreditného rizika</w:t>
            </w:r>
          </w:p>
          <w:p w14:paraId="2CFFDCD8" w14:textId="7B19B5C7" w:rsidR="00C04D6C" w:rsidRPr="00911707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6EC8050F" w14:textId="0C9C3B92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Vplyv uplatňovania postupov zmierňovania kreditného rizika podľa vymedzenia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CRR na hodnotu expozície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rámci prudenciálneho rozsahu konsolidácie. </w:t>
            </w:r>
          </w:p>
        </w:tc>
      </w:tr>
      <w:tr w:rsidR="00C04D6C" w:rsidRPr="00911707" w14:paraId="05ED1ED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05E59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7655" w:type="dxa"/>
            <w:shd w:val="clear" w:color="auto" w:fill="FFFFFF" w:themeFill="background1"/>
          </w:tcPr>
          <w:p w14:paraId="1E44E476" w14:textId="5BF8AF97" w:rsidR="00C04D6C" w:rsidRPr="00911707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dôsledku konverzných faktorov úverov</w:t>
            </w:r>
          </w:p>
          <w:p w14:paraId="53FD5536" w14:textId="77777777" w:rsidR="00C04D6C" w:rsidRPr="00911707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38BAEA5C" w14:textId="6C8C3D75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Vplyv uplatňovania príslušných konverzných faktorov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CRR na hodnotu expozície podsúvahových expozícií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prudenciálneho rozsahu konsolidácie.</w:t>
            </w:r>
          </w:p>
          <w:p w14:paraId="75BD9AEB" w14:textId="666F7161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Konverzný faktor pre podsúvahové položky, ktoré majú byť rizikovo vážené pri uplatňovaní tretej časti hlavy II CRR, sa určuje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článkami 111, 166, 167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182 (podľa uplatniteľnosti na kreditné riziko)</w:t>
            </w:r>
            <w:r w:rsidR="00911707">
              <w:rPr>
                <w:rFonts w:ascii="Times New Roman" w:hAnsi="Times New Roman"/>
                <w:sz w:val="24"/>
              </w:rPr>
              <w:t xml:space="preserve"> a v </w:t>
            </w:r>
            <w:r w:rsidRPr="00911707">
              <w:rPr>
                <w:rFonts w:ascii="Times New Roman" w:hAnsi="Times New Roman"/>
                <w:sz w:val="24"/>
              </w:rPr>
              <w:t>článku 246 CRR (podľa uplatniteľnosti na sekuritizačné riziko).</w:t>
            </w:r>
          </w:p>
        </w:tc>
      </w:tr>
      <w:tr w:rsidR="00C04D6C" w:rsidRPr="00911707" w14:paraId="72BAD6A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C5B091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5F1391ED" w14:textId="60D94356" w:rsidR="00C04D6C" w:rsidRPr="00911707" w:rsidRDefault="00C04D6C" w:rsidP="00D819DE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>Rozdiely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dôsledku sekuritizácie</w:t>
            </w:r>
            <w:r w:rsidR="00911707">
              <w:rPr>
                <w:rFonts w:ascii="Times New Roman" w:hAnsi="Times New Roman"/>
                <w:b/>
                <w:i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b/>
                <w:i/>
                <w:sz w:val="24"/>
              </w:rPr>
              <w:t>prenosom rizika</w:t>
            </w:r>
          </w:p>
          <w:p w14:paraId="0CD216A1" w14:textId="33871B2C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Vplyv používania sekuritizovaných transakcií pri prenose kreditného rizika na tretie strany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CRR na hodnotu expozície sekuritizovaných expozícií.</w:t>
            </w:r>
          </w:p>
        </w:tc>
      </w:tr>
      <w:tr w:rsidR="00C04D6C" w:rsidRPr="00911707" w14:paraId="07DA820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CADA42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523D1FE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b/>
                <w:i/>
                <w:sz w:val="24"/>
              </w:rPr>
              <w:t xml:space="preserve">Iné rozdiely </w:t>
            </w:r>
            <w:r w:rsidRPr="00911707">
              <w:rPr>
                <w:rFonts w:ascii="Times New Roman" w:hAnsi="Times New Roman"/>
                <w:i/>
                <w:sz w:val="24"/>
              </w:rPr>
              <w:t>(ak sú relevantné)</w:t>
            </w:r>
          </w:p>
          <w:p w14:paraId="7A3BEA11" w14:textId="0B30B7F2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Iné významné faktory rozdielov medzi účtovnými hodnotami účtovnej závierky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regulačného rozsahu uplatňovania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hodnotami expozícií, ktoré sa zohľadňujú na regulačné účely.</w:t>
            </w:r>
          </w:p>
          <w:p w14:paraId="678F847C" w14:textId="3B20FB0D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doplnia zverejnené kvantitatívne informácie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tomto riadku kvalitatívnymi vysvetleniami hlavných príčin týchto rozdielov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tabuľke EU LIA.</w:t>
            </w:r>
          </w:p>
        </w:tc>
      </w:tr>
      <w:tr w:rsidR="00C04D6C" w:rsidRPr="00911707" w14:paraId="2957570B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BC3A56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2416DA9F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Hodnoty expozície zohľadňované na regulačné účely</w:t>
            </w:r>
          </w:p>
          <w:p w14:paraId="1BCDD663" w14:textId="7399ABAB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Súhrnná hodnota považovaná za východiskový bod výpočtu hodnoty rizikovo váženej expozície (RWEA) po uplatnení metód CRM iných, než je vzájomné započítavanie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kapitole 4 CRR,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po uplatnení požiadaviek na vzájomné započítavanie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kapitolách 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5</w:t>
            </w:r>
            <w:r w:rsidR="00911707">
              <w:rPr>
                <w:rFonts w:ascii="Times New Roman" w:hAnsi="Times New Roman"/>
                <w:sz w:val="24"/>
              </w:rPr>
              <w:t xml:space="preserve"> a v </w:t>
            </w:r>
            <w:r w:rsidRPr="00911707">
              <w:rPr>
                <w:rFonts w:ascii="Times New Roman" w:hAnsi="Times New Roman"/>
                <w:sz w:val="24"/>
              </w:rPr>
              <w:t>tretej časti hlave IV CRR pre každú kategóriu rizika.</w:t>
            </w:r>
          </w:p>
          <w:p w14:paraId="42A65886" w14:textId="5248A01D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sa uplatňuje štandardizovaný prístup (SA), ide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>hodnotu po špecifických úpravách kreditného rizika, dodatočných úpravách ocenenia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článkami 34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110 CRR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iných zníženiach vlastných zdrojov súvisiacich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danou položkou aktív.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podsúvahových položiek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prílohe I</w:t>
            </w:r>
            <w:r w:rsidR="00911707">
              <w:rPr>
                <w:rFonts w:ascii="Times New Roman" w:hAnsi="Times New Roman"/>
                <w:sz w:val="24"/>
              </w:rPr>
              <w:t xml:space="preserve"> k </w:t>
            </w:r>
            <w:r w:rsidRPr="00911707">
              <w:rPr>
                <w:rFonts w:ascii="Times New Roman" w:hAnsi="Times New Roman"/>
                <w:sz w:val="24"/>
              </w:rPr>
              <w:t>tomuto vykonávaciemu nariadeniu je hodnotou expozície nominálna hodnota po znížení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>špecifické úpravy kreditného rizika vynásobená príslušnou percentuálnou hodnotou uvedenou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článku 111 ods. 1 písm. a)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d) CRR.</w:t>
            </w:r>
          </w:p>
          <w:p w14:paraId="029EEE3E" w14:textId="19DA3CCC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 prípade prístupu IRB je zverejňovanou hodnotou hodnota expozície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zmysle článkov 166, 167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168 CRR.</w:t>
            </w:r>
          </w:p>
          <w:p w14:paraId="262660AB" w14:textId="14769C66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Účtovné hodnoty vykázané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účtovnej závierke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prudenciálnom rozsahu konsolidácie sa preto zverejňujú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zodpovedajúcich riadkoch 1 až 3 tohto vzoru, zatiaľ čo podsúvahové pôvodné expozície sa zverejňujú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4 tohto vzoru. Akékoľvek osobitné regulačné zvýšenie alebo zníženie týkajúce sa týchto hodnôt sa má zahrnúť do riadkov 5 až 11 tohto vzoru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cieľom vysvetliť, ako zosúladiť tieto hodnoty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 xml:space="preserve">hodnotou expozície na regulačné účely </w:t>
            </w:r>
            <w:r w:rsidRPr="00911707">
              <w:rPr>
                <w:rFonts w:ascii="Times New Roman" w:hAnsi="Times New Roman"/>
                <w:sz w:val="24"/>
              </w:rPr>
              <w:lastRenderedPageBreak/>
              <w:t>ako východiskový bod výpočtu RWEA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každým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rámcov uvedených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b) až e) tohto vzoru. To znamená, že najmä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kreditného rizika sa hodnoty expozícií posudzované na regulačné účely, ktoré sa majú zverejniť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12 tohto vzoru, budú líšiť od účtovných hodnôt vykázaných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účtovnej závierke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prudenciálnom rozsahu konsolidácie,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to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dôvodu osobitného regulačného zaobchádzania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účtovnými rezervami pre výpočet RWEA.</w:t>
            </w:r>
          </w:p>
        </w:tc>
      </w:tr>
    </w:tbl>
    <w:p w14:paraId="16B30017" w14:textId="77777777" w:rsidR="00C04D6C" w:rsidRPr="00911707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6C172395" w14:textId="77777777" w:rsidR="00C04D6C" w:rsidRPr="00911707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419A19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EBCF1EE" w14:textId="25DFEE76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3E5C9001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CCFAAD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9A787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6D075D12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D456B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2CBF30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07AF5974" w14:textId="7D57A48D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Spolu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a) vzoru EU LI2 = sumy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b) vzoru EU LI1 – sumy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g) vzoru EU LI1.</w:t>
            </w:r>
          </w:p>
        </w:tc>
      </w:tr>
      <w:tr w:rsidR="00C04D6C" w:rsidRPr="00911707" w14:paraId="56B847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A7072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08A540" w14:textId="68B44392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Rozčlenenie stĺpcov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regulačných kategóriách rizika b) až e) zodpovedá rozčleneniu uvedenému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 xml:space="preserve">tretej časti CRR: </w:t>
            </w:r>
          </w:p>
        </w:tc>
      </w:tr>
      <w:tr w:rsidR="00C04D6C" w:rsidRPr="00911707" w14:paraId="5D5071F3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CAB29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F3017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Rámec kreditného rizika</w:t>
            </w:r>
          </w:p>
          <w:p w14:paraId="0254C74A" w14:textId="680B6387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Expozície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CRR.</w:t>
            </w:r>
          </w:p>
          <w:p w14:paraId="096E08B3" w14:textId="1E8CDC3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Expozície podľa rámca kreditného rizika zodpovedajú buď hodnote expozície uplatnenej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štandardizovaného prístupu ku kreditnému riziku (pozri tretiu časť hlavu II kapitolu 2 článok 111 CRR), alebo expozíciám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stave zlyhania (EAD)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rámci prístupu IRB ku kreditnému riziku (pozri tretiu časť hlavu II kapitolu 3 články 166, 167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 xml:space="preserve">168 CRR). </w:t>
            </w:r>
          </w:p>
        </w:tc>
      </w:tr>
      <w:tr w:rsidR="00C04D6C" w:rsidRPr="00911707" w14:paraId="2E656532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306D94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D35244" w14:textId="77777777" w:rsid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Sekuritizačný rámec</w:t>
            </w:r>
          </w:p>
          <w:p w14:paraId="67C4B0D7" w14:textId="0073CEDB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Expozície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neobchodnej knihy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kapitole 5 CRR.</w:t>
            </w:r>
          </w:p>
          <w:p w14:paraId="7FC11C3E" w14:textId="1717C390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Sekuritizačné expozície sa určujú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treťou časťou hlavou II kapitolou 5 článkom 246 CRR.</w:t>
            </w:r>
          </w:p>
        </w:tc>
      </w:tr>
      <w:tr w:rsidR="00C04D6C" w:rsidRPr="00911707" w14:paraId="6C769D68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7ED95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22C5F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Rámec kreditného rizika protistrany (CCR)</w:t>
            </w:r>
          </w:p>
          <w:p w14:paraId="00BCF7AF" w14:textId="396E5E89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Expozície zohľadnené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II kapitole 6 CRR.</w:t>
            </w:r>
          </w:p>
        </w:tc>
      </w:tr>
      <w:tr w:rsidR="00C04D6C" w:rsidRPr="00911707" w14:paraId="43A437A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19EC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B46726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Rámec trhového rizika</w:t>
            </w:r>
          </w:p>
          <w:p w14:paraId="73E5DB24" w14:textId="1DA19567" w:rsidR="00C04D6C" w:rsidRPr="00911707" w:rsidRDefault="00C04D6C" w:rsidP="00D819DE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Expozície voči trhovému riziku zodpovedajúce pozíciám, ktoré podliehajú rámcu trhového rizika uvedenému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hlave IV CRR.</w:t>
            </w:r>
          </w:p>
          <w:p w14:paraId="5414F913" w14:textId="2C4E05A2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 súvislosti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týmto stĺpcom sa zverejňujú len riadky 1 až 3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riadok 12 tohto vzoru.</w:t>
            </w:r>
          </w:p>
        </w:tc>
      </w:tr>
      <w:tr w:rsidR="00C04D6C" w:rsidRPr="00911707" w14:paraId="4C3ADD4C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6DA48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všetky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B7E0" w14:textId="18820309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sa na jednu položku vzťahujú kapitálové požiadavky podľa viac než jedného rámca rizika, zverejňuje sa vo všetkých príslušných stĺpcoch zodpovedajúcich kapitálovým požiadavkám.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dôsledku toho môže byť súčet súm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b) až e) tohto vzoru väčší než suma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stĺpci a) tohto vzoru. Inštitúcie poskytujú kvalitatívne vysvetlenie aktív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 xml:space="preserve">záväzkov, ktoré </w:t>
            </w:r>
            <w:r w:rsidRPr="00911707">
              <w:rPr>
                <w:rFonts w:ascii="Times New Roman" w:hAnsi="Times New Roman"/>
                <w:sz w:val="24"/>
              </w:rPr>
              <w:lastRenderedPageBreak/>
              <w:t>podliehajú kapitálovým požiadavkám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prípade viac než jedného rámca rizika uvedeného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tretej časti CRR.</w:t>
            </w:r>
          </w:p>
        </w:tc>
      </w:tr>
    </w:tbl>
    <w:p w14:paraId="09488D0C" w14:textId="77777777" w:rsidR="00C04D6C" w:rsidRPr="00911707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3F57B012" w14:textId="10C38342" w:rsidR="00C04D6C" w:rsidRPr="00911707" w:rsidRDefault="00C04D6C" w:rsidP="00C04D6C">
      <w:pPr>
        <w:jc w:val="both"/>
        <w:rPr>
          <w:rFonts w:ascii="Times New Roman" w:hAnsi="Times New Roman" w:cs="Times New Roman"/>
          <w:b/>
          <w:sz w:val="24"/>
        </w:rPr>
      </w:pPr>
      <w:r w:rsidRPr="00911707">
        <w:rPr>
          <w:rFonts w:ascii="Times New Roman" w:hAnsi="Times New Roman"/>
          <w:b/>
          <w:sz w:val="24"/>
        </w:rPr>
        <w:t>Vzor EU LI3 – Prehľad rozdielov</w:t>
      </w:r>
      <w:r w:rsidR="00911707">
        <w:rPr>
          <w:rFonts w:ascii="Times New Roman" w:hAnsi="Times New Roman"/>
          <w:b/>
          <w:sz w:val="24"/>
        </w:rPr>
        <w:t xml:space="preserve"> v </w:t>
      </w:r>
      <w:r w:rsidRPr="00911707">
        <w:rPr>
          <w:rFonts w:ascii="Times New Roman" w:hAnsi="Times New Roman"/>
          <w:b/>
          <w:sz w:val="24"/>
        </w:rPr>
        <w:t>rozsahoch konsolidácie (podľa jednotlivých subjektov)</w:t>
      </w:r>
    </w:p>
    <w:p w14:paraId="220A6A8C" w14:textId="2B8EA87C" w:rsidR="00C04D6C" w:rsidRPr="00911707" w:rsidRDefault="00C04D6C" w:rsidP="00C04D6C">
      <w:pPr>
        <w:pStyle w:val="ListParagraph"/>
        <w:numPr>
          <w:ilvl w:val="0"/>
          <w:numId w:val="1"/>
        </w:numPr>
        <w:spacing w:before="120" w:after="120"/>
        <w:ind w:left="432"/>
        <w:jc w:val="both"/>
        <w:rPr>
          <w:rFonts w:ascii="Times New Roman" w:hAnsi="Times New Roman"/>
          <w:color w:val="000000" w:themeColor="text1"/>
          <w:sz w:val="24"/>
        </w:rPr>
      </w:pPr>
      <w:r w:rsidRPr="00911707">
        <w:rPr>
          <w:rFonts w:ascii="Times New Roman" w:hAnsi="Times New Roman"/>
          <w:color w:val="000000" w:themeColor="text1"/>
          <w:sz w:val="24"/>
        </w:rPr>
        <w:t>Inštitúcie</w:t>
      </w:r>
      <w:r w:rsidRPr="00911707">
        <w:rPr>
          <w:rFonts w:ascii="Times New Roman" w:hAnsi="Times New Roman"/>
          <w:sz w:val="24"/>
        </w:rPr>
        <w:t xml:space="preserve"> zverejňujú informácie uvedené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color w:val="000000" w:themeColor="text1"/>
          <w:sz w:val="24"/>
        </w:rPr>
        <w:t>článku 436 písm. b) CRR</w:t>
      </w:r>
      <w:r w:rsidRPr="00911707">
        <w:rPr>
          <w:rFonts w:ascii="Times New Roman" w:hAnsi="Times New Roman"/>
          <w:sz w:val="24"/>
        </w:rPr>
        <w:t xml:space="preserve"> podľa pokynov uvedených nižšie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vzor EU LI3, ktorý je uvedený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k </w:t>
      </w:r>
      <w:r w:rsidRPr="00911707">
        <w:rPr>
          <w:rFonts w:ascii="Times New Roman" w:hAnsi="Times New Roman"/>
          <w:sz w:val="24"/>
        </w:rPr>
        <w:t>tomuto vykonávaciemu nariadeniu</w:t>
      </w:r>
      <w:r w:rsidRPr="00911707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79CC600E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645B2" w14:textId="7E81EF18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7049E2D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8DE13D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06A738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1334C028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8F2CBD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58B42D25" w14:textId="0674CDB4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Riadky sú flexibilné. Zverejňované informácie sa poskytnú pre subjekty zahrnuté do účtovného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regulačného rozsahu konsolidácie, ako je vymedzené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uplatniteľným účtovným rámcom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prvou časťou hlavou II oddielmi 2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3 CRR, pre ktoré je metóda účtovnej konsolidácie odlišná od metódy regulačnej konsolidácie. Jeden riadok na subjekt.</w:t>
            </w:r>
          </w:p>
        </w:tc>
      </w:tr>
    </w:tbl>
    <w:p w14:paraId="69BC7E98" w14:textId="77777777" w:rsidR="00C04D6C" w:rsidRPr="00911707" w:rsidRDefault="00C04D6C" w:rsidP="00C04D6C">
      <w:pPr>
        <w:rPr>
          <w:rFonts w:ascii="Times New Roman" w:hAnsi="Times New Roman" w:cs="Times New Roman"/>
          <w:sz w:val="24"/>
        </w:rPr>
      </w:pPr>
    </w:p>
    <w:p w14:paraId="7F5172AB" w14:textId="77777777" w:rsidR="00C04D6C" w:rsidRPr="00911707" w:rsidRDefault="00C04D6C" w:rsidP="00C04D6C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59A7A7C7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90813" w14:textId="19E04D55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26169E7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FDC6645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4C2AE7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3A2CC9C4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CCAC839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14:paraId="1A700FFF" w14:textId="77777777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Názov subjektu</w:t>
            </w:r>
          </w:p>
          <w:p w14:paraId="58226295" w14:textId="180A2CEE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Obchodný názov akéhokoľvek subjektu, ktorý je zahrnutý do regulačného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účtovného rozsahu konsolidácie inštitúcie alebo ktorý je od neho odpočítaný.</w:t>
            </w:r>
          </w:p>
        </w:tc>
      </w:tr>
      <w:tr w:rsidR="00C04D6C" w:rsidRPr="00911707" w14:paraId="7D6C8905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634543A9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shd w:val="clear" w:color="auto" w:fill="auto"/>
          </w:tcPr>
          <w:p w14:paraId="734193F7" w14:textId="77777777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Metóda účtovnej konsolidácie</w:t>
            </w:r>
          </w:p>
          <w:p w14:paraId="35D66850" w14:textId="3E0C0AD6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Metóda konsolidácie použitá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uplatniteľným účtovným rámcom.</w:t>
            </w:r>
          </w:p>
        </w:tc>
      </w:tr>
      <w:tr w:rsidR="00C04D6C" w:rsidRPr="00911707" w14:paraId="7823BE70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7D17B5A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c až g</w:t>
            </w:r>
          </w:p>
        </w:tc>
        <w:tc>
          <w:tcPr>
            <w:tcW w:w="7655" w:type="dxa"/>
            <w:shd w:val="clear" w:color="auto" w:fill="auto"/>
          </w:tcPr>
          <w:p w14:paraId="4A761352" w14:textId="77777777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Metóda regulačnej konsolidácie</w:t>
            </w:r>
          </w:p>
          <w:p w14:paraId="2ED012A6" w14:textId="77777777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Metóda konsolidácie použitá na účely prvej časti hlavy II kapitoly 2 CRR.</w:t>
            </w:r>
          </w:p>
          <w:p w14:paraId="7F682652" w14:textId="37C1AC91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Minimálne sa zverejňujú metódy uvedené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článku 436 písm. b) CRR.</w:t>
            </w:r>
          </w:p>
          <w:p w14:paraId="59930495" w14:textId="614931FD" w:rsidR="00C04D6C" w:rsidRPr="00911707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označia príslušné stĺpce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cieľom identifikovať metódu konsolidácie každého subjektu podľa účtovného rámca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to, či je podľa prudenciálneho rozsahu konsolidácie každý subjekt i) plne konsolidovaný; ii) proporcionálne konsolidovaný; iii) vykázaný podľa metódy vlastného imania; iv) nekonsolidovaný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zároveň neodpočítaný; alebo v) odpočítaný.</w:t>
            </w:r>
          </w:p>
        </w:tc>
      </w:tr>
      <w:tr w:rsidR="00C04D6C" w:rsidRPr="00911707" w14:paraId="39E2D62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0E4DC7A0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h</w:t>
            </w:r>
          </w:p>
        </w:tc>
        <w:tc>
          <w:tcPr>
            <w:tcW w:w="7655" w:type="dxa"/>
            <w:shd w:val="clear" w:color="auto" w:fill="auto"/>
          </w:tcPr>
          <w:p w14:paraId="58EFFF31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Opis subjektu</w:t>
            </w:r>
          </w:p>
          <w:p w14:paraId="0A1DF23D" w14:textId="77777777" w:rsidR="00C04D6C" w:rsidRPr="00911707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Stručný opis subjektu so zverejnením (minimálne) jeho odvetvia činnosti.</w:t>
            </w:r>
          </w:p>
        </w:tc>
      </w:tr>
    </w:tbl>
    <w:p w14:paraId="4E3EF873" w14:textId="77777777" w:rsidR="00C04D6C" w:rsidRPr="00911707" w:rsidRDefault="00C04D6C" w:rsidP="00C04D6C">
      <w:pPr>
        <w:rPr>
          <w:rFonts w:ascii="Times New Roman" w:hAnsi="Times New Roman" w:cs="Times New Roman"/>
          <w:sz w:val="24"/>
        </w:rPr>
      </w:pPr>
    </w:p>
    <w:p w14:paraId="60CE42E5" w14:textId="004AC643" w:rsidR="00C04D6C" w:rsidRPr="00911707" w:rsidRDefault="00C04D6C" w:rsidP="00C04D6C">
      <w:pPr>
        <w:jc w:val="both"/>
        <w:rPr>
          <w:rFonts w:ascii="Times New Roman" w:hAnsi="Times New Roman" w:cs="Times New Roman"/>
          <w:sz w:val="24"/>
        </w:rPr>
      </w:pPr>
      <w:r w:rsidRPr="00911707">
        <w:rPr>
          <w:rFonts w:ascii="Times New Roman" w:hAnsi="Times New Roman"/>
          <w:b/>
          <w:sz w:val="24"/>
        </w:rPr>
        <w:t>Tabuľka EU LIA – Vysvetlenie rozdielov medzi účtovnými</w:t>
      </w:r>
      <w:r w:rsidR="00911707">
        <w:rPr>
          <w:rFonts w:ascii="Times New Roman" w:hAnsi="Times New Roman"/>
          <w:b/>
          <w:sz w:val="24"/>
        </w:rPr>
        <w:t xml:space="preserve"> a </w:t>
      </w:r>
      <w:r w:rsidRPr="00911707">
        <w:rPr>
          <w:rFonts w:ascii="Times New Roman" w:hAnsi="Times New Roman"/>
          <w:b/>
          <w:sz w:val="24"/>
        </w:rPr>
        <w:t xml:space="preserve">regulačnými hodnotami expozícií. </w:t>
      </w:r>
      <w:r w:rsidRPr="00911707">
        <w:rPr>
          <w:rFonts w:ascii="Times New Roman" w:hAnsi="Times New Roman"/>
          <w:sz w:val="24"/>
        </w:rPr>
        <w:t>Textové polia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ľubovoľným formátom na zverejňovanie kvalitatívnych informácií.</w:t>
      </w:r>
    </w:p>
    <w:p w14:paraId="63E93357" w14:textId="77777777" w:rsidR="00C04D6C" w:rsidRPr="00911707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04637CE1" w14:textId="7B7FE12C" w:rsidR="00C04D6C" w:rsidRPr="00911707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 w:rsidRPr="00911707">
        <w:rPr>
          <w:rFonts w:ascii="Times New Roman" w:hAnsi="Times New Roman"/>
          <w:sz w:val="24"/>
        </w:rPr>
        <w:lastRenderedPageBreak/>
        <w:t xml:space="preserve">Inštitúcie </w:t>
      </w:r>
      <w:r w:rsidRPr="00911707">
        <w:rPr>
          <w:rFonts w:ascii="Times New Roman" w:hAnsi="Times New Roman"/>
          <w:color w:val="000000" w:themeColor="text1"/>
          <w:sz w:val="24"/>
        </w:rPr>
        <w:t>zverejňujú</w:t>
      </w:r>
      <w:r w:rsidRPr="00911707">
        <w:rPr>
          <w:rFonts w:ascii="Times New Roman" w:hAnsi="Times New Roman"/>
          <w:sz w:val="24"/>
        </w:rPr>
        <w:t xml:space="preserve"> informácie uvedené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color w:val="000000" w:themeColor="text1"/>
          <w:sz w:val="24"/>
        </w:rPr>
        <w:t>článku 436 písm. b)</w:t>
      </w:r>
      <w:r w:rsidR="00911707">
        <w:rPr>
          <w:rFonts w:ascii="Times New Roman" w:hAnsi="Times New Roman"/>
          <w:color w:val="000000" w:themeColor="text1"/>
          <w:sz w:val="24"/>
        </w:rPr>
        <w:t xml:space="preserve"> a </w:t>
      </w:r>
      <w:r w:rsidRPr="00911707">
        <w:rPr>
          <w:rFonts w:ascii="Times New Roman" w:hAnsi="Times New Roman"/>
          <w:color w:val="000000" w:themeColor="text1"/>
          <w:sz w:val="24"/>
        </w:rPr>
        <w:t>d) CRR</w:t>
      </w:r>
      <w:r w:rsidRPr="00911707">
        <w:rPr>
          <w:rFonts w:ascii="Times New Roman" w:hAnsi="Times New Roman"/>
          <w:sz w:val="24"/>
        </w:rPr>
        <w:t xml:space="preserve"> podľa pokynov uvedených nižšie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tabuľku EU LIA, ktorá je uvedená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k </w:t>
      </w:r>
      <w:r w:rsidRPr="00911707">
        <w:rPr>
          <w:rFonts w:ascii="Times New Roman" w:hAnsi="Times New Roman"/>
          <w:sz w:val="24"/>
        </w:rPr>
        <w:t>tomuto vykonávaciemu nariadeniu</w:t>
      </w:r>
      <w:r w:rsidRPr="00911707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4A310B7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A8945" w14:textId="1A523816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3B97ED6B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9271C8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23E869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13ADFB4C" w14:textId="77777777" w:rsidTr="00D819DE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7C0394" w14:textId="77777777" w:rsidR="00C04D6C" w:rsidRPr="00911707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21937" w14:textId="2C2578FE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vysvetlia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kvantifikujú pôvod akýchkoľvek významných rozdielov medzi sumami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a)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b) vo vzore EU LI1 bez ohľadu na to, či tieto rozdiely vyplývajú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rôznych pravidiel konsolidácie alebo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použitia rôznych účtovných štandardov medzi účtovnou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regulačnou konsolidáciou.</w:t>
            </w:r>
          </w:p>
        </w:tc>
      </w:tr>
      <w:tr w:rsidR="00C04D6C" w:rsidRPr="00911707" w14:paraId="10A315AD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E3B73" w14:textId="77777777" w:rsidR="00C04D6C" w:rsidRPr="00911707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8B5E08" w14:textId="61AC399E" w:rsidR="00C04D6C" w:rsidRPr="00911707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vysvetlia pôvod rozdielov medzi účtovnými hodnotami podľa prudenciálneho rozsahu konsolidácie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hodnotami zvažovanými na regulačné účely uvedenými vo vzore EU LI2.</w:t>
            </w:r>
          </w:p>
        </w:tc>
      </w:tr>
    </w:tbl>
    <w:p w14:paraId="4707E913" w14:textId="77777777" w:rsidR="00911707" w:rsidRDefault="00911707" w:rsidP="00C04D6C">
      <w:pPr>
        <w:ind w:left="360"/>
        <w:jc w:val="both"/>
        <w:rPr>
          <w:rFonts w:ascii="Times New Roman" w:hAnsi="Times New Roman"/>
          <w:sz w:val="24"/>
        </w:rPr>
      </w:pPr>
    </w:p>
    <w:p w14:paraId="5736EA43" w14:textId="0A137DDE" w:rsidR="00C04D6C" w:rsidRPr="00911707" w:rsidRDefault="00C04D6C" w:rsidP="00C04D6C">
      <w:pPr>
        <w:spacing w:after="120"/>
        <w:rPr>
          <w:rFonts w:ascii="Times New Roman" w:hAnsi="Times New Roman" w:cs="Times New Roman"/>
          <w:sz w:val="24"/>
        </w:rPr>
      </w:pPr>
      <w:r w:rsidRPr="00911707">
        <w:rPr>
          <w:rFonts w:ascii="Times New Roman" w:hAnsi="Times New Roman"/>
          <w:b/>
          <w:sz w:val="24"/>
        </w:rPr>
        <w:t>Tabuľka EU LIB – Ďalšie kvalitatívne informácie</w:t>
      </w:r>
      <w:r w:rsidR="00911707">
        <w:rPr>
          <w:rFonts w:ascii="Times New Roman" w:hAnsi="Times New Roman"/>
          <w:b/>
          <w:sz w:val="24"/>
        </w:rPr>
        <w:t xml:space="preserve"> o </w:t>
      </w:r>
      <w:r w:rsidRPr="00911707">
        <w:rPr>
          <w:rFonts w:ascii="Times New Roman" w:hAnsi="Times New Roman"/>
          <w:b/>
          <w:sz w:val="24"/>
        </w:rPr>
        <w:t>rozsahu uplatňovania.</w:t>
      </w:r>
      <w:r w:rsidRPr="00911707">
        <w:rPr>
          <w:rFonts w:ascii="Times New Roman" w:hAnsi="Times New Roman"/>
          <w:sz w:val="24"/>
        </w:rPr>
        <w:t xml:space="preserve"> Textové polia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ľubovoľným formátom na zverejňovanie kvalitatívnych informácií.</w:t>
      </w:r>
    </w:p>
    <w:p w14:paraId="70C5E2A8" w14:textId="42BB0A6D" w:rsidR="00C04D6C" w:rsidRPr="00911707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911707">
        <w:rPr>
          <w:rFonts w:ascii="Times New Roman" w:hAnsi="Times New Roman"/>
          <w:sz w:val="24"/>
        </w:rPr>
        <w:t>Inštitúcie zverejňujú informácie uvedené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článku 436 písm. f), g)</w:t>
      </w:r>
      <w:r w:rsidR="00911707">
        <w:rPr>
          <w:rFonts w:ascii="Times New Roman" w:hAnsi="Times New Roman"/>
          <w:sz w:val="24"/>
        </w:rPr>
        <w:t xml:space="preserve"> a </w:t>
      </w:r>
      <w:r w:rsidRPr="00911707">
        <w:rPr>
          <w:rFonts w:ascii="Times New Roman" w:hAnsi="Times New Roman"/>
          <w:sz w:val="24"/>
        </w:rPr>
        <w:t>h) CRR podľa pokynov uvedených nižšie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tabuľku EU LIB, ktorá je uvedená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k </w:t>
      </w:r>
      <w:r w:rsidRPr="00911707">
        <w:rPr>
          <w:rFonts w:ascii="Times New Roman" w:hAnsi="Times New Roman"/>
          <w:sz w:val="24"/>
        </w:rPr>
        <w:t>tomuto vykonávaciemu nariadeniu.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5F8ACC3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52A75" w14:textId="3850C57E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61AC473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C8D0E9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37BAC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3DBACA53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293582CB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  <w:shd w:val="clear" w:color="auto" w:fill="auto"/>
          </w:tcPr>
          <w:p w14:paraId="04E76FDB" w14:textId="7F62D38A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zverejňujú akékoľvek súčasné alebo očakávané významné vecné alebo právne prekážky, ktoré bránia okamžitému prevodu vlastných zdrojov alebo splateniu záväzkov medzi materskou spoločnosťou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jej dcérskymi spoločnosťami.</w:t>
            </w:r>
          </w:p>
        </w:tc>
      </w:tr>
      <w:tr w:rsidR="00C04D6C" w:rsidRPr="00911707" w14:paraId="237826AC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1F09A9C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  <w:shd w:val="clear" w:color="auto" w:fill="auto"/>
          </w:tcPr>
          <w:p w14:paraId="46681EF3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je to relevantné, inštitúcie zverejňujú názov alebo názvy dcérskych spoločností, ktoré nie sú zahrnuté do konsolidácie.</w:t>
            </w:r>
          </w:p>
        </w:tc>
      </w:tr>
      <w:tr w:rsidR="00C04D6C" w:rsidRPr="00911707" w14:paraId="6F7114D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53705885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5" w:type="dxa"/>
            <w:shd w:val="clear" w:color="auto" w:fill="auto"/>
          </w:tcPr>
          <w:p w14:paraId="1800BD76" w14:textId="45E19B59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je to relevantné, inštitúcie zverejňujú okolnosti, za ktorých sa používa výnimka uvedená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článku 7 CRR alebo metóda individuálnej konsolidácie stanovená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článku 9 CRR.</w:t>
            </w:r>
          </w:p>
        </w:tc>
      </w:tr>
      <w:tr w:rsidR="00C04D6C" w:rsidRPr="00911707" w14:paraId="70A5DD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03A1037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2E8CF528" w14:textId="5DA834A4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Ak je to relevantné, inštitúcie zverejňujú súhrnnú sumu,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>ktorú sú skutočné vlastné zdroje nižšie, než sa požaduje, vo všetkých dcérskych spoločnostiach, ktoré nie sú zahrnuté do konsolidácie,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názov alebo názvy uvedených dcérskych spoločností.</w:t>
            </w:r>
          </w:p>
        </w:tc>
      </w:tr>
    </w:tbl>
    <w:p w14:paraId="26403B4C" w14:textId="77777777" w:rsidR="00C04D6C" w:rsidRPr="00911707" w:rsidRDefault="00C04D6C" w:rsidP="00C04D6C">
      <w:pPr>
        <w:rPr>
          <w:rFonts w:ascii="Times New Roman" w:hAnsi="Times New Roman" w:cs="Times New Roman"/>
          <w:sz w:val="24"/>
        </w:rPr>
      </w:pPr>
    </w:p>
    <w:p w14:paraId="092F96DF" w14:textId="77777777" w:rsidR="00C04D6C" w:rsidRPr="00911707" w:rsidRDefault="00C04D6C" w:rsidP="00C04D6C">
      <w:pPr>
        <w:spacing w:after="120"/>
        <w:jc w:val="both"/>
        <w:rPr>
          <w:rFonts w:ascii="Times New Roman" w:hAnsi="Times New Roman" w:cs="Times New Roman"/>
          <w:sz w:val="24"/>
        </w:rPr>
      </w:pPr>
      <w:r w:rsidRPr="00911707">
        <w:rPr>
          <w:rFonts w:ascii="Times New Roman" w:hAnsi="Times New Roman"/>
          <w:b/>
          <w:sz w:val="24"/>
        </w:rPr>
        <w:t xml:space="preserve">Vzor EU PV1 – Úpravy prudenciálneho oceňovania (PVA): </w:t>
      </w:r>
      <w:r w:rsidRPr="00911707">
        <w:rPr>
          <w:rFonts w:ascii="Times New Roman" w:hAnsi="Times New Roman"/>
          <w:sz w:val="24"/>
        </w:rPr>
        <w:t>Pevný formát</w:t>
      </w:r>
    </w:p>
    <w:p w14:paraId="01BBAEB3" w14:textId="397968CE" w:rsidR="00C04D6C" w:rsidRPr="00911707" w:rsidRDefault="00C04D6C" w:rsidP="00C04D6C">
      <w:pPr>
        <w:pStyle w:val="ListParagraph"/>
        <w:numPr>
          <w:ilvl w:val="0"/>
          <w:numId w:val="1"/>
        </w:numPr>
        <w:spacing w:before="60" w:after="120"/>
        <w:jc w:val="both"/>
        <w:rPr>
          <w:rFonts w:ascii="Times New Roman" w:hAnsi="Times New Roman"/>
          <w:sz w:val="24"/>
        </w:rPr>
      </w:pPr>
      <w:r w:rsidRPr="00911707">
        <w:rPr>
          <w:rFonts w:ascii="Times New Roman" w:hAnsi="Times New Roman"/>
          <w:sz w:val="24"/>
        </w:rPr>
        <w:t>Inštitúcie, ktoré uplatňujú základný postup na určenie dodatočnej úpravy ocenenia pri prudenciálnom oceňovaní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súlade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kapitolou III delegovaného nariadenia Komisie (EÚ) 2016/101</w:t>
      </w:r>
      <w:r w:rsidRPr="00911707">
        <w:rPr>
          <w:rStyle w:val="FootnoteReference"/>
          <w:rFonts w:ascii="Times New Roman" w:hAnsi="Times New Roman"/>
          <w:bCs/>
          <w:sz w:val="24"/>
          <w:szCs w:val="24"/>
        </w:rPr>
        <w:footnoteReference w:id="6"/>
      </w:r>
      <w:r w:rsidRPr="00911707">
        <w:rPr>
          <w:rFonts w:ascii="Times New Roman" w:hAnsi="Times New Roman"/>
          <w:sz w:val="24"/>
        </w:rPr>
        <w:t>, zverejňujú informácie uvedené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 xml:space="preserve">článku 436 písm. e) CRR podľa </w:t>
      </w:r>
      <w:r w:rsidRPr="00911707">
        <w:rPr>
          <w:rFonts w:ascii="Times New Roman" w:hAnsi="Times New Roman"/>
          <w:sz w:val="24"/>
        </w:rPr>
        <w:lastRenderedPageBreak/>
        <w:t>pokynov uvedených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tejto prílohe</w:t>
      </w:r>
      <w:r w:rsidR="00911707">
        <w:rPr>
          <w:rFonts w:ascii="Times New Roman" w:hAnsi="Times New Roman"/>
          <w:sz w:val="24"/>
        </w:rPr>
        <w:t xml:space="preserve"> s </w:t>
      </w:r>
      <w:r w:rsidRPr="00911707">
        <w:rPr>
          <w:rFonts w:ascii="Times New Roman" w:hAnsi="Times New Roman"/>
          <w:sz w:val="24"/>
        </w:rPr>
        <w:t>cieľom vyplniť vzor EU PV1, ktorý je uvedený</w:t>
      </w:r>
      <w:r w:rsidR="00911707">
        <w:rPr>
          <w:rFonts w:ascii="Times New Roman" w:hAnsi="Times New Roman"/>
          <w:sz w:val="24"/>
        </w:rPr>
        <w:t xml:space="preserve"> v </w:t>
      </w:r>
      <w:r w:rsidRPr="00911707">
        <w:rPr>
          <w:rFonts w:ascii="Times New Roman" w:hAnsi="Times New Roman"/>
          <w:sz w:val="24"/>
        </w:rPr>
        <w:t>prílohe</w:t>
      </w:r>
      <w:r w:rsidR="00911707">
        <w:rPr>
          <w:rFonts w:ascii="Times New Roman" w:hAnsi="Times New Roman"/>
          <w:sz w:val="24"/>
        </w:rPr>
        <w:t xml:space="preserve"> V k </w:t>
      </w:r>
      <w:r w:rsidRPr="00911707">
        <w:rPr>
          <w:rFonts w:ascii="Times New Roman" w:hAnsi="Times New Roman"/>
          <w:sz w:val="24"/>
        </w:rPr>
        <w:t>tomuto vykonávaciemu nariadeniu.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911707" w14:paraId="13C4377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9B9A9" w14:textId="0A525C4C" w:rsidR="00C04D6C" w:rsidRPr="00911707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911707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C04D6C" w:rsidRPr="00911707" w14:paraId="50701F6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902A51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B442B6" w14:textId="77777777" w:rsidR="00C04D6C" w:rsidRPr="00911707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036FD0C7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43B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Riadky 1 až 10.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0141" w14:textId="77777777" w:rsidR="00C04D6C" w:rsidRPr="00911707" w:rsidRDefault="00C04D6C" w:rsidP="00D819DE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Dodatočná úprava ocenenia na úrovni kategórie</w:t>
            </w:r>
          </w:p>
          <w:p w14:paraId="4E570456" w14:textId="10C2AC55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Dodatočné úpravy ocenenia na úrovni kategórie zohľadňujúce neistotu trhovej ceny, náklady na zatvorenie pozícií, riziko modelov, koncentrované pozície, budúce administratívne náklady, predčasné ukončenie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operačné riziko sa určujú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článkami 9 až 11, resp.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článkami 14 až 17 delegovaného nariadenia Komisie (EÚ) 2016/101.</w:t>
            </w:r>
          </w:p>
          <w:p w14:paraId="7B4E3C64" w14:textId="52053B6B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 prípade kategórií neistoty trhovej ceny, nákladov na zatvorenie pozícií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rizika modelov, na ktoré sa vzťahuje výhoda diverzifikácie podľa článku 9 ods. 6, článku 10 ods. 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článku 11 ods. 7 delegovaného nariadenia (EÚ) 2016/101, sa dodatočné úpravy ocenenia na úrovni kategórie zverejňujú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až EU-e2 tohto vzoru ako priamy súčet jednotlivých dodatočných úprav ocenenia pred uplatnením výhody diverzifikácie. Výhody diverzifikácie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9 ods. 6, článkom 10 ods. 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článkom 11 ods. 7 delegovaného nariadenia Komisie (EÚ) 2016/101 sa zahŕňajú do stĺpca f) tohto vzoru.</w:t>
            </w:r>
          </w:p>
        </w:tc>
      </w:tr>
      <w:tr w:rsidR="00C04D6C" w:rsidRPr="00911707" w14:paraId="1A1E11FE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0CED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C780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Neistota trhovej ceny</w:t>
            </w:r>
          </w:p>
          <w:p w14:paraId="3D2F4674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59AE9885" w14:textId="1A3E2EFF" w:rsidR="00C04D6C" w:rsidRPr="00911707" w:rsidRDefault="00C04D6C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Dodatočné úpravy ocenenia zohľadňujúce neistotu trhovej ceny sa vypočítavajú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9 delegovaného nariadenia Komisie (EÚ) 2016/101.</w:t>
            </w:r>
          </w:p>
        </w:tc>
      </w:tr>
      <w:tr w:rsidR="00C04D6C" w:rsidRPr="00911707" w14:paraId="5ACD0CA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F16D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A641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Neuplatňuje sa</w:t>
            </w:r>
          </w:p>
        </w:tc>
      </w:tr>
      <w:tr w:rsidR="00C04D6C" w:rsidRPr="00911707" w14:paraId="3750419D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C12E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ADC5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Náklady na zatvorenie pozícií</w:t>
            </w:r>
          </w:p>
          <w:p w14:paraId="7AF430E9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05054C64" w14:textId="634A6538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Dodatočné úpravy ocenenia zohľadňujúce náklady na zatvorenie pozícií sa vypočítavajú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10 delegovaného nariadenia Komisie (EÚ) 2016/101.</w:t>
            </w:r>
          </w:p>
        </w:tc>
      </w:tr>
      <w:tr w:rsidR="00C04D6C" w:rsidRPr="00911707" w14:paraId="680DDF7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0119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E67D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Koncentrované pozície</w:t>
            </w:r>
          </w:p>
          <w:p w14:paraId="08370B0D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11 CRR.</w:t>
            </w:r>
          </w:p>
          <w:p w14:paraId="42AFA9B2" w14:textId="57809E28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</w:rPr>
              <w:t>Dodatočné úpravy ocenenia zohľadňujúce koncentrované pozície sa vypočítavajú</w:t>
            </w:r>
            <w:r w:rsidR="00911707">
              <w:rPr>
                <w:rFonts w:ascii="Times New Roman" w:hAnsi="Times New Roman"/>
              </w:rPr>
              <w:t xml:space="preserve"> v </w:t>
            </w:r>
            <w:r w:rsidRPr="00911707">
              <w:rPr>
                <w:rFonts w:ascii="Times New Roman" w:hAnsi="Times New Roman"/>
              </w:rPr>
              <w:t>súlade</w:t>
            </w:r>
            <w:r w:rsidR="00911707">
              <w:rPr>
                <w:rFonts w:ascii="Times New Roman" w:hAnsi="Times New Roman"/>
              </w:rPr>
              <w:t xml:space="preserve"> s </w:t>
            </w:r>
            <w:r w:rsidRPr="00911707">
              <w:rPr>
                <w:rFonts w:ascii="Times New Roman" w:hAnsi="Times New Roman"/>
              </w:rPr>
              <w:t>článkom 14 delegovaného nariadenia Komisie (EÚ) 2016/101.</w:t>
            </w:r>
          </w:p>
        </w:tc>
      </w:tr>
      <w:tr w:rsidR="00C04D6C" w:rsidRPr="00911707" w14:paraId="358FA37F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BA5B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19C3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Predčasné ukončenie</w:t>
            </w:r>
          </w:p>
          <w:p w14:paraId="52C42C79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4AEB079B" w14:textId="49D33B18" w:rsidR="00C04D6C" w:rsidRPr="00911707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</w:rPr>
              <w:lastRenderedPageBreak/>
              <w:t>Dodatočné úpravy ocenenia zohľadňujúce predčasné ukončenie sa vypočítavajú</w:t>
            </w:r>
            <w:r w:rsidR="00911707">
              <w:rPr>
                <w:rFonts w:ascii="Times New Roman" w:hAnsi="Times New Roman"/>
              </w:rPr>
              <w:t xml:space="preserve"> v </w:t>
            </w:r>
            <w:r w:rsidRPr="00911707">
              <w:rPr>
                <w:rFonts w:ascii="Times New Roman" w:hAnsi="Times New Roman"/>
              </w:rPr>
              <w:t>súlade</w:t>
            </w:r>
            <w:r w:rsidR="00911707">
              <w:rPr>
                <w:rFonts w:ascii="Times New Roman" w:hAnsi="Times New Roman"/>
              </w:rPr>
              <w:t xml:space="preserve"> s </w:t>
            </w:r>
            <w:r w:rsidRPr="00911707">
              <w:rPr>
                <w:rFonts w:ascii="Times New Roman" w:hAnsi="Times New Roman"/>
              </w:rPr>
              <w:t>článkom 16 delegovaného nariadenia Komisie (EÚ) 2016/101.</w:t>
            </w:r>
          </w:p>
        </w:tc>
      </w:tr>
      <w:tr w:rsidR="00C04D6C" w:rsidRPr="00911707" w14:paraId="25315BC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FEF9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8D5E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Riziko modelov</w:t>
            </w:r>
          </w:p>
          <w:p w14:paraId="49ED331A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2BCE5220" w14:textId="504A72CB" w:rsidR="00C04D6C" w:rsidRPr="00911707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</w:rPr>
              <w:t>Dodatočné úpravy ocenenia zohľadňujúce riziko modelov sa vypočítavajú</w:t>
            </w:r>
            <w:r w:rsidR="00911707">
              <w:rPr>
                <w:rFonts w:ascii="Times New Roman" w:hAnsi="Times New Roman"/>
              </w:rPr>
              <w:t xml:space="preserve"> v </w:t>
            </w:r>
            <w:r w:rsidRPr="00911707">
              <w:rPr>
                <w:rFonts w:ascii="Times New Roman" w:hAnsi="Times New Roman"/>
              </w:rPr>
              <w:t>súlade</w:t>
            </w:r>
            <w:r w:rsidR="00911707">
              <w:rPr>
                <w:rFonts w:ascii="Times New Roman" w:hAnsi="Times New Roman"/>
              </w:rPr>
              <w:t xml:space="preserve"> s </w:t>
            </w:r>
            <w:r w:rsidRPr="00911707">
              <w:rPr>
                <w:rFonts w:ascii="Times New Roman" w:hAnsi="Times New Roman"/>
              </w:rPr>
              <w:t xml:space="preserve">článkom 11 delegovaného nariadenia Komisie (EÚ) 2016/101. </w:t>
            </w:r>
          </w:p>
        </w:tc>
      </w:tr>
      <w:tr w:rsidR="00C04D6C" w:rsidRPr="00911707" w14:paraId="0F5BA19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FBEA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2310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Operačné riziko</w:t>
            </w:r>
          </w:p>
          <w:p w14:paraId="3EE7FBBF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64B1AD8B" w14:textId="73B42ACD" w:rsidR="00C04D6C" w:rsidRPr="00911707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i/>
              </w:rPr>
            </w:pPr>
            <w:r w:rsidRPr="00911707">
              <w:rPr>
                <w:rFonts w:ascii="Times New Roman" w:hAnsi="Times New Roman"/>
              </w:rPr>
              <w:t>Dodatočné úpravy ocenenia zohľadňujúce operačné riziko sa vypočítavajú</w:t>
            </w:r>
            <w:r w:rsidR="00911707">
              <w:rPr>
                <w:rFonts w:ascii="Times New Roman" w:hAnsi="Times New Roman"/>
              </w:rPr>
              <w:t xml:space="preserve"> v </w:t>
            </w:r>
            <w:r w:rsidRPr="00911707">
              <w:rPr>
                <w:rFonts w:ascii="Times New Roman" w:hAnsi="Times New Roman"/>
              </w:rPr>
              <w:t>súlade</w:t>
            </w:r>
            <w:r w:rsidR="00911707">
              <w:rPr>
                <w:rFonts w:ascii="Times New Roman" w:hAnsi="Times New Roman"/>
              </w:rPr>
              <w:t xml:space="preserve"> s </w:t>
            </w:r>
            <w:r w:rsidRPr="00911707">
              <w:rPr>
                <w:rFonts w:ascii="Times New Roman" w:hAnsi="Times New Roman"/>
              </w:rPr>
              <w:t>článkom 17 delegovaného nariadenia Komisie (EÚ) 2016/101.</w:t>
            </w:r>
          </w:p>
        </w:tc>
      </w:tr>
      <w:tr w:rsidR="00C04D6C" w:rsidRPr="00911707" w14:paraId="3AE9B7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A6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1321" w14:textId="77777777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Style w:val="InstructionsTabelleberschrift"/>
                <w:rFonts w:ascii="Times New Roman" w:hAnsi="Times New Roman"/>
              </w:rPr>
              <w:t>Neuplatňuje sa</w:t>
            </w:r>
          </w:p>
        </w:tc>
      </w:tr>
      <w:tr w:rsidR="00C04D6C" w:rsidRPr="00911707" w14:paraId="27C5D5B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D90F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0E1" w14:textId="77777777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Style w:val="InstructionsTabelleberschrift"/>
                <w:rFonts w:ascii="Times New Roman" w:hAnsi="Times New Roman"/>
              </w:rPr>
              <w:t>Neuplatňuje sa</w:t>
            </w:r>
          </w:p>
        </w:tc>
      </w:tr>
      <w:tr w:rsidR="00C04D6C" w:rsidRPr="00911707" w14:paraId="0D4A7BB8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3C8B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EC1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Budúce administratívne náklady</w:t>
            </w:r>
          </w:p>
          <w:p w14:paraId="03DE0824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 105 ods. 10 CRR.</w:t>
            </w:r>
          </w:p>
          <w:p w14:paraId="77EAFF21" w14:textId="26D5A75C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</w:rPr>
              <w:t>Dodatočné úpravy ocenenia zohľadňujúce budúce administratívne náklady sa vypočítavajú</w:t>
            </w:r>
            <w:r w:rsidR="00911707">
              <w:rPr>
                <w:rFonts w:ascii="Times New Roman" w:hAnsi="Times New Roman"/>
              </w:rPr>
              <w:t xml:space="preserve"> v </w:t>
            </w:r>
            <w:r w:rsidRPr="00911707">
              <w:rPr>
                <w:rFonts w:ascii="Times New Roman" w:hAnsi="Times New Roman"/>
              </w:rPr>
              <w:t>súlade</w:t>
            </w:r>
            <w:r w:rsidR="00911707">
              <w:rPr>
                <w:rFonts w:ascii="Times New Roman" w:hAnsi="Times New Roman"/>
              </w:rPr>
              <w:t xml:space="preserve"> s </w:t>
            </w:r>
            <w:r w:rsidRPr="00911707">
              <w:rPr>
                <w:rFonts w:ascii="Times New Roman" w:hAnsi="Times New Roman"/>
              </w:rPr>
              <w:t>článkom 15 delegovaného nariadenia Komisie (EÚ) 2016/101.</w:t>
            </w:r>
          </w:p>
        </w:tc>
      </w:tr>
      <w:tr w:rsidR="00C04D6C" w:rsidRPr="00911707" w14:paraId="2D7F52A9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F684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A65" w14:textId="77777777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</w:rPr>
              <w:t>Neuplatňuje sa</w:t>
            </w:r>
          </w:p>
        </w:tc>
      </w:tr>
      <w:tr w:rsidR="00C04D6C" w:rsidRPr="00911707" w14:paraId="1996F9F1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931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DE55" w14:textId="77777777" w:rsidR="00C04D6C" w:rsidRPr="00911707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11707">
              <w:rPr>
                <w:rStyle w:val="InstructionsTabelleberschrift"/>
                <w:rFonts w:ascii="Times New Roman" w:hAnsi="Times New Roman"/>
                <w:sz w:val="24"/>
              </w:rPr>
              <w:t>Celkové dodatočné úpravy ocenenia</w:t>
            </w:r>
          </w:p>
          <w:p w14:paraId="779AF5E7" w14:textId="05BA0658" w:rsid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/>
                <w:color w:val="auto"/>
              </w:rPr>
            </w:pPr>
            <w:r w:rsidRPr="00911707">
              <w:rPr>
                <w:rFonts w:ascii="Times New Roman" w:hAnsi="Times New Roman"/>
                <w:color w:val="auto"/>
              </w:rPr>
              <w:t>Celková dodatočná úprava ocenenia, ktorá sa má odpočítať od vlastných zdrojov podľa článkov 34</w:t>
            </w:r>
            <w:r w:rsidR="00911707">
              <w:rPr>
                <w:rFonts w:ascii="Times New Roman" w:hAnsi="Times New Roman"/>
                <w:color w:val="auto"/>
              </w:rPr>
              <w:t xml:space="preserve"> a </w:t>
            </w:r>
            <w:r w:rsidRPr="00911707">
              <w:rPr>
                <w:rFonts w:ascii="Times New Roman" w:hAnsi="Times New Roman"/>
                <w:color w:val="auto"/>
              </w:rPr>
              <w:t>105 CRR, sa zverejňuje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riadku 12 stĺpci f)</w:t>
            </w:r>
            <w:r w:rsidRPr="00911707">
              <w:rPr>
                <w:rFonts w:ascii="Times New Roman" w:hAnsi="Times New Roman"/>
              </w:rPr>
              <w:t xml:space="preserve"> tohto vzoru</w:t>
            </w:r>
            <w:r w:rsidRPr="00911707">
              <w:rPr>
                <w:rFonts w:ascii="Times New Roman" w:hAnsi="Times New Roman"/>
                <w:color w:val="auto"/>
              </w:rPr>
              <w:t>. Táto hodnota musí byť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súlade so sumou uvedenou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riadku 7 vzoru EU CC1, ako aj so sumou uvedenou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riadku 5 stĺpci a) vzoru EU LI2</w:t>
            </w:r>
            <w:r w:rsidR="00911707">
              <w:rPr>
                <w:rFonts w:ascii="Times New Roman" w:hAnsi="Times New Roman"/>
                <w:color w:val="auto"/>
              </w:rPr>
              <w:t>.</w:t>
            </w:r>
          </w:p>
          <w:p w14:paraId="2699C2CE" w14:textId="1C4C41B9" w:rsid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/>
                <w:color w:val="auto"/>
              </w:rPr>
            </w:pPr>
            <w:r w:rsidRPr="00911707">
              <w:rPr>
                <w:rFonts w:ascii="Times New Roman" w:hAnsi="Times New Roman"/>
                <w:color w:val="auto"/>
              </w:rPr>
              <w:t>V prípade portfólií, na ktoré sa vzťahuje základný postup stanovený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kapitole III delegovaného nariadenia (EÚ) 2016/101</w:t>
            </w:r>
            <w:r w:rsidR="00911707">
              <w:rPr>
                <w:rFonts w:ascii="Times New Roman" w:hAnsi="Times New Roman"/>
                <w:color w:val="auto"/>
              </w:rPr>
              <w:t xml:space="preserve"> o </w:t>
            </w:r>
            <w:r w:rsidRPr="00911707">
              <w:rPr>
                <w:rFonts w:ascii="Times New Roman" w:hAnsi="Times New Roman"/>
                <w:color w:val="auto"/>
              </w:rPr>
              <w:t>obozretnom oceňovaní, celková dodatočná úprava ocenenia predstavuje súčet hodnôt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riadkoch 1 až 10 tohto vzoru</w:t>
            </w:r>
            <w:r w:rsidR="00911707">
              <w:rPr>
                <w:rFonts w:ascii="Times New Roman" w:hAnsi="Times New Roman"/>
                <w:color w:val="auto"/>
              </w:rPr>
              <w:t xml:space="preserve"> a </w:t>
            </w:r>
            <w:r w:rsidRPr="00911707">
              <w:rPr>
                <w:rFonts w:ascii="Times New Roman" w:hAnsi="Times New Roman"/>
                <w:color w:val="auto"/>
              </w:rPr>
              <w:t>súm vypočítaných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súlade</w:t>
            </w:r>
            <w:r w:rsidR="00911707">
              <w:rPr>
                <w:rFonts w:ascii="Times New Roman" w:hAnsi="Times New Roman"/>
                <w:color w:val="auto"/>
              </w:rPr>
              <w:t xml:space="preserve"> s </w:t>
            </w:r>
            <w:r w:rsidRPr="00911707">
              <w:rPr>
                <w:rFonts w:ascii="Times New Roman" w:hAnsi="Times New Roman"/>
                <w:color w:val="auto"/>
              </w:rPr>
              <w:t>článkom 7 ods. 2 písm. b) bodmi i) až iii) delegovaného nariadenia (EÚ) 2016/101 pre portfóliá, na ktoré sa vzťahuje rezervný prístup, ak nejaké existujú</w:t>
            </w:r>
            <w:r w:rsidR="00911707">
              <w:rPr>
                <w:rFonts w:ascii="Times New Roman" w:hAnsi="Times New Roman"/>
                <w:color w:val="auto"/>
              </w:rPr>
              <w:t>.</w:t>
            </w:r>
          </w:p>
          <w:p w14:paraId="0557EFCB" w14:textId="6AE42791" w:rsidR="00C04D6C" w:rsidRPr="00911707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/>
                <w:color w:val="auto"/>
              </w:rPr>
              <w:t>V prípade portfólií, na ktoré sa vzťahuje zjednodušený prístup stanovený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kapitole II delegovaného nariadenia (EÚ) 2016/101</w:t>
            </w:r>
            <w:r w:rsidR="00911707">
              <w:rPr>
                <w:rFonts w:ascii="Times New Roman" w:hAnsi="Times New Roman"/>
                <w:color w:val="auto"/>
              </w:rPr>
              <w:t xml:space="preserve"> o </w:t>
            </w:r>
            <w:r w:rsidRPr="00911707">
              <w:rPr>
                <w:rFonts w:ascii="Times New Roman" w:hAnsi="Times New Roman"/>
                <w:color w:val="auto"/>
              </w:rPr>
              <w:t>obozretnom oceňovaní, celková dodatočná úprava ocenenia zahrnutá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stĺpci f) tohto vzoru predstavuje sumu vypočítanú</w:t>
            </w:r>
            <w:r w:rsidR="00911707">
              <w:rPr>
                <w:rFonts w:ascii="Times New Roman" w:hAnsi="Times New Roman"/>
                <w:color w:val="auto"/>
              </w:rPr>
              <w:t xml:space="preserve"> v </w:t>
            </w:r>
            <w:r w:rsidRPr="00911707">
              <w:rPr>
                <w:rFonts w:ascii="Times New Roman" w:hAnsi="Times New Roman"/>
                <w:color w:val="auto"/>
              </w:rPr>
              <w:t>súlade</w:t>
            </w:r>
            <w:r w:rsidR="00911707">
              <w:rPr>
                <w:rFonts w:ascii="Times New Roman" w:hAnsi="Times New Roman"/>
                <w:color w:val="auto"/>
              </w:rPr>
              <w:t xml:space="preserve"> s </w:t>
            </w:r>
            <w:r w:rsidRPr="00911707">
              <w:rPr>
                <w:rFonts w:ascii="Times New Roman" w:hAnsi="Times New Roman"/>
                <w:color w:val="auto"/>
              </w:rPr>
              <w:t>článkom 5 tejto kapitoly.</w:t>
            </w:r>
          </w:p>
        </w:tc>
      </w:tr>
      <w:tr w:rsidR="00C04D6C" w:rsidRPr="00911707" w14:paraId="680BC399" w14:textId="77777777" w:rsidTr="00D819DE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F590F" w14:textId="77777777" w:rsidR="00C04D6C" w:rsidRPr="00911707" w:rsidRDefault="00C04D6C" w:rsidP="00D819DE">
            <w:pPr>
              <w:pStyle w:val="Applicationdirecte"/>
              <w:spacing w:before="0"/>
              <w:rPr>
                <w:b/>
              </w:rPr>
            </w:pPr>
            <w:r w:rsidRPr="00911707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86B5F" w14:textId="77777777" w:rsidR="00C04D6C" w:rsidRPr="00911707" w:rsidRDefault="00C04D6C" w:rsidP="00D819DE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1707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C04D6C" w:rsidRPr="00911707" w14:paraId="4C8AA77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53E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a – 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B24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Rozčlenenie podľa KATEGÓRIÍ RIZIKA</w:t>
            </w:r>
          </w:p>
          <w:p w14:paraId="0546AB50" w14:textId="7B9AF054" w:rsid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Inštitúcie priraďujú svoje reálnou hodnotou ocenené aktíva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záväzky zahrnuté do výpočtu prahovej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 xml:space="preserve">článkom 4 ods. 1 delegovaného </w:t>
            </w:r>
            <w:r w:rsidRPr="00911707">
              <w:rPr>
                <w:rFonts w:ascii="Times New Roman" w:hAnsi="Times New Roman"/>
                <w:sz w:val="24"/>
              </w:rPr>
              <w:lastRenderedPageBreak/>
              <w:t>nariadenia Komisie (EÚ) 2016/101 (z obchodnej knihy</w:t>
            </w:r>
            <w:r w:rsidR="00911707">
              <w:rPr>
                <w:rFonts w:ascii="Times New Roman" w:hAnsi="Times New Roman"/>
                <w:sz w:val="24"/>
              </w:rPr>
              <w:t xml:space="preserve"> a z </w:t>
            </w:r>
            <w:r w:rsidRPr="00911707">
              <w:rPr>
                <w:rFonts w:ascii="Times New Roman" w:hAnsi="Times New Roman"/>
                <w:sz w:val="24"/>
              </w:rPr>
              <w:t>neobchodnej knihy) do týchto kategórií rizika: úrokového, devízového, kreditného, kapitálového, komoditného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78E03628" w14:textId="6DBEE338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sz w:val="24"/>
              </w:rPr>
              <w:t>Rozčlenenie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týchto stĺpcoch nezahŕňa dodatočné úpravy ocenenia vypočítané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článkami 12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13 delegovaného nariadenia Komisie (EÚ) 2016/101, ktoré sú zverejnené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stĺpcoch EU-e1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EU-e2 tohto vzoru.</w:t>
            </w:r>
          </w:p>
        </w:tc>
      </w:tr>
      <w:tr w:rsidR="00C04D6C" w:rsidRPr="00911707" w14:paraId="5626241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79F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FF4E96" w14:textId="77777777" w:rsidR="00C04D6C" w:rsidRPr="00911707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color w:val="000000"/>
                <w:sz w:val="24"/>
              </w:rPr>
              <w:t>EU e1</w:t>
            </w:r>
          </w:p>
          <w:p w14:paraId="5276CC33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2C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Dodatočná úprava ocenenia na úrovni kategórie – neistota ocenenia: Dodatočná úprava ocenenia zohľadňujúca nezískané úverové rozpätia</w:t>
            </w:r>
          </w:p>
          <w:p w14:paraId="024DFA4F" w14:textId="77777777" w:rsidR="00911707" w:rsidRDefault="00C04D6C" w:rsidP="00D819DE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Článok 105 ods. 10 CRR, článok 12 delegovaného nariadenia Komisie (EÚ) 2016/101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48A3FCCD" w14:textId="107C068C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sz w:val="24"/>
              </w:rPr>
              <w:t>Celková dodatočná úprava ocenenia pre nezískané úverové rozpätia („dodatočná úprava ocenenia pri úprave ocenenia pohľadávok“)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jej rozdelenie medzi dodatočné úpravy ocenenia zohľadňujúce neistotu trhovej ceny, náklady na zatvorenie pozícií alebo riziko modelov sa určuje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12 delegovaného nariadenia Komisie (EÚ) 2016/101.</w:t>
            </w:r>
          </w:p>
        </w:tc>
      </w:tr>
      <w:tr w:rsidR="00C04D6C" w:rsidRPr="00911707" w14:paraId="3D6EAD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AC8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014344" w14:textId="77777777" w:rsidR="00C04D6C" w:rsidRPr="00911707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color w:val="000000"/>
                <w:sz w:val="24"/>
              </w:rPr>
              <w:t>EU e2</w:t>
            </w:r>
          </w:p>
          <w:p w14:paraId="067E72C8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0580" w14:textId="71044BE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Dodatočná úprava ocenenia na úrovni kategórie – dodatočná úprava ocenenia zohľadňujúca investičné náklady</w:t>
            </w:r>
            <w:r w:rsidR="00911707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náklady na financovanie</w:t>
            </w:r>
          </w:p>
          <w:p w14:paraId="4E0DC4BC" w14:textId="77777777" w:rsidR="00C04D6C" w:rsidRPr="00911707" w:rsidRDefault="00C04D6C" w:rsidP="00D819DE">
            <w:pPr>
              <w:spacing w:beforeLines="60" w:before="144" w:afterLines="60" w:after="144"/>
              <w:rPr>
                <w:rFonts w:ascii="Times New Roman" w:hAnsi="Times New Roman" w:cs="Times New Roman"/>
                <w:caps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sz w:val="24"/>
              </w:rPr>
              <w:t>Článok 105 ods. 10 CRR, článok 13 delegovaného nariadenia Komisie (EÚ) 2016/101.</w:t>
            </w:r>
          </w:p>
          <w:p w14:paraId="014133D9" w14:textId="576994BC" w:rsidR="00C04D6C" w:rsidRPr="00911707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sz w:val="24"/>
              </w:rPr>
              <w:t>Celková dodatočná úprava ocenenia pre investičné náklady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náklady na financovanie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jej rozdelenie medzi dodatočné úpravy ocenenia zohľadňujúce neistotu trhovej ceny, náklady na zatvorenie pozícií alebo riziko modelov sa určuje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13 delegovaného nariadenia Komisie (EÚ) 2016/101.</w:t>
            </w:r>
          </w:p>
        </w:tc>
      </w:tr>
      <w:tr w:rsidR="00C04D6C" w:rsidRPr="00911707" w14:paraId="7AF131EB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A8A" w14:textId="77777777" w:rsidR="00C04D6C" w:rsidRPr="00911707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color w:val="000000"/>
                <w:sz w:val="24"/>
              </w:rPr>
              <w:t>f</w:t>
            </w:r>
          </w:p>
          <w:p w14:paraId="4BAD70B7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FB7D" w14:textId="77777777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Celková hodnota na úrovni kategórie po diverzifikácii</w:t>
            </w:r>
          </w:p>
          <w:p w14:paraId="7AC1D089" w14:textId="0056AE0C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 prípade portfólií, na ktoré sa vzťahuje základný postup stanovený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kapitole III delegovaného nariadenia Komisie (EÚ) 2016/101, celková hodnota na úrovni kategórie po diverzifikácii zahŕňa celkové dodatočné úpravy ocenenia vypočítané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 so základným postupom pre reálnou hodnotou ocenené aktíva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záväzky zahrnuté do výpočtu prahovej hodnoty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4 ods. 1 delegovaného nariadenia Komisie (EÚ) 2016/101. Zahŕňa to výhody diverzifikácie vymedzené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9 ods. 6, článkom 10 ods. 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článkom 11 ods. 7 delegovaného nariadenia Komisie (EÚ) 2016/101.</w:t>
            </w:r>
          </w:p>
          <w:p w14:paraId="786A07B6" w14:textId="67F838FF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Celková dodatočná úprava ocenenia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12 stĺpci f) tohto vzoru zahŕňa hodnoty vypočítané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7 ods. 2 písm. b) bodmi i) až iii) delegovaného nariadenia (EÚ) 2016/101 pre portfóliá, na ktoré sa vzťahuje rezervný prístup, ak nejaké existujú.</w:t>
            </w:r>
          </w:p>
          <w:p w14:paraId="16B6B958" w14:textId="10207739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V prípade portfólií, na ktoré sa vzťahuje zjednodušený prístup stanovený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kapitole II delegovaného nariadenia (EÚ) 2016/101</w:t>
            </w:r>
            <w:r w:rsidR="00911707">
              <w:rPr>
                <w:rFonts w:ascii="Times New Roman" w:hAnsi="Times New Roman"/>
                <w:sz w:val="24"/>
              </w:rPr>
              <w:t xml:space="preserve"> o </w:t>
            </w:r>
            <w:r w:rsidRPr="00911707">
              <w:rPr>
                <w:rFonts w:ascii="Times New Roman" w:hAnsi="Times New Roman"/>
                <w:sz w:val="24"/>
              </w:rPr>
              <w:t>obozretnom oceňovaní, celková dodatočná úprava ocenenia zahrnutá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riadku 12 tohto vzoru predstavuje sumu vypočítanú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5 tejto kapitoly.</w:t>
            </w:r>
          </w:p>
        </w:tc>
      </w:tr>
      <w:tr w:rsidR="00C04D6C" w:rsidRPr="00911707" w14:paraId="7A68CB3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1E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8B5B" w14:textId="01E50DEF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Z čoho: základný postup</w:t>
            </w:r>
            <w:r w:rsidR="00911707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obchodnej knihe spolu</w:t>
            </w:r>
          </w:p>
          <w:p w14:paraId="7F870488" w14:textId="2D0BAAAE" w:rsid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Pri každej relevantnej kategórii dodatočných úprav ocenenia, pre portfóliá, na ktoré sa vzťahuje základný postup stanovený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kapitole III delegovaného nariadenia Komisie (EÚ) 2016/101, podiel dodatočných úprav ocenenia vyplývajúcich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sz w:val="24"/>
              </w:rPr>
              <w:t>pozícií držaných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„obchodnej knihe“: všetky pozície vo finančných nástrojoch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komoditách, ktoré inštitúcia drží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úmyslom obchodovania alebo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cieľom hedžovať pozície držané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úmyslom obchodovania,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104 CRR</w:t>
            </w:r>
            <w:r w:rsidR="00911707">
              <w:rPr>
                <w:rFonts w:ascii="Times New Roman" w:hAnsi="Times New Roman"/>
                <w:sz w:val="24"/>
              </w:rPr>
              <w:t>.</w:t>
            </w:r>
          </w:p>
          <w:p w14:paraId="2169FF03" w14:textId="0FF6805B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sz w:val="24"/>
              </w:rPr>
              <w:t>Zverejňovaná hodnota zahŕňa výhody diverzifikácie vymedzené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9 ods. 6, článkom 10 ods. 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článkom 11 ods. 7 delegovaného nariadenia Komisie (EÚ) 2016/101.</w:t>
            </w:r>
          </w:p>
        </w:tc>
      </w:tr>
      <w:tr w:rsidR="00C04D6C" w:rsidRPr="00911707" w14:paraId="2EBCD7A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CE81" w14:textId="77777777" w:rsidR="00C04D6C" w:rsidRPr="00911707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lastRenderedPageBreak/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F652" w14:textId="1E0A8E72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Z čoho: základný postup</w:t>
            </w:r>
            <w:r w:rsidR="00911707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911707">
              <w:rPr>
                <w:rFonts w:ascii="Times New Roman" w:hAnsi="Times New Roman"/>
                <w:b/>
                <w:sz w:val="24"/>
                <w:u w:val="single"/>
              </w:rPr>
              <w:t>bankovej knihe spolu</w:t>
            </w:r>
          </w:p>
          <w:p w14:paraId="4EC457E4" w14:textId="606D23DB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Pri každej relevantnej kategórii dodatočných úprav ocenenia, pre portfóliá, na ktoré sa vzťahuje základný postup stanovený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kapitole III delegovaného nariadenia Komisie (EÚ) 2016/101, podiel dodatočných úprav ocenenia vyplývajúcich</w:t>
            </w:r>
            <w:r w:rsidR="00911707">
              <w:rPr>
                <w:rFonts w:ascii="Times New Roman" w:hAnsi="Times New Roman"/>
                <w:sz w:val="24"/>
              </w:rPr>
              <w:t xml:space="preserve"> z </w:t>
            </w:r>
            <w:r w:rsidRPr="00911707">
              <w:rPr>
                <w:rFonts w:ascii="Times New Roman" w:hAnsi="Times New Roman"/>
                <w:color w:val="000000"/>
                <w:sz w:val="24"/>
              </w:rPr>
              <w:t>reálnou hodnotou ocenených pozícií</w:t>
            </w:r>
            <w:r w:rsidRPr="00911707">
              <w:rPr>
                <w:rFonts w:ascii="Times New Roman" w:hAnsi="Times New Roman"/>
                <w:sz w:val="24"/>
              </w:rPr>
              <w:t xml:space="preserve"> vo finančných nástrojoch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 xml:space="preserve">komoditách </w:t>
            </w:r>
            <w:r w:rsidRPr="00911707">
              <w:rPr>
                <w:rFonts w:ascii="Times New Roman" w:hAnsi="Times New Roman"/>
                <w:color w:val="000000"/>
                <w:sz w:val="24"/>
              </w:rPr>
              <w:t>nedržaných</w:t>
            </w:r>
            <w:r w:rsidR="00911707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color w:val="000000"/>
                <w:sz w:val="24"/>
              </w:rPr>
              <w:t>obchodnej knihe</w:t>
            </w:r>
            <w:r w:rsidRPr="00911707">
              <w:rPr>
                <w:rFonts w:ascii="Times New Roman" w:hAnsi="Times New Roman"/>
                <w:sz w:val="24"/>
              </w:rPr>
              <w:t>.</w:t>
            </w:r>
          </w:p>
          <w:p w14:paraId="5D6CB732" w14:textId="295D208E" w:rsidR="00C04D6C" w:rsidRPr="00911707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1707">
              <w:rPr>
                <w:rFonts w:ascii="Times New Roman" w:hAnsi="Times New Roman"/>
                <w:sz w:val="24"/>
              </w:rPr>
              <w:t>Zverejňovaná hodnota zahŕňa výhody diverzifikácie určené</w:t>
            </w:r>
            <w:r w:rsidR="00911707">
              <w:rPr>
                <w:rFonts w:ascii="Times New Roman" w:hAnsi="Times New Roman"/>
                <w:sz w:val="24"/>
              </w:rPr>
              <w:t xml:space="preserve"> v </w:t>
            </w:r>
            <w:r w:rsidRPr="00911707">
              <w:rPr>
                <w:rFonts w:ascii="Times New Roman" w:hAnsi="Times New Roman"/>
                <w:sz w:val="24"/>
              </w:rPr>
              <w:t>súlade</w:t>
            </w:r>
            <w:r w:rsidR="00911707">
              <w:rPr>
                <w:rFonts w:ascii="Times New Roman" w:hAnsi="Times New Roman"/>
                <w:sz w:val="24"/>
              </w:rPr>
              <w:t xml:space="preserve"> s </w:t>
            </w:r>
            <w:r w:rsidRPr="00911707">
              <w:rPr>
                <w:rFonts w:ascii="Times New Roman" w:hAnsi="Times New Roman"/>
                <w:sz w:val="24"/>
              </w:rPr>
              <w:t>článkom 9 ods. 6, článkom 10 ods. 7</w:t>
            </w:r>
            <w:r w:rsidR="00911707">
              <w:rPr>
                <w:rFonts w:ascii="Times New Roman" w:hAnsi="Times New Roman"/>
                <w:sz w:val="24"/>
              </w:rPr>
              <w:t xml:space="preserve"> a </w:t>
            </w:r>
            <w:r w:rsidRPr="00911707">
              <w:rPr>
                <w:rFonts w:ascii="Times New Roman" w:hAnsi="Times New Roman"/>
                <w:sz w:val="24"/>
              </w:rPr>
              <w:t>článkom 11 ods. 7 delegovaného nariadenia Komisie (EÚ) 2016/101.</w:t>
            </w:r>
          </w:p>
        </w:tc>
      </w:tr>
    </w:tbl>
    <w:p w14:paraId="1DA9D705" w14:textId="77777777" w:rsidR="004E3F4D" w:rsidRPr="00911707" w:rsidRDefault="004E3F4D" w:rsidP="00C04D6C"/>
    <w:sectPr w:rsidR="004E3F4D" w:rsidRPr="00911707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CB9" w14:textId="77777777" w:rsidR="00ED3B2B" w:rsidRDefault="00ED3B2B" w:rsidP="00C04D6C">
      <w:r>
        <w:separator/>
      </w:r>
    </w:p>
  </w:endnote>
  <w:endnote w:type="continuationSeparator" w:id="0">
    <w:p w14:paraId="595845DA" w14:textId="77777777" w:rsidR="00ED3B2B" w:rsidRDefault="00ED3B2B" w:rsidP="00C0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644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57631" w14:textId="77777777" w:rsidR="002C7922" w:rsidRDefault="002C79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4003F916" w14:textId="77777777" w:rsidR="002C7922" w:rsidRDefault="002C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8F32" w14:textId="77777777" w:rsidR="00ED3B2B" w:rsidRDefault="00ED3B2B" w:rsidP="00C04D6C">
      <w:r>
        <w:separator/>
      </w:r>
    </w:p>
  </w:footnote>
  <w:footnote w:type="continuationSeparator" w:id="0">
    <w:p w14:paraId="01923D22" w14:textId="77777777" w:rsidR="00ED3B2B" w:rsidRDefault="00ED3B2B" w:rsidP="00C04D6C">
      <w:r>
        <w:continuationSeparator/>
      </w:r>
    </w:p>
  </w:footnote>
  <w:footnote w:id="1">
    <w:p w14:paraId="75EB5CC5" w14:textId="738F331B" w:rsidR="00C04D6C" w:rsidRPr="00911707" w:rsidRDefault="00C04D6C" w:rsidP="00C04D6C">
      <w:pPr>
        <w:pStyle w:val="FootnoteText"/>
        <w:rPr>
          <w:rFonts w:eastAsia="Calibri"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ab/>
        <w:t>Nariadenie Európskeho parlamentu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 xml:space="preserve">Rady (EÚ)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>575/2013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26</w:t>
      </w:r>
      <w:r w:rsidR="00911707" w:rsidRPr="00911707">
        <w:rPr>
          <w:sz w:val="20"/>
        </w:rPr>
        <w:t>. júna</w:t>
      </w:r>
      <w:r w:rsidRPr="00911707">
        <w:rPr>
          <w:sz w:val="20"/>
        </w:rPr>
        <w:t xml:space="preserve"> 2013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prudenciálnych požiadavkách na úverové inštitúcie</w:t>
      </w:r>
      <w:r w:rsidR="00911707" w:rsidRPr="00911707">
        <w:rPr>
          <w:sz w:val="20"/>
        </w:rPr>
        <w:t xml:space="preserve"> a o </w:t>
      </w:r>
      <w:r w:rsidRPr="00911707">
        <w:rPr>
          <w:sz w:val="20"/>
        </w:rPr>
        <w:t xml:space="preserve">zmene nariadenia (EÚ)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 xml:space="preserve">648/2012, zmenené nariadením (EÚ) 2024/1623 </w:t>
      </w:r>
      <w:r w:rsidRPr="00911707">
        <w:rPr>
          <w:color w:val="444444"/>
          <w:sz w:val="20"/>
        </w:rPr>
        <w:t>[</w:t>
      </w:r>
      <w:hyperlink r:id="rId1" w:history="1">
        <w:r w:rsidRPr="00911707">
          <w:rPr>
            <w:rStyle w:val="Hyperlink"/>
            <w:color w:val="800080"/>
            <w:sz w:val="20"/>
          </w:rPr>
          <w:t>Ú. v. EÚ L 176, 27.6.2013, s. 1</w:t>
        </w:r>
      </w:hyperlink>
      <w:r w:rsidRPr="00911707">
        <w:rPr>
          <w:color w:val="800080"/>
          <w:sz w:val="20"/>
          <w:u w:val="single"/>
        </w:rPr>
        <w:t xml:space="preserve">; </w:t>
      </w:r>
      <w:hyperlink r:id="rId2" w:history="1">
        <w:r w:rsidRPr="00911707">
          <w:rPr>
            <w:rStyle w:val="Hyperlink"/>
            <w:sz w:val="20"/>
          </w:rPr>
          <w:t>Nariadenie (EÚ) 2024/1623 – SK – EUR-Lex (europa.eu)</w:t>
        </w:r>
      </w:hyperlink>
      <w:r w:rsidRPr="00911707">
        <w:rPr>
          <w:color w:val="444444"/>
          <w:sz w:val="20"/>
        </w:rPr>
        <w:t>]</w:t>
      </w:r>
      <w:r w:rsidRPr="00911707">
        <w:rPr>
          <w:sz w:val="20"/>
        </w:rPr>
        <w:t>.</w:t>
      </w:r>
    </w:p>
  </w:footnote>
  <w:footnote w:id="2">
    <w:p w14:paraId="6152D585" w14:textId="711EFCBF" w:rsidR="00C04D6C" w:rsidRPr="00911707" w:rsidRDefault="00C04D6C" w:rsidP="00C04D6C">
      <w:pPr>
        <w:pStyle w:val="FootnoteText"/>
        <w:rPr>
          <w:rFonts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ab/>
        <w:t>Smernica Európskeho parlamentu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Rady 2013/34/EÚ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26</w:t>
      </w:r>
      <w:r w:rsidR="00911707" w:rsidRPr="00911707">
        <w:rPr>
          <w:sz w:val="20"/>
        </w:rPr>
        <w:t>. júna</w:t>
      </w:r>
      <w:r w:rsidRPr="00911707">
        <w:rPr>
          <w:sz w:val="20"/>
        </w:rPr>
        <w:t xml:space="preserve"> 2013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ročných účtovných závierkach, konsolidovaných účtovných závierkach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súvisiacich správach určitých druhov podnikov, ktorou sa mení smernica Európskeho parlamentu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Rady 2006/43/ES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zrušujú smernice Rady 78/660/EHS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83/349/EHS (Ú. v. EÚ L 182, 29.6.2013, s. 19).</w:t>
      </w:r>
    </w:p>
  </w:footnote>
  <w:footnote w:id="3">
    <w:p w14:paraId="41D63525" w14:textId="7593347F" w:rsidR="00C04D6C" w:rsidRPr="00911707" w:rsidRDefault="00C04D6C" w:rsidP="00C04D6C">
      <w:pPr>
        <w:pStyle w:val="FootnoteText"/>
        <w:rPr>
          <w:rFonts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ab/>
        <w:t xml:space="preserve">NARIADENIE EURÓPSKEHO PARLAMENTU A RADY (ES)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>1606/2002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19</w:t>
      </w:r>
      <w:r w:rsidR="00911707" w:rsidRPr="00911707">
        <w:rPr>
          <w:sz w:val="20"/>
        </w:rPr>
        <w:t>. júla</w:t>
      </w:r>
      <w:r w:rsidRPr="00911707">
        <w:rPr>
          <w:sz w:val="20"/>
        </w:rPr>
        <w:t xml:space="preserve"> 2002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uplatňovaní medzinárodných účtovných noriem (Ú. v. ES L 243, 11.9.2002, s. 1).</w:t>
      </w:r>
    </w:p>
  </w:footnote>
  <w:footnote w:id="4">
    <w:p w14:paraId="51C1A083" w14:textId="0D71CE9A" w:rsidR="00C04D6C" w:rsidRPr="00911707" w:rsidRDefault="00C04D6C" w:rsidP="00C04D6C">
      <w:pPr>
        <w:pStyle w:val="FootnoteText"/>
        <w:rPr>
          <w:rFonts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ab/>
        <w:t>SMERNICA RADY 86/635/EHS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8</w:t>
      </w:r>
      <w:r w:rsidR="00911707" w:rsidRPr="00911707">
        <w:rPr>
          <w:sz w:val="20"/>
        </w:rPr>
        <w:t>. decembra</w:t>
      </w:r>
      <w:r w:rsidRPr="00911707">
        <w:rPr>
          <w:sz w:val="20"/>
        </w:rPr>
        <w:t xml:space="preserve"> 1986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ročnej účtovnej závierke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konsolidovaných účtoch bánk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iných finančných inštitúcií (Ú. v. ES L 372, 31.12.1986, s. 1).</w:t>
      </w:r>
    </w:p>
  </w:footnote>
  <w:footnote w:id="5">
    <w:p w14:paraId="0C3793CA" w14:textId="4624C32F" w:rsidR="00C04D6C" w:rsidRPr="00911707" w:rsidRDefault="00C04D6C" w:rsidP="00C04D6C">
      <w:pPr>
        <w:pStyle w:val="FootnoteText"/>
        <w:rPr>
          <w:rFonts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 xml:space="preserve"> </w:t>
      </w:r>
      <w:r w:rsidRPr="00911707">
        <w:rPr>
          <w:sz w:val="20"/>
        </w:rPr>
        <w:tab/>
        <w:t xml:space="preserve">DELEGOVANÉ NARIADENIE KOMISIE (EÚ)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>183/2014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20</w:t>
      </w:r>
      <w:r w:rsidR="00911707" w:rsidRPr="00911707">
        <w:rPr>
          <w:sz w:val="20"/>
        </w:rPr>
        <w:t>. decembra</w:t>
      </w:r>
      <w:r w:rsidRPr="00911707">
        <w:rPr>
          <w:sz w:val="20"/>
        </w:rPr>
        <w:t xml:space="preserve"> 2013, ktorým sa dopĺňa nariadenie Európskeho parlamentu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 xml:space="preserve">Rady (EÚ)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>575/2013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prudenciálnych požiadavkách na úverové inštitúcie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investičné spoločnosti, pokiaľ ide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regulačné technické predpisy na presné stanovenie výpočtu špecifických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>všeobecných úprav kreditného rizika (Ú. v. EÚ L 57, 27.2.2014, s. 3).</w:t>
      </w:r>
    </w:p>
  </w:footnote>
  <w:footnote w:id="6">
    <w:p w14:paraId="4B2D69D3" w14:textId="1A26E565" w:rsidR="00C04D6C" w:rsidRPr="00911707" w:rsidRDefault="00C04D6C" w:rsidP="00C04D6C">
      <w:pPr>
        <w:pStyle w:val="FootnoteText"/>
        <w:rPr>
          <w:rFonts w:cstheme="minorHAnsi"/>
          <w:sz w:val="20"/>
        </w:rPr>
      </w:pPr>
      <w:r w:rsidRPr="00911707">
        <w:rPr>
          <w:rStyle w:val="FootnoteReference"/>
          <w:rFonts w:cstheme="minorHAnsi"/>
          <w:sz w:val="20"/>
        </w:rPr>
        <w:footnoteRef/>
      </w:r>
      <w:r w:rsidRPr="00911707">
        <w:rPr>
          <w:sz w:val="20"/>
        </w:rPr>
        <w:tab/>
        <w:t>DELEGOVANÉ NARIADENIE KOMISIE (EÚ) 2016/101</w:t>
      </w:r>
      <w:r w:rsidR="00911707" w:rsidRPr="00911707">
        <w:rPr>
          <w:sz w:val="20"/>
        </w:rPr>
        <w:t xml:space="preserve"> z </w:t>
      </w:r>
      <w:r w:rsidRPr="00911707">
        <w:rPr>
          <w:sz w:val="20"/>
        </w:rPr>
        <w:t>26</w:t>
      </w:r>
      <w:r w:rsidR="00911707" w:rsidRPr="00911707">
        <w:rPr>
          <w:sz w:val="20"/>
        </w:rPr>
        <w:t>. októbra</w:t>
      </w:r>
      <w:r w:rsidRPr="00911707">
        <w:rPr>
          <w:sz w:val="20"/>
        </w:rPr>
        <w:t xml:space="preserve"> 2015, ktorým sa dopĺňa nariadenie Európskeho parlamentu</w:t>
      </w:r>
      <w:r w:rsidR="00911707" w:rsidRPr="00911707">
        <w:rPr>
          <w:sz w:val="20"/>
        </w:rPr>
        <w:t xml:space="preserve"> a </w:t>
      </w:r>
      <w:r w:rsidRPr="00911707">
        <w:rPr>
          <w:sz w:val="20"/>
        </w:rPr>
        <w:t xml:space="preserve">Rady (EÚ) </w:t>
      </w:r>
      <w:r w:rsidR="00911707" w:rsidRPr="00911707">
        <w:rPr>
          <w:sz w:val="20"/>
        </w:rPr>
        <w:t>č. </w:t>
      </w:r>
      <w:r w:rsidRPr="00911707">
        <w:rPr>
          <w:sz w:val="20"/>
        </w:rPr>
        <w:t>575/2013, pokiaľ ide</w:t>
      </w:r>
      <w:r w:rsidR="00911707" w:rsidRPr="00911707">
        <w:rPr>
          <w:sz w:val="20"/>
        </w:rPr>
        <w:t xml:space="preserve"> o </w:t>
      </w:r>
      <w:r w:rsidRPr="00911707">
        <w:rPr>
          <w:sz w:val="20"/>
        </w:rPr>
        <w:t>regulačné technické predpisy týkajúce sa obozretného oceňovania podľa článku 105 ods. 14 (Ú. v. EÚ L 21, 28.1.2016, s. 54).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0878" w14:textId="4C534AD7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6B05EE" wp14:editId="25E380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983981750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A3FFD" w14:textId="2FD5BDD4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6B05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60DA3FFD" w14:textId="2FD5BDD4" w:rsidR="009F69A4" w:rsidRPr="009F69A4" w:rsidRDefault="009F69A4" w:rsidP="009F69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C0B0" w14:textId="509F1CE8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24C2DB" wp14:editId="2FC146FF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2159657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0198A" w14:textId="3A90A883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4C2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6F70198A" w14:textId="3A90A883" w:rsidR="009F69A4" w:rsidRPr="009F69A4" w:rsidRDefault="009F69A4" w:rsidP="009F69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ADF6" w14:textId="29E06D7A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D4B697" wp14:editId="42A7C45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44836452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8CF09" w14:textId="139B48AA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D4B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1728CF09" w14:textId="139B48AA" w:rsidR="009F69A4" w:rsidRPr="009F69A4" w:rsidRDefault="009F69A4" w:rsidP="009F69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488596300">
    <w:abstractNumId w:val="0"/>
  </w:num>
  <w:num w:numId="2" w16cid:durableId="149044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330FC"/>
    <w:rsid w:val="002C7922"/>
    <w:rsid w:val="003330FC"/>
    <w:rsid w:val="004E3F4D"/>
    <w:rsid w:val="005B3D23"/>
    <w:rsid w:val="00911707"/>
    <w:rsid w:val="009F69A4"/>
    <w:rsid w:val="00AF0EB9"/>
    <w:rsid w:val="00C04D6C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A5DD"/>
  <w15:chartTrackingRefBased/>
  <w15:docId w15:val="{CFE64EB4-385B-4000-BE3C-E0F42091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6C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04D6C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C04D6C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04D6C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04D6C"/>
    <w:rPr>
      <w:color w:val="0563C1" w:themeColor="hyperlink"/>
      <w:u w:val="single"/>
    </w:rPr>
  </w:style>
  <w:style w:type="paragraph" w:customStyle="1" w:styleId="Default">
    <w:name w:val="Default"/>
    <w:rsid w:val="00C04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C04D6C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C04D6C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04D6C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C04D6C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C04D6C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04D6C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C04D6C"/>
    <w:rPr>
      <w:rFonts w:ascii="Verdana" w:hAnsi="Verdana" w:cs="Times New Roman"/>
      <w:b/>
      <w:bCs/>
      <w:sz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92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922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AD5208-EF14-495A-861B-4A3D2C90E1B6}"/>
</file>

<file path=customXml/itemProps2.xml><?xml version="1.0" encoding="utf-8"?>
<ds:datastoreItem xmlns:ds="http://schemas.openxmlformats.org/officeDocument/2006/customXml" ds:itemID="{1AC81AAD-674F-4C95-93F9-610A8B89AFC4}"/>
</file>

<file path=customXml/itemProps3.xml><?xml version="1.0" encoding="utf-8"?>
<ds:datastoreItem xmlns:ds="http://schemas.openxmlformats.org/officeDocument/2006/customXml" ds:itemID="{AAFF995F-BAFA-4AC8-879A-BF2C4FCCC7B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4054</Words>
  <Characters>21608</Characters>
  <Application>Microsoft Office Word</Application>
  <DocSecurity>0</DocSecurity>
  <Lines>527</Lines>
  <Paragraphs>281</Paragraphs>
  <ScaleCrop>false</ScaleCrop>
  <Company>European Banking Authority</Company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FILIAC Tomas (DGT)</cp:lastModifiedBy>
  <cp:revision>6</cp:revision>
  <dcterms:created xsi:type="dcterms:W3CDTF">2021-03-11T11:51:00Z</dcterms:created>
  <dcterms:modified xsi:type="dcterms:W3CDTF">2024-10-11T14:19:00Z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3e46f064,764128b6,5a21b9a9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23d21fe0-0da5-41bf-af59-bd30b05c992a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