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p w14:paraId="4677B081" w14:textId="77777777" w:rsidR="00942645" w:rsidRPr="00CA7700" w:rsidRDefault="00942645" w:rsidP="00942645">
      <w:pPr>
        <w:pStyle w:val="Titlelevel2"/>
        <w:spacing w:before="120" w:after="120"/>
        <w:jc w:val="center"/>
        <w:rPr>
          <w:rFonts w:ascii="Times New Roman" w:hAnsi="Times New Roman" w:cs="Times New Roman"/>
          <w:b/>
          <w:color w:val="auto"/>
          <w:sz w:val="24"/>
          <w:u w:val="single"/>
        </w:rPr>
      </w:pPr>
      <w:r>
        <w:rPr>
          <w:rFonts w:ascii="Times New Roman" w:hAnsi="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r>
        <w:rPr>
          <w:rFonts w:ascii="Times New Roman" w:hAnsi="Times New Roman"/>
          <w:b/>
          <w:color w:val="auto"/>
          <w:sz w:val="24"/>
          <w:u w:val="single"/>
        </w:rPr>
        <w:t>LIITE XLII – Lomakkeet vastuun arvonoikaisuriskin julkistamista varten: Ohjeet</w:t>
      </w:r>
    </w:p>
    <w:p w14:paraId="78BB236B" w14:textId="33A761EE"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Pr>
          <w:rFonts w:ascii="Times New Roman" w:hAnsi="Times New Roman"/>
          <w:color w:val="auto"/>
          <w:sz w:val="24"/>
        </w:rPr>
        <w:t>Tämä liite sisältää ohjeet, joita laitosten on sovellettava julkistaessaan asetuksen (EU) N:o 575/2013</w:t>
      </w:r>
      <w:r w:rsidRPr="00CA7700">
        <w:rPr>
          <w:rStyle w:val="FootnoteReference"/>
          <w:rFonts w:ascii="Times New Roman" w:hAnsi="Times New Roman" w:cs="Times New Roman"/>
          <w:color w:val="auto"/>
          <w:sz w:val="24"/>
          <w:szCs w:val="24"/>
        </w:rPr>
        <w:footnoteReference w:id="2"/>
      </w:r>
      <w:r>
        <w:rPr>
          <w:rFonts w:ascii="Times New Roman" w:hAnsi="Times New Roman"/>
          <w:color w:val="auto"/>
          <w:sz w:val="24"/>
        </w:rPr>
        <w:t xml:space="preserve"> (vakavaraisuusasetus) kolmannen osan VI osastossa tarkoitettua vastuun arvonoikaisuriskiä koskevat tiedot EPV:n tietoteknisten ratkaisujen liitteessä XLI olevissa vastuun arvonoikaisuriskin julkistamista koskevissa lomakkeissa asetuksen (EU) N:o 575/2013 445 a artiklan mukaisesti.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Lomake EU CVAA: Vastuun arvonoikaisuriskiin liittyvät laadulliset julkistamisvaatimukset:</w:t>
      </w:r>
      <w:r>
        <w:rPr>
          <w:rFonts w:ascii="Times New Roman" w:hAnsi="Times New Roman"/>
          <w:sz w:val="24"/>
        </w:rPr>
        <w:t xml:space="preserve"> </w:t>
      </w:r>
      <w:r>
        <w:rPr>
          <w:rFonts w:ascii="Times New Roman" w:hAnsi="Times New Roman"/>
          <w:color w:val="000000"/>
          <w:sz w:val="24"/>
        </w:rPr>
        <w:t xml:space="preserve">vapaamuotoiset tekstikentät </w:t>
      </w:r>
    </w:p>
    <w:p w14:paraId="6FF811C2" w14:textId="4AAED15E" w:rsidR="00942645" w:rsidRPr="00CA7700" w:rsidRDefault="00942645" w:rsidP="00942645">
      <w:pPr>
        <w:pStyle w:val="Titlelevel2"/>
        <w:numPr>
          <w:ilvl w:val="0"/>
          <w:numId w:val="11"/>
        </w:numPr>
        <w:spacing w:before="120"/>
        <w:jc w:val="both"/>
        <w:rPr>
          <w:rFonts w:ascii="Times New Roman" w:hAnsi="Times New Roman" w:cs="Times New Roman"/>
          <w:sz w:val="24"/>
        </w:rPr>
      </w:pPr>
      <w:r>
        <w:rPr>
          <w:rFonts w:ascii="Times New Roman" w:hAnsi="Times New Roman"/>
          <w:color w:val="auto"/>
          <w:sz w:val="24"/>
        </w:rPr>
        <w:t>Laitosten on sovellettava jäljempänä annettuja ohjeita täyttääkseen tietoteknisten ratkaisujen liitteessä XLI olevan lomakkeen EU CVAA asetuksen (EU) N:o 575/2013 445 a artiklan 1 kohdan a ja b alakohdan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rPr>
            </w:pPr>
            <w:r>
              <w:rPr>
                <w:rFonts w:ascii="Times New Roman" w:hAnsi="Times New Roman"/>
                <w:b/>
                <w:sz w:val="24"/>
              </w:rPr>
              <w:t>Lainsäädäntöviitteet ja ohjeet</w:t>
            </w:r>
          </w:p>
        </w:tc>
      </w:tr>
      <w:tr w:rsidR="00942645" w:rsidRPr="00CA7700" w14:paraId="337850FE" w14:textId="77777777" w:rsidTr="00C7434F">
        <w:trPr>
          <w:trHeight w:val="238"/>
        </w:trPr>
        <w:tc>
          <w:tcPr>
            <w:tcW w:w="1555"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42645" w:rsidRPr="00CA7700" w14:paraId="3BC35DB9" w14:textId="77777777" w:rsidTr="00C7434F">
        <w:trPr>
          <w:trHeight w:val="680"/>
        </w:trPr>
        <w:tc>
          <w:tcPr>
            <w:tcW w:w="1555" w:type="dxa"/>
          </w:tcPr>
          <w:p w14:paraId="29C7DC98" w14:textId="77777777" w:rsidR="00942645" w:rsidRPr="00CA7700" w:rsidRDefault="00942645" w:rsidP="00962254">
            <w:pPr>
              <w:pStyle w:val="Applicationdirecte"/>
              <w:spacing w:before="60"/>
              <w:jc w:val="center"/>
            </w:pPr>
            <w:r>
              <w:t>a</w:t>
            </w:r>
          </w:p>
        </w:tc>
        <w:tc>
          <w:tcPr>
            <w:tcW w:w="7484"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Vakavaraisuusasetuksen 445 a artiklan 1 kohdan a alakohta</w:t>
            </w:r>
          </w:p>
          <w:p w14:paraId="73666F29" w14:textId="497C6292" w:rsidR="00942645" w:rsidRPr="00CA7700" w:rsidRDefault="00942645" w:rsidP="00962254">
            <w:pPr>
              <w:spacing w:before="60" w:after="120"/>
              <w:jc w:val="both"/>
              <w:rPr>
                <w:rFonts w:ascii="Times New Roman" w:hAnsi="Times New Roman" w:cs="Times New Roman"/>
                <w:sz w:val="24"/>
              </w:rPr>
            </w:pPr>
            <w:r>
              <w:rPr>
                <w:rFonts w:ascii="Times New Roman" w:hAnsi="Times New Roman"/>
                <w:sz w:val="24"/>
              </w:rPr>
              <w:t>Julkistaessaan asetuksen (EU) N:o 575/2013 445 a artiklan 1 kohdan a alakohdassa edellytettyjä tietoja laitosten on annettava kuvaus prosesseista, joilla hallitaan vastuun arvonoikaisuriskiä, mukaan lukien kuvaus prosesseista, jotka on otettu käyttöön laitoksen vastuun arvonoikaisuriskien tunnistamiseksi, mittaamiseksi, seuraamiseksi ja valvomiseksi, ja kuvaus laitoksen käytänteistä, joilla suojaudutaan riskeiltä ja vähennetään niitä, sekä strategioista ja prosesseista, joilla seurataan jatkuvasti suojausmenetelmien tehokkuutta.</w:t>
            </w:r>
          </w:p>
        </w:tc>
      </w:tr>
      <w:tr w:rsidR="00942645" w:rsidRPr="00CA7700" w14:paraId="44C53E9B" w14:textId="77777777" w:rsidTr="00C7434F">
        <w:trPr>
          <w:trHeight w:val="680"/>
        </w:trPr>
        <w:tc>
          <w:tcPr>
            <w:tcW w:w="1555" w:type="dxa"/>
          </w:tcPr>
          <w:p w14:paraId="50EF565A" w14:textId="77777777" w:rsidR="00942645" w:rsidRPr="00CA7700" w:rsidRDefault="00942645" w:rsidP="00962254">
            <w:pPr>
              <w:pStyle w:val="Applicationdirecte"/>
              <w:spacing w:before="60"/>
              <w:jc w:val="center"/>
            </w:pPr>
            <w:r>
              <w:t>b</w:t>
            </w:r>
          </w:p>
        </w:tc>
        <w:tc>
          <w:tcPr>
            <w:tcW w:w="7484" w:type="dxa"/>
          </w:tcPr>
          <w:p w14:paraId="14FA373F" w14:textId="1A83FE77"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Vakavaraisuusasetuksen 445 a artiklan 1 kohdan b alakohta</w:t>
            </w:r>
          </w:p>
          <w:p w14:paraId="08D093DD" w14:textId="666A3EDB"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 xml:space="preserve">Julkistaessaan asetuksen (EU) N:o 575/2013 445 a artiklan 1 kohdan b alakohdassa edellytettyjä tietoja laitosten on selitettävä, täyttyvätkö asetuksen (EU) N:o 575/2013 273 a artiklan 2 kohdassa säädetyt edellytykset ja jos ne täyttyvät, onko laitos päättänyt laskea vastuun arvonoikaisuriskin omien varojen vaatimukset käyttämällä asetuksen (EU) N:o 575/2013 385 artiklassa säädettyä yksinkertaistettua menetelmää; jos laitokset ovat päättäneet laskea vastuun arvonoikaisuriskin omien varojen vaatimukset käyttämällä yksinkertaistettua menetelmää, vastuun arvonoikaisuriskin omien varojen vaatimukset kyseisen menetelmän mukaisesti. </w:t>
            </w:r>
          </w:p>
        </w:tc>
      </w:tr>
    </w:tbl>
    <w:p w14:paraId="5DFF986C" w14:textId="77777777" w:rsidR="00942645" w:rsidRPr="00C7434F" w:rsidRDefault="00942645" w:rsidP="00942645">
      <w:pPr>
        <w:pStyle w:val="Titlelevel2"/>
        <w:spacing w:before="120" w:after="120"/>
        <w:rPr>
          <w:rFonts w:ascii="Times New Roman" w:eastAsia="Times New Roman" w:hAnsi="Times New Roman" w:cs="Times New Roman"/>
          <w:bCs w:val="0"/>
          <w:color w:val="auto"/>
          <w:sz w:val="24"/>
        </w:rPr>
      </w:pPr>
    </w:p>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CVA1 – Vastuun arvonoikaisuriski suppean perusmenetelmän (R-BA) mukaisesti: </w:t>
      </w:r>
      <w:r>
        <w:rPr>
          <w:rFonts w:ascii="Times New Roman" w:hAnsi="Times New Roman"/>
          <w:color w:val="auto"/>
          <w:sz w:val="24"/>
        </w:rPr>
        <w:t>Vakiomuotoinen lomake</w:t>
      </w:r>
    </w:p>
    <w:p w14:paraId="30591F3A" w14:textId="450864D5"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lastRenderedPageBreak/>
        <w:t>Laitosten on sovellettava jäljempänä tässä liitteessä annettuja ohjeita täyttääkseen tietoteknisten ratkaisujen liitteessä XLI olevan lomakkeen EU CVA1 asetuksen (EU) N:o 575/2013 445 a artiklan 3 kohdan a alakohdan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rPr>
            </w:pPr>
            <w:r>
              <w:rPr>
                <w:rFonts w:ascii="Times New Roman" w:hAnsi="Times New Roman"/>
                <w:b/>
                <w:sz w:val="24"/>
              </w:rPr>
              <w:t>Lainsäädäntöviitteet ja ohjeet</w:t>
            </w:r>
          </w:p>
        </w:tc>
      </w:tr>
      <w:tr w:rsidR="00942645" w:rsidRPr="00CA7700" w14:paraId="5B11034B" w14:textId="77777777" w:rsidTr="00C7434F">
        <w:trPr>
          <w:trHeight w:val="238"/>
        </w:trPr>
        <w:tc>
          <w:tcPr>
            <w:tcW w:w="1555"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42645" w:rsidRPr="00CA7700" w14:paraId="2FEBD55E" w14:textId="77777777" w:rsidTr="00C7434F">
        <w:trPr>
          <w:trHeight w:val="680"/>
        </w:trPr>
        <w:tc>
          <w:tcPr>
            <w:tcW w:w="1555" w:type="dxa"/>
          </w:tcPr>
          <w:p w14:paraId="36B837FA" w14:textId="77777777" w:rsidR="00942645" w:rsidRPr="00CA7700" w:rsidRDefault="00942645" w:rsidP="00962254">
            <w:pPr>
              <w:pStyle w:val="Applicationdirecte"/>
              <w:spacing w:before="60" w:after="0"/>
              <w:jc w:val="center"/>
            </w:pPr>
            <w:r>
              <w:t>1</w:t>
            </w:r>
          </w:p>
        </w:tc>
        <w:tc>
          <w:tcPr>
            <w:tcW w:w="7484" w:type="dxa"/>
          </w:tcPr>
          <w:p w14:paraId="54484298"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Vastuun arvonoikaisuriskin systemaattisten komponenttien yhdistelmä </w:t>
            </w:r>
          </w:p>
          <w:p w14:paraId="732F93B6" w14:textId="4D694000" w:rsidR="00942645" w:rsidRPr="00CA7700" w:rsidRDefault="00942645" w:rsidP="00962254">
            <w:pPr>
              <w:jc w:val="both"/>
              <w:rPr>
                <w:rFonts w:ascii="Times New Roman" w:hAnsi="Times New Roman" w:cs="Times New Roman"/>
                <w:sz w:val="24"/>
              </w:rPr>
            </w:pPr>
            <w:r>
              <w:rPr>
                <w:rFonts w:ascii="Times New Roman" w:hAnsi="Times New Roman"/>
                <w:sz w:val="24"/>
              </w:rPr>
              <w:t>Asetuksen (EU) N:o 575/2013 384 artiklan 3 kohta. Täydellisen korrelaatio-oletuksen mukainen omien varojen vaatimusten komponentti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rFonts w:ascii="Times New Roman" w:hAnsi="Times New Roman"/>
                <w:sz w:val="24"/>
                <w:vertAlign w:val="subscript"/>
              </w:rPr>
              <w:t xml:space="preserve">). </w:t>
            </w:r>
            <w:r>
              <w:rPr>
                <w:rFonts w:ascii="Times New Roman" w:hAnsi="Times New Roman"/>
                <w:sz w:val="24"/>
              </w:rPr>
              <w:t>Diskonttaustekijää 0,65 ei sovelleta.</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C7434F">
        <w:trPr>
          <w:trHeight w:val="680"/>
        </w:trPr>
        <w:tc>
          <w:tcPr>
            <w:tcW w:w="1555" w:type="dxa"/>
          </w:tcPr>
          <w:p w14:paraId="05654707" w14:textId="77777777" w:rsidR="00942645" w:rsidRPr="00CA7700" w:rsidRDefault="00942645" w:rsidP="00962254">
            <w:pPr>
              <w:pStyle w:val="Applicationdirecte"/>
              <w:spacing w:before="60" w:after="0"/>
              <w:jc w:val="center"/>
            </w:pPr>
            <w:r>
              <w:t>2</w:t>
            </w:r>
          </w:p>
        </w:tc>
        <w:tc>
          <w:tcPr>
            <w:tcW w:w="7484" w:type="dxa"/>
          </w:tcPr>
          <w:p w14:paraId="196293CA"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Vastuun arvonoikaisuriskin valvottavakohtaisten komponenttien yhdistelmä </w:t>
            </w:r>
          </w:p>
          <w:p w14:paraId="75CC615B" w14:textId="674604A6" w:rsidR="00942645" w:rsidRPr="00CA7700" w:rsidRDefault="00942645" w:rsidP="00962254">
            <w:pPr>
              <w:jc w:val="both"/>
              <w:rPr>
                <w:rFonts w:ascii="Times New Roman" w:hAnsi="Times New Roman" w:cs="Times New Roman"/>
                <w:sz w:val="24"/>
              </w:rPr>
            </w:pPr>
            <w:r>
              <w:rPr>
                <w:rFonts w:ascii="Times New Roman" w:hAnsi="Times New Roman"/>
                <w:sz w:val="24"/>
              </w:rPr>
              <w:t>Asetuksen (EU) N:o 575/2013 384 artiklan 3 kohta. Nollakorrelaatio-oletuksen mukainen omien varojen vaatimusten komponentti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rFonts w:ascii="Times New Roman" w:hAnsi="Times New Roman"/>
                <w:sz w:val="24"/>
              </w:rPr>
              <w:t>). Diskonttaustekijää 0,65 ei sovelleta.</w:t>
            </w:r>
          </w:p>
        </w:tc>
      </w:tr>
      <w:tr w:rsidR="00942645" w:rsidRPr="00CA7700" w14:paraId="34141E36" w14:textId="77777777" w:rsidTr="00C7434F">
        <w:trPr>
          <w:trHeight w:val="680"/>
        </w:trPr>
        <w:tc>
          <w:tcPr>
            <w:tcW w:w="1555" w:type="dxa"/>
          </w:tcPr>
          <w:p w14:paraId="24B58293" w14:textId="77777777" w:rsidR="00942645" w:rsidRPr="00CA7700" w:rsidRDefault="00942645" w:rsidP="00962254">
            <w:pPr>
              <w:pStyle w:val="Applicationdirecte"/>
              <w:spacing w:before="60" w:after="0"/>
              <w:jc w:val="center"/>
            </w:pPr>
            <w:r>
              <w:t>3</w:t>
            </w:r>
          </w:p>
        </w:tc>
        <w:tc>
          <w:tcPr>
            <w:tcW w:w="7484" w:type="dxa"/>
          </w:tcPr>
          <w:p w14:paraId="625EFEB1"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Yhteensä </w:t>
            </w:r>
          </w:p>
          <w:p w14:paraId="715DBC77" w14:textId="042D3A66" w:rsidR="00942645" w:rsidRPr="00CA7700" w:rsidRDefault="00942645" w:rsidP="00962254">
            <w:pPr>
              <w:pStyle w:val="Default"/>
              <w:spacing w:after="120"/>
              <w:jc w:val="both"/>
              <w:rPr>
                <w:rFonts w:ascii="Times New Roman" w:hAnsi="Times New Roman" w:cs="Times New Roman"/>
                <w:iCs/>
              </w:rPr>
            </w:pPr>
            <w:r>
              <w:rPr>
                <w:rFonts w:ascii="Times New Roman" w:hAnsi="Times New Roman"/>
              </w:rPr>
              <w:t>Vastuun arvonoikaisuriskin omien varojen vaatimukset yhteensä suppean perusmenetelmän mukaisesti. Tämä määrä on sama kuin lomakkeen EU OV1 rivillä EU 10b sarakkeessa c ilmoitettu määrä, jos laitos käyttää suppean perusmenetelmän vastuun arvonoikaisuriskiä (BA-CVA).</w:t>
            </w:r>
          </w:p>
        </w:tc>
      </w:tr>
      <w:tr w:rsidR="00942645" w:rsidRPr="00CA7700" w14:paraId="495C220D" w14:textId="77777777" w:rsidTr="00C7434F">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Selitys</w:t>
            </w:r>
          </w:p>
        </w:tc>
      </w:tr>
      <w:tr w:rsidR="00942645" w:rsidRPr="00CA7700" w14:paraId="2D500ECF" w14:textId="77777777" w:rsidTr="00C7434F">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a</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rPr>
            </w:pPr>
            <w:r>
              <w:rPr>
                <w:rFonts w:ascii="Times New Roman" w:hAnsi="Times New Roman"/>
                <w:b/>
              </w:rPr>
              <w:t>Omien varojen vaatimusten komponentit</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Asetuksen (EU) N:o 575/2013 384 artiklan 3 kohdan mukaiset omien varojen vaatimusten komponentit sellaisen laitoksen osalta, joka täyttää asetuksen (EU) N:o 575/2013 384 artiklan 1 kohdan b alakohdassa säädetyn edellytyksen.</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CVA2 – Vastuun arvonoikaisuriski täyden perusmenetelmän (F-BA) mukaisesti: </w:t>
      </w:r>
      <w:r>
        <w:rPr>
          <w:rFonts w:ascii="Times New Roman" w:hAnsi="Times New Roman"/>
          <w:color w:val="auto"/>
          <w:sz w:val="24"/>
        </w:rPr>
        <w:t>Vakiomuotoinen lomake</w:t>
      </w:r>
    </w:p>
    <w:p w14:paraId="1AC6C572" w14:textId="77777777"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t>Laitosten on sovellettava jäljempänä tässä liitteessä annettuja ohjeita täyttääkseen liitteessä XLI olevan lomakkeen EU CVA2 asetuksen (EU) N:o 575/2013 445 a artiklan 3 kohdan a ja b alakohdan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rPr>
            </w:pPr>
            <w:r>
              <w:rPr>
                <w:rFonts w:ascii="Times New Roman" w:hAnsi="Times New Roman"/>
                <w:b/>
                <w:sz w:val="24"/>
              </w:rPr>
              <w:t>Lainsäädäntöviitteet ja ohjeet</w:t>
            </w:r>
          </w:p>
        </w:tc>
      </w:tr>
      <w:tr w:rsidR="00942645" w:rsidRPr="00CA7700" w14:paraId="7CCF4176" w14:textId="77777777" w:rsidTr="00C7434F">
        <w:trPr>
          <w:trHeight w:val="238"/>
        </w:trPr>
        <w:tc>
          <w:tcPr>
            <w:tcW w:w="1555"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42645" w:rsidRPr="00CA7700" w14:paraId="3A8E3855" w14:textId="77777777" w:rsidTr="00C7434F">
        <w:trPr>
          <w:trHeight w:val="680"/>
        </w:trPr>
        <w:tc>
          <w:tcPr>
            <w:tcW w:w="1555" w:type="dxa"/>
          </w:tcPr>
          <w:p w14:paraId="360F4E78" w14:textId="77777777" w:rsidR="00942645" w:rsidRPr="00CA7700" w:rsidRDefault="00942645" w:rsidP="00962254">
            <w:pPr>
              <w:pStyle w:val="Applicationdirecte"/>
              <w:spacing w:before="60" w:after="0"/>
              <w:jc w:val="center"/>
            </w:pPr>
            <w:r>
              <w:t>1</w:t>
            </w:r>
          </w:p>
        </w:tc>
        <w:tc>
          <w:tcPr>
            <w:tcW w:w="7484"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BACVA</w:t>
            </w:r>
            <w:r>
              <w:rPr>
                <w:rFonts w:ascii="Times New Roman" w:hAnsi="Times New Roman"/>
                <w:b/>
                <w:sz w:val="24"/>
                <w:vertAlign w:val="superscript"/>
              </w:rPr>
              <w:t>csr-unhedged</w:t>
            </w:r>
            <w:r>
              <w:rPr>
                <w:rFonts w:ascii="Times New Roman" w:hAnsi="Times New Roman"/>
                <w:b/>
                <w:sz w:val="24"/>
              </w:rPr>
              <w:t xml:space="preserve"> </w:t>
            </w:r>
          </w:p>
          <w:p w14:paraId="773EAD60" w14:textId="5EA45F2D" w:rsidR="00942645" w:rsidRPr="00CA7700" w:rsidRDefault="00942645" w:rsidP="00962254">
            <w:pPr>
              <w:pStyle w:val="TableMainHeading"/>
              <w:spacing w:before="60"/>
              <w:jc w:val="both"/>
              <w:rPr>
                <w:rFonts w:ascii="Times New Roman" w:hAnsi="Times New Roman"/>
                <w:i/>
                <w:sz w:val="24"/>
                <w:szCs w:val="24"/>
              </w:rPr>
            </w:pPr>
            <w:r>
              <w:rPr>
                <w:rFonts w:ascii="Times New Roman" w:hAnsi="Times New Roman"/>
                <w:sz w:val="24"/>
              </w:rPr>
              <w:t xml:space="preserve">Asetuksen (EU) N:o 575/2013 384 artiklan 3 kohdan mukainen omien varojen vaatimusten komponentti sellaisen laitoksen osalta, joka täyttää asetuksen (EU) N:o 575/2013 384 artiklan 1 kohdan b alakohdassa säädetyn edellytyksen. </w:t>
            </w:r>
          </w:p>
        </w:tc>
      </w:tr>
      <w:tr w:rsidR="00942645" w:rsidRPr="00CA7700" w14:paraId="4D01A6DA" w14:textId="77777777" w:rsidTr="00C7434F">
        <w:trPr>
          <w:trHeight w:val="680"/>
        </w:trPr>
        <w:tc>
          <w:tcPr>
            <w:tcW w:w="1555" w:type="dxa"/>
          </w:tcPr>
          <w:p w14:paraId="7D13E37A" w14:textId="77777777" w:rsidR="00942645" w:rsidRPr="00CA7700" w:rsidRDefault="00942645" w:rsidP="00962254">
            <w:pPr>
              <w:pStyle w:val="Applicationdirecte"/>
              <w:spacing w:before="60" w:after="0"/>
              <w:jc w:val="center"/>
            </w:pPr>
            <w:r>
              <w:lastRenderedPageBreak/>
              <w:t>2</w:t>
            </w:r>
          </w:p>
        </w:tc>
        <w:tc>
          <w:tcPr>
            <w:tcW w:w="7484"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Pr>
                <w:rFonts w:ascii="Times New Roman" w:hAnsi="Times New Roman"/>
                <w:b/>
                <w:sz w:val="24"/>
              </w:rPr>
              <w:t>BACVA</w:t>
            </w:r>
            <w:r>
              <w:rPr>
                <w:rFonts w:ascii="Times New Roman" w:hAnsi="Times New Roman"/>
                <w:b/>
                <w:sz w:val="24"/>
                <w:vertAlign w:val="superscript"/>
              </w:rPr>
              <w:t>csr-hedged</w:t>
            </w:r>
            <w:r>
              <w:rPr>
                <w:rFonts w:ascii="Times New Roman" w:hAnsi="Times New Roman"/>
                <w:b/>
                <w:sz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Pr>
                <w:rFonts w:ascii="Times New Roman" w:hAnsi="Times New Roman"/>
                <w:sz w:val="24"/>
              </w:rPr>
              <w:t>Asetuksen (EU) N:o 575/2013 384 artiklan 2 kohdan mukainen omien varojen vaatimusten komponentti sellaisen laitoksen osalta, joka täyttää asetuksen (EU) N:o 575/2013 384 artiklan 1 kohdan a alakohdassa säädetyn edellytyksen.</w:t>
            </w:r>
          </w:p>
        </w:tc>
      </w:tr>
      <w:tr w:rsidR="00942645" w:rsidRPr="00CA7700" w14:paraId="22AF0F68" w14:textId="77777777" w:rsidTr="00C7434F">
        <w:trPr>
          <w:trHeight w:val="680"/>
        </w:trPr>
        <w:tc>
          <w:tcPr>
            <w:tcW w:w="1555" w:type="dxa"/>
          </w:tcPr>
          <w:p w14:paraId="536AE970" w14:textId="77777777" w:rsidR="00942645" w:rsidRPr="00CA7700" w:rsidRDefault="00942645" w:rsidP="00962254">
            <w:pPr>
              <w:pStyle w:val="Applicationdirecte"/>
              <w:spacing w:before="60" w:after="0"/>
              <w:jc w:val="center"/>
            </w:pPr>
            <w:r>
              <w:t>3</w:t>
            </w:r>
          </w:p>
        </w:tc>
        <w:tc>
          <w:tcPr>
            <w:tcW w:w="7484" w:type="dxa"/>
          </w:tcPr>
          <w:p w14:paraId="478A4B46"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Yhteensä </w:t>
            </w:r>
          </w:p>
          <w:p w14:paraId="1F769140" w14:textId="5695C89E"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Asetuksen (EU) N:o 575/2013 384 artiklan 2 kohdan mukaisesti lasketut sellaisten liiketoimien omien varojen vaatimukset yhteensä, joihin sovelletaan täyttä perusmenetelmää, sellaisen laitoksen osalta, joka täyttää asetuksen (EU) N:o 575/2013 384 artiklan 1 kohdan a alakohdassa säädetyn edellytyksen. Tämä määrä on sama kuin lomakkeen EU OV1 rivillä EU 10b sarakkeessa c ilmoitettu määrä, jos laitos käyttää täyden perusmenetelmän vastuun arvonoikaisuriskiä (BA-CVA).</w:t>
            </w:r>
          </w:p>
        </w:tc>
      </w:tr>
      <w:tr w:rsidR="00942645" w:rsidRPr="00CA7700" w14:paraId="49A23C27" w14:textId="77777777" w:rsidTr="00C7434F">
        <w:trPr>
          <w:trHeight w:val="680"/>
        </w:trPr>
        <w:tc>
          <w:tcPr>
            <w:tcW w:w="1555" w:type="dxa"/>
          </w:tcPr>
          <w:p w14:paraId="30EEC360" w14:textId="77777777" w:rsidR="00942645" w:rsidRPr="00CA7700" w:rsidRDefault="00942645" w:rsidP="00962254">
            <w:pPr>
              <w:pStyle w:val="Applicationdirecte"/>
              <w:spacing w:before="60" w:after="0"/>
              <w:jc w:val="center"/>
            </w:pPr>
            <w:r>
              <w:t>EU 4 – EU 6</w:t>
            </w:r>
          </w:p>
        </w:tc>
        <w:tc>
          <w:tcPr>
            <w:tcW w:w="7484"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rPr>
            </w:pPr>
            <w:r>
              <w:rPr>
                <w:rFonts w:ascii="Times New Roman" w:hAnsi="Times New Roman"/>
                <w:b/>
              </w:rPr>
              <w:t>Vastuun arvonoikaisujen suojaukset</w:t>
            </w:r>
          </w:p>
          <w:p w14:paraId="2DA2624F" w14:textId="77777777"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 xml:space="preserve">Asetuksen (EU) N:o 575/2013 386 artikla.                                                                                                                                                                                 </w:t>
            </w:r>
          </w:p>
        </w:tc>
      </w:tr>
      <w:tr w:rsidR="00942645" w:rsidRPr="00CA7700" w14:paraId="7F165970" w14:textId="77777777" w:rsidTr="00C7434F">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Selitys</w:t>
            </w:r>
          </w:p>
        </w:tc>
      </w:tr>
      <w:tr w:rsidR="00942645" w:rsidRPr="00CA7700" w14:paraId="132006DD" w14:textId="77777777" w:rsidTr="00C7434F">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a</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Pr>
                <w:rFonts w:ascii="Times New Roman" w:hAnsi="Times New Roman"/>
                <w:b/>
              </w:rPr>
              <w:t>Omien varojen vaatimukset</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Asetuksen (EU) N:o 575/2013 382 artikla.</w:t>
            </w:r>
          </w:p>
        </w:tc>
      </w:tr>
      <w:tr w:rsidR="00942645" w:rsidRPr="00CA7700" w14:paraId="4CF3202E" w14:textId="77777777" w:rsidTr="00C7434F">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EU b</w:t>
            </w:r>
          </w:p>
        </w:tc>
        <w:tc>
          <w:tcPr>
            <w:tcW w:w="7484"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Vastuun arvonoikaisujen suojausten nimellisarvo</w:t>
            </w:r>
          </w:p>
          <w:p w14:paraId="6971C72E" w14:textId="002E6959" w:rsidR="00942645" w:rsidRPr="00CA7700" w:rsidRDefault="00942645" w:rsidP="00962254">
            <w:pPr>
              <w:pStyle w:val="Default"/>
              <w:spacing w:after="120"/>
              <w:jc w:val="both"/>
              <w:rPr>
                <w:rFonts w:ascii="Times New Roman" w:hAnsi="Times New Roman" w:cs="Times New Roman"/>
                <w:b/>
              </w:rPr>
            </w:pPr>
            <w:r>
              <w:rPr>
                <w:rFonts w:ascii="Times New Roman" w:hAnsi="Times New Roman"/>
              </w:rPr>
              <w:t>Vastuun arvonoikaisun sellaisten hyväksyttävien suojausten nimellisarvo (brutto), jotka on hyväksytty asetuksen (EU) N:o 575/2013 386 artiklan mukaisesti.</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Lomake EU CVAB: Vastuun arvonoikaisuriskiin liittyvät laadulliset julkistamisvaatimukset standardimenetelmää käyttäville laitoksille</w:t>
      </w:r>
      <w:r>
        <w:rPr>
          <w:rFonts w:ascii="Times New Roman" w:hAnsi="Times New Roman"/>
          <w:sz w:val="24"/>
        </w:rPr>
        <w:t xml:space="preserve"> </w:t>
      </w:r>
      <w:r>
        <w:rPr>
          <w:rFonts w:ascii="Times New Roman" w:hAnsi="Times New Roman"/>
          <w:color w:val="000000"/>
          <w:sz w:val="24"/>
        </w:rPr>
        <w:t xml:space="preserve">vapaamuotoiset tekstikentät </w:t>
      </w:r>
    </w:p>
    <w:p w14:paraId="15A03098" w14:textId="5A4C11E9" w:rsidR="00942645" w:rsidRPr="00CA7700" w:rsidRDefault="00942645" w:rsidP="00942645">
      <w:pPr>
        <w:pStyle w:val="Titlelevel2"/>
        <w:numPr>
          <w:ilvl w:val="0"/>
          <w:numId w:val="14"/>
        </w:numPr>
        <w:spacing w:before="120"/>
        <w:jc w:val="both"/>
        <w:rPr>
          <w:rFonts w:ascii="Times New Roman" w:hAnsi="Times New Roman" w:cs="Times New Roman"/>
          <w:sz w:val="24"/>
        </w:rPr>
      </w:pPr>
      <w:r>
        <w:rPr>
          <w:rFonts w:ascii="Times New Roman" w:hAnsi="Times New Roman"/>
          <w:color w:val="auto"/>
          <w:sz w:val="24"/>
        </w:rPr>
        <w:t>Laitosten on sovellettava jäljempänä annettuja ohjeita täyttääkseen tietoteknisten ratkaisujen liitteessä XLI olevan lomakkeen EU CVAB asetuksen (EU) N:o 575/2013 445 a artiklan 2 kohdan a alakohdan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rPr>
            </w:pPr>
            <w:r>
              <w:rPr>
                <w:rFonts w:ascii="Times New Roman" w:hAnsi="Times New Roman"/>
                <w:b/>
                <w:sz w:val="24"/>
              </w:rPr>
              <w:t>Lainsäädäntöviitteet ja ohjeet</w:t>
            </w:r>
          </w:p>
        </w:tc>
      </w:tr>
      <w:tr w:rsidR="00942645" w:rsidRPr="00CA7700" w14:paraId="058ED50C" w14:textId="77777777" w:rsidTr="00C7434F">
        <w:trPr>
          <w:trHeight w:val="238"/>
        </w:trPr>
        <w:tc>
          <w:tcPr>
            <w:tcW w:w="1555"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42645" w:rsidRPr="00CA7700" w14:paraId="7FC943AA" w14:textId="77777777" w:rsidTr="00C7434F">
        <w:trPr>
          <w:trHeight w:val="680"/>
        </w:trPr>
        <w:tc>
          <w:tcPr>
            <w:tcW w:w="1555" w:type="dxa"/>
          </w:tcPr>
          <w:p w14:paraId="538FEE19" w14:textId="77777777" w:rsidR="00942645" w:rsidRPr="00CA7700" w:rsidRDefault="00942645" w:rsidP="00962254">
            <w:pPr>
              <w:pStyle w:val="Applicationdirecte"/>
              <w:spacing w:before="60"/>
              <w:jc w:val="center"/>
            </w:pPr>
            <w:r>
              <w:t>a</w:t>
            </w:r>
          </w:p>
        </w:tc>
        <w:tc>
          <w:tcPr>
            <w:tcW w:w="7484" w:type="dxa"/>
            <w:vAlign w:val="center"/>
          </w:tcPr>
          <w:p w14:paraId="5723498B" w14:textId="6623C4D9" w:rsidR="00942645" w:rsidRPr="00CA7700" w:rsidRDefault="00942645" w:rsidP="00C2380E">
            <w:pPr>
              <w:spacing w:before="60" w:after="120"/>
              <w:jc w:val="both"/>
              <w:rPr>
                <w:rFonts w:ascii="Times New Roman" w:hAnsi="Times New Roman" w:cs="Times New Roman"/>
                <w:sz w:val="24"/>
              </w:rPr>
            </w:pPr>
            <w:r>
              <w:rPr>
                <w:rFonts w:ascii="Times New Roman" w:hAnsi="Times New Roman"/>
                <w:sz w:val="24"/>
              </w:rPr>
              <w:t xml:space="preserve">Julkistaessaan asetuksen (EU) N:o 575/2013 445 a artiklan 2 kohdan a alakohdassa edellytettyjä tietoja laitosten on kuvattava sisäisen vastuun arvonoikaisuriskin hallintatoiminnon ja hallintotavan rakenne ja organisointi, mukaan lukien kuvaus pankin vastuun arvonoikaisuriskin hallintakehyksestä. </w:t>
            </w:r>
          </w:p>
        </w:tc>
      </w:tr>
      <w:tr w:rsidR="00942645" w:rsidRPr="00CA7700" w14:paraId="2C14B87C" w14:textId="77777777" w:rsidTr="00C7434F">
        <w:trPr>
          <w:trHeight w:val="680"/>
        </w:trPr>
        <w:tc>
          <w:tcPr>
            <w:tcW w:w="1555" w:type="dxa"/>
          </w:tcPr>
          <w:p w14:paraId="6735DFB8" w14:textId="77777777" w:rsidR="00942645" w:rsidRPr="00CA7700" w:rsidRDefault="00942645" w:rsidP="00962254">
            <w:pPr>
              <w:pStyle w:val="Applicationdirecte"/>
              <w:spacing w:before="60"/>
              <w:jc w:val="center"/>
            </w:pPr>
            <w:r>
              <w:t>b</w:t>
            </w:r>
          </w:p>
        </w:tc>
        <w:tc>
          <w:tcPr>
            <w:tcW w:w="7484"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Kuvaus siitä, miten toimiva johto on mukana vastuun arvonoikaisuriskin hallintakehyksessä.</w:t>
            </w:r>
          </w:p>
        </w:tc>
      </w:tr>
      <w:tr w:rsidR="00942645" w:rsidRPr="00CA7700" w14:paraId="23888D51" w14:textId="77777777" w:rsidTr="00C7434F">
        <w:trPr>
          <w:trHeight w:val="680"/>
        </w:trPr>
        <w:tc>
          <w:tcPr>
            <w:tcW w:w="1555" w:type="dxa"/>
          </w:tcPr>
          <w:p w14:paraId="31F6385A" w14:textId="77777777" w:rsidR="00942645" w:rsidRPr="00CA7700" w:rsidRDefault="00942645" w:rsidP="00962254">
            <w:pPr>
              <w:pStyle w:val="Applicationdirecte"/>
              <w:spacing w:before="60"/>
              <w:jc w:val="center"/>
            </w:pPr>
            <w:r>
              <w:lastRenderedPageBreak/>
              <w:t>c</w:t>
            </w:r>
          </w:p>
        </w:tc>
        <w:tc>
          <w:tcPr>
            <w:tcW w:w="7484"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Yleiskatsaus vastuun arvonoikaisuriskin hallintakehyksen hallinnoinnista (esim. dokumentaatio, riippumaton valvontayksikkö, riippumaton arviointi, tietojen hankinnan riippumattomuus liiketoimintayksiköistä)</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Pr>
          <w:rFonts w:ascii="Times New Roman" w:hAnsi="Times New Roman"/>
          <w:b/>
          <w:sz w:val="24"/>
        </w:rPr>
        <w:t xml:space="preserve">Lomake EU CVA3 – Vastuun arvonoikaisuriski standardimenetelmän (SA) mukaisesti: </w:t>
      </w:r>
      <w:r>
        <w:rPr>
          <w:rFonts w:ascii="Times New Roman" w:hAnsi="Times New Roman"/>
          <w:sz w:val="24"/>
        </w:rPr>
        <w:t>Vakiomuotoinen lomake</w:t>
      </w:r>
    </w:p>
    <w:p w14:paraId="18ADC674" w14:textId="77777777" w:rsidR="00942645" w:rsidRPr="00CA7700" w:rsidRDefault="00942645" w:rsidP="00942645">
      <w:pPr>
        <w:pStyle w:val="Titlelevel2"/>
        <w:numPr>
          <w:ilvl w:val="0"/>
          <w:numId w:val="14"/>
        </w:numPr>
        <w:spacing w:before="120"/>
        <w:jc w:val="both"/>
        <w:rPr>
          <w:rFonts w:ascii="Times New Roman" w:hAnsi="Times New Roman" w:cs="Times New Roman"/>
          <w:b/>
          <w:color w:val="auto"/>
          <w:sz w:val="24"/>
        </w:rPr>
      </w:pPr>
      <w:r>
        <w:rPr>
          <w:rFonts w:ascii="Times New Roman" w:hAnsi="Times New Roman"/>
          <w:color w:val="000000"/>
          <w:sz w:val="24"/>
        </w:rPr>
        <w:t>Laitosten on sovellettava jäljempänä tässä liitteessä annettuja ohjeita täyttääkseen liitteessä XLI olevan lomakkeen EU CVA3 asetuksen (EU) N:o 575/2013 445 a artiklan 1 kohdan c alakohdan ja 445 a artiklan 2 kohdan b ja c alakohdan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rPr>
            </w:pPr>
            <w:r>
              <w:rPr>
                <w:rFonts w:ascii="Times New Roman" w:hAnsi="Times New Roman"/>
                <w:b/>
                <w:sz w:val="24"/>
              </w:rPr>
              <w:t>Lainsäädäntöviitteet ja ohjeet</w:t>
            </w:r>
          </w:p>
        </w:tc>
      </w:tr>
      <w:tr w:rsidR="00942645" w:rsidRPr="00CA7700" w14:paraId="7D7672FA" w14:textId="77777777" w:rsidTr="00C7434F">
        <w:trPr>
          <w:trHeight w:val="238"/>
        </w:trPr>
        <w:tc>
          <w:tcPr>
            <w:tcW w:w="1555"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42645" w:rsidRPr="00CA7700" w14:paraId="0BAD186E" w14:textId="77777777" w:rsidTr="00C7434F">
        <w:trPr>
          <w:trHeight w:val="680"/>
        </w:trPr>
        <w:tc>
          <w:tcPr>
            <w:tcW w:w="1555" w:type="dxa"/>
          </w:tcPr>
          <w:p w14:paraId="4425CAC5" w14:textId="77777777" w:rsidR="00942645" w:rsidRPr="00CA7700" w:rsidRDefault="00942645" w:rsidP="00962254">
            <w:pPr>
              <w:pStyle w:val="Applicationdirecte"/>
              <w:spacing w:before="60" w:after="0"/>
              <w:jc w:val="center"/>
            </w:pPr>
            <w:r>
              <w:t>1–6</w:t>
            </w:r>
          </w:p>
        </w:tc>
        <w:tc>
          <w:tcPr>
            <w:tcW w:w="7484" w:type="dxa"/>
            <w:vAlign w:val="center"/>
          </w:tcPr>
          <w:p w14:paraId="78E0BB68" w14:textId="77777777" w:rsidR="00942645" w:rsidRPr="00212EDF" w:rsidRDefault="00942645" w:rsidP="00962254">
            <w:pPr>
              <w:pStyle w:val="TableNote"/>
              <w:rPr>
                <w:rFonts w:ascii="Times New Roman" w:hAnsi="Times New Roman"/>
                <w:b/>
                <w:iCs/>
                <w:sz w:val="24"/>
                <w:szCs w:val="24"/>
              </w:rPr>
            </w:pPr>
            <w:r>
              <w:rPr>
                <w:rFonts w:ascii="Times New Roman" w:hAnsi="Times New Roman"/>
                <w:b/>
                <w:sz w:val="24"/>
              </w:rPr>
              <w:t>Riskiluokat</w:t>
            </w:r>
          </w:p>
          <w:p w14:paraId="60828ECC" w14:textId="4B3E3F32" w:rsidR="00942645" w:rsidRPr="00CA7700" w:rsidRDefault="00942645" w:rsidP="00962254">
            <w:pPr>
              <w:pStyle w:val="TableNote"/>
              <w:rPr>
                <w:rFonts w:ascii="Times New Roman" w:hAnsi="Times New Roman"/>
                <w:i/>
                <w:sz w:val="24"/>
                <w:szCs w:val="24"/>
              </w:rPr>
            </w:pPr>
            <w:r>
              <w:rPr>
                <w:rFonts w:ascii="Times New Roman" w:hAnsi="Times New Roman"/>
                <w:sz w:val="24"/>
              </w:rPr>
              <w:t>Asetuksen (EU) N:o 575/2013 383 artiklan mukaisen standardimenetelmän (standardimenetelmän vastuun arvonoikaisuriski, SA-CVA) mukaisten omien varojen vaatimusten komponentit, mukaan lukien jaottelu asetuksen (EU) N:o 575/2013 383 artiklan 2 kohdan 1 alakohdassa määriteltyihin riskiluokkiin.</w:t>
            </w:r>
          </w:p>
        </w:tc>
      </w:tr>
      <w:tr w:rsidR="00942645" w:rsidRPr="00CA7700" w14:paraId="08B80DC9" w14:textId="77777777" w:rsidTr="00C7434F">
        <w:trPr>
          <w:trHeight w:val="680"/>
        </w:trPr>
        <w:tc>
          <w:tcPr>
            <w:tcW w:w="1555" w:type="dxa"/>
          </w:tcPr>
          <w:p w14:paraId="0A8EF228" w14:textId="77777777" w:rsidR="00942645" w:rsidRPr="00CA7700" w:rsidRDefault="00942645" w:rsidP="00962254">
            <w:pPr>
              <w:pStyle w:val="Applicationdirecte"/>
              <w:spacing w:before="60" w:after="0"/>
              <w:jc w:val="center"/>
            </w:pPr>
            <w:r>
              <w:t>1</w:t>
            </w:r>
          </w:p>
        </w:tc>
        <w:tc>
          <w:tcPr>
            <w:tcW w:w="7484" w:type="dxa"/>
            <w:vAlign w:val="center"/>
          </w:tcPr>
          <w:p w14:paraId="28EC92DE" w14:textId="02A0C77C"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Korkoriski</w:t>
            </w:r>
          </w:p>
          <w:p w14:paraId="16CB1A2E" w14:textId="2B6C4833" w:rsidR="00942645" w:rsidRPr="00CA7700" w:rsidRDefault="00942645" w:rsidP="00962254">
            <w:pPr>
              <w:pStyle w:val="TableNote"/>
              <w:rPr>
                <w:rFonts w:ascii="Times New Roman" w:hAnsi="Times New Roman"/>
                <w:i/>
                <w:sz w:val="24"/>
                <w:szCs w:val="24"/>
              </w:rPr>
            </w:pPr>
            <w:r>
              <w:rPr>
                <w:rFonts w:ascii="Times New Roman" w:hAnsi="Times New Roman"/>
                <w:sz w:val="24"/>
              </w:rPr>
              <w:t xml:space="preserve">Asetuksen (EU) N:o 575/2013 383 c, 383 i, 383 j, 383 k, 383 l ja 383 m artikla. </w:t>
            </w:r>
          </w:p>
        </w:tc>
      </w:tr>
      <w:tr w:rsidR="00942645" w:rsidRPr="00CA7700" w14:paraId="66D65198" w14:textId="77777777" w:rsidTr="00C7434F">
        <w:trPr>
          <w:trHeight w:val="680"/>
        </w:trPr>
        <w:tc>
          <w:tcPr>
            <w:tcW w:w="1555" w:type="dxa"/>
          </w:tcPr>
          <w:p w14:paraId="17F59EE8" w14:textId="77777777" w:rsidR="00942645" w:rsidRPr="00CA7700" w:rsidRDefault="00942645" w:rsidP="00962254">
            <w:pPr>
              <w:pStyle w:val="Applicationdirecte"/>
              <w:spacing w:before="60" w:after="0"/>
              <w:jc w:val="center"/>
            </w:pPr>
            <w:r>
              <w:t>2</w:t>
            </w:r>
          </w:p>
        </w:tc>
        <w:tc>
          <w:tcPr>
            <w:tcW w:w="7484" w:type="dxa"/>
            <w:vAlign w:val="center"/>
          </w:tcPr>
          <w:p w14:paraId="44DDD750"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 xml:space="preserve">Valuuttariski </w:t>
            </w:r>
          </w:p>
          <w:p w14:paraId="0D99F846" w14:textId="21475511" w:rsidR="00942645" w:rsidRPr="00CA7700" w:rsidRDefault="00942645" w:rsidP="00962254">
            <w:pPr>
              <w:pStyle w:val="TableNote"/>
              <w:rPr>
                <w:rFonts w:ascii="Times New Roman" w:hAnsi="Times New Roman"/>
                <w:i/>
                <w:sz w:val="24"/>
                <w:szCs w:val="24"/>
              </w:rPr>
            </w:pPr>
            <w:r>
              <w:rPr>
                <w:rFonts w:ascii="Times New Roman" w:hAnsi="Times New Roman"/>
                <w:sz w:val="24"/>
              </w:rPr>
              <w:t>Asetuksen (EU) N:o 575/2013 383 d, 383 i, 383 j, 383 n ja 383 o artikla.</w:t>
            </w:r>
          </w:p>
        </w:tc>
      </w:tr>
      <w:tr w:rsidR="00942645" w:rsidRPr="00CA7700" w14:paraId="1E7CC2E9" w14:textId="77777777" w:rsidTr="00C7434F">
        <w:trPr>
          <w:trHeight w:val="680"/>
        </w:trPr>
        <w:tc>
          <w:tcPr>
            <w:tcW w:w="1555" w:type="dxa"/>
          </w:tcPr>
          <w:p w14:paraId="47052EF4" w14:textId="77777777" w:rsidR="00942645" w:rsidRPr="00CA7700" w:rsidRDefault="00942645" w:rsidP="00962254">
            <w:pPr>
              <w:pStyle w:val="Applicationdirecte"/>
              <w:spacing w:before="60" w:after="0"/>
              <w:jc w:val="center"/>
            </w:pPr>
            <w:r>
              <w:t>3</w:t>
            </w:r>
          </w:p>
        </w:tc>
        <w:tc>
          <w:tcPr>
            <w:tcW w:w="7484"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Pr>
                <w:rFonts w:ascii="Times New Roman" w:hAnsi="Times New Roman"/>
                <w:b/>
                <w:sz w:val="24"/>
              </w:rPr>
              <w:t>Referenssiluottomarginaaliriski</w:t>
            </w:r>
          </w:p>
          <w:p w14:paraId="371E3FA7" w14:textId="67089DA8" w:rsidR="00942645" w:rsidRPr="00CA7700" w:rsidRDefault="00942645" w:rsidP="00962254">
            <w:pPr>
              <w:pStyle w:val="TableNote"/>
              <w:rPr>
                <w:rFonts w:ascii="Times New Roman" w:hAnsi="Times New Roman"/>
                <w:i/>
                <w:sz w:val="24"/>
                <w:szCs w:val="24"/>
              </w:rPr>
            </w:pPr>
            <w:r>
              <w:rPr>
                <w:rFonts w:ascii="Times New Roman" w:hAnsi="Times New Roman"/>
                <w:sz w:val="24"/>
              </w:rPr>
              <w:t>Asetuksen (EU) N:o 575/2013 383 f, 383 i, 383 j, 383 s ja 383 u artikla.</w:t>
            </w:r>
          </w:p>
        </w:tc>
      </w:tr>
      <w:tr w:rsidR="00942645" w:rsidRPr="00CA7700" w14:paraId="63127EE0" w14:textId="77777777" w:rsidTr="00C7434F">
        <w:trPr>
          <w:trHeight w:val="680"/>
        </w:trPr>
        <w:tc>
          <w:tcPr>
            <w:tcW w:w="1555" w:type="dxa"/>
          </w:tcPr>
          <w:p w14:paraId="334E24EF" w14:textId="77777777" w:rsidR="00942645" w:rsidRPr="00CA7700" w:rsidRDefault="00942645" w:rsidP="00962254">
            <w:pPr>
              <w:pStyle w:val="Applicationdirecte"/>
              <w:spacing w:before="60" w:after="0"/>
              <w:jc w:val="center"/>
            </w:pPr>
            <w:r>
              <w:t>4</w:t>
            </w:r>
          </w:p>
        </w:tc>
        <w:tc>
          <w:tcPr>
            <w:tcW w:w="7484"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Osakeriski</w:t>
            </w:r>
          </w:p>
          <w:p w14:paraId="091E1B85" w14:textId="4452A32D" w:rsidR="00942645" w:rsidRPr="00CA7700" w:rsidRDefault="00942645" w:rsidP="00962254">
            <w:pPr>
              <w:pStyle w:val="TableNote"/>
              <w:rPr>
                <w:rFonts w:ascii="Times New Roman" w:hAnsi="Times New Roman"/>
                <w:i/>
                <w:sz w:val="24"/>
                <w:szCs w:val="24"/>
              </w:rPr>
            </w:pPr>
            <w:r>
              <w:rPr>
                <w:rFonts w:ascii="Times New Roman" w:hAnsi="Times New Roman"/>
                <w:sz w:val="24"/>
              </w:rPr>
              <w:t>Asetuksen (EU) N:o 575/2013 383 g, 383 i, 383 j, 383 v ja 383 w artikla.</w:t>
            </w:r>
          </w:p>
        </w:tc>
      </w:tr>
      <w:tr w:rsidR="00942645" w:rsidRPr="00CA7700" w14:paraId="52C23ACC" w14:textId="77777777" w:rsidTr="00C7434F">
        <w:trPr>
          <w:trHeight w:val="680"/>
        </w:trPr>
        <w:tc>
          <w:tcPr>
            <w:tcW w:w="1555" w:type="dxa"/>
          </w:tcPr>
          <w:p w14:paraId="579A551B" w14:textId="77777777" w:rsidR="00942645" w:rsidRPr="00CA7700" w:rsidRDefault="00942645" w:rsidP="00962254">
            <w:pPr>
              <w:pStyle w:val="Applicationdirecte"/>
              <w:spacing w:before="60" w:after="0"/>
              <w:jc w:val="center"/>
            </w:pPr>
            <w:r>
              <w:t>5</w:t>
            </w:r>
          </w:p>
        </w:tc>
        <w:tc>
          <w:tcPr>
            <w:tcW w:w="7484"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Hyödykeriski</w:t>
            </w:r>
          </w:p>
          <w:p w14:paraId="1503EDB0" w14:textId="5095156A" w:rsidR="00942645" w:rsidRPr="00CA7700" w:rsidRDefault="00942645" w:rsidP="00962254">
            <w:pPr>
              <w:pStyle w:val="TableNote"/>
              <w:rPr>
                <w:rFonts w:ascii="Times New Roman" w:hAnsi="Times New Roman"/>
                <w:i/>
                <w:sz w:val="24"/>
                <w:szCs w:val="24"/>
              </w:rPr>
            </w:pPr>
            <w:r>
              <w:rPr>
                <w:rFonts w:ascii="Times New Roman" w:hAnsi="Times New Roman"/>
                <w:sz w:val="24"/>
              </w:rPr>
              <w:t>Asetuksen (EU) N:o 575/2013 383 h, 383 i, 383 j, 383 x ja 383 z artikla.</w:t>
            </w:r>
          </w:p>
        </w:tc>
      </w:tr>
      <w:tr w:rsidR="00942645" w:rsidRPr="00CA7700" w14:paraId="7B9ACC73" w14:textId="77777777" w:rsidTr="00C7434F">
        <w:trPr>
          <w:trHeight w:val="680"/>
        </w:trPr>
        <w:tc>
          <w:tcPr>
            <w:tcW w:w="1555" w:type="dxa"/>
          </w:tcPr>
          <w:p w14:paraId="0056975A" w14:textId="77777777" w:rsidR="00942645" w:rsidRPr="00CA7700" w:rsidRDefault="00942645" w:rsidP="00962254">
            <w:pPr>
              <w:pStyle w:val="Applicationdirecte"/>
              <w:spacing w:before="60" w:after="0"/>
              <w:jc w:val="center"/>
            </w:pPr>
            <w:r>
              <w:t>6</w:t>
            </w:r>
          </w:p>
        </w:tc>
        <w:tc>
          <w:tcPr>
            <w:tcW w:w="7484" w:type="dxa"/>
            <w:vAlign w:val="center"/>
          </w:tcPr>
          <w:p w14:paraId="14F9191C"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Vastapuolta koskeva luottomarginaaliriski</w:t>
            </w:r>
          </w:p>
          <w:p w14:paraId="3345109B" w14:textId="5DC9DECF" w:rsidR="00942645" w:rsidRPr="00CA7700" w:rsidRDefault="00942645" w:rsidP="00962254">
            <w:pPr>
              <w:pStyle w:val="TableNote"/>
              <w:rPr>
                <w:rFonts w:ascii="Times New Roman" w:hAnsi="Times New Roman"/>
                <w:i/>
                <w:sz w:val="24"/>
                <w:szCs w:val="24"/>
              </w:rPr>
            </w:pPr>
            <w:r>
              <w:rPr>
                <w:rFonts w:ascii="Times New Roman" w:hAnsi="Times New Roman"/>
                <w:sz w:val="24"/>
              </w:rPr>
              <w:t>Asetuksen (EU) N:o 575/2013 383 e, 383 i, 383 j, 383 p, 383 q ja 383 r artikla.</w:t>
            </w:r>
          </w:p>
        </w:tc>
      </w:tr>
      <w:tr w:rsidR="00942645" w:rsidRPr="00CA7700" w14:paraId="223E2B2A" w14:textId="77777777" w:rsidTr="00C7434F">
        <w:trPr>
          <w:trHeight w:val="680"/>
        </w:trPr>
        <w:tc>
          <w:tcPr>
            <w:tcW w:w="1555" w:type="dxa"/>
          </w:tcPr>
          <w:p w14:paraId="7CA24864" w14:textId="77777777" w:rsidR="00942645" w:rsidRPr="00CA7700" w:rsidRDefault="00942645" w:rsidP="00962254">
            <w:pPr>
              <w:pStyle w:val="Applicationdirecte"/>
              <w:spacing w:before="60" w:after="0"/>
              <w:jc w:val="center"/>
            </w:pPr>
            <w:r>
              <w:t>7</w:t>
            </w:r>
          </w:p>
        </w:tc>
        <w:tc>
          <w:tcPr>
            <w:tcW w:w="7484" w:type="dxa"/>
          </w:tcPr>
          <w:p w14:paraId="78C024D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Yhteensä</w:t>
            </w:r>
          </w:p>
          <w:p w14:paraId="7E51C6A2" w14:textId="0EF0E48B" w:rsidR="00942645" w:rsidRPr="00CA7700" w:rsidRDefault="00942645" w:rsidP="00962254">
            <w:pPr>
              <w:spacing w:before="60" w:after="120"/>
              <w:rPr>
                <w:rFonts w:ascii="Times New Roman" w:hAnsi="Times New Roman" w:cs="Times New Roman"/>
                <w:b/>
                <w:iCs/>
                <w:sz w:val="24"/>
              </w:rPr>
            </w:pPr>
            <w:r>
              <w:rPr>
                <w:rFonts w:ascii="Times New Roman" w:hAnsi="Times New Roman"/>
                <w:sz w:val="24"/>
              </w:rPr>
              <w:t>Rivien 1–6 summa. Tämä määrä on sama kuin lomakkeen EU OV1 rivillä EU 10a sarakkeessa c ilmoitettu määrä.</w:t>
            </w:r>
          </w:p>
        </w:tc>
      </w:tr>
      <w:tr w:rsidR="00942645" w:rsidRPr="00CA7700" w14:paraId="2D9384A0" w14:textId="77777777" w:rsidTr="00C7434F">
        <w:trPr>
          <w:trHeight w:val="680"/>
        </w:trPr>
        <w:tc>
          <w:tcPr>
            <w:tcW w:w="1555" w:type="dxa"/>
          </w:tcPr>
          <w:p w14:paraId="460ABCE7" w14:textId="77777777" w:rsidR="00942645" w:rsidRPr="00CA7700" w:rsidRDefault="00942645" w:rsidP="00962254">
            <w:pPr>
              <w:pStyle w:val="Applicationdirecte"/>
              <w:spacing w:before="60" w:after="0"/>
              <w:jc w:val="center"/>
            </w:pPr>
            <w:r>
              <w:lastRenderedPageBreak/>
              <w:t>EU 8 – EU 13</w:t>
            </w:r>
          </w:p>
        </w:tc>
        <w:tc>
          <w:tcPr>
            <w:tcW w:w="7484" w:type="dxa"/>
          </w:tcPr>
          <w:p w14:paraId="24FDD12C"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 xml:space="preserve">Transaktioiden vastapuolityypit </w:t>
            </w:r>
          </w:p>
          <w:p w14:paraId="384E4400" w14:textId="489739D4" w:rsidR="00942645" w:rsidRPr="00212EDF" w:rsidRDefault="00942645" w:rsidP="00E60D1B">
            <w:pPr>
              <w:spacing w:before="60" w:after="120"/>
              <w:rPr>
                <w:rFonts w:ascii="Times New Roman" w:hAnsi="Times New Roman" w:cs="Times New Roman"/>
                <w:sz w:val="24"/>
              </w:rPr>
            </w:pPr>
            <w:r>
              <w:rPr>
                <w:rFonts w:ascii="Times New Roman" w:hAnsi="Times New Roman"/>
                <w:sz w:val="24"/>
              </w:rPr>
              <w:t>Liiketoimien vastapuolten lukumäärä tyypeittäin eriteltynä tietoteknisen ratkaisun ”</w:t>
            </w:r>
            <w:r>
              <w:rPr>
                <w:rFonts w:ascii="Times New Roman" w:hAnsi="Times New Roman"/>
                <w:i/>
                <w:iCs/>
                <w:sz w:val="24"/>
              </w:rPr>
              <w:t>Reporting on Financial information according to IFRS and GAAP information according to IFRS and GAAP information according- 2024 - version 1</w:t>
            </w:r>
            <w:r>
              <w:rPr>
                <w:rFonts w:ascii="Times New Roman" w:hAnsi="Times New Roman"/>
                <w:sz w:val="24"/>
              </w:rPr>
              <w:t xml:space="preserve">” liitteessä V olevan 1 osan 6 jakson 42–44 kohdassa annettujen ohjeiden mukaisesti [saatavilla EPV:n verkkosivustolla]. </w:t>
            </w:r>
          </w:p>
        </w:tc>
      </w:tr>
      <w:tr w:rsidR="00942645" w:rsidRPr="00CA7700" w14:paraId="52F521D6" w14:textId="77777777" w:rsidTr="00C7434F">
        <w:trPr>
          <w:trHeight w:val="680"/>
        </w:trPr>
        <w:tc>
          <w:tcPr>
            <w:tcW w:w="1555" w:type="dxa"/>
          </w:tcPr>
          <w:p w14:paraId="0F53B2B0" w14:textId="77777777" w:rsidR="00942645" w:rsidRPr="00CA7700" w:rsidRDefault="00942645" w:rsidP="00962254">
            <w:pPr>
              <w:pStyle w:val="Applicationdirecte"/>
              <w:spacing w:before="60" w:after="0"/>
              <w:jc w:val="center"/>
            </w:pPr>
            <w:r>
              <w:t>EU 14</w:t>
            </w:r>
          </w:p>
        </w:tc>
        <w:tc>
          <w:tcPr>
            <w:tcW w:w="7484" w:type="dxa"/>
          </w:tcPr>
          <w:p w14:paraId="18FAC522"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Yhteensä</w:t>
            </w:r>
          </w:p>
          <w:p w14:paraId="67696FDB" w14:textId="77777777" w:rsidR="00942645" w:rsidRPr="00CA7700" w:rsidRDefault="00942645" w:rsidP="00962254">
            <w:pPr>
              <w:spacing w:before="60" w:after="120"/>
              <w:rPr>
                <w:rFonts w:ascii="Times New Roman" w:hAnsi="Times New Roman" w:cs="Times New Roman"/>
                <w:iCs/>
                <w:sz w:val="24"/>
              </w:rPr>
            </w:pPr>
            <w:r>
              <w:rPr>
                <w:rFonts w:ascii="Times New Roman" w:hAnsi="Times New Roman"/>
                <w:sz w:val="24"/>
              </w:rPr>
              <w:t>Vastapuolten kokonaismäärä rivien EU 8 – EU 13 summana.</w:t>
            </w:r>
          </w:p>
        </w:tc>
      </w:tr>
      <w:tr w:rsidR="00942645" w:rsidRPr="00CA7700" w14:paraId="3BA0F782" w14:textId="77777777" w:rsidTr="00C7434F">
        <w:trPr>
          <w:trHeight w:val="680"/>
        </w:trPr>
        <w:tc>
          <w:tcPr>
            <w:tcW w:w="1555" w:type="dxa"/>
          </w:tcPr>
          <w:p w14:paraId="2120038F" w14:textId="77777777" w:rsidR="00942645" w:rsidRPr="00CA7700" w:rsidRDefault="00942645" w:rsidP="00962254">
            <w:pPr>
              <w:pStyle w:val="Applicationdirecte"/>
              <w:spacing w:before="60" w:after="0"/>
              <w:jc w:val="center"/>
            </w:pPr>
            <w:r>
              <w:t>EU 15 – EU 17</w:t>
            </w:r>
          </w:p>
        </w:tc>
        <w:tc>
          <w:tcPr>
            <w:tcW w:w="7484" w:type="dxa"/>
          </w:tcPr>
          <w:p w14:paraId="64353F3E"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Vastuun arvonoikaisujen suojaukset</w:t>
            </w:r>
          </w:p>
          <w:p w14:paraId="69C81380" w14:textId="77777777" w:rsidR="00942645" w:rsidRPr="00CA7700" w:rsidRDefault="00942645" w:rsidP="00962254">
            <w:pPr>
              <w:spacing w:before="60" w:after="120"/>
              <w:rPr>
                <w:rFonts w:ascii="Times New Roman" w:hAnsi="Times New Roman" w:cs="Times New Roman"/>
                <w:i/>
                <w:sz w:val="24"/>
              </w:rPr>
            </w:pPr>
            <w:r>
              <w:rPr>
                <w:rFonts w:ascii="Times New Roman" w:hAnsi="Times New Roman"/>
                <w:sz w:val="24"/>
              </w:rPr>
              <w:t>Asetuksen (EU) N:o 575/2013 386 artikla.</w:t>
            </w:r>
          </w:p>
        </w:tc>
      </w:tr>
      <w:tr w:rsidR="00942645" w:rsidRPr="00CA7700" w14:paraId="1FDF68F3" w14:textId="77777777" w:rsidTr="00C7434F">
        <w:trPr>
          <w:trHeight w:val="680"/>
        </w:trPr>
        <w:tc>
          <w:tcPr>
            <w:tcW w:w="1555" w:type="dxa"/>
          </w:tcPr>
          <w:p w14:paraId="2944002F" w14:textId="77777777" w:rsidR="00942645" w:rsidRPr="00CA7700" w:rsidRDefault="00942645" w:rsidP="00962254">
            <w:pPr>
              <w:pStyle w:val="Applicationdirecte"/>
              <w:spacing w:before="60" w:after="0"/>
              <w:jc w:val="center"/>
            </w:pPr>
            <w:r>
              <w:t>EU 18</w:t>
            </w:r>
          </w:p>
        </w:tc>
        <w:tc>
          <w:tcPr>
            <w:tcW w:w="7484" w:type="dxa"/>
          </w:tcPr>
          <w:p w14:paraId="30C7C94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Yhteensä</w:t>
            </w:r>
          </w:p>
          <w:p w14:paraId="7B810666" w14:textId="77777777" w:rsidR="00942645" w:rsidRPr="00CA7700" w:rsidRDefault="00942645" w:rsidP="00962254">
            <w:pPr>
              <w:spacing w:before="60" w:after="120"/>
              <w:rPr>
                <w:rFonts w:ascii="Times New Roman" w:hAnsi="Times New Roman" w:cs="Times New Roman"/>
                <w:bCs/>
                <w:iCs/>
                <w:sz w:val="24"/>
              </w:rPr>
            </w:pPr>
            <w:r>
              <w:rPr>
                <w:rFonts w:ascii="Times New Roman" w:hAnsi="Times New Roman"/>
                <w:sz w:val="24"/>
              </w:rPr>
              <w:t>Rivien 15–17 summa.</w:t>
            </w:r>
          </w:p>
        </w:tc>
      </w:tr>
      <w:tr w:rsidR="00942645" w:rsidRPr="00CA7700" w14:paraId="782C4928" w14:textId="77777777" w:rsidTr="00C7434F">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Selitys</w:t>
            </w:r>
          </w:p>
        </w:tc>
      </w:tr>
      <w:tr w:rsidR="00942645" w:rsidRPr="00CA7700" w14:paraId="1F604F82" w14:textId="77777777" w:rsidTr="00C7434F">
        <w:trPr>
          <w:trHeight w:val="680"/>
        </w:trPr>
        <w:tc>
          <w:tcPr>
            <w:tcW w:w="1555" w:type="dxa"/>
          </w:tcPr>
          <w:p w14:paraId="55FF8A1A" w14:textId="77777777" w:rsidR="00942645" w:rsidRPr="00CA7700" w:rsidRDefault="00942645" w:rsidP="00962254">
            <w:pPr>
              <w:pStyle w:val="Applicationdirecte"/>
              <w:spacing w:before="60" w:after="0"/>
              <w:jc w:val="center"/>
            </w:pPr>
            <w:r>
              <w:t>a</w:t>
            </w:r>
          </w:p>
        </w:tc>
        <w:tc>
          <w:tcPr>
            <w:tcW w:w="7484" w:type="dxa"/>
            <w:vAlign w:val="center"/>
          </w:tcPr>
          <w:p w14:paraId="2B901479" w14:textId="77777777" w:rsidR="004D0F6F" w:rsidRPr="00212EDF" w:rsidRDefault="009B4C5B" w:rsidP="00962254">
            <w:pPr>
              <w:spacing w:after="120"/>
              <w:jc w:val="both"/>
              <w:rPr>
                <w:rFonts w:ascii="Times New Roman" w:eastAsia="Times New Roman" w:hAnsi="Times New Roman" w:cs="Times New Roman"/>
                <w:b/>
                <w:bCs/>
                <w:iCs/>
                <w:sz w:val="24"/>
                <w:szCs w:val="20"/>
              </w:rPr>
            </w:pPr>
            <w:r>
              <w:rPr>
                <w:rFonts w:ascii="Times New Roman" w:hAnsi="Times New Roman"/>
                <w:i/>
                <w:sz w:val="24"/>
              </w:rPr>
              <w:t xml:space="preserve"> </w:t>
            </w:r>
            <w:r>
              <w:rPr>
                <w:rFonts w:ascii="Times New Roman" w:hAnsi="Times New Roman"/>
                <w:b/>
                <w:sz w:val="24"/>
              </w:rPr>
              <w:t>Omien varojen vaatimukset</w:t>
            </w:r>
          </w:p>
          <w:p w14:paraId="1259F031" w14:textId="106FC974" w:rsidR="00942645" w:rsidRPr="00CA7700" w:rsidRDefault="00942645" w:rsidP="00962254">
            <w:pPr>
              <w:spacing w:after="120"/>
              <w:jc w:val="both"/>
              <w:rPr>
                <w:rFonts w:ascii="Times New Roman" w:hAnsi="Times New Roman" w:cs="Times New Roman"/>
                <w:sz w:val="24"/>
              </w:rPr>
            </w:pPr>
            <w:r>
              <w:rPr>
                <w:rFonts w:ascii="Times New Roman" w:hAnsi="Times New Roman"/>
                <w:sz w:val="24"/>
              </w:rPr>
              <w:t>Asetuksen (EU) N:o 575/2013 382 artikla.</w:t>
            </w:r>
          </w:p>
        </w:tc>
      </w:tr>
      <w:tr w:rsidR="00942645" w:rsidRPr="00CA7700" w14:paraId="27C16A71" w14:textId="77777777" w:rsidTr="00C7434F">
        <w:trPr>
          <w:trHeight w:val="412"/>
        </w:trPr>
        <w:tc>
          <w:tcPr>
            <w:tcW w:w="1555" w:type="dxa"/>
          </w:tcPr>
          <w:p w14:paraId="4CD7018C" w14:textId="77777777" w:rsidR="00942645" w:rsidRPr="00CA7700" w:rsidRDefault="00942645" w:rsidP="00962254">
            <w:pPr>
              <w:pStyle w:val="Applicationdirecte"/>
              <w:spacing w:before="60" w:after="0"/>
              <w:jc w:val="center"/>
            </w:pPr>
            <w:r>
              <w:t>b</w:t>
            </w:r>
          </w:p>
        </w:tc>
        <w:tc>
          <w:tcPr>
            <w:tcW w:w="7484" w:type="dxa"/>
            <w:vAlign w:val="center"/>
          </w:tcPr>
          <w:p w14:paraId="6F63311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Vastapuolten lukumäärä</w:t>
            </w:r>
          </w:p>
          <w:p w14:paraId="4B5F72BC" w14:textId="48FA7F47" w:rsidR="00942645" w:rsidRPr="00CA7700" w:rsidRDefault="00942645" w:rsidP="00962254">
            <w:pPr>
              <w:pStyle w:val="TableNote"/>
              <w:rPr>
                <w:rFonts w:ascii="Times New Roman" w:hAnsi="Times New Roman"/>
                <w:sz w:val="24"/>
                <w:szCs w:val="24"/>
              </w:rPr>
            </w:pPr>
            <w:r>
              <w:rPr>
                <w:rFonts w:ascii="Times New Roman" w:hAnsi="Times New Roman"/>
                <w:sz w:val="24"/>
              </w:rPr>
              <w:t xml:space="preserve">Niiden asetuksen (EU) N:o 575/2013 383 artiklan 1 kohdassa määriteltyjen vastapuolten lukumäärä, jotka on sisällytetty standardimenetelmän vastuun arvonoikaisuriskin omien varojen vaatimusten laskentaan. </w:t>
            </w:r>
          </w:p>
        </w:tc>
      </w:tr>
      <w:tr w:rsidR="00942645" w:rsidRPr="00CA7700" w14:paraId="4F7F003A" w14:textId="77777777" w:rsidTr="00C7434F">
        <w:trPr>
          <w:trHeight w:val="412"/>
        </w:trPr>
        <w:tc>
          <w:tcPr>
            <w:tcW w:w="1555" w:type="dxa"/>
          </w:tcPr>
          <w:p w14:paraId="421D4A37" w14:textId="77777777" w:rsidR="00942645" w:rsidRPr="00CA7700" w:rsidDel="000073FA" w:rsidRDefault="00942645" w:rsidP="00962254">
            <w:pPr>
              <w:pStyle w:val="Applicationdirecte"/>
              <w:spacing w:before="60" w:after="0"/>
              <w:jc w:val="center"/>
            </w:pPr>
            <w:r>
              <w:t>EU c</w:t>
            </w:r>
          </w:p>
        </w:tc>
        <w:tc>
          <w:tcPr>
            <w:tcW w:w="7484" w:type="dxa"/>
            <w:vAlign w:val="center"/>
          </w:tcPr>
          <w:p w14:paraId="78B4FFA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Vastuun arvonoikaisujen suojausten nimellisarvo</w:t>
            </w:r>
          </w:p>
          <w:p w14:paraId="52C0F4DF" w14:textId="77777777" w:rsidR="00942645" w:rsidRPr="00CA7700" w:rsidDel="000073FA" w:rsidRDefault="00942645" w:rsidP="00962254">
            <w:pPr>
              <w:pStyle w:val="TableNote"/>
              <w:rPr>
                <w:rFonts w:ascii="Times New Roman" w:hAnsi="Times New Roman"/>
                <w:i/>
                <w:sz w:val="24"/>
                <w:szCs w:val="24"/>
              </w:rPr>
            </w:pPr>
            <w:r>
              <w:rPr>
                <w:rFonts w:ascii="Times New Roman" w:hAnsi="Times New Roman"/>
                <w:sz w:val="24"/>
              </w:rPr>
              <w:t>Vastuun arvonoikaisun sellaisten hyväksyttävien suojausten nimellisarvo, jotka on hyväksytty asetuksen (EU) N:o 575/2013 386 artiklan mukaisesti.</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Pr>
          <w:rFonts w:ascii="Times New Roman" w:hAnsi="Times New Roman"/>
          <w:b/>
          <w:color w:val="auto"/>
          <w:sz w:val="24"/>
        </w:rPr>
        <w:t xml:space="preserve">Lomake EU CVA4 – Vastuun arvonoikaisuriskin riskipainotettujen vastuuerien virtalaskelmat standardimenetelmän (SA) mukaisesti </w:t>
      </w:r>
      <w:r>
        <w:rPr>
          <w:rFonts w:ascii="Times New Roman" w:hAnsi="Times New Roman"/>
          <w:color w:val="auto"/>
          <w:sz w:val="24"/>
        </w:rPr>
        <w:t>Vakiomuotoinen lomake</w:t>
      </w:r>
    </w:p>
    <w:p w14:paraId="22E699CE" w14:textId="5A78E63F"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 xml:space="preserve">Laitosten on sovellettava jäljempänä annettuja ohjeita täyttääkseen tietoteknisten ratkaisujen liitteessä XLI olevan lomakkeen EU CVA4 asetuksen (EU) N:o 575/2013 438 artiklan d ja h alakohdan mukaisesti. </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Laitosten on täydennettävä tätä lomaketta selostuksella, jossa esitetään kaikki merkittävät muutokset raportointikauden aikana ja kyseisten muutosten tärkeimmät syyt. Muutosten taustalla olevia tekijöitä voivat olla muutokset riskitasoissa, soveltamisalan muutokset (esim. SA-CVA:n ja BA-CVA:n väliset nettoutusryhmien muutokset), yritysten/tuotantolinjojen tai yhteisöjen hankinta ja luovutus tai ulkomaan rahan määräisten erien muuntamisista aiheutuvat muutokset.</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rPr>
            </w:pPr>
            <w:r>
              <w:rPr>
                <w:rFonts w:ascii="Times New Roman" w:hAnsi="Times New Roman"/>
                <w:b/>
                <w:color w:val="000000"/>
                <w:sz w:val="24"/>
              </w:rPr>
              <w:lastRenderedPageBreak/>
              <w:t>Lainsäädäntöviitteet ja ohjeet</w:t>
            </w:r>
          </w:p>
        </w:tc>
      </w:tr>
      <w:tr w:rsidR="00942645" w:rsidRPr="00CA7700" w14:paraId="6B2A23D8" w14:textId="77777777" w:rsidTr="00C7434F">
        <w:trPr>
          <w:trHeight w:val="238"/>
        </w:trPr>
        <w:tc>
          <w:tcPr>
            <w:tcW w:w="1555"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42645" w:rsidRPr="00CA7700" w14:paraId="3B818BBB" w14:textId="77777777" w:rsidTr="00C7434F">
        <w:trPr>
          <w:trHeight w:val="680"/>
        </w:trPr>
        <w:tc>
          <w:tcPr>
            <w:tcW w:w="1555" w:type="dxa"/>
          </w:tcPr>
          <w:p w14:paraId="4AAE0796" w14:textId="77777777" w:rsidR="00942645" w:rsidRPr="00CA7700" w:rsidRDefault="00942645" w:rsidP="00962254">
            <w:pPr>
              <w:pStyle w:val="Applicationdirecte"/>
              <w:spacing w:before="60" w:after="0"/>
              <w:jc w:val="center"/>
            </w:pPr>
            <w:r>
              <w:t>1</w:t>
            </w:r>
          </w:p>
        </w:tc>
        <w:tc>
          <w:tcPr>
            <w:tcW w:w="7484" w:type="dxa"/>
            <w:vAlign w:val="center"/>
          </w:tcPr>
          <w:p w14:paraId="1165D18C"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 xml:space="preserve">Riskipainotettujen vastuuerien yhteismäärä edellisen raportointikauden lopussa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Tämä määrä on sama kuin lomakkeen EU OV1 rivillä EU 10a sarakkeessa b ilmoitettu määrä.</w:t>
            </w:r>
          </w:p>
        </w:tc>
      </w:tr>
      <w:tr w:rsidR="00942645" w:rsidRPr="00CA7700" w14:paraId="707CAAFF" w14:textId="77777777" w:rsidTr="00C7434F">
        <w:trPr>
          <w:trHeight w:val="680"/>
        </w:trPr>
        <w:tc>
          <w:tcPr>
            <w:tcW w:w="1555" w:type="dxa"/>
          </w:tcPr>
          <w:p w14:paraId="73DA5AF3" w14:textId="77777777" w:rsidR="00942645" w:rsidRPr="00CA7700" w:rsidRDefault="00942645" w:rsidP="00962254">
            <w:pPr>
              <w:pStyle w:val="Applicationdirecte"/>
              <w:spacing w:before="60" w:after="0"/>
              <w:jc w:val="center"/>
            </w:pPr>
            <w:r>
              <w:t>2</w:t>
            </w:r>
          </w:p>
        </w:tc>
        <w:tc>
          <w:tcPr>
            <w:tcW w:w="7484" w:type="dxa"/>
            <w:vAlign w:val="center"/>
          </w:tcPr>
          <w:p w14:paraId="1AE00A33"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Riskipainotettujen vastuuerien yhteismäärä nykyisen raportointikauden lopussa</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Tämä määrä on sama kuin lomakkeen EU OV1 rivillä EU 10a sarakkeessa a ilmoitettu määrä.</w:t>
            </w:r>
          </w:p>
        </w:tc>
      </w:tr>
      <w:tr w:rsidR="00942645" w:rsidRPr="00CA7700" w14:paraId="6F869904" w14:textId="77777777" w:rsidTr="00C7434F">
        <w:trPr>
          <w:trHeight w:val="6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Sarakkeen kirjain</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Selitys</w:t>
            </w:r>
          </w:p>
        </w:tc>
      </w:tr>
      <w:tr w:rsidR="00942645" w:rsidRPr="00DD6E2F" w14:paraId="2782C770" w14:textId="77777777" w:rsidTr="00C7434F">
        <w:trPr>
          <w:trHeight w:val="680"/>
        </w:trPr>
        <w:tc>
          <w:tcPr>
            <w:tcW w:w="1555" w:type="dxa"/>
          </w:tcPr>
          <w:p w14:paraId="19A9273D" w14:textId="77777777" w:rsidR="00942645" w:rsidRPr="00CA7700" w:rsidRDefault="00942645" w:rsidP="00962254">
            <w:pPr>
              <w:pStyle w:val="Applicationdirecte"/>
              <w:spacing w:before="60" w:after="0"/>
              <w:jc w:val="center"/>
            </w:pPr>
            <w:r>
              <w:t>a</w:t>
            </w:r>
          </w:p>
          <w:p w14:paraId="09532183" w14:textId="77777777" w:rsidR="00942645" w:rsidRPr="00CA7700" w:rsidRDefault="00942645" w:rsidP="00962254">
            <w:pPr>
              <w:jc w:val="center"/>
              <w:rPr>
                <w:rFonts w:ascii="Times New Roman" w:hAnsi="Times New Roman" w:cs="Times New Roman"/>
                <w:sz w:val="24"/>
                <w:lang w:val="en-GB"/>
              </w:rPr>
            </w:pPr>
          </w:p>
        </w:tc>
        <w:tc>
          <w:tcPr>
            <w:tcW w:w="7484" w:type="dxa"/>
            <w:vAlign w:val="center"/>
          </w:tcPr>
          <w:p w14:paraId="5539439A"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Riskipainotettujen vastuuerien yhteismäärä</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Asetuksen (EU) N:o 575/2013 92 artiklan 4 kohdan e alakohta.</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Omien varojen vaatimukset kerrottuina kertoimella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Pr="00C7434F" w:rsidRDefault="0027780B">
    <w:pPr>
      <w:rPr>
        <w:lang w:val="en-IE"/>
      </w:rPr>
    </w:pPr>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sdt>
      <w:sdtPr>
        <w:id w:val="-1905980668"/>
        <w:temporary/>
        <w:showingPlcHdr/>
      </w:sdtPr>
      <w:sdtEndPr/>
      <w:sdtContent>
        <w:r w:rsidRPr="00C7434F">
          <w:rPr>
            <w:lang w:val="en-IE"/>
          </w:rPr>
          <w:t>[Type text]</w:t>
        </w:r>
      </w:sdtContent>
    </w:sdt>
    <w:r>
      <w:ptab w:relativeTo="margin" w:alignment="center" w:leader="none"/>
    </w:r>
    <w:sdt>
      <w:sdtPr>
        <w:id w:val="-476227318"/>
        <w:temporary/>
        <w:showingPlcHdr/>
      </w:sdtPr>
      <w:sdtEndPr/>
      <w:sdtContent>
        <w:r w:rsidRPr="00C7434F">
          <w:rPr>
            <w:lang w:val="en-IE"/>
          </w:rPr>
          <w:t>[Type text]</w:t>
        </w:r>
      </w:sdtContent>
    </w:sdt>
    <w:r>
      <w:ptab w:relativeTo="margin" w:alignment="right" w:leader="none"/>
    </w:r>
    <w:sdt>
      <w:sdtPr>
        <w:id w:val="807362839"/>
        <w:temporary/>
        <w:showingPlcHdr/>
      </w:sdtPr>
      <w:sdtEndPr/>
      <w:sdtContent>
        <w:r w:rsidRPr="00C7434F">
          <w:rPr>
            <w:lang w:val="en-IE"/>
          </w:rPr>
          <w:t>[Type text]</w:t>
        </w:r>
      </w:sdtContent>
    </w:sdt>
  </w:p>
  <w:p w14:paraId="3AAE931B" w14:textId="77777777" w:rsidR="009B1B59" w:rsidRPr="00C7434F" w:rsidRDefault="009B1B59">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Tässä liitteessä olevat lainsäädäntöviitteet ovat vakavaraisuusasetuksen luonnosversioon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Tässä liitteessä olevat lainsäädäntöviitteet ovat vakavaraisuusasetuksen luonnosversioon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Pr="00C7434F" w:rsidRDefault="0027780B" w:rsidP="00E677EF">
    <w:pPr>
      <w:pStyle w:val="Runningtitle"/>
      <w:rPr>
        <w:lang w:val="en-IE"/>
      </w:rPr>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r w:rsidRPr="00C7434F">
      <w:rPr>
        <w:lang w:val="en-IE"/>
      </w:rPr>
      <w:t>running title comes here in running title style</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en-I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01C3"/>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434F"/>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0C6F"/>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fi-FI"/>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2E71D5CD-4D5A-4806-9BA4-9750F0CAC260}"/>
</file>

<file path=customXml/itemProps3.xml><?xml version="1.0" encoding="utf-8"?>
<ds:datastoreItem xmlns:ds="http://schemas.openxmlformats.org/officeDocument/2006/customXml" ds:itemID="{4F8ECF78-991C-4166-B28E-059E601AF175}"/>
</file>

<file path=customXml/itemProps4.xml><?xml version="1.0" encoding="utf-8"?>
<ds:datastoreItem xmlns:ds="http://schemas.openxmlformats.org/officeDocument/2006/customXml" ds:itemID="{5E65984A-2BC6-4717-8014-919A2F38857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1302</Words>
  <Characters>9238</Characters>
  <Application>Microsoft Office Word</Application>
  <DocSecurity>0</DocSecurity>
  <Lines>263</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2024-10-11T15:54:00Z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