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ADA6" w14:textId="77777777" w:rsidR="00166FFE" w:rsidRPr="0031221C" w:rsidRDefault="00A1733E" w:rsidP="006A78BA">
      <w:pPr>
        <w:pStyle w:val="Annexetitre"/>
        <w:rPr>
          <w:sz w:val="28"/>
          <w:szCs w:val="28"/>
          <w:u w:val="none"/>
        </w:rPr>
      </w:pPr>
      <w:r>
        <w:rPr>
          <w:sz w:val="28"/>
          <w:u w:val="none"/>
        </w:rPr>
        <w:t>PŘÍLOHA II</w:t>
      </w:r>
    </w:p>
    <w:p w14:paraId="3EED48F6" w14:textId="77777777" w:rsidR="00A1733E" w:rsidRPr="0031221C" w:rsidRDefault="00A1733E" w:rsidP="006A78BA">
      <w:pPr>
        <w:pStyle w:val="Annexetitre"/>
        <w:rPr>
          <w:u w:val="none"/>
        </w:rPr>
      </w:pPr>
      <w:r>
        <w:rPr>
          <w:u w:val="none"/>
        </w:rPr>
        <w:t>„PŘÍLOHA XXXVIII</w:t>
      </w:r>
    </w:p>
    <w:p w14:paraId="77F10DF1" w14:textId="10384F48" w:rsidR="006A78BA" w:rsidRPr="0031221C" w:rsidRDefault="0078309E" w:rsidP="006A78BA">
      <w:pPr>
        <w:pStyle w:val="Annexetitre"/>
        <w:rPr>
          <w:u w:val="none"/>
        </w:rPr>
      </w:pPr>
      <w:r>
        <w:rPr>
          <w:u w:val="none"/>
        </w:rPr>
        <w:t>Pokyny k šablonám pro zpřístupňování informací o úrokovém riziku u pozic nezahrnutých do obchodního portfolia</w:t>
      </w:r>
    </w:p>
    <w:p w14:paraId="09721089" w14:textId="77777777" w:rsidR="006A78BA" w:rsidRPr="0031221C" w:rsidRDefault="006A78BA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A0C8EE" w14:textId="01383A2B" w:rsidR="00CD3692" w:rsidRPr="0031221C" w:rsidRDefault="00166FFE" w:rsidP="00CD3692">
      <w:pPr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Pokyny k vyplňování šablony EU IRRBBA </w:t>
      </w:r>
    </w:p>
    <w:p w14:paraId="7E4925DA" w14:textId="77777777" w:rsidR="00CD3692" w:rsidRPr="0031221C" w:rsidRDefault="00CD3692" w:rsidP="00CD3692">
      <w:pPr>
        <w:rPr>
          <w:rFonts w:ascii="Times New Roman" w:hAnsi="Times New Roman"/>
          <w:bCs/>
          <w:sz w:val="24"/>
        </w:rPr>
      </w:pPr>
    </w:p>
    <w:p w14:paraId="31D9779B" w14:textId="7383F91C" w:rsidR="00580D58" w:rsidRPr="0031221C" w:rsidRDefault="00580D58" w:rsidP="00470043">
      <w:pPr>
        <w:spacing w:after="120"/>
        <w:jc w:val="both"/>
        <w:rPr>
          <w:rFonts w:ascii="Calibri" w:eastAsia="Times New Roman" w:hAnsi="Calibri" w:cs="Times New Roman"/>
          <w:color w:val="000000"/>
          <w:szCs w:val="22"/>
        </w:rPr>
      </w:pPr>
      <w:r>
        <w:rPr>
          <w:rFonts w:ascii="Times New Roman" w:hAnsi="Times New Roman"/>
          <w:sz w:val="24"/>
        </w:rPr>
        <w:t>Instituce zpřístupňují níže uvedené kvalitativní informace na základě své metodiky interního systému měření rizika, standardizované metodiky nebo zjednodušené standardizované metodiky tam, kde je relevantní, v souladu s článkem 84 směrnice 2013/36/EU.</w:t>
      </w:r>
    </w:p>
    <w:p w14:paraId="3D633743" w14:textId="14CE6FC2" w:rsidR="00C07A00" w:rsidRDefault="0017255F" w:rsidP="000D6C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Tyto pokyny byly vypracovány na základě požadavků článku 448 nařízení (EU) č. 575/2013 a v souladu se standardem pro zpřístupňování informací podle třetího pilíře basilejského rámce. </w:t>
      </w:r>
    </w:p>
    <w:p w14:paraId="4EA230EE" w14:textId="77777777" w:rsidR="000D6C4D" w:rsidRPr="0031221C" w:rsidRDefault="000D6C4D" w:rsidP="000D6C4D">
      <w:pPr>
        <w:jc w:val="both"/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CD3692" w:rsidRPr="0031221C" w14:paraId="5A9E0A69" w14:textId="77777777" w:rsidTr="00F930E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C1AD4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Odkazy na právní předpisy a pokyny</w:t>
            </w:r>
          </w:p>
        </w:tc>
      </w:tr>
      <w:tr w:rsidR="00CD3692" w:rsidRPr="0031221C" w14:paraId="254CB684" w14:textId="77777777" w:rsidTr="00F930E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23E59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Řádek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EE539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Vysvětlení</w:t>
            </w:r>
          </w:p>
        </w:tc>
      </w:tr>
      <w:tr w:rsidR="00FC2089" w:rsidRPr="0031221C" w14:paraId="5BBA757F" w14:textId="77777777" w:rsidTr="00C143B2">
        <w:trPr>
          <w:trHeight w:val="244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657E" w14:textId="18FB95BA" w:rsidR="00FC2089" w:rsidRPr="0031221C" w:rsidRDefault="00FC208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7E25" w14:textId="66C09E90" w:rsidR="00FC2089" w:rsidRPr="0031221C" w:rsidRDefault="00465DF4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Popis toho, jak instituce definuje úrokové riziko investičního portfolia pro účely řízení a měření rizika</w:t>
            </w:r>
          </w:p>
          <w:p w14:paraId="3FB34713" w14:textId="03A80E6F" w:rsidR="00FC2089" w:rsidRPr="0031221C" w:rsidRDefault="00133E44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V souladu s čl. 448 odst. 1 písm. e) nařízení (EU) č. 575/2013 instituce poskytnou obecný popis způsobu, kterým definují, </w:t>
            </w:r>
            <w:proofErr w:type="gramStart"/>
            <w:r>
              <w:rPr>
                <w:rFonts w:ascii="Times New Roman" w:hAnsi="Times New Roman"/>
                <w:color w:val="000000"/>
              </w:rPr>
              <w:t>měří</w:t>
            </w:r>
            <w:proofErr w:type="gramEnd"/>
            <w:r>
              <w:rPr>
                <w:rFonts w:ascii="Times New Roman" w:hAnsi="Times New Roman"/>
                <w:color w:val="000000"/>
              </w:rPr>
              <w:t>, snižují a řídí úrokové riziko svého investičního portfolia pro účely kontroly příslušnými orgány v souladu s článkem 84 směrnice 2013/36/EU.</w:t>
            </w:r>
          </w:p>
        </w:tc>
      </w:tr>
      <w:tr w:rsidR="00465DF4" w:rsidRPr="0031221C" w14:paraId="68082CB2" w14:textId="77777777" w:rsidTr="00F930E4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5CC" w14:textId="06ABC74E" w:rsidR="00465DF4" w:rsidRPr="0031221C" w:rsidRDefault="00465DF4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b)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FF4A" w14:textId="20E6E488" w:rsidR="00465DF4" w:rsidRPr="0031221C" w:rsidRDefault="00EA2452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Popis obecných strategií instituce pro řízení a snižování úrokového rizika investičního portfolia</w:t>
            </w:r>
          </w:p>
          <w:p w14:paraId="204A9378" w14:textId="5470BAC2" w:rsidR="005F58E6" w:rsidRPr="0031221C" w:rsidRDefault="005F58E6" w:rsidP="007012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1 písm. f) nařízení (EU) č. 575/2013 instituce poskytnou obecný popis svých obecných strategií řízení a snižování úrokového rizika investičního portfolia, do něhož zahrnou tyto oblasti: sledování ekonomické hodnoty vlastního kapitálu a čistého úrokového výnosu ve vztahu ke stanoveným limitům, postupy zajištění, provádění zátěžových testů, analýza výsledků, úloha nezávislého auditu, úloha a postupy výboru pro řízení aktiv a závazků, postupy instituce pro zajištění náležité validace modelů a včasné aktualizace modelů v reakci na měnící se tržní podmínky.</w:t>
            </w:r>
          </w:p>
        </w:tc>
      </w:tr>
      <w:tr w:rsidR="00EA2452" w:rsidRPr="0031221C" w14:paraId="00B80900" w14:textId="77777777" w:rsidTr="00C41D59">
        <w:trPr>
          <w:trHeight w:val="8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63AB" w14:textId="0709C0CC" w:rsidR="00EA2452" w:rsidRPr="0031221C" w:rsidRDefault="00EA2452" w:rsidP="00EA245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C5C7" w14:textId="77777777" w:rsidR="008F617B" w:rsidRPr="0031221C" w:rsidRDefault="008F617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074838C9" w14:textId="79671406" w:rsidR="00716636" w:rsidRPr="0031221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Periodicita výpočtu měr úrokového rizika investičního portfolia instituce a popis specifických měr, které instituce používá k měření své citlivosti na úrokové riziko investičního portfolia</w:t>
            </w:r>
          </w:p>
          <w:p w14:paraId="6FC20A2F" w14:textId="7F1E505C" w:rsidR="00EA2452" w:rsidRPr="0031221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1 písm. e) body i) a v) nařízení (EU) č. 575/2013 instituce poskytnou obecný popis specifických měr rizika, které používají k odhadu změn ekonomické hodnoty vlastního kapitálu a čistého úrokového výnosu, a uvedou periodicitu hodnocení úrokových rizik.</w:t>
            </w:r>
          </w:p>
          <w:p w14:paraId="3C576B31" w14:textId="6E0F133A" w:rsidR="0013410F" w:rsidRPr="0031221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V souladu s čl. 448 odst. 2 nařízení (EU) č. 575/2013 se požadavek popisu specifických měr rizika používaných k měření citlivosti na úrokové riziko investičního portfolia nevztahuje na instituce, které používají standardizovanou </w:t>
            </w:r>
            <w:r>
              <w:rPr>
                <w:rFonts w:ascii="Times New Roman" w:hAnsi="Times New Roman"/>
                <w:color w:val="000000"/>
              </w:rPr>
              <w:lastRenderedPageBreak/>
              <w:t>metodiku nebo zjednodušenou standardizovanou metodiku podle čl. 84 odst. 1 směrnice 2013/36/EU.</w:t>
            </w:r>
          </w:p>
        </w:tc>
      </w:tr>
      <w:tr w:rsidR="00716636" w:rsidRPr="0031221C" w14:paraId="3452DFD3" w14:textId="77777777" w:rsidTr="00C143B2">
        <w:trPr>
          <w:trHeight w:val="19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998" w14:textId="1C361433" w:rsidR="00716636" w:rsidRPr="0031221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C818" w14:textId="713F89A4" w:rsidR="00716636" w:rsidRPr="0031221C" w:rsidRDefault="00716636" w:rsidP="007166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Popis úrokových šoků a zátěžových scénářů, které instituce používá k odhadu změn ekonomické hodnoty a čistého úrokového výnosu (v příslušných případech)</w:t>
            </w:r>
          </w:p>
          <w:p w14:paraId="24AB856B" w14:textId="5DBA799D" w:rsidR="00716636" w:rsidRPr="0031221C" w:rsidRDefault="00716636" w:rsidP="0022665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1 písm. e) bodem iii) nařízení (EU) č. 575/2013 instituce poskytnou obecný popis scénářů úrokových šoků, které používají k odhadu úrokového rizika.</w:t>
            </w:r>
          </w:p>
          <w:p w14:paraId="05DE1832" w14:textId="3AF43FAB" w:rsidR="0013410F" w:rsidRPr="0031221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2 nařízení (EU) č. 575/2013 se tento požadavek nevztahuje na instituce, které používají standardizovanou metodiku nebo zjednodušenou standardizovanou metodiku podle čl. 84 odst. 1 směrnice 2013/36/EU.</w:t>
            </w:r>
          </w:p>
        </w:tc>
      </w:tr>
      <w:tr w:rsidR="00716636" w:rsidRPr="0031221C" w14:paraId="7F74CA5A" w14:textId="77777777" w:rsidTr="00005B93">
        <w:trPr>
          <w:trHeight w:val="29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618" w14:textId="61B1A3F2" w:rsidR="00716636" w:rsidRPr="0031221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839" w14:textId="00FE41FE" w:rsidR="0094340A" w:rsidRPr="0031221C" w:rsidRDefault="0094340A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Popis klíčových modelovacích a parametrických předpokladů, které se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liší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od předpokladů použitých při vyplňování šablony EU IRRBB1 (v příslušných případech)</w:t>
            </w:r>
          </w:p>
          <w:p w14:paraId="15A00557" w14:textId="4EC63038" w:rsidR="00716636" w:rsidRPr="0031221C" w:rsidRDefault="0094340A" w:rsidP="009434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V souladu s čl. 448 odst. 1 písm. e) bodem ii) nařízení (EU) č. 575/2013, pokud se klíčové modelovací a parametrické předpoklady používané v interních systémech měření instituce </w:t>
            </w:r>
            <w:proofErr w:type="gramStart"/>
            <w:r>
              <w:rPr>
                <w:rFonts w:ascii="Times New Roman" w:hAnsi="Times New Roman"/>
                <w:color w:val="000000"/>
              </w:rPr>
              <w:t>liší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od předpokladů uvedených v čl. 98 odst. 5a směrnice 2013/36/EU použitých při vyplnění šablony EU IRRBB1, poskytne instituce obecný popis těchto předpokladů, včetně zdůvodnění daných odlišností (např. historické údaje, zveřejněný výzkum, úsudek a analýza vedení atd.).</w:t>
            </w:r>
          </w:p>
          <w:p w14:paraId="3FF39A57" w14:textId="5F109832" w:rsidR="003B1160" w:rsidRPr="0031221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2 nařízení (EU) č. 575/2013 se tento požadavek nevztahuje na instituce, které používají standardizovanou metodiku nebo zjednodušenou standardizovanou metodiku podle čl. 84 odst. 1 směrnice 2013/36/EU.</w:t>
            </w:r>
          </w:p>
        </w:tc>
      </w:tr>
      <w:tr w:rsidR="0094340A" w:rsidRPr="0031221C" w14:paraId="766E1A7E" w14:textId="77777777" w:rsidTr="00005B93">
        <w:trPr>
          <w:trHeight w:val="23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BE99" w14:textId="76EB5653" w:rsidR="0094340A" w:rsidRPr="0031221C" w:rsidRDefault="0094340A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f)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639B" w14:textId="05CA8B66" w:rsidR="0094340A" w:rsidRPr="0031221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Obecný popis toho, jak se instituce zajišťuje proti úrokovým rizikům investičního portfolia a jaké používá s tím související účetní postupy (v příslušných případech)</w:t>
            </w:r>
          </w:p>
          <w:p w14:paraId="70B99ACF" w14:textId="007FE981" w:rsidR="0094340A" w:rsidRPr="0031221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V souladu s čl. 448 odst. 1 písm. e) bodem iv) nařízení (EU) č. 575/2013 instituce konkrétně </w:t>
            </w:r>
            <w:proofErr w:type="gramStart"/>
            <w:r>
              <w:rPr>
                <w:rFonts w:ascii="Times New Roman" w:hAnsi="Times New Roman"/>
                <w:color w:val="000000"/>
              </w:rPr>
              <w:t>určí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vliv zajištění proti úrokovým rizikům, včetně vnitřního zajištění, které splňuje požadavky stanovené v čl. 106 odst. 3 nařízení (EU) č. 575/2013.</w:t>
            </w:r>
          </w:p>
          <w:p w14:paraId="4C51BA8A" w14:textId="2771AF79" w:rsidR="0013410F" w:rsidRPr="0031221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2 nařízení (EU) č. 575/2013 se tento požadavek nevztahuje na instituce, které používají standardizovanou metodiku nebo zjednodušenou standardizovanou metodiku podle čl. 84 odst. 1 směrnice 2013/36/EU.</w:t>
            </w:r>
          </w:p>
        </w:tc>
      </w:tr>
      <w:tr w:rsidR="00CD3692" w:rsidRPr="0031221C" w14:paraId="6344348E" w14:textId="77777777" w:rsidTr="0064412E">
        <w:trPr>
          <w:trHeight w:val="1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4B5" w14:textId="3D5B9F12" w:rsidR="00CD3692" w:rsidRPr="0031221C" w:rsidRDefault="00CF684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g)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390" w14:textId="6E2E0F9E" w:rsidR="00CD3692" w:rsidRPr="0031221C" w:rsidRDefault="00EA1CF8" w:rsidP="00B650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Popis klíčových modelovacích a parametrických předpokladů použitých při výpočtu měr úrokového rizika investičního portfolia při vyplňování šablony EU IRRBB1 (v příslušných případech)</w:t>
            </w:r>
          </w:p>
          <w:p w14:paraId="083A4172" w14:textId="093A90CF" w:rsidR="00CD3692" w:rsidRPr="0031221C" w:rsidRDefault="00133E44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1 písm. c) nařízení (EU) č. 575/2013 instituce poskytnou obecný popis klíčových modelovacích a parametrických předpokladů, kromě těch, které jsou uvedeny v čl. 98 odst. </w:t>
            </w:r>
            <w:proofErr w:type="gramStart"/>
            <w:r>
              <w:rPr>
                <w:rFonts w:ascii="Times New Roman" w:hAnsi="Times New Roman"/>
                <w:color w:val="000000"/>
              </w:rPr>
              <w:t>5a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písm. b) a c) směrnice 2013/36/EU, jež byly použity pro účely výpočtu změn ekonomické hodnoty vlastního kapitálu a čistého úrokového výnosu v šabloně EU IRRBB1. Tento obecný popis obsahuje alespoň tyto body:</w:t>
            </w:r>
          </w:p>
          <w:p w14:paraId="26388E97" w14:textId="6114187E" w:rsidR="00843F8C" w:rsidRPr="0031221C" w:rsidRDefault="0016128F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jak byla stanovena průměrná přeceňovací splatnost vkladů splatných na viděnou, včetně všech jedinečných vlastností produktu, které ovlivňují předpokládané datum přecenění na základě chování klientů;</w:t>
            </w:r>
          </w:p>
          <w:p w14:paraId="01CB0AA3" w14:textId="2D904141" w:rsidR="00843F8C" w:rsidRPr="0031221C" w:rsidRDefault="00843F8C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metodika použitá k odhadu míry předčasného splacení úvěrů a/nebo míry předčasného čerpání termínovaných vkladů a další významné předpoklady;</w:t>
            </w:r>
          </w:p>
          <w:p w14:paraId="1BD4D78B" w14:textId="273602CC" w:rsidR="00AE69B7" w:rsidRPr="0031221C" w:rsidRDefault="00745B25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jakékoli jiné předpoklady, včetně předpokladů týkajících se nástrojů s možnostmi vyplývajícími z chování klientů, které mají podstatný dopad na míry úrokového rizika investičního portfolia uvedené v šabloně EU IRRBB1, spolu s vysvětlením, proč jsou podstatné.</w:t>
            </w:r>
          </w:p>
          <w:p w14:paraId="2195D942" w14:textId="77777777" w:rsidR="005E2B3A" w:rsidRPr="0031221C" w:rsidRDefault="005E2B3A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5155CA71" w14:textId="23D5624A" w:rsidR="005E2B3A" w:rsidRPr="0031221C" w:rsidRDefault="005E2B3A" w:rsidP="00721AD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2 nařízení (EU) č. 575/2013 se tento požadavek nevztahuje na instituce, které používají standardizovanou metodiku nebo zjednodušenou standardizovanou metodiku podle čl. 84 odst. 1 směrnice 2013/36/EU.</w:t>
            </w:r>
          </w:p>
        </w:tc>
      </w:tr>
      <w:tr w:rsidR="00CD3692" w:rsidRPr="0031221C" w14:paraId="124DC3B1" w14:textId="77777777" w:rsidTr="00F930E4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4D2" w14:textId="7EF2452F" w:rsidR="00CD3692" w:rsidRPr="0031221C" w:rsidRDefault="00C143B2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h)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F6D" w14:textId="6C923999" w:rsidR="003C310D" w:rsidRPr="0031221C" w:rsidRDefault="003C310D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Vysvětlení významnosti měr úrokového rizika investičního portfolia a jejich významného kolísání od předchozího zpřístupnění informací</w:t>
            </w:r>
          </w:p>
          <w:p w14:paraId="79D598A4" w14:textId="45AA4311" w:rsidR="00CD3692" w:rsidRPr="0031221C" w:rsidRDefault="00133E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1 písm. d) nařízení (EU) č. 575/2013 instituce poskytnou obecné vysvětlení významnosti měr úrokového rizika investičního portfolia uvedených v šabloně EU IRRBB1 a veškerého významného kolísání těchto měr od předchozího referenčního data pro zpřístupnění informací.</w:t>
            </w:r>
          </w:p>
        </w:tc>
      </w:tr>
      <w:tr w:rsidR="007573CB" w:rsidRPr="0031221C" w14:paraId="7AE95BD0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7D5" w14:textId="2F551F80" w:rsidR="007573CB" w:rsidRPr="0031221C" w:rsidRDefault="00912FEC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BD64" w14:textId="782047AF" w:rsidR="007573CB" w:rsidRPr="0031221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Jiné relevantní informace týkající se měr úrokového rizika investičního portfolia uvedených v šabloně EU IRRBB1 (nepovinné)</w:t>
            </w:r>
          </w:p>
          <w:p w14:paraId="4A261DD1" w14:textId="6EDF41BA" w:rsidR="007F15BF" w:rsidRPr="0031221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Jakékoli další relevantní informace, které instituce chtějí zpřístupnit, pokud jde o míry úrokového rizika investičního portfolia uvedené v šabloně EU IRRBB1. </w:t>
            </w:r>
          </w:p>
          <w:p w14:paraId="10A0910D" w14:textId="43AEBA65" w:rsidR="007573CB" w:rsidRPr="0031221C" w:rsidRDefault="002B630E" w:rsidP="002B630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Dokud se nezačnou používat kritéria podle pokynů uvedených v čl. 84 odst. 6 směrnice 2013/36/EU a další prvky uvedené v čl. 98 odst. </w:t>
            </w:r>
            <w:proofErr w:type="gramStart"/>
            <w:r>
              <w:rPr>
                <w:rFonts w:ascii="Times New Roman" w:hAnsi="Times New Roman"/>
                <w:color w:val="000000"/>
              </w:rPr>
              <w:t>5a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téže směrnice, zpřístupňují instituce informace o parametrech použitých pro dohledové šokové scénáře, definici čistého úrokového výnosu, kterou používají, a veškeré další relevantní informace nezbytné pro pochopení toho, jak byly vypočteny změny čistého úrokového výnosu uvedené v šabloně EU IRRBB1. </w:t>
            </w:r>
          </w:p>
        </w:tc>
      </w:tr>
      <w:tr w:rsidR="004F5466" w:rsidRPr="0031221C" w14:paraId="3C02208B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EA22" w14:textId="7B3382AC" w:rsidR="004F5466" w:rsidRPr="0031221C" w:rsidRDefault="00EA1CF8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1),</w:t>
            </w:r>
            <w:r w:rsidR="00B36AE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F10" w14:textId="2D31C73F" w:rsidR="00065C44" w:rsidRPr="0031221C" w:rsidRDefault="00EA1CF8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Průměrná a nejdelší přeceňovací splatnost přiřazená vkladům splatným na viděnou</w:t>
            </w:r>
          </w:p>
          <w:p w14:paraId="48FA0E44" w14:textId="035E5E4B" w:rsidR="004F5466" w:rsidRPr="0031221C" w:rsidRDefault="00065C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V souladu s čl. 448 odst. 1 písm. g) nařízení (EU) č. 575/2013 zpřístupňují instituce průměrnou a nejdelší přeceňovací splatnost přiřazenou vkladům splatným na viděnou od retailových a nefinančních velkoobchodních protistran. Zpřístupnění se vztahuje odděleně na jádrové vklady a na plný objem vkladů splatných na viděnou od retailových a nefinančních velkoobchodních protistran.</w:t>
            </w:r>
          </w:p>
        </w:tc>
      </w:tr>
    </w:tbl>
    <w:p w14:paraId="7CCC608C" w14:textId="665437C9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ECF7AE" w14:textId="68E6A9FF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CCE4A80" w14:textId="7996A576" w:rsidR="00CD3692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3569941" w14:textId="4C420FFB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D6BE0F5" w14:textId="4EA1E980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487ACD1" w14:textId="53FD952F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250FBF3" w14:textId="37DE64E1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9D0F024" w14:textId="0F997E3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0E8B64AA" w14:textId="14A1841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354E78F" w14:textId="3B4408D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C13897A" w14:textId="548DECB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3BE97FF" w14:textId="21D9ECFA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064F668" w14:textId="77777777" w:rsidR="000D6C4D" w:rsidRPr="0031221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87F28AF" w14:textId="08831685" w:rsidR="0054744B" w:rsidRPr="0031221C" w:rsidRDefault="00906CCA" w:rsidP="0054744B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Pokyny k vyplňování šablony EU IRRBB1 </w:t>
      </w:r>
    </w:p>
    <w:p w14:paraId="31489412" w14:textId="77777777" w:rsidR="0054744B" w:rsidRPr="0031221C" w:rsidRDefault="0054744B" w:rsidP="0054744B">
      <w:pPr>
        <w:ind w:left="360"/>
        <w:jc w:val="both"/>
        <w:rPr>
          <w:rFonts w:ascii="Times New Roman" w:hAnsi="Times New Roman"/>
          <w:bCs/>
          <w:sz w:val="24"/>
        </w:rPr>
      </w:pPr>
    </w:p>
    <w:p w14:paraId="341C6BAB" w14:textId="32CD6F45" w:rsidR="00580D58" w:rsidRPr="0031221C" w:rsidRDefault="00580D58" w:rsidP="000D6C4D">
      <w:pPr>
        <w:ind w:left="360"/>
        <w:jc w:val="both"/>
        <w:rPr>
          <w:bCs/>
        </w:rPr>
      </w:pPr>
    </w:p>
    <w:p w14:paraId="59C5AC78" w14:textId="3F3BF0EE" w:rsidR="00AC7CEB" w:rsidRPr="0031221C" w:rsidRDefault="00580D58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Instituce posoudí úrokové riziko investičního portfolia na základě své metodiky interního systému měření rizika, standardizované metodiky nebo zjednodušené standardizované metodiky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tam, kde je relevantní, jak stanoví článek 84 směrnice 2013/36/EU, s ohledem na dohledové šokové scénáře a společné modelovací a parametrické předpoklady stanovené v čl. 98 odst. 5a směrnice 2013/36/EU.</w:t>
      </w:r>
    </w:p>
    <w:p w14:paraId="18595772" w14:textId="50D032F2" w:rsidR="00580D58" w:rsidRPr="0031221C" w:rsidRDefault="00580D58" w:rsidP="000D6C4D">
      <w:pPr>
        <w:ind w:left="360"/>
        <w:jc w:val="both"/>
        <w:rPr>
          <w:rFonts w:ascii="Times New Roman" w:hAnsi="Times New Roman"/>
          <w:bCs/>
          <w:sz w:val="24"/>
        </w:rPr>
      </w:pPr>
    </w:p>
    <w:p w14:paraId="5E3F5B28" w14:textId="0B4D03FC" w:rsidR="00AC7CEB" w:rsidRPr="0031221C" w:rsidRDefault="00AC7CEB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Tyto pokyny byly vypracovány na základě požadavků článku 448 nařízení (EU) č. 575/2013 a v souladu se standardem pro zpřístupňování informací podle třetího pilíře basilejského rámce. </w:t>
      </w:r>
    </w:p>
    <w:p w14:paraId="71B54BD0" w14:textId="77777777" w:rsidR="00227FDC" w:rsidRPr="0031221C" w:rsidRDefault="00227FDC" w:rsidP="00A81E4E">
      <w:pPr>
        <w:jc w:val="both"/>
        <w:rPr>
          <w:rFonts w:ascii="Times New Roman" w:hAnsi="Times New Roman"/>
          <w:bCs/>
          <w:sz w:val="24"/>
        </w:rPr>
      </w:pPr>
    </w:p>
    <w:p w14:paraId="532A60CC" w14:textId="38E17551" w:rsidR="0054744B" w:rsidRPr="0031221C" w:rsidRDefault="005B5611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Zpřístupňují-li instituce informace poprvé, nejsou povinny poskytnout informace za předchozí období.</w:t>
      </w:r>
    </w:p>
    <w:p w14:paraId="4329A1AB" w14:textId="77777777" w:rsidR="00CE0D17" w:rsidRPr="0031221C" w:rsidRDefault="00CE0D17" w:rsidP="00CE0D17">
      <w:pPr>
        <w:pStyle w:val="ListParagraph"/>
        <w:rPr>
          <w:rFonts w:ascii="Times New Roman" w:hAnsi="Times New Roman"/>
          <w:bCs/>
          <w:sz w:val="24"/>
        </w:rPr>
      </w:pPr>
    </w:p>
    <w:p w14:paraId="6EDD9A3D" w14:textId="77777777" w:rsidR="0060489A" w:rsidRPr="0031221C" w:rsidRDefault="0060489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54744B" w:rsidRPr="0031221C" w14:paraId="4761A8A4" w14:textId="77777777" w:rsidTr="0095024C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110B" w14:textId="04B554CD" w:rsidR="0054744B" w:rsidRPr="0031221C" w:rsidRDefault="0054744B" w:rsidP="0054744B">
            <w:pPr>
              <w:pStyle w:val="TableTitle"/>
              <w:jc w:val="left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</w:rPr>
              <w:t>Pokyny k vyplňování šablony pro zpřístupňování informací EU IRRBB1</w:t>
            </w:r>
          </w:p>
        </w:tc>
      </w:tr>
      <w:tr w:rsidR="0054744B" w:rsidRPr="0031221C" w14:paraId="4DCD406D" w14:textId="77777777" w:rsidTr="007C351F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088F66A9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Sloupec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0621506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Vysvětlení</w:t>
            </w:r>
          </w:p>
        </w:tc>
      </w:tr>
      <w:tr w:rsidR="0054744B" w:rsidRPr="0031221C" w14:paraId="53AAFC46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562D66BF" w14:textId="1E0A8346" w:rsidR="0054744B" w:rsidRPr="0031221C" w:rsidRDefault="00316B9A" w:rsidP="00F55DB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a, b</w:t>
            </w:r>
          </w:p>
        </w:tc>
        <w:tc>
          <w:tcPr>
            <w:tcW w:w="7768" w:type="dxa"/>
            <w:shd w:val="clear" w:color="auto" w:fill="FFFFFF" w:themeFill="background1"/>
          </w:tcPr>
          <w:p w14:paraId="26CB8AC0" w14:textId="3A3B49B8" w:rsidR="00793890" w:rsidRPr="0031221C" w:rsidRDefault="004E6BD5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Změny ekonomické hodnoty vlastního kapitálu</w:t>
            </w:r>
          </w:p>
          <w:p w14:paraId="7E84F9AE" w14:textId="3C5E67A3" w:rsidR="002F2E04" w:rsidRPr="0031221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Čl. 448 odst. 1 písm. a) nařízení (EU) č. 575/2013. </w:t>
            </w:r>
          </w:p>
          <w:p w14:paraId="4C9FBFE2" w14:textId="0CBAAF6F" w:rsidR="009C2377" w:rsidRPr="0031221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Instituce oznamují změny ekonomické hodnoty vlastního kapitálu podle každého dohledového scénáře úrokového šoku za běžné a předchozí období v souladu s požadavky článku 84 a čl. 98 odst. 5 směrnice 2013/36/EU.</w:t>
            </w:r>
          </w:p>
          <w:p w14:paraId="6996A7A9" w14:textId="72F54AA8" w:rsidR="009D7A7D" w:rsidRPr="0031221C" w:rsidRDefault="009D7A7D" w:rsidP="009D7A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744B" w:rsidRPr="0031221C" w14:paraId="6583A42B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619CE943" w14:textId="5F0011ED" w:rsidR="0054744B" w:rsidRPr="0031221C" w:rsidRDefault="00316B9A" w:rsidP="0060489A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c, d</w:t>
            </w:r>
          </w:p>
        </w:tc>
        <w:tc>
          <w:tcPr>
            <w:tcW w:w="7768" w:type="dxa"/>
            <w:shd w:val="clear" w:color="auto" w:fill="FFFFFF" w:themeFill="background1"/>
          </w:tcPr>
          <w:p w14:paraId="5BAD9564" w14:textId="213A9B28" w:rsidR="00305C67" w:rsidRPr="0031221C" w:rsidRDefault="00316B9A" w:rsidP="00305C6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Změny čistého úrokového výnosu</w:t>
            </w:r>
          </w:p>
          <w:p w14:paraId="0ED8B6C6" w14:textId="70E8F948" w:rsidR="002F2E04" w:rsidRPr="0031221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Čl. 448 odst. 1 písm. b) nařízení (EU) č. 575/2013. </w:t>
            </w:r>
          </w:p>
          <w:p w14:paraId="629DC825" w14:textId="34B035B2" w:rsidR="008E005A" w:rsidRPr="0031221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Instituce oznamují změny čistého úrokového výnosu podle obou dohledových scénářů úrokového šoku uvedených v šabloně za běžné a předchozí období v souladu s požadavky článku 84 a čl. 98 odst. 5 směrnice 2013/36/EU. </w:t>
            </w:r>
          </w:p>
          <w:p w14:paraId="2D49064E" w14:textId="1AFABC17" w:rsidR="00C41D59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Dokud se nezačnou používat kritéria podle pokynů uvedených v čl. 84 odst. 6 směrnice 2013/36/EU a další prvky uvedené v čl. 98 odst. </w:t>
            </w:r>
            <w:proofErr w:type="gramStart"/>
            <w:r>
              <w:rPr>
                <w:rFonts w:ascii="Times New Roman" w:hAnsi="Times New Roman"/>
              </w:rPr>
              <w:t>5a</w:t>
            </w:r>
            <w:proofErr w:type="gramEnd"/>
            <w:r>
              <w:rPr>
                <w:rFonts w:ascii="Times New Roman" w:hAnsi="Times New Roman"/>
              </w:rPr>
              <w:t xml:space="preserve"> téže směrnice, popíší instituce definici a hlavní charakteristiky čistého úrokového výnosu (scénáře, předpoklady a horizonty čistého úrokového výnosu), které používají, v písmeni i) tabulky EU IRRBBA, nebo pokud tyto sloupce ponechají prázdné, vysvětlí v písmeni i) tabulky EU IRRBBA důvody. </w:t>
            </w:r>
          </w:p>
        </w:tc>
      </w:tr>
      <w:tr w:rsidR="00227FDC" w:rsidRPr="0031221C" w14:paraId="55BAD1A1" w14:textId="77777777" w:rsidTr="00A81E4E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CBAA6" w14:textId="77777777" w:rsidR="00227FDC" w:rsidRPr="0031221C" w:rsidRDefault="00227FDC" w:rsidP="00A81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 xml:space="preserve">Řádek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12B66" w14:textId="77777777" w:rsidR="00227FDC" w:rsidRPr="0031221C" w:rsidRDefault="00227FDC" w:rsidP="00A81E4E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Vysvětlení</w:t>
            </w:r>
          </w:p>
        </w:tc>
      </w:tr>
      <w:tr w:rsidR="00227FDC" w:rsidRPr="0031221C" w14:paraId="58E34903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8E4B4" w14:textId="7F6176AD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AB7B7" w14:textId="385B87B7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Paralelní zvýšení</w:t>
            </w:r>
          </w:p>
          <w:p w14:paraId="460792B5" w14:textId="200E6EE9" w:rsidR="0080384B" w:rsidRPr="0031221C" w:rsidRDefault="00615DB8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Instituce oznámí změny ekonomické hodnoty vlastního kapitálu a změny čistého úrokového výnosu při konstantním paralelním šoku zvyšujícím sazby na výnosové křivce. </w:t>
            </w:r>
          </w:p>
          <w:p w14:paraId="2AA6B7BB" w14:textId="14575B1E" w:rsidR="0084271D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Dokud se nezačnou používat kritéria podle pokynů uvedených v čl. 84 odst. 6 směrnice 2013/36/EU a další prvky uvedené v čl. 98 odst. </w:t>
            </w:r>
            <w:proofErr w:type="gramStart"/>
            <w:r>
              <w:rPr>
                <w:rFonts w:ascii="Times New Roman" w:hAnsi="Times New Roman"/>
              </w:rPr>
              <w:t>5a</w:t>
            </w:r>
            <w:proofErr w:type="gramEnd"/>
            <w:r>
              <w:rPr>
                <w:rFonts w:ascii="Times New Roman" w:hAnsi="Times New Roman"/>
              </w:rPr>
              <w:t xml:space="preserve"> téže směrnice, musí být parametry použité pro tento scénář popsány v písmeni i) tabulky EU IRRBBA.</w:t>
            </w:r>
          </w:p>
        </w:tc>
      </w:tr>
      <w:tr w:rsidR="00227FDC" w:rsidRPr="0031221C" w14:paraId="544FB1F8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4EE41" w14:textId="424C34BA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F83F" w14:textId="3625939B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Paralelní snížení</w:t>
            </w:r>
          </w:p>
          <w:p w14:paraId="1C16CAC1" w14:textId="764F4FC2" w:rsidR="0080384B" w:rsidRPr="0031221C" w:rsidRDefault="0084271D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Instituce oznámí změny ekonomické hodnoty vlastního kapitálu a změny čistého úrokového výnosu při konstantním paralelním šoku snižujícím sazby na výnosové křivce. </w:t>
            </w:r>
          </w:p>
          <w:p w14:paraId="3D14716A" w14:textId="5D1C74C8" w:rsidR="0084271D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Dokud se nezačnou používat kritéria podle pokynů uvedených v čl. 84 odst. 6 směrnice 2013/36/EU a další prvky uvedené v čl. 98 odst. </w:t>
            </w:r>
            <w:proofErr w:type="gramStart"/>
            <w:r>
              <w:rPr>
                <w:rFonts w:ascii="Times New Roman" w:hAnsi="Times New Roman"/>
              </w:rPr>
              <w:t>5a</w:t>
            </w:r>
            <w:proofErr w:type="gramEnd"/>
            <w:r>
              <w:rPr>
                <w:rFonts w:ascii="Times New Roman" w:hAnsi="Times New Roman"/>
              </w:rPr>
              <w:t xml:space="preserve"> téže směrnice, musí být parametry použité pro tento scénář popsány v písmeni i) tabulky EU IRRBBA. </w:t>
            </w:r>
          </w:p>
        </w:tc>
      </w:tr>
      <w:tr w:rsidR="00227FDC" w:rsidRPr="0031221C" w14:paraId="39F33934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555B" w14:textId="0BCBC17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64ADF" w14:textId="1E50F67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Zestrmění</w:t>
            </w:r>
          </w:p>
          <w:p w14:paraId="1FAE89D5" w14:textId="27B90C73" w:rsidR="0080384B" w:rsidRPr="0031221C" w:rsidRDefault="003F5907" w:rsidP="00B9107D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Instituce oznámí změny ekonomické hodnoty vlastního kapitálu podle scénáře snížení krátkodobých a zvýšení dlouhodobých sazeb na výnosové křivce. </w:t>
            </w:r>
          </w:p>
          <w:p w14:paraId="2B14043C" w14:textId="013A1877" w:rsidR="0084271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Dokud se nezačnou používat kritéria podle pokynů uvedených v čl. 84 odst. 6 směrnice 2013/36/EU a další prvky uvedené v čl. 98 odst. </w:t>
            </w:r>
            <w:proofErr w:type="gramStart"/>
            <w:r>
              <w:rPr>
                <w:rFonts w:ascii="Times New Roman" w:hAnsi="Times New Roman"/>
              </w:rPr>
              <w:t>5a</w:t>
            </w:r>
            <w:proofErr w:type="gramEnd"/>
            <w:r>
              <w:rPr>
                <w:rFonts w:ascii="Times New Roman" w:hAnsi="Times New Roman"/>
              </w:rPr>
              <w:t xml:space="preserve"> téže směrnice, musí být parametry použité pro tento scénář popsány v písmeni i) tabulky EU IRRBBA. </w:t>
            </w:r>
          </w:p>
        </w:tc>
      </w:tr>
      <w:tr w:rsidR="00227FDC" w:rsidRPr="0031221C" w14:paraId="6BC8352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DB3" w14:textId="300BBE3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85C1" w14:textId="65969A2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Zploštění</w:t>
            </w:r>
          </w:p>
          <w:p w14:paraId="3D4F63A7" w14:textId="2CC94F2B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Instituce oznámí změny ekonomické hodnoty vlastního kapitálu podle scénáře zvýšení krátkodobých a snížení dlouhodobých sazeb na výnosové křivce. </w:t>
            </w:r>
          </w:p>
          <w:p w14:paraId="68AA63EC" w14:textId="159AECB7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Dokud se nezačnou používat kritéria podle pokynů uvedených v čl. 84 odst. 6 směrnice 2013/36/EU a další prvky uvedené v čl. 98 odst. </w:t>
            </w:r>
            <w:proofErr w:type="gramStart"/>
            <w:r>
              <w:rPr>
                <w:rFonts w:ascii="Times New Roman" w:hAnsi="Times New Roman"/>
              </w:rPr>
              <w:t>5a</w:t>
            </w:r>
            <w:proofErr w:type="gramEnd"/>
            <w:r>
              <w:rPr>
                <w:rFonts w:ascii="Times New Roman" w:hAnsi="Times New Roman"/>
              </w:rPr>
              <w:t xml:space="preserve"> téže směrnice, musí být parametry použité pro tento scénář popsány v písmeni i) tabulky EU IRRBBA. </w:t>
            </w:r>
          </w:p>
        </w:tc>
      </w:tr>
      <w:tr w:rsidR="00227FDC" w:rsidRPr="0031221C" w14:paraId="5A47760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C9AB1" w14:textId="59E27251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7840B" w14:textId="0C1AAD14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Zvýšení krátkodobých sazeb</w:t>
            </w:r>
          </w:p>
          <w:p w14:paraId="68A86533" w14:textId="7377DB6E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Instituce oznámí změny ekonomické hodnoty vlastního kapitálu podle scénáře zvýšení krátkodobých sazeb na výnosové křivce. </w:t>
            </w:r>
          </w:p>
          <w:p w14:paraId="6A69073C" w14:textId="59D58E63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</w:rPr>
              <w:t>Dokud se nezačnou používat kritéria podle pokynů uvedených v čl. 84 odst. 6 směrnice 2013/36/EU a další prvky uvedené v čl. 98 odst. </w:t>
            </w:r>
            <w:proofErr w:type="gramStart"/>
            <w:r>
              <w:rPr>
                <w:rFonts w:ascii="Times New Roman" w:hAnsi="Times New Roman"/>
              </w:rPr>
              <w:t>5a</w:t>
            </w:r>
            <w:proofErr w:type="gramEnd"/>
            <w:r>
              <w:rPr>
                <w:rFonts w:ascii="Times New Roman" w:hAnsi="Times New Roman"/>
              </w:rPr>
              <w:t xml:space="preserve"> téže směrnice, musí být parametry použité pro tento scénář popsány v písmeni i) tabulky EU IRRBBA. </w:t>
            </w:r>
          </w:p>
        </w:tc>
      </w:tr>
      <w:tr w:rsidR="00CE0D17" w:rsidRPr="0031221C" w14:paraId="54BF60AA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A67F" w14:textId="4CEC3E89" w:rsidR="00CE0D17" w:rsidRPr="0031221C" w:rsidRDefault="00CE0D17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8A263" w14:textId="77777777" w:rsidR="00CE0D17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Snížení krátkodobých sazeb</w:t>
            </w:r>
          </w:p>
          <w:p w14:paraId="52648BA1" w14:textId="70C444CA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Instituce oznámí změny ekonomické hodnoty vlastního kapitálu podle scénáře snížení krátkodobých sazeb na výnosové křivce. </w:t>
            </w:r>
          </w:p>
          <w:p w14:paraId="45792CFB" w14:textId="3D985205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</w:rPr>
              <w:t>Dokud se nezačnou používat kritéria podle pokynů uvedených v čl. 84 odst. 6 směrnice 2013/36/EU a další prvky uvedené v čl. 98 odst. </w:t>
            </w:r>
            <w:proofErr w:type="gramStart"/>
            <w:r>
              <w:rPr>
                <w:rFonts w:ascii="Times New Roman" w:hAnsi="Times New Roman"/>
              </w:rPr>
              <w:t>5a</w:t>
            </w:r>
            <w:proofErr w:type="gramEnd"/>
            <w:r>
              <w:rPr>
                <w:rFonts w:ascii="Times New Roman" w:hAnsi="Times New Roman"/>
              </w:rPr>
              <w:t xml:space="preserve"> téže směrnice, musí být parametry použité pro tento scénář popsány v písmeni i) tabulky EU IRRBBA. </w:t>
            </w:r>
          </w:p>
        </w:tc>
      </w:tr>
    </w:tbl>
    <w:p w14:paraId="3452EC82" w14:textId="7F3D1507" w:rsidR="00FE2CB5" w:rsidRPr="0031221C" w:rsidRDefault="00FE2CB5" w:rsidP="00FE2CB5">
      <w:pPr>
        <w:jc w:val="both"/>
        <w:rPr>
          <w:rFonts w:ascii="Calibri" w:eastAsia="Times New Roman" w:hAnsi="Calibri" w:cs="Times New Roman"/>
          <w:color w:val="000000"/>
          <w:szCs w:val="22"/>
          <w:lang w:eastAsia="en-GB"/>
        </w:rPr>
      </w:pPr>
    </w:p>
    <w:p w14:paraId="7DD927F3" w14:textId="7DB8FF08" w:rsidR="00FE2CB5" w:rsidRPr="00482070" w:rsidRDefault="005B5611" w:rsidP="00A81E4E">
      <w:r>
        <w:t>“</w:t>
      </w:r>
    </w:p>
    <w:sectPr w:rsidR="00FE2CB5" w:rsidRPr="004820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82AC" w14:textId="77777777" w:rsidR="00B86ED4" w:rsidRDefault="00B86ED4" w:rsidP="003B5C57">
      <w:r>
        <w:separator/>
      </w:r>
    </w:p>
  </w:endnote>
  <w:endnote w:type="continuationSeparator" w:id="0">
    <w:p w14:paraId="76F692C0" w14:textId="77777777" w:rsidR="00B86ED4" w:rsidRDefault="00B86ED4" w:rsidP="003B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C445" w14:textId="77777777" w:rsidR="004B327C" w:rsidRDefault="004B3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5D18" w14:textId="77777777" w:rsidR="004B327C" w:rsidRDefault="004B32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B9CC" w14:textId="77777777" w:rsidR="004B327C" w:rsidRDefault="004B3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AD1B" w14:textId="77777777" w:rsidR="00B86ED4" w:rsidRDefault="00B86ED4" w:rsidP="003B5C57">
      <w:r>
        <w:separator/>
      </w:r>
    </w:p>
  </w:footnote>
  <w:footnote w:type="continuationSeparator" w:id="0">
    <w:p w14:paraId="14714B02" w14:textId="77777777" w:rsidR="00B86ED4" w:rsidRDefault="00B86ED4" w:rsidP="003B5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0BA4" w14:textId="77777777" w:rsidR="004B327C" w:rsidRDefault="004B3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3384" w14:textId="77777777" w:rsidR="004B327C" w:rsidRDefault="004B32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24C" w14:textId="77777777" w:rsidR="004B327C" w:rsidRDefault="004B3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820"/>
    <w:multiLevelType w:val="hybridMultilevel"/>
    <w:tmpl w:val="9008071A"/>
    <w:lvl w:ilvl="0" w:tplc="32880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67BC"/>
    <w:multiLevelType w:val="hybridMultilevel"/>
    <w:tmpl w:val="A320B384"/>
    <w:lvl w:ilvl="0" w:tplc="08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2466072A"/>
    <w:multiLevelType w:val="multilevel"/>
    <w:tmpl w:val="3566011E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45AC"/>
    <w:multiLevelType w:val="hybridMultilevel"/>
    <w:tmpl w:val="B1C6712C"/>
    <w:lvl w:ilvl="0" w:tplc="1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CD6352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0BC6196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1428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67C0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749498800">
    <w:abstractNumId w:val="8"/>
  </w:num>
  <w:num w:numId="2" w16cid:durableId="810901658">
    <w:abstractNumId w:val="3"/>
  </w:num>
  <w:num w:numId="3" w16cid:durableId="1356037761">
    <w:abstractNumId w:val="1"/>
  </w:num>
  <w:num w:numId="4" w16cid:durableId="1607927277">
    <w:abstractNumId w:val="0"/>
  </w:num>
  <w:num w:numId="5" w16cid:durableId="516584500">
    <w:abstractNumId w:val="6"/>
  </w:num>
  <w:num w:numId="6" w16cid:durableId="719984595">
    <w:abstractNumId w:val="2"/>
  </w:num>
  <w:num w:numId="7" w16cid:durableId="1724062195">
    <w:abstractNumId w:val="7"/>
  </w:num>
  <w:num w:numId="8" w16cid:durableId="737246475">
    <w:abstractNumId w:val="4"/>
  </w:num>
  <w:num w:numId="9" w16cid:durableId="11026541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4744B"/>
    <w:rsid w:val="00005B93"/>
    <w:rsid w:val="00013240"/>
    <w:rsid w:val="00025422"/>
    <w:rsid w:val="000469EE"/>
    <w:rsid w:val="00047E00"/>
    <w:rsid w:val="00053035"/>
    <w:rsid w:val="00060307"/>
    <w:rsid w:val="0006327F"/>
    <w:rsid w:val="00063CE6"/>
    <w:rsid w:val="00065C44"/>
    <w:rsid w:val="00067516"/>
    <w:rsid w:val="000A10FC"/>
    <w:rsid w:val="000A53EF"/>
    <w:rsid w:val="000B212C"/>
    <w:rsid w:val="000B28B3"/>
    <w:rsid w:val="000D6C4D"/>
    <w:rsid w:val="000F5EAA"/>
    <w:rsid w:val="000F6E3B"/>
    <w:rsid w:val="000F720A"/>
    <w:rsid w:val="0010640D"/>
    <w:rsid w:val="00110370"/>
    <w:rsid w:val="00111970"/>
    <w:rsid w:val="001163B7"/>
    <w:rsid w:val="00125B00"/>
    <w:rsid w:val="00133E44"/>
    <w:rsid w:val="0013410F"/>
    <w:rsid w:val="00146A3F"/>
    <w:rsid w:val="00146DB4"/>
    <w:rsid w:val="0016128F"/>
    <w:rsid w:val="00166CAA"/>
    <w:rsid w:val="00166FFE"/>
    <w:rsid w:val="00167A62"/>
    <w:rsid w:val="0017255F"/>
    <w:rsid w:val="00177088"/>
    <w:rsid w:val="001810BE"/>
    <w:rsid w:val="00186FD4"/>
    <w:rsid w:val="00187547"/>
    <w:rsid w:val="0019262D"/>
    <w:rsid w:val="001A538C"/>
    <w:rsid w:val="001A6E70"/>
    <w:rsid w:val="001A7DE4"/>
    <w:rsid w:val="001D0BA8"/>
    <w:rsid w:val="001D3283"/>
    <w:rsid w:val="001E248D"/>
    <w:rsid w:val="001E68FA"/>
    <w:rsid w:val="001F11D4"/>
    <w:rsid w:val="001F2FE9"/>
    <w:rsid w:val="00226654"/>
    <w:rsid w:val="00227A69"/>
    <w:rsid w:val="00227FDC"/>
    <w:rsid w:val="0024072B"/>
    <w:rsid w:val="002711B6"/>
    <w:rsid w:val="00271375"/>
    <w:rsid w:val="00292CEC"/>
    <w:rsid w:val="002931F0"/>
    <w:rsid w:val="002B52BC"/>
    <w:rsid w:val="002B630E"/>
    <w:rsid w:val="002B6C39"/>
    <w:rsid w:val="002D655D"/>
    <w:rsid w:val="002E597B"/>
    <w:rsid w:val="002E7E2E"/>
    <w:rsid w:val="002F10D0"/>
    <w:rsid w:val="002F2E04"/>
    <w:rsid w:val="002F726C"/>
    <w:rsid w:val="00305C67"/>
    <w:rsid w:val="0031221C"/>
    <w:rsid w:val="00316B9A"/>
    <w:rsid w:val="003364BD"/>
    <w:rsid w:val="00367A62"/>
    <w:rsid w:val="0037080E"/>
    <w:rsid w:val="00371201"/>
    <w:rsid w:val="00371886"/>
    <w:rsid w:val="0038371B"/>
    <w:rsid w:val="003942C9"/>
    <w:rsid w:val="003A2001"/>
    <w:rsid w:val="003A5365"/>
    <w:rsid w:val="003B1160"/>
    <w:rsid w:val="003B4F8B"/>
    <w:rsid w:val="003B5C57"/>
    <w:rsid w:val="003C03B3"/>
    <w:rsid w:val="003C310D"/>
    <w:rsid w:val="003C78DE"/>
    <w:rsid w:val="003C7BCD"/>
    <w:rsid w:val="003D086C"/>
    <w:rsid w:val="003E1403"/>
    <w:rsid w:val="003E3A89"/>
    <w:rsid w:val="003F5907"/>
    <w:rsid w:val="004018B3"/>
    <w:rsid w:val="00416C73"/>
    <w:rsid w:val="0042024E"/>
    <w:rsid w:val="00426CEC"/>
    <w:rsid w:val="0043059C"/>
    <w:rsid w:val="0045248D"/>
    <w:rsid w:val="00453AC4"/>
    <w:rsid w:val="00465DF4"/>
    <w:rsid w:val="00470043"/>
    <w:rsid w:val="00482070"/>
    <w:rsid w:val="004858AF"/>
    <w:rsid w:val="00487F1C"/>
    <w:rsid w:val="0049568B"/>
    <w:rsid w:val="004979A6"/>
    <w:rsid w:val="004A12CC"/>
    <w:rsid w:val="004B0B2A"/>
    <w:rsid w:val="004B327C"/>
    <w:rsid w:val="004D27DD"/>
    <w:rsid w:val="004E2266"/>
    <w:rsid w:val="004E6BD5"/>
    <w:rsid w:val="004F5466"/>
    <w:rsid w:val="00503DC1"/>
    <w:rsid w:val="00504410"/>
    <w:rsid w:val="00512477"/>
    <w:rsid w:val="00520421"/>
    <w:rsid w:val="00523FE8"/>
    <w:rsid w:val="005470E3"/>
    <w:rsid w:val="0054744B"/>
    <w:rsid w:val="00550EA4"/>
    <w:rsid w:val="00565F5A"/>
    <w:rsid w:val="00573FD3"/>
    <w:rsid w:val="00580D58"/>
    <w:rsid w:val="00586B82"/>
    <w:rsid w:val="00593C4B"/>
    <w:rsid w:val="00595903"/>
    <w:rsid w:val="005A5573"/>
    <w:rsid w:val="005B367A"/>
    <w:rsid w:val="005B5611"/>
    <w:rsid w:val="005D48C1"/>
    <w:rsid w:val="005E2B3A"/>
    <w:rsid w:val="005F4729"/>
    <w:rsid w:val="005F58E6"/>
    <w:rsid w:val="006001A4"/>
    <w:rsid w:val="00604339"/>
    <w:rsid w:val="0060489A"/>
    <w:rsid w:val="00607494"/>
    <w:rsid w:val="00615DB8"/>
    <w:rsid w:val="00616CF0"/>
    <w:rsid w:val="0064406C"/>
    <w:rsid w:val="0064412E"/>
    <w:rsid w:val="006473E8"/>
    <w:rsid w:val="00653207"/>
    <w:rsid w:val="00681608"/>
    <w:rsid w:val="00697A36"/>
    <w:rsid w:val="006A78BA"/>
    <w:rsid w:val="006B3947"/>
    <w:rsid w:val="006C2CA1"/>
    <w:rsid w:val="006C6FD2"/>
    <w:rsid w:val="006D4BE6"/>
    <w:rsid w:val="006D6B49"/>
    <w:rsid w:val="006D6C52"/>
    <w:rsid w:val="006F391A"/>
    <w:rsid w:val="006F69ED"/>
    <w:rsid w:val="007012E2"/>
    <w:rsid w:val="00711138"/>
    <w:rsid w:val="00716636"/>
    <w:rsid w:val="00721ADE"/>
    <w:rsid w:val="007269B1"/>
    <w:rsid w:val="00745B25"/>
    <w:rsid w:val="007573CB"/>
    <w:rsid w:val="00763C4D"/>
    <w:rsid w:val="00765030"/>
    <w:rsid w:val="007700DF"/>
    <w:rsid w:val="00775FD9"/>
    <w:rsid w:val="0078309E"/>
    <w:rsid w:val="00793890"/>
    <w:rsid w:val="007A1366"/>
    <w:rsid w:val="007A4AA0"/>
    <w:rsid w:val="007A7AFA"/>
    <w:rsid w:val="007B3033"/>
    <w:rsid w:val="007C351F"/>
    <w:rsid w:val="007D1AE4"/>
    <w:rsid w:val="007F15BF"/>
    <w:rsid w:val="007F71C4"/>
    <w:rsid w:val="0080384B"/>
    <w:rsid w:val="00804CDC"/>
    <w:rsid w:val="008220B0"/>
    <w:rsid w:val="00834F07"/>
    <w:rsid w:val="00835D8A"/>
    <w:rsid w:val="0084271D"/>
    <w:rsid w:val="00842C3A"/>
    <w:rsid w:val="00843F8C"/>
    <w:rsid w:val="00844CC6"/>
    <w:rsid w:val="00862897"/>
    <w:rsid w:val="0086459A"/>
    <w:rsid w:val="0087249C"/>
    <w:rsid w:val="008766A5"/>
    <w:rsid w:val="00885EBE"/>
    <w:rsid w:val="0088622B"/>
    <w:rsid w:val="00886EB3"/>
    <w:rsid w:val="008A053C"/>
    <w:rsid w:val="008A5827"/>
    <w:rsid w:val="008B589A"/>
    <w:rsid w:val="008E005A"/>
    <w:rsid w:val="008F617B"/>
    <w:rsid w:val="00904C4D"/>
    <w:rsid w:val="00906CCA"/>
    <w:rsid w:val="00912FEC"/>
    <w:rsid w:val="009222ED"/>
    <w:rsid w:val="00925221"/>
    <w:rsid w:val="00926D41"/>
    <w:rsid w:val="00942E61"/>
    <w:rsid w:val="0094340A"/>
    <w:rsid w:val="0094354B"/>
    <w:rsid w:val="00947B6C"/>
    <w:rsid w:val="0095024C"/>
    <w:rsid w:val="00952741"/>
    <w:rsid w:val="009528FB"/>
    <w:rsid w:val="0095538A"/>
    <w:rsid w:val="0095708D"/>
    <w:rsid w:val="00976355"/>
    <w:rsid w:val="0098778C"/>
    <w:rsid w:val="009A3E6C"/>
    <w:rsid w:val="009A42C9"/>
    <w:rsid w:val="009C2377"/>
    <w:rsid w:val="009C3247"/>
    <w:rsid w:val="009D1BA6"/>
    <w:rsid w:val="009D7A7D"/>
    <w:rsid w:val="00A0381B"/>
    <w:rsid w:val="00A05663"/>
    <w:rsid w:val="00A1733E"/>
    <w:rsid w:val="00A2202B"/>
    <w:rsid w:val="00A22F00"/>
    <w:rsid w:val="00A56B74"/>
    <w:rsid w:val="00A64295"/>
    <w:rsid w:val="00A67645"/>
    <w:rsid w:val="00A77093"/>
    <w:rsid w:val="00A81E4E"/>
    <w:rsid w:val="00A8375D"/>
    <w:rsid w:val="00A930B2"/>
    <w:rsid w:val="00AB382F"/>
    <w:rsid w:val="00AC7CEB"/>
    <w:rsid w:val="00AC7DCE"/>
    <w:rsid w:val="00AD6D9C"/>
    <w:rsid w:val="00AE69B7"/>
    <w:rsid w:val="00AF252C"/>
    <w:rsid w:val="00AF3439"/>
    <w:rsid w:val="00B36AE7"/>
    <w:rsid w:val="00B4159D"/>
    <w:rsid w:val="00B44524"/>
    <w:rsid w:val="00B54332"/>
    <w:rsid w:val="00B56EBF"/>
    <w:rsid w:val="00B650A9"/>
    <w:rsid w:val="00B66A3D"/>
    <w:rsid w:val="00B81100"/>
    <w:rsid w:val="00B82005"/>
    <w:rsid w:val="00B8650B"/>
    <w:rsid w:val="00B86ED4"/>
    <w:rsid w:val="00B9107D"/>
    <w:rsid w:val="00B923DC"/>
    <w:rsid w:val="00B94237"/>
    <w:rsid w:val="00BB39FB"/>
    <w:rsid w:val="00BB574D"/>
    <w:rsid w:val="00BC025C"/>
    <w:rsid w:val="00BF2E73"/>
    <w:rsid w:val="00C006B4"/>
    <w:rsid w:val="00C07A00"/>
    <w:rsid w:val="00C143B2"/>
    <w:rsid w:val="00C1556C"/>
    <w:rsid w:val="00C206DE"/>
    <w:rsid w:val="00C24484"/>
    <w:rsid w:val="00C307AB"/>
    <w:rsid w:val="00C41D59"/>
    <w:rsid w:val="00C42692"/>
    <w:rsid w:val="00C4502B"/>
    <w:rsid w:val="00C4547F"/>
    <w:rsid w:val="00C612FA"/>
    <w:rsid w:val="00C71181"/>
    <w:rsid w:val="00C76C94"/>
    <w:rsid w:val="00C77A9E"/>
    <w:rsid w:val="00CA2AD5"/>
    <w:rsid w:val="00CD3692"/>
    <w:rsid w:val="00CE0D17"/>
    <w:rsid w:val="00CF6849"/>
    <w:rsid w:val="00D14F4A"/>
    <w:rsid w:val="00D267B0"/>
    <w:rsid w:val="00D31F66"/>
    <w:rsid w:val="00D6257E"/>
    <w:rsid w:val="00D6294D"/>
    <w:rsid w:val="00D727B4"/>
    <w:rsid w:val="00D76DCA"/>
    <w:rsid w:val="00D7725E"/>
    <w:rsid w:val="00D96B77"/>
    <w:rsid w:val="00D97456"/>
    <w:rsid w:val="00DB6997"/>
    <w:rsid w:val="00DC1B4D"/>
    <w:rsid w:val="00DD20B0"/>
    <w:rsid w:val="00DF18F3"/>
    <w:rsid w:val="00DF58CB"/>
    <w:rsid w:val="00E0485C"/>
    <w:rsid w:val="00E05113"/>
    <w:rsid w:val="00E0540C"/>
    <w:rsid w:val="00E05823"/>
    <w:rsid w:val="00E22DED"/>
    <w:rsid w:val="00E251C6"/>
    <w:rsid w:val="00E4184D"/>
    <w:rsid w:val="00E47444"/>
    <w:rsid w:val="00E74FF6"/>
    <w:rsid w:val="00E825AF"/>
    <w:rsid w:val="00EA0ADF"/>
    <w:rsid w:val="00EA1CF8"/>
    <w:rsid w:val="00EA2452"/>
    <w:rsid w:val="00EA5AA0"/>
    <w:rsid w:val="00EA5C4B"/>
    <w:rsid w:val="00EC3E7F"/>
    <w:rsid w:val="00EE3ECC"/>
    <w:rsid w:val="00EF335F"/>
    <w:rsid w:val="00F01CEA"/>
    <w:rsid w:val="00F070E6"/>
    <w:rsid w:val="00F10FFC"/>
    <w:rsid w:val="00F24E72"/>
    <w:rsid w:val="00F441CD"/>
    <w:rsid w:val="00F470EA"/>
    <w:rsid w:val="00F55DB0"/>
    <w:rsid w:val="00F666E7"/>
    <w:rsid w:val="00F720A8"/>
    <w:rsid w:val="00F931AD"/>
    <w:rsid w:val="00FA7485"/>
    <w:rsid w:val="00FB03B8"/>
    <w:rsid w:val="00FB0584"/>
    <w:rsid w:val="00FC2089"/>
    <w:rsid w:val="00FC55A8"/>
    <w:rsid w:val="00FD20DB"/>
    <w:rsid w:val="00FD6A8F"/>
    <w:rsid w:val="00FD7503"/>
    <w:rsid w:val="00FE2CB5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6743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44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Title"/>
    <w:basedOn w:val="Normal"/>
    <w:next w:val="Normal"/>
    <w:link w:val="TableTitleChar"/>
    <w:rsid w:val="0054744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54744B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BB39F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B39FB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2B52BC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05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823"/>
    <w:rPr>
      <w:rFonts w:eastAsiaTheme="minorEastAsia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823"/>
    <w:rPr>
      <w:rFonts w:eastAsiaTheme="minorEastAsia"/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23"/>
    <w:rPr>
      <w:rFonts w:ascii="Segoe UI" w:eastAsiaTheme="minorEastAsia" w:hAnsi="Segoe UI" w:cs="Segoe UI"/>
      <w:sz w:val="18"/>
      <w:szCs w:val="18"/>
      <w:lang w:val="cs-CZ"/>
    </w:rPr>
  </w:style>
  <w:style w:type="paragraph" w:styleId="ListParagraph">
    <w:name w:val="List Paragraph"/>
    <w:basedOn w:val="Normal"/>
    <w:uiPriority w:val="34"/>
    <w:qFormat/>
    <w:rsid w:val="00A81E4E"/>
    <w:pPr>
      <w:ind w:left="720"/>
      <w:contextualSpacing/>
    </w:pPr>
  </w:style>
  <w:style w:type="paragraph" w:customStyle="1" w:styleId="Annexetitre">
    <w:name w:val="Annexe titre"/>
    <w:basedOn w:val="Normal"/>
    <w:next w:val="Normal"/>
    <w:rsid w:val="006A78B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CM1">
    <w:name w:val="CM1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customStyle="1" w:styleId="CM3">
    <w:name w:val="CM3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styleId="Revision">
    <w:name w:val="Revision"/>
    <w:hidden/>
    <w:uiPriority w:val="99"/>
    <w:semiHidden/>
    <w:rsid w:val="00F441CD"/>
    <w:pPr>
      <w:spacing w:after="0" w:line="240" w:lineRule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6C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C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C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7153-8381-41E6-B52D-20FA0B8D4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2923E8-6A1D-4FBC-8917-9342E2BC9808}"/>
</file>

<file path=customXml/itemProps3.xml><?xml version="1.0" encoding="utf-8"?>
<ds:datastoreItem xmlns:ds="http://schemas.openxmlformats.org/officeDocument/2006/customXml" ds:itemID="{FD471085-A736-4C66-B9EE-AC501CE474D6}"/>
</file>

<file path=customXml/itemProps4.xml><?xml version="1.0" encoding="utf-8"?>
<ds:datastoreItem xmlns:ds="http://schemas.openxmlformats.org/officeDocument/2006/customXml" ds:itemID="{66E7AB1B-E2A0-41B6-AE3C-7C90B247CE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1709</Words>
  <Characters>10148</Characters>
  <Application>Microsoft Office Word</Application>
  <DocSecurity>0</DocSecurity>
  <Lines>234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2022-01-27T09:43:00Z</dcterms:created>
  <dcterms:modified xsi:type="dcterms:W3CDTF">2024-10-18T12:40:00Z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2024-10-18T12:38:21Z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d1210641-5527-4f7f-8fca-b2bccdd5547a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