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CS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PŘÍLOHA 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Pokyny k zpřístupňování informací o expozicích vůči kryptoaktivům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Šablona EU CAE 1 – Šablona ke kryptoaktivům</w:t>
      </w:r>
      <w:bookmarkEnd w:id="2"/>
      <w:r>
        <w:rPr>
          <w:sz w:val="24"/>
          <w:u w:val="none"/>
          <w:b/>
          <w:rFonts w:ascii="Times New Roman" w:hAnsi="Times New Roman"/>
        </w:rP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Pevně daný formát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Při vyplňování šablony EU CAE1 uvedené v příloze XLIII IT řešení orgánu EBA použijí instituce níže uvedené pokyny ke zpřístupňování informací o objemech rizikově vážených expozic a kapitálových požadavcích pro druhy expozic vůči kryptoaktivům uvedené v čl. 501d odst. 2 nařízení (EU) č. 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Odkazy na právní předpisy a pokyny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Sloupec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Vysvětlení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Hodnota expozice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Hodnota expozic vůči kryptoaktivům pro různé druhy kryptoaktiv uvedené v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 501d odst. 2</w:t>
            </w:r>
            <w:r>
              <w:t xml:space="preserve"> nařízení (EU) č.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Objemy rizikově vážených expozic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 501d odst. 2</w:t>
            </w:r>
            <w:r>
              <w:t xml:space="preserve"> nařízení (EU) č.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Objemy rizikově vážených expozic pro různé druhy expozic vůči kryptoaktivům vypočtené v souladu s čl. 501d odst. 2 písm. f)</w:t>
            </w:r>
            <w:r>
              <w:t xml:space="preserve"> nařízení (EU) č.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Kapitálové požadavky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 501d odst. 2</w:t>
            </w:r>
            <w:r>
              <w:t xml:space="preserve"> nařízení (EU) č.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Kapitálové požadavky odpovídající objemům rizikově vážených expozic pro různé druhy kryptoaktiv.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Odkazy na právní předpisy a pokyny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Řádek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Vysvětlení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Tokenovaná tradiční aktiva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 501d odst. 2 písm. a)</w:t>
            </w:r>
            <w:r>
              <w:t xml:space="preserve"> nařízení (EU) č.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Tokeny vázané na aktiva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Čl. 501d odst. 2 písm. b) nařízení (EU) č.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Expozice vůči jiným kryptoaktivům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 501d odst. 2 písm. c)</w:t>
            </w:r>
            <w:r>
              <w:t xml:space="preserve"> nařízení (EU) č.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Ostatní expozice vůči kryptoaktivům, které se liší od</w:t>
            </w:r>
            <w:r>
              <w:t xml:space="preserve"> čl. 501d odst. 2 písm. a) a b) nařízení (EU) č.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Celkem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Celkové hodnoty vypočítané jako součet řádků 1, 2,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Objemy rizikové expozice celkem se rovnají částce uvedené v řádku EU24a sloupci „a“ šablony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Objemy kapitálových požadavků celkem se rovnají částce uvedené v řádku EU 24a sloupci „c“ šablony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Doplňková (memo) položka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Expozice vůči jiným kryptoaktivům vyjádřené jako procentní podíl kapitálu tier 1 instituce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Čl. 501d odst. 3</w:t>
            </w:r>
            <w:r>
              <w:t xml:space="preserve"> nařízení (EU) č.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rPr>
          <w:sz w:val="20"/>
          <w:rFonts w:ascii="Times New Roman" w:hAnsi="Times New Roman"/>
        </w:rPr>
        <w:tab/>
      </w:r>
      <w:r>
        <w:t xml:space="preserve"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– pravidelné používání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– pravidelné používání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– pravidelné používání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– pravidelné používání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– pravidelné používání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– pravidelné používání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cs-CZ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cs-CZ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cs-CZ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cs-CZ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cs-CZ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cs-CZ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cs-CZ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cs-CZ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cs-CZ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cs-CZ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cs-CZ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cs-CZ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cs-CZ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cs-CZ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cs-CZ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cs-CZ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cs-CZ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cs-CZ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cs-CZ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cs-CZ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cs-CZ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cs-CZ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cs-CZ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cs-CZ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cs-CZ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cs-CZ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cs-CZ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cs-CZ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cs-CZ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cs-CZ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cs-CZ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cs-CZ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cs-CZ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cs-CZ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cs-CZ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cs-CZ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cs-CZ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cs-CZ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cs-CZ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cs-CZ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cs-CZ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cs-CZ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cs-CZ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cs-CZ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cs-CZ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cs-CZ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cs-CZ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cs-CZ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cs-CZ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cs-CZ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cs-CZ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cs-CZ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90CF02-CE05-44B6-A723-F05AEE6B9411}"/>
</file>

<file path=customXml/itemProps3.xml><?xml version="1.0" encoding="utf-8"?>
<ds:datastoreItem xmlns:ds="http://schemas.openxmlformats.org/officeDocument/2006/customXml" ds:itemID="{FF378B3A-68D0-4338-A11B-189BDEBE64B0}"/>
</file>

<file path=customXml/itemProps4.xml><?xml version="1.0" encoding="utf-8"?>
<ds:datastoreItem xmlns:ds="http://schemas.openxmlformats.org/officeDocument/2006/customXml" ds:itemID="{E62DC81B-B270-422B-B0CF-BE1E6433D19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