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ПРИЛОЖЕНИЕ VIII — Указания за образците за оповестяване на собствените средства</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Образец EU CC1 — Състав на собствените средства за регулаторни цели</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букви а), г), д) и е) от Регламент (ЕС) № 575/2013</w:t>
      </w:r>
      <w:r w:rsidRPr="007F4CC8">
        <w:rPr>
          <w:rStyle w:val="FootnoteReference"/>
          <w:rFonts w:cs="Times New Roman"/>
          <w:color w:val="000000"/>
        </w:rPr>
        <w:footnoteReference w:id="1"/>
      </w:r>
      <w:r>
        <w:rPr>
          <w:rFonts w:ascii="Times New Roman" w:hAnsi="Times New Roman"/>
          <w:sz w:val="24"/>
        </w:rPr>
        <w:t xml:space="preserve"> („РКИ“), като попълват образец EU CC1 от приложение VII към ИТ решенията на ЕБО, следвайки изложените по-долу в настоящото приложение указания.</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За целите на образец EU CC1 нормативно изискуемите корекции включват приспадания от собствените средства и пруденциални филтри.</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попълват колона „б“ на настоящия образец с цел да посочат източника на всяка съществена информация, която трябва да бъде съотнесена към съответните редове в образец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В поясненията към образеца институциите посочват всички ограничения, приложени в изпълнение на РКИ при изчисляването на собствените средства, както и инструментите, пруденциалните филтри и приспаданията, спрямо които се прилагат тези ограничения. Те също така подробно описват методите, по които са изчислени отношенията на капиталова адекватност, когато те са изчислени чрез използването на елементи на собствените средства, определени по методи извън предвидените в РКИ.</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Препратки към нормативни актове и указания</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Ред №</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Обяснение</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посочени в член 26, параграф 1, букви а) и б) и в членове 27, 28 и 29 от РКИ, както и съгласно посочения в член 26, параграф 3 от РКИ списък на ЕБО, а също така тяхната разбивка по вид инструмент.</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Неразпределена печалба</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Посочената в член 26, параграф 1, буква в) от РКИ неразпределена печалба преди нормативно изискуемите корекции и преди включването на евентуална междинна нетна печалба или загуба.</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Натрупан друг всеобхватен доход (и други резерви)</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Посочените в член 26, параграф 1, букви г) и д) от РКИ натрупан друг всеобхватен доход и други резерви.</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EU-3а</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Фонд за покриване на общи банкови рискове</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Посоченият в член 26, параграф 1, буква е) от РКИ фонд за покриване на общи банкови рискове.</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 елементи по член 484, параграф 3 от РКИ и свързани премийни резерви от емисии, подлежащи на постепенно отпадане от БСК1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Посочените в член 484, параграф 3 от РКИ допустими елементи и свързаните с тях премийни резерви от емисии, подлежащи на постепенно отпадане от БСК1 — както е описано в член 486, параграф 2 от РКИ.</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Малцинствени участия (включени в консолидирания БСК1)</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Посочените в член 84 от РКИ малцинствени участия (включени в консолидирания БСК1).</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EU-5а</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Проверена от независимо лице междинна печалба, от която са приспаднати всички предвидими отчисления от печалбата или дивиденти</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Посочената в член 26, параграф 2 от РКИ проверена от независимо лице междинна печалба, от която са приспаднати всички предвидими отчисления от печалбата или дивиденти.</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(БСК1) преди нормативно изискуемите корекции</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Сборът на стойностите в редове 1 — ЕС-5а от настоящия образец</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Допълнителни корекции на стойността (отрицателна стойност)</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Допълнителните корекции на стойността в съответствие с член 34 и 105 от РКИ (отрицателна стойност).</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Нематериални активи (с приспаднат съответен данъчен пасив) (отрицателна стойност)</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Нематериалните активи (с приспаднат съответен данъчен пасив) — в съответствие с член 36, параграф 1, буква б) и член 37 от РКИ (отрицателна стойност).</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 данъчни активи, които се основават на бъдеща печалба, с изключение на тези, които произтичат от временни разлики (с приспаднат съответен данъчен пасив, когато са изпълнени условията в член 38, параграф 3 от РКИ) (отрицателна стойност)</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Отсрочените данъчни активи, които се основават на бъдеща печалба, с изключение на тези, които произтичат от временни разлики (с приспаднат съответен данъчен пасив, когато са изпълнени условията в член 38, параграф 3 от РКИ) — в съответствие с член 36, параграф 1, буква в) и член 38 от РКИ (отрицателна стойност).</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Резерви от преоценка по справедлива стойност, свързани с печалби или загуби от хеджиране на парични потоци по финансови инструменти, които не са оценени по справедлива стойност</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Резервите от преоценка по справедлива стойност, свързани с печалба или загуба от хеджиране на парични потоци по финансови инструменти, които не са оценени по справедлива стойност — в съответствие с член 33, параграф 1, буква а) от РКИ.</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Отрицателни величини, получени от изчислението на размера на очакваните загуби</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Отрицателни величини, получени от изчислението на размера на очакваната загуба — в съответствие с член 36, параграф 1, буква г) и член 40 от РКИ.</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Всяко увеличение на собствения капитал, което произтича от секюритизирани активи (отрицателна стойност)</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Всяко увеличение на собствения капитал, произтичащо от секюритизирани активи — в съответствие с член 32, параграф 1 от РКИ (отрицателна стойност).</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Печалба или загуба от оценяваните по справедлива стойност пасиви в резултат на промени в собствения кредитен рейтинг</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Печалбата или загубата от оценяваните по справедлива стойност пасиви в резултат на промени в собствения кредитен рейтинг— в съответствие с член 33, параграф 1, буква б) от РКИ.</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Активи в пенсионни фондове с предварително определен размер на пенсията (отрицателна стойност)</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Активите в пенсионни фондове с предварително определен размер на пенсията — в съответствие с член 36, параграф 1, буква д) и член 41 от РКИ (отрицателна стойност).</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БСК1 (отрицателна стойност)</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собствени инструменти на БСК1 — както са описани в член 36, параграф 1, буква е) и член 42 от РКИ (отрицателна стойност).</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БСК1 на предприятия от финансовия сектор, когато тези предприятия имат с институцията реципрочна кръстосана позиция, създадена с цел да се раздуят изкуствено собствените ѝ средства (отрицателна стойност)</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БСК1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36, параграф 1, буква ж) и член 44 от РКИ (отрицателна стойност).</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БСК1 на предприятия от финансовия сектор, в които тя няма значителни инвестиции (над 10 % праг и с приспаднати допустими къси позиции) (отрицателна стойност)</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БСК1 на предприятия от финансовия сектор, в които тя няма значителни инвестиции (над 10 % праг и с приспаднати допустими къси позиции) — както са описани в член 36, параграф 1, буква з), членове 43, 45 и 46, член 49, параграфи 2 и 3 и член 79 от РКИ (отрицателна стойност).</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БСК1 на предприятия от финансовия сектор, в които тя има значителни инвестиции (над 10 % праг и с приспаднати допустими къси позиции) (отрицателна стойност)</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БСК1 на предприятия от финансовия сектор, в които тя има значителни инвестиции (над 10 % праг и с приспаднати допустими къси позиции) — както са описани в член 36, параграф 1, буква и), членове 43, 45 и 47, член 48, параграф 1, буква б) и член 49, параграфи 1—3 от РКИ (отрицателна стойност).</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EU-20а</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Размер на експозицията на следните елементи, на които може да бъде присъдено рисково тегло от 1250 %, когато институцията избере алтернативно на прилагането му приспадане</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Посоченият в член 36, параграф 1, буква к) от РКИ размер на експозицията, на която може да бъде присъдено рисково тегло от 1250 %, когато институцията избере алтернативно на прилагането му приспадане.</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EU-20б</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квалифицирани дялови участия извън финансовия сектор (отрицателна стойност)</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 посочената в EU-20а стойност, стойността на квалифицираните дялови участия извън финансовия сектор — в съответствие с член 36, параграф 1, буква к), подточка i) и членове 89—91 от РКИ (отрицателна стойност).</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EU-20в</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секюритизиращи позиции (отрицателна стойност)</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 посочената в EU-20а на настоящия образец стойност, стойността на секюритизиращите позиции — в съответствие с член 36, параграф 1, буква к), подточка ii), член 243, параграф 1, буква б), член 244, параграф 1, буква б) и член 258 от РКИ (отрицателна стойност).</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EU-20г</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свободни доставки (отрицателна стойност)</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 посочената в EU-20а на настоящия образец стойност, стойността на свободните доставки — в съответствие с член 36, параграф 1, буква к), подточка iii) и член 379, параграф 3 от РКИ (отрицателна стойност).</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 данъчни активи, произтичащи от временни разлики (над 10 % праг и с приспаднат съответен данъчен пасив, когато са изпълнени условията по член 38, параграф 3 от РКИ) (отрицателна стойност)</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Отсрочените данъчни активи, произтичащи от временни разлики (над 10 % праг и с приспаднат съответен данъчен пасив, когато са изпълнени условията в член 38, параграф 3 от РКИ) — както са описани в член 36, параграф 1, буква в), член 38 и член 48, параграф 1, буква а) от РКИ (отрицателна стойност).</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 над прага от 17,65 % (отрицателна стойност)</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над прага от 17,65 % — в съответствие с член 48, параграф 1 от РКИ (отрицателна стойност).</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преки, непреки и синтетични позиции на институцията в инструменти на БСК1 на предприятия от финансовия сектор, в които тя има значителни инвестиции</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От стойността в ред 22 на настоящия образец, стойността на преките, непреките и синтетичните позиции на институцията в инструменти на БСК1 на предприятия от финансовия сектор, в които тя има значителни инвестиции — както е описано в член 36, параграф 1, подточка i) и член 48, параграф 1, буква б) от РКИ.</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отсрочени данъчни активи, произтичащи от временни разлики</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 стойността в ред 22 на настоящия образец, стойността на отсрочените данъчни активи, произтичащи от временни разлики — както е описано в член 36, параграф 1, буква в), член 38 и член 48, параграф 1, буква а) от РКИ.</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EU-25а</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Загуба за текущата финансова година (отрицателна стойност)</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Посочената в член 36, параграф 1 от РКИ загуба за финансовата година (отрицателна стойност).</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EU-25б</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Предвидими данъчни отчисления във връзка с елементи на БСК1, освен когато институцията по подходящ начин коригира размера на елементите на БСК1, доколкото такива данъчни отчисления намаляват размера, до който тези елементи могат да се използват за покриване на рискове или загуби (отрицателна стойност)</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на посочените в член 36, параграф 1, буква л) от РКИ предвидими данъчни отчисления във връзка с елементи на БСК1, освен когато институцията по подходящ начин коригира размера на елементите на БСК1, доколкото такива данъчни отчисления намаляват размера, до който тези елементи могат да се използват за покриване на рискове или загуби (отрицателна стойност).</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 приспадания от ДК1, които надхвърлят елементите на ДК1 на институцията (отрицателна стойност)</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Допустимите приспадания от ДК1, които надхвърлят елементите на ДК1 на институцията — както е описано в член 36, параграф 1, буква й) от РКИ (отрицателна стойност).</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EU-27а</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Други нормативно изискуеми корекции</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нормативно изискуеми корекции, докладвани в рамките на предоставяната за надзорни цели информация и невключени в друг ред на настоящия образец, в т.ч. стойността на преходните мерки по МСФО 9 — когато е приложимо и до изтичането на преходния период.</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Общо нормативно изискуеми корекции на базовия собствен капитал от първи ред (БСК1)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Представляват сборът на стойностите в редове 7 — EU-20a, 21, 22 и EU-25a — EU-27a на настоящия образец.</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(БСК1)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Представлява разликата на ред 6 и ред 28 на настоящия образец.</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съгласно членове 51 и 52 от РКИ.</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класифицирани като собствен капитал съгласно приложимите счетоводни стандарти</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30 на настоящия образец, класифицирана като собствен капитал съгласно приложимите счетоводни стандарти.</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класифицирани като пасиви съгласно приложимите счетоводни стандарти</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30 на настоящия образец, класифицирана като пасиви съгласно приложимите счетоводни стандарти.</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 елементи по член 484, параграф 4 от РКИ и свързани премийни резерви от емисии, подлежащи на постепенно отпадане от ДК1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Посочените в член 484, параграф 4 от РКИ допустими елементи и свързаните с тях премийни резерви от емисии, подлежащи на постепенно отпадане от ДК1 — както е описано в член 486, параграф 3 от РКИ.</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EU-33а</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Допустимите елементи по член 494а, параграф 1 от РКИ, подлежащи на постепенно отпадане от ДК1.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EU-33б</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Допустимите елементи по член 494б, параграф 1 от РКИ, подлежащи на постепенно отпадане от ДК1.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 капитал от първи ред (К1), включен в консолидирания ДК1 (в т.ч. малцинствените участия, които не са посочени в ред 5), емитиран от дъщерни предприятия и държан от трети лица</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Посоченият в членове 85—86 от РКИ допустим К1, включен в консолидирания ДК1 (включително малцинствените участия, които не са включени в ред 5), емитиран от дъщерни предприятия и държан от трети лица.</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емитирани от дъщерни предприятия инструменти, които подлежат на постепенно отпадане</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34 на настоящия образец, която се отнася до инструментите, емитирани от дъщерни предприятия, които подлежат на постепенно отпадане — както е описано в член 486, параграф 3 от РКИ.</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Допълнителен капитал от първи ред (ДК1) преди нормативно изискуемите корекции</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Сборът на стойностите в редове 30, 33, EU-33а, EU-33б и 34 на настоящия образец.</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ДК1 (отрицателна стойност)</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собствени инструменти на ДК1 — както са описани в член 52, параграф 1, буква б), член 56, буква а) и член 57 от РКИ (отрицателна стойност).</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ДК1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(отрицателна стойност)</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ДК1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56, буква б) и член 58 от РКИ (отрицателна стойност).</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ДК1 на предприятия от финансовия сектор, в които тя няма значителни инвестиции (над 10 % праг и с приспаднати допустими къси позиции) (отрицателна стойност)</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ДК1 на предприятия от финансовия сектор, в които тя няма значителни инвестиции (над 10 % праг и с приспаднати допустими къси позиции) — както са описани в член 56, буква в) и членове 59, 60 и 79 от РКИ (отрицателна стойност).</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ДК1 на предприятия от финансовия сектор, в които тя има значителни инвестиции (с приспаднати допустими къси позиции) (отрицателна стойност)</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Преките, непреките и синтетичните позиции на институцията в инструменти на ДК1 на предприятия от финансовия сектор, в които </w:t>
            </w:r>
            <w:r>
              <w:rPr>
                <w:rFonts w:ascii="Times New Roman" w:hAnsi="Times New Roman"/>
                <w:sz w:val="24"/>
              </w:rPr>
              <w:lastRenderedPageBreak/>
              <w:t>тя има значителни инвестиции (с приспаднати допустими къси позиции) — както е посочено в член 56, буква г) и членове 59 и 79 от РКИ (отрицателна стойност).</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 приспадания от капитала от втори ред (К2), които надхвърлят елементите на К2 на институцията (отрицателна стойност)</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Допустимите приспадания от К2, които надхвърлят елементите на К2 на институцията — както е описано в член 56, буква д) от РКИ (отрицателна стойност).</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EU-42а</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Други нормативно изискуеми корекции на ДК1</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нормативно изискуеми корекции, докладвани в рамките на предоставяната за надзорни цели информация и невключени в друг ред на настоящия образец.</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Общо нормативно изискуеми корекции на ДК1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Сборът на стойностите в редове 37 — EU-42а на настоящия образец.</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Допълнителен капитал от първи ред (ДК1)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ДК1 се изчислява като разликата на ред 36 и ред 43 на настоящия образец.</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Капитал от първи ред (К1 = БСК1 + ДК1)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К1 е сборът на ред 29 и ред 44 на настоящия образец.</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съгласно членове 62 и 63 от РКИ.</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Размер на допустимите елементи по член 484, параграф 5 от РКИ и свързаните с тях премийни резерви от емисии, подлежащи на постепенно отпадане от К2 – както е описано в член 486, параграф 4 от РКИ</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EU-47а</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Размер на допустимите елементи по член 494а, параграф 2 от РКИ, подлежащи на постепенно отпадане от К2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EU-47б</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Размер на допустимите елементи по член 494б, параграф 2 от РКИ, подлежащи на постепенно отпадане от К2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Допустими капиталови инструменти, включени в консолидирания К2 (в т.ч. малцинствени участия и инструменти на ДК1, които не са включени в редове 5–34), емитирани от дъщерни предприятия и държани от трети лица</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Посочените в членове 87 и 88 от РКИ допустими капиталови инструменти, включени в консолидирания К2 (в т.ч. малцинствени участия и инструменти на ДК1, които не са включени в редове 5—34 на настоящия образец), емитирани от дъщерни предприятия и държани от трети лица.</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емитирани от дъщерни предприятия инструменти, които подлежат на постепенно отпадане</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 стойността в ред 48, стойността, която се отнася до емитираните от дъщерни предприятия инструменти, които подлежат на постепенно отпадане — както е описано в член 486, параграф 4 от РКИ.</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Корекции за кредитен риск</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Корекциите за кредитен риск, посочени в член 62, букви в) и г) от РКИ.</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 от втори ред (К2) преди нормативно изискуемите корекции</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Сборът на стойностите в редове 46—48 и 50 на настоящия образец.</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К2 и подчинени заеми (отрицателна стойност)</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собствени инструменти на K2 и подчинените заеми — както са описани в член 63, буква б), подточка i), член 66, буква а) и член 67 от РКИ (отрицателна стойност).</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К2 и подчинени заеми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(отрицателна стойност)</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К2 и подчинени заеми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66, буква б) и член 68 от РКИ (отрицателна стойност).</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Преки, непреки и синтетични позиции в инструменти на К2 и подчинени заеми на предприятия от финансовия сектор, в които </w:t>
            </w:r>
            <w:r>
              <w:rPr>
                <w:rFonts w:ascii="Times New Roman" w:hAnsi="Times New Roman"/>
                <w:sz w:val="24"/>
              </w:rPr>
              <w:lastRenderedPageBreak/>
              <w:t>институцията няма значителни инвестиции (над 10 % праг и с приспаднати допустими къси позиции) (отрицателна стойност)</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К2 и подчинени заеми на предприятия от финансовия сектор, в които институцията няма значителни инвестиции (над 10 % праг и с приспаднати допустими къси позиции) — както са описани в член 66, буква в) и членове 69, 70 и 79 от РКИ (отрицателна стойност).</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К2 и подчинени заеми на предприятия от финансовия сектор, в които тя има значителни инвестиции (с приспаднати допустими къси позиции) (отрицателна стойност)</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К2 и подчинени заеми на предприятия от финансовия сектор, в които тя има значителни инвестиции (с приспаднати допустими къси позиции) — както е посочено в член 66, буква г) и членове 69 и 79 от РКИ (отрицателна стойност).</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EU-56а</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Допустими приспадания на приемливи задължения, които надхвърлят приемливите задължения на институцията (отрицателна стойност)</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Допустимите приспадания на приемливи задължения, които надхвърлят приемливите задължения на институцията — както е посочено в член 66, буква д) от РКИ (отрицателна стойност).</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EU-56б</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Други нормативно изискуеми корекции на К2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нормативно изискуеми корекции, докладвани в рамките на предоставяната за надзорни цели информация и невключени в друг ред на настоящия образец.</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Общо нормативно изискуеми корекции на капитала от втори ред (К2)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Сборът на стойностите в редове 52 — EU-56б на настоящия образец.</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 от втори ред (К2)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К2 се изчислява като разликата на ред 51 и ред 57 на настоящия образец.</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Съвкупен капитал (СК = К1 + К2)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СК е сборът на ред 45 и ред 58 на настоящия образец.</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 размер на рисковата експозиция</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Общата рискова експозиция на групата</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Базов собствен капитал от първи ред</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Базовият собствен капитал от първи ред (като процент от общата рискова експозиция) е, в съответствие с член 92, параграф 2, буква а) от РКИ, изразеното в проценти частно на стойността в ред 29 и тази в ред 60 на настоящия образец.</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 от първи ред</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Капиталът от първи ред (като процент от общата рискова експозиция) е, в съответствие с член 92, параграф 2, буква б) от РКИ, изразеното в проценти частно на стойността в ред 45 и тази в ред 60 на настоящия образец.</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Съвкупен капитал</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Съвкупният капитал (като процент от общата рискова експозиция) е, в съответствие с член 92, параграф 2, буква в) от РКИ, изразеното в проценти частно на стойността в ред 59 и тази в ред 60 на настоящия образец.</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Общо капиталово изискване за БСК1 за институцията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Общото капиталово изискване за БСК1 за институцията се изчислява, като към изискването за БСК1 по член 92, параграф 1, буква а) от РКИ се добавят допълнителното изискване за БСК1, което институциите са длъжни да поддържат по силата на член 104, параграф 1, буква а) от Директива 2013/36/ЕС</w:t>
            </w:r>
            <w:r w:rsidRPr="007F4CC8">
              <w:rPr>
                <w:rStyle w:val="FootnoteReference"/>
                <w:rFonts w:cs="Times New Roman"/>
                <w:lang w:eastAsia="ja-JP"/>
              </w:rPr>
              <w:footnoteReference w:id="2"/>
            </w:r>
            <w:r>
              <w:rPr>
                <w:rFonts w:ascii="Times New Roman" w:hAnsi="Times New Roman"/>
                <w:sz w:val="24"/>
              </w:rPr>
              <w:t xml:space="preserve"> („ДКИ“), и комбинираното изискване за буфер по смисъла на член 128, точка 6 от ДКИ, изразено като процент от рисковата експозиция.</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То се получава, като към 4,5 % се добавят допълнителните изисквания по стълб 2, които институциите трябва да съблюдават по силата на член 104, параграф 1, буква а) от ДКИ, и комбинираното изискване за буфер, изчислено в съответствие с членове 128, 129, 130, 131 и 133 от ДКИ.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В този ред се съдържа отношението на БСК1, което е от значение, за да се оценят ограниченията върху разпределенията.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изискване за предпазен капиталов буфер</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Стойността в ред 64 на настоящия образец (изразена като процент от общата рискова експозиция), която се отнася до посоченото в член 129 от ДКИ изискване за предпазен капиталов буфер.</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изискване за антицикличен капиталов буфер</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Стойността в ред 64 на настоящия образец (изразена като процент от общата рискова експозиция), която се отнася до посоченото в член 130 от ДКИ изискване за антицикличен капиталов буфер.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изискване за буфер за системен риск</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посоченото в член 133 от ДКИ изискване за буфер за системен риск.</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EU-67а</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 т.ч.: буфер за глобалните системно значими институции (Г-СЗИ) или другите системно значими институции (Д-СЗИ)</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посоченото в член 131 от ДКИ изискване за буфер за Г-СЗИ или Д-СЗИ.</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EU-67б</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в т.ч.: допълнителни капиталови изисквания за рисковете, различни от риска от прекомерен ливъридж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произтичащите от надзорния преглед допълнителни капиталови изисквания, които БСК1 трябва да удовлетворява по силата на член 104, параграф 1, буква а) от Директива 2013/36/ЕС.</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(като процент от размера на рисковата експозиция), наличен след изпълнение на минималните капиталови изисквания</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Изчислява се като от стойността в ред 61 се извадят 4,5 процентни пункта, стойността в ред EU-67б и БСК1, използван от институцията за изпълнение на нейните капиталови изисквания за ДК1 и К2.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и непреките позиции в собствени средства и приемливи задължения на предприятия от финансовия сектор, в които институцията няма значителни инвестиции (под прага от 10 % и с приспаднати допустими къси позиции)</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Преките и непреките позиции в собствени средства и приемливи задължения на предприятия от финансовия сектор, в които институцията няма значителни инвестиции (под прага от 10 % и с приспаднати допустими къси позиции) — както са описани в член 36, параграф 1, буква з), членове 45 и 46, член 56, буква в), членове 59 и 60, член 66, буква в) и членове 69, 70 и 72и от РКИ.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 и непреки позиции на институцията в инструменти на БСК1 на предприятия от финансовия сектор, в които тя има значителни инвестиции (под праговете от 17,65 % и с приспаднати допустими къси позиции)</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Преките и непреките позиции на институцията в инструменти на БСК1 на предприятия от финансовия сектор, в които тя има значителни инвестиции (под праговете от 17,65 % и с приспаднати допустими къси позиции) — както са описани в член 36, параграф 1, буква и), членове 43, 45 и 47, член 48, параграф 1, буква б) и член 49, параграфи 1—3 от РКИ (общата стойност на тези инвестиции, която не е оповестена в редове 19 и 23 на настоящия образец).</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Не е приложимо</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 данъчни активи, произтичащи от временни разлики (под прага от 17,65 % и с приспаднат съответен данъчен пасив, когато са изпълнени условията по член 38, параграф 3 от РКИ)</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Отсрочените данъчни активи, произтичащи от временни разлики (под прага от 17,65 % в съответствие с член 48, параграф 2, буква б) от РКИ и с приспаднат съответен данъчен пасив, когато са изпълнени условията по член 38, параграф 3 от РКИ) — както са описани в член 36, параграф 1, буква в) и членове 38 и 48 от РКИ (общата стойност на тези отсрочени данъчни активи, която не е оповестена в редове 21 и 25 на настоящия образец).</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Включени в К2 корекции за кредитен риск при експозициите, за които се прилага стандартизираният подход (преди въвеждане на тавана)</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Включените в К2 корекции за кредитен риск при експозициите, към които се прилага стандартизираният подход (преди прилагане на тавана) — в съответствие с член 62, буква в) от РКИ.</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Таван за включването в К2 на корекции за кредитен риск съгласно стандартизирания подход</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Таванът за включването в К2 на корекции за кредитен риск съгласно стандартизирания подход — в съответствие с член 62, буква в) от РКИ.</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Включени в К2 корекции за кредитен риск при експозициите, за които се прилага вътрешнорейтинговият подход (преди прилагане на тавана)</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Включените в К2 корекции за кредитен риск при експозициите, за които се прилага вътрешнорейтинговият подход — в съответствие с член 62, буква г) от РКИ.</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Таван за включването в К2 на корекции за кредитен риск съгласно вътрешнорейтинговия подход</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Таванът за включването в К2 на корекции за кредитен риск съгласно вътрешнорейтинговия подход — в съответствие с член 62, буква г) от РКИ.</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 таван за инструментите на БСК1, обхванати от разпоредби за постепенно отпадане</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Текущият таван за инструментите на БСК1, обхванати от разпоредби за постепенно отпадане в съответствие с член 484, параграф 3 и член 486, параграфи 2 и 5 от РКИ.</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 изключена от БСК1 поради тавана (превишава го след обратното изкупуване и падежите)</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изключена от БСК1 поради тавана (превишава го след обратното изкупуване и падежите) в съответствие с член 484, параграф 3 и член 486, параграфи 2 и 5 от РКИ.</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 таван за инструментите на ДК1, обхванати от разпоредби за постепенно отпадане</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Текущият таван за инструментите на ДК1, обхванати от разпоредби за постепенно отпадане в съответствие с член 484, параграф 4 и член 486, параграфи 3 и 5 от РКИ.</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 изключена от ДК1 поради тавана (превишава го след обратното изкупуване и падежите)</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изключена от ДК1 поради тавана (превишава го след обратното изкупуване и падежите) в съответствие с член 484, параграф 4 и член 486, параграфи 3 и 5 от РКИ.</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 таван за инструментите на К2, обхванати от разпоредби за постепенно отпадане</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Текущият таван за инструментите на К2, обхванати от разпоредби за постепенно отпадане в съответствие с член 484, параграф 5 и член 486, параграфи 4 и 5 от РКИ.</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 изключена от К2 поради тавана (превишава го след обратното изкупуване и падежите)</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Стойността, изключена от К2 поради тавана (превишава го след обратното изкупуване и падежите) в съответствие с член 484, параграф 5 и член 486, параграфи 4 и 5 от РКИ.</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Образец EU CC2 — Равняване на собствените средства за регулаторни цели със счетоводния баланс в одитираните финансови отчети</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буква а) от РКИ, като попълват образец EU CC2 от приложение VII към настоящия регламент за изпълнение, следвайки указанията в настоящото приложение.</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счетоводния баланс, включен в публикуваните от тях финансови отчети. Финансовите отчети са одитираните финансови отчети за целите на оповестяванията към края на годината.</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Редовете на образеца не са със зададен формат и институциите ги попълват според финансовите си отчети. Позициите за собствените средства в одитираните финансови отчети включват всички елементи, които са компоненти на изискуемите собствени средства или се приспадат от тях, включително собствен капитал, пасиви, например дълг, или балансови позиции, които засягат изискуемите собствени средства, например нематериални активи, репутация, отсрочени данъчни активи. Всички компоненти, включени в образеца за оповестяване на собствените средства (образец EU CC1), се представят самостоятелно, поради което институциите при необходимост детайлизират балансовите позиции за собствените средства. Институциите детайлизират балансовите позиции само доколкото това е необходимо за обособяването на изискваните от образец EU CC1 компоненти. Оповестяването е съизмеримо със сложността на баланса на институцията.</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Колоните са предварително зададени и се оповестяват, както следва:</w:t>
      </w:r>
    </w:p>
    <w:p w14:paraId="3FD82033"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Колона „а“: институциите нанасят стойностите, отчетени в счетоводния баланс, включен в публикуваните от тях финансови отчети съгласно обхвата на консолидация за счетоводни цели.</w:t>
      </w:r>
    </w:p>
    <w:p w14:paraId="615808B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Колона „б“: институциите нанасят стойностите съгласно обхвата на консолидация за пруденциални цели.</w:t>
      </w:r>
    </w:p>
    <w:p w14:paraId="09531333"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Колона „в“: институциите посочват връзката на съответната позиция за собствените средства в образец EU CC2 със съответните позиции в EU CC1 — образеца за оповестяване на собствените средства. Позицията в колона „в“ на образец EU CC2 се свързва с позицията в колона „б“ на образец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В следните случаи, когато обхватът на консолидация за счетоводни и за пруденциални цели е напълно еднакъв, колони „а“ и „б“ на настоящия образец се обединяват и този факт ясно се оповестява:</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Когато институциите изпълняват задълженията, предвидени в осма част от РКИ, на консолидирана или подконсолидирана основа, но обхватът и методът на консолидация, използвани за изготвянето на баланса във финансовите отчети, е еднакъв с обхвата и метода на консолидация, определени в съответствие с първа част, дял II, глава 2 от РКИ, и когато институциите ясно са посочили отсъствието на разлики между съответните обхвати и методи на консолидация.</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Когато институциите изпълняват задълженията, предвидени в осма част от РКИ, на индивидуална основа.</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Таблица EU CCA – Основни характеристики на инструментите на изискуемите собствени средства и на инструментите на приемливите задължения</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букви б) и в) от РКИ, като попълват таблица EU CCA от приложение VII към настоящия регламент за изпълнение, следвайки указанията в настоящото приложение.</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попълват таблица EU-CCA за следните категории: инструментите на базовия собствен капитал от първи ред, инструментите на допълнителния капитал от първи ред, инструментите на капитала от втори ред и инструментите на приемливите задължения по смисъла на член 72б от РКИ.</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Таблиците съдържат отделни колони с характеристиките на всеки инструмент на изискуемите собствени средства и инструмент на приемливите задължения. Когато различни инструменти от една и съща категория имат идентични характеристики, институциите могат да попълнят само една от колоните, като оповестяват тези идентични характеристики и посочват емисиите, за които те се отнасят. Когато попълват колоните за тези инструменти, институциите ги групират в три раздела (хоризонтално в таблицата), за да посочат дали удовлетворяват: i) само изискванията за собствените средства (но не и за приемливите задължения); ii) както изискванията за собствените средства, така и за приемливите задължения; или iii) само изискванията за приемливите задължения (но не и за собствените средства).</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По отношение на инструментите на приемливите задължения, които не са подчинени на изключените задължения, институциите оповестяват само ценните книжа, които са взаимозаменяеми търгуеми финансови инструменти, с изключение на заемите и депозитите.</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Указания за попълване на таблицата за основните характеристики на инструментите на изискуемите собствени средства и на инструментите на приемливите задължения</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Ред №</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Обяснение</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Емитент</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юридическото наименование на емитента.</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Уникален идентификатор (например CUSIP, ISIN или идентификаторът на Bloomberg при частно предлагане)</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EU-2а</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Публично или частно предлагане</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е предмет на публично или частно предлагане.</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[публично] [частно]</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Приложима за инструмента правна уредба (или уредби)</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приложимата за инструмента правна уредба (или уредби).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Свободен текст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Договорно признаване на правомощията на органите за преструктуриране за обезценяване и преобразуване</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съдържа клауза, съгласно която с решение на орган за преструктуриране или на съответен орган на трета държава главницата му се обезценява за постоянно или инструментът се преобразува в инструмент на базовия собствен капитал от първи ред — както е посочено, когато е приложимо, в следните разпоредби:</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52, параграф 1, буква п) от РКИ — по отношение на инструментите на допълнителния капитал от първи ред;</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63, буква н) или о) от РКИ — по отношение на капитала от втори ред;</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72б, параграф 2, буква н) от РКИ — по отношение на приемливите задължения;</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55 от Директива (ЕС)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(„ДВПБ“) — по отношение на някой от горепосочените елементи, уреден от правото на трета държава.</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Обезценяването и преобразуването могат да бъдат в съответствие както с член 55 от ДВПБ, така и с посочените след всяко от първите три тирета условия.</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Текущо третиране, като се вземат предвид, когато е приложимо, преходните разпоредби на РКИ</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преходното третиране на изискуемите собствени средства, съдържащо се в РКИ. Първоначалната класификация на </w:t>
            </w:r>
            <w:r>
              <w:rPr>
                <w:rFonts w:ascii="Times New Roman" w:hAnsi="Times New Roman"/>
                <w:sz w:val="24"/>
              </w:rPr>
              <w:lastRenderedPageBreak/>
              <w:t>инструмента служи за отправна точка, независимо от възможното му прекласифициране в собствени средства от по-нисък ред.</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[базов собствен капитал от първи ред] [допълнителен капитал от първи ред] [капитал от втори ред] [неприемлив] [не се прилага]</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 — уточнете дали част от емисията е била прекласифицирана в по-ниски редове на капитала.</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Разпоредби на РКИ за периода след прехода</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третирането по силата на РКИ на собствените средства за регулаторни цели, без да взимат предвид преходното третиране.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[базов собствен капитал от първи ред] [допълнителен капитал от първи ред] [капитал от втори ред] [приемливи задължения] [неприемлив]</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Приемлив на индивидуална/(под-)консолидирана / индивидуална &amp; (под-)консолидирана основа</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нивата в рамките на групата, на които инструментът е включен в собствените средства / приемливите задължения.</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[индивидуално] [(под-)консолидирано] [индивидуално и (под-)консолидирано]</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Вид инструмент (видовете се определят от всяка юрисдикция)</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вида на инструмента, както го определя всяка юрисдикция.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За инструментите на БСК1 се избира наименованието на инструмента в списъка на БСК1, публикуван от ЕБО по силата на член 26, параграф 3 от РКИ.</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За другите инструменти се избира от: предоставените на институциите от всяка юрисдикция варианти — за всеки вид инструмент се въвеждат правни позовавания на членове от РКИ.</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Стойност, призната в изискуемия капитал или приемливите задължения (парична единица в милиони, към последната отчетна дата)</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стойността, призната в изискуемите собствени средства или в приемливите задължения.</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Свободен текст — по-специално се посочва, ако някои части на инструментите са в различни редове на изискуемите собствени </w:t>
            </w:r>
            <w:r>
              <w:rPr>
                <w:rFonts w:ascii="Times New Roman" w:hAnsi="Times New Roman"/>
                <w:i/>
                <w:sz w:val="24"/>
              </w:rPr>
              <w:lastRenderedPageBreak/>
              <w:t>средства и ако признатата в тези собствени средства стойност е различна от размера на емисията.</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Номинална стойност на инструмента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Номиналната стойност на инструмента (в паричната единица на емисията и в паричната единица, използвана с оглед на задълженията за докладване).</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EU-9а</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Емисионна цена</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Емисионната цена на инструмента.</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EU-9б</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Цена на обратно изкупуване</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Цената на обратно изкупуване на инструмента.</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Счетоводна класификация</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счетоводната класификация.</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[акционерен капитал] [пасив — амортизирана стойност] [пасив — справедлива стойност] [неконтролиращо участие в консолидирано дъщерно предприятие]</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Първоначална дата на емитиране</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датата на емитиране.</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Безсрочен или срочен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е срочен или безсрочен.</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[безсрочен] [срочен]</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Първоначален падеж</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За срочните инструменти институциите посочват първоначалната дата на падежа (ден, месец и година). За безсрочните инструменти се посочва „без падеж“.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Възможност за предварително обратно изкупуване от емитента, която подлежи на предварително одобрение от надзорните органи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Институциите посочват дали има опция (и всички видове опции) за предварително обратно изкупуване от емитента.</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Евентуална дата на предварителното обратно изкупуване, условни дати и размер</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За инструментите с опция за предварително обратно изкупуване от емитента се посочва първата дата на обратно изкупуване, ако инструментът е с такава определена дата (ден, месец и година), като се посочва и дали опцията за предварително обратно изкупуване на инструмента е обвързана със събитие от данъчно и/или регулаторно естество. Институциите посочват и цената на обратно изкупуване — което спомага да се оцени постоянният характер.</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Последващи дати на предварително обратно изкупуване, ако е приложимо</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ако е приложимо, наличието и честотата на последващите дати на предварително обратно изкупуване — което спомага да се оцени постоянният характер. </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Фиксиран или плаващ дивидент/купон</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купонът/дивидентът е фиксиран за срока до падежа на инструмента; плаващ за срока до падежа на инструмента; понастоящем фиксиран, но ще премине към плаваща ставка в бъдеще; понастоящем плаващ, но ще премине към фиксирана ставка в бъдеще.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Избира се сред посочените: [фиксиран] [плаващ] [фиксиран към плаващ] [плаващ към фиксиран]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Ставка на купона и свързани с нея индекси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ставката на купона на инструмента и всеки свързан индекс, който се използва за референтен за ставката на купона/дивидента.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Свободен текст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Наличие на механизъм за преустановяване изплащането на дивиденти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липсата на плащане на купон или дивидент по съответния инструмент води до забрана на изплащането на дивидент по обикновените акции (т.е. дали е налице механизъм за преустановяване изплащането на дивиденти).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Избира се сред посочените: [да] [не]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EU-20а</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Пълна, частична или никаква свобода на действие (от гледна точка на момента)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емитентът разполага с пълна или частична свобода на действие, или не разполага с такава, що се отнася до плащането или не на купон/дивидент. Ако институцията има пълна свобода да отмени плащане на купон/дивидент при всякакви обстоятелства, тя избира „пълна свобода“ (в т.ч. когато е налице механизъм за преустановяване изплащането на дивиденти, който обаче не възпрепятства институцията да отмени плащания по инструмента). Ако за отмяната на плащане трябва да са налице определени условия (например собствените средства да са под определен праг), институцията избира „частична свобода“. Ако институцията не е в състояние да отмени плащане, освен ако не изпадне в неплатежоспособност, тя избира „никаква свобода“.</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[пълна свобода] [частична свобода] [никаква свобода]</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Свободен текст (посочете причините за преценката, наличие на механизъм за задействане изплащането на дивиденти, механизъм за преустановяване изплащането на дивиденти, алтернативен механизъм за плащане на купони — АМИК)</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EU-20б</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Пълна, частична или никаква свобода на действие (от гледна точка на размера)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що се отнася до размера на купона/дивидента емитентът разполага с пълна или частична свобода на действие, или не разполага с такава.</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[пълна свобода] [частична свобода] [никаква свобода]</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Наличие на повишена цена или друг стимул за обратно изкупуване</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има увеличена цена или друг стимул за обратно изкупуване.</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Без натрупване или с натрупване</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дивидентите/купоните са с натрупване или без натрупване.</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[с натрупване] [без натрупване] [АМИК]</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Подлежащ или неподлежащ на преобразуване</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Институциите посочват дали инструментът може да бъде преобразуван или не.</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[подлежи на преобразуване] [не подлежи на преобразуване]</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задействащите преобразуването фактори</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факторите, задействащи преобразуването на инструмента, в т.ч. точката на загуба на икономическа целесъобразност. Когато един или повече компетентни органи имат правомощие да задействат преобразуване, те се изброяват. За всеки орган се посочва дали правното основание той да задейства преобразуването са условията на договора на инструмента (договорен подход) или нормативната уредба (нормативен подход).</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изцяло или частично</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винаги ще се преобразува изцяло, може да се преобразува изцяло или частично, или винаги ще се преобразува частично.</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[винаги изцяло] [изцяло или частично] [винаги частично]</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ставка на преобразуването</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ставката на преобразуване в инструмента с по-добър капацитет за покриване на загуби.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дали това е задължително, или не</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За инструментите, които могат да бъдат преобразувани, институциите посочват дали преобразуването е задължително или не.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[задължително] [незадължително] [не се прилага] и [по избор на държателите] [по избор на емитента] [по избор и на държателите, и на емитента]</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видът инструмент, в който инструментът може да бъде преобразуван</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За инструментите, които могат да бъдат преобразувани, институциите посочват вида на инструмента, в който те се преобразуват. Това спомага да се оцени капацитетът за покриване на загуби.</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Избира се сред посочените: [базов собствен капитал от първи ред] [допълнителен капитал от първи ред] [капитал от втори ред] [друг]</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подлежащ на преобразуване – емитентът на инструмента, в който се преобразува</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Възможности за обезценка (отрицателна преоценка)</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инструментът може да бъде обезценен.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Ако е с възможност за обезценка – задействащи обезценката фактор(и)</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задействащите обезценката фактори, в т.ч. точката на загуба на икономическа целесъобразност. Когато един или повече компетентни органи имат правомощие да задействат обезценка, те се изброяват. За всеки орган се посочва дали правното основание той да задейства обезценката са условията на договора на инструмента (договорен подход) или нормативната уредба (нормативен подход).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с възможност за обезценка – изцяло или частично</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винаги ще бъде обезценен изцяло, може да бъде обезценен частично или винаги ще бъде обезценен частично. Това спомага да се оцени капацитетът за поемане на загуби при обезценка.</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[винаги изцяло] [изцяло или частично] [винаги частично]</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е с възможност за обезценка – постоянна или временна</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обезценката на инструмента е постоянна или временна.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[постоянна] [временна] [не се прилага]</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Ако обезценката е временна – описание на механизма за положителна преоценка (увеличение на балансовата стойност)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описват механизма за положителна преоценка.</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Вид подчиненост (само за приемливите задължения)</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 xml:space="preserve">Институциите посочват дали инструментът отговаря на някоя от формите на подчиненост, описани в член 72б, параграф 2, буква г), подточки i), ii) и iii) от РКИ.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[договорна] — ако инструментът отговаря на изискванията по член 72б, параграф 2, буква г), подточка i) от РКИ;</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[нормативна] — ако инструментът отговаря на изискванията по член 72б, параграф 2, буква г), подточка ii) от РКИ;</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[структурна] — ако инструментът отговаря на изискванията по член 72б, параграф 2, буква г), подточка iii) от РКИ;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[освобождаване от подчиненост] — ако инструментът не отговаря на нито една от горепосочените форми на подчиненост и при условие че по силата на член 72б, параграф 4 от РКИ на институцията е било разрешено да включи неподчинените задължения като елементи на приемливите задължения.</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EU-34б</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Ранг на инструмента при обичайно производство по несъстоятелност</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ранга на инструмента при обичайно производство по несъстоятелност.</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Както е определено в [техническите стандарти за изпълнение за докладване на минималното изискване за собствени средства и приемливи задължения].</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Ранг на инструмента в йерархията при ликвидация (посочва се видът на инструмента с непосредствено по-висок ранг)</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инструмента, на който даденият инструмент е непосредствено подчинен. Когато е приложимо, институциите посочват номерата на колоните в попълнената таблица за основните характеристики, отнасящи се до инструментите, на които инструментът е непосредствено подчинен.</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Характеристики, за които е установено несъответствие с нормативните изисквания през преходния период</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сред характеристиките има такива, за които е установено несъответствие с нормативните изисквания.</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Ако отговорът е „да“, се посочват характеристиките, за които е установено несъответствие с нормативните изисквания</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 xml:space="preserve">Институцията посочва характеристиките, за които е установено несъответствие с нормативните изисквания, ако има такива.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EU-37а</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Връзка за достъп до пълните ред и условия на инструмента (указване)</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връзката за електронен достъп до проспекта на емисията, в т.ч. до пълните ред и условия на инструмента.</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r>
      <w:r>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color w:val="800080"/>
            <w:sz w:val="18"/>
            <w:u w:val="single"/>
          </w:rPr>
          <w:t>ОВ L 176, 27.6.2013 г., стр. 1</w:t>
        </w:r>
      </w:hyperlink>
      <w:r>
        <w:rPr>
          <w:color w:val="800080"/>
          <w:sz w:val="18"/>
          <w:u w:val="single"/>
        </w:rPr>
        <w:t xml:space="preserve">; </w:t>
      </w:r>
      <w:hyperlink r:id="rId2" w:history="1">
        <w:r>
          <w:rPr>
            <w:rStyle w:val="Hyperlink"/>
            <w:sz w:val="18"/>
          </w:rPr>
          <w:t>Регламент — ЕС — 2024/1623 — BG — EUR-Lex (europa.eu)</w:t>
        </w:r>
      </w:hyperlink>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Директива (ЕС) 2019/879 на Европейския парламент и на Съвета от 20 май 2019 г. за изменение на Директива 2014/59/ЕС по отношение на капацитета за поемане на загуби и рекапитализация на кредитните институции и инвестиционните посредници и на Директива 98/26/ЕО (OB L 150, 7.6.2019 г., стр.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7D3C0B5A"/>
    <w:lvl w:ilvl="0" w:tplc="0809000F">
      <w:start w:val="1"/>
      <w:numFmt w:val="decimal"/>
      <w:lvlText w:val="%1."/>
      <w:lvlJc w:val="left"/>
      <w:pPr>
        <w:tabs>
          <w:tab w:val="num" w:pos="360"/>
        </w:tabs>
        <w:ind w:left="360" w:hanging="360"/>
      </w:pPr>
      <w:rPr>
        <w:rFonts w:hint="default"/>
      </w:rPr>
    </w:lvl>
    <w:lvl w:ilvl="1" w:tplc="1B90DC94">
      <w:start w:val="1"/>
      <mc:AlternateContent>
        <mc:Choice Requires="w14">
          <w:numFmt w:val="custom" w:format="а, й, к, ..."/>
        </mc:Choice>
        <mc:Fallback>
          <w:numFmt w:val="decimal"/>
        </mc:Fallback>
      </mc:AlternateContent>
      <w:lvlText w:val="%2."/>
      <w:lvlJc w:val="left"/>
      <w:pPr>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7548B1"/>
    <w:rsid w:val="0085507F"/>
    <w:rsid w:val="00992165"/>
    <w:rsid w:val="009E25D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988E2C-0C38-4D3D-BB6B-2FA8F624EF25}"/>
</file>

<file path=customXml/itemProps2.xml><?xml version="1.0" encoding="utf-8"?>
<ds:datastoreItem xmlns:ds="http://schemas.openxmlformats.org/officeDocument/2006/customXml" ds:itemID="{C83A0424-BE60-4E7C-BBC9-934F147EA2F7}"/>
</file>

<file path=customXml/itemProps3.xml><?xml version="1.0" encoding="utf-8"?>
<ds:datastoreItem xmlns:ds="http://schemas.openxmlformats.org/officeDocument/2006/customXml" ds:itemID="{33DB3862-9F29-4455-8EEB-F1A8885B826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17</TotalTime>
  <Pages>28</Pages>
  <Words>7536</Words>
  <Characters>40700</Characters>
  <Application>Microsoft Office Word</Application>
  <DocSecurity>0</DocSecurity>
  <Lines>1017</Lines>
  <Paragraphs>651</Paragraphs>
  <ScaleCrop>false</ScaleCrop>
  <Company>European Banking Authority</Company>
  <LinksUpToDate>false</LinksUpToDate>
  <CharactersWithSpaces>47585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BAKOS Tamas (DGT)</cp:lastModifiedBy>
  <cp:revision>7</cp:revision>
  <dcterms:created xsi:type="dcterms:W3CDTF">2021-03-11T11:52:00Z</dcterms:created>
  <dcterms:modified xsi:type="dcterms:W3CDTF">2024-10-18T13:03:00Z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