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512EA4E2" w:rsidR="00942645" w:rsidRPr="00CA7700"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D13D73D" w:rsidR="00942645" w:rsidRPr="00F07F97" w:rsidRDefault="00942645" w:rsidP="00942645">
                            <w:pPr>
                              <w:rPr>
                                <w:rFonts w:ascii="Calibri" w:eastAsia="Calibri" w:hAnsi="Calibri" w:cs="Calibri"/>
                                <w:noProof/>
                                <w:color w:val="000000"/>
                                <w:sz w:val="24"/>
                              </w:rPr>
                            </w:pPr>
                            <w:r>
                              <w:rPr>
                                <w:rFonts w:ascii="Calibri" w:hAnsi="Calibri"/>
                                <w:color w:val="000000"/>
                                <w:sz w:val="24"/>
                              </w:rPr>
                              <w:t>Per l</w:t>
                            </w:r>
                            <w:r w:rsidR="00D92E6F">
                              <w:rPr>
                                <w:rFonts w:ascii="Calibri" w:hAnsi="Calibri"/>
                                <w:color w:val="000000"/>
                                <w:sz w:val="24"/>
                              </w:rPr>
                              <w:t>'</w:t>
                            </w:r>
                            <w:r>
                              <w:rPr>
                                <w:rFonts w:ascii="Calibri" w:hAnsi="Calibri"/>
                                <w:color w:val="000000"/>
                                <w:sz w:val="24"/>
                              </w:rPr>
                              <w:t>uso ordinario dell</w:t>
                            </w:r>
                            <w:r w:rsidR="00D92E6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Per l'uso ordinario dell'AB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D13D73D" w:rsidR="00942645" w:rsidRPr="00F07F97" w:rsidRDefault="00942645" w:rsidP="00942645">
                      <w:pPr>
                        <w:rPr>
                          <w:rFonts w:ascii="Calibri" w:eastAsia="Calibri" w:hAnsi="Calibri" w:cs="Calibri"/>
                          <w:noProof/>
                          <w:color w:val="000000"/>
                          <w:sz w:val="24"/>
                        </w:rPr>
                      </w:pPr>
                      <w:r>
                        <w:rPr>
                          <w:rFonts w:ascii="Calibri" w:hAnsi="Calibri"/>
                          <w:color w:val="000000"/>
                          <w:sz w:val="24"/>
                        </w:rPr>
                        <w:t>Per l</w:t>
                      </w:r>
                      <w:r w:rsidR="00D92E6F">
                        <w:rPr>
                          <w:rFonts w:ascii="Calibri" w:hAnsi="Calibri"/>
                          <w:color w:val="000000"/>
                          <w:sz w:val="24"/>
                        </w:rPr>
                        <w:t>'</w:t>
                      </w:r>
                      <w:r>
                        <w:rPr>
                          <w:rFonts w:ascii="Calibri" w:hAnsi="Calibri"/>
                          <w:color w:val="000000"/>
                          <w:sz w:val="24"/>
                        </w:rPr>
                        <w:t>uso ordinario dell</w:t>
                      </w:r>
                      <w:r w:rsidR="00D92E6F">
                        <w:rPr>
                          <w:rFonts w:ascii="Calibri" w:hAnsi="Calibri"/>
                          <w:color w:val="000000"/>
                          <w:sz w:val="24"/>
                        </w:rPr>
                        <w:t>'</w:t>
                      </w:r>
                      <w:r>
                        <w:rPr>
                          <w:rFonts w:ascii="Calibri" w:hAnsi="Calibri"/>
                          <w:color w:val="000000"/>
                          <w:sz w:val="24"/>
                        </w:rPr>
                        <w:t>ABE</w:t>
                      </w:r>
                    </w:p>
                  </w:txbxContent>
                </v:textbox>
                <w10:wrap anchorx="page" anchory="page"/>
              </v:shape>
            </w:pict>
          </mc:Fallback>
        </mc:AlternateContent>
      </w:r>
      <w:r>
        <w:rPr>
          <w:rFonts w:ascii="Times New Roman" w:hAnsi="Times New Roman"/>
          <w:b/>
          <w:color w:val="auto"/>
          <w:sz w:val="24"/>
          <w:u w:val="single"/>
        </w:rPr>
        <w:t>ALLEGATO XLII – Tabelle e modelli per l</w:t>
      </w:r>
      <w:r w:rsidR="00D92E6F">
        <w:rPr>
          <w:rFonts w:ascii="Times New Roman" w:hAnsi="Times New Roman"/>
          <w:b/>
          <w:color w:val="auto"/>
          <w:sz w:val="24"/>
          <w:u w:val="single"/>
        </w:rPr>
        <w:t>'</w:t>
      </w:r>
      <w:r>
        <w:rPr>
          <w:rFonts w:ascii="Times New Roman" w:hAnsi="Times New Roman"/>
          <w:b/>
          <w:color w:val="auto"/>
          <w:sz w:val="24"/>
          <w:u w:val="single"/>
        </w:rPr>
        <w:t>informativa sul rischio di aggiustamento della valutazione del credito: istruzioni</w:t>
      </w:r>
    </w:p>
    <w:p w14:paraId="78BB236B" w14:textId="16939E8B"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Il presente allegato contiene le istruzioni che gli enti devono applicare quando pubblicano le informazioni relative alla loro esposizione al rischio di aggiustamento della valutazione del credito di cui alla parte tre, titolo VI, del regolamento (UE) n. 575/2013 (CRR)</w:t>
      </w:r>
      <w:r>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nella tabella e nei modelli per l</w:t>
      </w:r>
      <w:r w:rsidR="00D92E6F">
        <w:rPr>
          <w:rFonts w:ascii="Times New Roman" w:hAnsi="Times New Roman"/>
          <w:color w:val="auto"/>
          <w:sz w:val="24"/>
        </w:rPr>
        <w:t>'</w:t>
      </w:r>
      <w:r>
        <w:rPr>
          <w:rFonts w:ascii="Times New Roman" w:hAnsi="Times New Roman"/>
          <w:color w:val="auto"/>
          <w:sz w:val="24"/>
        </w:rPr>
        <w:t>informativa sul rischio di CVA di cui all</w:t>
      </w:r>
      <w:r w:rsidR="00D92E6F">
        <w:rPr>
          <w:rFonts w:ascii="Times New Roman" w:hAnsi="Times New Roman"/>
          <w:color w:val="auto"/>
          <w:sz w:val="24"/>
        </w:rPr>
        <w:t>'</w:t>
      </w:r>
      <w:r>
        <w:rPr>
          <w:rFonts w:ascii="Times New Roman" w:hAnsi="Times New Roman"/>
          <w:color w:val="auto"/>
          <w:sz w:val="24"/>
        </w:rPr>
        <w:t>allegato XLI delle soluzioni informatiche dell</w:t>
      </w:r>
      <w:r w:rsidR="00D92E6F">
        <w:rPr>
          <w:rFonts w:ascii="Times New Roman" w:hAnsi="Times New Roman"/>
          <w:color w:val="auto"/>
          <w:sz w:val="24"/>
        </w:rPr>
        <w:t>'</w:t>
      </w:r>
      <w:r>
        <w:rPr>
          <w:rFonts w:ascii="Times New Roman" w:hAnsi="Times New Roman"/>
          <w:color w:val="auto"/>
          <w:sz w:val="24"/>
        </w:rPr>
        <w:t>ABE, conformemente all</w:t>
      </w:r>
      <w:r w:rsidR="00D92E6F">
        <w:rPr>
          <w:rFonts w:ascii="Times New Roman" w:hAnsi="Times New Roman"/>
          <w:color w:val="auto"/>
          <w:sz w:val="24"/>
        </w:rPr>
        <w:t>'</w:t>
      </w:r>
      <w:r>
        <w:rPr>
          <w:rFonts w:ascii="Times New Roman" w:hAnsi="Times New Roman"/>
          <w:color w:val="auto"/>
          <w:sz w:val="24"/>
        </w:rPr>
        <w:t xml:space="preserve">articolo 445 bis del regolamento (UE) n. 575/2013.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Tabella EU CVAA: obblighi di informativa qualitativa sul rischio di aggiustamento della valutazione del credito</w:t>
      </w:r>
      <w:r>
        <w:rPr>
          <w:rFonts w:ascii="Times New Roman" w:hAnsi="Times New Roman"/>
          <w:sz w:val="24"/>
        </w:rPr>
        <w:t xml:space="preserve"> </w:t>
      </w:r>
      <w:r>
        <w:rPr>
          <w:rFonts w:ascii="Times New Roman" w:hAnsi="Times New Roman"/>
          <w:color w:val="000000"/>
          <w:sz w:val="24"/>
        </w:rPr>
        <w:t xml:space="preserve">(caselle di testo libero) </w:t>
      </w:r>
    </w:p>
    <w:p w14:paraId="6FF811C2" w14:textId="6D2601CB" w:rsidR="00942645" w:rsidRPr="00CA7700" w:rsidRDefault="00942645" w:rsidP="00942645">
      <w:pPr>
        <w:pStyle w:val="Titlelevel2"/>
        <w:numPr>
          <w:ilvl w:val="0"/>
          <w:numId w:val="11"/>
        </w:numPr>
        <w:spacing w:before="120"/>
        <w:jc w:val="both"/>
        <w:rPr>
          <w:rFonts w:ascii="Times New Roman" w:hAnsi="Times New Roman" w:cs="Times New Roman"/>
          <w:sz w:val="24"/>
        </w:rPr>
      </w:pPr>
      <w:r>
        <w:rPr>
          <w:rFonts w:ascii="Times New Roman" w:hAnsi="Times New Roman"/>
          <w:color w:val="auto"/>
          <w:sz w:val="24"/>
        </w:rPr>
        <w:t xml:space="preserve">Gli enti applicano le istruzioni riportate di seguito per compilare </w:t>
      </w:r>
      <w:r>
        <w:rPr>
          <w:rFonts w:ascii="Times New Roman" w:hAnsi="Times New Roman"/>
          <w:color w:val="000000" w:themeColor="text1"/>
          <w:sz w:val="24"/>
        </w:rPr>
        <w:t>la tabella EU CVAA di cui all</w:t>
      </w:r>
      <w:r w:rsidR="00D92E6F">
        <w:rPr>
          <w:rFonts w:ascii="Times New Roman" w:hAnsi="Times New Roman"/>
          <w:color w:val="000000" w:themeColor="text1"/>
          <w:sz w:val="24"/>
        </w:rPr>
        <w:t>'</w:t>
      </w:r>
      <w:r>
        <w:rPr>
          <w:rFonts w:ascii="Times New Roman" w:hAnsi="Times New Roman"/>
          <w:color w:val="000000" w:themeColor="text1"/>
          <w:sz w:val="24"/>
        </w:rPr>
        <w:t>allegato XLI delle soluzioni informatiche, in applicazione dell</w:t>
      </w:r>
      <w:r w:rsidR="00D92E6F">
        <w:rPr>
          <w:rFonts w:ascii="Times New Roman" w:hAnsi="Times New Roman"/>
          <w:color w:val="000000" w:themeColor="text1"/>
          <w:sz w:val="24"/>
        </w:rPr>
        <w:t>'</w:t>
      </w:r>
      <w:r>
        <w:rPr>
          <w:rFonts w:ascii="Times New Roman" w:hAnsi="Times New Roman"/>
          <w:color w:val="000000" w:themeColor="text1"/>
          <w:sz w:val="24"/>
        </w:rPr>
        <w:t>articolo 445 bis, paragrafo 1, lettere a) e b),</w:t>
      </w:r>
      <w:r>
        <w:rPr>
          <w:rFonts w:ascii="Times New Roman" w:hAnsi="Times New Roman"/>
          <w:color w:val="auto"/>
          <w:sz w:val="24"/>
        </w:rPr>
        <w:t xml:space="preserve"> del regolamento (UE) n. 575/2013</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Riferimenti giuridici e istruzioni</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Articolo 445 bis, paragrafo 1, lettera a), del CRR</w:t>
            </w:r>
          </w:p>
          <w:p w14:paraId="73666F29" w14:textId="20DB0FAE"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Nel pubblicare le informazioni prescritte all</w:t>
            </w:r>
            <w:r w:rsidR="00D92E6F">
              <w:rPr>
                <w:rFonts w:ascii="Times New Roman" w:hAnsi="Times New Roman"/>
                <w:sz w:val="24"/>
              </w:rPr>
              <w:t>'</w:t>
            </w:r>
            <w:r>
              <w:rPr>
                <w:rFonts w:ascii="Times New Roman" w:hAnsi="Times New Roman"/>
                <w:sz w:val="24"/>
              </w:rPr>
              <w:t>articolo 445 bis, paragrafo 1, lettera a), del regolamento (UE) n. 575/2013, gli enti forniscono una descrizione dei processi utilizzati per gestire il rischio di aggiustamento della valutazione del credito, compresa la descrizione dei processi attuati per individuare, misurare, monitorare e controllare i rischi di aggiustamento della valutazione del credito per l</w:t>
            </w:r>
            <w:r w:rsidR="00D92E6F">
              <w:rPr>
                <w:rFonts w:ascii="Times New Roman" w:hAnsi="Times New Roman"/>
                <w:sz w:val="24"/>
              </w:rPr>
              <w:t>'</w:t>
            </w:r>
            <w:r>
              <w:rPr>
                <w:rFonts w:ascii="Times New Roman" w:hAnsi="Times New Roman"/>
                <w:sz w:val="24"/>
              </w:rPr>
              <w:t>ente e la descrizione delle politiche di copertura e di attenuazione del rischio, nonché delle strategie e dei processi per la sorveglianza continuativa sull</w:t>
            </w:r>
            <w:r w:rsidR="00D92E6F">
              <w:rPr>
                <w:rFonts w:ascii="Times New Roman" w:hAnsi="Times New Roman"/>
                <w:sz w:val="24"/>
              </w:rPr>
              <w:t>'</w:t>
            </w:r>
            <w:r>
              <w:rPr>
                <w:rFonts w:ascii="Times New Roman" w:hAnsi="Times New Roman"/>
                <w:sz w:val="24"/>
              </w:rPr>
              <w:t>efficacia delle coperture.</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Articolo 445 bis, paragrafo 1, lettera b), del CRR</w:t>
            </w:r>
          </w:p>
          <w:p w14:paraId="08D093DD" w14:textId="3BB10924"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Nel pubblicare le informazioni prescritte all</w:t>
            </w:r>
            <w:r w:rsidR="00D92E6F">
              <w:rPr>
                <w:rFonts w:ascii="Times New Roman" w:hAnsi="Times New Roman"/>
                <w:sz w:val="24"/>
              </w:rPr>
              <w:t>'</w:t>
            </w:r>
            <w:r>
              <w:rPr>
                <w:rFonts w:ascii="Times New Roman" w:hAnsi="Times New Roman"/>
                <w:sz w:val="24"/>
              </w:rPr>
              <w:t>articolo 445 bis, paragrafo 1, lettera b), del regolamento (UE) n. 575/2013, gli enti precisano se sono soddisfatte le condizioni di cui all</w:t>
            </w:r>
            <w:r w:rsidR="00D92E6F">
              <w:rPr>
                <w:rFonts w:ascii="Times New Roman" w:hAnsi="Times New Roman"/>
                <w:sz w:val="24"/>
              </w:rPr>
              <w:t>'</w:t>
            </w:r>
            <w:r>
              <w:rPr>
                <w:rFonts w:ascii="Times New Roman" w:hAnsi="Times New Roman"/>
                <w:sz w:val="24"/>
              </w:rPr>
              <w:t>articolo 273 bis, paragrafo 2, di tale regolamento e, laddove tali condizioni siano soddisfatte, se l</w:t>
            </w:r>
            <w:r w:rsidR="00D92E6F">
              <w:rPr>
                <w:rFonts w:ascii="Times New Roman" w:hAnsi="Times New Roman"/>
                <w:sz w:val="24"/>
              </w:rPr>
              <w:t>'</w:t>
            </w:r>
            <w:r>
              <w:rPr>
                <w:rFonts w:ascii="Times New Roman" w:hAnsi="Times New Roman"/>
                <w:sz w:val="24"/>
              </w:rPr>
              <w:t>ente ha scelto di calcolare i requisiti di fondi propri per il rischio di CVA utilizzando il metodo semplificato di cui all</w:t>
            </w:r>
            <w:r w:rsidR="00D92E6F">
              <w:rPr>
                <w:rFonts w:ascii="Times New Roman" w:hAnsi="Times New Roman"/>
                <w:sz w:val="24"/>
              </w:rPr>
              <w:t>'</w:t>
            </w:r>
            <w:r>
              <w:rPr>
                <w:rFonts w:ascii="Times New Roman" w:hAnsi="Times New Roman"/>
                <w:sz w:val="24"/>
              </w:rPr>
              <w:t xml:space="preserve">articolo 385 del medesimo regolamento; laddove gli enti abbiano scelto di calcolare i requisiti di fondi propri per il rischio di CVA utilizzando il metodo semplificato, i requisiti di fondi propri per il rischio di CVA secondo tale metodo. </w:t>
            </w:r>
          </w:p>
        </w:tc>
      </w:tr>
    </w:tbl>
    <w:p w14:paraId="5DFF986C" w14:textId="77777777" w:rsidR="00942645" w:rsidRPr="00131862" w:rsidRDefault="00942645" w:rsidP="00942645">
      <w:pPr>
        <w:pStyle w:val="Titlelevel2"/>
        <w:spacing w:before="120" w:after="120"/>
        <w:rPr>
          <w:rFonts w:ascii="Times New Roman" w:eastAsia="Times New Roman" w:hAnsi="Times New Roman" w:cs="Times New Roman"/>
          <w:bCs w:val="0"/>
          <w:color w:val="auto"/>
          <w:sz w:val="24"/>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Modello EU CVA1: rischio di aggiustamento della valutazione del credito in base al metodo di base ridotto (R-BA) </w:t>
      </w:r>
      <w:r>
        <w:rPr>
          <w:rFonts w:ascii="Times New Roman" w:hAnsi="Times New Roman"/>
          <w:color w:val="auto"/>
          <w:sz w:val="24"/>
        </w:rPr>
        <w:t>(formato fisso)</w:t>
      </w:r>
    </w:p>
    <w:p w14:paraId="30591F3A" w14:textId="3D5C9984"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Gli enti applicano le istruzioni riportate di seguito nel presente allegato per compilare il modello EU CVA1 di cui all</w:t>
      </w:r>
      <w:r w:rsidR="00D92E6F">
        <w:rPr>
          <w:rFonts w:ascii="Times New Roman" w:hAnsi="Times New Roman"/>
          <w:color w:val="000000"/>
          <w:sz w:val="24"/>
        </w:rPr>
        <w:t>'</w:t>
      </w:r>
      <w:r>
        <w:rPr>
          <w:rFonts w:ascii="Times New Roman" w:hAnsi="Times New Roman"/>
          <w:color w:val="000000"/>
          <w:sz w:val="24"/>
        </w:rPr>
        <w:t>allegato XLI delle soluzioni informatiche, in applicazione dell</w:t>
      </w:r>
      <w:r w:rsidR="00D92E6F">
        <w:rPr>
          <w:rFonts w:ascii="Times New Roman" w:hAnsi="Times New Roman"/>
          <w:color w:val="000000"/>
          <w:sz w:val="24"/>
        </w:rPr>
        <w:t>'</w:t>
      </w:r>
      <w:r>
        <w:rPr>
          <w:rFonts w:ascii="Times New Roman" w:hAnsi="Times New Roman"/>
          <w:color w:val="000000"/>
          <w:sz w:val="24"/>
        </w:rPr>
        <w:t>articolo 445 bis, paragrafo 3, lettera a),</w:t>
      </w:r>
      <w:r>
        <w:rPr>
          <w:rFonts w:ascii="Times New Roman" w:hAnsi="Times New Roman"/>
          <w:color w:val="auto"/>
          <w:sz w:val="24"/>
        </w:rPr>
        <w:t xml:space="preserve"> del regolamento (UE) n. 575/2013</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Riferimenti giuridici e istruzioni</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1</w:t>
            </w:r>
          </w:p>
        </w:tc>
        <w:tc>
          <w:tcPr>
            <w:tcW w:w="7655"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Aggregazione delle componenti sistematiche del rischio di CVA </w:t>
            </w:r>
          </w:p>
          <w:p w14:paraId="0342ACCD" w14:textId="7D029908" w:rsidR="00942645" w:rsidRPr="00131862" w:rsidRDefault="00942645" w:rsidP="00131862">
            <w:pPr>
              <w:jc w:val="both"/>
              <w:rPr>
                <w:rFonts w:ascii="Times New Roman" w:hAnsi="Times New Roman" w:cs="Times New Roman"/>
                <w:sz w:val="24"/>
              </w:rPr>
            </w:pPr>
            <w:r>
              <w:rPr>
                <w:rFonts w:ascii="Times New Roman" w:hAnsi="Times New Roman"/>
                <w:sz w:val="24"/>
              </w:rPr>
              <w:t>Articolo 384, paragrafo 3, del regolamento (UE) n. 575/2013. Componente dei requisiti di fondi propri nell</w:t>
            </w:r>
            <w:r w:rsidR="00D92E6F">
              <w:rPr>
                <w:rFonts w:ascii="Times New Roman" w:hAnsi="Times New Roman"/>
                <w:sz w:val="24"/>
              </w:rPr>
              <w:t>'</w:t>
            </w:r>
            <w:r>
              <w:rPr>
                <w:rFonts w:ascii="Times New Roman" w:hAnsi="Times New Roman"/>
                <w:sz w:val="24"/>
              </w:rPr>
              <w:t>ipotesi di correlazione perfetta.(</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vertAlign w:val="subscript"/>
              </w:rPr>
              <w:t xml:space="preserve">). </w:t>
            </w:r>
            <w:r>
              <w:rPr>
                <w:rFonts w:ascii="Times New Roman" w:hAnsi="Times New Roman"/>
                <w:sz w:val="24"/>
              </w:rPr>
              <w:t>Il fattore di sconto di 0,65 non si applica.</w:t>
            </w: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2</w:t>
            </w:r>
          </w:p>
        </w:tc>
        <w:tc>
          <w:tcPr>
            <w:tcW w:w="7655"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Aggregazione delle componenti idiosincratiche del rischio di CVA </w:t>
            </w:r>
          </w:p>
          <w:p w14:paraId="75CC615B" w14:textId="416C2722" w:rsidR="00942645" w:rsidRPr="00CA7700" w:rsidRDefault="00942645" w:rsidP="00962254">
            <w:pPr>
              <w:contextualSpacing/>
              <w:jc w:val="both"/>
              <w:rPr>
                <w:rFonts w:ascii="Times New Roman" w:hAnsi="Times New Roman" w:cs="Times New Roman"/>
                <w:sz w:val="24"/>
              </w:rPr>
            </w:pPr>
            <w:r>
              <w:rPr>
                <w:rFonts w:ascii="Times New Roman" w:hAnsi="Times New Roman"/>
                <w:sz w:val="24"/>
              </w:rPr>
              <w:t>Articolo 384, paragrafo 3, del regolamento (UE) n. 575/2013. Componente dei requisiti di fondi propri nell</w:t>
            </w:r>
            <w:r w:rsidR="00D92E6F">
              <w:rPr>
                <w:rFonts w:ascii="Times New Roman" w:hAnsi="Times New Roman"/>
                <w:sz w:val="24"/>
              </w:rPr>
              <w:t>'</w:t>
            </w:r>
            <w:r>
              <w:rPr>
                <w:rFonts w:ascii="Times New Roman" w:hAnsi="Times New Roman"/>
                <w:sz w:val="24"/>
              </w:rPr>
              <w:t>ipotesi di correlazione nulla.(</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Il fattore di sconto di 0,65 non si applica.</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3</w:t>
            </w:r>
          </w:p>
        </w:tc>
        <w:tc>
          <w:tcPr>
            <w:tcW w:w="7655" w:type="dxa"/>
          </w:tcPr>
          <w:p w14:paraId="625EFEB1"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Totale </w:t>
            </w:r>
          </w:p>
          <w:p w14:paraId="715DBC77" w14:textId="683DE95C"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Requisiti di fondi propri totali per il rischio di CVA in base al metodo di base ridotto. Se l</w:t>
            </w:r>
            <w:r w:rsidR="00D92E6F">
              <w:rPr>
                <w:rFonts w:ascii="Times New Roman" w:hAnsi="Times New Roman"/>
              </w:rPr>
              <w:t>'</w:t>
            </w:r>
            <w:r>
              <w:rPr>
                <w:rFonts w:ascii="Times New Roman" w:hAnsi="Times New Roman"/>
              </w:rPr>
              <w:t>ente utilizza il metodo di base ridotto per il CVA (BA-CVA ridotto), questo importo è pari a quello indicato nella riga EU 10b, colonna c), del modello EU OV1.</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Spiegazione</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Componenti dei requisiti di fondi propri</w:t>
            </w:r>
          </w:p>
          <w:p w14:paraId="01943208" w14:textId="23FB0522"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Componenti dei requisiti di fondi propri conformemente all</w:t>
            </w:r>
            <w:r w:rsidR="00D92E6F">
              <w:rPr>
                <w:rFonts w:ascii="Times New Roman" w:hAnsi="Times New Roman"/>
              </w:rPr>
              <w:t>'</w:t>
            </w:r>
            <w:r>
              <w:rPr>
                <w:rFonts w:ascii="Times New Roman" w:hAnsi="Times New Roman"/>
              </w:rPr>
              <w:t>articolo 384, paragrafo 3, del regolamento (UE) n. 575/2013 per un ente che soddisfa la condizione di cui all</w:t>
            </w:r>
            <w:r w:rsidR="00D92E6F">
              <w:rPr>
                <w:rFonts w:ascii="Times New Roman" w:hAnsi="Times New Roman"/>
              </w:rPr>
              <w:t>'</w:t>
            </w:r>
            <w:r>
              <w:rPr>
                <w:rFonts w:ascii="Times New Roman" w:hAnsi="Times New Roman"/>
              </w:rPr>
              <w:t>articolo 384, paragrafo 1, lettera b), di tale regolamento.</w:t>
            </w:r>
          </w:p>
        </w:tc>
      </w:tr>
    </w:tbl>
    <w:p w14:paraId="7354F3FD" w14:textId="29B506DC" w:rsidR="00131862" w:rsidRDefault="00131862" w:rsidP="00942645">
      <w:pPr>
        <w:pStyle w:val="Titlelevel2"/>
        <w:spacing w:before="120" w:after="120"/>
        <w:rPr>
          <w:rFonts w:ascii="Times New Roman" w:hAnsi="Times New Roman" w:cs="Times New Roman"/>
          <w:b/>
          <w:color w:val="auto"/>
          <w:sz w:val="24"/>
        </w:rPr>
      </w:pPr>
    </w:p>
    <w:p w14:paraId="20D4F81F" w14:textId="77777777" w:rsidR="00131862" w:rsidRDefault="00131862">
      <w:pPr>
        <w:rPr>
          <w:rFonts w:ascii="Times New Roman" w:eastAsiaTheme="majorEastAsia" w:hAnsi="Times New Roman" w:cs="Times New Roman"/>
          <w:b/>
          <w:bCs/>
          <w:sz w:val="24"/>
        </w:rPr>
      </w:pPr>
      <w:r>
        <w:rPr>
          <w:rFonts w:ascii="Times New Roman" w:hAnsi="Times New Roman" w:cs="Times New Roman"/>
          <w:b/>
          <w:sz w:val="24"/>
        </w:rPr>
        <w:br w:type="page"/>
      </w: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Modello EU CVA2: rischio di aggiustamento della valutazione del credito in base al metodo di base integrale (F-BA) </w:t>
      </w:r>
      <w:r>
        <w:rPr>
          <w:rFonts w:ascii="Times New Roman" w:hAnsi="Times New Roman"/>
          <w:color w:val="auto"/>
          <w:sz w:val="24"/>
        </w:rPr>
        <w:t>(formato fisso)</w:t>
      </w:r>
    </w:p>
    <w:p w14:paraId="1AC6C572" w14:textId="2A01FA61"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Gli enti applicano le istruzioni riportate di seguito nel presente allegato per compilare il modello EU CVA2 di cui all</w:t>
      </w:r>
      <w:r w:rsidR="00D92E6F">
        <w:rPr>
          <w:rFonts w:ascii="Times New Roman" w:hAnsi="Times New Roman"/>
          <w:color w:val="000000"/>
          <w:sz w:val="24"/>
        </w:rPr>
        <w:t>'</w:t>
      </w:r>
      <w:r>
        <w:rPr>
          <w:rFonts w:ascii="Times New Roman" w:hAnsi="Times New Roman"/>
          <w:color w:val="000000"/>
          <w:sz w:val="24"/>
        </w:rPr>
        <w:t>allegato XLI, in applicazione dell</w:t>
      </w:r>
      <w:r w:rsidR="00D92E6F">
        <w:rPr>
          <w:rFonts w:ascii="Times New Roman" w:hAnsi="Times New Roman"/>
          <w:color w:val="000000"/>
          <w:sz w:val="24"/>
        </w:rPr>
        <w:t>'</w:t>
      </w:r>
      <w:r>
        <w:rPr>
          <w:rFonts w:ascii="Times New Roman" w:hAnsi="Times New Roman"/>
          <w:color w:val="000000"/>
          <w:sz w:val="24"/>
        </w:rPr>
        <w:t>articolo 445 bis, paragrafo 3, lettere a) e b),</w:t>
      </w:r>
      <w:r>
        <w:rPr>
          <w:rFonts w:ascii="Times New Roman" w:hAnsi="Times New Roman"/>
          <w:color w:val="auto"/>
          <w:sz w:val="24"/>
        </w:rPr>
        <w:t xml:space="preserve"> del regolamento (UE) n. 575/2013</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t>Riferimenti giuridici e istruzioni</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BACVA</w:t>
            </w:r>
            <w:r>
              <w:rPr>
                <w:rFonts w:ascii="Times New Roman" w:hAnsi="Times New Roman"/>
                <w:b/>
                <w:sz w:val="24"/>
                <w:vertAlign w:val="superscript"/>
              </w:rPr>
              <w:t>csr-senza copertura</w:t>
            </w:r>
            <w:r>
              <w:rPr>
                <w:rFonts w:ascii="Times New Roman" w:hAnsi="Times New Roman"/>
                <w:b/>
                <w:sz w:val="24"/>
              </w:rPr>
              <w:t xml:space="preserve"> </w:t>
            </w:r>
          </w:p>
          <w:p w14:paraId="773EAD60" w14:textId="0F107398"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t>Componente dei requisiti di fondi propri conformemente all</w:t>
            </w:r>
            <w:r w:rsidR="00D92E6F">
              <w:rPr>
                <w:rFonts w:ascii="Times New Roman" w:hAnsi="Times New Roman"/>
                <w:sz w:val="24"/>
              </w:rPr>
              <w:t>'</w:t>
            </w:r>
            <w:r>
              <w:rPr>
                <w:rFonts w:ascii="Times New Roman" w:hAnsi="Times New Roman"/>
                <w:sz w:val="24"/>
              </w:rPr>
              <w:t>articolo 384, paragrafo 3, del regolamento (UE) n. 575/2013 per un ente che soddisfa la condizione di cui all</w:t>
            </w:r>
            <w:r w:rsidR="00D92E6F">
              <w:rPr>
                <w:rFonts w:ascii="Times New Roman" w:hAnsi="Times New Roman"/>
                <w:sz w:val="24"/>
              </w:rPr>
              <w:t>'</w:t>
            </w:r>
            <w:r>
              <w:rPr>
                <w:rFonts w:ascii="Times New Roman" w:hAnsi="Times New Roman"/>
                <w:sz w:val="24"/>
              </w:rPr>
              <w:t xml:space="preserve">articolo 384, paragrafo 1, lettera b), di tale regolamento.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BACVA</w:t>
            </w:r>
            <w:r>
              <w:rPr>
                <w:rFonts w:ascii="Times New Roman" w:hAnsi="Times New Roman"/>
                <w:b/>
                <w:sz w:val="24"/>
                <w:vertAlign w:val="superscript"/>
              </w:rPr>
              <w:t>csr-con copertura</w:t>
            </w:r>
            <w:r>
              <w:rPr>
                <w:rFonts w:ascii="Times New Roman" w:hAnsi="Times New Roman"/>
                <w:b/>
                <w:sz w:val="24"/>
              </w:rPr>
              <w:t xml:space="preserve"> </w:t>
            </w:r>
          </w:p>
          <w:p w14:paraId="57BEC7BE" w14:textId="43ED0A62"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Componente dei requisiti di fondi propri conformemente all</w:t>
            </w:r>
            <w:r w:rsidR="00D92E6F">
              <w:rPr>
                <w:rFonts w:ascii="Times New Roman" w:hAnsi="Times New Roman"/>
                <w:sz w:val="24"/>
              </w:rPr>
              <w:t>'</w:t>
            </w:r>
            <w:r>
              <w:rPr>
                <w:rFonts w:ascii="Times New Roman" w:hAnsi="Times New Roman"/>
                <w:sz w:val="24"/>
              </w:rPr>
              <w:t>articolo 384, paragrafo 2, del regolamento (UE) n. 575/2013 per un ente che soddisfa la condizione di cui all</w:t>
            </w:r>
            <w:r w:rsidR="00D92E6F">
              <w:rPr>
                <w:rFonts w:ascii="Times New Roman" w:hAnsi="Times New Roman"/>
                <w:sz w:val="24"/>
              </w:rPr>
              <w:t>'</w:t>
            </w:r>
            <w:r>
              <w:rPr>
                <w:rFonts w:ascii="Times New Roman" w:hAnsi="Times New Roman"/>
                <w:sz w:val="24"/>
              </w:rPr>
              <w:t>articolo 384, paragrafo 1, lettera a), di tale regolamento.</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3</w:t>
            </w:r>
          </w:p>
        </w:tc>
        <w:tc>
          <w:tcPr>
            <w:tcW w:w="7655" w:type="dxa"/>
          </w:tcPr>
          <w:p w14:paraId="478A4B46"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Totale </w:t>
            </w:r>
          </w:p>
          <w:p w14:paraId="1F769140" w14:textId="3DB98171"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Requisiti di fondi propri totali per le operazioni soggette al metodo di base integrale calcolati conformemente all</w:t>
            </w:r>
            <w:r w:rsidR="00D92E6F">
              <w:rPr>
                <w:rFonts w:ascii="Times New Roman" w:hAnsi="Times New Roman"/>
              </w:rPr>
              <w:t>'</w:t>
            </w:r>
            <w:r>
              <w:rPr>
                <w:rFonts w:ascii="Times New Roman" w:hAnsi="Times New Roman"/>
              </w:rPr>
              <w:t>articolo 384, paragrafo 2, del regolamento (UE) n. 575/2013 per un ente che soddisfa la condizione di cui all</w:t>
            </w:r>
            <w:r w:rsidR="00D92E6F">
              <w:rPr>
                <w:rFonts w:ascii="Times New Roman" w:hAnsi="Times New Roman"/>
              </w:rPr>
              <w:t>'</w:t>
            </w:r>
            <w:r>
              <w:rPr>
                <w:rFonts w:ascii="Times New Roman" w:hAnsi="Times New Roman"/>
              </w:rPr>
              <w:t>articolo 384, paragrafo 1, lettera a), di tale regolamento. Se l</w:t>
            </w:r>
            <w:r w:rsidR="00D92E6F">
              <w:rPr>
                <w:rFonts w:ascii="Times New Roman" w:hAnsi="Times New Roman"/>
              </w:rPr>
              <w:t>'</w:t>
            </w:r>
            <w:r>
              <w:rPr>
                <w:rFonts w:ascii="Times New Roman" w:hAnsi="Times New Roman"/>
              </w:rPr>
              <w:t>ente utilizza il metodo di base integrale per il CVA (BA-CVA integrale), questo importo è pari a quello indicato nella riga EU 10b, colonna c), del modello EU OV1.</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Coperture per il rischio di CVA</w:t>
            </w:r>
          </w:p>
          <w:p w14:paraId="2DA2624F" w14:textId="1E9396AF"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Articolo 386 del regolamento (UE) n. 575/2013.</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Spiegazione</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Requisiti di fondi propri</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Articolo 382 del regolamento (UE) n.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Importo nozionale delle coperture per il rischio di CVA</w:t>
            </w:r>
          </w:p>
          <w:p w14:paraId="6971C72E" w14:textId="0885E52C"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Importo nozionale delle coperture per il rischio di CVA (importi lordi) riconosciute come ammissibili ai sensi dell</w:t>
            </w:r>
            <w:r w:rsidR="00D92E6F">
              <w:rPr>
                <w:rFonts w:ascii="Times New Roman" w:hAnsi="Times New Roman"/>
              </w:rPr>
              <w:t>'</w:t>
            </w:r>
            <w:r>
              <w:rPr>
                <w:rFonts w:ascii="Times New Roman" w:hAnsi="Times New Roman"/>
              </w:rPr>
              <w:t>articolo 386 del regolamento (UE) n. 575/2013.</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Tabella EU CVAB: obblighi di informativa qualitativa sul rischio di CVA per gli enti che utilizzano il metodo standardizzato:</w:t>
      </w:r>
      <w:r>
        <w:rPr>
          <w:rFonts w:ascii="Times New Roman" w:hAnsi="Times New Roman"/>
          <w:sz w:val="24"/>
        </w:rPr>
        <w:t xml:space="preserve"> </w:t>
      </w:r>
      <w:r>
        <w:rPr>
          <w:rFonts w:ascii="Times New Roman" w:hAnsi="Times New Roman"/>
          <w:color w:val="000000"/>
          <w:sz w:val="24"/>
        </w:rPr>
        <w:t xml:space="preserve">(caselle di testo libero) </w:t>
      </w:r>
    </w:p>
    <w:p w14:paraId="15A03098" w14:textId="4A422534" w:rsidR="00942645" w:rsidRPr="00CA7700" w:rsidRDefault="00942645" w:rsidP="00942645">
      <w:pPr>
        <w:pStyle w:val="Titlelevel2"/>
        <w:numPr>
          <w:ilvl w:val="0"/>
          <w:numId w:val="14"/>
        </w:numPr>
        <w:spacing w:before="120"/>
        <w:jc w:val="both"/>
        <w:rPr>
          <w:rFonts w:ascii="Times New Roman" w:hAnsi="Times New Roman" w:cs="Times New Roman"/>
          <w:sz w:val="24"/>
        </w:rPr>
      </w:pPr>
      <w:r w:rsidRPr="00005667">
        <w:rPr>
          <w:rFonts w:ascii="Times New Roman" w:hAnsi="Times New Roman"/>
          <w:color w:val="auto"/>
          <w:spacing w:val="2"/>
          <w:sz w:val="24"/>
        </w:rPr>
        <w:t xml:space="preserve">Gli enti applicano le istruzioni riportate di seguito per compilare </w:t>
      </w:r>
      <w:r w:rsidRPr="00005667">
        <w:rPr>
          <w:rFonts w:ascii="Times New Roman" w:hAnsi="Times New Roman"/>
          <w:color w:val="000000"/>
          <w:spacing w:val="2"/>
          <w:sz w:val="24"/>
        </w:rPr>
        <w:t>la tabella EU CVAB di cui all</w:t>
      </w:r>
      <w:r w:rsidR="00D92E6F">
        <w:rPr>
          <w:rFonts w:ascii="Times New Roman" w:hAnsi="Times New Roman"/>
          <w:color w:val="000000"/>
          <w:spacing w:val="2"/>
          <w:sz w:val="24"/>
        </w:rPr>
        <w:t>'</w:t>
      </w:r>
      <w:r w:rsidRPr="00005667">
        <w:rPr>
          <w:rFonts w:ascii="Times New Roman" w:hAnsi="Times New Roman"/>
          <w:color w:val="000000"/>
          <w:spacing w:val="2"/>
          <w:sz w:val="24"/>
        </w:rPr>
        <w:t>allegato XLI delle soluzioni informatiche, in applicazione dell</w:t>
      </w:r>
      <w:r w:rsidR="00D92E6F">
        <w:rPr>
          <w:rFonts w:ascii="Times New Roman" w:hAnsi="Times New Roman"/>
          <w:color w:val="000000"/>
          <w:spacing w:val="2"/>
          <w:sz w:val="24"/>
        </w:rPr>
        <w:t>'</w:t>
      </w:r>
      <w:r w:rsidRPr="00005667">
        <w:rPr>
          <w:rFonts w:ascii="Times New Roman" w:hAnsi="Times New Roman"/>
          <w:color w:val="000000"/>
          <w:spacing w:val="2"/>
          <w:sz w:val="24"/>
        </w:rPr>
        <w:t>articolo 445 bis</w:t>
      </w:r>
      <w:r>
        <w:rPr>
          <w:rFonts w:ascii="Times New Roman" w:hAnsi="Times New Roman"/>
          <w:color w:val="000000"/>
          <w:sz w:val="24"/>
        </w:rPr>
        <w:t>, paragrafo 2, lettera a), del regolamento (UE) n.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lastRenderedPageBreak/>
              <w:t>Riferimenti giuridici e istruzioni</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a)</w:t>
            </w:r>
          </w:p>
        </w:tc>
        <w:tc>
          <w:tcPr>
            <w:tcW w:w="7655" w:type="dxa"/>
            <w:vAlign w:val="center"/>
          </w:tcPr>
          <w:p w14:paraId="5723498B" w14:textId="0B72DA36"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Nel pubblicare le informazioni prescritte all</w:t>
            </w:r>
            <w:r w:rsidR="00D92E6F">
              <w:rPr>
                <w:rFonts w:ascii="Times New Roman" w:hAnsi="Times New Roman"/>
                <w:sz w:val="24"/>
              </w:rPr>
              <w:t>'</w:t>
            </w:r>
            <w:r>
              <w:rPr>
                <w:rFonts w:ascii="Times New Roman" w:hAnsi="Times New Roman"/>
                <w:sz w:val="24"/>
              </w:rPr>
              <w:t>articolo 445 bis, paragrafo 2, lettera a), del regolamento (UE) n. 575/2013, gli enti descrivono la struttura e l</w:t>
            </w:r>
            <w:r w:rsidR="00D92E6F">
              <w:rPr>
                <w:rFonts w:ascii="Times New Roman" w:hAnsi="Times New Roman"/>
                <w:sz w:val="24"/>
              </w:rPr>
              <w:t>'</w:t>
            </w:r>
            <w:r>
              <w:rPr>
                <w:rFonts w:ascii="Times New Roman" w:hAnsi="Times New Roman"/>
                <w:sz w:val="24"/>
              </w:rPr>
              <w:t xml:space="preserve">organizzazione della governance e funzione interna di gestione del rischio di CVA, compresa una descrizione del quadro di gestione del rischio di CVA della banca.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b)</w:t>
            </w:r>
          </w:p>
        </w:tc>
        <w:tc>
          <w:tcPr>
            <w:tcW w:w="7655" w:type="dxa"/>
            <w:vAlign w:val="center"/>
          </w:tcPr>
          <w:p w14:paraId="18D48591" w14:textId="7532DB26"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La descrizione del modo in cui l</w:t>
            </w:r>
            <w:r w:rsidR="00D92E6F">
              <w:rPr>
                <w:rFonts w:ascii="Times New Roman" w:hAnsi="Times New Roman"/>
                <w:sz w:val="24"/>
              </w:rPr>
              <w:t>'</w:t>
            </w:r>
            <w:r>
              <w:rPr>
                <w:rFonts w:ascii="Times New Roman" w:hAnsi="Times New Roman"/>
                <w:sz w:val="24"/>
              </w:rPr>
              <w:t>alta dirigenza è coinvolta nel quadro di gestione del rischio di CVA.</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299F20FB"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La panoramica della governance del quadro di gestione del rischio di CVA (ad esempio documentazione, unità di controllo indipendente, riesame indipendente, indipendenza dell</w:t>
            </w:r>
            <w:r w:rsidR="00D92E6F">
              <w:rPr>
                <w:rFonts w:ascii="Times New Roman" w:hAnsi="Times New Roman"/>
                <w:sz w:val="24"/>
              </w:rPr>
              <w:t>'</w:t>
            </w:r>
            <w:r>
              <w:rPr>
                <w:rFonts w:ascii="Times New Roman" w:hAnsi="Times New Roman"/>
                <w:sz w:val="24"/>
              </w:rPr>
              <w:t>acquisizione dei dati in relazione alle aree di attività).</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t xml:space="preserve">Modello EU CVA3: rischio di aggiustamento della valutazione del credito in base al metodo standardizzato (SA) </w:t>
      </w:r>
      <w:r>
        <w:rPr>
          <w:rFonts w:ascii="Times New Roman" w:hAnsi="Times New Roman"/>
          <w:sz w:val="24"/>
        </w:rPr>
        <w:t>(formato fisso)</w:t>
      </w:r>
    </w:p>
    <w:p w14:paraId="18ADC674" w14:textId="3570A882" w:rsidR="00942645" w:rsidRPr="00CA7700" w:rsidRDefault="00942645" w:rsidP="00942645">
      <w:pPr>
        <w:pStyle w:val="Titlelevel2"/>
        <w:numPr>
          <w:ilvl w:val="0"/>
          <w:numId w:val="14"/>
        </w:numPr>
        <w:spacing w:before="120"/>
        <w:jc w:val="both"/>
        <w:rPr>
          <w:rFonts w:ascii="Times New Roman" w:hAnsi="Times New Roman" w:cs="Times New Roman"/>
          <w:b/>
          <w:color w:val="auto"/>
          <w:sz w:val="24"/>
        </w:rPr>
      </w:pPr>
      <w:r>
        <w:rPr>
          <w:rFonts w:ascii="Times New Roman" w:hAnsi="Times New Roman"/>
          <w:color w:val="000000"/>
          <w:sz w:val="24"/>
        </w:rPr>
        <w:t>Gli</w:t>
      </w:r>
      <w:r>
        <w:rPr>
          <w:rFonts w:ascii="Times New Roman" w:hAnsi="Times New Roman"/>
          <w:color w:val="auto"/>
          <w:sz w:val="24"/>
        </w:rPr>
        <w:t xml:space="preserve"> enti </w:t>
      </w:r>
      <w:r>
        <w:rPr>
          <w:rFonts w:ascii="Times New Roman" w:hAnsi="Times New Roman"/>
          <w:color w:val="000000"/>
          <w:sz w:val="24"/>
        </w:rPr>
        <w:t>applicano le istruzioni riportate di seguito nel presente allegato per compilare il modello EU CVA3 di cui all</w:t>
      </w:r>
      <w:r w:rsidR="00D92E6F">
        <w:rPr>
          <w:rFonts w:ascii="Times New Roman" w:hAnsi="Times New Roman"/>
          <w:color w:val="000000"/>
          <w:sz w:val="24"/>
        </w:rPr>
        <w:t>'</w:t>
      </w:r>
      <w:r>
        <w:rPr>
          <w:rFonts w:ascii="Times New Roman" w:hAnsi="Times New Roman"/>
          <w:color w:val="000000"/>
          <w:sz w:val="24"/>
        </w:rPr>
        <w:t xml:space="preserve">allegato XLI, </w:t>
      </w:r>
      <w:r>
        <w:rPr>
          <w:rFonts w:ascii="Times New Roman" w:hAnsi="Times New Roman"/>
          <w:color w:val="auto"/>
          <w:sz w:val="24"/>
        </w:rPr>
        <w:t>in applicazione dell</w:t>
      </w:r>
      <w:r w:rsidR="00D92E6F">
        <w:rPr>
          <w:rFonts w:ascii="Times New Roman" w:hAnsi="Times New Roman"/>
          <w:color w:val="auto"/>
          <w:sz w:val="24"/>
        </w:rPr>
        <w:t>'</w:t>
      </w:r>
      <w:r>
        <w:rPr>
          <w:rFonts w:ascii="Times New Roman" w:hAnsi="Times New Roman"/>
          <w:color w:val="auto"/>
          <w:sz w:val="24"/>
        </w:rPr>
        <w:t>articolo 445 bis, paragrafo 1, lettera c), e paragrafo 2, lettere b) e c), del regolamento (UE) n. 575/2013</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Riferimenti giuridici e istruzioni</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Classi di rischio</w:t>
            </w:r>
          </w:p>
          <w:p w14:paraId="60828ECC" w14:textId="7FE43551" w:rsidR="00942645" w:rsidRPr="00CA7700" w:rsidRDefault="00942645" w:rsidP="00962254">
            <w:pPr>
              <w:pStyle w:val="TableNote"/>
              <w:rPr>
                <w:rFonts w:ascii="Times New Roman" w:hAnsi="Times New Roman"/>
                <w:i/>
                <w:sz w:val="24"/>
                <w:szCs w:val="24"/>
              </w:rPr>
            </w:pPr>
            <w:r>
              <w:rPr>
                <w:rFonts w:ascii="Times New Roman" w:hAnsi="Times New Roman"/>
                <w:sz w:val="24"/>
              </w:rPr>
              <w:t>Componenti dei requisiti di fondi propri secondo il metodo standardizzato (rischio di CVA-SA) conformemente all</w:t>
            </w:r>
            <w:r w:rsidR="00D92E6F">
              <w:rPr>
                <w:rFonts w:ascii="Times New Roman" w:hAnsi="Times New Roman"/>
                <w:sz w:val="24"/>
              </w:rPr>
              <w:t>'</w:t>
            </w:r>
            <w:r>
              <w:rPr>
                <w:rFonts w:ascii="Times New Roman" w:hAnsi="Times New Roman"/>
                <w:sz w:val="24"/>
              </w:rPr>
              <w:t>articolo 383 del regolamento (UE) n. 575/2013, compresa una ripartizione per classe di rischio ai sensi dell</w:t>
            </w:r>
            <w:r w:rsidR="00D92E6F">
              <w:rPr>
                <w:rFonts w:ascii="Times New Roman" w:hAnsi="Times New Roman"/>
                <w:sz w:val="24"/>
              </w:rPr>
              <w:t>'</w:t>
            </w:r>
            <w:r>
              <w:rPr>
                <w:rFonts w:ascii="Times New Roman" w:hAnsi="Times New Roman"/>
                <w:sz w:val="24"/>
              </w:rPr>
              <w:t>articolo 383, paragrafo 2, punto 1), del regolamento (UE) n. 575/2013.</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Rischio di tasso di interesse</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 xml:space="preserve">Articoli 383 quater, 383 decies, 383 undecies, 383 duodecies, 383 terdecies e 383 quaterdecies del regolamento (UE) n. 575/2013.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2</w:t>
            </w:r>
          </w:p>
        </w:tc>
        <w:tc>
          <w:tcPr>
            <w:tcW w:w="7655" w:type="dxa"/>
            <w:vAlign w:val="center"/>
          </w:tcPr>
          <w:p w14:paraId="44DDD750"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Rischio di cambio </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Articoli 383 quinquies, 383 decies, 383 undecies, 383 quindecies e 383 sexdecies del regolamento (UE) n.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Rischio di differenziali creditizi di riferimento</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Articoli 383 septies, 383 decies, 383 undecies, 383 vicies e 383 duovicies del regolamento (UE) n.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lastRenderedPageBreak/>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Rischio azionario</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t>Articoli 383 octies, 383 decies, 383 undecies, 383 tervicies e 383 quatervicies del regolamento (UE) n.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Rischio di posizioni in merci</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t>Articoli 383 nonies, 383 decies, 383 undecies, 383 quinvicies e 383 septvicies del regolamento (UE) n.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Rischio di differenziali creditizi della controparte</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t>Articoli 383 sexies, 383 decies, 383 undecies, 383 septdecies, 383 octodecies e 383 novodecies del regolamento (UE) n.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Totale</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Somma delle righe da 1 a 6. Questo importo è pari a quello indicato nella riga EU 10a, colonna c), del modello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EU 8-EU 13</w:t>
            </w:r>
          </w:p>
        </w:tc>
        <w:tc>
          <w:tcPr>
            <w:tcW w:w="7655" w:type="dxa"/>
          </w:tcPr>
          <w:p w14:paraId="24FDD12C"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 xml:space="preserve">Tipi di controparti delle operazioni </w:t>
            </w:r>
          </w:p>
          <w:p w14:paraId="384E4400" w14:textId="29C9BF60" w:rsidR="00942645" w:rsidRPr="00212EDF" w:rsidRDefault="00942645" w:rsidP="00E60D1B">
            <w:pPr>
              <w:spacing w:before="60" w:after="120"/>
              <w:rPr>
                <w:rFonts w:ascii="Times New Roman" w:hAnsi="Times New Roman" w:cs="Times New Roman"/>
                <w:sz w:val="24"/>
              </w:rPr>
            </w:pPr>
            <w:r>
              <w:rPr>
                <w:rFonts w:ascii="Times New Roman" w:hAnsi="Times New Roman"/>
                <w:sz w:val="24"/>
              </w:rPr>
              <w:t>Il numero di controparti delle operazioni ripartite per tipo conformemente alle istruzioni di cui all</w:t>
            </w:r>
            <w:r w:rsidR="00D92E6F">
              <w:rPr>
                <w:rFonts w:ascii="Times New Roman" w:hAnsi="Times New Roman"/>
                <w:sz w:val="24"/>
              </w:rPr>
              <w:t>'</w:t>
            </w:r>
            <w:r>
              <w:rPr>
                <w:rFonts w:ascii="Times New Roman" w:hAnsi="Times New Roman"/>
                <w:sz w:val="24"/>
              </w:rPr>
              <w:t xml:space="preserve">allegato V, parte 1, sezione 6, paragrafi da 42 a 44, della soluzione informatica denominata </w:t>
            </w:r>
            <w:r w:rsidR="00D92E6F">
              <w:rPr>
                <w:rFonts w:ascii="Times New Roman" w:hAnsi="Times New Roman"/>
                <w:sz w:val="24"/>
              </w:rPr>
              <w:t>"</w:t>
            </w:r>
            <w:r>
              <w:rPr>
                <w:rFonts w:ascii="Times New Roman" w:hAnsi="Times New Roman"/>
                <w:sz w:val="24"/>
              </w:rPr>
              <w:t>Reporting on Financial information according to IFRS and GAAP-2024-version 1</w:t>
            </w:r>
            <w:r w:rsidR="00D92E6F">
              <w:rPr>
                <w:rFonts w:ascii="Times New Roman" w:hAnsi="Times New Roman"/>
                <w:sz w:val="24"/>
              </w:rPr>
              <w:t>"</w:t>
            </w:r>
            <w:r>
              <w:rPr>
                <w:rFonts w:ascii="Times New Roman" w:hAnsi="Times New Roman"/>
                <w:sz w:val="24"/>
              </w:rPr>
              <w:t xml:space="preserve"> [disponibile sul sito web dell</w:t>
            </w:r>
            <w:r w:rsidR="00D92E6F">
              <w:rPr>
                <w:rFonts w:ascii="Times New Roman" w:hAnsi="Times New Roman"/>
                <w:sz w:val="24"/>
              </w:rPr>
              <w:t>'</w:t>
            </w:r>
            <w:r>
              <w:rPr>
                <w:rFonts w:ascii="Times New Roman" w:hAnsi="Times New Roman"/>
                <w:sz w:val="24"/>
              </w:rPr>
              <w:t xml:space="preserve">ABE].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Totale</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Il numero totale delle controparti come somma delle righe da EU 8 a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Coperture per il rischio di CVA</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Articolo 386 del regolamento (UE) n.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Totale</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Somma delle righe da EU 15 a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Spiegazione</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a</w:t>
            </w:r>
          </w:p>
        </w:tc>
        <w:tc>
          <w:tcPr>
            <w:tcW w:w="7655"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i/>
                <w:sz w:val="24"/>
              </w:rPr>
              <w:t xml:space="preserve"> </w:t>
            </w:r>
            <w:r>
              <w:rPr>
                <w:rFonts w:ascii="Times New Roman" w:hAnsi="Times New Roman"/>
                <w:b/>
                <w:sz w:val="24"/>
              </w:rPr>
              <w:t>Requisiti di fondi propri</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Articolo 382 del regolamento (UE) n.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Numero di controparti</w:t>
            </w:r>
          </w:p>
          <w:p w14:paraId="4B5F72BC" w14:textId="3F091C0D" w:rsidR="00942645" w:rsidRPr="00CA7700" w:rsidRDefault="00942645" w:rsidP="00962254">
            <w:pPr>
              <w:pStyle w:val="TableNote"/>
              <w:rPr>
                <w:rFonts w:ascii="Times New Roman" w:hAnsi="Times New Roman"/>
                <w:sz w:val="24"/>
                <w:szCs w:val="24"/>
              </w:rPr>
            </w:pPr>
            <w:r>
              <w:rPr>
                <w:rFonts w:ascii="Times New Roman" w:hAnsi="Times New Roman"/>
                <w:sz w:val="24"/>
              </w:rPr>
              <w:t>Numero di controparti ai sensi dell</w:t>
            </w:r>
            <w:r w:rsidR="00D92E6F">
              <w:rPr>
                <w:rFonts w:ascii="Times New Roman" w:hAnsi="Times New Roman"/>
                <w:sz w:val="24"/>
              </w:rPr>
              <w:t>'</w:t>
            </w:r>
            <w:r>
              <w:rPr>
                <w:rFonts w:ascii="Times New Roman" w:hAnsi="Times New Roman"/>
                <w:sz w:val="24"/>
              </w:rPr>
              <w:t xml:space="preserve">articolo 383, paragrafo 1, del regolamento (UE) n. 575/2013 incluse nel calcolo dei requisiti di fondi propri per il rischio di CVA-SA.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Importo nozionale delle coperture per il rischio di CVA</w:t>
            </w:r>
          </w:p>
          <w:p w14:paraId="52C0F4DF" w14:textId="3F862800"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Importo nozionale delle coperture per il rischio di CVA riconosciute come ammissibili ai sensi dell</w:t>
            </w:r>
            <w:r w:rsidR="00D92E6F">
              <w:rPr>
                <w:rFonts w:ascii="Times New Roman" w:hAnsi="Times New Roman"/>
                <w:sz w:val="24"/>
              </w:rPr>
              <w:t>'</w:t>
            </w:r>
            <w:r>
              <w:rPr>
                <w:rFonts w:ascii="Times New Roman" w:hAnsi="Times New Roman"/>
                <w:sz w:val="24"/>
              </w:rPr>
              <w:t>articolo 386 del regolamento (UE) n. 575/2013.</w:t>
            </w:r>
          </w:p>
        </w:tc>
      </w:tr>
    </w:tbl>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lastRenderedPageBreak/>
        <w:t xml:space="preserve">Modello EU CVA4: prospetti degli RWEA del rischio di aggiustamento della valutazione del credito in base al metodo standardizzato (SA) </w:t>
      </w:r>
      <w:r>
        <w:rPr>
          <w:rFonts w:ascii="Times New Roman" w:hAnsi="Times New Roman"/>
          <w:color w:val="auto"/>
          <w:sz w:val="24"/>
        </w:rPr>
        <w:t>(formato fisso)</w:t>
      </w:r>
    </w:p>
    <w:p w14:paraId="22E699CE" w14:textId="10B5406A"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Gli enti applicano le istruzioni riportate di seguito per compilare il modello EU</w:t>
      </w:r>
      <w:r w:rsidR="00005667">
        <w:rPr>
          <w:rFonts w:ascii="Times New Roman" w:hAnsi="Times New Roman"/>
          <w:color w:val="000000"/>
          <w:sz w:val="24"/>
        </w:rPr>
        <w:t> </w:t>
      </w:r>
      <w:r>
        <w:rPr>
          <w:rFonts w:ascii="Times New Roman" w:hAnsi="Times New Roman"/>
          <w:color w:val="000000"/>
          <w:sz w:val="24"/>
        </w:rPr>
        <w:t>CVA4 di cui all</w:t>
      </w:r>
      <w:r w:rsidR="00D92E6F">
        <w:rPr>
          <w:rFonts w:ascii="Times New Roman" w:hAnsi="Times New Roman"/>
          <w:color w:val="000000"/>
          <w:sz w:val="24"/>
        </w:rPr>
        <w:t>'</w:t>
      </w:r>
      <w:r>
        <w:rPr>
          <w:rFonts w:ascii="Times New Roman" w:hAnsi="Times New Roman"/>
          <w:color w:val="000000"/>
          <w:sz w:val="24"/>
        </w:rPr>
        <w:t>allegato XLI delle soluzioni informatiche, in applicazione dell</w:t>
      </w:r>
      <w:r w:rsidR="00D92E6F">
        <w:rPr>
          <w:rFonts w:ascii="Times New Roman" w:hAnsi="Times New Roman"/>
          <w:color w:val="000000"/>
          <w:sz w:val="24"/>
        </w:rPr>
        <w:t>'</w:t>
      </w:r>
      <w:r>
        <w:rPr>
          <w:rFonts w:ascii="Times New Roman" w:hAnsi="Times New Roman"/>
          <w:color w:val="000000"/>
          <w:sz w:val="24"/>
        </w:rPr>
        <w:t xml:space="preserve">articolo 438, lettere d) e h), del regolamento (UE) n. 575/2013. </w:t>
      </w:r>
    </w:p>
    <w:p w14:paraId="03A729A3" w14:textId="640AE1A5"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Gli enti sono tenuti a integrare questo modello con un commento per spiegare eventuali variazioni significative nel corso del periodo di riferimento e le principali determinanti di tali variazioni. I fattori alla base delle variazioni potrebbero comprendere le variazioni dei livelli di rischio, le modifiche dell</w:t>
      </w:r>
      <w:r w:rsidR="00D92E6F">
        <w:rPr>
          <w:rFonts w:ascii="Times New Roman" w:hAnsi="Times New Roman"/>
          <w:color w:val="000000"/>
          <w:sz w:val="24"/>
        </w:rPr>
        <w:t>'</w:t>
      </w:r>
      <w:r>
        <w:rPr>
          <w:rFonts w:ascii="Times New Roman" w:hAnsi="Times New Roman"/>
          <w:color w:val="000000"/>
          <w:sz w:val="24"/>
        </w:rPr>
        <w:t>ambito di applicazione (ad esempio trasferimenti di insiemi di attività soggette a compensazione tra SA-CVA e BA-CVA), modifiche dovute ad acquisizioni e dismissioni di linee di business/prodotto o di soggetti oppure derivanti da oscillazioni della conversione di valuta estera.</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t>Riferimenti giuridici e istruzioni</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1</w:t>
            </w:r>
          </w:p>
        </w:tc>
        <w:tc>
          <w:tcPr>
            <w:tcW w:w="7655" w:type="dxa"/>
            <w:vAlign w:val="center"/>
          </w:tcPr>
          <w:p w14:paraId="1165D18C" w14:textId="037C7A11"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Importo dell</w:t>
            </w:r>
            <w:r w:rsidR="00D92E6F">
              <w:rPr>
                <w:rFonts w:ascii="Times New Roman" w:hAnsi="Times New Roman"/>
                <w:b/>
                <w:sz w:val="24"/>
              </w:rPr>
              <w:t>'</w:t>
            </w:r>
            <w:r>
              <w:rPr>
                <w:rFonts w:ascii="Times New Roman" w:hAnsi="Times New Roman"/>
                <w:b/>
                <w:sz w:val="24"/>
              </w:rPr>
              <w:t xml:space="preserve">esposizione ponderato per il rischio al termine del precedente periodo di riferimento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Questo importo è pari a quello indicato nella riga EU 10a, colonna b), del modello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2</w:t>
            </w:r>
          </w:p>
        </w:tc>
        <w:tc>
          <w:tcPr>
            <w:tcW w:w="7655" w:type="dxa"/>
            <w:vAlign w:val="center"/>
          </w:tcPr>
          <w:p w14:paraId="1AE00A33" w14:textId="5B98482F"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Importo dell</w:t>
            </w:r>
            <w:r w:rsidR="00D92E6F">
              <w:rPr>
                <w:rFonts w:ascii="Times New Roman" w:hAnsi="Times New Roman"/>
                <w:b/>
                <w:sz w:val="24"/>
              </w:rPr>
              <w:t>'</w:t>
            </w:r>
            <w:r>
              <w:rPr>
                <w:rFonts w:ascii="Times New Roman" w:hAnsi="Times New Roman"/>
                <w:b/>
                <w:sz w:val="24"/>
              </w:rPr>
              <w:t>esposizione ponderato per il rischio al termine del periodo di riferimento corrente</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Questo importo è pari a quello indicato nella riga EU 10a, colonna a), del modello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Spiegazione</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6FFA766"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Importo dell</w:t>
            </w:r>
            <w:r w:rsidR="00D92E6F">
              <w:rPr>
                <w:rFonts w:ascii="Times New Roman" w:hAnsi="Times New Roman"/>
                <w:b/>
                <w:sz w:val="24"/>
              </w:rPr>
              <w:t>'</w:t>
            </w:r>
            <w:r>
              <w:rPr>
                <w:rFonts w:ascii="Times New Roman" w:hAnsi="Times New Roman"/>
                <w:b/>
                <w:sz w:val="24"/>
              </w:rPr>
              <w:t>esposizione ponderato per il rischio</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Articolo 92, paragrafo 4, lettera e), del regolamento (UE) n. 575/2013.</w:t>
            </w:r>
          </w:p>
          <w:p w14:paraId="3BE3A6CD" w14:textId="072948FF" w:rsidR="00942645" w:rsidRPr="00005667"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Requisiti di fondi propri moltiplicati per 12,5.</w:t>
            </w: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w:t>
      </w:r>
      <w:r>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Pr>
          <w:color w:val="444444"/>
        </w:rPr>
        <w:t>(</w:t>
      </w:r>
      <w:hyperlink r:id="rId1" w:history="1">
        <w:r>
          <w:rPr>
            <w:rStyle w:val="Hyperlink"/>
            <w:color w:val="800080"/>
          </w:rPr>
          <w:t>GU L 176 del 27.6.2013, pag. 1</w:t>
        </w:r>
      </w:hyperlink>
      <w:r>
        <w:rPr>
          <w:color w:val="444444"/>
        </w:rPr>
        <w:t>)</w:t>
      </w:r>
      <w:r>
        <w:t>;</w:t>
      </w:r>
      <w:r>
        <w:rPr>
          <w:color w:val="800080"/>
          <w:u w:val="single"/>
        </w:rPr>
        <w:t xml:space="preserve"> </w:t>
      </w:r>
      <w:hyperlink r:id="rId2" w:history="1">
        <w:r>
          <w:rPr>
            <w:rStyle w:val="Hyperlink"/>
          </w:rPr>
          <w:t>regolamento - UE - 2024/1623 - IT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Pr="00131862" w:rsidRDefault="0027780B">
    <w:pPr>
      <w:rPr>
        <w:lang w:val="en-IE"/>
      </w:rPr>
    </w:pPr>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65ACD4F9" w:rsidR="0027780B" w:rsidRPr="0027780B" w:rsidRDefault="0027780B" w:rsidP="0027780B">
                          <w:pPr>
                            <w:rPr>
                              <w:rFonts w:ascii="Calibri" w:eastAsia="Calibri" w:hAnsi="Calibri" w:cs="Calibri"/>
                              <w:noProof/>
                              <w:color w:val="000000"/>
                              <w:sz w:val="24"/>
                            </w:rPr>
                          </w:pPr>
                          <w:r>
                            <w:rPr>
                              <w:rFonts w:ascii="Calibri" w:hAnsi="Calibri"/>
                              <w:color w:val="000000"/>
                              <w:sz w:val="24"/>
                            </w:rPr>
                            <w:t>Per l</w:t>
                          </w:r>
                          <w:r w:rsidR="00D92E6F">
                            <w:rPr>
                              <w:rFonts w:ascii="Calibri" w:hAnsi="Calibri"/>
                              <w:color w:val="000000"/>
                              <w:sz w:val="24"/>
                            </w:rPr>
                            <w:t>'</w:t>
                          </w:r>
                          <w:r>
                            <w:rPr>
                              <w:rFonts w:ascii="Calibri" w:hAnsi="Calibri"/>
                              <w:color w:val="000000"/>
                              <w:sz w:val="24"/>
                            </w:rPr>
                            <w:t>uso ordinario dell</w:t>
                          </w:r>
                          <w:r w:rsidR="00D92E6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Per l'uso ordinario del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65ACD4F9" w:rsidR="0027780B" w:rsidRPr="0027780B" w:rsidRDefault="0027780B" w:rsidP="0027780B">
                    <w:pPr>
                      <w:rPr>
                        <w:rFonts w:ascii="Calibri" w:eastAsia="Calibri" w:hAnsi="Calibri" w:cs="Calibri"/>
                        <w:noProof/>
                        <w:color w:val="000000"/>
                        <w:sz w:val="24"/>
                      </w:rPr>
                    </w:pPr>
                    <w:r>
                      <w:rPr>
                        <w:rFonts w:ascii="Calibri" w:hAnsi="Calibri"/>
                        <w:color w:val="000000"/>
                        <w:sz w:val="24"/>
                      </w:rPr>
                      <w:t>Per l</w:t>
                    </w:r>
                    <w:r w:rsidR="00D92E6F">
                      <w:rPr>
                        <w:rFonts w:ascii="Calibri" w:hAnsi="Calibri"/>
                        <w:color w:val="000000"/>
                        <w:sz w:val="24"/>
                      </w:rPr>
                      <w:t>'</w:t>
                    </w:r>
                    <w:r>
                      <w:rPr>
                        <w:rFonts w:ascii="Calibri" w:hAnsi="Calibri"/>
                        <w:color w:val="000000"/>
                        <w:sz w:val="24"/>
                      </w:rPr>
                      <w:t>uso ordinario dell</w:t>
                    </w:r>
                    <w:r w:rsidR="00D92E6F">
                      <w:rPr>
                        <w:rFonts w:ascii="Calibri" w:hAnsi="Calibri"/>
                        <w:color w:val="000000"/>
                        <w:sz w:val="24"/>
                      </w:rPr>
                      <w:t>'</w:t>
                    </w:r>
                    <w:r>
                      <w:rPr>
                        <w:rFonts w:ascii="Calibri" w:hAnsi="Calibri"/>
                        <w:color w:val="000000"/>
                        <w:sz w:val="24"/>
                      </w:rPr>
                      <w:t>ABE</w:t>
                    </w:r>
                  </w:p>
                </w:txbxContent>
              </v:textbox>
              <w10:wrap anchorx="page" anchory="page"/>
            </v:shape>
          </w:pict>
        </mc:Fallback>
      </mc:AlternateContent>
    </w:r>
    <w:sdt>
      <w:sdtPr>
        <w:id w:val="-1905980668"/>
        <w:temporary/>
        <w:showingPlcHdr/>
      </w:sdtPr>
      <w:sdtEndPr/>
      <w:sdtContent>
        <w:r w:rsidRPr="00131862">
          <w:rPr>
            <w:lang w:val="en-IE"/>
          </w:rPr>
          <w:t>[Type text]</w:t>
        </w:r>
      </w:sdtContent>
    </w:sdt>
    <w:r>
      <w:ptab w:relativeTo="margin" w:alignment="center" w:leader="none"/>
    </w:r>
    <w:sdt>
      <w:sdtPr>
        <w:id w:val="-476227318"/>
        <w:temporary/>
        <w:showingPlcHdr/>
      </w:sdtPr>
      <w:sdtEndPr/>
      <w:sdtContent>
        <w:r w:rsidRPr="00131862">
          <w:rPr>
            <w:lang w:val="en-IE"/>
          </w:rPr>
          <w:t>[Type text]</w:t>
        </w:r>
      </w:sdtContent>
    </w:sdt>
    <w:r>
      <w:ptab w:relativeTo="margin" w:alignment="right" w:leader="none"/>
    </w:r>
    <w:sdt>
      <w:sdtPr>
        <w:id w:val="807362839"/>
        <w:temporary/>
        <w:showingPlcHdr/>
      </w:sdtPr>
      <w:sdtEndPr/>
      <w:sdtContent>
        <w:r w:rsidRPr="00131862">
          <w:rPr>
            <w:lang w:val="en-IE"/>
          </w:rPr>
          <w:t>[Type text]</w:t>
        </w:r>
      </w:sdtContent>
    </w:sdt>
  </w:p>
  <w:p w14:paraId="3AAE931B" w14:textId="77777777" w:rsidR="009B1B59" w:rsidRPr="00131862" w:rsidRDefault="009B1B59">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Nel presente allegato i riferimenti giuridici tengono conto di una versione provvisoria del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Nel presente allegato i riferimenti giuridici tengono conto di una versione provvisoria del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3CA1BE3D" w:rsidR="0027780B" w:rsidRPr="0027780B" w:rsidRDefault="0027780B" w:rsidP="0027780B">
                          <w:pPr>
                            <w:rPr>
                              <w:rFonts w:ascii="Calibri" w:eastAsia="Calibri" w:hAnsi="Calibri" w:cs="Calibri"/>
                              <w:noProof/>
                              <w:color w:val="000000"/>
                              <w:sz w:val="24"/>
                            </w:rPr>
                          </w:pPr>
                          <w:r>
                            <w:rPr>
                              <w:rFonts w:ascii="Calibri" w:hAnsi="Calibri"/>
                              <w:color w:val="000000"/>
                              <w:sz w:val="24"/>
                            </w:rPr>
                            <w:t>Per l</w:t>
                          </w:r>
                          <w:r w:rsidR="00D92E6F">
                            <w:rPr>
                              <w:rFonts w:ascii="Calibri" w:hAnsi="Calibri"/>
                              <w:color w:val="000000"/>
                              <w:sz w:val="24"/>
                            </w:rPr>
                            <w:t>'</w:t>
                          </w:r>
                          <w:r>
                            <w:rPr>
                              <w:rFonts w:ascii="Calibri" w:hAnsi="Calibri"/>
                              <w:color w:val="000000"/>
                              <w:sz w:val="24"/>
                            </w:rPr>
                            <w:t>uso ordinario dell</w:t>
                          </w:r>
                          <w:r w:rsidR="00D92E6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Per l'uso ordinario del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3CA1BE3D" w:rsidR="0027780B" w:rsidRPr="0027780B" w:rsidRDefault="0027780B" w:rsidP="0027780B">
                    <w:pPr>
                      <w:rPr>
                        <w:rFonts w:ascii="Calibri" w:eastAsia="Calibri" w:hAnsi="Calibri" w:cs="Calibri"/>
                        <w:noProof/>
                        <w:color w:val="000000"/>
                        <w:sz w:val="24"/>
                      </w:rPr>
                    </w:pPr>
                    <w:r>
                      <w:rPr>
                        <w:rFonts w:ascii="Calibri" w:hAnsi="Calibri"/>
                        <w:color w:val="000000"/>
                        <w:sz w:val="24"/>
                      </w:rPr>
                      <w:t>Per l</w:t>
                    </w:r>
                    <w:r w:rsidR="00D92E6F">
                      <w:rPr>
                        <w:rFonts w:ascii="Calibri" w:hAnsi="Calibri"/>
                        <w:color w:val="000000"/>
                        <w:sz w:val="24"/>
                      </w:rPr>
                      <w:t>'</w:t>
                    </w:r>
                    <w:r>
                      <w:rPr>
                        <w:rFonts w:ascii="Calibri" w:hAnsi="Calibri"/>
                        <w:color w:val="000000"/>
                        <w:sz w:val="24"/>
                      </w:rPr>
                      <w:t>uso ordinario dell</w:t>
                    </w:r>
                    <w:r w:rsidR="00D92E6F">
                      <w:rPr>
                        <w:rFonts w:ascii="Calibri" w:hAnsi="Calibri"/>
                        <w:color w:val="000000"/>
                        <w:sz w:val="24"/>
                      </w:rPr>
                      <w:t>'</w:t>
                    </w:r>
                    <w:r>
                      <w:rPr>
                        <w:rFonts w:ascii="Calibri" w:hAnsi="Calibri"/>
                        <w:color w:val="000000"/>
                        <w:sz w:val="24"/>
                      </w:rPr>
                      <w:t>ABE</w:t>
                    </w:r>
                  </w:p>
                </w:txbxContent>
              </v:textbox>
              <w10:wrap anchorx="page" anchory="page"/>
            </v:shape>
          </w:pict>
        </mc:Fallback>
      </mc:AlternateContent>
    </w:r>
    <w:r>
      <w:t>inserire qui il titolo corrente nello stile dei titoli correnti</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67"/>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862"/>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2E6F"/>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it-IT"/>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BC57F6A0-6292-4BAE-871B-85A446A98C49}"/>
</file>

<file path=customXml/itemProps3.xml><?xml version="1.0" encoding="utf-8"?>
<ds:datastoreItem xmlns:ds="http://schemas.openxmlformats.org/officeDocument/2006/customXml" ds:itemID="{F01A7208-D8F5-4BFD-A2B3-FDCF2433DB33}"/>
</file>

<file path=customXml/itemProps4.xml><?xml version="1.0" encoding="utf-8"?>
<ds:datastoreItem xmlns:ds="http://schemas.openxmlformats.org/officeDocument/2006/customXml" ds:itemID="{0B4784C3-3805-4876-9A01-9B35763ABE9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1813</Words>
  <Characters>9722</Characters>
  <Application>Microsoft Office Word</Application>
  <DocSecurity>0</DocSecurity>
  <Lines>294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