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ANEXA XXXIV– Instrucțiuni pentru publicarea modelelor privind politica de remunerare</w:t>
      </w:r>
    </w:p>
    <w:p w14:paraId="27BC952C" w14:textId="77777777" w:rsidR="00965CEB" w:rsidRPr="002347D8" w:rsidRDefault="00965CEB" w:rsidP="00965CEB">
      <w:pPr>
        <w:pStyle w:val="Titlelevel2"/>
        <w:spacing w:before="120" w:after="120"/>
        <w:rPr>
          <w:rFonts w:ascii="Times New Roman" w:hAnsi="Times New Roman"/>
          <w:b/>
          <w:color w:val="auto"/>
          <w:sz w:val="22"/>
          <w:lang w:val="fr-BE"/>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Tabelul EU-REMA – Politica de remunerare: </w:t>
      </w:r>
      <w:r>
        <w:rPr>
          <w:rFonts w:ascii="Times New Roman" w:hAnsi="Times New Roman"/>
          <w:color w:val="auto"/>
          <w:sz w:val="24"/>
        </w:rPr>
        <w:t>Format flexibil</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Instituțiile publică informațiile menționate la articolul 450 alineatul (1) literele (a), (b), (c), (d), (e), (f), (j) și (k) și la articolul 450 alineatul (2) din CRR</w:t>
      </w:r>
      <w:r>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urmând instrucțiunile furnizate mai jos în prezenta anexă pentru completarea formularului EU-REMA care figurează în anexa XXXIII la soluțiile informatice ale ABE.</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Prezentul tabel are un format flexibil. În cazul în care instituțiile aplică un format diferit, acestea trebuie să furnizeze informații comparabile cu informațiile solicitate în prezentul tabel, cu un nivel similar de granularitate și incluzând toate informațiile de substanță necesare.</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În sensul prezentului tabel și al modelelor explicate în prezenta anexă, acordarea unei remunerații înseamnă acordarea unei remunerații variabile pentru o anumită perioadă de acumulare, indiferent de momentul efectiv în care suma acordată este plătită.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Informații privind organele care supraveghează remunerarea. Publicările de informații includ:</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denumirea, componența și mandatul organului principal (organul de conducere și comitetul de remunerare, dacă există) care supraveghează politica de remunerare și numărul de reuniuni organizate de organul principal respectiv în cursul exercițiului financiar;</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consultanții externi cărora li s-a solicitat consultanță, organul care i-a contractat și domeniile cadrului de remunerare pentru care au fost contractați;</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o descriere a domeniului de aplicare al politicii de remunerare a instituției (de exemplu, pe regiuni, linii de activitate), inclusiv măsura în care aceasta se aplică filialelor și sucursalelor situate în țări terțe;</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o descriere a membrilor personalului sau a categoriilor de personal ale căror activități profesionale au un impact semnificativ asupra profilului de risc al instituțiilor (personalul identificat).</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Informații privind conceperea și structura sistemului de remunerare a personalului identificat. Publicările de informații includ:</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o prezentare generală a principalelor caracteristici și obiective ale politicii de remunerare, precum și informații privind procesul decizional utilizat pentru stabilirea politicii de remunerare și a rolului părților interesate relevante (de exemplu, adunarea acționarilor);</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 xml:space="preserve">informații privind criteriile utilizate pentru măsurarea performanței și ajustarea </w:t>
            </w:r>
            <w:r>
              <w:rPr>
                <w:rFonts w:ascii="Times New Roman" w:hAnsi="Times New Roman"/>
                <w:i/>
                <w:sz w:val="24"/>
              </w:rPr>
              <w:t>ex ante</w:t>
            </w:r>
            <w:r>
              <w:rPr>
                <w:rFonts w:ascii="Times New Roman" w:hAnsi="Times New Roman"/>
                <w:sz w:val="24"/>
              </w:rPr>
              <w:t xml:space="preserve"> și </w:t>
            </w:r>
            <w:r>
              <w:rPr>
                <w:rFonts w:ascii="Times New Roman" w:hAnsi="Times New Roman"/>
                <w:i/>
                <w:sz w:val="24"/>
              </w:rPr>
              <w:t>ex post</w:t>
            </w:r>
            <w:r>
              <w:rPr>
                <w:rFonts w:ascii="Times New Roman" w:hAnsi="Times New Roman"/>
                <w:sz w:val="24"/>
              </w:rPr>
              <w:t xml:space="preserve"> la riscuri;</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dacă organul de conducere și comitetul de remunerare, în cazul în care există, au revizuit politica de remunerare a instituției în cursul anului precedent și, în caz afirmativ, o prezentare generală a oricăror modificări care au fost efectuate, a motivelor acestor modificări și a impactului lor asupra remunerației;</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informații privind modul în care instituția se asigură că personalul care exercită funcții de control intern este remunerat independent de activitățile pe care le supraveghează;</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politicile și criteriile aplicate pentru acordarea remunerației variabile garantate și a plăților compensatorii.</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Descrierea modalităților prin care riscurile actuale și viitoare sunt luate în considerare în procesele de remunerare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Publicările de informații includ o prezentare generală a riscurilor principale, a măsurării acestora și a modului în care valorile obținute prin măsurare afectează remunerarea.</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Raporturile dintre remunerația fixă și cea variabilă, stabilite în conformitate cu articolul 94 alineatul (1) litera (g) din Directiva 2013/36/UE („CRD”)</w:t>
            </w:r>
            <w:r>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Descrierea modului în care instituția încearcă să coreleze performanța înregistrată în cursul unei perioade de măsurare a performanței cu nivelurile remunerației</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Publicările de informații includ:</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o prezentare generală a principalelor criterii și indicatori de performanță care se aplică instituției, linilor de activitate și persoanelor;</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o prezentare generală a modului în care cuantumurile remunerației variabile individuale sunt corelate cu performanța la nivelul instituției și cu performanța individuală;</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informații privind criteriile utilizate pentru determinarea echilibrului dintre diferitele tipuri de instrumente acordate, inclusiv acțiuni, participații echivalente, opțiuni și alte instrumente;</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 xml:space="preserve">informații privind măsurile pe care instituția le va pune în aplicare pentru ajustarea remunerației variabile în cazul în care indicatorii de performanță sunt slabi, inclusiv criteriile instituției pentru determinarea indicatorilor de performanță atunci când indicatorii de performanță sunt considerați „slabi”. În conformitate cu articolul 94 alineatul (1) litera (n) din CRD, pentru a fi plătită sau dobândită, remunerația variabilă trebuie să se justifice pe baza performanței instituției, a unității de afaceri în care se desfășoară activitatea și a </w:t>
            </w:r>
            <w:r>
              <w:rPr>
                <w:rFonts w:ascii="Times New Roman" w:hAnsi="Times New Roman"/>
                <w:sz w:val="24"/>
              </w:rPr>
              <w:lastRenderedPageBreak/>
              <w:t>persoanei în cauză. Instituțiile trebuie să explice criteriile/pragurile utilizate pentru a stabili că performanța este slabă și că acest lucru nu justifică plătirea sau dobândirea remunerației variabile.</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Descrierea modului în care instituția încearcă să ajusteze remunerația pentru a ține seama de performanța pe termen lung</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Publicările de informații includ:</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o prezentare generală a politicii instituției privind reportarea, plata sub formă de instrumente, perioadele de reținere și intrarea în drepturi în ceea ce privește remunerația variabilă, inclusiv atunci când aceasta diferă de la un membru al personalului la altul sau de la o categorie de personal la alta;</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informații privind criteriile instituției pentru ajustările </w:t>
            </w:r>
            <w:r>
              <w:rPr>
                <w:rFonts w:ascii="Times New Roman" w:hAnsi="Times New Roman"/>
                <w:i/>
                <w:sz w:val="24"/>
              </w:rPr>
              <w:t>ex post</w:t>
            </w:r>
            <w:r>
              <w:rPr>
                <w:rFonts w:ascii="Times New Roman" w:hAnsi="Times New Roman"/>
                <w:sz w:val="24"/>
              </w:rPr>
              <w:t xml:space="preserve"> (acorduri de tip „malus” în cursul reportării și acorduri de tip „clawback” după intrarea în drepturi, dacă legislația națională permite astfel de acorduri);</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după caz, cerințele de participare la capital care pot fi impuse personalului identificat.</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Descrierea principalilor parametri și a motivelor care au stat la baza alcătuirii oricărei scheme cu componente variabile și a acordării oricăror alte beneficii de tip non-cash, astfel cum sunt menționate la articolul 450 alineatul (1) litera (f) din CRR. Publicările de informații includ:</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informații privind indicatorii de risc/performanță specifici utilizați pentru determinarea componentelor variabile ale remunerației și criteriile utilizate pentru a determina echilibrul dintre diferitele tipuri de instrumente acordate, inclusiv acțiuni, participații echivalente, instrumente legate de acțiuni, instrumente echivalente care nu sunt în numerar, opțiuni și alte instrumente.</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La cererea statului membru relevant sau a autorității competente relevante, remunerația totală pentru fiecare membru al organului de conducere sau al conducerii superioare, astfel cum se menționează la articolul 450 alineatul (1) litera (j) din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Informații din care să reiasă dacă instituția beneficiază de o derogare prevăzută la articolul 94 alineatul (3) din CRD, astfel cum se menționează la articolul 450 alineatul (1) litera (k) din CRR</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În sensul acestui punct, instituțiile care beneficiază de o astfel de derogare indică dacă derogarea se bazează pe articolul 94 alineatul (3) litera (a) și/sau litera (b) din CRD. Instituțiile indică, de asemenea, cerințele de remunerare pentru care aplică derogarea (derogările) [și anume articolul 94 alineatul (1) litera (l) și/sau litera (m) și/sau litera (o) din CRD], numărul membrilor personalului care beneficiază de derogare (derogări) și remunerația lor totală, defalcată pe remunerație fixă și remunerație variabilă.</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Instituțiile mari publică informațiile cantitative privind remunerarea organului lor de conducere colectivă, făcând distincție între membrii executivi și cei neexecutivi, astfel cum se menționează la articolul 450 alineatul (2) din CRR.</w:t>
            </w:r>
          </w:p>
        </w:tc>
      </w:tr>
    </w:tbl>
    <w:p w14:paraId="253E4D29" w14:textId="77777777" w:rsidR="00965CEB" w:rsidRPr="002347D8"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2347D8"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2347D8"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2347D8"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Modelul EU REM1 – Remunerația acordată pentru exercițiul financiar: </w:t>
      </w:r>
      <w:r>
        <w:rPr>
          <w:rFonts w:ascii="Times New Roman" w:hAnsi="Times New Roman"/>
          <w:color w:val="auto"/>
          <w:sz w:val="24"/>
        </w:rPr>
        <w:t>Format fix</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Instituțiile aplică instrucțiunile prezentate mai jos în prezenta anexă pentru a completa modelul EU REM1 care figurează în anexa XXXIII la prezentul regulament de punere în aplicare, aplicând articolul 450 alineatul (1) litera (h) punctele (i)-(ii) din CRR.</w:t>
      </w:r>
    </w:p>
    <w:p w14:paraId="667CF96F" w14:textId="77777777" w:rsidR="00965CEB" w:rsidRPr="002347D8"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și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Numărul de membri ai personalului identificat</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Numărul membrilor personalului ale căror activități profesionale au un impact semnificativ asupra profilului de risc al instituțiilor, în conformitate cu articolul 92 din CRD și cu Regulamentul delegat al Comisiei privind personalul identificat</w:t>
            </w:r>
            <w:r>
              <w:rPr>
                <w:rStyle w:val="FootnoteReference"/>
                <w:rFonts w:ascii="Times New Roman" w:hAnsi="Times New Roman" w:cs="Times New Roman"/>
                <w:sz w:val="24"/>
              </w:rPr>
              <w:footnoteReference w:id="3"/>
            </w:r>
            <w:r>
              <w:rPr>
                <w:rFonts w:ascii="Times New Roman" w:hAnsi="Times New Roman"/>
                <w:sz w:val="24"/>
              </w:rPr>
              <w:t xml:space="preserve"> de punere în aplicare a articolului 94 alineatul (2) din CRD (personalul identificat), și care sunt beneficiari ai componentelor de remunerație enumerate în prezentul model. Acest număr se calculează utilizând abordarea ENI (echivalent normă întreagă) pentru alți membri ai personalului identificat decât membrii organului de conducere, în cazul cărora numărul care trebuie publicat este numărul de angajați.</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Total remunerație fixă</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Suma cuantumurilor de pe rândurile 3-7 din prezentul model</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pe bază de numerar</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Cuantumul remunerației pe bază de numerar în cadrul remunerației fixe</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acțiuni sau participații echivalente</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cuantumurilor aferente acțiunilor sau participațiilor echivalente, în funcție de forma juridică a instituției în cauză, astfel cum sunt menționate la articolul 94 alineatul (1) litera (l) punctul (i) din CRD, în cadrul remunerației fixe.</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Din care: instrumente legate de acțiuni sau instrumente echivalente, altele decât cele în numerar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 xml:space="preserve">Suma cuantumurilor aferente instrumentelor legate de acțiuni sau instrumentelor echivalente, altele decât cele în numerar, astfel cum sunt </w:t>
            </w:r>
            <w:r>
              <w:rPr>
                <w:rFonts w:ascii="Times New Roman" w:hAnsi="Times New Roman"/>
                <w:sz w:val="24"/>
              </w:rPr>
              <w:lastRenderedPageBreak/>
              <w:t>menționate la articolul 94 alineatul (1) litera (l) punctul (i) din CRD, în cadrul remunerației fixe</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alte instrumente</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Cuantumul aferent altor instrumente, astfel cum sunt menționate la articolul 94 alineatul (1) litera (l) punctul (ii) din CRD, în cadrul remunerației fixe</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alte forme</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Cuantumurile remunerației fixe acordate pentru exercițiul financiar, altele decât cele publicate pe celelalte rânduri de la rubrica „Total remunerație fixă”</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Printre acestea s-ar putea număra contribuțiile la pensie standard proporționale sau beneficiile (atunci când acestea nu au în vedere criterii de performanță), menționate în considerentul 64 din CRD, sau alte forme de remunerare, cum ar fi indemnizațiile pentru autoturisme.</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Total remunerație variabilă</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cuantumurilor de pe rândurile 11, EU-13a, EU-13b, EU-14x și 15 din prezentul model</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tuturor componentelor remunerației care nu fac parte din remunerația fixă publicată pe rândul 2 din prezentul model, inclusiv remunerațiile variabile garantate și plățile compensatorii acordate în cursul anului respectiv.</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pe bază de numerar</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Cuantumul remunerației pe bază de numerar în cadrul remunerației variabile</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și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amânată</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Cuantumurile remunerației variabile pe diferitele tipuri de componente care sunt amânate, determinate în conformitate cu articolul 94 din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acțiuni sau participații echivalente</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cuantumurilor aferente acțiunilor sau participațiilor echivalente, în funcție de forma juridică a instituției în cauză, astfel cum sunt menționate la articolul 94 alineatul (1) litera (l) punctul (i) din CRD, în cadrul remunerației variabile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Din care: instrumente legate de acțiuni sau instrumente echivalente, altele decât cele în numerar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Suma cuantumurilor aferente instrumentelor legate de acțiuni sau instrumentelor echivalente, altele decât cele în numerar, astfel cum sunt menționate la articolul 94 alineatul (1) litera (l) punctul (i) din CRD, în cadrul remunerației variabile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alte instrumente</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Cuantumul aferent altor instrumente, astfel cum sunt menționate la articolul 94 alineatul (1) litera (l) punctul (i) din CRD, în cadrul remunerației variabile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Din care: alte forme</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Cuantumurile remunerației variabile acordate pentru exercițiul financiar, altele decât cele publicate pe celelalte rânduri de la rubrica „Total remunerație variabilă”</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Total remunerație</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Suma cuantumurilor de pe rândurile 2 și 10 din prezentul model</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Explicație</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Organul de conducere – funcția de supraveghere</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Organul de conducere în funcția sa de supraveghere, adică organul de conducere care își îndeplinește rolul de supraveghere și monitorizare a procesului decizional de conducere, astfel cum este definit la articolul 3 alineatul (1) punctul 8 din CRD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Instituțiile publică informații pe baza numărului de angajați.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În conformitate cu articolul 13 din CRR, instituțiile-mamă din UE publică aceste informații pe baza situației lor consolidate, iar filialele mari ale instituțiilor-mamă din UE publică aceste informații pe bază individuală sau, dacă este cazul, în conformitate cu prezentul regulament și cu CRD, pe bază subconsolidată. Entitatea care publică informațiile va reflecta în această coloană informații privind organul său de conducere. În cazul în care, în conformitate cu articolele 6 și 13 din CRR, publicarea informațiilor se face la nivel consolidat sau subconsolidat, informațiile privind personalul identificat al organelor de conducere ale filialelor se prezintă în cadrul domeniului de activitate relevant</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Organul de conducere – funcția de conducere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Membrii organului de conducere care sunt responsabili cu funcțiile de conducere ale acestuia</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Instituțiile publică informații pe baza numărului de angajați.</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Instituțiile publică informații pe baza numărului de angajați. În conformitate cu articolul 13 din CRR, instituțiile-mamă din UE publică aceste informații pe baza situației lor consolidate, iar filialele mari ale instituțiilor-mamă din UE publică aceste informații pe bază individuală sau, dacă este cazul, în conformitate cu prezentul regulament și cu CRD, pe bază subconsolidată. Entitatea care publică informațiile va reflecta în această coloană informații privind organul său de conducere. În cazul în care, în conformitate cu articolele 6 și 13 din CRR, publicarea informațiilor se face la nivel consolidat sau subconsolidat, informațiile privind personalul identificat al organelor de conducere ale filialelor se prezintă în cadrul domeniului de activitate relevant</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Alți membri ai conducerii superioare</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Conducerea superioară, astfel cum este definită la articolul 3 alineatul (1) punctul 9 din CRD</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Instituțiile publică numărul membrilor conducerii superioare care nu sunt incluși pe rândurile „Organul de conducere în funcția sa de conducere” și „Alți membri ai personalului identificat”. Instituțiile publică informații pe baza ENI.</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Alți membri ai personalului identificat</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Alți membri ai personalului decât membrii organului de conducere în funcția sa de supraveghere sau în funcția sa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94 alineatul (2) din CRD și, în plus față de acestea criterii, pe baza criteriilor instituțiilor, dacă este cazul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Instituțiile pot include în acest model defalcarea pe domenii de activitate propusă în modelul EU REM5. Instituțiile publică informații pe baza ENI.</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Modelul EU REM2 – Plăți speciale pentru membrii personalului ale căror activități profesionale au un impact semnificativ asupra profilului de risc al instituțiilor (personalul identificat): </w:t>
      </w:r>
      <w:r>
        <w:rPr>
          <w:rFonts w:ascii="Times New Roman" w:hAnsi="Times New Roman"/>
          <w:color w:val="auto"/>
          <w:sz w:val="24"/>
        </w:rPr>
        <w:t>Format fix</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Instituțiile publică informațiile menționate la articolul 450 alineatul (1) litera (h) punctele (v)-(vii) din CRR urmând instrucțiunile furnizate mai jos în prezenta anexă pentru completarea modelului EU REM2 care figurează în anexa XXXIII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și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Numărul de membri ai personalului identificat</w:t>
            </w:r>
          </w:p>
          <w:p w14:paraId="50587A12" w14:textId="564EEB84"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Numărul de membri ai personalului identificat ale căror activități profesionale au un impact semnificativ asupra profilului de risc al instituțiilor, în conformitate cu articolul 92 din CRD și cu Regulamentul delegat al Comisiei privind personalul identificat, de punere în aplicare a articolului 94 alineatul</w:t>
            </w:r>
            <w:r w:rsidR="002347D8">
              <w:rPr>
                <w:rFonts w:ascii="Times New Roman" w:hAnsi="Times New Roman"/>
                <w:sz w:val="24"/>
              </w:rPr>
              <w:t> </w:t>
            </w:r>
            <w:r>
              <w:rPr>
                <w:rFonts w:ascii="Times New Roman" w:hAnsi="Times New Roman"/>
                <w:sz w:val="24"/>
              </w:rPr>
              <w:t>(2) din CRD, pentru fiecare componentă de remunerație specifică</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Pentru coloanele a și b (organul de conducere) din prezentul model, valoarea se bazează pe numărul de angajați. Pentru coloanele c și d din prezentul model, valoarea se calculează utilizând metoda ENI (echivalent normă întreagă).</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Rândul 4 din prezentul model se referă la plățile compensatorii acordate în perioadele anterioare și plătite în cursul exercițiului financiar (anul curent), în timp ce rândul 6 din prezentul model se referă la plățile acordate în cursul exercițiului financiar (anul curent).</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Remunerația variabilă garantată acordată – Cuantumul total</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Cuantumul remunerației variabile garantate acordate, astfel cum este menționată la articolul 94 alineatul (1) litera (e) din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Din care remunerație variabilă garantată acordată, plătită în cursul exercițiului financiar, care nu este luată în considerare în plafonul primelor</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Cuantumurile remunerației variabile garantate acordate, astfel cum este menționată la articolul 94 alineatul (1) litera (e) din CRD, care au fost plătite </w:t>
            </w:r>
            <w:r>
              <w:rPr>
                <w:rFonts w:ascii="Times New Roman" w:hAnsi="Times New Roman"/>
                <w:sz w:val="24"/>
              </w:rPr>
              <w:lastRenderedPageBreak/>
              <w:t>în cursul exercițiului financiar (anul în curs) și care nu sunt luate în considerare în plafonul primelor</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În ceea ce privește informațiile publicate menționate la articolul 450 alineatul (1) literele (g) și (h) punctele (v)-(vi) din CRR, instituțiile precizează în mod clar dacă informațiile cantitative agregate privind remunerația, defalcate pe domenii de activitate, reflectă plafonul primelor atunci când sunt implicate noi prime la angajare și plăți compensatorii.</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Plăți compensatorii acordate în perioadele anterioare, care au fost plătite în cursul exercițiului financiar – Cuantumul total</w:t>
            </w:r>
          </w:p>
          <w:p w14:paraId="6BDFFBCB" w14:textId="2A3E62F6"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Cuantumul plăților compensatorii menționate la articolul 94 alineatul (1) litera</w:t>
            </w:r>
            <w:r w:rsidR="002347D8">
              <w:rPr>
                <w:rFonts w:ascii="Times New Roman" w:hAnsi="Times New Roman"/>
                <w:sz w:val="24"/>
              </w:rPr>
              <w:t> </w:t>
            </w:r>
            <w:r>
              <w:rPr>
                <w:rFonts w:ascii="Times New Roman" w:hAnsi="Times New Roman"/>
                <w:sz w:val="24"/>
              </w:rPr>
              <w:t>(h) din CRD, care au fost acordate în perioadele anterioare și plătite în cursul exercițiului financiar (anul curent)</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Plăți compensatorii acordate în cursul exercițiului financiar – Cuantumul total</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Cuantumul plăților compensatorii menționate la articolul 94 alineatul (1) litera (h) din CRD, care au fost acordate în cursul exercițiului financiar (anul curent)</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Din care plăți compensatorii acordate în cursul exercițiului financiar – plătite în cursul exercițiului financiar</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Cuantumul plăților compensatorii menționate la articolul 94 alineatul (1) litera (h) din CRD, care au fost acordate în cursul exercițiului financiar și plătite în cursul exercițiului financiar</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Din care plăți compensatorii acordate în cursul exercițiului financiar – Amânate</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Cuantumul plăților compensatorii menționate la articolul 94 alineatul (1) litera (h) din CRD, care au fost acordate în cursul exercițiului financiar și sunt amânate, astfel cum sunt determinate în conformitate cu articolul 94 din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Din care plăți compensatorii plătite în cursul exercițiului financiar, care nu sunt luate în considerare în plafonul primelor</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Cuantumurile plăților compensatorii, astfel cum sunt menționate la articolul 94 alineatul (1) litera (h) din CRD, care au fost plătite în cursul exercițiului financiar și care nu sunt luate în considerare în plafonul primelor</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În ceea ce privește informațiile publicate menționate la articolul 450 alineatul (1) literele (g) și (h) punctele (v)-(vi) din CRR, instituțiile precizează în mod clar dacă informațiile cantitative agregate privind remunerația, defalcate pe domenii de activitate, reflectă plafonul primelor atunci când sunt implicate noi prime la angajare și plăți compensatorii.</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Din care plăți compensatorii acordate în cursul exercițiului financiar – Cea mai mare plată care i-a fost acordată unei singure persoane</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Cuantumul celei mai mari plăți compensatorii, astfel cum este menționată la articolul 94 alineatul (1) litera (h) din CRD, care i-a fost acordată unei singure persoane în cursul exercițiului financiar.</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lastRenderedPageBreak/>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Explicație</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Organul de conducere – funcția de supraveghere</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Organul de conducere în funcția sa de supraveghere, adică organul de conducere care își îndeplinește rolul de supraveghere și monitorizare a procesului decizional de conducere, astfel cum este definit la articolul 3 alineatul (1) punctul 8 din CRD (număr de angajați)</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Organul de conducere – funcția de conducere</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Membrii organului de conducere care sunt responsabili cu funcțiile de conducere ale acestuia (număr de angajați)</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Alți membri ai conducerii superioare</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Conducerea superioară, astfel cum este definită la articolul 3 alineatul (1) punctul 9 din CRD</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Instituțiile publică numărul membrilor conducerii superioare care nu sunt incluși pe rândurile „Organul de conducere în funcția sa de conducere” și „Alți membri ai personalului identificat” (ENI).</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Alți membri ai personalului identificat</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Alți membri ai personalului decât membrii organului de conducere în funcția sa de supraveghere sau în funcția sa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94 alineatul (2) din CRD și, în plus față de acestea criterii, pe baza criteriilor instituțiilor, dacă este cazul</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Instituțiile pot include în acest model defalcarea pe domenii de activitate propusă în modelul EU REM5 (ENI).</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Modelul EU REM3 – Remunerație amânată: </w:t>
      </w:r>
      <w:r>
        <w:rPr>
          <w:rFonts w:ascii="Times New Roman" w:hAnsi="Times New Roman"/>
          <w:color w:val="auto"/>
          <w:sz w:val="24"/>
        </w:rPr>
        <w:t>Format fix</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Instituțiile publică informațiile menționate la articolul 450 alineatul (1) litera (h) punctele (iii)-(iv) din CRR urmând instrucțiunile furnizate mai jos în prezenta anexă pentru completarea modelului EU REM3 care figurează în anexa XXXIII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Organul de conducere – funcția de supraveghere</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Organul de conducere în funcția sa de supraveghere, adică organul de conducere care își îndeplinește rolul de supraveghere și monitorizare a procesului decizional de conducere, astfel cum este definit la articolul 3 alineatul (1) punctul 8 din CRD</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Suma cuantumurilor de pe rândurile 2, 3, 4, 5 și 6 din prezentul model</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lastRenderedPageBreak/>
              <w:t>2, 8, 14 și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Pe bază de numerar</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Cuantumul remunerației pe bază de numerar în cadrul remunerației variabile</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și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Acțiuni sau participații echivalente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Suma cuantumurilor aferente acțiunilor sau participațiilor echivalente, în funcție de forma juridică a instituției în cauză, astfel cum sunt menționate la articolul 94 alineatul (1) litera (l) punctul (i) din CRD, în cadrul remunerației variabile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și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Instrumente legate de acțiuni sau instrumente echivalente, altele decât cele în numerar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Suma cuantumurilor aferente instrumentelor legate de acțiuni sau instrumentelor echivalente, altele decât cele în numerar, astfel cum sunt menționate la articolul 94 alineatul (1) litera (l) punctul (i) din CRD, în cadrul remunerației variabile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și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Alte instrumente</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Cuantumul aferent altor instrumente, astfel cum sunt menționate la articolul 94 alineatul (1) litera (l) punctul (i) din CRD, în cadrul remunerației variabile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și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Alte forme</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Cuantumurile remunerației variabile, altele decât cele publicate pe rândurile „Pe bază de numerar”, „Acțiuni sau participații echivalente, în funcție de forma juridică a instituției în cauză”, „Instrumente legate de acțiuni sau instrumente echivalente, altele decât cele în numerar” și „Alte instrumente”</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Printre acestea s-ar putea număra contribuțiile la pensie standard proporționale sau beneficiile (atunci când acestea nu au în vedere criterii de performanță), menționate în considerentul 64 din CRD, sau alte forme de remunerare, cum ar fi indemnizațiile pentru autoturisme.</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Organul de conducere – funcția de conducere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Membrii organului de conducere care sunt responsabili cu funcțiile de conducere ale acestuia; suma cuantumurilor de pe rândurile 8, 9, 10, 11 și 12 din prezentul model.</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Alți membri ai conducerii superioare</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Conducerea superioară, astfel cum este definită la articolul 3 alineatul (1) punctul 9 din CRD; suma cuantumurilor de pe rândurile 14, 15, 16, 17 și 18 din prezentul model</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Instituțiile publică numărul membrilor conducerii superioare care nu sunt incluși pe rândurile „Organul de conducere în funcția sa de conducere” și „Alți membri ai personalului identificat”.</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Alți membri ai personalului identificat</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Alți membri ai personalului decât membrii organului de conducere în funcția sa de supraveghere sau în funcția sa de conducere și decât membrii conducerii superioare, ale căror activități profesionale au un impact semnificativ asupra </w:t>
            </w:r>
            <w:r>
              <w:rPr>
                <w:rFonts w:ascii="Times New Roman" w:hAnsi="Times New Roman"/>
                <w:sz w:val="24"/>
              </w:rPr>
              <w:lastRenderedPageBreak/>
              <w:t>profilului de risc al instituției în conformitate cu criteriile stabilite în Regulamentul delegat al Comisiei privind personalul identificat, de punere în aplicare a articolului 94 alineatul (2) din CRD și, în plus față de acestea criterii, pe baza criteriilor instituțiilor, dacă este cazul; suma cuantumurilor de pe rândurile 20, 21, 22, 23 și 24 din prezentul model</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lastRenderedPageBreak/>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Cuantumul total</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Suma cuantumurilor de pe rândurile 1, 7, 13 și 19 din prezentul model</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Explicație</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Cuantumul total al remunerației amânate acordate pentru perioadele de performanță anterioare</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Cuantumul remunerației amânate, determinate în conformitate cu articolul 94 din CRD, care a fost acordată pentru perioadele de performanță anterioare (suma cuantumurilor din coloanele b și c din prezentul model)</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Din care cuantumul care urmează să fie dobândit în exercițiul financiar</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Cuantumul remunerației amânate acordate pentru perioadele de performanță anterioare, determinată în conformitate cu articolul 94 din CRD, care urmează să fie dobândită în cursul exercițiului financiar</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Din care cuantumul care urmează să fie dobândit în exercițiile financiare ulterioare</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Cuantumul remunerației amânate acordate pentru perioadele de performanță anterioare, determinată în conformitate cu articolul 94 din CRD, care urmează să fie dobândită în exercițiile financiare ulterioare</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Cuantumul ajustării de performanță efectuate în cursul exercițiului financiar asupra remunerației amânate care urma să fie dobândită în exercițiul financiar</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Cuantumul ajustării de performanță aplicate remunerației amânate, determinată în conformitate cu articolul 94 din CRD, care urma să fie dobândită în cursul exercițiului financiar</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Cuantumul ajustării de performanță efectuate în cursul exercițiului financiar asupra remunerației amânate care urma să fie dobândită în exercițiile financiare viitoare</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Cuantumul ajustării de performanță aplicate remunerației amânate, determinată în conformitate cu articolul 94 din CRD, care urma să fie dobândită în exercițiile financiare ulterioare</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 xml:space="preserve">Cuantumul total al ajustării în cursul exercițiului financiar ca urmare a ajustărilor implicite </w:t>
            </w:r>
            <w:r>
              <w:rPr>
                <w:rFonts w:ascii="Times New Roman" w:hAnsi="Times New Roman"/>
                <w:b/>
                <w:i/>
                <w:sz w:val="24"/>
              </w:rPr>
              <w:t>ex post</w:t>
            </w:r>
            <w:r>
              <w:rPr>
                <w:rFonts w:ascii="Times New Roman" w:hAnsi="Times New Roman"/>
                <w:b/>
                <w:sz w:val="24"/>
              </w:rPr>
              <w:t xml:space="preserve"> din cursul exercițiului financiar (adică a modificărilor valorii remunerației amânate generate de modificările prețurilor instrumentelor)</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Atunci când este relevant, cuantumul modificării valorii în cursul exercițiului financiar ca urmare a ajustărilor implicite ex post, cum ar fi modificările </w:t>
            </w:r>
            <w:r>
              <w:rPr>
                <w:rFonts w:ascii="Times New Roman" w:hAnsi="Times New Roman"/>
                <w:sz w:val="24"/>
              </w:rPr>
              <w:lastRenderedPageBreak/>
              <w:t xml:space="preserve">valorii remunerației amânate ca urmare a modificărilor prețurilor instrumentelor, estimată cu maximă diligență.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lastRenderedPageBreak/>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Cuantumul total al remunerației amânate acordate înainte de exercițiul financiar și plătite efectiv în cursul exercițiului financiar</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Cuantumul remunerației amânate, determinată în conformitate cu articolul 94 din CRD, care a fost plătită în cursul exercițiului financiar</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Remunerația amânată este considerată plătită de îndată ce este dobândită.</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Cuantumul total al remunerației amânate acordate pentru perioada de performanță anterioară care a fost dobândită, dar este supusă unor perioade de reținere</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Cuantumul remunerației amânate acordate pentru perioadele de performanță anterioare, care a fost dobândită, dar este supusă unor perioade de reținere, determinate în conformitate cu articolul 94 din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Modelul EU REM4 – Remunerație mai mare sau egală cu 1 milion EUR pe an: </w:t>
      </w:r>
      <w:r>
        <w:rPr>
          <w:rFonts w:ascii="Times New Roman" w:hAnsi="Times New Roman"/>
          <w:color w:val="auto"/>
          <w:sz w:val="24"/>
        </w:rPr>
        <w:t>Format fix</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Instituțiile publică informațiile menționate la articolul 450 alineatul (1) litera (i) din CRR urmând instrucțiunile furnizate mai jos în prezenta anexă pentru completarea modelului EU REM4 care figurează în anexa XXXIII la prezentul regulament de punere în aplicare.</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Datele se transmit utilizând cifrele în EUR de la sfârșitul exercițiului contabil. Toate cuantumurile se prezintă ca valori integrale, adică nerotunjite, în euro (de exemplu, 1 234 567 EUR în loc de 1,2 milioane EUR). În cazul în care remunerația este în altă monedă decât EUR, pentru conversia cifrelor consolidate care trebuie prezentate se utilizează cursul de schimb utilizat de Comisie pentru programarea financiară și pentru bugetul pe luna decembrie a anului de raportare.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Remunerație cuprinsă între 1 și 5 milioane EUR pe exercițiu financiar, defalcată pe intervale de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Remunerație de peste 5 milioane EUR pe exercițiu financiar, defalcată pe intervale de 1 milion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Explicație</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Numărul de membri ai personalului identificat care au primit renumerații mai mari sau egale cu 1 milion EUR pe exercițiu financiar</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Instituțiile publică informații pe baza numărului de angajați.</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Modelul EU REM5 – Informații privind membrii personalului ale căror activități profesionale au un impact semnificativ asupra profilului de risc al instituțiilor (personalul identificat): </w:t>
      </w:r>
      <w:r>
        <w:rPr>
          <w:rFonts w:ascii="Times New Roman" w:hAnsi="Times New Roman"/>
          <w:color w:val="auto"/>
          <w:sz w:val="24"/>
        </w:rPr>
        <w:t>Format fix</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Instituțiile publică informațiile menționate la articolul 450 alineatul (1) litera (g) din CRR urmând instrucțiunile furnizate mai jos în prezenta anexă pentru completarea modelului EU REM5 care figurează în anexa XXXIII la prezentul regulament de punere în aplicare.</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În ceea ce privește coloanele care conțin defalcarea pe domenii de activitate, toate creditele acordate, inclusiv creditele wholesale, trebuie incluse în creditele retail. În ceea ce privește serviciile bancare de investiții, acestea includ finanțele corporatiste, precum și tranzacționarea și vânzările. Orientări suplimentare privind activitățile incluse în liniile de activitate respective pot fi găsite la articolul 317 din CRR în tabelul care definește liniile de activitate în cadrul abordării standardizate pentru riscul operațional.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Referințe juridice și instrucțiuni</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Numărul total al membrilor personalului identificat</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Membrii personalului ale căror activități profesionale au un impact semnificativ asupra profilului de risc al instituției (personalul identificat) din cadrul instituției și al filialelor acesteia, inclusiv al filialelor care nu fac obiectul CRD, precum și toți membrii organelor de conducere respective</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Se prezintă valoarea pe baza ENI.</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Din care: membrii organului de conducere</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Numărul de membri ai organului de conducere respectiv în funcția sa de supraveghere și în funcția sa de conducere, precum și ai întregului organ de conducere</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Din care: alți membri ai conducerii superioare</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Alți membri ai personalului decât membrii organului de conducere, care sunt membri ai conducerii superioare, astfel cum sunt definiți la articolul 3 alineatul (1) punctul 9 din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Din care: alți membri ai personalului identificat</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Alți membri ai personalului decât membrii organului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94 alineatul (2) din CRD și, în plus față de acestea criterii, pe baza criteriilor instituțiilor, dacă este cazul</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Remunerația totală a membrilor personalului identificat</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Cuantumul total al remunerației se referă la toate formele de remunerație fixă și variabilă și include plățile și beneficiile, monetare sau nemonetare, acordate direct personalului de către instituții sau în numele acestora, în schimbul serviciilor profesionale prestate de personal, plățile aferente comisioanelor de performanță în sensul articolului 4 alineatul (1) litera (d) din Directiva </w:t>
            </w:r>
            <w:r>
              <w:rPr>
                <w:rFonts w:ascii="Times New Roman" w:hAnsi="Times New Roman"/>
                <w:sz w:val="24"/>
              </w:rPr>
              <w:lastRenderedPageBreak/>
              <w:t>2011/61/UE</w:t>
            </w:r>
            <w:r>
              <w:rPr>
                <w:rStyle w:val="FootnoteReference"/>
                <w:rFonts w:cs="Times New Roman"/>
              </w:rPr>
              <w:footnoteReference w:id="4"/>
            </w:r>
            <w:r>
              <w:rPr>
                <w:rFonts w:ascii="Times New Roman" w:hAnsi="Times New Roman"/>
                <w:sz w:val="24"/>
              </w:rPr>
              <w:t xml:space="preserve"> și alte plăți efectuate prin metode și vehicule care, dacă nu ar fi considerate remunerație, ar duce la o eludare a cerințelor în materie de remunerare prevăzute de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Din care: remunerație variabilă</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tuturor componentelor de remunerație care nu sunt remunerație fixă, menționate pe rândul 7 din prezentul model</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Din care: remunerație fixă</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Instituțiile consideră că remunerația este fixă în cazul în care condițiile pentru acordarea acesteia și cuantumul acesteia: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se bazează pe criterii prestabilite;</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sunt nediscreționare, reflectând nivelul de experiență profesională și vechimea personalului;</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sunt transparente în ceea ce privește cuantumul individual acordat fiecărui membru al personalului;</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sunt permanente, adică sunt menținute pe o perioadă legată de rolul și de responsabilitățile organizaționale specifice;</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sunt nerevocabile; cuantumul permanent se modifică numai prin negocieri colective sau în urma renegocierii, în concordanță cu criteriile naționale privind stabilirea salariilor;</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nu pot fi reduse, suspendate sau anulate de instituție;</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nu oferă stimulente pentru asumarea de riscuri și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nu depind de performanță.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Explicație</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și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Organul de conducere</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Organul de conducere al instituției, defalcat pe funcția de supraveghere și funcția de conducere</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Instituțiile publică informații pe baza numărului de angajați.</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Domenii de activitate</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Principalele domenii de activitate ale instituției, cum ar fi serviciile bancare de investiții, serviciile bancare de retail, gestionarea activelor, funcțiile corporatiste, funcțiile de control intern independent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Se prezintă informații pe baza ENI.</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Toate celelalte</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Toate celelalte domenii de activitate care nu au fost incluse separat în coloanele anterioare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Se prezintă informații pe baza ENI.</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w:t>
        </w:r>
        <w:r>
          <w:t>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Pr>
            <w:rStyle w:val="Hyperlink"/>
            <w:color w:val="800080"/>
          </w:rPr>
          <w:t>JO L 176, 27</w:t>
        </w:r>
        <w:r>
          <w:rPr>
            <w:rStyle w:val="Hyperlink"/>
            <w:color w:val="800080"/>
          </w:rPr>
          <w:t>.</w:t>
        </w:r>
        <w:r>
          <w:rPr>
            <w:rStyle w:val="Hyperlink"/>
            <w:color w:val="800080"/>
          </w:rPr>
          <w:t>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2006/49/CE (JO L 176, 27.6.2013, p.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r>
      <w:r>
        <w:t>REGULAMENTUL DELEGAT (UE) NR. 604/2014 al Comisiei din 4 martie 2014 de completare a Directivei 2013/36/UE a Parlamentului European și a Consiliului în ceea ce privește standardele tehnice de reglementare referitoare la criteriile calitative și cantitative corespunzătoare pentru identificarea categoriilor de personal ale căror activități profesionale au un impact semnificativ asupra profilului de risc al unei instituții (JO L 167, 6.6.2014, p. 30).</w:t>
      </w:r>
    </w:p>
  </w:footnote>
  <w:footnote w:id="4">
    <w:p w14:paraId="2890C799" w14:textId="36673363" w:rsidR="00965CEB" w:rsidRDefault="00965CEB" w:rsidP="00965CEB">
      <w:pPr>
        <w:pStyle w:val="FootnoteText"/>
      </w:pPr>
      <w:r>
        <w:rPr>
          <w:rStyle w:val="FootnoteReference"/>
        </w:rPr>
        <w:footnoteRef/>
      </w:r>
      <w:r>
        <w:t xml:space="preserve"> </w:t>
      </w:r>
      <w:r w:rsidR="002347D8">
        <w:tab/>
      </w:r>
      <w:r>
        <w:t>Directiva 2011/61/UE a Parlamentului European și a Consiliului din 8 iunie 2011 privind administratorii fondurilor de investiții alternative și de modificare a Directivelor 2003/41/CE și 2009/65/CE și a Regulamentelor (CE) nr. 1060/2009 și (UE) nr. 1095/2010 (JO L 174,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2347D8"/>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 w:type="character" w:styleId="FollowedHyperlink">
    <w:name w:val="FollowedHyperlink"/>
    <w:basedOn w:val="DefaultParagraphFont"/>
    <w:uiPriority w:val="99"/>
    <w:semiHidden/>
    <w:unhideWhenUsed/>
    <w:rsid w:val="002347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34048E-73D8-45E2-87CD-72899EC58770}"/>
</file>

<file path=customXml/itemProps2.xml><?xml version="1.0" encoding="utf-8"?>
<ds:datastoreItem xmlns:ds="http://schemas.openxmlformats.org/officeDocument/2006/customXml" ds:itemID="{97365DE9-14B5-42E4-B712-384CA6BA2E69}"/>
</file>

<file path=customXml/itemProps3.xml><?xml version="1.0" encoding="utf-8"?>
<ds:datastoreItem xmlns:ds="http://schemas.openxmlformats.org/officeDocument/2006/customXml" ds:itemID="{B8F317A4-9112-40DE-8843-3125A651669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13</TotalTime>
  <Pages>15</Pages>
  <Words>4837</Words>
  <Characters>29222</Characters>
  <Application>Microsoft Office Word</Application>
  <DocSecurity>0</DocSecurity>
  <Lines>664</Lines>
  <Paragraphs>351</Paragraphs>
  <ScaleCrop>false</ScaleCrop>
  <Company>European Banking Authority</Company>
  <LinksUpToDate>false</LinksUpToDate>
  <CharactersWithSpaces>33708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NEAGU Simona Gabriela (DGT)</cp:lastModifiedBy>
  <cp:revision>6</cp:revision>
  <dcterms:created xsi:type="dcterms:W3CDTF">2021-03-11T13:58:00Z</dcterms:created>
  <dcterms:modified xsi:type="dcterms:W3CDTF">2024-10-18T07:19:00Z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