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7FFA8" w14:textId="77777777" w:rsidR="00F5723F" w:rsidRDefault="00F5723F" w:rsidP="00F5723F">
      <w:pPr>
        <w:pStyle w:val="Annexetitre"/>
        <w:spacing w:before="0"/>
      </w:pPr>
      <w:r>
        <w:t xml:space="preserve">BILAG XVI – Instrukser om offentliggørelse af risikostyringsmålsætninger og -politikker, eksponeringer mod kreditrisiko, udvandingsrisiko og kreditkvalitet</w:t>
      </w:r>
    </w:p>
    <w:p w14:paraId="78D7AEF6" w14:textId="77777777" w:rsidR="00F5723F" w:rsidRPr="00F5723F" w:rsidRDefault="00F5723F" w:rsidP="00F5723F"/>
    <w:p w14:paraId="056018E5" w14:textId="11B9F0FE" w:rsidR="00F5723F" w:rsidRPr="007F4CC8" w:rsidRDefault="00F5723F" w:rsidP="0090750A">
      <w:pPr>
        <w:pStyle w:val="ListParagraph"/>
        <w:numPr>
          <w:ilvl w:val="0"/>
          <w:numId w:val="15"/>
        </w:numPr>
        <w:spacing w:after="120"/>
        <w:jc w:val="both"/>
        <w:rPr>
          <w:bCs/>
          <w:sz w:val="24"/>
          <w:rFonts w:ascii="Times New Roman" w:hAnsi="Times New Roman"/>
        </w:rPr>
      </w:pPr>
      <w:r>
        <w:rPr>
          <w:sz w:val="24"/>
          <w:rFonts w:ascii="Times New Roman" w:hAnsi="Times New Roman"/>
        </w:rPr>
        <w:t xml:space="preserve">Bilag XV til EBA's IT-løsninger indeholder et sæt skemaer, der finder anvendelse på alle institutter, der er omfattet af artikel 442 i forordning (EU) nr. 575/2013</w:t>
      </w:r>
      <w:r>
        <w:rPr>
          <w:rStyle w:val="FootnoteReference"/>
        </w:rPr>
        <w:footnoteReference w:id="1"/>
      </w:r>
      <w:r>
        <w:rPr>
          <w:sz w:val="24"/>
          <w:rFonts w:ascii="Times New Roman" w:hAnsi="Times New Roman"/>
        </w:rPr>
        <w:t xml:space="preserve"> ("CRR").</w:t>
      </w:r>
      <w:r>
        <w:rPr>
          <w:sz w:val="24"/>
          <w:rFonts w:ascii="Times New Roman" w:hAnsi="Times New Roman"/>
        </w:rPr>
        <w:t xml:space="preserve"> </w:t>
      </w:r>
      <w:r>
        <w:rPr>
          <w:sz w:val="24"/>
          <w:rFonts w:ascii="Times New Roman" w:hAnsi="Times New Roman"/>
        </w:rPr>
        <w:t xml:space="preserve">Dette omfatter også en række yderligere skemaer, som skal udfyldes af store institutter, hvis forhold mellem den regnskabsmæssige bruttoværdi af lån og tilskud, der hører ind under artikel 47a, stk. 3, i forordning (EU) nr. 575/2013, og den samlede regnskabsmæssige bruttoværdi af lån og forskud, der falder ind under artikel 47a, stk. 1, i forordning (EU) nr. 575/2013, er lig med eller højere end 5 %.</w:t>
      </w:r>
      <w:r>
        <w:rPr>
          <w:sz w:val="24"/>
          <w:rFonts w:ascii="Times New Roman" w:hAnsi="Times New Roman"/>
        </w:rPr>
        <w:t xml:space="preserve"> </w:t>
      </w:r>
      <w:r>
        <w:rPr>
          <w:sz w:val="24"/>
          <w:rFonts w:ascii="Times New Roman" w:hAnsi="Times New Roman"/>
        </w:rPr>
        <w:t xml:space="preserve">I forbindelse med dette forhold og skemaerne i bilag XV udelukkes lån og forskud klassificeret som besiddelse med henblik på salg, kassebeholdninger i centralbanker og andre anfordringsindskud både fra forholdets tæller og nævner og fra de rækker vedrørende lån og forskud, der indgår i skemaerne.</w:t>
      </w:r>
      <w:r>
        <w:rPr>
          <w:sz w:val="24"/>
          <w:rFonts w:ascii="Times New Roman" w:hAnsi="Times New Roman"/>
        </w:rPr>
        <w:t xml:space="preserve"> </w:t>
      </w:r>
      <w:r>
        <w:rPr>
          <w:sz w:val="24"/>
          <w:rFonts w:ascii="Times New Roman" w:hAnsi="Times New Roman"/>
        </w:rPr>
        <w:t xml:space="preserve">Kassebeholdninger i centralbanker og andre anfordringsindskud oplyses særskilt i nogle af skemaerne.</w:t>
      </w:r>
    </w:p>
    <w:p w14:paraId="52A7B0AE" w14:textId="311C8645" w:rsidR="00F5723F" w:rsidRPr="007F4CC8" w:rsidRDefault="00F5723F" w:rsidP="0090750A">
      <w:pPr>
        <w:pStyle w:val="ListParagraph"/>
        <w:numPr>
          <w:ilvl w:val="0"/>
          <w:numId w:val="15"/>
        </w:numPr>
        <w:spacing w:after="120"/>
        <w:jc w:val="both"/>
        <w:rPr>
          <w:bCs/>
          <w:sz w:val="24"/>
          <w:rFonts w:ascii="Times New Roman" w:hAnsi="Times New Roman"/>
        </w:rPr>
      </w:pPr>
      <w:r>
        <w:rPr>
          <w:sz w:val="24"/>
          <w:rFonts w:ascii="Times New Roman" w:hAnsi="Times New Roman"/>
        </w:rPr>
        <w:t xml:space="preserve">De yderligere skemaer skal formidle tilstrækkeligt omfattende og sammenlignelige oplysninger til, at brugerne af disse oplysninger kan vurdere institutternes risikoprofiler.</w:t>
      </w:r>
      <w:r>
        <w:rPr>
          <w:sz w:val="24"/>
          <w:rFonts w:ascii="Times New Roman" w:hAnsi="Times New Roman"/>
        </w:rPr>
        <w:t xml:space="preserve"> </w:t>
      </w:r>
      <w:r>
        <w:rPr>
          <w:sz w:val="24"/>
          <w:rFonts w:ascii="Times New Roman" w:hAnsi="Times New Roman"/>
        </w:rPr>
        <w:t xml:space="preserve">Når institutterne læser disse instrukser, skal de derfor tage hensyn til proportionalitetskriterierne i nærværende gennemførelsesforordnings artikel 9.</w:t>
      </w:r>
    </w:p>
    <w:p w14:paraId="0631D27D"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Tabel EU CRA:</w:t>
      </w:r>
      <w:r>
        <w:rPr>
          <w:b/>
          <w:sz w:val="24"/>
          <w:rFonts w:ascii="Times New Roman" w:hAnsi="Times New Roman"/>
        </w:rPr>
        <w:t xml:space="preserve"> </w:t>
      </w:r>
      <w:r>
        <w:rPr>
          <w:b/>
          <w:sz w:val="24"/>
          <w:rFonts w:ascii="Times New Roman" w:hAnsi="Times New Roman"/>
        </w:rPr>
        <w:t xml:space="preserve">Generelle kvalitative oplysninger om kreditrisiko</w:t>
      </w:r>
    </w:p>
    <w:p w14:paraId="4064BFA1" w14:textId="578EBEB6" w:rsidR="00F5723F" w:rsidRPr="007F4CC8" w:rsidRDefault="00F5723F" w:rsidP="0090750A">
      <w:pPr>
        <w:pStyle w:val="ListParagraph"/>
        <w:numPr>
          <w:ilvl w:val="0"/>
          <w:numId w:val="15"/>
        </w:numPr>
        <w:spacing w:after="120"/>
        <w:jc w:val="both"/>
        <w:rPr>
          <w:bCs/>
          <w:sz w:val="24"/>
          <w:rFonts w:ascii="Times New Roman" w:hAnsi="Times New Roman"/>
        </w:rPr>
      </w:pPr>
      <w:r>
        <w:rPr>
          <w:sz w:val="24"/>
          <w:rFonts w:ascii="Times New Roman" w:hAnsi="Times New Roman"/>
        </w:rPr>
        <w:t xml:space="preserve">Institutterne skal offentliggøre de oplysninger om deres risikostyringsmålsætninger og -politikker, som er omhandlet i artikel 435, stk. 1, litra a), b), d) og f), i forordning (EU) nr. 575/2013</w:t>
      </w:r>
      <w:r>
        <w:rPr>
          <w:rStyle w:val="FootnoteReference"/>
          <w:color w:val="000000"/>
        </w:rPr>
        <w:footnoteReference w:id="2"/>
      </w:r>
      <w:r>
        <w:rPr>
          <w:sz w:val="24"/>
          <w:rFonts w:ascii="Times New Roman" w:hAnsi="Times New Roman"/>
        </w:rPr>
        <w:t xml:space="preserve"> ("CRR"), ved at følge instrukserne i dette bilag til udfyldelse af tabel EU CRA, som findes i bilag XV til EBA's IT-løsninnger.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687884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8627F"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F5723F" w:rsidRPr="007F4CC8" w14:paraId="21E5C2C8" w14:textId="77777777" w:rsidTr="00D819DE">
        <w:trPr>
          <w:trHeight w:val="238"/>
        </w:trPr>
        <w:tc>
          <w:tcPr>
            <w:tcW w:w="1384" w:type="dxa"/>
            <w:shd w:val="clear" w:color="auto" w:fill="D9D9D9" w:themeFill="background1" w:themeFillShade="D9"/>
          </w:tcPr>
          <w:p w14:paraId="7883625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63612C1A"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Forklaring</w:t>
            </w:r>
          </w:p>
        </w:tc>
      </w:tr>
      <w:tr w:rsidR="00F5723F" w:rsidRPr="007F4CC8" w14:paraId="0CF5404E" w14:textId="77777777" w:rsidTr="00D819DE">
        <w:trPr>
          <w:trHeight w:val="935"/>
        </w:trPr>
        <w:tc>
          <w:tcPr>
            <w:tcW w:w="1384" w:type="dxa"/>
          </w:tcPr>
          <w:p w14:paraId="066E2443" w14:textId="77777777" w:rsidR="00F5723F" w:rsidRPr="007F4CC8" w:rsidRDefault="00F5723F" w:rsidP="00D819DE">
            <w:pPr>
              <w:pStyle w:val="Applicationdirecte"/>
              <w:spacing w:before="0"/>
              <w:jc w:val="center"/>
            </w:pPr>
            <w:r>
              <w:t xml:space="preserve">a)</w:t>
            </w:r>
          </w:p>
        </w:tc>
        <w:tc>
          <w:tcPr>
            <w:tcW w:w="7655" w:type="dxa"/>
          </w:tcPr>
          <w:p w14:paraId="4A71DB42" w14:textId="77777777" w:rsidR="00F5723F" w:rsidRPr="007F4CC8" w:rsidRDefault="00F5723F" w:rsidP="00D819DE">
            <w:pPr>
              <w:pStyle w:val="Applicationdirecte"/>
              <w:spacing w:before="0"/>
            </w:pPr>
            <w:r>
              <w:t xml:space="preserve">I den koncise risikoerklæring, jf. artikel 435, stk. 1, litra f), i CRR, hvordan forretningsmodellen kommer til udtryk i de enkelte bestanddele af instituttets kreditrisikoprofil.</w:t>
            </w:r>
          </w:p>
        </w:tc>
      </w:tr>
      <w:tr w:rsidR="00F5723F" w:rsidRPr="007F4CC8" w14:paraId="3075B1D2" w14:textId="77777777" w:rsidTr="00D819DE">
        <w:trPr>
          <w:trHeight w:val="1403"/>
        </w:trPr>
        <w:tc>
          <w:tcPr>
            <w:tcW w:w="1384" w:type="dxa"/>
          </w:tcPr>
          <w:p w14:paraId="37B0B532" w14:textId="77777777" w:rsidR="00F5723F" w:rsidRPr="007F4CC8" w:rsidRDefault="00F5723F" w:rsidP="00D819DE">
            <w:pPr>
              <w:pStyle w:val="Applicationdirecte"/>
              <w:spacing w:before="0"/>
              <w:jc w:val="center"/>
            </w:pPr>
            <w:r>
              <w:t xml:space="preserve">b)</w:t>
            </w:r>
          </w:p>
        </w:tc>
        <w:tc>
          <w:tcPr>
            <w:tcW w:w="7655" w:type="dxa"/>
          </w:tcPr>
          <w:p w14:paraId="1124163C" w14:textId="77777777" w:rsidR="00F5723F" w:rsidRPr="007F4CC8" w:rsidRDefault="00F5723F" w:rsidP="00D819DE">
            <w:pPr>
              <w:pStyle w:val="Fait"/>
              <w:spacing w:before="0" w:after="120"/>
            </w:pPr>
            <w:r>
              <w:t xml:space="preserve">I forbindelse med vurderingen af deres strategier og procedurer til styring af kreditrisiko og politikker til afdækning og reduktion af denne risiko, jf. artikel 435, stk. 1, litra a) og d), i CRR, de kriterier og den tilgang, der er anvendt til at fastlægge kreditrisikostyringspolitikken og kreditrisikogrænserne.</w:t>
            </w:r>
          </w:p>
        </w:tc>
      </w:tr>
      <w:tr w:rsidR="00F5723F" w:rsidRPr="007F4CC8" w14:paraId="683CFEDC" w14:textId="77777777" w:rsidTr="00D819DE">
        <w:trPr>
          <w:trHeight w:val="755"/>
        </w:trPr>
        <w:tc>
          <w:tcPr>
            <w:tcW w:w="1384" w:type="dxa"/>
          </w:tcPr>
          <w:p w14:paraId="2E339DB5" w14:textId="77777777" w:rsidR="00F5723F" w:rsidRPr="007F4CC8" w:rsidRDefault="00F5723F" w:rsidP="00D819DE">
            <w:pPr>
              <w:pStyle w:val="Applicationdirecte"/>
              <w:spacing w:before="0"/>
              <w:jc w:val="center"/>
            </w:pPr>
            <w:r>
              <w:t xml:space="preserve">c)</w:t>
            </w:r>
          </w:p>
        </w:tc>
        <w:tc>
          <w:tcPr>
            <w:tcW w:w="7655" w:type="dxa"/>
          </w:tcPr>
          <w:p w14:paraId="0D35E91F" w14:textId="77777777" w:rsidR="00F5723F" w:rsidRPr="007F4CC8" w:rsidRDefault="00F5723F" w:rsidP="00D819DE">
            <w:pPr>
              <w:pStyle w:val="Applicationdirecte"/>
              <w:spacing w:before="0"/>
            </w:pPr>
            <w:r>
              <w:t xml:space="preserve">I forbindelse med afgivelsen af oplysninger om strukturen i og tilrettelæggelsen af risikostyringsfunktionen, jf. artikel 435, stk. 1, litra b), i CRR, strukturen i og tilrettelæggelsen af kreditrisikostyrings- og kontrolfunktionen.</w:t>
            </w:r>
          </w:p>
        </w:tc>
      </w:tr>
      <w:tr w:rsidR="00F5723F" w:rsidRPr="007F4CC8" w14:paraId="35D98B56" w14:textId="77777777" w:rsidTr="00D819DE">
        <w:trPr>
          <w:trHeight w:val="755"/>
        </w:trPr>
        <w:tc>
          <w:tcPr>
            <w:tcW w:w="1384" w:type="dxa"/>
          </w:tcPr>
          <w:p w14:paraId="070A2B65" w14:textId="77777777" w:rsidR="00F5723F" w:rsidRPr="007F4CC8" w:rsidRDefault="00F5723F" w:rsidP="00D819DE">
            <w:pPr>
              <w:pStyle w:val="Applicationdirecte"/>
              <w:spacing w:before="0"/>
              <w:jc w:val="center"/>
            </w:pPr>
            <w:r>
              <w:t xml:space="preserve">d)</w:t>
            </w:r>
          </w:p>
        </w:tc>
        <w:tc>
          <w:tcPr>
            <w:tcW w:w="7655" w:type="dxa"/>
          </w:tcPr>
          <w:p w14:paraId="2C2F83A1" w14:textId="77777777" w:rsidR="00F5723F" w:rsidRPr="007F4CC8" w:rsidRDefault="00F5723F" w:rsidP="00D819DE">
            <w:pPr>
              <w:pStyle w:val="Applicationdirecte"/>
              <w:spacing w:before="0"/>
            </w:pPr>
            <w:r>
              <w:t xml:space="preserve">I forbindelse med afgivelsen af oplysninger om kompetence, status og andre ordninger vedrørende risikostyringsfunktionen, jf. artikel 435, stk. 1, litra b), i CRR, forholdet mellem funktionerne kreditrisikostyring, risikokontrol, compliance og intern revision.</w:t>
            </w:r>
          </w:p>
        </w:tc>
      </w:tr>
    </w:tbl>
    <w:p w14:paraId="75C31F88" w14:textId="77777777" w:rsidR="00F5723F" w:rsidRPr="007F4CC8" w:rsidRDefault="00F5723F" w:rsidP="00F5723F">
      <w:pPr>
        <w:autoSpaceDE w:val="0"/>
        <w:autoSpaceDN w:val="0"/>
        <w:adjustRightInd w:val="0"/>
        <w:spacing w:before="240" w:after="120"/>
        <w:rPr>
          <w:b/>
          <w:sz w:val="24"/>
          <w:rFonts w:ascii="Times New Roman" w:hAnsi="Times New Roman" w:cs="Times New Roman"/>
        </w:rPr>
      </w:pPr>
      <w:r>
        <w:rPr>
          <w:b/>
          <w:sz w:val="24"/>
          <w:rFonts w:ascii="Times New Roman" w:hAnsi="Times New Roman"/>
        </w:rPr>
        <w:t xml:space="preserve">Tabel EU CRB:</w:t>
      </w:r>
      <w:r>
        <w:rPr>
          <w:b/>
          <w:sz w:val="24"/>
          <w:rFonts w:ascii="Times New Roman" w:hAnsi="Times New Roman"/>
        </w:rPr>
        <w:t xml:space="preserve"> </w:t>
      </w:r>
      <w:r>
        <w:rPr>
          <w:b/>
          <w:sz w:val="24"/>
          <w:rFonts w:ascii="Times New Roman" w:hAnsi="Times New Roman"/>
        </w:rPr>
        <w:t xml:space="preserve">Yderligere offentliggørelse af oplysninger vedrørende kreditkvaliteten af aktiver</w:t>
      </w:r>
    </w:p>
    <w:p w14:paraId="599D9493" w14:textId="4E45426A" w:rsidR="00F5723F" w:rsidRPr="007F4CC8" w:rsidRDefault="00F5723F" w:rsidP="0090750A">
      <w:pPr>
        <w:pStyle w:val="ListParagraph"/>
        <w:numPr>
          <w:ilvl w:val="0"/>
          <w:numId w:val="15"/>
        </w:numPr>
        <w:autoSpaceDE w:val="0"/>
        <w:autoSpaceDN w:val="0"/>
        <w:adjustRightInd w:val="0"/>
        <w:spacing w:after="120"/>
        <w:jc w:val="both"/>
        <w:rPr>
          <w:sz w:val="24"/>
          <w:rFonts w:ascii="Times New Roman" w:hAnsi="Times New Roman"/>
        </w:rPr>
      </w:pPr>
      <w:r>
        <w:rPr>
          <w:sz w:val="24"/>
          <w:rFonts w:ascii="Times New Roman" w:hAnsi="Times New Roman"/>
        </w:rPr>
        <w:t xml:space="preserve">Institutterne skal offentliggøre de oplysninger, som er omhandlet i artikel 442, litra a) og b), i CRR, ved at følge nedenstående instrukser til udfyldelse af tabel EU CRB, som findes i bilag XV til EBA's IT-løsninger.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2AC52A1"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59A219"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F5723F" w:rsidRPr="007F4CC8" w14:paraId="185CD2D2" w14:textId="77777777" w:rsidTr="00D819DE">
        <w:trPr>
          <w:trHeight w:val="238"/>
        </w:trPr>
        <w:tc>
          <w:tcPr>
            <w:tcW w:w="1384" w:type="dxa"/>
            <w:shd w:val="clear" w:color="auto" w:fill="D9D9D9" w:themeFill="background1" w:themeFillShade="D9"/>
          </w:tcPr>
          <w:p w14:paraId="67EAB125"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319ABD4C"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Forklaring</w:t>
            </w:r>
          </w:p>
        </w:tc>
      </w:tr>
      <w:tr w:rsidR="00F5723F" w:rsidRPr="007F4CC8" w14:paraId="58B67EB8" w14:textId="77777777" w:rsidTr="00D819DE">
        <w:trPr>
          <w:trHeight w:val="710"/>
        </w:trPr>
        <w:tc>
          <w:tcPr>
            <w:tcW w:w="1384" w:type="dxa"/>
          </w:tcPr>
          <w:p w14:paraId="3C107D55" w14:textId="77777777" w:rsidR="00F5723F" w:rsidRPr="007F4CC8" w:rsidRDefault="00F5723F" w:rsidP="00D819DE">
            <w:pPr>
              <w:pStyle w:val="Applicationdirecte"/>
              <w:spacing w:before="0"/>
              <w:jc w:val="center"/>
            </w:pPr>
            <w:r>
              <w:t xml:space="preserve">a)</w:t>
            </w:r>
          </w:p>
        </w:tc>
        <w:tc>
          <w:tcPr>
            <w:tcW w:w="7655" w:type="dxa"/>
          </w:tcPr>
          <w:p w14:paraId="5FA504D0" w14:textId="77777777" w:rsidR="00F5723F" w:rsidRPr="007F4CC8" w:rsidRDefault="00F5723F" w:rsidP="00D819DE">
            <w:pPr>
              <w:pStyle w:val="Applicationdirecte"/>
              <w:spacing w:before="0"/>
            </w:pPr>
            <w:r>
              <w:t xml:space="preserve">Anvendelsesområdet og definitionerne af "forfaldne" og "værdiforringede" eksponeringer, der anvendes i regnskabsøjemed, og eventuelle forskelle mellem definitionerne af "forfaldne" og "misligholdte" eksponeringer i regnskabs- og tilsynsøjemed, jf. artikel 178 i CRR.</w:t>
            </w:r>
          </w:p>
        </w:tc>
      </w:tr>
      <w:tr w:rsidR="00F5723F" w:rsidRPr="007F4CC8" w14:paraId="6EA55101" w14:textId="77777777" w:rsidTr="00D819DE">
        <w:trPr>
          <w:trHeight w:val="800"/>
        </w:trPr>
        <w:tc>
          <w:tcPr>
            <w:tcW w:w="1384" w:type="dxa"/>
          </w:tcPr>
          <w:p w14:paraId="6C284CE8" w14:textId="77777777" w:rsidR="00F5723F" w:rsidRPr="007F4CC8" w:rsidRDefault="00F5723F" w:rsidP="00D819DE">
            <w:pPr>
              <w:pStyle w:val="Applicationdirecte"/>
              <w:spacing w:before="0"/>
              <w:jc w:val="center"/>
            </w:pPr>
            <w:r>
              <w:t xml:space="preserve">b)</w:t>
            </w:r>
          </w:p>
        </w:tc>
        <w:tc>
          <w:tcPr>
            <w:tcW w:w="7655" w:type="dxa"/>
          </w:tcPr>
          <w:p w14:paraId="611B47FB" w14:textId="77777777" w:rsidR="00F5723F" w:rsidRPr="007F4CC8" w:rsidRDefault="00F5723F" w:rsidP="00D819DE">
            <w:pPr>
              <w:pStyle w:val="Fait"/>
              <w:spacing w:before="0" w:after="120"/>
            </w:pPr>
            <w:r>
              <w:t xml:space="preserve">Omfanget af forfaldne eksponeringer (over 90 dage), som ikke anses for at være værdiforringede, og årsagerne hertil.</w:t>
            </w:r>
          </w:p>
        </w:tc>
      </w:tr>
      <w:tr w:rsidR="00F5723F" w:rsidRPr="007F4CC8" w14:paraId="61929E03" w14:textId="77777777" w:rsidTr="00D819DE">
        <w:trPr>
          <w:trHeight w:val="755"/>
        </w:trPr>
        <w:tc>
          <w:tcPr>
            <w:tcW w:w="1384" w:type="dxa"/>
          </w:tcPr>
          <w:p w14:paraId="572197FC" w14:textId="77777777" w:rsidR="00F5723F" w:rsidRPr="007F4CC8" w:rsidRDefault="00F5723F" w:rsidP="00D819DE">
            <w:pPr>
              <w:pStyle w:val="Applicationdirecte"/>
              <w:spacing w:before="0"/>
              <w:jc w:val="center"/>
            </w:pPr>
            <w:r>
              <w:t xml:space="preserve">c)</w:t>
            </w:r>
          </w:p>
        </w:tc>
        <w:tc>
          <w:tcPr>
            <w:tcW w:w="7655" w:type="dxa"/>
          </w:tcPr>
          <w:p w14:paraId="3ED08BDE" w14:textId="77777777" w:rsidR="00F5723F" w:rsidRPr="007F4CC8" w:rsidRDefault="00F5723F" w:rsidP="00D819DE">
            <w:pPr>
              <w:pStyle w:val="Applicationdirecte"/>
              <w:spacing w:before="0"/>
            </w:pPr>
            <w:r>
              <w:t xml:space="preserve">Beskrivelse af de anvendte metoder til fastsættelse af generelle og specifikke kreditrisikojusteringer.</w:t>
            </w:r>
          </w:p>
        </w:tc>
      </w:tr>
      <w:tr w:rsidR="00F5723F" w:rsidRPr="007F4CC8" w14:paraId="0A312877" w14:textId="77777777" w:rsidTr="00D819DE">
        <w:trPr>
          <w:trHeight w:val="755"/>
        </w:trPr>
        <w:tc>
          <w:tcPr>
            <w:tcW w:w="1384" w:type="dxa"/>
          </w:tcPr>
          <w:p w14:paraId="50C4B52D" w14:textId="77777777" w:rsidR="00F5723F" w:rsidRPr="007F4CC8" w:rsidRDefault="00F5723F" w:rsidP="00D819DE">
            <w:pPr>
              <w:pStyle w:val="Applicationdirecte"/>
              <w:spacing w:before="0"/>
              <w:jc w:val="center"/>
            </w:pPr>
            <w:r>
              <w:t xml:space="preserve">d)</w:t>
            </w:r>
          </w:p>
        </w:tc>
        <w:tc>
          <w:tcPr>
            <w:tcW w:w="7655" w:type="dxa"/>
          </w:tcPr>
          <w:p w14:paraId="25676241" w14:textId="77777777" w:rsidR="00F5723F" w:rsidRPr="007F4CC8" w:rsidRDefault="00F5723F" w:rsidP="00D819DE">
            <w:pPr>
              <w:pStyle w:val="Applicationdirecte"/>
              <w:spacing w:before="0"/>
            </w:pPr>
            <w:r>
              <w:t xml:space="preserve">Instituttets egen definition af en "omlagt eksponering", der anvendes med henblik på gennemførelse af artikel 178, stk. 3, litra d), i CRR, jf. artikel 178 i CRR, hvis denne afviger fra definitionen af eksponeringer med kreditlempelser som defineret i artikel 47b i CRR.</w:t>
            </w:r>
          </w:p>
        </w:tc>
      </w:tr>
    </w:tbl>
    <w:p w14:paraId="1AEA1056" w14:textId="77777777" w:rsidR="00F5723F" w:rsidRPr="007F4CC8" w:rsidRDefault="00F5723F" w:rsidP="00F5723F">
      <w:pPr>
        <w:autoSpaceDE w:val="0"/>
        <w:autoSpaceDN w:val="0"/>
        <w:adjustRightInd w:val="0"/>
        <w:spacing w:after="120"/>
        <w:jc w:val="both"/>
        <w:rPr>
          <w:rFonts w:ascii="Times New Roman" w:hAnsi="Times New Roman"/>
          <w:b/>
          <w:sz w:val="24"/>
        </w:rPr>
      </w:pPr>
    </w:p>
    <w:p w14:paraId="20816213"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Skema EU CR1:</w:t>
      </w:r>
      <w:r>
        <w:rPr>
          <w:b/>
          <w:sz w:val="24"/>
          <w:rFonts w:ascii="Times New Roman" w:hAnsi="Times New Roman"/>
        </w:rPr>
        <w:t xml:space="preserve"> </w:t>
      </w:r>
      <w:r>
        <w:rPr>
          <w:b/>
          <w:sz w:val="24"/>
          <w:rFonts w:ascii="Times New Roman" w:hAnsi="Times New Roman"/>
        </w:rPr>
        <w:t xml:space="preserve">Ikkemisligholdte og misligholdte eksponeringer og dertil knyttede bestemmelser</w:t>
      </w:r>
    </w:p>
    <w:p w14:paraId="1E9C3A89" w14:textId="122D7564" w:rsidR="00F5723F" w:rsidRPr="007F4CC8" w:rsidRDefault="00F5723F" w:rsidP="0090750A">
      <w:pPr>
        <w:pStyle w:val="ListParagraph"/>
        <w:numPr>
          <w:ilvl w:val="0"/>
          <w:numId w:val="1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Institutterne skal offentliggøre de oplysninger, som er omhandlet i artikel 442, litra c) og e), i CRR, ved at følge instrukserne i dette bilag til udfyldelse af skema EU CR1, som findes i bilag XV til EBA's IT-løsninger.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E2090A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7E661F"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F5723F" w:rsidRPr="007F4CC8" w14:paraId="2A7D06A4" w14:textId="77777777" w:rsidTr="00D819DE">
        <w:trPr>
          <w:trHeight w:val="238"/>
        </w:trPr>
        <w:tc>
          <w:tcPr>
            <w:tcW w:w="1384" w:type="dxa"/>
            <w:shd w:val="clear" w:color="auto" w:fill="D9D9D9" w:themeFill="background1" w:themeFillShade="D9"/>
          </w:tcPr>
          <w:p w14:paraId="12590A0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7CE2F92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Forklaring</w:t>
            </w:r>
          </w:p>
        </w:tc>
      </w:tr>
      <w:tr w:rsidR="00F5723F" w:rsidRPr="007F4CC8" w14:paraId="1053D621" w14:textId="77777777" w:rsidTr="00D819DE">
        <w:trPr>
          <w:trHeight w:val="845"/>
        </w:trPr>
        <w:tc>
          <w:tcPr>
            <w:tcW w:w="1384" w:type="dxa"/>
          </w:tcPr>
          <w:p w14:paraId="19748158" w14:textId="77777777" w:rsidR="00F5723F" w:rsidRPr="007F4CC8" w:rsidRDefault="00F5723F" w:rsidP="00D819DE">
            <w:pPr>
              <w:pStyle w:val="Applicationdirecte"/>
              <w:spacing w:before="0"/>
            </w:pPr>
            <w:r>
              <w:t xml:space="preserve">005</w:t>
            </w:r>
          </w:p>
        </w:tc>
        <w:tc>
          <w:tcPr>
            <w:tcW w:w="7655" w:type="dxa"/>
          </w:tcPr>
          <w:p w14:paraId="2592D68D" w14:textId="77777777" w:rsidR="00F5723F" w:rsidRPr="007F4CC8" w:rsidRDefault="00F5723F" w:rsidP="00D819DE">
            <w:pPr>
              <w:pStyle w:val="Applicationdirecte"/>
              <w:spacing w:before="0"/>
              <w:rPr>
                <w:b/>
              </w:rPr>
            </w:pPr>
            <w:r>
              <w:rPr>
                <w:b/>
              </w:rPr>
              <w:t xml:space="preserve">Kassebeholdninger i centralbanker og andre anfordringsindskud</w:t>
            </w:r>
          </w:p>
          <w:p w14:paraId="0D3DA0F0" w14:textId="77777777" w:rsidR="00F5723F" w:rsidRPr="007F4CC8" w:rsidRDefault="00F5723F" w:rsidP="00D819DE">
            <w:pPr>
              <w:pStyle w:val="Applicationdirecte"/>
              <w:spacing w:before="0"/>
            </w:pPr>
            <w:r>
              <w:t xml:space="preserve">Institutterne skal offentliggøre disse oplysninger i overensstemmelse med de oplysninger, der er indberettet i bilag III og IV til Kommissionens gennemførelsesforordning (EU) nr. 680/2014</w:t>
            </w:r>
            <w:r>
              <w:rPr>
                <w:rStyle w:val="FootnoteReference"/>
              </w:rPr>
              <w:footnoteReference w:id="3"/>
            </w:r>
            <w:r>
              <w:t xml:space="preserve">.</w:t>
            </w:r>
          </w:p>
        </w:tc>
      </w:tr>
      <w:tr w:rsidR="00F5723F" w:rsidRPr="007F4CC8" w14:paraId="3BADA0C3" w14:textId="77777777" w:rsidTr="00D819DE">
        <w:trPr>
          <w:trHeight w:val="845"/>
        </w:trPr>
        <w:tc>
          <w:tcPr>
            <w:tcW w:w="1384" w:type="dxa"/>
          </w:tcPr>
          <w:p w14:paraId="7B4A79A4" w14:textId="77777777" w:rsidR="00F5723F" w:rsidRPr="007F4CC8" w:rsidRDefault="00F5723F" w:rsidP="00D819DE">
            <w:pPr>
              <w:pStyle w:val="Applicationdirecte"/>
              <w:spacing w:before="0"/>
            </w:pPr>
            <w:r>
              <w:t xml:space="preserve">010</w:t>
            </w:r>
          </w:p>
        </w:tc>
        <w:tc>
          <w:tcPr>
            <w:tcW w:w="7655" w:type="dxa"/>
          </w:tcPr>
          <w:p w14:paraId="7329779E" w14:textId="77777777" w:rsidR="00F5723F" w:rsidRPr="007F4CC8" w:rsidRDefault="00F5723F" w:rsidP="00D819DE">
            <w:pPr>
              <w:pStyle w:val="Applicationdirecte"/>
              <w:spacing w:before="0"/>
              <w:rPr>
                <w:b/>
              </w:rPr>
            </w:pPr>
            <w:r>
              <w:rPr>
                <w:b/>
              </w:rPr>
              <w:t xml:space="preserve">Lån og forskud</w:t>
            </w:r>
          </w:p>
          <w:p w14:paraId="18DEF019" w14:textId="77777777" w:rsidR="00F5723F" w:rsidRPr="007F4CC8" w:rsidRDefault="00F5723F" w:rsidP="00D819DE">
            <w:pPr>
              <w:pStyle w:val="Applicationdirecte"/>
              <w:spacing w:before="0"/>
            </w:pPr>
            <w:r>
              <w:t xml:space="preserve">Lån og forskud er gældsinstrumenter, som besiddes af instituttet, og som ikke er værdipapirer.</w:t>
            </w:r>
            <w:r>
              <w:t xml:space="preserve"> </w:t>
            </w:r>
            <w:r>
              <w:t xml:space="preserve">Denne post omfatter "lån" i henhold til forordning (EU) 1071/2013 ("ECB BSI-forordningen")</w:t>
            </w:r>
            <w:r>
              <w:rPr>
                <w:rStyle w:val="FootnoteReference"/>
              </w:rPr>
              <w:footnoteReference w:id="4"/>
            </w:r>
            <w:r>
              <w:t xml:space="preserve"> samt forskud, der ikke kan klassificeres som "lån" i henhold til ECB BSI-forordningen, som defineret i bilag V, del 1, punkt 32, til Kommissionens gennemførelsesforordning (EU) nr. 680/2014, men eksklusive lån og forskud klassificeret som besiddelse med henblik på salg, kassebeholdninger i centralbanker og andre anfordringsindskud.</w:t>
            </w:r>
          </w:p>
        </w:tc>
      </w:tr>
      <w:tr w:rsidR="00F5723F" w:rsidRPr="007F4CC8" w14:paraId="231831A4" w14:textId="77777777" w:rsidTr="00D819DE">
        <w:trPr>
          <w:trHeight w:val="3366"/>
        </w:trPr>
        <w:tc>
          <w:tcPr>
            <w:tcW w:w="1384" w:type="dxa"/>
          </w:tcPr>
          <w:p w14:paraId="0EFD1CBA" w14:textId="77777777" w:rsidR="00F5723F" w:rsidRPr="007F4CC8" w:rsidRDefault="00F5723F" w:rsidP="00D819DE">
            <w:pPr>
              <w:pStyle w:val="Applicationdirecte"/>
              <w:spacing w:before="0"/>
            </w:pPr>
            <w:r>
              <w:t xml:space="preserve">020 – 060, 080, 100 – 140, 160 –210</w:t>
            </w:r>
          </w:p>
        </w:tc>
        <w:tc>
          <w:tcPr>
            <w:tcW w:w="7655" w:type="dxa"/>
          </w:tcPr>
          <w:p w14:paraId="1F43D4C7" w14:textId="77777777" w:rsidR="00F5723F" w:rsidRPr="007F4CC8" w:rsidRDefault="00F5723F" w:rsidP="00D819DE">
            <w:pPr>
              <w:pStyle w:val="Applicationdirecte"/>
              <w:spacing w:before="0"/>
              <w:rPr>
                <w:b/>
              </w:rPr>
            </w:pPr>
            <w:r>
              <w:rPr>
                <w:b/>
              </w:rPr>
              <w:t xml:space="preserve">Opdeling af modparter</w:t>
            </w:r>
          </w:p>
          <w:p w14:paraId="08469B88" w14:textId="77777777" w:rsidR="00F5723F" w:rsidRPr="007F4CC8" w:rsidRDefault="00F5723F" w:rsidP="00D819DE">
            <w:pPr>
              <w:pStyle w:val="Applicationdirecte"/>
              <w:spacing w:before="0"/>
            </w:pPr>
            <w:r>
              <w:t xml:space="preserve">Institutterne skal anvende opdelingen efter modpart som defineret i bilag V, del 1, punkt 42, til Kommissionens gennemførelsesforordning (EU) nr. 680/2014.</w:t>
            </w:r>
          </w:p>
          <w:p w14:paraId="17C95D97" w14:textId="77777777" w:rsidR="00F5723F" w:rsidRPr="007F4CC8" w:rsidRDefault="00F5723F" w:rsidP="00D819DE">
            <w:pPr>
              <w:pStyle w:val="Fait"/>
              <w:spacing w:before="0" w:after="120"/>
            </w:pPr>
            <w:r>
              <w:t xml:space="preserve">Fordelingen af modparter efter sektor er alene baseret på arten af den umiddelbare modpart.</w:t>
            </w:r>
            <w:r>
              <w:t xml:space="preserve"> </w:t>
            </w:r>
            <w:r>
              <w:t xml:space="preserve">Eksponeringer, som flere låntagere pådrager sig i fællesskab, skal klassificeres på grundlag af karakteristikaene for den låntager, der var mest relevant eller betydningsfuld for instituttets beslutning om eksponeringen.</w:t>
            </w:r>
            <w:r>
              <w:t xml:space="preserve"> </w:t>
            </w:r>
            <w:r>
              <w:t xml:space="preserve">Blandt andre klassificeringer skal fordelingen af eksponeringer pådraget i fællesskab efter modpartssektor, hjemsted og NACE-kode baseres på den mest relevante eller betydningsfulde låntager.</w:t>
            </w:r>
          </w:p>
        </w:tc>
      </w:tr>
      <w:tr w:rsidR="00F5723F" w:rsidRPr="007F4CC8" w14:paraId="4C35712A" w14:textId="77777777" w:rsidTr="00D819DE">
        <w:trPr>
          <w:trHeight w:val="316"/>
        </w:trPr>
        <w:tc>
          <w:tcPr>
            <w:tcW w:w="1384" w:type="dxa"/>
          </w:tcPr>
          <w:p w14:paraId="72351480"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sz w:val="24"/>
                <w:rFonts w:ascii="Times New Roman" w:hAnsi="Times New Roman"/>
              </w:rPr>
              <w:t xml:space="preserve">070</w:t>
            </w:r>
          </w:p>
        </w:tc>
        <w:tc>
          <w:tcPr>
            <w:tcW w:w="7655" w:type="dxa"/>
          </w:tcPr>
          <w:p w14:paraId="79606DF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SMV'er</w:t>
            </w:r>
          </w:p>
          <w:p w14:paraId="03681D37" w14:textId="39CDE3AA"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Som defineret i bilag V, del 1, punkt 5, nr. i), til Kommissionens gennemførelsesforordning (EU) nr. 680/2014.</w:t>
            </w:r>
          </w:p>
        </w:tc>
      </w:tr>
      <w:tr w:rsidR="00F5723F" w:rsidRPr="007F4CC8" w14:paraId="277A0977" w14:textId="77777777" w:rsidTr="00D819DE">
        <w:trPr>
          <w:trHeight w:val="530"/>
        </w:trPr>
        <w:tc>
          <w:tcPr>
            <w:tcW w:w="1384" w:type="dxa"/>
          </w:tcPr>
          <w:p w14:paraId="39433C36"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090</w:t>
            </w:r>
          </w:p>
        </w:tc>
        <w:tc>
          <w:tcPr>
            <w:tcW w:w="7655" w:type="dxa"/>
          </w:tcPr>
          <w:p w14:paraId="6369C94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Gældsværdipapirer</w:t>
            </w:r>
          </w:p>
          <w:p w14:paraId="6C5C2EBD" w14:textId="77777777" w:rsidR="00F5723F" w:rsidRPr="007F4CC8" w:rsidRDefault="00F5723F" w:rsidP="00D819DE">
            <w:pPr>
              <w:pStyle w:val="Applicationdirecte"/>
              <w:spacing w:before="0"/>
            </w:pPr>
            <w:r>
              <w:t xml:space="preserve">"Gældsværdipapirer" er gældsinstrumenter, som besiddes af instituttet, og som er udstedt som værdipapirer, der ikke er lån, i overensstemmelse med til ECB BSI-forordningen, som defineret i bilag V, del 1, punkt 31, til Kommissionens gennemførelsesforordning (EU) nr. 680/2014.</w:t>
            </w:r>
          </w:p>
        </w:tc>
      </w:tr>
      <w:tr w:rsidR="00F5723F" w:rsidRPr="007F4CC8" w14:paraId="6EF98147" w14:textId="77777777" w:rsidTr="00D819DE">
        <w:trPr>
          <w:trHeight w:val="620"/>
        </w:trPr>
        <w:tc>
          <w:tcPr>
            <w:tcW w:w="1384" w:type="dxa"/>
          </w:tcPr>
          <w:p w14:paraId="0FC9D700"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150</w:t>
            </w:r>
          </w:p>
        </w:tc>
        <w:tc>
          <w:tcPr>
            <w:tcW w:w="7655" w:type="dxa"/>
          </w:tcPr>
          <w:p w14:paraId="4D49DA64"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Ikkebalanceførte eksponeringer</w:t>
            </w:r>
          </w:p>
          <w:p w14:paraId="254BFB6E" w14:textId="77777777" w:rsidR="00F5723F" w:rsidRPr="007F4CC8" w:rsidRDefault="00F5723F" w:rsidP="00D819DE">
            <w:pPr>
              <w:pStyle w:val="Applicationdirecte"/>
              <w:spacing w:before="0"/>
            </w:pPr>
            <w:r>
              <w:t xml:space="preserve">Ikkebalanceførte eksponeringer omfatter de ikkebalanceførte poster, der er opført i bilag I til CRR.</w:t>
            </w:r>
          </w:p>
        </w:tc>
      </w:tr>
      <w:tr w:rsidR="00F5723F" w:rsidRPr="007F4CC8" w14:paraId="66C42205" w14:textId="77777777" w:rsidTr="00D819DE">
        <w:trPr>
          <w:trHeight w:val="144"/>
        </w:trPr>
        <w:tc>
          <w:tcPr>
            <w:tcW w:w="1384" w:type="dxa"/>
          </w:tcPr>
          <w:p w14:paraId="74E16438"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220</w:t>
            </w:r>
          </w:p>
        </w:tc>
        <w:tc>
          <w:tcPr>
            <w:tcW w:w="7655" w:type="dxa"/>
          </w:tcPr>
          <w:p w14:paraId="05CEBA0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I alt</w:t>
            </w:r>
          </w:p>
        </w:tc>
      </w:tr>
    </w:tbl>
    <w:p w14:paraId="0D59F47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9B67095" w14:textId="77777777" w:rsidTr="00D819DE">
        <w:trPr>
          <w:trHeight w:val="238"/>
        </w:trPr>
        <w:tc>
          <w:tcPr>
            <w:tcW w:w="9039" w:type="dxa"/>
            <w:gridSpan w:val="2"/>
            <w:shd w:val="clear" w:color="auto" w:fill="D9D9D9" w:themeFill="background1" w:themeFillShade="D9"/>
          </w:tcPr>
          <w:p w14:paraId="4F04E448"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F5723F" w:rsidRPr="007F4CC8" w14:paraId="2926C782" w14:textId="77777777" w:rsidTr="00D819DE">
        <w:trPr>
          <w:trHeight w:val="238"/>
        </w:trPr>
        <w:tc>
          <w:tcPr>
            <w:tcW w:w="1384" w:type="dxa"/>
            <w:shd w:val="clear" w:color="auto" w:fill="D9D9D9" w:themeFill="background1" w:themeFillShade="D9"/>
          </w:tcPr>
          <w:p w14:paraId="3709B01D"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Kolonne nr.</w:t>
            </w:r>
          </w:p>
        </w:tc>
        <w:tc>
          <w:tcPr>
            <w:tcW w:w="7655" w:type="dxa"/>
            <w:shd w:val="clear" w:color="auto" w:fill="D9D9D9" w:themeFill="background1" w:themeFillShade="D9"/>
          </w:tcPr>
          <w:p w14:paraId="09B613E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Forklaring</w:t>
            </w:r>
          </w:p>
        </w:tc>
      </w:tr>
      <w:tr w:rsidR="00F5723F" w:rsidRPr="007F4CC8" w14:paraId="445FD6F0" w14:textId="77777777" w:rsidTr="00D819DE">
        <w:trPr>
          <w:trHeight w:val="841"/>
        </w:trPr>
        <w:tc>
          <w:tcPr>
            <w:tcW w:w="1384" w:type="dxa"/>
          </w:tcPr>
          <w:p w14:paraId="4FC0955A" w14:textId="77777777" w:rsidR="00F5723F" w:rsidRPr="007F4CC8" w:rsidRDefault="00F5723F" w:rsidP="00D819DE">
            <w:pPr>
              <w:pStyle w:val="Applicationdirecte"/>
              <w:spacing w:before="0"/>
            </w:pPr>
            <w:r>
              <w:t xml:space="preserve">a</w:t>
            </w:r>
          </w:p>
        </w:tc>
        <w:tc>
          <w:tcPr>
            <w:tcW w:w="7655" w:type="dxa"/>
          </w:tcPr>
          <w:p w14:paraId="2A2E7058" w14:textId="77777777" w:rsidR="00F5723F" w:rsidRPr="007F4CC8" w:rsidRDefault="00F5723F" w:rsidP="00D819DE">
            <w:pPr>
              <w:pStyle w:val="Fait"/>
              <w:spacing w:before="0" w:after="120"/>
              <w:rPr>
                <w:b/>
                <w:rFonts w:eastAsiaTheme="minorEastAsia"/>
              </w:rPr>
            </w:pPr>
            <w:r>
              <w:rPr>
                <w:b/>
              </w:rPr>
              <w:t xml:space="preserve">Regnskabsmæssig bruttoværdi/nominel værdi af ikkemisligholdte eksponeringer</w:t>
            </w:r>
          </w:p>
          <w:p w14:paraId="5298A0DB" w14:textId="2AA3D10B" w:rsidR="00F5723F" w:rsidRPr="007F4CC8" w:rsidRDefault="00F5723F" w:rsidP="00D819DE">
            <w:pPr>
              <w:pStyle w:val="Fait"/>
              <w:spacing w:before="0" w:after="120"/>
            </w:pPr>
            <w:r>
              <w:t xml:space="preserve">Regnskabsmæssig bruttoværdi som defineret i bilag V, del 1, punkt 34, til Kommissionens gennemførelsesforordning (EU) nr. 680/2014.</w:t>
            </w:r>
            <w:r>
              <w:t xml:space="preserve"> </w:t>
            </w:r>
            <w:r>
              <w:t xml:space="preserve">Nominel værdi som defineret i bilag V, del 2, punkt 118, til Kommissionens gennemførelsesforordning (EU) nr. 680/2014.</w:t>
            </w:r>
          </w:p>
        </w:tc>
      </w:tr>
      <w:tr w:rsidR="00F5723F" w:rsidRPr="007F4CC8" w14:paraId="36426A1A" w14:textId="77777777" w:rsidTr="00D819DE">
        <w:trPr>
          <w:trHeight w:val="841"/>
        </w:trPr>
        <w:tc>
          <w:tcPr>
            <w:tcW w:w="1384" w:type="dxa"/>
          </w:tcPr>
          <w:p w14:paraId="2BC585D0" w14:textId="77777777" w:rsidR="00F5723F" w:rsidRPr="007F4CC8" w:rsidRDefault="00F5723F" w:rsidP="00D819DE">
            <w:pPr>
              <w:pStyle w:val="Applicationdirecte"/>
              <w:spacing w:before="0"/>
            </w:pPr>
            <w:r>
              <w:rPr>
                <w:color w:val="000000"/>
              </w:rPr>
              <w:t xml:space="preserve">b, c, e, f, h, i, k og l</w:t>
            </w:r>
          </w:p>
        </w:tc>
        <w:tc>
          <w:tcPr>
            <w:tcW w:w="7655" w:type="dxa"/>
          </w:tcPr>
          <w:p w14:paraId="53AB411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Heraf fase 1/fase 2/fase 3</w:t>
            </w:r>
          </w:p>
          <w:p w14:paraId="6BEE23D1" w14:textId="77777777" w:rsidR="00F5723F" w:rsidRPr="007F4CC8" w:rsidRDefault="00F5723F" w:rsidP="00D819DE">
            <w:pPr>
              <w:pStyle w:val="Fait"/>
              <w:spacing w:before="0" w:after="120"/>
            </w:pPr>
            <w:r>
              <w:t xml:space="preserve">For institutter, der anvender IFRS, kategorier af værdiforringelse som defineret i IFRS 9.5.5.</w:t>
            </w:r>
            <w:r>
              <w:t xml:space="preserve"> </w:t>
            </w:r>
            <w:r>
              <w:t xml:space="preserve">"Fase 1" henviser til værdiforringelse, der måles i overensstemmelse med IFRS 9.5.5.5.</w:t>
            </w:r>
            <w:r>
              <w:t xml:space="preserve"> </w:t>
            </w:r>
            <w:r>
              <w:t xml:space="preserve">"Fase 2" henviser til værdiforringelse, der måles i overensstemmelse med IFRS 9.5.5.3.</w:t>
            </w:r>
            <w:r>
              <w:t xml:space="preserve"> </w:t>
            </w:r>
            <w:r>
              <w:t xml:space="preserve">"Fase 3" henviser til værdiforringelse af værdiforringede aktiver som defineret i appendiks A til IFRS 9.</w:t>
            </w:r>
          </w:p>
          <w:p w14:paraId="29E0F5CC" w14:textId="77777777" w:rsidR="00F5723F" w:rsidRPr="007F4CC8" w:rsidRDefault="00F5723F" w:rsidP="00D819DE">
            <w:pPr>
              <w:pStyle w:val="Fait"/>
              <w:spacing w:before="0" w:after="120"/>
              <w:rPr>
                <w:rFonts w:eastAsiaTheme="minorEastAsia"/>
              </w:rPr>
            </w:pPr>
            <w:r>
              <w:t xml:space="preserve">Kolonnerne "Heraf fase 1", "Heraf fase 2" og "Heraf fase 3" oplyses ikke af institutter, der anvender nationale almindeligt anerkendte regnskabsprincipper baseret på Rådets direktiv (EØF) 86/635</w:t>
            </w:r>
            <w:r>
              <w:rPr>
                <w:rStyle w:val="FootnoteReference"/>
              </w:rPr>
              <w:footnoteReference w:id="5"/>
            </w:r>
            <w:r>
              <w:t xml:space="preserve"> om bankers og andre penge- og finansieringsinstitutters årsregnskaber og konsoliderede regnskaber.</w:t>
            </w:r>
          </w:p>
        </w:tc>
      </w:tr>
      <w:tr w:rsidR="00F5723F" w:rsidRPr="007F4CC8" w14:paraId="0A650E11" w14:textId="77777777" w:rsidTr="00D819DE">
        <w:trPr>
          <w:trHeight w:val="841"/>
        </w:trPr>
        <w:tc>
          <w:tcPr>
            <w:tcW w:w="1384" w:type="dxa"/>
          </w:tcPr>
          <w:p w14:paraId="2CED3CDD" w14:textId="77777777" w:rsidR="00F5723F" w:rsidRPr="007F4CC8" w:rsidRDefault="00F5723F" w:rsidP="00D819DE">
            <w:pPr>
              <w:pStyle w:val="Applicationdirecte"/>
              <w:spacing w:before="0"/>
            </w:pPr>
            <w:r>
              <w:t xml:space="preserve">d</w:t>
            </w:r>
          </w:p>
        </w:tc>
        <w:tc>
          <w:tcPr>
            <w:tcW w:w="7655" w:type="dxa"/>
          </w:tcPr>
          <w:p w14:paraId="2444C6D3" w14:textId="77777777" w:rsidR="00F5723F" w:rsidRPr="007F4CC8" w:rsidRDefault="00F5723F" w:rsidP="00D819DE">
            <w:pPr>
              <w:pStyle w:val="Fait"/>
              <w:spacing w:before="0" w:after="120"/>
              <w:rPr>
                <w:b/>
                <w:rFonts w:eastAsiaTheme="minorEastAsia"/>
              </w:rPr>
            </w:pPr>
            <w:r>
              <w:rPr>
                <w:b/>
              </w:rPr>
              <w:t xml:space="preserve">Regnskabsmæssig bruttoværdi/nominel værdi af misligholdte eksponeringer</w:t>
            </w:r>
          </w:p>
          <w:p w14:paraId="7D8C4CA3" w14:textId="77777777" w:rsidR="00F5723F" w:rsidRPr="007F4CC8" w:rsidRDefault="00F5723F" w:rsidP="00D819DE">
            <w:pPr>
              <w:pStyle w:val="Fait"/>
              <w:spacing w:before="0" w:after="120"/>
              <w:rPr>
                <w:b/>
              </w:rPr>
            </w:pPr>
            <w:r>
              <w:t xml:space="preserve">Regnskabsmæssig bruttoværdi som defineret i bilag V, del 1, punkt 34, til Kommissionens gennemførelsesforordning (EU) nr. 680/2014.</w:t>
            </w:r>
            <w:r>
              <w:t xml:space="preserve"> </w:t>
            </w:r>
            <w:r>
              <w:t xml:space="preserve">Nominel værdi som defineret i bilag V, del 2, punkt 118, til Kommissionens gennemførelsesforordning (EU) nr. 680/2014.</w:t>
            </w:r>
            <w:r>
              <w:t xml:space="preserve"> </w:t>
            </w:r>
            <w:r>
              <w:t xml:space="preserve">Misligholdte eksponeringer som defineret i artikel 47a i CRR.</w:t>
            </w:r>
          </w:p>
        </w:tc>
      </w:tr>
      <w:tr w:rsidR="00F5723F" w:rsidRPr="007F4CC8" w14:paraId="4CBB8522" w14:textId="77777777" w:rsidTr="00D819DE">
        <w:trPr>
          <w:trHeight w:val="316"/>
        </w:trPr>
        <w:tc>
          <w:tcPr>
            <w:tcW w:w="1384" w:type="dxa"/>
          </w:tcPr>
          <w:p w14:paraId="61D9579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g</w:t>
            </w:r>
          </w:p>
        </w:tc>
        <w:tc>
          <w:tcPr>
            <w:tcW w:w="7655" w:type="dxa"/>
          </w:tcPr>
          <w:p w14:paraId="6A0275FA"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Ikkemisligholdte eksponeringer – akkumulerede værdiforringelser og hensættelser</w:t>
            </w:r>
          </w:p>
          <w:p w14:paraId="7B74D926" w14:textId="77777777" w:rsidR="00F5723F" w:rsidRPr="007F4CC8" w:rsidRDefault="00F5723F" w:rsidP="00D819DE">
            <w:pPr>
              <w:pStyle w:val="Fait"/>
              <w:spacing w:before="0" w:after="120"/>
            </w:pPr>
            <w:r>
              <w:t xml:space="preserve">Dette omfatter de beløb, der er fastsat i overensstemmelse med bilag V, del 2, punkt 11, 69-71, 106 og 110, til Kommissionens gennemførelsesforordning (EU) nr. 680/2014.</w:t>
            </w:r>
          </w:p>
        </w:tc>
      </w:tr>
      <w:tr w:rsidR="00F5723F" w:rsidRPr="007F4CC8" w14:paraId="5EBE8FEE" w14:textId="77777777" w:rsidTr="00D819DE">
        <w:trPr>
          <w:trHeight w:val="316"/>
        </w:trPr>
        <w:tc>
          <w:tcPr>
            <w:tcW w:w="1384" w:type="dxa"/>
          </w:tcPr>
          <w:p w14:paraId="50EF4CC8"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j</w:t>
            </w:r>
          </w:p>
        </w:tc>
        <w:tc>
          <w:tcPr>
            <w:tcW w:w="7655" w:type="dxa"/>
          </w:tcPr>
          <w:p w14:paraId="07616FE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Misligholdte eksponeringer – akkumulerede værdiforringelser, akkumulerede negative ændringer i dagsværdi på grund af kreditrisiko og hensættelser</w:t>
            </w:r>
          </w:p>
          <w:p w14:paraId="400F6D5A" w14:textId="77777777" w:rsidR="00F5723F" w:rsidRPr="007F4CC8" w:rsidRDefault="00F5723F" w:rsidP="00D819DE">
            <w:pPr>
              <w:pStyle w:val="Fait"/>
              <w:spacing w:before="0" w:after="120"/>
            </w:pPr>
            <w:r>
              <w:t xml:space="preserve">Misligholdte eksponeringer som defineret i artikel 47a i CRR.</w:t>
            </w:r>
          </w:p>
          <w:p w14:paraId="2AE2ED83" w14:textId="77777777" w:rsidR="00F5723F" w:rsidRPr="007F4CC8" w:rsidRDefault="00F5723F" w:rsidP="00D819DE">
            <w:pPr>
              <w:pStyle w:val="Fait"/>
              <w:spacing w:before="0" w:after="120"/>
              <w:rPr>
                <w:b/>
              </w:rPr>
            </w:pPr>
            <w:r>
              <w:t xml:space="preserve">Dette omfatter de beløb, der er fastsat i overensstemmelse med bilag V, del 2, punkt 11, 69-71, 106 og 110, til Kommissionens gennemførelsesforordning (EU) nr. 680/2014.</w:t>
            </w:r>
          </w:p>
        </w:tc>
      </w:tr>
      <w:tr w:rsidR="00F5723F" w:rsidRPr="007F4CC8" w14:paraId="61987874" w14:textId="77777777" w:rsidTr="00D819DE">
        <w:trPr>
          <w:trHeight w:val="316"/>
        </w:trPr>
        <w:tc>
          <w:tcPr>
            <w:tcW w:w="1384" w:type="dxa"/>
          </w:tcPr>
          <w:p w14:paraId="4FA49964"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m</w:t>
            </w:r>
          </w:p>
        </w:tc>
        <w:tc>
          <w:tcPr>
            <w:tcW w:w="7655" w:type="dxa"/>
          </w:tcPr>
          <w:p w14:paraId="789D7BC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Akkumulerede delvise afskrivninger</w:t>
            </w:r>
          </w:p>
          <w:p w14:paraId="4CA34595" w14:textId="77777777" w:rsidR="00F5723F" w:rsidRPr="007F4CC8" w:rsidRDefault="00F5723F" w:rsidP="00D819DE">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Dette omfatter den akkumulerede delvise værdi pr. referencedatoen for hovedstol og påløbne morarenter og gebyrer for ethvert gældsinstrument, for hvilke indregning hidtil er ophørt, ved anvendelse af en af de i bilag V, del 2, punkt 74, til Kommissionens gennemførelsesforordning (EU) nr. 680/2014 beskrevne metoder, som skal oplyses, fordi instituttet ikke har nogen rimelige forventninger om at inddrive de kontraktlige pengestrømme.</w:t>
            </w:r>
            <w:r>
              <w:rPr>
                <w:sz w:val="24"/>
                <w:rFonts w:ascii="Times New Roman" w:hAnsi="Times New Roman"/>
              </w:rPr>
              <w:t xml:space="preserve"> </w:t>
            </w:r>
            <w:r>
              <w:rPr>
                <w:sz w:val="24"/>
                <w:rFonts w:ascii="Times New Roman" w:hAnsi="Times New Roman"/>
              </w:rPr>
              <w:t xml:space="preserve">Disse beløb skal oplyses, indtil alle instituttets rettigheder er fuldstændigt bortfaldet ved udløb af forældelsesperioden, eftergivelse eller andet, eller indtil inddrivelse.</w:t>
            </w:r>
            <w:r>
              <w:rPr>
                <w:sz w:val="24"/>
                <w:rFonts w:ascii="Times New Roman" w:hAnsi="Times New Roman"/>
              </w:rPr>
              <w:t xml:space="preserve"> </w:t>
            </w:r>
            <w:r>
              <w:rPr>
                <w:sz w:val="24"/>
                <w:rFonts w:ascii="Times New Roman" w:hAnsi="Times New Roman"/>
              </w:rPr>
              <w:t xml:space="preserve">Hvis de afskrevne beløb ikke inddrives, skal de derfor oplyses, mens de er omfattet af håndhævelsesforanstaltninger.</w:t>
            </w:r>
          </w:p>
          <w:p w14:paraId="2EB1445D" w14:textId="77777777" w:rsidR="00F5723F" w:rsidRPr="007F4CC8" w:rsidRDefault="00F5723F" w:rsidP="00D819DE">
            <w:pPr>
              <w:autoSpaceDE w:val="0"/>
              <w:autoSpaceDN w:val="0"/>
              <w:adjustRightInd w:val="0"/>
              <w:spacing w:after="120"/>
              <w:rPr>
                <w:sz w:val="24"/>
                <w:rFonts w:ascii="Times New Roman" w:hAnsi="Times New Roman" w:cs="Times New Roman"/>
              </w:rPr>
            </w:pPr>
            <w:r>
              <w:rPr>
                <w:sz w:val="24"/>
                <w:rFonts w:ascii="Times New Roman" w:hAnsi="Times New Roman"/>
              </w:rPr>
              <w:t xml:space="preserve">Afskrivninger udgør et tilfælde af ophør af indregning og vedrører et finansielt aktiv i sin helhed eller (i tilfælde af en delvis afskrivning) en del af det, herunder også når ændringen af et aktiv fører til, at instituttet giver afkald på sin ret til at indsamle pengestrømme enten på en del af eller på hele det pågældende aktiv.</w:t>
            </w:r>
          </w:p>
        </w:tc>
      </w:tr>
      <w:tr w:rsidR="00F5723F" w:rsidRPr="007F4CC8" w14:paraId="630431DC" w14:textId="77777777" w:rsidTr="00D819DE">
        <w:trPr>
          <w:trHeight w:val="695"/>
        </w:trPr>
        <w:tc>
          <w:tcPr>
            <w:tcW w:w="1384" w:type="dxa"/>
          </w:tcPr>
          <w:p w14:paraId="3151DDB9"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n</w:t>
            </w:r>
          </w:p>
        </w:tc>
        <w:tc>
          <w:tcPr>
            <w:tcW w:w="7655" w:type="dxa"/>
          </w:tcPr>
          <w:p w14:paraId="2CB3C50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Sikkerhedsstillelser og finansielle garantier modtaget for ikkemisligholdte eksponeringer</w:t>
            </w:r>
          </w:p>
          <w:p w14:paraId="079B11BD" w14:textId="77777777" w:rsidR="00F5723F" w:rsidRPr="007F4CC8" w:rsidRDefault="00F5723F" w:rsidP="00D819DE">
            <w:pPr>
              <w:pStyle w:val="Fait"/>
              <w:spacing w:before="0" w:after="120"/>
            </w:pPr>
            <w:r>
              <w:t xml:space="preserve">Beløbene for modtagne sikkerhedsstillelser og modtagne garantier beregnes i overensstemmelse med bilag V, del 2, punkt 239, til Kommissionens gennemførelsesforordning (EU) nr. 680/2014.</w:t>
            </w:r>
            <w:r>
              <w:t xml:space="preserve"> </w:t>
            </w:r>
            <w:r>
              <w:t xml:space="preserve">Summen af beløbene for både sikkerhedsstillelser og garantier er den regnskabsmæssige værdi af den relaterede eksponering.</w:t>
            </w:r>
          </w:p>
        </w:tc>
      </w:tr>
      <w:tr w:rsidR="00F5723F" w:rsidRPr="007F4CC8" w14:paraId="73CC8EFF" w14:textId="77777777" w:rsidTr="00D819DE">
        <w:trPr>
          <w:trHeight w:val="695"/>
        </w:trPr>
        <w:tc>
          <w:tcPr>
            <w:tcW w:w="1384" w:type="dxa"/>
          </w:tcPr>
          <w:p w14:paraId="32F9B996"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o</w:t>
            </w:r>
          </w:p>
        </w:tc>
        <w:tc>
          <w:tcPr>
            <w:tcW w:w="7655" w:type="dxa"/>
          </w:tcPr>
          <w:p w14:paraId="31518237"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Sikkerhedsstillelser og finansielle garantier modtaget for misligholdte eksponeringer</w:t>
            </w:r>
            <w:r>
              <w:rPr>
                <w:b/>
                <w:sz w:val="24"/>
                <w:rFonts w:ascii="Times New Roman" w:hAnsi="Times New Roman"/>
              </w:rPr>
              <w:t xml:space="preserve"> </w:t>
            </w:r>
          </w:p>
          <w:p w14:paraId="1EFD3FD7" w14:textId="77777777" w:rsidR="00F5723F" w:rsidRPr="007F4CC8" w:rsidRDefault="00F5723F" w:rsidP="00D819DE">
            <w:pPr>
              <w:pStyle w:val="Fait"/>
              <w:spacing w:before="0" w:after="120"/>
            </w:pPr>
            <w:r>
              <w:t xml:space="preserve">Misligholdte eksponeringer som defineret i artikel 47a i CRR.</w:t>
            </w:r>
          </w:p>
          <w:p w14:paraId="7486D5FF" w14:textId="77777777" w:rsidR="00F5723F" w:rsidRPr="007F4CC8" w:rsidRDefault="00F5723F" w:rsidP="00D819DE">
            <w:pPr>
              <w:pStyle w:val="Fait"/>
              <w:spacing w:before="0" w:after="120"/>
              <w:rPr>
                <w:b/>
              </w:rPr>
            </w:pPr>
            <w:r>
              <w:t xml:space="preserve">Beløbene for modtagne sikkerhedsstillelser og modtagne garantier beregnes i overensstemmelse med bilag V, del 2, punkt 239, til Kommissionens gennemførelsesforordning (EU) nr. 680/2014.</w:t>
            </w:r>
            <w:r>
              <w:t xml:space="preserve"> </w:t>
            </w:r>
            <w:r>
              <w:t xml:space="preserve">Summen af beløbene for både sikkerhedsstillelser og garantier er den regnskabsmæssige værdi af den relaterede eksponering.</w:t>
            </w:r>
          </w:p>
        </w:tc>
      </w:tr>
    </w:tbl>
    <w:p w14:paraId="0996B41E" w14:textId="77777777" w:rsidR="00F5723F" w:rsidRPr="007F4CC8" w:rsidRDefault="00F5723F" w:rsidP="00F5723F">
      <w:pPr>
        <w:spacing w:after="120"/>
        <w:jc w:val="both"/>
        <w:rPr>
          <w:rFonts w:ascii="Times New Roman" w:hAnsi="Times New Roman" w:cs="Times New Roman"/>
          <w:bCs/>
          <w:sz w:val="24"/>
        </w:rPr>
      </w:pPr>
    </w:p>
    <w:p w14:paraId="75889087"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Skema EU CR1-A:</w:t>
      </w:r>
      <w:r>
        <w:rPr>
          <w:b/>
          <w:sz w:val="24"/>
          <w:rFonts w:ascii="Times New Roman" w:hAnsi="Times New Roman"/>
        </w:rPr>
        <w:t xml:space="preserve"> </w:t>
      </w:r>
      <w:r>
        <w:rPr>
          <w:b/>
          <w:sz w:val="24"/>
          <w:rFonts w:ascii="Times New Roman" w:hAnsi="Times New Roman"/>
        </w:rPr>
        <w:t xml:space="preserve">Løbetid på eksponeringer</w:t>
      </w:r>
    </w:p>
    <w:p w14:paraId="131D7CA3" w14:textId="24A907DF" w:rsidR="00F5723F" w:rsidRPr="007F4CC8" w:rsidRDefault="00F5723F" w:rsidP="0090750A">
      <w:pPr>
        <w:pStyle w:val="ListParagraph"/>
        <w:numPr>
          <w:ilvl w:val="0"/>
          <w:numId w:val="15"/>
        </w:numPr>
        <w:autoSpaceDE w:val="0"/>
        <w:autoSpaceDN w:val="0"/>
        <w:adjustRightInd w:val="0"/>
        <w:spacing w:after="120"/>
        <w:jc w:val="both"/>
        <w:rPr>
          <w:b/>
          <w:sz w:val="24"/>
          <w:rFonts w:ascii="Times New Roman" w:hAnsi="Times New Roman"/>
        </w:rPr>
      </w:pPr>
      <w:r>
        <w:rPr>
          <w:sz w:val="24"/>
          <w:rFonts w:ascii="Times New Roman" w:hAnsi="Times New Roman"/>
        </w:rPr>
        <w:t xml:space="preserve">Institutterne skal offentliggøre de oplysninger, som er omhandlet i artikel 442, litra g), i CRR, ved at følge nedenstående instrukser til udfyldelse af skema EU CR1-A, som findes i bilag XV til EBA's IT-løsninger.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732BBA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433AC6"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F5723F" w:rsidRPr="007F4CC8" w14:paraId="1C71FF5C" w14:textId="77777777" w:rsidTr="00D819DE">
        <w:trPr>
          <w:trHeight w:val="238"/>
        </w:trPr>
        <w:tc>
          <w:tcPr>
            <w:tcW w:w="1384" w:type="dxa"/>
            <w:shd w:val="clear" w:color="auto" w:fill="D9D9D9" w:themeFill="background1" w:themeFillShade="D9"/>
          </w:tcPr>
          <w:p w14:paraId="0056147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015B08EC"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Forklaring</w:t>
            </w:r>
          </w:p>
        </w:tc>
      </w:tr>
      <w:tr w:rsidR="00F5723F" w:rsidRPr="007F4CC8" w14:paraId="7EDC6988" w14:textId="77777777" w:rsidTr="00D819DE">
        <w:trPr>
          <w:trHeight w:val="316"/>
        </w:trPr>
        <w:tc>
          <w:tcPr>
            <w:tcW w:w="1384" w:type="dxa"/>
          </w:tcPr>
          <w:p w14:paraId="5C5E220E"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010</w:t>
            </w:r>
          </w:p>
        </w:tc>
        <w:tc>
          <w:tcPr>
            <w:tcW w:w="7655" w:type="dxa"/>
          </w:tcPr>
          <w:p w14:paraId="224D6A0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Lån og forskud</w:t>
            </w:r>
          </w:p>
          <w:p w14:paraId="0EE83F98" w14:textId="77777777" w:rsidR="00F5723F" w:rsidRPr="007F4CC8" w:rsidRDefault="00F5723F" w:rsidP="00D819DE">
            <w:pPr>
              <w:pStyle w:val="Fait"/>
              <w:spacing w:before="0" w:after="120"/>
              <w:rPr>
                <w:b/>
              </w:rPr>
            </w:pPr>
            <w:r>
              <w:t xml:space="preserve">Lån og forskud er gældsinstrumenter, som besiddes af instituttet, og som ikke er værdipapirer.</w:t>
            </w:r>
            <w:r>
              <w:t xml:space="preserve"> </w:t>
            </w:r>
            <w:r>
              <w:t xml:space="preserve">Denne post omfatter "lån" i henhold til ECB BSI-forordningen samt forskud, der ikke kan klassificeres som "lån" i henhold til ECB BSI-forordningen, som defineret i bilag V, del 1, punkt 32, til Kommissionens gennemførelsesforordning (EU) nr. 680/2014, men eksklusive lån og forskud klassificeret som besiddelse med henblik på salg, kassebeholdninger i centralbanker og andre anfordringsindskud.</w:t>
            </w:r>
          </w:p>
        </w:tc>
      </w:tr>
      <w:tr w:rsidR="00F5723F" w:rsidRPr="007F4CC8" w14:paraId="32745752" w14:textId="77777777" w:rsidTr="00D819DE">
        <w:trPr>
          <w:trHeight w:val="316"/>
        </w:trPr>
        <w:tc>
          <w:tcPr>
            <w:tcW w:w="1384" w:type="dxa"/>
          </w:tcPr>
          <w:p w14:paraId="68C972E6"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020</w:t>
            </w:r>
          </w:p>
        </w:tc>
        <w:tc>
          <w:tcPr>
            <w:tcW w:w="7655" w:type="dxa"/>
          </w:tcPr>
          <w:p w14:paraId="1349E25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Gældsværdipapirer</w:t>
            </w:r>
          </w:p>
          <w:p w14:paraId="147DA01E" w14:textId="77777777" w:rsidR="00F5723F" w:rsidRPr="007F4CC8" w:rsidRDefault="00F5723F" w:rsidP="00D819DE">
            <w:pPr>
              <w:pStyle w:val="Fait"/>
              <w:spacing w:before="0" w:after="120"/>
              <w:rPr>
                <w:b/>
              </w:rPr>
            </w:pPr>
            <w:r>
              <w:t xml:space="preserve">"Gældsværdipapirer" er gældsinstrumenter, som besiddes af instituttet, og som er udstedt som værdipapirer, der ikke er lån, i overensstemmelse med til ECB BSI-forordningen, som defineret i bilag V, del 1, punkt 31, til Kommissionens gennemførelsesforordning (EU) nr. 680/2014.</w:t>
            </w:r>
          </w:p>
        </w:tc>
      </w:tr>
      <w:tr w:rsidR="00F5723F" w:rsidRPr="007F4CC8" w14:paraId="719A84DB" w14:textId="77777777" w:rsidTr="00D819DE">
        <w:trPr>
          <w:trHeight w:val="316"/>
        </w:trPr>
        <w:tc>
          <w:tcPr>
            <w:tcW w:w="1384" w:type="dxa"/>
          </w:tcPr>
          <w:p w14:paraId="3446B603"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030</w:t>
            </w:r>
          </w:p>
        </w:tc>
        <w:tc>
          <w:tcPr>
            <w:tcW w:w="7655" w:type="dxa"/>
          </w:tcPr>
          <w:p w14:paraId="17C1670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I alt</w:t>
            </w:r>
            <w:r>
              <w:rPr>
                <w:b/>
                <w:sz w:val="24"/>
                <w:rFonts w:ascii="Times New Roman" w:hAnsi="Times New Roman"/>
              </w:rPr>
              <w:t xml:space="preserve"> </w:t>
            </w:r>
          </w:p>
        </w:tc>
      </w:tr>
    </w:tbl>
    <w:p w14:paraId="4FE7B56D"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3597DB0" w14:textId="77777777" w:rsidTr="00D819DE">
        <w:trPr>
          <w:trHeight w:val="238"/>
        </w:trPr>
        <w:tc>
          <w:tcPr>
            <w:tcW w:w="9039" w:type="dxa"/>
            <w:gridSpan w:val="2"/>
            <w:shd w:val="clear" w:color="auto" w:fill="D9D9D9" w:themeFill="background1" w:themeFillShade="D9"/>
          </w:tcPr>
          <w:p w14:paraId="0727F7C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F5723F" w:rsidRPr="007F4CC8" w14:paraId="593F1C4C" w14:textId="77777777" w:rsidTr="00D819DE">
        <w:trPr>
          <w:trHeight w:val="238"/>
        </w:trPr>
        <w:tc>
          <w:tcPr>
            <w:tcW w:w="1384" w:type="dxa"/>
            <w:shd w:val="clear" w:color="auto" w:fill="D9D9D9" w:themeFill="background1" w:themeFillShade="D9"/>
          </w:tcPr>
          <w:p w14:paraId="3B378E1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Kolonne nr.</w:t>
            </w:r>
          </w:p>
        </w:tc>
        <w:tc>
          <w:tcPr>
            <w:tcW w:w="7655" w:type="dxa"/>
            <w:shd w:val="clear" w:color="auto" w:fill="D9D9D9" w:themeFill="background1" w:themeFillShade="D9"/>
          </w:tcPr>
          <w:p w14:paraId="5D5321A8"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Forklaring</w:t>
            </w:r>
          </w:p>
        </w:tc>
      </w:tr>
      <w:tr w:rsidR="00F5723F" w:rsidRPr="007F4CC8" w14:paraId="6FD70D02" w14:textId="77777777" w:rsidTr="00D819DE">
        <w:trPr>
          <w:trHeight w:val="841"/>
        </w:trPr>
        <w:tc>
          <w:tcPr>
            <w:tcW w:w="1384" w:type="dxa"/>
          </w:tcPr>
          <w:p w14:paraId="652D6985" w14:textId="77777777" w:rsidR="00F5723F" w:rsidRPr="007F4CC8" w:rsidRDefault="00F5723F" w:rsidP="00D819DE">
            <w:pPr>
              <w:pStyle w:val="Applicationdirecte"/>
              <w:spacing w:before="0"/>
            </w:pPr>
            <w:r>
              <w:t xml:space="preserve">a-e</w:t>
            </w:r>
          </w:p>
        </w:tc>
        <w:tc>
          <w:tcPr>
            <w:tcW w:w="7655" w:type="dxa"/>
          </w:tcPr>
          <w:p w14:paraId="1A36125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Nettoeksponeringsværdier</w:t>
            </w:r>
            <w:r>
              <w:rPr>
                <w:b/>
                <w:sz w:val="24"/>
                <w:rFonts w:ascii="Times New Roman" w:hAnsi="Times New Roman"/>
              </w:rPr>
              <w:t xml:space="preserve"> </w:t>
            </w:r>
          </w:p>
          <w:p w14:paraId="2769A90F" w14:textId="77777777" w:rsidR="00F5723F" w:rsidRPr="007F4CC8" w:rsidRDefault="00F5723F" w:rsidP="00D819DE">
            <w:pPr>
              <w:pStyle w:val="Fait"/>
              <w:spacing w:before="0" w:after="120"/>
            </w:pPr>
            <w:r>
              <w:t xml:space="preserve">Nettoværdierne oplyses efter kontraktlig restløbetid.</w:t>
            </w:r>
          </w:p>
          <w:p w14:paraId="1B87730D" w14:textId="77777777" w:rsidR="00F5723F" w:rsidRPr="007F4CC8" w:rsidRDefault="00F5723F" w:rsidP="00D819DE">
            <w:pPr>
              <w:pStyle w:val="Fait"/>
              <w:spacing w:before="0" w:after="120"/>
            </w:pPr>
            <w:r>
              <w:t xml:space="preserve">Nettoværdi af eksponeringen:</w:t>
            </w:r>
            <w:r>
              <w:t xml:space="preserve"> </w:t>
            </w:r>
            <w:r>
              <w:t xml:space="preserve">For så vidt angår balanceførte poster er nettoværdien den regnskabsmæssige bruttoværdi af eksponeringen fratrukket hensættelser/værdiforringelser.</w:t>
            </w:r>
            <w:r>
              <w:t xml:space="preserve"> </w:t>
            </w:r>
            <w:r>
              <w:t xml:space="preserve">For så vidt angår ikkebalanceførte poster er nettoværdien den regnskabsmæssige bruttoværdi af eksponeringen fratrukket hensættelser.</w:t>
            </w:r>
            <w:r>
              <w:t xml:space="preserve"> </w:t>
            </w:r>
          </w:p>
          <w:p w14:paraId="365581F4" w14:textId="77777777" w:rsidR="00F5723F" w:rsidRPr="007F4CC8" w:rsidRDefault="00F5723F" w:rsidP="00D819DE">
            <w:pPr>
              <w:pStyle w:val="Fait"/>
              <w:spacing w:before="0" w:after="120"/>
            </w:pPr>
            <w:r>
              <w:t xml:space="preserve">Eksponering:</w:t>
            </w:r>
            <w:r>
              <w:t xml:space="preserve"> </w:t>
            </w:r>
            <w:r>
              <w:t xml:space="preserve">I henhold til artikel 5 i CRR henviser eksponering til en aktivpost eller en ikkebalanceført post, som medfører en kreditrisikoeksponering i henhold til CRR.</w:t>
            </w:r>
          </w:p>
          <w:p w14:paraId="09674B61" w14:textId="77777777" w:rsidR="00F5723F" w:rsidRPr="007F4CC8" w:rsidRDefault="00F5723F" w:rsidP="00D819DE">
            <w:pPr>
              <w:pStyle w:val="Fait"/>
              <w:spacing w:before="0" w:after="120"/>
            </w:pPr>
            <w:r>
              <w:t xml:space="preserve">Regnskabsmæssige bruttoværdier:</w:t>
            </w:r>
            <w:r>
              <w:t xml:space="preserve"> </w:t>
            </w:r>
            <w:r>
              <w:t xml:space="preserve">Den regnskabsmæssige værdi før hensættelser/værdiforringelser, men efter hensyntagen til afskrivninger.</w:t>
            </w:r>
            <w:r>
              <w:t xml:space="preserve"> </w:t>
            </w:r>
            <w:r>
              <w:t xml:space="preserve">Institutterne skal ikke tage hensyn til CRM-teknikker ved anvendelsen af tredje del, afsnit II, kapitel 4, i CRR.</w:t>
            </w:r>
            <w:r>
              <w:t xml:space="preserve"> </w:t>
            </w:r>
            <w:r>
              <w:t xml:space="preserve">Ikkebalanceførte poster skal oplyses med deres nominelle værdi uden indregning af konverteringsfaktorer i overensstemmelse med artikel 111 og 166 i CRR eller CRM-teknikker og uden indregning af hensættelser, herunder a) stillede garantier (det maksimale beløb, som instituttet skal betale, hvis garantien udnyttes) og b) lånetilsagn og andre tilsagn (det samlede beløb, som instituttet har forpligtet sig til at udlåne).</w:t>
            </w:r>
          </w:p>
          <w:p w14:paraId="5AC384A1" w14:textId="77777777" w:rsidR="00F5723F" w:rsidRPr="007F4CC8" w:rsidRDefault="00F5723F" w:rsidP="00D819DE">
            <w:pPr>
              <w:pStyle w:val="Fait"/>
              <w:spacing w:before="0" w:after="120"/>
            </w:pPr>
            <w:r>
              <w:t xml:space="preserve">For denne oplysning gælder følgende:</w:t>
            </w:r>
          </w:p>
          <w:p w14:paraId="19C3FDC4" w14:textId="77777777" w:rsidR="00F5723F" w:rsidRPr="007F4CC8" w:rsidRDefault="00F5723F" w:rsidP="00D819DE">
            <w:pPr>
              <w:pStyle w:val="Fait"/>
              <w:spacing w:before="0" w:after="120"/>
            </w:pPr>
            <w:r>
              <w:t xml:space="preserve"> </w:t>
            </w:r>
            <w:r>
              <w:t xml:space="preserve">- Hvis en modpart selv kan vælge, hvornår et beløb skal tilbagebetales, henføres beløbet til kolonnen "på anfordring".</w:t>
            </w:r>
            <w:r>
              <w:t xml:space="preserve"> </w:t>
            </w:r>
            <w:r>
              <w:t xml:space="preserve">Kolonnen omfatter udestående fordringer på anfordring (call), kortfristede fordringer, anfordringskonti og lignende fordringer (der kan omfatte lån, som er dag-til-dag-indskud for låntageren, uanset deres juridiske form).</w:t>
            </w:r>
            <w:r>
              <w:t xml:space="preserve"> </w:t>
            </w:r>
            <w:r>
              <w:t xml:space="preserve">Dette omfatter også "overtræk", der er debetsaldi på anfordringskonti.</w:t>
            </w:r>
          </w:p>
          <w:p w14:paraId="0EEB038D" w14:textId="77777777" w:rsidR="00F5723F" w:rsidRPr="007F4CC8" w:rsidRDefault="00F5723F" w:rsidP="00D819DE">
            <w:pPr>
              <w:pStyle w:val="Fait"/>
              <w:spacing w:before="0" w:after="120"/>
            </w:pPr>
            <w:r>
              <w:t xml:space="preserve"> </w:t>
            </w:r>
            <w:r>
              <w:t xml:space="preserve">- Hvis en eksponering ikke har nogen fastsat løbetid af andre grunde end den, at modparten selv kan vælge tilbagebetalingsdatoen, oplyses beløbet for denne eksponering i kolonnen "ingen fastsat løbetid".</w:t>
            </w:r>
          </w:p>
          <w:p w14:paraId="68F3E64D" w14:textId="77777777" w:rsidR="00F5723F" w:rsidRPr="007F4CC8" w:rsidRDefault="00F5723F" w:rsidP="00D819DE">
            <w:pPr>
              <w:pStyle w:val="Fait"/>
              <w:spacing w:before="0" w:after="120"/>
              <w:rPr>
                <w:i/>
                <w:rFonts w:eastAsiaTheme="minorEastAsia"/>
              </w:rPr>
            </w:pPr>
            <w:r>
              <w:t xml:space="preserve"> </w:t>
            </w:r>
            <w:r>
              <w:t xml:space="preserve">- Hvis et beløb tilbagebetales i rater, henføres eksponeringen til det løbetidsinterval, der svarer til den seneste rate.</w:t>
            </w:r>
          </w:p>
        </w:tc>
      </w:tr>
      <w:tr w:rsidR="00F5723F" w:rsidRPr="007F4CC8" w14:paraId="2DF30E24" w14:textId="77777777" w:rsidTr="00D819DE">
        <w:trPr>
          <w:trHeight w:val="274"/>
        </w:trPr>
        <w:tc>
          <w:tcPr>
            <w:tcW w:w="1384" w:type="dxa"/>
          </w:tcPr>
          <w:p w14:paraId="281AFB4A" w14:textId="77777777" w:rsidR="00F5723F" w:rsidRPr="007F4CC8" w:rsidRDefault="00F5723F" w:rsidP="00D819DE">
            <w:pPr>
              <w:pStyle w:val="Applicationdirecte"/>
              <w:spacing w:before="0"/>
            </w:pPr>
            <w:r>
              <w:t xml:space="preserve">f</w:t>
            </w:r>
          </w:p>
        </w:tc>
        <w:tc>
          <w:tcPr>
            <w:tcW w:w="7655" w:type="dxa"/>
          </w:tcPr>
          <w:p w14:paraId="2E271F93" w14:textId="77777777" w:rsidR="00F5723F" w:rsidRPr="007F4CC8" w:rsidRDefault="00F5723F" w:rsidP="00D819DE">
            <w:pPr>
              <w:autoSpaceDE w:val="0"/>
              <w:autoSpaceDN w:val="0"/>
              <w:adjustRightInd w:val="0"/>
              <w:spacing w:after="120"/>
            </w:pPr>
            <w:r>
              <w:rPr>
                <w:b/>
                <w:sz w:val="24"/>
                <w:rFonts w:ascii="Times New Roman" w:hAnsi="Times New Roman"/>
              </w:rPr>
              <w:t xml:space="preserve">I alt</w:t>
            </w:r>
          </w:p>
        </w:tc>
      </w:tr>
    </w:tbl>
    <w:p w14:paraId="60723658" w14:textId="77777777" w:rsidR="00F5723F" w:rsidRPr="007F4CC8" w:rsidRDefault="00F5723F" w:rsidP="00F5723F">
      <w:pPr>
        <w:spacing w:after="120"/>
        <w:jc w:val="both"/>
        <w:rPr>
          <w:rFonts w:ascii="Times New Roman" w:hAnsi="Times New Roman" w:cs="Times New Roman"/>
          <w:bCs/>
          <w:sz w:val="24"/>
        </w:rPr>
      </w:pPr>
    </w:p>
    <w:p w14:paraId="189BC1D0"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Skema EU CR2:</w:t>
      </w:r>
      <w:r>
        <w:rPr>
          <w:b/>
          <w:sz w:val="24"/>
          <w:rFonts w:ascii="Times New Roman" w:hAnsi="Times New Roman"/>
        </w:rPr>
        <w:t xml:space="preserve"> </w:t>
      </w:r>
      <w:r>
        <w:rPr>
          <w:b/>
          <w:sz w:val="24"/>
          <w:rFonts w:ascii="Times New Roman" w:hAnsi="Times New Roman"/>
        </w:rPr>
        <w:t xml:space="preserve">Ændringer i beholdningen af misligholdte lån og forskud</w:t>
      </w:r>
    </w:p>
    <w:p w14:paraId="2A66F4FF" w14:textId="30D56478" w:rsidR="00F5723F" w:rsidRPr="007F4CC8" w:rsidRDefault="00F5723F" w:rsidP="0090750A">
      <w:pPr>
        <w:pStyle w:val="ListParagraph"/>
        <w:numPr>
          <w:ilvl w:val="0"/>
          <w:numId w:val="17"/>
        </w:numPr>
        <w:spacing w:after="120"/>
        <w:jc w:val="both"/>
        <w:rPr>
          <w:sz w:val="24"/>
          <w:rFonts w:ascii="Times New Roman" w:hAnsi="Times New Roman"/>
        </w:rPr>
      </w:pPr>
      <w:r>
        <w:rPr>
          <w:sz w:val="24"/>
          <w:rFonts w:ascii="Times New Roman" w:hAnsi="Times New Roman"/>
        </w:rPr>
        <w:t xml:space="preserve">Institutterne skal offentliggøre de oplysninger, som er omhandlet i artikel 442, litra f), i CRR, ved at følge nedenstående instrukser til udfyldelse af skema EU CR2, som findes i bilag XV til EBA's IT-løsninger.</w:t>
      </w:r>
      <w:r>
        <w:rPr>
          <w:sz w:val="24"/>
          <w:rFonts w:ascii="Times New Roman" w:hAnsi="Times New Roman"/>
        </w:rPr>
        <w:t xml:space="preserve"> </w:t>
      </w:r>
      <w:r>
        <w:rPr>
          <w:sz w:val="24"/>
          <w:rFonts w:ascii="Times New Roman" w:hAnsi="Times New Roman"/>
        </w:rPr>
        <w:t xml:space="preserve">Institutterne skal i den beskrivelse, der ledsager disse skemaer, forklare væsentlige forskelle mellem de misligholdte værdier, der er oplyst i hver række, og de værdier, det ville have resulteret i, hvis definitionen af "misligholdt" i henhold til artikel 178 i CRR var blevet anvendt.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85EF10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D1A976"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F5723F" w:rsidRPr="007F4CC8" w14:paraId="030A1110" w14:textId="77777777" w:rsidTr="00D819DE">
        <w:trPr>
          <w:trHeight w:val="238"/>
        </w:trPr>
        <w:tc>
          <w:tcPr>
            <w:tcW w:w="1384" w:type="dxa"/>
            <w:shd w:val="clear" w:color="auto" w:fill="D9D9D9" w:themeFill="background1" w:themeFillShade="D9"/>
          </w:tcPr>
          <w:p w14:paraId="1D5084BD"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3501042D"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Forklaring</w:t>
            </w:r>
          </w:p>
        </w:tc>
      </w:tr>
      <w:tr w:rsidR="00F5723F" w:rsidRPr="007F4CC8" w14:paraId="76B8B92A" w14:textId="77777777" w:rsidTr="00D819DE">
        <w:trPr>
          <w:trHeight w:val="971"/>
        </w:trPr>
        <w:tc>
          <w:tcPr>
            <w:tcW w:w="1384" w:type="dxa"/>
          </w:tcPr>
          <w:p w14:paraId="343D36B4" w14:textId="77777777" w:rsidR="00F5723F" w:rsidRPr="007F4CC8" w:rsidRDefault="00F5723F" w:rsidP="00D819DE">
            <w:pPr>
              <w:pStyle w:val="Applicationdirecte"/>
              <w:spacing w:before="0"/>
            </w:pPr>
            <w:r>
              <w:t xml:space="preserve">010</w:t>
            </w:r>
          </w:p>
        </w:tc>
        <w:tc>
          <w:tcPr>
            <w:tcW w:w="7655" w:type="dxa"/>
          </w:tcPr>
          <w:p w14:paraId="2B687175"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Oprindelig beholdning af misligholdte lån og forskud</w:t>
            </w:r>
          </w:p>
          <w:p w14:paraId="60D56CB8"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Den regnskabsmæssige bruttoværdi af beholdningen af misligholdte lån og forskud ved udgangen af sidste regnskabsår.</w:t>
            </w:r>
          </w:p>
        </w:tc>
      </w:tr>
      <w:tr w:rsidR="00F5723F" w:rsidRPr="007F4CC8" w14:paraId="3D1A57AE" w14:textId="77777777" w:rsidTr="00D819DE">
        <w:trPr>
          <w:trHeight w:val="316"/>
        </w:trPr>
        <w:tc>
          <w:tcPr>
            <w:tcW w:w="1384" w:type="dxa"/>
          </w:tcPr>
          <w:p w14:paraId="27A476CC" w14:textId="77777777" w:rsidR="00F5723F" w:rsidRPr="007F4CC8" w:rsidRDefault="00F5723F" w:rsidP="00D819DE">
            <w:pPr>
              <w:autoSpaceDE w:val="0"/>
              <w:autoSpaceDN w:val="0"/>
              <w:adjustRightInd w:val="0"/>
              <w:spacing w:after="120"/>
              <w:jc w:val="both"/>
              <w:rPr>
                <w:color w:val="000000"/>
                <w:sz w:val="24"/>
                <w:rFonts w:ascii="Times New Roman" w:hAnsi="Times New Roman" w:cs="Times New Roman"/>
              </w:rPr>
            </w:pPr>
            <w:r>
              <w:rPr>
                <w:color w:val="000000"/>
                <w:sz w:val="24"/>
                <w:rFonts w:ascii="Times New Roman" w:hAnsi="Times New Roman"/>
              </w:rPr>
              <w:t xml:space="preserve">020</w:t>
            </w:r>
          </w:p>
        </w:tc>
        <w:tc>
          <w:tcPr>
            <w:tcW w:w="7655" w:type="dxa"/>
          </w:tcPr>
          <w:p w14:paraId="6B6E315F"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Indgående pengestrømme til misligholdte porteføljer</w:t>
            </w:r>
          </w:p>
          <w:p w14:paraId="7D68EB5D"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Den regnskabsmæssige bruttoværdi af lån og forskud, der overgik til status som misligholdte i perioden (siden udgangen af sidste regnskabsår).</w:t>
            </w:r>
          </w:p>
        </w:tc>
      </w:tr>
      <w:tr w:rsidR="00F5723F" w:rsidRPr="007F4CC8" w14:paraId="32E47D42" w14:textId="77777777" w:rsidTr="00D819DE">
        <w:trPr>
          <w:trHeight w:val="316"/>
        </w:trPr>
        <w:tc>
          <w:tcPr>
            <w:tcW w:w="1384" w:type="dxa"/>
          </w:tcPr>
          <w:p w14:paraId="36A282A8" w14:textId="77777777" w:rsidR="00F5723F" w:rsidRPr="007F4CC8" w:rsidRDefault="00F5723F" w:rsidP="00D819DE">
            <w:pPr>
              <w:autoSpaceDE w:val="0"/>
              <w:autoSpaceDN w:val="0"/>
              <w:adjustRightInd w:val="0"/>
              <w:spacing w:after="120"/>
              <w:jc w:val="both"/>
              <w:rPr>
                <w:color w:val="000000"/>
                <w:sz w:val="24"/>
                <w:rFonts w:ascii="Times New Roman" w:hAnsi="Times New Roman" w:cs="Times New Roman"/>
              </w:rPr>
            </w:pPr>
            <w:r>
              <w:rPr>
                <w:color w:val="000000"/>
                <w:sz w:val="24"/>
                <w:rFonts w:ascii="Times New Roman" w:hAnsi="Times New Roman"/>
              </w:rPr>
              <w:t xml:space="preserve">030</w:t>
            </w:r>
          </w:p>
        </w:tc>
        <w:tc>
          <w:tcPr>
            <w:tcW w:w="7655" w:type="dxa"/>
          </w:tcPr>
          <w:p w14:paraId="137B35B6"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Udgående pengestrømme fra misligholdte porteføljer</w:t>
            </w:r>
          </w:p>
          <w:p w14:paraId="78C82FF3"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Den regnskabsmæssige bruttoværdi af lån og forskud, der ophørte med at blive anset for misligholdte.</w:t>
            </w:r>
          </w:p>
        </w:tc>
      </w:tr>
      <w:tr w:rsidR="00F5723F" w:rsidRPr="007F4CC8" w14:paraId="75E42386" w14:textId="77777777" w:rsidTr="00D819DE">
        <w:trPr>
          <w:trHeight w:val="316"/>
        </w:trPr>
        <w:tc>
          <w:tcPr>
            <w:tcW w:w="1384" w:type="dxa"/>
          </w:tcPr>
          <w:p w14:paraId="02A609BF" w14:textId="77777777" w:rsidR="00F5723F" w:rsidRPr="007F4CC8" w:rsidRDefault="00F5723F" w:rsidP="00D819DE">
            <w:pPr>
              <w:autoSpaceDE w:val="0"/>
              <w:autoSpaceDN w:val="0"/>
              <w:adjustRightInd w:val="0"/>
              <w:spacing w:after="120"/>
              <w:jc w:val="both"/>
              <w:rPr>
                <w:color w:val="000000"/>
                <w:sz w:val="24"/>
                <w:rFonts w:ascii="Times New Roman" w:hAnsi="Times New Roman" w:cs="Times New Roman"/>
              </w:rPr>
            </w:pPr>
            <w:r>
              <w:rPr>
                <w:color w:val="000000"/>
                <w:sz w:val="24"/>
                <w:rFonts w:ascii="Times New Roman" w:hAnsi="Times New Roman"/>
              </w:rPr>
              <w:t xml:space="preserve">040</w:t>
            </w:r>
          </w:p>
        </w:tc>
        <w:tc>
          <w:tcPr>
            <w:tcW w:w="7655" w:type="dxa"/>
          </w:tcPr>
          <w:p w14:paraId="36D0A3C7"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Udgående pengestrøm som følge af afskrivninger</w:t>
            </w:r>
            <w:r>
              <w:rPr>
                <w:b/>
                <w:sz w:val="24"/>
                <w:rFonts w:ascii="Times New Roman" w:hAnsi="Times New Roman"/>
              </w:rPr>
              <w:t xml:space="preserve"> </w:t>
            </w:r>
          </w:p>
          <w:p w14:paraId="7D27D665"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Hele eller delvise afskrivninger af de samlede lån og forskud, der er bogført i referenceperioden.</w:t>
            </w:r>
          </w:p>
          <w:p w14:paraId="7C58CE02"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En (hel eller delvis) afskrivning udgør et tilfælde af ophør af indregning.</w:t>
            </w:r>
            <w:r>
              <w:rPr>
                <w:sz w:val="24"/>
                <w:rFonts w:ascii="Times New Roman" w:hAnsi="Times New Roman"/>
              </w:rPr>
              <w:t xml:space="preserve"> </w:t>
            </w:r>
            <w:r>
              <w:rPr>
                <w:sz w:val="24"/>
                <w:rFonts w:ascii="Times New Roman" w:hAnsi="Times New Roman"/>
              </w:rPr>
              <w:t xml:space="preserve">Den regnskabsmæssige bruttoværdi af lån og forskud reduceres derfor med værdien af afskrivninger.</w:t>
            </w:r>
            <w:r>
              <w:rPr>
                <w:sz w:val="24"/>
                <w:rFonts w:ascii="Times New Roman" w:hAnsi="Times New Roman"/>
              </w:rPr>
              <w:t xml:space="preserve"> </w:t>
            </w:r>
            <w:r>
              <w:rPr>
                <w:sz w:val="24"/>
                <w:rFonts w:ascii="Times New Roman" w:hAnsi="Times New Roman"/>
              </w:rPr>
              <w:t xml:space="preserve">Gældseftergivelse i forbindelse med kreditlempelser, dvs. afskrivninger, hvor beløbet for udestående gæld fra låntageren er blevet annulleret (instituttet mister retten til lovligt at inddrive gælden), medtages ligeledes i denne kategori.</w:t>
            </w:r>
          </w:p>
        </w:tc>
      </w:tr>
      <w:tr w:rsidR="00F5723F" w:rsidRPr="007F4CC8" w14:paraId="042011E9" w14:textId="77777777" w:rsidTr="00D819DE">
        <w:trPr>
          <w:trHeight w:val="316"/>
        </w:trPr>
        <w:tc>
          <w:tcPr>
            <w:tcW w:w="1384" w:type="dxa"/>
          </w:tcPr>
          <w:p w14:paraId="4C33D52C" w14:textId="77777777" w:rsidR="00F5723F" w:rsidRPr="007F4CC8" w:rsidRDefault="00F5723F" w:rsidP="00D819DE">
            <w:pPr>
              <w:autoSpaceDE w:val="0"/>
              <w:autoSpaceDN w:val="0"/>
              <w:adjustRightInd w:val="0"/>
              <w:spacing w:after="120"/>
              <w:jc w:val="both"/>
              <w:rPr>
                <w:color w:val="000000"/>
                <w:sz w:val="24"/>
                <w:rFonts w:ascii="Times New Roman" w:hAnsi="Times New Roman" w:cs="Times New Roman"/>
              </w:rPr>
            </w:pPr>
            <w:r>
              <w:rPr>
                <w:color w:val="000000"/>
                <w:sz w:val="24"/>
                <w:rFonts w:ascii="Times New Roman" w:hAnsi="Times New Roman"/>
              </w:rPr>
              <w:t xml:space="preserve">050</w:t>
            </w:r>
          </w:p>
        </w:tc>
        <w:tc>
          <w:tcPr>
            <w:tcW w:w="7655" w:type="dxa"/>
          </w:tcPr>
          <w:p w14:paraId="7B85DECF"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Udgående pengestrøm, andre situationer</w:t>
            </w:r>
            <w:r>
              <w:rPr>
                <w:b/>
                <w:sz w:val="24"/>
                <w:rFonts w:ascii="Times New Roman" w:hAnsi="Times New Roman"/>
              </w:rPr>
              <w:t xml:space="preserve"> </w:t>
            </w:r>
          </w:p>
          <w:p w14:paraId="59C1A5A1"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Andre reduktioner af den regnskabsmæssige værdi af lån og forskud end nedskrivninger medtages i denne række.</w:t>
            </w:r>
            <w:r>
              <w:rPr>
                <w:sz w:val="24"/>
                <w:rFonts w:ascii="Times New Roman" w:hAnsi="Times New Roman"/>
              </w:rPr>
              <w:t xml:space="preserve"> </w:t>
            </w:r>
            <w:r>
              <w:rPr>
                <w:sz w:val="24"/>
                <w:rFonts w:ascii="Times New Roman" w:hAnsi="Times New Roman"/>
              </w:rPr>
              <w:t xml:space="preserve">Disse justeringer kan f.eks. omfatte udgående pengestrøm som følge af:</w:t>
            </w:r>
            <w:r>
              <w:rPr>
                <w:sz w:val="24"/>
                <w:rFonts w:ascii="Times New Roman" w:hAnsi="Times New Roman"/>
              </w:rPr>
              <w:t xml:space="preserve"> </w:t>
            </w:r>
            <w:r>
              <w:rPr>
                <w:sz w:val="24"/>
                <w:rFonts w:ascii="Times New Roman" w:hAnsi="Times New Roman"/>
              </w:rPr>
              <w:t xml:space="preserve">i) hel eller delvis tilbagebetaling af lån,</w:t>
            </w:r>
            <w:r>
              <w:rPr>
                <w:sz w:val="24"/>
                <w:rFonts w:ascii="Times New Roman" w:hAnsi="Times New Roman"/>
              </w:rPr>
              <w:t xml:space="preserve"> </w:t>
            </w:r>
            <w:r>
              <w:rPr>
                <w:sz w:val="24"/>
                <w:rFonts w:ascii="Times New Roman" w:hAnsi="Times New Roman"/>
              </w:rPr>
              <w:t xml:space="preserve">ii) likvidation af sikkerhedsstillelse,</w:t>
            </w:r>
            <w:r>
              <w:rPr>
                <w:sz w:val="24"/>
                <w:rFonts w:ascii="Times New Roman" w:hAnsi="Times New Roman"/>
              </w:rPr>
              <w:t xml:space="preserve"> </w:t>
            </w:r>
            <w:r>
              <w:rPr>
                <w:sz w:val="24"/>
                <w:rFonts w:ascii="Times New Roman" w:hAnsi="Times New Roman"/>
              </w:rPr>
              <w:t xml:space="preserve">iii) overtagelse af sikkerhedsstillelse, iv) salg af instrumenter,</w:t>
            </w:r>
            <w:r>
              <w:rPr>
                <w:sz w:val="24"/>
                <w:rFonts w:ascii="Times New Roman" w:hAnsi="Times New Roman"/>
              </w:rPr>
              <w:t xml:space="preserve"> </w:t>
            </w:r>
            <w:r>
              <w:rPr>
                <w:sz w:val="24"/>
                <w:rFonts w:ascii="Times New Roman" w:hAnsi="Times New Roman"/>
              </w:rPr>
              <w:t xml:space="preserve">v) risikooverførsler,</w:t>
            </w:r>
            <w:r>
              <w:rPr>
                <w:sz w:val="24"/>
                <w:rFonts w:ascii="Times New Roman" w:hAnsi="Times New Roman"/>
              </w:rPr>
              <w:t xml:space="preserve"> </w:t>
            </w:r>
            <w:r>
              <w:rPr>
                <w:sz w:val="24"/>
                <w:rFonts w:ascii="Times New Roman" w:hAnsi="Times New Roman"/>
              </w:rPr>
              <w:t xml:space="preserve">vi) ændringer i udenlandsk valuta,</w:t>
            </w:r>
            <w:r>
              <w:rPr>
                <w:sz w:val="24"/>
                <w:rFonts w:ascii="Times New Roman" w:hAnsi="Times New Roman"/>
              </w:rPr>
              <w:t xml:space="preserve"> </w:t>
            </w:r>
            <w:r>
              <w:rPr>
                <w:sz w:val="24"/>
                <w:rFonts w:ascii="Times New Roman" w:hAnsi="Times New Roman"/>
              </w:rPr>
              <w:t xml:space="preserve">vii) andre afviklingsforanstaltninger,</w:t>
            </w:r>
            <w:r>
              <w:rPr>
                <w:sz w:val="24"/>
                <w:rFonts w:ascii="Times New Roman" w:hAnsi="Times New Roman"/>
              </w:rPr>
              <w:t xml:space="preserve"> </w:t>
            </w:r>
            <w:r>
              <w:rPr>
                <w:sz w:val="24"/>
                <w:rFonts w:ascii="Times New Roman" w:hAnsi="Times New Roman"/>
              </w:rPr>
              <w:t xml:space="preserve">viii) omklassificeringer mellem aktivklasser osv. Justeringerne skal desuden omfatte udgående pengestrøm som følge af omklassificering til besiddelse med henblik på salg.</w:t>
            </w:r>
            <w:r>
              <w:rPr>
                <w:sz w:val="24"/>
                <w:rFonts w:ascii="Times New Roman" w:hAnsi="Times New Roman"/>
              </w:rPr>
              <w:t xml:space="preserve"> </w:t>
            </w:r>
          </w:p>
          <w:p w14:paraId="74FC0A32"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Hvis beløbet i denne kategori er betydeligt, skal institutterne give yderligere oplysninger i den beskrivelse, der ledsager dette skema.</w:t>
            </w:r>
          </w:p>
        </w:tc>
      </w:tr>
      <w:tr w:rsidR="00F5723F" w:rsidRPr="007F4CC8" w14:paraId="7DAACFA0" w14:textId="77777777" w:rsidTr="00D819DE">
        <w:trPr>
          <w:trHeight w:val="316"/>
        </w:trPr>
        <w:tc>
          <w:tcPr>
            <w:tcW w:w="1384" w:type="dxa"/>
          </w:tcPr>
          <w:p w14:paraId="5D5BC0EE" w14:textId="77777777" w:rsidR="00F5723F" w:rsidRPr="007F4CC8" w:rsidRDefault="00F5723F" w:rsidP="00D819DE">
            <w:pPr>
              <w:autoSpaceDE w:val="0"/>
              <w:autoSpaceDN w:val="0"/>
              <w:adjustRightInd w:val="0"/>
              <w:spacing w:after="120"/>
              <w:jc w:val="both"/>
              <w:rPr>
                <w:color w:val="000000"/>
                <w:sz w:val="24"/>
                <w:rFonts w:ascii="Times New Roman" w:hAnsi="Times New Roman" w:cs="Times New Roman"/>
              </w:rPr>
            </w:pPr>
            <w:r>
              <w:rPr>
                <w:color w:val="000000"/>
                <w:sz w:val="24"/>
                <w:rFonts w:ascii="Times New Roman" w:hAnsi="Times New Roman"/>
              </w:rPr>
              <w:t xml:space="preserve">060</w:t>
            </w:r>
          </w:p>
        </w:tc>
        <w:tc>
          <w:tcPr>
            <w:tcW w:w="7655" w:type="dxa"/>
          </w:tcPr>
          <w:p w14:paraId="24054786"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Slutbeholdning af misligholdte lån og forskud</w:t>
            </w:r>
          </w:p>
          <w:p w14:paraId="7995AA15"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Den regnskabsmæssige bruttoværdi af beholdningen af misligholdte lån og forskud på referencedatoen for offentliggørelsen.</w:t>
            </w:r>
          </w:p>
        </w:tc>
      </w:tr>
    </w:tbl>
    <w:p w14:paraId="1CEC31D3" w14:textId="77777777" w:rsidR="00F5723F" w:rsidRPr="007F4CC8" w:rsidRDefault="00F5723F" w:rsidP="00F5723F">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6EAD923" w14:textId="77777777" w:rsidTr="00D819DE">
        <w:trPr>
          <w:trHeight w:val="238"/>
        </w:trPr>
        <w:tc>
          <w:tcPr>
            <w:tcW w:w="9039" w:type="dxa"/>
            <w:gridSpan w:val="2"/>
            <w:shd w:val="clear" w:color="auto" w:fill="D9D9D9" w:themeFill="background1" w:themeFillShade="D9"/>
          </w:tcPr>
          <w:p w14:paraId="2C403981"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Henvisninger til retsakter og instrukser</w:t>
            </w:r>
          </w:p>
        </w:tc>
      </w:tr>
      <w:tr w:rsidR="00F5723F" w:rsidRPr="007F4CC8" w14:paraId="36FC2187" w14:textId="77777777" w:rsidTr="00D819DE">
        <w:trPr>
          <w:trHeight w:val="238"/>
        </w:trPr>
        <w:tc>
          <w:tcPr>
            <w:tcW w:w="1384" w:type="dxa"/>
            <w:shd w:val="clear" w:color="auto" w:fill="D9D9D9" w:themeFill="background1" w:themeFillShade="D9"/>
          </w:tcPr>
          <w:p w14:paraId="6A98F44C"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Kolonne nr.</w:t>
            </w:r>
          </w:p>
        </w:tc>
        <w:tc>
          <w:tcPr>
            <w:tcW w:w="7655" w:type="dxa"/>
            <w:shd w:val="clear" w:color="auto" w:fill="D9D9D9" w:themeFill="background1" w:themeFillShade="D9"/>
          </w:tcPr>
          <w:p w14:paraId="08E0E69F"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Forklaring</w:t>
            </w:r>
          </w:p>
        </w:tc>
      </w:tr>
      <w:tr w:rsidR="00F5723F" w:rsidRPr="007F4CC8" w14:paraId="2DD7347B" w14:textId="77777777" w:rsidTr="00D819DE">
        <w:trPr>
          <w:trHeight w:val="841"/>
        </w:trPr>
        <w:tc>
          <w:tcPr>
            <w:tcW w:w="1384" w:type="dxa"/>
          </w:tcPr>
          <w:p w14:paraId="019F01A0" w14:textId="77777777" w:rsidR="00F5723F" w:rsidRPr="007F4CC8" w:rsidRDefault="00F5723F" w:rsidP="00D819DE">
            <w:pPr>
              <w:pStyle w:val="Applicationdirecte"/>
              <w:spacing w:before="0"/>
            </w:pPr>
            <w:r>
              <w:t xml:space="preserve">a</w:t>
            </w:r>
          </w:p>
        </w:tc>
        <w:tc>
          <w:tcPr>
            <w:tcW w:w="7655" w:type="dxa"/>
          </w:tcPr>
          <w:p w14:paraId="4C0E18D6" w14:textId="77777777" w:rsidR="00F5723F" w:rsidRPr="007F4CC8" w:rsidRDefault="00F5723F" w:rsidP="00D819DE">
            <w:pPr>
              <w:pStyle w:val="Fait"/>
              <w:spacing w:before="0" w:after="120"/>
              <w:rPr>
                <w:b/>
                <w:rFonts w:eastAsiaTheme="minorEastAsia"/>
              </w:rPr>
            </w:pPr>
            <w:r>
              <w:rPr>
                <w:b/>
              </w:rPr>
              <w:t xml:space="preserve">Regnskabsmæssig bruttoværdi</w:t>
            </w:r>
            <w:r>
              <w:rPr>
                <w:b/>
              </w:rPr>
              <w:t xml:space="preserve"> </w:t>
            </w:r>
          </w:p>
          <w:p w14:paraId="53DBAF0C" w14:textId="77777777" w:rsidR="00F5723F" w:rsidRPr="007F4CC8" w:rsidRDefault="00F5723F" w:rsidP="00D819DE">
            <w:pPr>
              <w:autoSpaceDE w:val="0"/>
              <w:autoSpaceDN w:val="0"/>
              <w:adjustRightInd w:val="0"/>
              <w:spacing w:after="120"/>
              <w:jc w:val="both"/>
            </w:pPr>
            <w:r>
              <w:rPr>
                <w:sz w:val="24"/>
                <w:rFonts w:ascii="Times New Roman" w:hAnsi="Times New Roman"/>
              </w:rPr>
              <w:t xml:space="preserve">Regnskabsmæssig bruttoværdi som defineret i bilag V, del 1, punkt 34, til Kommissionens gennemførelsesforordning (EU) nr. 680/2014.</w:t>
            </w:r>
          </w:p>
        </w:tc>
      </w:tr>
    </w:tbl>
    <w:p w14:paraId="34051359" w14:textId="77777777" w:rsidR="00F5723F" w:rsidRPr="007F4CC8" w:rsidRDefault="00F5723F" w:rsidP="00F5723F">
      <w:pPr>
        <w:spacing w:after="120"/>
        <w:jc w:val="both"/>
        <w:rPr>
          <w:rFonts w:ascii="Times New Roman" w:hAnsi="Times New Roman" w:cs="Times New Roman"/>
          <w:bCs/>
          <w:sz w:val="24"/>
        </w:rPr>
      </w:pPr>
    </w:p>
    <w:p w14:paraId="41C40DCE"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Skema EU CR2a:</w:t>
      </w:r>
      <w:r>
        <w:rPr>
          <w:b/>
          <w:sz w:val="24"/>
          <w:rFonts w:ascii="Times New Roman" w:hAnsi="Times New Roman"/>
        </w:rPr>
        <w:t xml:space="preserve"> </w:t>
      </w:r>
      <w:r>
        <w:rPr>
          <w:b/>
          <w:sz w:val="24"/>
          <w:rFonts w:ascii="Times New Roman" w:hAnsi="Times New Roman"/>
        </w:rPr>
        <w:t xml:space="preserve">Ændringer i beholdningen af misligholdte lån og forskud og akkumulerede inddrevne nettobeløb i forbindelse hermed</w:t>
      </w:r>
    </w:p>
    <w:p w14:paraId="195274D3" w14:textId="0C0B32A4" w:rsidR="00F5723F" w:rsidRPr="007F4CC8" w:rsidRDefault="00BE49C3" w:rsidP="0090750A">
      <w:pPr>
        <w:pStyle w:val="ListParagraph"/>
        <w:numPr>
          <w:ilvl w:val="0"/>
          <w:numId w:val="17"/>
        </w:numPr>
        <w:autoSpaceDE w:val="0"/>
        <w:autoSpaceDN w:val="0"/>
        <w:adjustRightInd w:val="0"/>
        <w:spacing w:after="120"/>
        <w:jc w:val="both"/>
        <w:rPr>
          <w:b/>
          <w:sz w:val="24"/>
          <w:rFonts w:ascii="Times New Roman" w:hAnsi="Times New Roman"/>
        </w:rPr>
      </w:pPr>
      <w:r>
        <w:rPr>
          <w:sz w:val="24"/>
          <w:rFonts w:ascii="Times New Roman" w:hAnsi="Times New Roman"/>
        </w:rPr>
        <w:t xml:space="preserve">Store institutter som omhandlet i denne gennemførelsesforordnings artikel 8, stk. 2, skal offentliggøre de oplysninger, som er omhandlet i artikel 442, litra c) og f), i CRR, ved at følge nedenstående instrukser til udfyldelse af skema EU CR2a, som findes i bilag XV til EBA's IT-løsninger.</w:t>
      </w:r>
      <w:r>
        <w:rPr>
          <w:sz w:val="24"/>
          <w:rFonts w:ascii="Times New Roman" w:hAnsi="Times New Roman"/>
        </w:rPr>
        <w:t xml:space="preserve"> </w:t>
      </w:r>
      <w:r>
        <w:rPr>
          <w:sz w:val="24"/>
          <w:rFonts w:ascii="Times New Roman" w:hAnsi="Times New Roman"/>
        </w:rPr>
        <w:t xml:space="preserve">Institutterne skal i den beskrivelse, der ledsager disse skemaer, forklare væsentlige forskelle mellem de misligholdte værdier, der er oplyst i hver række, og de værdier, det ville have resulteret i, hvis definitionen af "misligholdt" i henhold til artikel 178 i CRR var blevet anvendt, især for så vidt angår række 010, 030, 100 og 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1CE61D"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588617"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F5723F" w:rsidRPr="007F4CC8" w14:paraId="6B87383C" w14:textId="77777777" w:rsidTr="00D819DE">
        <w:trPr>
          <w:trHeight w:val="238"/>
        </w:trPr>
        <w:tc>
          <w:tcPr>
            <w:tcW w:w="1384" w:type="dxa"/>
            <w:shd w:val="clear" w:color="auto" w:fill="D9D9D9" w:themeFill="background1" w:themeFillShade="D9"/>
          </w:tcPr>
          <w:p w14:paraId="15B4C48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52E30D6F"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Forklaring</w:t>
            </w:r>
          </w:p>
        </w:tc>
      </w:tr>
      <w:tr w:rsidR="00F5723F" w:rsidRPr="007F4CC8" w14:paraId="78638401" w14:textId="77777777" w:rsidTr="00D819DE">
        <w:trPr>
          <w:trHeight w:val="971"/>
        </w:trPr>
        <w:tc>
          <w:tcPr>
            <w:tcW w:w="1384" w:type="dxa"/>
          </w:tcPr>
          <w:p w14:paraId="3D8538A1" w14:textId="77777777" w:rsidR="00F5723F" w:rsidRPr="007F4CC8" w:rsidRDefault="00F5723F" w:rsidP="00D819DE">
            <w:pPr>
              <w:pStyle w:val="Applicationdirecte"/>
              <w:spacing w:before="0"/>
            </w:pPr>
            <w:r>
              <w:t xml:space="preserve">010</w:t>
            </w:r>
          </w:p>
        </w:tc>
        <w:tc>
          <w:tcPr>
            <w:tcW w:w="7655" w:type="dxa"/>
          </w:tcPr>
          <w:p w14:paraId="3ADA4271"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Oprindelig beholdning af misligholdte lån og forskud</w:t>
            </w:r>
          </w:p>
          <w:p w14:paraId="6233CD9A"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Den regnskabsmæssige bruttoværdi af beholdningen af misligholdte lån og forskud ved udgangen af sidste regnskabsår.</w:t>
            </w:r>
          </w:p>
        </w:tc>
      </w:tr>
      <w:tr w:rsidR="00F5723F" w:rsidRPr="007F4CC8" w14:paraId="167E31B5" w14:textId="77777777" w:rsidTr="00D819DE">
        <w:trPr>
          <w:trHeight w:val="316"/>
        </w:trPr>
        <w:tc>
          <w:tcPr>
            <w:tcW w:w="1384" w:type="dxa"/>
          </w:tcPr>
          <w:p w14:paraId="1CCC0C42"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020</w:t>
            </w:r>
          </w:p>
        </w:tc>
        <w:tc>
          <w:tcPr>
            <w:tcW w:w="7655" w:type="dxa"/>
          </w:tcPr>
          <w:p w14:paraId="5AFEF70C"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Indgående pengestrømme til misligholdte porteføljer</w:t>
            </w:r>
          </w:p>
          <w:p w14:paraId="0258749C"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Den regnskabsmæssige bruttoværdi af lån og forskud, der overgik til status som misligholdte i perioden (siden udgangen af sidste regnskabsår).</w:t>
            </w:r>
          </w:p>
        </w:tc>
      </w:tr>
      <w:tr w:rsidR="00F5723F" w:rsidRPr="007F4CC8" w14:paraId="7220296C" w14:textId="77777777" w:rsidTr="00D819DE">
        <w:trPr>
          <w:trHeight w:val="316"/>
        </w:trPr>
        <w:tc>
          <w:tcPr>
            <w:tcW w:w="1384" w:type="dxa"/>
          </w:tcPr>
          <w:p w14:paraId="0245A69B"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030</w:t>
            </w:r>
          </w:p>
        </w:tc>
        <w:tc>
          <w:tcPr>
            <w:tcW w:w="7655" w:type="dxa"/>
          </w:tcPr>
          <w:p w14:paraId="4515351E"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Udgående pengestrømme fra misligholdte porteføljer</w:t>
            </w:r>
          </w:p>
          <w:p w14:paraId="59A38B34"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Den regnskabsmæssige bruttoværdi af lån og forskud, der ophørte med at blive anset for misligholdte.</w:t>
            </w:r>
          </w:p>
        </w:tc>
      </w:tr>
      <w:tr w:rsidR="00F5723F" w:rsidRPr="007F4CC8" w14:paraId="6C1E7B30" w14:textId="77777777" w:rsidTr="00D819DE">
        <w:trPr>
          <w:trHeight w:val="316"/>
        </w:trPr>
        <w:tc>
          <w:tcPr>
            <w:tcW w:w="1384" w:type="dxa"/>
          </w:tcPr>
          <w:p w14:paraId="56E204C7"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040</w:t>
            </w:r>
          </w:p>
        </w:tc>
        <w:tc>
          <w:tcPr>
            <w:tcW w:w="7655" w:type="dxa"/>
          </w:tcPr>
          <w:p w14:paraId="37DE198A"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Udgående pengestrøm til ikkemisligholdt portefølje</w:t>
            </w:r>
          </w:p>
          <w:p w14:paraId="5E869567"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Den regnskabsmæssige bruttoværdi af lån og forskud, der ophørte med at blive anset for misligholdte og blev til ikkemisligholdte i perioden (siden udgangen af sidste regnskabsår).</w:t>
            </w:r>
          </w:p>
        </w:tc>
      </w:tr>
      <w:tr w:rsidR="00F5723F" w:rsidRPr="007F4CC8" w14:paraId="1527BDFA" w14:textId="77777777" w:rsidTr="00D819DE">
        <w:trPr>
          <w:trHeight w:val="316"/>
        </w:trPr>
        <w:tc>
          <w:tcPr>
            <w:tcW w:w="1384" w:type="dxa"/>
          </w:tcPr>
          <w:p w14:paraId="6868DA6B"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050</w:t>
            </w:r>
          </w:p>
        </w:tc>
        <w:tc>
          <w:tcPr>
            <w:tcW w:w="7655" w:type="dxa"/>
          </w:tcPr>
          <w:p w14:paraId="19902FFD"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Udgående pengestrøm som følge af delvis eller hel tilbagebetaling af lån</w:t>
            </w:r>
          </w:p>
          <w:p w14:paraId="4B8DACB7"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Reduktionen af den regnskabsmæssige bruttoværdi af misligholdte lån og forskud som følge af kontantbetalinger, navnlig almindelige betalinger i form af tilbagebetalinger af kapital og ad hoc-tilbagebetalinger i perioden (siden udgangen af sidste regnskabsår).</w:t>
            </w:r>
          </w:p>
        </w:tc>
      </w:tr>
      <w:tr w:rsidR="00F5723F" w:rsidRPr="007F4CC8" w14:paraId="07C8263F" w14:textId="77777777" w:rsidTr="00D819DE">
        <w:trPr>
          <w:trHeight w:val="316"/>
        </w:trPr>
        <w:tc>
          <w:tcPr>
            <w:tcW w:w="1384" w:type="dxa"/>
          </w:tcPr>
          <w:p w14:paraId="30AFDCF7"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060</w:t>
            </w:r>
          </w:p>
        </w:tc>
        <w:tc>
          <w:tcPr>
            <w:tcW w:w="7655" w:type="dxa"/>
          </w:tcPr>
          <w:p w14:paraId="65BCAB99"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Udgående pengestrøm som følge af likvidation af sikkerhedsstillelse</w:t>
            </w:r>
            <w:r>
              <w:rPr>
                <w:b/>
                <w:sz w:val="24"/>
                <w:rFonts w:ascii="Times New Roman" w:hAnsi="Times New Roman"/>
              </w:rPr>
              <w:t xml:space="preserve"> </w:t>
            </w:r>
          </w:p>
          <w:p w14:paraId="120FEB72"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Indvirkningen på den regnskabsmæssige bruttoværdi af et instrument som følge af likvidation af enhver form for sikkerhedsstillelse oplyses i denne række.</w:t>
            </w:r>
            <w:r>
              <w:rPr>
                <w:sz w:val="24"/>
                <w:rFonts w:ascii="Times New Roman" w:hAnsi="Times New Roman"/>
              </w:rPr>
              <w:t xml:space="preserve"> </w:t>
            </w:r>
            <w:r>
              <w:rPr>
                <w:sz w:val="24"/>
                <w:rFonts w:ascii="Times New Roman" w:hAnsi="Times New Roman"/>
              </w:rPr>
              <w:t xml:space="preserve">Udgående pengestrømme som følge af anden likvidation eller retlige procedurer og frivilligt salg af ejendom medtages ligeledes i denne række.</w:t>
            </w:r>
            <w:r>
              <w:rPr>
                <w:sz w:val="24"/>
                <w:rFonts w:ascii="Times New Roman" w:hAnsi="Times New Roman"/>
              </w:rPr>
              <w:t xml:space="preserve"> </w:t>
            </w:r>
            <w:r>
              <w:rPr>
                <w:sz w:val="24"/>
                <w:rFonts w:ascii="Times New Roman" w:hAnsi="Times New Roman"/>
              </w:rPr>
              <w:t xml:space="preserve">For at undgå tvivl gøres der opmærksom på, at det er nødvendigt at oplyse den regnskabsmæssige bruttoværdi af instrumentet, herunder eventuelle ledsagende delvise afskrivninger.</w:t>
            </w:r>
            <w:r>
              <w:rPr>
                <w:sz w:val="24"/>
                <w:rFonts w:ascii="Times New Roman" w:hAnsi="Times New Roman"/>
              </w:rPr>
              <w:t xml:space="preserve"> </w:t>
            </w:r>
            <w:r>
              <w:rPr>
                <w:sz w:val="24"/>
                <w:rFonts w:ascii="Times New Roman" w:hAnsi="Times New Roman"/>
              </w:rPr>
              <w:t xml:space="preserve">Der gøres endvidere opmærksom på, at de udgående pengestrømme ikke nødvendigvis er lig med summen af akkumulerede inddrevne nettobeløb og delvise afskrivninger.</w:t>
            </w:r>
          </w:p>
        </w:tc>
      </w:tr>
      <w:tr w:rsidR="00F5723F" w:rsidRPr="007F4CC8" w14:paraId="3F7719DF" w14:textId="77777777" w:rsidTr="00D819DE">
        <w:trPr>
          <w:trHeight w:val="316"/>
        </w:trPr>
        <w:tc>
          <w:tcPr>
            <w:tcW w:w="1384" w:type="dxa"/>
          </w:tcPr>
          <w:p w14:paraId="246FEA5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060 kolonne b</w:t>
            </w:r>
          </w:p>
        </w:tc>
        <w:tc>
          <w:tcPr>
            <w:tcW w:w="7655" w:type="dxa"/>
          </w:tcPr>
          <w:p w14:paraId="747E194B"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Akkumulerede inddrevne nettobeløb i forbindelse hermed</w:t>
            </w:r>
            <w:r>
              <w:rPr>
                <w:b/>
                <w:sz w:val="24"/>
                <w:rFonts w:ascii="Times New Roman" w:hAnsi="Times New Roman"/>
              </w:rPr>
              <w:t xml:space="preserve"> </w:t>
            </w:r>
          </w:p>
          <w:p w14:paraId="249D3E98"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Beløb i kontanter eller likvide midler, der er opkrævet som følge af likvidation af sikkerhedsstillelse (med fradrag af omkostninger i forbindelse med likvidation af sikkerhedsstillelse), oplyses i denne række.</w:t>
            </w:r>
          </w:p>
        </w:tc>
      </w:tr>
      <w:tr w:rsidR="00F5723F" w:rsidRPr="007F4CC8" w14:paraId="241E2A01" w14:textId="77777777" w:rsidTr="00D819DE">
        <w:trPr>
          <w:trHeight w:val="316"/>
        </w:trPr>
        <w:tc>
          <w:tcPr>
            <w:tcW w:w="1384" w:type="dxa"/>
          </w:tcPr>
          <w:p w14:paraId="572852E2"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070</w:t>
            </w:r>
          </w:p>
        </w:tc>
        <w:tc>
          <w:tcPr>
            <w:tcW w:w="7655" w:type="dxa"/>
          </w:tcPr>
          <w:p w14:paraId="41007DE5"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Udgående pengestrøm som følge af overtagelse af sikkerhedsstillelse</w:t>
            </w:r>
            <w:r>
              <w:rPr>
                <w:b/>
                <w:sz w:val="24"/>
                <w:rFonts w:ascii="Times New Roman" w:hAnsi="Times New Roman"/>
              </w:rPr>
              <w:t xml:space="preserve"> </w:t>
            </w:r>
          </w:p>
          <w:p w14:paraId="4AEA9335"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Indvirkningen på den regnskabsmæssige bruttoværdi af et instrument som følge af overtagelse af enhver form for pant oplyses i denne række.</w:t>
            </w:r>
            <w:r>
              <w:rPr>
                <w:sz w:val="24"/>
                <w:rFonts w:ascii="Times New Roman" w:hAnsi="Times New Roman"/>
              </w:rPr>
              <w:t xml:space="preserve"> </w:t>
            </w:r>
            <w:r>
              <w:rPr>
                <w:sz w:val="24"/>
                <w:rFonts w:ascii="Times New Roman" w:hAnsi="Times New Roman"/>
              </w:rPr>
              <w:t xml:space="preserve">"Overtagelse" henviser til erhvervelse af pant i anden form end kontanter, som instituttet eller et koncerndatterselskab har erhvervet ejendomsretten til, og som endnu ikke er blevet solgt til en tredjepart.</w:t>
            </w:r>
            <w:r>
              <w:rPr>
                <w:sz w:val="24"/>
                <w:rFonts w:ascii="Times New Roman" w:hAnsi="Times New Roman"/>
              </w:rPr>
              <w:t xml:space="preserve"> </w:t>
            </w:r>
            <w:r>
              <w:rPr>
                <w:sz w:val="24"/>
                <w:rFonts w:ascii="Times New Roman" w:hAnsi="Times New Roman"/>
              </w:rPr>
              <w:t xml:space="preserve">Gældsassetswaps, frivillige returneringer og debt-equity-swaps medtages også i denne kategori.</w:t>
            </w:r>
            <w:r>
              <w:rPr>
                <w:sz w:val="24"/>
                <w:rFonts w:ascii="Times New Roman" w:hAnsi="Times New Roman"/>
              </w:rPr>
              <w:t xml:space="preserve"> </w:t>
            </w:r>
            <w:r>
              <w:rPr>
                <w:sz w:val="24"/>
                <w:rFonts w:ascii="Times New Roman" w:hAnsi="Times New Roman"/>
              </w:rPr>
              <w:t xml:space="preserve">For at undgå tvivl gøres der opmærksom på, at det er nødvendigt at oplyse den regnskabsmæssige bruttoværdi af instrumentet, herunder eventuelle ledsagende delvise afskrivninger.</w:t>
            </w:r>
            <w:r>
              <w:rPr>
                <w:sz w:val="24"/>
                <w:rFonts w:ascii="Times New Roman" w:hAnsi="Times New Roman"/>
              </w:rPr>
              <w:t xml:space="preserve"> </w:t>
            </w:r>
            <w:r>
              <w:rPr>
                <w:sz w:val="24"/>
                <w:rFonts w:ascii="Times New Roman" w:hAnsi="Times New Roman"/>
              </w:rPr>
              <w:t xml:space="preserve">Der gøres endvidere opmærksom på, at de udgående pengestrømme ikke nødvendigvis er lig med summen af akkumulerede inddrevne nettobeløb og delvise afskrivninger.</w:t>
            </w:r>
          </w:p>
        </w:tc>
      </w:tr>
      <w:tr w:rsidR="00F5723F" w:rsidRPr="007F4CC8" w14:paraId="06480072" w14:textId="77777777" w:rsidTr="00D819DE">
        <w:trPr>
          <w:trHeight w:val="316"/>
        </w:trPr>
        <w:tc>
          <w:tcPr>
            <w:tcW w:w="1384" w:type="dxa"/>
          </w:tcPr>
          <w:p w14:paraId="343E225C"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070 kolonne b</w:t>
            </w:r>
            <w:r>
              <w:rPr>
                <w:color w:val="000000"/>
                <w:sz w:val="24"/>
                <w:rFonts w:ascii="Times New Roman" w:hAnsi="Times New Roman"/>
              </w:rPr>
              <w:t xml:space="preserve"> </w:t>
            </w:r>
          </w:p>
        </w:tc>
        <w:tc>
          <w:tcPr>
            <w:tcW w:w="7655" w:type="dxa"/>
          </w:tcPr>
          <w:p w14:paraId="4EB8ED86"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Akkumulerede inddrevne nettobeløb i forbindelse hermed</w:t>
            </w:r>
            <w:r>
              <w:rPr>
                <w:b/>
                <w:sz w:val="24"/>
                <w:rFonts w:ascii="Times New Roman" w:hAnsi="Times New Roman"/>
              </w:rPr>
              <w:t xml:space="preserve"> </w:t>
            </w:r>
          </w:p>
          <w:p w14:paraId="277D202C"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Dagsværdien af sikkerheder på overtagelsestidspunktet oplyses i denne række som først indregnet i instituttets balance.</w:t>
            </w:r>
            <w:r>
              <w:rPr>
                <w:sz w:val="24"/>
                <w:rFonts w:ascii="Times New Roman" w:hAnsi="Times New Roman"/>
              </w:rPr>
              <w:t xml:space="preserve"> </w:t>
            </w:r>
            <w:r>
              <w:rPr>
                <w:sz w:val="24"/>
                <w:rFonts w:ascii="Times New Roman" w:hAnsi="Times New Roman"/>
              </w:rPr>
              <w:t xml:space="preserve">Beløb i kontanter eller likvide midler, der er opkrævet i forbindelse med overtagelse af sikkerhedsstillelse med fradrag af omkostninger medtages ikke i denne række, men oplyses under "Udgående pengestrøm som følge af hel eller delvis tilbagebetaling af lån".</w:t>
            </w:r>
          </w:p>
        </w:tc>
      </w:tr>
      <w:tr w:rsidR="00F5723F" w:rsidRPr="007F4CC8" w14:paraId="2EE8C70D" w14:textId="77777777" w:rsidTr="00D819DE">
        <w:trPr>
          <w:trHeight w:val="316"/>
        </w:trPr>
        <w:tc>
          <w:tcPr>
            <w:tcW w:w="1384" w:type="dxa"/>
          </w:tcPr>
          <w:p w14:paraId="1345BB5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080</w:t>
            </w:r>
          </w:p>
        </w:tc>
        <w:tc>
          <w:tcPr>
            <w:tcW w:w="7655" w:type="dxa"/>
          </w:tcPr>
          <w:p w14:paraId="75305BE8"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Udgående pengestrøm som følge af salg af instrumenter</w:t>
            </w:r>
            <w:r>
              <w:rPr>
                <w:b/>
                <w:sz w:val="24"/>
                <w:rFonts w:ascii="Times New Roman" w:hAnsi="Times New Roman"/>
              </w:rPr>
              <w:t xml:space="preserve"> </w:t>
            </w:r>
          </w:p>
          <w:p w14:paraId="5B42BDAE"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Ændringer i den samlede balance som følge af lån og forskud solgt til andre institutter, eksklusiv koncerninterne transaktioner.</w:t>
            </w:r>
          </w:p>
          <w:p w14:paraId="2A73935B"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For at undgå tvivl gøres institutterne opmærksomme på, at de skal oplyse den regnskabsmæssige bruttoværdi af de solgte lån og forskud (herunder eventuelle ledsagende delvise afskrivninger) og ikke værdiansættelsen eller prisen i forbindelse med transaktionen.</w:t>
            </w:r>
            <w:r>
              <w:rPr>
                <w:sz w:val="24"/>
                <w:rFonts w:ascii="Times New Roman" w:hAnsi="Times New Roman"/>
              </w:rPr>
              <w:t xml:space="preserve"> </w:t>
            </w:r>
            <w:r>
              <w:rPr>
                <w:sz w:val="24"/>
                <w:rFonts w:ascii="Times New Roman" w:hAnsi="Times New Roman"/>
              </w:rPr>
              <w:t xml:space="preserve">Institutterne gøres endvidere opmærksomme på, at de udgående pengestrømme ikke nødvendigvis er lig med summen af akkumulerede inddrevne nettobeløb og delvise afskrivninger.</w:t>
            </w:r>
          </w:p>
        </w:tc>
      </w:tr>
      <w:tr w:rsidR="00F5723F" w:rsidRPr="007F4CC8" w14:paraId="28040269" w14:textId="77777777" w:rsidTr="00D819DE">
        <w:trPr>
          <w:trHeight w:val="316"/>
        </w:trPr>
        <w:tc>
          <w:tcPr>
            <w:tcW w:w="1384" w:type="dxa"/>
          </w:tcPr>
          <w:p w14:paraId="3329120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080 kolonne b</w:t>
            </w:r>
            <w:r>
              <w:rPr>
                <w:color w:val="000000"/>
                <w:sz w:val="24"/>
                <w:rFonts w:ascii="Times New Roman" w:hAnsi="Times New Roman"/>
              </w:rPr>
              <w:t xml:space="preserve"> </w:t>
            </w:r>
          </w:p>
        </w:tc>
        <w:tc>
          <w:tcPr>
            <w:tcW w:w="7655" w:type="dxa"/>
          </w:tcPr>
          <w:p w14:paraId="49A50A8E"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Akkumulerede inddrevne nettobeløb i forbindelse hermed</w:t>
            </w:r>
            <w:r>
              <w:rPr>
                <w:b/>
                <w:sz w:val="24"/>
                <w:rFonts w:ascii="Times New Roman" w:hAnsi="Times New Roman"/>
              </w:rPr>
              <w:t xml:space="preserve"> </w:t>
            </w:r>
          </w:p>
          <w:p w14:paraId="5B92C107"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Beløb i kontanter eller likvide midler, der er opkrævet i forbindelse med salg af lån og forskud, med fradrag af salgsomkostninger, medtages i denne række.</w:t>
            </w:r>
          </w:p>
        </w:tc>
      </w:tr>
      <w:tr w:rsidR="00F5723F" w:rsidRPr="007F4CC8" w14:paraId="5CF9A919" w14:textId="77777777" w:rsidTr="00D819DE">
        <w:trPr>
          <w:trHeight w:val="316"/>
        </w:trPr>
        <w:tc>
          <w:tcPr>
            <w:tcW w:w="1384" w:type="dxa"/>
          </w:tcPr>
          <w:p w14:paraId="3CDD39F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090</w:t>
            </w:r>
          </w:p>
        </w:tc>
        <w:tc>
          <w:tcPr>
            <w:tcW w:w="7655" w:type="dxa"/>
          </w:tcPr>
          <w:p w14:paraId="0E052E3E"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Udgående pengestrøm som følge af risikooverførsler</w:t>
            </w:r>
            <w:r>
              <w:rPr>
                <w:b/>
                <w:sz w:val="24"/>
                <w:rFonts w:ascii="Times New Roman" w:hAnsi="Times New Roman"/>
              </w:rPr>
              <w:t xml:space="preserve"> </w:t>
            </w:r>
          </w:p>
          <w:p w14:paraId="77CBC9E0"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Bruttoreduktionen af misligholdte lån og forskud som følge af securitisering eller andre risikooverførsler, som er kvalificeret til ophør af indregning i balancen.</w:t>
            </w:r>
          </w:p>
          <w:p w14:paraId="600C8FE8"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Institutterne gøres opmærksomme på, at de udgående pengestrømme ikke nødvendigvis er lig med summen af akkumulerede inddrevne nettobeløb og delvise afskrivninger.</w:t>
            </w:r>
          </w:p>
        </w:tc>
      </w:tr>
      <w:tr w:rsidR="00F5723F" w:rsidRPr="007F4CC8" w14:paraId="55E757F4" w14:textId="77777777" w:rsidTr="00D819DE">
        <w:trPr>
          <w:trHeight w:val="316"/>
        </w:trPr>
        <w:tc>
          <w:tcPr>
            <w:tcW w:w="1384" w:type="dxa"/>
          </w:tcPr>
          <w:p w14:paraId="70D8FA8C"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090 kolonne b</w:t>
            </w:r>
            <w:r>
              <w:rPr>
                <w:color w:val="000000"/>
                <w:sz w:val="24"/>
                <w:rFonts w:ascii="Times New Roman" w:hAnsi="Times New Roman"/>
              </w:rPr>
              <w:t xml:space="preserve"> </w:t>
            </w:r>
          </w:p>
        </w:tc>
        <w:tc>
          <w:tcPr>
            <w:tcW w:w="7655" w:type="dxa"/>
          </w:tcPr>
          <w:p w14:paraId="4F10BE3A"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Akkumulerede inddrevne nettobeløb i forbindelse hermed</w:t>
            </w:r>
            <w:r>
              <w:rPr>
                <w:b/>
                <w:sz w:val="24"/>
                <w:rFonts w:ascii="Times New Roman" w:hAnsi="Times New Roman"/>
              </w:rPr>
              <w:t xml:space="preserve"> </w:t>
            </w:r>
          </w:p>
          <w:p w14:paraId="505E8A2A"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Beløb i kontanter eller likvide midler, der er opkrævet i forbindelse med udgående pengestrømme som følge af væsentlige risikooverførsler, oplyses i denne række.</w:t>
            </w:r>
          </w:p>
        </w:tc>
      </w:tr>
      <w:tr w:rsidR="00F5723F" w:rsidRPr="007F4CC8" w14:paraId="0A90D0F9" w14:textId="77777777" w:rsidTr="00D819DE">
        <w:trPr>
          <w:trHeight w:val="316"/>
        </w:trPr>
        <w:tc>
          <w:tcPr>
            <w:tcW w:w="1384" w:type="dxa"/>
          </w:tcPr>
          <w:p w14:paraId="27261EA8"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100</w:t>
            </w:r>
          </w:p>
        </w:tc>
        <w:tc>
          <w:tcPr>
            <w:tcW w:w="7655" w:type="dxa"/>
          </w:tcPr>
          <w:p w14:paraId="7C72E5E6"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Udgående pengestrøm som følge af afskrivninger</w:t>
            </w:r>
            <w:r>
              <w:rPr>
                <w:b/>
                <w:sz w:val="24"/>
                <w:rFonts w:ascii="Times New Roman" w:hAnsi="Times New Roman"/>
              </w:rPr>
              <w:t xml:space="preserve"> </w:t>
            </w:r>
          </w:p>
          <w:p w14:paraId="5EEAA4B6"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Hele eller delvise afskrivninger af de samlede lån og forskud, der er bogført i referenceperioden.</w:t>
            </w:r>
          </w:p>
          <w:p w14:paraId="6ABDB334"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En (hel eller delvis) afskrivning udgør et tilfælde af ophør af indregning.</w:t>
            </w:r>
            <w:r>
              <w:rPr>
                <w:sz w:val="24"/>
                <w:rFonts w:ascii="Times New Roman" w:hAnsi="Times New Roman"/>
              </w:rPr>
              <w:t xml:space="preserve"> </w:t>
            </w:r>
            <w:r>
              <w:rPr>
                <w:sz w:val="24"/>
                <w:rFonts w:ascii="Times New Roman" w:hAnsi="Times New Roman"/>
              </w:rPr>
              <w:t xml:space="preserve">Den regnskabsmæssige bruttoværdi af lån og forskud reduceres derfor med værdien af afskrivninger.</w:t>
            </w:r>
            <w:r>
              <w:rPr>
                <w:sz w:val="24"/>
                <w:rFonts w:ascii="Times New Roman" w:hAnsi="Times New Roman"/>
              </w:rPr>
              <w:t xml:space="preserve"> </w:t>
            </w:r>
            <w:r>
              <w:rPr>
                <w:sz w:val="24"/>
                <w:rFonts w:ascii="Times New Roman" w:hAnsi="Times New Roman"/>
              </w:rPr>
              <w:t xml:space="preserve">For at undgå tvivl gøres der opmærksom på, at denne række afspejler ændringer i den regnskabsmæssige bruttoværdi af lån og forskud, og eventuelle delvise afskrivninger, som allerede er blevet oplyst i de foregående rækker (f.eks. ledsagende salg af lån og forskud, likvidation af sikkerhedsstillelse, overtagelse af sikkerhedsstillelse eller væsentlig risikooverførsel), medtages ikke i denne række.</w:t>
            </w:r>
            <w:r>
              <w:rPr>
                <w:sz w:val="24"/>
                <w:rFonts w:ascii="Times New Roman" w:hAnsi="Times New Roman"/>
              </w:rPr>
              <w:t xml:space="preserve"> </w:t>
            </w:r>
            <w:r>
              <w:rPr>
                <w:sz w:val="24"/>
                <w:rFonts w:ascii="Times New Roman" w:hAnsi="Times New Roman"/>
              </w:rPr>
              <w:t xml:space="preserve">Gældseftergivelse i forbindelse med kreditlempelser, dvs. afskrivninger, hvor beløbet for udestående gæld fra låntageren er blevet annulleret (instituttet mister retten til lovligt at inddrive gælden), medtages ligeledes i denne kategori.</w:t>
            </w:r>
          </w:p>
        </w:tc>
      </w:tr>
      <w:tr w:rsidR="00F5723F" w:rsidRPr="007F4CC8" w14:paraId="30B09D80" w14:textId="77777777" w:rsidTr="00D819DE">
        <w:trPr>
          <w:trHeight w:val="316"/>
        </w:trPr>
        <w:tc>
          <w:tcPr>
            <w:tcW w:w="1384" w:type="dxa"/>
          </w:tcPr>
          <w:p w14:paraId="70AD9654"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110</w:t>
            </w:r>
          </w:p>
        </w:tc>
        <w:tc>
          <w:tcPr>
            <w:tcW w:w="7655" w:type="dxa"/>
          </w:tcPr>
          <w:p w14:paraId="4E6D055B"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Udgående pengestrøm, andre situationer</w:t>
            </w:r>
            <w:r>
              <w:rPr>
                <w:b/>
                <w:sz w:val="24"/>
                <w:rFonts w:ascii="Times New Roman" w:hAnsi="Times New Roman"/>
              </w:rPr>
              <w:t xml:space="preserve"> </w:t>
            </w:r>
          </w:p>
          <w:p w14:paraId="4773632D"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Andre reduktioner af den regnskabsmæssige værdi af lån og forskud, som ikke er omfattet af ovennævnte begivenheder, medtages i denne række.</w:t>
            </w:r>
            <w:r>
              <w:rPr>
                <w:sz w:val="24"/>
                <w:rFonts w:ascii="Times New Roman" w:hAnsi="Times New Roman"/>
              </w:rPr>
              <w:t xml:space="preserve"> </w:t>
            </w:r>
            <w:r>
              <w:rPr>
                <w:sz w:val="24"/>
                <w:rFonts w:ascii="Times New Roman" w:hAnsi="Times New Roman"/>
              </w:rPr>
              <w:t xml:space="preserve">Disse justeringer kan f.eks. omfatte ændringer i udenlandsk valuta, andre afviklingshandlinger, omklassificeringer mellem aktivklasser m.m.</w:t>
            </w:r>
            <w:r>
              <w:rPr>
                <w:sz w:val="24"/>
                <w:rFonts w:ascii="Times New Roman" w:hAnsi="Times New Roman"/>
              </w:rPr>
              <w:t xml:space="preserve"> </w:t>
            </w:r>
            <w:r>
              <w:rPr>
                <w:sz w:val="24"/>
                <w:rFonts w:ascii="Times New Roman" w:hAnsi="Times New Roman"/>
              </w:rPr>
              <w:t xml:space="preserve">Hvis beløbet i denne kategori er betydeligt, skal institutterne give yderligere oplysninger i den beskrivelse, der ledsager dette skema.</w:t>
            </w:r>
          </w:p>
        </w:tc>
      </w:tr>
      <w:tr w:rsidR="00F5723F" w:rsidRPr="007F4CC8" w14:paraId="5A164B5D" w14:textId="77777777" w:rsidTr="00D819DE">
        <w:trPr>
          <w:trHeight w:val="316"/>
        </w:trPr>
        <w:tc>
          <w:tcPr>
            <w:tcW w:w="1384" w:type="dxa"/>
          </w:tcPr>
          <w:p w14:paraId="0296FD6A"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120</w:t>
            </w:r>
          </w:p>
        </w:tc>
        <w:tc>
          <w:tcPr>
            <w:tcW w:w="7655" w:type="dxa"/>
          </w:tcPr>
          <w:p w14:paraId="75846AAD"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Udgående pengestrøm som følge af omklassificering til besiddelse med henblik på salg</w:t>
            </w:r>
            <w:r>
              <w:rPr>
                <w:b/>
                <w:sz w:val="24"/>
                <w:rFonts w:ascii="Times New Roman" w:hAnsi="Times New Roman"/>
              </w:rPr>
              <w:t xml:space="preserve"> </w:t>
            </w:r>
          </w:p>
          <w:p w14:paraId="73FD5E44"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Reduktioner af den regnskabsmæssige værdi af misligholdte lån og forskud som følge af, at de er blevet omklassificeret til instrumenter, som besiddes med henblik på salg.</w:t>
            </w:r>
          </w:p>
        </w:tc>
      </w:tr>
      <w:tr w:rsidR="00F5723F" w:rsidRPr="007F4CC8" w14:paraId="41135B7B" w14:textId="77777777" w:rsidTr="00D819DE">
        <w:trPr>
          <w:trHeight w:val="316"/>
        </w:trPr>
        <w:tc>
          <w:tcPr>
            <w:tcW w:w="1384" w:type="dxa"/>
          </w:tcPr>
          <w:p w14:paraId="245627F2"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130</w:t>
            </w:r>
          </w:p>
        </w:tc>
        <w:tc>
          <w:tcPr>
            <w:tcW w:w="7655" w:type="dxa"/>
          </w:tcPr>
          <w:p w14:paraId="18473DBE"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Slutbeholdning af misligholdte lån og forskud</w:t>
            </w:r>
          </w:p>
          <w:p w14:paraId="001858CD"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Den regnskabsmæssige bruttoværdi af beholdningen af misligholdte lån og forskud på referencedatoen for offentliggørelsen.</w:t>
            </w:r>
          </w:p>
        </w:tc>
      </w:tr>
    </w:tbl>
    <w:p w14:paraId="1EA9619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1448C8E6" w14:textId="77777777" w:rsidTr="00D819DE">
        <w:trPr>
          <w:trHeight w:val="238"/>
        </w:trPr>
        <w:tc>
          <w:tcPr>
            <w:tcW w:w="9039" w:type="dxa"/>
            <w:gridSpan w:val="2"/>
            <w:shd w:val="clear" w:color="auto" w:fill="D9D9D9" w:themeFill="background1" w:themeFillShade="D9"/>
          </w:tcPr>
          <w:p w14:paraId="6310BDA8"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F5723F" w:rsidRPr="007F4CC8" w14:paraId="3B5C86AE" w14:textId="77777777" w:rsidTr="00D819DE">
        <w:trPr>
          <w:trHeight w:val="238"/>
        </w:trPr>
        <w:tc>
          <w:tcPr>
            <w:tcW w:w="1384" w:type="dxa"/>
            <w:shd w:val="clear" w:color="auto" w:fill="D9D9D9" w:themeFill="background1" w:themeFillShade="D9"/>
          </w:tcPr>
          <w:p w14:paraId="474FE47D"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Kolonne nr.</w:t>
            </w:r>
          </w:p>
        </w:tc>
        <w:tc>
          <w:tcPr>
            <w:tcW w:w="7655" w:type="dxa"/>
            <w:shd w:val="clear" w:color="auto" w:fill="D9D9D9" w:themeFill="background1" w:themeFillShade="D9"/>
          </w:tcPr>
          <w:p w14:paraId="5EFD6D7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Forklaring</w:t>
            </w:r>
          </w:p>
        </w:tc>
      </w:tr>
      <w:tr w:rsidR="00F5723F" w:rsidRPr="007F4CC8" w14:paraId="07200805" w14:textId="77777777" w:rsidTr="00D819DE">
        <w:trPr>
          <w:trHeight w:val="841"/>
        </w:trPr>
        <w:tc>
          <w:tcPr>
            <w:tcW w:w="1384" w:type="dxa"/>
          </w:tcPr>
          <w:p w14:paraId="67A79A00" w14:textId="77777777" w:rsidR="00F5723F" w:rsidRPr="007F4CC8" w:rsidRDefault="00F5723F" w:rsidP="00D819DE">
            <w:pPr>
              <w:pStyle w:val="Applicationdirecte"/>
              <w:spacing w:before="0"/>
            </w:pPr>
            <w:r>
              <w:t xml:space="preserve">a</w:t>
            </w:r>
          </w:p>
        </w:tc>
        <w:tc>
          <w:tcPr>
            <w:tcW w:w="7655" w:type="dxa"/>
          </w:tcPr>
          <w:p w14:paraId="23CBD535" w14:textId="77777777" w:rsidR="00F5723F" w:rsidRPr="007F4CC8" w:rsidRDefault="00F5723F" w:rsidP="00D819DE">
            <w:pPr>
              <w:pStyle w:val="Fait"/>
              <w:spacing w:before="0" w:after="120"/>
              <w:rPr>
                <w:b/>
                <w:rFonts w:eastAsiaTheme="minorEastAsia"/>
              </w:rPr>
            </w:pPr>
            <w:r>
              <w:rPr>
                <w:b/>
              </w:rPr>
              <w:t xml:space="preserve">Regnskabsmæssig bruttoværdi</w:t>
            </w:r>
            <w:r>
              <w:rPr>
                <w:b/>
              </w:rPr>
              <w:t xml:space="preserve"> </w:t>
            </w:r>
          </w:p>
          <w:p w14:paraId="5DBF189C" w14:textId="77777777" w:rsidR="00F5723F" w:rsidRPr="007F4CC8" w:rsidRDefault="00F5723F" w:rsidP="00D819DE">
            <w:pPr>
              <w:autoSpaceDE w:val="0"/>
              <w:autoSpaceDN w:val="0"/>
              <w:adjustRightInd w:val="0"/>
              <w:spacing w:after="120"/>
            </w:pPr>
            <w:r>
              <w:rPr>
                <w:sz w:val="24"/>
                <w:rFonts w:ascii="Times New Roman" w:hAnsi="Times New Roman"/>
              </w:rPr>
              <w:t xml:space="preserve">Regnskabsmæssig bruttoværdi som defineret i bilag V, del 1, punkt 34, til Kommissionens gennemførelsesforordning (EU) nr. 680/2014.</w:t>
            </w:r>
          </w:p>
        </w:tc>
      </w:tr>
      <w:tr w:rsidR="00F5723F" w:rsidRPr="007F4CC8" w14:paraId="142D738D" w14:textId="77777777" w:rsidTr="00D819DE">
        <w:trPr>
          <w:trHeight w:val="841"/>
        </w:trPr>
        <w:tc>
          <w:tcPr>
            <w:tcW w:w="1384" w:type="dxa"/>
          </w:tcPr>
          <w:p w14:paraId="72E05824" w14:textId="77777777" w:rsidR="00F5723F" w:rsidRPr="007F4CC8" w:rsidRDefault="00F5723F" w:rsidP="00D819DE">
            <w:pPr>
              <w:pStyle w:val="Applicationdirecte"/>
              <w:spacing w:before="0"/>
            </w:pPr>
            <w:r>
              <w:t xml:space="preserve">b</w:t>
            </w:r>
          </w:p>
        </w:tc>
        <w:tc>
          <w:tcPr>
            <w:tcW w:w="7655" w:type="dxa"/>
          </w:tcPr>
          <w:p w14:paraId="23A2635A" w14:textId="77777777" w:rsidR="00F5723F" w:rsidRPr="007F4CC8" w:rsidRDefault="00F5723F" w:rsidP="00D819DE">
            <w:pPr>
              <w:pStyle w:val="Fait"/>
              <w:spacing w:before="0" w:after="120"/>
              <w:rPr>
                <w:b/>
                <w:rFonts w:eastAsiaTheme="minorEastAsia"/>
              </w:rPr>
            </w:pPr>
            <w:r>
              <w:rPr>
                <w:b/>
              </w:rPr>
              <w:t xml:space="preserve">Akkumulerede inddrevne nettobeløb i forbindelse hermed</w:t>
            </w:r>
          </w:p>
          <w:p w14:paraId="27CA3A5B" w14:textId="77777777" w:rsidR="00F5723F" w:rsidRPr="007F4CC8" w:rsidRDefault="00F5723F" w:rsidP="00D819DE">
            <w:pPr>
              <w:autoSpaceDE w:val="0"/>
              <w:autoSpaceDN w:val="0"/>
              <w:adjustRightInd w:val="0"/>
              <w:spacing w:after="120"/>
            </w:pPr>
            <w:r>
              <w:rPr>
                <w:sz w:val="24"/>
                <w:rFonts w:ascii="Times New Roman" w:hAnsi="Times New Roman"/>
              </w:rPr>
              <w:t xml:space="preserve">Se de definitioner, der er knyttet til rækkerne i skemaet.</w:t>
            </w:r>
          </w:p>
        </w:tc>
      </w:tr>
    </w:tbl>
    <w:p w14:paraId="2EB6AE6F" w14:textId="77777777" w:rsidR="00F5723F" w:rsidRPr="007F4CC8" w:rsidRDefault="00F5723F" w:rsidP="00F5723F">
      <w:pPr>
        <w:autoSpaceDE w:val="0"/>
        <w:autoSpaceDN w:val="0"/>
        <w:adjustRightInd w:val="0"/>
        <w:spacing w:after="120"/>
        <w:rPr>
          <w:rFonts w:ascii="Times New Roman" w:hAnsi="Times New Roman" w:cs="Times New Roman"/>
          <w:b/>
          <w:sz w:val="24"/>
        </w:rPr>
      </w:pPr>
    </w:p>
    <w:p w14:paraId="314E935E"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Skema EU CQ1:</w:t>
      </w:r>
      <w:r>
        <w:rPr>
          <w:b/>
          <w:sz w:val="24"/>
          <w:rFonts w:ascii="Times New Roman" w:hAnsi="Times New Roman"/>
        </w:rPr>
        <w:t xml:space="preserve"> </w:t>
      </w:r>
      <w:r>
        <w:rPr>
          <w:b/>
          <w:sz w:val="24"/>
          <w:rFonts w:ascii="Times New Roman" w:hAnsi="Times New Roman"/>
        </w:rPr>
        <w:t xml:space="preserve">Kreditkvalitet af eksponeringer med kreditlempelser</w:t>
      </w:r>
    </w:p>
    <w:p w14:paraId="2E785C15" w14:textId="77777777" w:rsidR="00F5723F" w:rsidRPr="007F4CC8" w:rsidRDefault="00F5723F" w:rsidP="0090750A">
      <w:pPr>
        <w:pStyle w:val="ListParagraph"/>
        <w:numPr>
          <w:ilvl w:val="0"/>
          <w:numId w:val="17"/>
        </w:numPr>
        <w:spacing w:after="120"/>
        <w:contextualSpacing/>
        <w:jc w:val="both"/>
        <w:rPr>
          <w:sz w:val="24"/>
          <w:rFonts w:ascii="Times New Roman" w:hAnsi="Times New Roman"/>
        </w:rPr>
      </w:pPr>
      <w:r>
        <w:rPr>
          <w:sz w:val="24"/>
          <w:rFonts w:ascii="Times New Roman" w:hAnsi="Times New Roman"/>
        </w:rPr>
        <w:t xml:space="preserve">Institutterne skal offentliggøre de oplysninger, som er omhandlet i artikel 442, litra c), i CRR, ved at følge nedenstående instrukser til udfyldelse af skema EU CQ1, som findes i bilag XV til nærværende gennemførelsesforordning.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D00C315"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70C9"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F5723F" w:rsidRPr="007F4CC8" w14:paraId="5AC60EDD" w14:textId="77777777" w:rsidTr="00D819DE">
        <w:trPr>
          <w:trHeight w:val="238"/>
        </w:trPr>
        <w:tc>
          <w:tcPr>
            <w:tcW w:w="1384" w:type="dxa"/>
            <w:shd w:val="clear" w:color="auto" w:fill="D9D9D9" w:themeFill="background1" w:themeFillShade="D9"/>
          </w:tcPr>
          <w:p w14:paraId="3148E455"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546C5357"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Forklaring</w:t>
            </w:r>
          </w:p>
        </w:tc>
      </w:tr>
      <w:tr w:rsidR="00F5723F" w:rsidRPr="007F4CC8" w14:paraId="2888568A" w14:textId="77777777" w:rsidTr="00D819DE">
        <w:trPr>
          <w:trHeight w:val="935"/>
        </w:trPr>
        <w:tc>
          <w:tcPr>
            <w:tcW w:w="1384" w:type="dxa"/>
          </w:tcPr>
          <w:p w14:paraId="7B352174" w14:textId="77777777" w:rsidR="00F5723F" w:rsidRPr="007F4CC8" w:rsidRDefault="00F5723F" w:rsidP="00D819DE">
            <w:pPr>
              <w:pStyle w:val="Applicationdirecte"/>
              <w:spacing w:before="0"/>
            </w:pPr>
            <w:r>
              <w:t xml:space="preserve">005</w:t>
            </w:r>
          </w:p>
        </w:tc>
        <w:tc>
          <w:tcPr>
            <w:tcW w:w="7655" w:type="dxa"/>
          </w:tcPr>
          <w:p w14:paraId="405151EE" w14:textId="77777777" w:rsidR="00F5723F" w:rsidRPr="007F4CC8" w:rsidRDefault="00F5723F" w:rsidP="00D819DE">
            <w:pPr>
              <w:pStyle w:val="Applicationdirecte"/>
              <w:spacing w:before="0"/>
              <w:rPr>
                <w:b/>
              </w:rPr>
            </w:pPr>
            <w:r>
              <w:rPr>
                <w:b/>
              </w:rPr>
              <w:t xml:space="preserve">Kassebeholdninger i centralbanker og andre anfordringsindskud</w:t>
            </w:r>
          </w:p>
          <w:p w14:paraId="0AC0FBCB" w14:textId="77777777" w:rsidR="00F5723F" w:rsidRPr="007F4CC8" w:rsidRDefault="00F5723F" w:rsidP="00D819DE">
            <w:pPr>
              <w:pStyle w:val="Applicationdirecte"/>
              <w:spacing w:before="0"/>
            </w:pPr>
            <w:r>
              <w:t xml:space="preserve">Institutterne skal offentliggøre disse oplysninger i overensstemmelse med de oplysninger, der er indberettet i bilag III og IV til Kommissionens gennemførelsesforordning (EU) nr. 680/2014.</w:t>
            </w:r>
          </w:p>
        </w:tc>
      </w:tr>
      <w:tr w:rsidR="00F5723F" w:rsidRPr="007F4CC8" w14:paraId="2A727C31" w14:textId="77777777" w:rsidTr="00D819DE">
        <w:trPr>
          <w:trHeight w:val="935"/>
        </w:trPr>
        <w:tc>
          <w:tcPr>
            <w:tcW w:w="1384" w:type="dxa"/>
          </w:tcPr>
          <w:p w14:paraId="116CC407" w14:textId="77777777" w:rsidR="00F5723F" w:rsidRPr="007F4CC8" w:rsidRDefault="00F5723F" w:rsidP="00D819DE">
            <w:pPr>
              <w:pStyle w:val="Applicationdirecte"/>
              <w:spacing w:before="0"/>
            </w:pPr>
            <w:r>
              <w:t xml:space="preserve">010</w:t>
            </w:r>
          </w:p>
        </w:tc>
        <w:tc>
          <w:tcPr>
            <w:tcW w:w="7655" w:type="dxa"/>
          </w:tcPr>
          <w:p w14:paraId="14A8F67F" w14:textId="77777777" w:rsidR="00F5723F" w:rsidRPr="007F4CC8" w:rsidRDefault="00F5723F" w:rsidP="00D819DE">
            <w:pPr>
              <w:pStyle w:val="Applicationdirecte"/>
              <w:spacing w:before="0"/>
              <w:rPr>
                <w:b/>
              </w:rPr>
            </w:pPr>
            <w:r>
              <w:rPr>
                <w:b/>
              </w:rPr>
              <w:t xml:space="preserve">Lån og forskud</w:t>
            </w:r>
          </w:p>
          <w:p w14:paraId="31051139" w14:textId="77777777" w:rsidR="00F5723F" w:rsidRPr="007F4CC8" w:rsidRDefault="00F5723F" w:rsidP="00D819DE">
            <w:pPr>
              <w:pStyle w:val="Applicationdirecte"/>
              <w:spacing w:before="0"/>
            </w:pPr>
            <w:r>
              <w:t xml:space="preserve">Se definitionen i EU-CR1:</w:t>
            </w:r>
            <w:r>
              <w:t xml:space="preserve"> </w:t>
            </w:r>
            <w:r>
              <w:t xml:space="preserve">Ikkemisligholdte og misligholdte eksponeringer og dertil knyttede bestemmelser.</w:t>
            </w:r>
          </w:p>
        </w:tc>
      </w:tr>
      <w:tr w:rsidR="00F5723F" w:rsidRPr="007F4CC8" w14:paraId="2B9F0748" w14:textId="77777777" w:rsidTr="00D819DE">
        <w:trPr>
          <w:trHeight w:val="3815"/>
        </w:trPr>
        <w:tc>
          <w:tcPr>
            <w:tcW w:w="1384" w:type="dxa"/>
          </w:tcPr>
          <w:p w14:paraId="05133E65" w14:textId="77777777" w:rsidR="00F5723F" w:rsidRPr="007F4CC8" w:rsidRDefault="00F5723F" w:rsidP="00D819DE">
            <w:pPr>
              <w:pStyle w:val="Applicationdirecte"/>
              <w:spacing w:before="0"/>
            </w:pPr>
            <w:r>
              <w:t xml:space="preserve">020 - 070</w:t>
            </w:r>
          </w:p>
        </w:tc>
        <w:tc>
          <w:tcPr>
            <w:tcW w:w="7655" w:type="dxa"/>
          </w:tcPr>
          <w:p w14:paraId="4E4D4CF5" w14:textId="77777777" w:rsidR="00F5723F" w:rsidRPr="007F4CC8" w:rsidRDefault="00F5723F" w:rsidP="00D819DE">
            <w:pPr>
              <w:pStyle w:val="Applicationdirecte"/>
              <w:spacing w:before="0"/>
              <w:rPr>
                <w:b/>
              </w:rPr>
            </w:pPr>
            <w:r>
              <w:rPr>
                <w:b/>
              </w:rPr>
              <w:t xml:space="preserve">Opdeling af modparter</w:t>
            </w:r>
          </w:p>
          <w:p w14:paraId="068E298D" w14:textId="77777777" w:rsidR="00F5723F" w:rsidRPr="007F4CC8" w:rsidRDefault="00F5723F" w:rsidP="00D819DE">
            <w:pPr>
              <w:pStyle w:val="Applicationdirecte"/>
              <w:spacing w:before="0"/>
            </w:pPr>
            <w:r>
              <w:t xml:space="preserve">Institutterne skal anvende opdelingen efter modpart som defineret i bilag V, del 1, punkt 42, til Kommissionens gennemførelsesforordning (EU) nr. 680/2014.</w:t>
            </w:r>
          </w:p>
          <w:p w14:paraId="16DCB1D5" w14:textId="77777777" w:rsidR="00F5723F" w:rsidRPr="007F4CC8" w:rsidRDefault="00F5723F" w:rsidP="00D819DE">
            <w:pPr>
              <w:pStyle w:val="Fait"/>
              <w:spacing w:before="0" w:after="120"/>
            </w:pPr>
            <w:r>
              <w:t xml:space="preserve">Fordelingen af modparter efter sektor er alene baseret på arten af den umiddelbare modpart.</w:t>
            </w:r>
            <w:r>
              <w:t xml:space="preserve"> </w:t>
            </w:r>
            <w:r>
              <w:t xml:space="preserve">Eksponeringer, som flere låntagere pådrager sig i fællesskab, skal klassificeres på grundlag af karakteristikaene for den låntager, der var mest relevant eller betydningsfuld for instituttets beslutning om eksponeringen.</w:t>
            </w:r>
            <w:r>
              <w:t xml:space="preserve"> </w:t>
            </w:r>
            <w:r>
              <w:t xml:space="preserve">Blandt andre klassificeringer skal fordelingen af eksponeringer pådraget i fællesskab efter modpartssektor, hjemsted og NACE-kode baseres på den mest relevante eller betydningsfulde låntager.</w:t>
            </w:r>
          </w:p>
        </w:tc>
      </w:tr>
      <w:tr w:rsidR="00F5723F" w:rsidRPr="007F4CC8" w14:paraId="18CBE28C" w14:textId="77777777" w:rsidTr="00D819DE">
        <w:trPr>
          <w:trHeight w:val="755"/>
        </w:trPr>
        <w:tc>
          <w:tcPr>
            <w:tcW w:w="1384" w:type="dxa"/>
          </w:tcPr>
          <w:p w14:paraId="0EE712E7" w14:textId="77777777" w:rsidR="00F5723F" w:rsidRPr="007F4CC8" w:rsidRDefault="00F5723F" w:rsidP="00D819DE">
            <w:pPr>
              <w:pStyle w:val="Applicationdirecte"/>
              <w:spacing w:before="0"/>
            </w:pPr>
            <w:r>
              <w:t xml:space="preserve">080</w:t>
            </w:r>
          </w:p>
        </w:tc>
        <w:tc>
          <w:tcPr>
            <w:tcW w:w="7655" w:type="dxa"/>
          </w:tcPr>
          <w:p w14:paraId="51CCCECE" w14:textId="77777777" w:rsidR="00F5723F" w:rsidRPr="007F4CC8" w:rsidRDefault="00F5723F" w:rsidP="00D819DE">
            <w:pPr>
              <w:pStyle w:val="Applicationdirecte"/>
              <w:spacing w:before="0"/>
              <w:rPr>
                <w:b/>
              </w:rPr>
            </w:pPr>
            <w:r>
              <w:rPr>
                <w:b/>
              </w:rPr>
              <w:t xml:space="preserve">Gældsværdipapirer</w:t>
            </w:r>
          </w:p>
          <w:p w14:paraId="39269917" w14:textId="77777777" w:rsidR="00F5723F" w:rsidRPr="007F4CC8" w:rsidRDefault="00F5723F" w:rsidP="00D819DE">
            <w:pPr>
              <w:pStyle w:val="Applicationdirecte"/>
              <w:spacing w:before="0"/>
            </w:pPr>
            <w:r>
              <w:t xml:space="preserve">Se definitionen i EU-CR1:</w:t>
            </w:r>
            <w:r>
              <w:t xml:space="preserve"> </w:t>
            </w:r>
            <w:r>
              <w:t xml:space="preserve">Ikkemisligholdte og misligholdte eksponeringer og dertil knyttede bestemmelser.</w:t>
            </w:r>
          </w:p>
        </w:tc>
      </w:tr>
      <w:tr w:rsidR="00F5723F" w:rsidRPr="007F4CC8" w14:paraId="4CF16B29" w14:textId="77777777" w:rsidTr="00D819DE">
        <w:trPr>
          <w:trHeight w:val="890"/>
        </w:trPr>
        <w:tc>
          <w:tcPr>
            <w:tcW w:w="1384" w:type="dxa"/>
          </w:tcPr>
          <w:p w14:paraId="60BECA82" w14:textId="77777777" w:rsidR="00F5723F" w:rsidRPr="007F4CC8" w:rsidRDefault="00F5723F" w:rsidP="00D819DE">
            <w:pPr>
              <w:pStyle w:val="Applicationdirecte"/>
              <w:spacing w:before="0"/>
            </w:pPr>
            <w:r>
              <w:t xml:space="preserve">090</w:t>
            </w:r>
          </w:p>
        </w:tc>
        <w:tc>
          <w:tcPr>
            <w:tcW w:w="7655" w:type="dxa"/>
          </w:tcPr>
          <w:p w14:paraId="126BB92B" w14:textId="77777777" w:rsidR="00F5723F" w:rsidRPr="007F4CC8" w:rsidRDefault="00F5723F" w:rsidP="00D819DE">
            <w:pPr>
              <w:pStyle w:val="Applicationdirecte"/>
              <w:spacing w:before="0"/>
              <w:rPr>
                <w:b/>
              </w:rPr>
            </w:pPr>
            <w:r>
              <w:rPr>
                <w:b/>
              </w:rPr>
              <w:t xml:space="preserve">Afgivne lånetilsagn</w:t>
            </w:r>
          </w:p>
          <w:p w14:paraId="49AB553A" w14:textId="77777777" w:rsidR="00F5723F" w:rsidRPr="007F4CC8" w:rsidRDefault="00F5723F" w:rsidP="00D819DE">
            <w:pPr>
              <w:pStyle w:val="Fait"/>
              <w:spacing w:before="0" w:after="120"/>
            </w:pPr>
            <w:r>
              <w:t xml:space="preserve">For så vidt angår afgivne lånetilsagn oplyses den nominelle værdi som defineret i bilag V, del 2, punkt 118, til Kommissionens gennemførelsesforordning (EU) nr. 680/2014.</w:t>
            </w:r>
          </w:p>
        </w:tc>
      </w:tr>
      <w:tr w:rsidR="00F5723F" w:rsidRPr="007F4CC8" w14:paraId="2F423D20" w14:textId="77777777" w:rsidTr="00D819DE">
        <w:trPr>
          <w:trHeight w:val="274"/>
        </w:trPr>
        <w:tc>
          <w:tcPr>
            <w:tcW w:w="1384" w:type="dxa"/>
          </w:tcPr>
          <w:p w14:paraId="64A8DC9C"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sz w:val="24"/>
                <w:rFonts w:ascii="Times New Roman" w:hAnsi="Times New Roman"/>
              </w:rPr>
              <w:t xml:space="preserve">100</w:t>
            </w:r>
          </w:p>
        </w:tc>
        <w:tc>
          <w:tcPr>
            <w:tcW w:w="7655" w:type="dxa"/>
          </w:tcPr>
          <w:p w14:paraId="3D2428E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I alt</w:t>
            </w:r>
          </w:p>
        </w:tc>
      </w:tr>
    </w:tbl>
    <w:p w14:paraId="1B2FBD3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4516074" w14:textId="77777777" w:rsidTr="00D819DE">
        <w:trPr>
          <w:trHeight w:val="238"/>
        </w:trPr>
        <w:tc>
          <w:tcPr>
            <w:tcW w:w="9039" w:type="dxa"/>
            <w:gridSpan w:val="2"/>
            <w:shd w:val="clear" w:color="auto" w:fill="D9D9D9" w:themeFill="background1" w:themeFillShade="D9"/>
          </w:tcPr>
          <w:p w14:paraId="117B5AA7"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F5723F" w:rsidRPr="007F4CC8" w14:paraId="243F60B2" w14:textId="77777777" w:rsidTr="00D819DE">
        <w:trPr>
          <w:trHeight w:val="238"/>
        </w:trPr>
        <w:tc>
          <w:tcPr>
            <w:tcW w:w="1384" w:type="dxa"/>
            <w:shd w:val="clear" w:color="auto" w:fill="D9D9D9" w:themeFill="background1" w:themeFillShade="D9"/>
          </w:tcPr>
          <w:p w14:paraId="00EE2D4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Kolonne nr.</w:t>
            </w:r>
          </w:p>
        </w:tc>
        <w:tc>
          <w:tcPr>
            <w:tcW w:w="7655" w:type="dxa"/>
            <w:shd w:val="clear" w:color="auto" w:fill="D9D9D9" w:themeFill="background1" w:themeFillShade="D9"/>
          </w:tcPr>
          <w:p w14:paraId="4C4C3FF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Forklaring</w:t>
            </w:r>
          </w:p>
        </w:tc>
      </w:tr>
      <w:tr w:rsidR="00F5723F" w:rsidRPr="007F4CC8" w14:paraId="4B9A7D43" w14:textId="77777777" w:rsidTr="00D819DE">
        <w:trPr>
          <w:trHeight w:val="841"/>
        </w:trPr>
        <w:tc>
          <w:tcPr>
            <w:tcW w:w="1384" w:type="dxa"/>
          </w:tcPr>
          <w:p w14:paraId="2E6D49CF" w14:textId="77777777" w:rsidR="00F5723F" w:rsidRPr="007F4CC8" w:rsidRDefault="00F5723F" w:rsidP="00D819DE">
            <w:pPr>
              <w:pStyle w:val="Applicationdirecte"/>
              <w:spacing w:before="0"/>
            </w:pPr>
            <w:r>
              <w:t xml:space="preserve">a</w:t>
            </w:r>
          </w:p>
        </w:tc>
        <w:tc>
          <w:tcPr>
            <w:tcW w:w="7655" w:type="dxa"/>
          </w:tcPr>
          <w:p w14:paraId="31B54611" w14:textId="77777777" w:rsidR="00F5723F" w:rsidRPr="007F4CC8" w:rsidRDefault="00F5723F" w:rsidP="00D819DE">
            <w:pPr>
              <w:pStyle w:val="Fait"/>
              <w:spacing w:before="0" w:after="120"/>
              <w:rPr>
                <w:b/>
                <w:rFonts w:eastAsiaTheme="minorEastAsia"/>
              </w:rPr>
            </w:pPr>
            <w:r>
              <w:rPr>
                <w:b/>
              </w:rPr>
              <w:t xml:space="preserve">Regnskabsmæssig bruttoværdi/nominel værdi af eksponeringer med kreditlempelser– heraf ikkemisligholdte eksponeringer med kreditlempelser</w:t>
            </w:r>
          </w:p>
          <w:p w14:paraId="124DD90A" w14:textId="77777777" w:rsidR="00F5723F" w:rsidRPr="007F4CC8" w:rsidRDefault="00F5723F" w:rsidP="00D819DE">
            <w:pPr>
              <w:pStyle w:val="Institutionquisigne"/>
              <w:spacing w:before="0" w:after="120"/>
            </w:pPr>
            <w:r>
              <w:rPr>
                <w:i w:val="0"/>
              </w:rPr>
              <w:t xml:space="preserve">Regnskabsmæssig bruttoværdi som defineret i bilag V, del 1, punkt 34, til Kommissionens gennemførelsesforordning (EU) nr. 680/2014.</w:t>
            </w:r>
            <w:r>
              <w:rPr>
                <w:i w:val="0"/>
              </w:rPr>
              <w:t xml:space="preserve"> </w:t>
            </w:r>
            <w:r>
              <w:rPr>
                <w:i w:val="0"/>
              </w:rPr>
              <w:t xml:space="preserve">Nominel værdi som defineret i bilag V, del 2, punkt 118, til Kommissionens gennemførelsesforordning (EU) nr. 680/2014.</w:t>
            </w:r>
            <w:r>
              <w:rPr>
                <w:i w:val="0"/>
              </w:rPr>
              <w:t xml:space="preserve"> </w:t>
            </w:r>
            <w:r>
              <w:rPr>
                <w:i w:val="0"/>
              </w:rPr>
              <w:t xml:space="preserve">Eksponeringer med kreditlempelser som defineret i artikel 47b i CRR.</w:t>
            </w:r>
          </w:p>
          <w:p w14:paraId="4F8C0676" w14:textId="77777777" w:rsidR="00F5723F" w:rsidRPr="007F4CC8" w:rsidRDefault="00F5723F" w:rsidP="00D819DE">
            <w:pPr>
              <w:pStyle w:val="Fait"/>
              <w:spacing w:before="0" w:after="120"/>
            </w:pPr>
            <w:r>
              <w:t xml:space="preserve">Den regnskabsmæssige bruttoværdi i forbindelse med eksponeringer, der testes for værdiforringelse, er med fradrag af akkumulerede delvise og hele afskrivninger.</w:t>
            </w:r>
          </w:p>
          <w:p w14:paraId="49E0AEB0" w14:textId="77777777" w:rsidR="00F5723F" w:rsidRPr="007F4CC8" w:rsidRDefault="00F5723F" w:rsidP="00D819DE">
            <w:pPr>
              <w:pStyle w:val="Institutionquisigne"/>
              <w:spacing w:before="0" w:after="120"/>
              <w:rPr>
                <w:i w:val="0"/>
                <w:rFonts w:eastAsiaTheme="minorEastAsia"/>
              </w:rPr>
            </w:pPr>
            <w:r>
              <w:rPr>
                <w:i w:val="0"/>
              </w:rPr>
              <w:t xml:space="preserve">Afhængigt af om eksponeringer med kreditlempelser opfylder betingelserne i artikel 47a i CRR, kan de anses for at være ikkemisligholdte eller misligholdte.</w:t>
            </w:r>
          </w:p>
        </w:tc>
      </w:tr>
      <w:tr w:rsidR="00F5723F" w:rsidRPr="007F4CC8" w14:paraId="58EDACA2" w14:textId="77777777" w:rsidTr="00D819DE">
        <w:trPr>
          <w:trHeight w:val="841"/>
        </w:trPr>
        <w:tc>
          <w:tcPr>
            <w:tcW w:w="1384" w:type="dxa"/>
          </w:tcPr>
          <w:p w14:paraId="00C45FB1" w14:textId="77777777" w:rsidR="00F5723F" w:rsidRPr="007F4CC8" w:rsidRDefault="00F5723F" w:rsidP="00D819DE">
            <w:pPr>
              <w:pStyle w:val="Applicationdirecte"/>
              <w:spacing w:before="0"/>
            </w:pPr>
            <w:r>
              <w:t xml:space="preserve">b</w:t>
            </w:r>
          </w:p>
        </w:tc>
        <w:tc>
          <w:tcPr>
            <w:tcW w:w="7655" w:type="dxa"/>
          </w:tcPr>
          <w:p w14:paraId="0897AF71" w14:textId="77777777" w:rsidR="00F5723F" w:rsidRPr="007F4CC8" w:rsidRDefault="00F5723F" w:rsidP="00D819DE">
            <w:pPr>
              <w:pStyle w:val="Fait"/>
              <w:spacing w:before="0" w:after="120"/>
              <w:rPr>
                <w:b/>
                <w:rFonts w:eastAsiaTheme="minorEastAsia"/>
              </w:rPr>
            </w:pPr>
            <w:r>
              <w:rPr>
                <w:b/>
              </w:rPr>
              <w:t xml:space="preserve">Regnskabsmæssig bruttoværdi/nominel værdi af eksponeringer omfattet af kreditlempelser– heraf misligholdte eksponeringer med kreditlempelser</w:t>
            </w:r>
          </w:p>
          <w:p w14:paraId="3E3246FD" w14:textId="77777777" w:rsidR="00F5723F" w:rsidRPr="007F4CC8" w:rsidRDefault="00F5723F" w:rsidP="00D819DE">
            <w:pPr>
              <w:pStyle w:val="Institutionquisigne"/>
              <w:spacing w:before="0" w:after="120"/>
              <w:rPr>
                <w:i w:val="0"/>
              </w:rPr>
            </w:pPr>
            <w:r>
              <w:rPr>
                <w:i w:val="0"/>
              </w:rPr>
              <w:t xml:space="preserve">Regnskabsmæssig bruttoværdi som defineret i bilag V, del 1, punkt 34, til Kommissionens gennemførelsesforordning (EU) nr. 680/2014.</w:t>
            </w:r>
            <w:r>
              <w:rPr>
                <w:i w:val="0"/>
              </w:rPr>
              <w:t xml:space="preserve"> </w:t>
            </w:r>
            <w:r>
              <w:rPr>
                <w:i w:val="0"/>
              </w:rPr>
              <w:t xml:space="preserve">Nominel værdi som defineret i bilag V, del 2, punkt 118, til Kommissionens gennemførelsesforordning (EU) nr. 680/2014.</w:t>
            </w:r>
          </w:p>
          <w:p w14:paraId="29DA1B16" w14:textId="77777777" w:rsidR="00F5723F" w:rsidRPr="007F4CC8" w:rsidRDefault="00F5723F" w:rsidP="00D819DE">
            <w:pPr>
              <w:pStyle w:val="Fait"/>
              <w:spacing w:before="0" w:after="120"/>
            </w:pPr>
            <w:r>
              <w:t xml:space="preserve">Den regnskabsmæssige bruttoværdi i forbindelse med eksponeringer, der testes for værdiforringelse, er med fradrag af akkumulerede delvise og hele afskrivninger.</w:t>
            </w:r>
          </w:p>
          <w:p w14:paraId="2F4DDB95" w14:textId="77777777" w:rsidR="00F5723F" w:rsidRPr="007F4CC8" w:rsidRDefault="00F5723F" w:rsidP="00D819DE">
            <w:pPr>
              <w:pStyle w:val="Fait"/>
              <w:spacing w:before="0" w:after="120"/>
            </w:pPr>
            <w:r>
              <w:t xml:space="preserve">Misligholdte eksponeringer med kreditlempelser omfatter eksponeringer med kreditlempelser, som opfylder kriterierne for at blive anset for at være misligholdte og medregnes i kategorien misligholdte eksponeringer.</w:t>
            </w:r>
            <w:r>
              <w:t xml:space="preserve"> </w:t>
            </w:r>
            <w:r>
              <w:t xml:space="preserve">Sådanne misligholdte eksponeringer med kreditlempelser omfatter følgende:</w:t>
            </w:r>
            <w:r>
              <w:t xml:space="preserve"> </w:t>
            </w:r>
            <w:r>
              <w:t xml:space="preserve">a) eksponeringer, som er blevet misligholdte på grund af anvendelsen af kreditlempelser,</w:t>
            </w:r>
            <w:r>
              <w:t xml:space="preserve"> </w:t>
            </w:r>
            <w:r>
              <w:t xml:space="preserve">b) eksponeringer, som var misligholdte før forlængelsen af kreditlempelser,</w:t>
            </w:r>
            <w:r>
              <w:t xml:space="preserve"> </w:t>
            </w:r>
            <w:r>
              <w:t xml:space="preserve">c) eksponeringer med kreditlempelser, som var i kategorien for ikkemisligholdte eksponeringer og er blevet omklassificeret, herunder eksponeringer, som er blevet omklassificeret i henhold til artikel 47a i CRR.</w:t>
            </w:r>
          </w:p>
        </w:tc>
      </w:tr>
      <w:tr w:rsidR="00F5723F" w:rsidRPr="007F4CC8" w14:paraId="177BF6BA" w14:textId="77777777" w:rsidTr="00D819DE">
        <w:trPr>
          <w:trHeight w:val="841"/>
        </w:trPr>
        <w:tc>
          <w:tcPr>
            <w:tcW w:w="1384" w:type="dxa"/>
          </w:tcPr>
          <w:p w14:paraId="3104A3F6" w14:textId="77777777" w:rsidR="00F5723F" w:rsidRPr="007F4CC8" w:rsidRDefault="00F5723F" w:rsidP="00D819DE">
            <w:pPr>
              <w:pStyle w:val="Applicationdirecte"/>
              <w:spacing w:before="0"/>
            </w:pPr>
            <w:r>
              <w:t xml:space="preserve">c</w:t>
            </w:r>
          </w:p>
        </w:tc>
        <w:tc>
          <w:tcPr>
            <w:tcW w:w="7655" w:type="dxa"/>
          </w:tcPr>
          <w:p w14:paraId="1A12D76E" w14:textId="77777777" w:rsidR="00F5723F" w:rsidRPr="007F4CC8" w:rsidRDefault="00F5723F" w:rsidP="00D819DE">
            <w:pPr>
              <w:pStyle w:val="Fait"/>
              <w:spacing w:before="0" w:after="120"/>
              <w:ind w:left="720"/>
              <w:rPr>
                <w:b/>
                <w:rFonts w:eastAsiaTheme="minorEastAsia"/>
              </w:rPr>
            </w:pPr>
            <w:r>
              <w:rPr>
                <w:b/>
              </w:rPr>
              <w:t xml:space="preserve">Heraf misligholdte</w:t>
            </w:r>
          </w:p>
          <w:p w14:paraId="5FDF603D" w14:textId="77777777" w:rsidR="00F5723F" w:rsidRPr="007F4CC8" w:rsidRDefault="00F5723F" w:rsidP="00D819DE">
            <w:pPr>
              <w:pStyle w:val="Fait"/>
              <w:spacing w:before="0" w:after="120"/>
              <w:rPr>
                <w:rFonts w:eastAsiaTheme="minorEastAsia"/>
              </w:rPr>
            </w:pPr>
            <w:r>
              <w:t xml:space="preserve">Eksponeringer med kreditlempelser, der også er klassificeret som misligholdte eksponeringer i henhold til artikel 178 i CRR.</w:t>
            </w:r>
          </w:p>
        </w:tc>
      </w:tr>
      <w:tr w:rsidR="00F5723F" w:rsidRPr="007F4CC8" w14:paraId="6E1C2C77" w14:textId="77777777" w:rsidTr="00D819DE">
        <w:trPr>
          <w:trHeight w:val="841"/>
        </w:trPr>
        <w:tc>
          <w:tcPr>
            <w:tcW w:w="1384" w:type="dxa"/>
          </w:tcPr>
          <w:p w14:paraId="09B50CFF" w14:textId="77777777" w:rsidR="00F5723F" w:rsidRPr="007F4CC8" w:rsidRDefault="00F5723F" w:rsidP="00D819DE">
            <w:pPr>
              <w:pStyle w:val="Applicationdirecte"/>
              <w:spacing w:before="0"/>
            </w:pPr>
            <w:r>
              <w:t xml:space="preserve">d</w:t>
            </w:r>
          </w:p>
        </w:tc>
        <w:tc>
          <w:tcPr>
            <w:tcW w:w="7655" w:type="dxa"/>
          </w:tcPr>
          <w:p w14:paraId="01C05ACC" w14:textId="77777777" w:rsidR="00F5723F" w:rsidRPr="007F4CC8" w:rsidRDefault="00F5723F" w:rsidP="00D819DE">
            <w:pPr>
              <w:pStyle w:val="Fait"/>
              <w:spacing w:before="0" w:after="120"/>
              <w:ind w:left="720"/>
              <w:rPr>
                <w:b/>
                <w:rFonts w:eastAsiaTheme="minorEastAsia"/>
              </w:rPr>
            </w:pPr>
            <w:r>
              <w:rPr>
                <w:b/>
              </w:rPr>
              <w:t xml:space="preserve">Heraf værdiforringede</w:t>
            </w:r>
          </w:p>
          <w:p w14:paraId="4B67F483" w14:textId="77777777" w:rsidR="00F5723F" w:rsidRPr="007F4CC8" w:rsidRDefault="00F5723F" w:rsidP="00D819DE">
            <w:pPr>
              <w:pStyle w:val="Fait"/>
              <w:spacing w:before="0" w:after="120"/>
              <w:rPr>
                <w:rFonts w:eastAsiaTheme="minorEastAsia"/>
              </w:rPr>
            </w:pPr>
            <w:r>
              <w:t xml:space="preserve">Eksponeringer med kreditlempelser, der også er værdiforringede i overensstemmelse med de gældende regnskabsregler, jf. bilag V, del 2, punkt 215, til Kommissionens gennemførelsesforordning (EU) nr. 680/2014.</w:t>
            </w:r>
          </w:p>
        </w:tc>
      </w:tr>
      <w:tr w:rsidR="00F5723F" w:rsidRPr="007F4CC8" w14:paraId="439F3403" w14:textId="77777777" w:rsidTr="00D819DE">
        <w:trPr>
          <w:trHeight w:val="841"/>
        </w:trPr>
        <w:tc>
          <w:tcPr>
            <w:tcW w:w="1384" w:type="dxa"/>
          </w:tcPr>
          <w:p w14:paraId="49E2D122" w14:textId="77777777" w:rsidR="00F5723F" w:rsidRPr="007F4CC8" w:rsidRDefault="00F5723F" w:rsidP="00D819DE">
            <w:pPr>
              <w:pStyle w:val="Applicationdirecte"/>
              <w:spacing w:before="0"/>
            </w:pPr>
            <w:r>
              <w:t xml:space="preserve">e</w:t>
            </w:r>
          </w:p>
        </w:tc>
        <w:tc>
          <w:tcPr>
            <w:tcW w:w="7655" w:type="dxa"/>
          </w:tcPr>
          <w:p w14:paraId="1D7DE197"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Akkumulerede værdiforringelser, akkumulerede negative ændringer i dagsværdi på grund af kreditrisiko og hensættelser til ikkemisligholdte eksponeringer med kreditlempelser</w:t>
            </w:r>
          </w:p>
          <w:p w14:paraId="01442857" w14:textId="77777777" w:rsidR="00F5723F" w:rsidRPr="007F4CC8" w:rsidRDefault="00F5723F" w:rsidP="00D819DE">
            <w:pPr>
              <w:pStyle w:val="Fait"/>
              <w:spacing w:before="0" w:after="120"/>
            </w:pPr>
            <w:r>
              <w:t xml:space="preserve">Eksponeringer med kreditlempelser som defineret i artikel 47b i CRR.</w:t>
            </w:r>
            <w:r>
              <w:t xml:space="preserve"> </w:t>
            </w:r>
          </w:p>
          <w:p w14:paraId="2ECC33D9" w14:textId="77777777" w:rsidR="00F5723F" w:rsidRPr="007F4CC8" w:rsidRDefault="00F5723F" w:rsidP="00D819DE">
            <w:pPr>
              <w:pStyle w:val="Fait"/>
              <w:spacing w:before="0" w:after="120"/>
            </w:pPr>
            <w:r>
              <w:t xml:space="preserve">Institutterne skal medtage de beløb, der er fastsat i overensstemmelse med bilag V, del 2, punkt 11, 69-71, 106 og 110, til Kommissionens gennemførelsesforordning (EU) nr. 680/2014.</w:t>
            </w:r>
          </w:p>
          <w:p w14:paraId="6AEDE60B" w14:textId="77777777" w:rsidR="00F5723F" w:rsidRPr="007F4CC8" w:rsidRDefault="00F5723F" w:rsidP="00D819DE">
            <w:pPr>
              <w:pStyle w:val="Fait"/>
              <w:spacing w:before="0" w:after="120"/>
              <w:rPr>
                <w:rFonts w:eastAsiaTheme="minorEastAsia"/>
              </w:rPr>
            </w:pPr>
            <w:r>
              <w:t xml:space="preserve">Afhængigt af om eksponeringer med kreditlempelser opfylder betingelserne i artikel 47a og 47b i CRR, kan de anses for at være ikkemisligholdte eller misligholdte.</w:t>
            </w:r>
          </w:p>
        </w:tc>
      </w:tr>
      <w:tr w:rsidR="00F5723F" w:rsidRPr="007F4CC8" w14:paraId="24B05802" w14:textId="77777777" w:rsidTr="00D819DE">
        <w:trPr>
          <w:trHeight w:val="841"/>
        </w:trPr>
        <w:tc>
          <w:tcPr>
            <w:tcW w:w="1384" w:type="dxa"/>
          </w:tcPr>
          <w:p w14:paraId="4D9B2AA2" w14:textId="77777777" w:rsidR="00F5723F" w:rsidRPr="007F4CC8" w:rsidRDefault="00F5723F" w:rsidP="00D819DE">
            <w:pPr>
              <w:pStyle w:val="Applicationdirecte"/>
              <w:spacing w:before="0"/>
            </w:pPr>
            <w:r>
              <w:t xml:space="preserve">f</w:t>
            </w:r>
          </w:p>
        </w:tc>
        <w:tc>
          <w:tcPr>
            <w:tcW w:w="7655" w:type="dxa"/>
          </w:tcPr>
          <w:p w14:paraId="54BF76F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Akkumulerede værdiforringelser, akkumulerede negative ændringer i dagsværdi på grund af kreditrisiko og hensættelser til misligholdte eksponeringer med kreditlempelser</w:t>
            </w:r>
          </w:p>
          <w:p w14:paraId="5044EEED" w14:textId="77777777" w:rsidR="00F5723F" w:rsidRPr="007F4CC8" w:rsidRDefault="00F5723F" w:rsidP="00D819DE">
            <w:pPr>
              <w:pStyle w:val="Fait"/>
              <w:spacing w:before="0" w:after="120"/>
            </w:pPr>
            <w:r>
              <w:t xml:space="preserve">Dette omfatter de beløb, der er fastsat i overensstemmelse med bilag V, del 2, punkt 11, 69-71, 106 og 110, til Kommissionens gennemførelsesforordning (EU) nr. 680/2014.</w:t>
            </w:r>
          </w:p>
          <w:p w14:paraId="7F8ECF36" w14:textId="77777777" w:rsidR="00F5723F" w:rsidRPr="007F4CC8" w:rsidRDefault="00F5723F" w:rsidP="00D819DE">
            <w:pPr>
              <w:pStyle w:val="Fait"/>
              <w:spacing w:before="0" w:after="120"/>
              <w:rPr>
                <w:rFonts w:eastAsiaTheme="minorEastAsia"/>
              </w:rPr>
            </w:pPr>
            <w:r>
              <w:t xml:space="preserve">Misligholdte eksponeringer med kreditlempelser omfatter eksponeringer med kreditlempelser, som opfylder kriterierne for at blive anset for at være misligholdte og medregnes i kategorien misligholdte eksponeringer.</w:t>
            </w:r>
            <w:r>
              <w:t xml:space="preserve"> </w:t>
            </w:r>
            <w:r>
              <w:t xml:space="preserve">Sådanne misligholdte eksponeringer med kreditlempelser omfatter følgende:</w:t>
            </w:r>
            <w:r>
              <w:t xml:space="preserve"> </w:t>
            </w:r>
            <w:r>
              <w:t xml:space="preserve">a) eksponeringer, som er blevet misligholdte på grund af anvendelsen af kreditlempelser,</w:t>
            </w:r>
            <w:r>
              <w:t xml:space="preserve"> </w:t>
            </w:r>
            <w:r>
              <w:t xml:space="preserve">b) eksponeringer, som var misligholdte før forlængelsen af kreditlempelser,</w:t>
            </w:r>
            <w:r>
              <w:t xml:space="preserve"> </w:t>
            </w:r>
            <w:r>
              <w:t xml:space="preserve">c) eksponeringer med kreditlempelser, som var i kategorien for ikkemisligholdte eksponeringer og er blevet omklassificeret, herunder eksponeringer, som er blevet omklassificeret i henhold til artikel 47a i CRR.</w:t>
            </w:r>
          </w:p>
        </w:tc>
      </w:tr>
      <w:tr w:rsidR="00F5723F" w:rsidRPr="007F4CC8" w14:paraId="077C434B" w14:textId="77777777" w:rsidTr="00D819DE">
        <w:trPr>
          <w:trHeight w:val="841"/>
        </w:trPr>
        <w:tc>
          <w:tcPr>
            <w:tcW w:w="1384" w:type="dxa"/>
          </w:tcPr>
          <w:p w14:paraId="1C2D1547" w14:textId="77777777" w:rsidR="00F5723F" w:rsidRPr="007F4CC8" w:rsidRDefault="00F5723F" w:rsidP="00D819DE">
            <w:pPr>
              <w:pStyle w:val="Applicationdirecte"/>
              <w:spacing w:before="0"/>
            </w:pPr>
            <w:r>
              <w:t xml:space="preserve">g</w:t>
            </w:r>
          </w:p>
        </w:tc>
        <w:tc>
          <w:tcPr>
            <w:tcW w:w="7655" w:type="dxa"/>
          </w:tcPr>
          <w:p w14:paraId="08960263" w14:textId="77777777" w:rsidR="00F5723F" w:rsidRPr="007F4CC8" w:rsidRDefault="00F5723F" w:rsidP="00D819DE">
            <w:pPr>
              <w:pStyle w:val="Fait"/>
              <w:spacing w:before="0" w:after="120"/>
              <w:rPr>
                <w:b/>
                <w:rFonts w:eastAsiaTheme="minorEastAsia"/>
              </w:rPr>
            </w:pPr>
            <w:r>
              <w:rPr>
                <w:b/>
              </w:rPr>
              <w:t xml:space="preserve">Sikkerhedsstillelser og finansielle garantier modtaget for eksponeringer med kreditlempelser</w:t>
            </w:r>
          </w:p>
          <w:p w14:paraId="7DE64F47" w14:textId="77777777" w:rsidR="00F5723F" w:rsidRPr="007F4CC8" w:rsidRDefault="00F5723F" w:rsidP="00D819DE">
            <w:pPr>
              <w:pStyle w:val="Fait"/>
              <w:spacing w:before="0" w:after="120"/>
              <w:rPr>
                <w:rFonts w:eastAsiaTheme="minorEastAsia"/>
              </w:rPr>
            </w:pPr>
            <w:r>
              <w:t xml:space="preserve">Disse oplyses for alle eksponeringer med kreditlempelser, uanset om de er misligholdte eller ikkemisligholdte.</w:t>
            </w:r>
            <w:r>
              <w:t xml:space="preserve"> </w:t>
            </w:r>
            <w:r>
              <w:t xml:space="preserve">Beløbene for modtagne sikkerhedsstillelser og modtagne garantier beregnes i overensstemmelse med bilag V, del 2, punkt 239, til Kommissionens gennemførelsesforordning (EU) nr. 680/2014.</w:t>
            </w:r>
            <w:r>
              <w:t xml:space="preserve"> </w:t>
            </w:r>
            <w:r>
              <w:t xml:space="preserve">Summen af beløbene for både sikkerhedsstillelser og garantier er den regnskabsmæssige værdi af den relaterede eksponering.</w:t>
            </w:r>
          </w:p>
        </w:tc>
      </w:tr>
      <w:tr w:rsidR="00F5723F" w:rsidRPr="007F4CC8" w14:paraId="1A9F06B0" w14:textId="77777777" w:rsidTr="00D819DE">
        <w:trPr>
          <w:trHeight w:val="841"/>
        </w:trPr>
        <w:tc>
          <w:tcPr>
            <w:tcW w:w="1384" w:type="dxa"/>
          </w:tcPr>
          <w:p w14:paraId="452E4852" w14:textId="77777777" w:rsidR="00F5723F" w:rsidRPr="007F4CC8" w:rsidRDefault="00F5723F" w:rsidP="00D819DE">
            <w:pPr>
              <w:pStyle w:val="Applicationdirecte"/>
              <w:spacing w:before="0"/>
            </w:pPr>
            <w:r>
              <w:t xml:space="preserve">h</w:t>
            </w:r>
          </w:p>
        </w:tc>
        <w:tc>
          <w:tcPr>
            <w:tcW w:w="7655" w:type="dxa"/>
          </w:tcPr>
          <w:p w14:paraId="1B9954D9" w14:textId="77777777" w:rsidR="00F5723F" w:rsidRPr="007F4CC8" w:rsidRDefault="00F5723F" w:rsidP="00D819DE">
            <w:pPr>
              <w:pStyle w:val="Fait"/>
              <w:spacing w:before="0" w:after="120"/>
              <w:ind w:left="720"/>
              <w:rPr>
                <w:b/>
                <w:rFonts w:eastAsiaTheme="minorEastAsia"/>
              </w:rPr>
            </w:pPr>
            <w:r>
              <w:rPr>
                <w:b/>
              </w:rPr>
              <w:t xml:space="preserve">Heraf sikkerhedsstillelser og finansielle garantier modtaget for misligholdte eksponeringer med kreditlempelser</w:t>
            </w:r>
          </w:p>
          <w:p w14:paraId="6458C140" w14:textId="77777777" w:rsidR="00F5723F" w:rsidRPr="007F4CC8" w:rsidRDefault="00F5723F" w:rsidP="00D819DE">
            <w:pPr>
              <w:pStyle w:val="Fait"/>
              <w:spacing w:before="0" w:after="120"/>
            </w:pPr>
            <w:r>
              <w:t xml:space="preserve">Beløbene for modtagne sikkerhedsstillelser og modtagne garantier beregnes i overensstemmelse med bilag V, del 2, punkt 239, til Kommissionens gennemførelsesforordning (EU) nr. 680/2014.</w:t>
            </w:r>
            <w:r>
              <w:t xml:space="preserve"> </w:t>
            </w:r>
            <w:r>
              <w:t xml:space="preserve">Summen af beløbene for både sikkerhedsstillelser og garantier er den regnskabsmæssige værdi af den relaterede eksponering.</w:t>
            </w:r>
          </w:p>
          <w:p w14:paraId="3BFAABD6" w14:textId="77777777" w:rsidR="00F5723F" w:rsidRPr="007F4CC8" w:rsidRDefault="00F5723F" w:rsidP="00D819DE">
            <w:pPr>
              <w:pStyle w:val="Fait"/>
              <w:spacing w:before="0" w:after="120"/>
              <w:rPr>
                <w:rFonts w:eastAsiaTheme="minorEastAsia"/>
              </w:rPr>
            </w:pPr>
            <w:r>
              <w:t xml:space="preserve">Misligholdte eksponeringer med kreditlempelser omfatter eksponeringer med kreditlempelser, som opfylder kriterierne for at blive anset for at være misligholdte og medregnes i kategorien misligholdte eksponeringer.</w:t>
            </w:r>
            <w:r>
              <w:t xml:space="preserve"> </w:t>
            </w:r>
            <w:r>
              <w:t xml:space="preserve">Sådanne misligholdte eksponeringer med kreditlempelser omfatter følgende:</w:t>
            </w:r>
            <w:r>
              <w:t xml:space="preserve"> </w:t>
            </w:r>
            <w:r>
              <w:t xml:space="preserve">a) eksponeringer, som er blevet misligholdte på grund af anvendelsen af kreditlempelser,</w:t>
            </w:r>
            <w:r>
              <w:t xml:space="preserve"> </w:t>
            </w:r>
            <w:r>
              <w:t xml:space="preserve">b) eksponeringer, som var misligholdte før forlængelsen af kreditlempelser,</w:t>
            </w:r>
            <w:r>
              <w:t xml:space="preserve"> </w:t>
            </w:r>
            <w:r>
              <w:t xml:space="preserve">c) eksponeringer med kreditlempelser, som var i kategorien for ikkemisligholdte eksponeringer og er blevet omklassificeret, herunder eksponeringer, som er blevet omklassificeret i henhold til artikel 47a i CRR.</w:t>
            </w:r>
          </w:p>
        </w:tc>
      </w:tr>
    </w:tbl>
    <w:p w14:paraId="61D04E8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0F615A8D"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Skema EU CQ2:</w:t>
      </w:r>
      <w:r>
        <w:rPr>
          <w:b/>
          <w:sz w:val="24"/>
          <w:rFonts w:ascii="Times New Roman" w:hAnsi="Times New Roman"/>
        </w:rPr>
        <w:t xml:space="preserve"> </w:t>
      </w:r>
      <w:r>
        <w:rPr>
          <w:b/>
          <w:sz w:val="24"/>
          <w:rFonts w:ascii="Times New Roman" w:hAnsi="Times New Roman"/>
        </w:rPr>
        <w:t xml:space="preserve">Kvalitet af kreditlempelser</w:t>
      </w:r>
    </w:p>
    <w:p w14:paraId="24DB8DF8" w14:textId="4D8BE46E" w:rsidR="00F5723F" w:rsidRPr="007F4CC8" w:rsidRDefault="00BE49C3" w:rsidP="0090750A">
      <w:pPr>
        <w:pStyle w:val="ListParagraph"/>
        <w:numPr>
          <w:ilvl w:val="0"/>
          <w:numId w:val="16"/>
        </w:numPr>
        <w:spacing w:after="120"/>
        <w:jc w:val="both"/>
        <w:rPr>
          <w:bCs/>
          <w:sz w:val="24"/>
          <w:rFonts w:ascii="Times New Roman" w:hAnsi="Times New Roman"/>
        </w:rPr>
      </w:pPr>
      <w:r>
        <w:rPr>
          <w:sz w:val="24"/>
          <w:rFonts w:ascii="Times New Roman" w:hAnsi="Times New Roman"/>
        </w:rPr>
        <w:t xml:space="preserve">Store institutter som omhandlet i denne gennemførelsesforordnings artikel 8, stk. 2, skal offentliggøre de oplysninger, som er omhandlet i artikel 442, litra c) i CRR, ved at følge nedenstående instrukser til udfyldelse af skema EU CQ2, som findes i bilag XV til EBA's IT-løsninger.</w:t>
      </w:r>
    </w:p>
    <w:p w14:paraId="15E22628"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92618C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DE95D0"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F5723F" w:rsidRPr="007F4CC8" w14:paraId="64906EB5" w14:textId="77777777" w:rsidTr="00D819DE">
        <w:trPr>
          <w:trHeight w:val="238"/>
        </w:trPr>
        <w:tc>
          <w:tcPr>
            <w:tcW w:w="1384" w:type="dxa"/>
            <w:shd w:val="clear" w:color="auto" w:fill="D9D9D9" w:themeFill="background1" w:themeFillShade="D9"/>
          </w:tcPr>
          <w:p w14:paraId="0590E6A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22EC76A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Forklaring</w:t>
            </w:r>
          </w:p>
        </w:tc>
      </w:tr>
      <w:tr w:rsidR="00F5723F" w:rsidRPr="007F4CC8" w14:paraId="10337400" w14:textId="77777777" w:rsidTr="00D819DE">
        <w:trPr>
          <w:trHeight w:val="2033"/>
        </w:trPr>
        <w:tc>
          <w:tcPr>
            <w:tcW w:w="1384" w:type="dxa"/>
          </w:tcPr>
          <w:p w14:paraId="13F3FCA2" w14:textId="77777777" w:rsidR="00F5723F" w:rsidRPr="007F4CC8" w:rsidRDefault="00F5723F" w:rsidP="00D819DE">
            <w:pPr>
              <w:pStyle w:val="Applicationdirecte"/>
              <w:spacing w:before="0"/>
            </w:pPr>
            <w:r>
              <w:t xml:space="preserve">010</w:t>
            </w:r>
          </w:p>
        </w:tc>
        <w:tc>
          <w:tcPr>
            <w:tcW w:w="7655" w:type="dxa"/>
          </w:tcPr>
          <w:p w14:paraId="122F9564" w14:textId="77777777" w:rsidR="00F5723F" w:rsidRPr="007F4CC8" w:rsidRDefault="00F5723F" w:rsidP="00D819DE">
            <w:pPr>
              <w:pStyle w:val="Applicationdirecte"/>
              <w:spacing w:before="0"/>
              <w:rPr>
                <w:b/>
              </w:rPr>
            </w:pPr>
            <w:r>
              <w:rPr>
                <w:b/>
              </w:rPr>
              <w:t xml:space="preserve">Lån og forskud med kreditlempelser "mere end to gange"</w:t>
            </w:r>
          </w:p>
          <w:p w14:paraId="4682DC31" w14:textId="77777777" w:rsidR="00F5723F" w:rsidRPr="007F4CC8" w:rsidRDefault="00F5723F" w:rsidP="00D819DE">
            <w:pPr>
              <w:pStyle w:val="Fait"/>
              <w:spacing w:before="0" w:after="120"/>
            </w:pPr>
            <w:r>
              <w:t xml:space="preserve">Regnskabsmæssig bruttoværdi af lån og forskud, der er blevet indrømmet kreditlempelser tidligere og mere end to gange.</w:t>
            </w:r>
          </w:p>
          <w:p w14:paraId="25462CDA" w14:textId="77777777" w:rsidR="00F5723F" w:rsidRPr="007F4CC8" w:rsidRDefault="00F5723F" w:rsidP="00D819DE">
            <w:pPr>
              <w:pStyle w:val="Fait"/>
              <w:spacing w:before="0" w:after="120"/>
            </w:pPr>
            <w:r>
              <w:t xml:space="preserve">Lån og forskud, der er blevet indrømmet kreditlempelser, og som ikke længere er i kategorien for eksponeringer med kreditlempelser (dvs. genetablerede ("cured") lån og forskud med kreditlempelser), medregnes også her, når en ny foranstaltning med kreditlempelser er blevet indrømmet.</w:t>
            </w:r>
          </w:p>
        </w:tc>
      </w:tr>
      <w:tr w:rsidR="00F5723F" w:rsidRPr="007F4CC8" w14:paraId="0F98E3D8" w14:textId="77777777" w:rsidTr="00D819DE">
        <w:trPr>
          <w:trHeight w:val="316"/>
        </w:trPr>
        <w:tc>
          <w:tcPr>
            <w:tcW w:w="1384" w:type="dxa"/>
          </w:tcPr>
          <w:p w14:paraId="20F5DE72"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sz w:val="24"/>
                <w:rFonts w:ascii="Times New Roman" w:hAnsi="Times New Roman"/>
              </w:rPr>
              <w:t xml:space="preserve">020</w:t>
            </w:r>
          </w:p>
        </w:tc>
        <w:tc>
          <w:tcPr>
            <w:tcW w:w="7655" w:type="dxa"/>
          </w:tcPr>
          <w:p w14:paraId="136388F8"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Misligholdte lån og forskud med kreditlempelser, som ikke opfyldte kriterierne for ikke længere at blive kategoriseret som misligholdt</w:t>
            </w:r>
          </w:p>
          <w:p w14:paraId="6C8A457E" w14:textId="77777777" w:rsidR="00F5723F" w:rsidRPr="007F4CC8" w:rsidRDefault="00F5723F" w:rsidP="00D819DE">
            <w:pPr>
              <w:pStyle w:val="Fait"/>
              <w:spacing w:before="0" w:after="120"/>
              <w:rPr>
                <w:b/>
              </w:rPr>
            </w:pPr>
            <w:r>
              <w:t xml:space="preserve">Regnskabsmæssig bruttoværdi af misligholdte lån og forskud med kreditlempelser, som er i kategorien misligholdte lån og forskud med kreditlempelser inden for fristen for ophør af misligholdelse på ét år, og som ikke har overholdt kreditlempelserne efter fristen for ophør af misligholdelse på 12 måneder og dermed ikke opnåede status som ikkemisligholdte eksponeringer med kreditlempelser, men bevarede deres status som misligholdte eksponeringer med kreditlempelser inden for fristen for ophør af misligholdelse.</w:t>
            </w:r>
          </w:p>
        </w:tc>
      </w:tr>
    </w:tbl>
    <w:p w14:paraId="77698CB0"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21A6B69" w14:textId="77777777" w:rsidTr="00D819DE">
        <w:trPr>
          <w:trHeight w:val="238"/>
        </w:trPr>
        <w:tc>
          <w:tcPr>
            <w:tcW w:w="9039" w:type="dxa"/>
            <w:gridSpan w:val="2"/>
            <w:shd w:val="clear" w:color="auto" w:fill="D9D9D9" w:themeFill="background1" w:themeFillShade="D9"/>
          </w:tcPr>
          <w:p w14:paraId="2747371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F5723F" w:rsidRPr="007F4CC8" w14:paraId="151C462F" w14:textId="77777777" w:rsidTr="00D819DE">
        <w:trPr>
          <w:trHeight w:val="238"/>
        </w:trPr>
        <w:tc>
          <w:tcPr>
            <w:tcW w:w="1384" w:type="dxa"/>
            <w:shd w:val="clear" w:color="auto" w:fill="D9D9D9" w:themeFill="background1" w:themeFillShade="D9"/>
          </w:tcPr>
          <w:p w14:paraId="7A97A276"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Kolonne nr.</w:t>
            </w:r>
          </w:p>
        </w:tc>
        <w:tc>
          <w:tcPr>
            <w:tcW w:w="7655" w:type="dxa"/>
            <w:shd w:val="clear" w:color="auto" w:fill="D9D9D9" w:themeFill="background1" w:themeFillShade="D9"/>
          </w:tcPr>
          <w:p w14:paraId="26408AD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Forklaring</w:t>
            </w:r>
          </w:p>
        </w:tc>
      </w:tr>
      <w:tr w:rsidR="00F5723F" w:rsidRPr="007F4CC8" w14:paraId="2677BB82" w14:textId="77777777" w:rsidTr="00D819DE">
        <w:trPr>
          <w:trHeight w:val="841"/>
        </w:trPr>
        <w:tc>
          <w:tcPr>
            <w:tcW w:w="1384" w:type="dxa"/>
          </w:tcPr>
          <w:p w14:paraId="78BD4340" w14:textId="77777777" w:rsidR="00F5723F" w:rsidRPr="007F4CC8" w:rsidRDefault="00F5723F" w:rsidP="00D819DE">
            <w:pPr>
              <w:pStyle w:val="Applicationdirecte"/>
              <w:spacing w:before="0"/>
            </w:pPr>
            <w:r>
              <w:t xml:space="preserve">a</w:t>
            </w:r>
          </w:p>
        </w:tc>
        <w:tc>
          <w:tcPr>
            <w:tcW w:w="7655" w:type="dxa"/>
          </w:tcPr>
          <w:p w14:paraId="0FC9E7B6" w14:textId="77777777" w:rsidR="00F5723F" w:rsidRPr="007F4CC8" w:rsidRDefault="00F5723F" w:rsidP="00D819DE">
            <w:pPr>
              <w:pStyle w:val="Fait"/>
              <w:spacing w:before="0" w:after="120"/>
              <w:rPr>
                <w:b/>
                <w:rFonts w:eastAsiaTheme="minorEastAsia"/>
              </w:rPr>
            </w:pPr>
            <w:r>
              <w:rPr>
                <w:b/>
              </w:rPr>
              <w:t xml:space="preserve">Regnskabsmæssig bruttoværdi af eksponeringer med kreditlempelser</w:t>
            </w:r>
          </w:p>
          <w:p w14:paraId="4FCAF587" w14:textId="167C1484" w:rsidR="00F5723F" w:rsidRPr="007F4CC8" w:rsidRDefault="00F5723F" w:rsidP="00D819DE">
            <w:pPr>
              <w:pStyle w:val="Institutionquisigne"/>
              <w:spacing w:before="0" w:after="120"/>
              <w:rPr>
                <w:i w:val="0"/>
              </w:rPr>
            </w:pPr>
            <w:r>
              <w:rPr>
                <w:i w:val="0"/>
              </w:rPr>
              <w:t xml:space="preserve">Regnskabsmæssig bruttoværdi som defineret i bilag V, del 1, punkt 34, til Kommissionens gennemførelsesforordning (EU) nr. 680/2014.</w:t>
            </w:r>
            <w:r>
              <w:rPr>
                <w:i w:val="0"/>
              </w:rPr>
              <w:t xml:space="preserve"> </w:t>
            </w:r>
            <w:r>
              <w:rPr>
                <w:i w:val="0"/>
              </w:rPr>
              <w:t xml:space="preserve">Eksponeringer med kreditlempelser som defineret i artikel 47b i CRR.</w:t>
            </w:r>
          </w:p>
          <w:p w14:paraId="383A0FAA" w14:textId="77777777" w:rsidR="00F5723F" w:rsidRPr="007F4CC8" w:rsidRDefault="00F5723F" w:rsidP="00D819DE">
            <w:pPr>
              <w:pStyle w:val="Institutionquisigne"/>
              <w:spacing w:before="0" w:after="120"/>
            </w:pPr>
            <w:r>
              <w:rPr>
                <w:i w:val="0"/>
              </w:rPr>
              <w:t xml:space="preserve">Afhængigt af om eksponeringer med kreditlempelser opfylder betingelserne i artikel 47a eller 47b i CRR, kan de anses for at være ikkemisligholdte eller misligholdte.</w:t>
            </w:r>
          </w:p>
        </w:tc>
      </w:tr>
    </w:tbl>
    <w:p w14:paraId="5A61406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F0382F"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1DA84695" w14:textId="77777777" w:rsidR="00F5723F" w:rsidRPr="007F4CC8" w:rsidRDefault="00F5723F" w:rsidP="00F5723F">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Skema EU CQ3:</w:t>
      </w:r>
      <w:r>
        <w:rPr>
          <w:b/>
          <w:sz w:val="24"/>
          <w:rFonts w:ascii="Times New Roman" w:hAnsi="Times New Roman"/>
        </w:rPr>
        <w:t xml:space="preserve"> </w:t>
      </w:r>
      <w:r>
        <w:rPr>
          <w:b/>
          <w:sz w:val="24"/>
          <w:rFonts w:ascii="Times New Roman" w:hAnsi="Times New Roman"/>
        </w:rPr>
        <w:t xml:space="preserve">Kreditkvalitet af ikkemisligholdte og misligholdte eksponeringer efter forfaldsdage</w:t>
      </w:r>
    </w:p>
    <w:p w14:paraId="5BA87DFF" w14:textId="02F2C5E8" w:rsidR="00F5723F" w:rsidRPr="007F4CC8" w:rsidRDefault="00F5723F" w:rsidP="0090750A">
      <w:pPr>
        <w:pStyle w:val="ListParagraph"/>
        <w:numPr>
          <w:ilvl w:val="0"/>
          <w:numId w:val="17"/>
        </w:numPr>
        <w:spacing w:after="120"/>
        <w:jc w:val="both"/>
        <w:rPr>
          <w:bCs/>
          <w:sz w:val="24"/>
          <w:rFonts w:ascii="Times New Roman" w:hAnsi="Times New Roman"/>
        </w:rPr>
      </w:pPr>
      <w:r>
        <w:rPr>
          <w:sz w:val="24"/>
          <w:rFonts w:ascii="Times New Roman" w:hAnsi="Times New Roman"/>
        </w:rPr>
        <w:t xml:space="preserve">Institutterne skal offentliggøre de oplysninger, som er omhandlet i artikel 442, litra d), i CRR, ved at følge instrukserne i dette bilag til udfyldelse af skema EU CQ3, som findes i bilag XV til EBA's IT-løsninger.</w:t>
      </w:r>
    </w:p>
    <w:p w14:paraId="69F67E7E"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07CB65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A654"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F5723F" w:rsidRPr="007F4CC8" w14:paraId="756F85AE" w14:textId="77777777" w:rsidTr="00D819DE">
        <w:trPr>
          <w:trHeight w:val="238"/>
        </w:trPr>
        <w:tc>
          <w:tcPr>
            <w:tcW w:w="1384" w:type="dxa"/>
            <w:shd w:val="clear" w:color="auto" w:fill="D9D9D9" w:themeFill="background1" w:themeFillShade="D9"/>
          </w:tcPr>
          <w:p w14:paraId="2B6BE89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65C5EF0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Forklaring</w:t>
            </w:r>
          </w:p>
        </w:tc>
      </w:tr>
      <w:tr w:rsidR="00F5723F" w:rsidRPr="007F4CC8" w14:paraId="23DC991A" w14:textId="77777777" w:rsidTr="00D819DE">
        <w:trPr>
          <w:trHeight w:val="845"/>
        </w:trPr>
        <w:tc>
          <w:tcPr>
            <w:tcW w:w="1384" w:type="dxa"/>
          </w:tcPr>
          <w:p w14:paraId="52684F82" w14:textId="77777777" w:rsidR="00F5723F" w:rsidRPr="007F4CC8" w:rsidRDefault="00F5723F" w:rsidP="00D819DE">
            <w:pPr>
              <w:pStyle w:val="Applicationdirecte"/>
              <w:spacing w:before="0"/>
            </w:pPr>
            <w:r>
              <w:t xml:space="preserve">005</w:t>
            </w:r>
          </w:p>
        </w:tc>
        <w:tc>
          <w:tcPr>
            <w:tcW w:w="7655" w:type="dxa"/>
          </w:tcPr>
          <w:p w14:paraId="06BF0C44" w14:textId="77777777" w:rsidR="00F5723F" w:rsidRPr="007F4CC8" w:rsidRDefault="00F5723F" w:rsidP="00D819DE">
            <w:pPr>
              <w:pStyle w:val="Applicationdirecte"/>
              <w:spacing w:before="0"/>
              <w:rPr>
                <w:b/>
              </w:rPr>
            </w:pPr>
            <w:r>
              <w:rPr>
                <w:b/>
              </w:rPr>
              <w:t xml:space="preserve">Kassebeholdninger i centralbanker og andre anfordringsindskud</w:t>
            </w:r>
          </w:p>
          <w:p w14:paraId="6A463E9A" w14:textId="77777777" w:rsidR="00F5723F" w:rsidRPr="007F4CC8" w:rsidRDefault="00F5723F" w:rsidP="00D819DE">
            <w:pPr>
              <w:pStyle w:val="Applicationdirecte"/>
              <w:spacing w:before="0"/>
            </w:pPr>
            <w:r>
              <w:t xml:space="preserve">Institutterne skal offentliggøre disse oplysninger i overensstemmelse med de oplysninger, der er indberettet i bilag III og IV til Kommissionens gennemførelsesforordning (EU) nr. 680/2014.</w:t>
            </w:r>
          </w:p>
        </w:tc>
      </w:tr>
      <w:tr w:rsidR="00F5723F" w:rsidRPr="007F4CC8" w14:paraId="3467AA8E" w14:textId="77777777" w:rsidTr="00D819DE">
        <w:trPr>
          <w:trHeight w:val="845"/>
        </w:trPr>
        <w:tc>
          <w:tcPr>
            <w:tcW w:w="1384" w:type="dxa"/>
          </w:tcPr>
          <w:p w14:paraId="60EA3749" w14:textId="77777777" w:rsidR="00F5723F" w:rsidRPr="007F4CC8" w:rsidRDefault="00F5723F" w:rsidP="00D819DE">
            <w:pPr>
              <w:pStyle w:val="Applicationdirecte"/>
              <w:spacing w:before="0"/>
            </w:pPr>
            <w:r>
              <w:t xml:space="preserve">010</w:t>
            </w:r>
          </w:p>
        </w:tc>
        <w:tc>
          <w:tcPr>
            <w:tcW w:w="7655" w:type="dxa"/>
          </w:tcPr>
          <w:p w14:paraId="1457D83E" w14:textId="77777777" w:rsidR="00F5723F" w:rsidRPr="007F4CC8" w:rsidRDefault="00F5723F" w:rsidP="00D819DE">
            <w:pPr>
              <w:pStyle w:val="Applicationdirecte"/>
              <w:spacing w:before="0"/>
              <w:rPr>
                <w:b/>
              </w:rPr>
            </w:pPr>
            <w:r>
              <w:rPr>
                <w:b/>
              </w:rPr>
              <w:t xml:space="preserve">Lån og forskud</w:t>
            </w:r>
          </w:p>
          <w:p w14:paraId="090F8B82" w14:textId="77777777" w:rsidR="00F5723F" w:rsidRPr="007F4CC8" w:rsidRDefault="00F5723F" w:rsidP="00D819DE">
            <w:pPr>
              <w:pStyle w:val="Applicationdirecte"/>
              <w:spacing w:before="0"/>
            </w:pPr>
            <w:r>
              <w:t xml:space="preserve">Se definitionen i EU-CR1:</w:t>
            </w:r>
            <w:r>
              <w:t xml:space="preserve"> </w:t>
            </w:r>
            <w:r>
              <w:t xml:space="preserve">Ikkemisligholdte og misligholdte eksponeringer og dertil knyttede bestemmelser.</w:t>
            </w:r>
          </w:p>
        </w:tc>
      </w:tr>
      <w:tr w:rsidR="00F5723F" w:rsidRPr="007F4CC8" w14:paraId="6878FAA6" w14:textId="77777777" w:rsidTr="00D819DE">
        <w:trPr>
          <w:trHeight w:val="3815"/>
        </w:trPr>
        <w:tc>
          <w:tcPr>
            <w:tcW w:w="1384" w:type="dxa"/>
          </w:tcPr>
          <w:p w14:paraId="0806E97F" w14:textId="77777777" w:rsidR="00F5723F" w:rsidRPr="007F4CC8" w:rsidRDefault="00F5723F" w:rsidP="00D819DE">
            <w:pPr>
              <w:pStyle w:val="Applicationdirecte"/>
              <w:spacing w:before="0"/>
            </w:pPr>
            <w:r>
              <w:t xml:space="preserve">020 – 060, 080, 100 – 140, 160 –210</w:t>
            </w:r>
          </w:p>
        </w:tc>
        <w:tc>
          <w:tcPr>
            <w:tcW w:w="7655" w:type="dxa"/>
          </w:tcPr>
          <w:p w14:paraId="0C3873CC" w14:textId="77777777" w:rsidR="00F5723F" w:rsidRPr="007F4CC8" w:rsidRDefault="00F5723F" w:rsidP="00D819DE">
            <w:pPr>
              <w:pStyle w:val="Applicationdirecte"/>
              <w:spacing w:before="0"/>
              <w:rPr>
                <w:b/>
              </w:rPr>
            </w:pPr>
            <w:r>
              <w:rPr>
                <w:b/>
              </w:rPr>
              <w:t xml:space="preserve">Opdeling af modparter</w:t>
            </w:r>
          </w:p>
          <w:p w14:paraId="6CBF1799" w14:textId="77777777" w:rsidR="00F5723F" w:rsidRPr="007F4CC8" w:rsidRDefault="00F5723F" w:rsidP="00D819DE">
            <w:pPr>
              <w:pStyle w:val="Applicationdirecte"/>
              <w:spacing w:before="0"/>
            </w:pPr>
            <w:r>
              <w:t xml:space="preserve">Institutterne skal anvende opdelingen efter modpart som defineret i bilag V, del 1, punkt 42, til Kommissionens gennemførelsesforordning (EU) nr. 680/2014.</w:t>
            </w:r>
          </w:p>
          <w:p w14:paraId="79F93526" w14:textId="77777777" w:rsidR="00F5723F" w:rsidRPr="007F4CC8" w:rsidRDefault="00F5723F" w:rsidP="00D819DE">
            <w:pPr>
              <w:pStyle w:val="Fait"/>
              <w:spacing w:before="0" w:after="120"/>
            </w:pPr>
            <w:r>
              <w:t xml:space="preserve">Fordelingen af modparter efter sektor er alene baseret på arten af den umiddelbare modpart.</w:t>
            </w:r>
            <w:r>
              <w:t xml:space="preserve"> </w:t>
            </w:r>
            <w:r>
              <w:t xml:space="preserve">Eksponeringer, som flere låntagere pådrager sig i fællesskab, skal klassificeres på grundlag af karakteristikaene for den låntager, der var mest relevant eller betydningsfuld for instituttets beslutning om eksponeringen.</w:t>
            </w:r>
            <w:r>
              <w:t xml:space="preserve"> </w:t>
            </w:r>
            <w:r>
              <w:t xml:space="preserve">Blandt andre klassificeringer skal fordelingen af eksponeringer pådraget i fællesskab efter modpartssektor, hjemsted og NACE-kode baseres på den mest relevante eller betydningsfulde låntager.</w:t>
            </w:r>
          </w:p>
        </w:tc>
      </w:tr>
      <w:tr w:rsidR="00F5723F" w:rsidRPr="007F4CC8" w14:paraId="4D7AA13F" w14:textId="77777777" w:rsidTr="00D819DE">
        <w:trPr>
          <w:trHeight w:val="316"/>
        </w:trPr>
        <w:tc>
          <w:tcPr>
            <w:tcW w:w="1384" w:type="dxa"/>
          </w:tcPr>
          <w:p w14:paraId="0434984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sz w:val="24"/>
                <w:rFonts w:ascii="Times New Roman" w:hAnsi="Times New Roman"/>
              </w:rPr>
              <w:t xml:space="preserve">070</w:t>
            </w:r>
          </w:p>
        </w:tc>
        <w:tc>
          <w:tcPr>
            <w:tcW w:w="7655" w:type="dxa"/>
          </w:tcPr>
          <w:p w14:paraId="70C2E42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SMV'er</w:t>
            </w:r>
          </w:p>
          <w:p w14:paraId="7FB7E935" w14:textId="369F072F"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Som defineret i bilag V, del 1, punkt 5, nr. i), til Kommissionens gennemførelsesforordning (EU) nr. 680/2014.</w:t>
            </w:r>
          </w:p>
        </w:tc>
      </w:tr>
      <w:tr w:rsidR="00F5723F" w:rsidRPr="007F4CC8" w14:paraId="72DD6C4B" w14:textId="77777777" w:rsidTr="00D819DE">
        <w:trPr>
          <w:trHeight w:val="530"/>
        </w:trPr>
        <w:tc>
          <w:tcPr>
            <w:tcW w:w="1384" w:type="dxa"/>
          </w:tcPr>
          <w:p w14:paraId="7488C5A0"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090</w:t>
            </w:r>
          </w:p>
        </w:tc>
        <w:tc>
          <w:tcPr>
            <w:tcW w:w="7655" w:type="dxa"/>
          </w:tcPr>
          <w:p w14:paraId="3E127FDD"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Gældsværdipapirer</w:t>
            </w:r>
          </w:p>
          <w:p w14:paraId="66C01B1F" w14:textId="77777777" w:rsidR="00F5723F" w:rsidRPr="007F4CC8" w:rsidRDefault="00F5723F" w:rsidP="00D819DE">
            <w:pPr>
              <w:pStyle w:val="Applicationdirecte"/>
              <w:spacing w:before="0"/>
            </w:pPr>
            <w:r>
              <w:t xml:space="preserve">Se definitionen i EU-CR1:</w:t>
            </w:r>
            <w:r>
              <w:t xml:space="preserve"> </w:t>
            </w:r>
            <w:r>
              <w:t xml:space="preserve">Ikkemisligholdte og misligholdte eksponeringer og dertil knyttede bestemmelser.</w:t>
            </w:r>
          </w:p>
        </w:tc>
      </w:tr>
      <w:tr w:rsidR="00F5723F" w:rsidRPr="007F4CC8" w14:paraId="0F26FB86" w14:textId="77777777" w:rsidTr="00D819DE">
        <w:trPr>
          <w:trHeight w:val="620"/>
        </w:trPr>
        <w:tc>
          <w:tcPr>
            <w:tcW w:w="1384" w:type="dxa"/>
          </w:tcPr>
          <w:p w14:paraId="33907900"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150</w:t>
            </w:r>
          </w:p>
        </w:tc>
        <w:tc>
          <w:tcPr>
            <w:tcW w:w="7655" w:type="dxa"/>
          </w:tcPr>
          <w:p w14:paraId="487EC34D"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Ikkebalanceførte eksponeringer</w:t>
            </w:r>
          </w:p>
          <w:p w14:paraId="421733B2" w14:textId="77777777" w:rsidR="00F5723F" w:rsidRPr="007F4CC8" w:rsidRDefault="00F5723F" w:rsidP="00D819DE">
            <w:pPr>
              <w:pStyle w:val="Applicationdirecte"/>
              <w:spacing w:before="0"/>
            </w:pPr>
            <w:r>
              <w:t xml:space="preserve">Se definitionen i EU-CR1:</w:t>
            </w:r>
            <w:r>
              <w:t xml:space="preserve"> </w:t>
            </w:r>
            <w:r>
              <w:t xml:space="preserve">Ikkemisligholdte og misligholdte eksponeringer og dertil knyttede bestemmelser.</w:t>
            </w:r>
          </w:p>
        </w:tc>
      </w:tr>
      <w:tr w:rsidR="00F5723F" w:rsidRPr="007F4CC8" w14:paraId="3A451675" w14:textId="77777777" w:rsidTr="00D819DE">
        <w:trPr>
          <w:trHeight w:val="273"/>
        </w:trPr>
        <w:tc>
          <w:tcPr>
            <w:tcW w:w="1384" w:type="dxa"/>
          </w:tcPr>
          <w:p w14:paraId="658BFE92"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210</w:t>
            </w:r>
          </w:p>
        </w:tc>
        <w:tc>
          <w:tcPr>
            <w:tcW w:w="7655" w:type="dxa"/>
          </w:tcPr>
          <w:p w14:paraId="46B21E66"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I alt</w:t>
            </w:r>
          </w:p>
        </w:tc>
      </w:tr>
    </w:tbl>
    <w:p w14:paraId="077B5376"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E2D04C6" w14:textId="77777777" w:rsidTr="00D819DE">
        <w:trPr>
          <w:trHeight w:val="238"/>
        </w:trPr>
        <w:tc>
          <w:tcPr>
            <w:tcW w:w="9039" w:type="dxa"/>
            <w:gridSpan w:val="2"/>
            <w:shd w:val="clear" w:color="auto" w:fill="D9D9D9" w:themeFill="background1" w:themeFillShade="D9"/>
          </w:tcPr>
          <w:p w14:paraId="213D77E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F5723F" w:rsidRPr="007F4CC8" w14:paraId="146FD292" w14:textId="77777777" w:rsidTr="00D819DE">
        <w:trPr>
          <w:trHeight w:val="238"/>
        </w:trPr>
        <w:tc>
          <w:tcPr>
            <w:tcW w:w="1384" w:type="dxa"/>
            <w:shd w:val="clear" w:color="auto" w:fill="D9D9D9" w:themeFill="background1" w:themeFillShade="D9"/>
          </w:tcPr>
          <w:p w14:paraId="301CFA7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Kolonne nr.</w:t>
            </w:r>
          </w:p>
        </w:tc>
        <w:tc>
          <w:tcPr>
            <w:tcW w:w="7655" w:type="dxa"/>
            <w:shd w:val="clear" w:color="auto" w:fill="D9D9D9" w:themeFill="background1" w:themeFillShade="D9"/>
          </w:tcPr>
          <w:p w14:paraId="62C0AB1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Forklaring</w:t>
            </w:r>
          </w:p>
        </w:tc>
      </w:tr>
      <w:tr w:rsidR="00F5723F" w:rsidRPr="007F4CC8" w14:paraId="7CAB3DDF" w14:textId="77777777" w:rsidTr="00D819DE">
        <w:trPr>
          <w:trHeight w:val="841"/>
        </w:trPr>
        <w:tc>
          <w:tcPr>
            <w:tcW w:w="1384" w:type="dxa"/>
          </w:tcPr>
          <w:p w14:paraId="20EDD646" w14:textId="77777777" w:rsidR="00F5723F" w:rsidRPr="007F4CC8" w:rsidRDefault="00F5723F" w:rsidP="00D819DE">
            <w:pPr>
              <w:pStyle w:val="Applicationdirecte"/>
              <w:spacing w:before="0"/>
            </w:pPr>
            <w:r>
              <w:t xml:space="preserve">a</w:t>
            </w:r>
          </w:p>
        </w:tc>
        <w:tc>
          <w:tcPr>
            <w:tcW w:w="7655" w:type="dxa"/>
          </w:tcPr>
          <w:p w14:paraId="5F420DD9" w14:textId="77777777" w:rsidR="00F5723F" w:rsidRPr="007F4CC8" w:rsidRDefault="00F5723F" w:rsidP="00D819DE">
            <w:pPr>
              <w:pStyle w:val="Fait"/>
              <w:spacing w:before="0" w:after="120"/>
              <w:rPr>
                <w:b/>
                <w:rFonts w:eastAsiaTheme="minorEastAsia"/>
              </w:rPr>
            </w:pPr>
            <w:r>
              <w:rPr>
                <w:b/>
              </w:rPr>
              <w:t xml:space="preserve">Regnskabsmæssig bruttoværdi/nominel værdi af ikkemisligholdte eksponeringer</w:t>
            </w:r>
            <w:r>
              <w:rPr>
                <w:b/>
              </w:rPr>
              <w:t xml:space="preserve"> </w:t>
            </w:r>
          </w:p>
          <w:p w14:paraId="041A368C" w14:textId="77777777" w:rsidR="00F5723F" w:rsidRPr="007F4CC8" w:rsidRDefault="00F5723F" w:rsidP="00D819DE">
            <w:pPr>
              <w:pStyle w:val="Fait"/>
              <w:spacing w:before="0" w:after="120"/>
            </w:pPr>
            <w:r>
              <w:t xml:space="preserve">Regnskabsmæssig bruttoværdi som defineret i bilag V, del 1, punkt 34, til Kommissionens gennemførelsesforordning (EU) nr. 680/2014.</w:t>
            </w:r>
            <w:r>
              <w:t xml:space="preserve"> </w:t>
            </w:r>
            <w:r>
              <w:t xml:space="preserve">Nominel værdi som defineret i bilag V, del 2, punkt 118, til Kommissionens gennemførelsesforordning (EU) nr. 680/2014.</w:t>
            </w:r>
          </w:p>
        </w:tc>
      </w:tr>
      <w:tr w:rsidR="00F5723F" w:rsidRPr="007F4CC8" w14:paraId="08A84696" w14:textId="77777777" w:rsidTr="00D819DE">
        <w:trPr>
          <w:trHeight w:val="841"/>
        </w:trPr>
        <w:tc>
          <w:tcPr>
            <w:tcW w:w="1384" w:type="dxa"/>
          </w:tcPr>
          <w:p w14:paraId="507189E0" w14:textId="77777777" w:rsidR="00F5723F" w:rsidRPr="007F4CC8" w:rsidRDefault="00F5723F" w:rsidP="00D819DE">
            <w:pPr>
              <w:pStyle w:val="Applicationdirecte"/>
              <w:spacing w:before="0"/>
            </w:pPr>
            <w:r>
              <w:t xml:space="preserve">b</w:t>
            </w:r>
          </w:p>
        </w:tc>
        <w:tc>
          <w:tcPr>
            <w:tcW w:w="7655" w:type="dxa"/>
          </w:tcPr>
          <w:p w14:paraId="2EC32593" w14:textId="77777777" w:rsidR="00F5723F" w:rsidRPr="007F4CC8" w:rsidRDefault="00F5723F" w:rsidP="00D819DE">
            <w:pPr>
              <w:pStyle w:val="Fait"/>
              <w:spacing w:before="0" w:after="120"/>
              <w:ind w:left="720"/>
              <w:rPr>
                <w:b/>
                <w:rFonts w:eastAsiaTheme="minorEastAsia"/>
              </w:rPr>
            </w:pPr>
            <w:r>
              <w:rPr>
                <w:b/>
              </w:rPr>
              <w:t xml:space="preserve">Heraf: ikke forfaldne eller forfaldne ≤ 30 dage</w:t>
            </w:r>
          </w:p>
          <w:p w14:paraId="0F855205" w14:textId="77777777" w:rsidR="00F5723F" w:rsidRPr="007F4CC8" w:rsidRDefault="00F5723F" w:rsidP="00D819DE">
            <w:pPr>
              <w:pStyle w:val="Fait"/>
              <w:spacing w:before="0" w:after="120"/>
              <w:rPr>
                <w:rFonts w:eastAsiaTheme="minorEastAsia"/>
              </w:rPr>
            </w:pPr>
            <w:r>
              <w:t xml:space="preserve">Underkategori af ikkemisligholdte eksponeringer, der ikke er forfaldne, eller som har været forfaldne i 1-30 dage.</w:t>
            </w:r>
          </w:p>
        </w:tc>
      </w:tr>
      <w:tr w:rsidR="00F5723F" w:rsidRPr="007F4CC8" w14:paraId="33A22FD7" w14:textId="77777777" w:rsidTr="00D819DE">
        <w:trPr>
          <w:trHeight w:val="841"/>
        </w:trPr>
        <w:tc>
          <w:tcPr>
            <w:tcW w:w="1384" w:type="dxa"/>
          </w:tcPr>
          <w:p w14:paraId="3AA8A7E2" w14:textId="77777777" w:rsidR="00F5723F" w:rsidRPr="007F4CC8" w:rsidRDefault="00F5723F" w:rsidP="00D819DE">
            <w:pPr>
              <w:pStyle w:val="Applicationdirecte"/>
              <w:spacing w:before="0"/>
            </w:pPr>
            <w:r>
              <w:t xml:space="preserve">c</w:t>
            </w:r>
          </w:p>
        </w:tc>
        <w:tc>
          <w:tcPr>
            <w:tcW w:w="7655" w:type="dxa"/>
          </w:tcPr>
          <w:p w14:paraId="733D5633" w14:textId="77777777" w:rsidR="00F5723F" w:rsidRPr="007F4CC8" w:rsidRDefault="00F5723F" w:rsidP="00D819DE">
            <w:pPr>
              <w:pStyle w:val="Fait"/>
              <w:spacing w:before="0" w:after="120"/>
              <w:ind w:left="720"/>
              <w:rPr>
                <w:b/>
                <w:rFonts w:eastAsiaTheme="minorEastAsia"/>
              </w:rPr>
            </w:pPr>
            <w:r>
              <w:rPr>
                <w:b/>
              </w:rPr>
              <w:t xml:space="preserve">Heraf: forfaldne &gt; 30 dage ≤ 90 dage</w:t>
            </w:r>
          </w:p>
          <w:p w14:paraId="1320DF36" w14:textId="77777777" w:rsidR="00F5723F" w:rsidRPr="007F4CC8" w:rsidRDefault="00F5723F" w:rsidP="00D819DE">
            <w:pPr>
              <w:pStyle w:val="Fait"/>
              <w:spacing w:before="0" w:after="120"/>
            </w:pPr>
            <w:r>
              <w:t xml:space="preserve">Underkategori af ikkemisligholdte eksponeringer, der har været forfaldne i 31-90 dage.</w:t>
            </w:r>
          </w:p>
          <w:p w14:paraId="6F1FD7AE" w14:textId="77777777" w:rsidR="00F5723F" w:rsidRPr="007F4CC8" w:rsidRDefault="00F5723F" w:rsidP="00D819DE">
            <w:pPr>
              <w:pStyle w:val="Fait"/>
              <w:spacing w:before="0" w:after="120"/>
              <w:rPr>
                <w:rFonts w:eastAsiaTheme="minorEastAsia"/>
              </w:rPr>
            </w:pPr>
            <w:r>
              <w:t xml:space="preserve">I denne underkategori medtages desuden eksponeringer, der har været forfaldne i over 90 dage, og som ikke er væsentlige.</w:t>
            </w:r>
          </w:p>
        </w:tc>
      </w:tr>
      <w:tr w:rsidR="00F5723F" w:rsidRPr="007F4CC8" w14:paraId="7F373577" w14:textId="77777777" w:rsidTr="00D819DE">
        <w:trPr>
          <w:trHeight w:val="841"/>
        </w:trPr>
        <w:tc>
          <w:tcPr>
            <w:tcW w:w="1384" w:type="dxa"/>
          </w:tcPr>
          <w:p w14:paraId="701207DF" w14:textId="77777777" w:rsidR="00F5723F" w:rsidRPr="007F4CC8" w:rsidRDefault="00F5723F" w:rsidP="00D819DE">
            <w:pPr>
              <w:pStyle w:val="Applicationdirecte"/>
              <w:spacing w:before="0"/>
            </w:pPr>
            <w:r>
              <w:t xml:space="preserve">d</w:t>
            </w:r>
          </w:p>
        </w:tc>
        <w:tc>
          <w:tcPr>
            <w:tcW w:w="7655" w:type="dxa"/>
          </w:tcPr>
          <w:p w14:paraId="7EC4DBC3" w14:textId="77777777" w:rsidR="00F5723F" w:rsidRPr="007F4CC8" w:rsidRDefault="00F5723F" w:rsidP="00D819DE">
            <w:pPr>
              <w:pStyle w:val="Fait"/>
              <w:spacing w:before="0" w:after="120"/>
              <w:rPr>
                <w:b/>
                <w:rFonts w:eastAsiaTheme="minorEastAsia"/>
              </w:rPr>
            </w:pPr>
            <w:r>
              <w:rPr>
                <w:b/>
              </w:rPr>
              <w:t xml:space="preserve">Regnskabsmæssig bruttoværdi/nominel værdi af misligholdte eksponeringer</w:t>
            </w:r>
          </w:p>
          <w:p w14:paraId="612FBB74" w14:textId="77777777" w:rsidR="00F5723F" w:rsidRPr="007F4CC8" w:rsidRDefault="00F5723F" w:rsidP="00D819DE">
            <w:pPr>
              <w:pStyle w:val="Fait"/>
              <w:spacing w:before="0" w:after="120"/>
              <w:rPr>
                <w:b/>
              </w:rPr>
            </w:pPr>
            <w:r>
              <w:t xml:space="preserve">Regnskabsmæssig bruttoværdi som defineret i bilag V, del 1, punkt 34, til Kommissionens gennemførelsesforordning (EU) nr. 680/2014.</w:t>
            </w:r>
            <w:r>
              <w:t xml:space="preserve"> </w:t>
            </w:r>
            <w:r>
              <w:t xml:space="preserve">Nominel værdi som defineret i bilag V, del 2, punkt 118, til Kommissionens gennemførelsesforordning (EU) nr. 680/2014.</w:t>
            </w:r>
            <w:r>
              <w:t xml:space="preserve"> </w:t>
            </w:r>
            <w:r>
              <w:t xml:space="preserve">Misligholdte eksponeringer som defineret i artikel 47a i CRR.</w:t>
            </w:r>
          </w:p>
        </w:tc>
      </w:tr>
      <w:tr w:rsidR="00F5723F" w:rsidRPr="007F4CC8" w14:paraId="100BFE0F" w14:textId="77777777" w:rsidTr="00D819DE">
        <w:trPr>
          <w:trHeight w:val="316"/>
        </w:trPr>
        <w:tc>
          <w:tcPr>
            <w:tcW w:w="1384" w:type="dxa"/>
          </w:tcPr>
          <w:p w14:paraId="040B1EC1" w14:textId="77777777" w:rsidR="00F5723F" w:rsidRPr="007F4CC8" w:rsidRDefault="00F5723F" w:rsidP="00D819DE">
            <w:pPr>
              <w:pStyle w:val="Applicationdirecte"/>
              <w:spacing w:before="0"/>
            </w:pPr>
            <w:r>
              <w:t xml:space="preserve">e</w:t>
            </w:r>
          </w:p>
        </w:tc>
        <w:tc>
          <w:tcPr>
            <w:tcW w:w="7655" w:type="dxa"/>
          </w:tcPr>
          <w:p w14:paraId="39A783CB" w14:textId="77777777" w:rsidR="00F5723F" w:rsidRPr="007F4CC8" w:rsidRDefault="00F5723F" w:rsidP="00D819DE">
            <w:pPr>
              <w:autoSpaceDE w:val="0"/>
              <w:autoSpaceDN w:val="0"/>
              <w:adjustRightInd w:val="0"/>
              <w:spacing w:after="120"/>
              <w:ind w:left="720"/>
              <w:jc w:val="both"/>
              <w:rPr>
                <w:b/>
                <w:sz w:val="24"/>
                <w:rFonts w:ascii="Times New Roman" w:hAnsi="Times New Roman" w:cs="Times New Roman"/>
              </w:rPr>
            </w:pPr>
            <w:r>
              <w:rPr>
                <w:b/>
                <w:sz w:val="24"/>
                <w:rFonts w:ascii="Times New Roman" w:hAnsi="Times New Roman"/>
              </w:rPr>
              <w:t xml:space="preserve">Heraf: betales sandsynligvis ikke, men er ikke forfaldne eller har været forfaldne i ≤ 90 dage</w:t>
            </w:r>
          </w:p>
          <w:p w14:paraId="6A77C6A1"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Underkategori af eksponeringer, der enten ikke er forfaldne eller har været forfaldne i op til 90 dage, men ikke desto mindre anses for at være misligholdte i henhold til artikel 47a i CRR.</w:t>
            </w:r>
          </w:p>
        </w:tc>
      </w:tr>
      <w:tr w:rsidR="00F5723F" w:rsidRPr="007F4CC8" w14:paraId="1B3AC04A" w14:textId="77777777" w:rsidTr="00D819DE">
        <w:trPr>
          <w:trHeight w:val="316"/>
        </w:trPr>
        <w:tc>
          <w:tcPr>
            <w:tcW w:w="1384" w:type="dxa"/>
          </w:tcPr>
          <w:p w14:paraId="371E4AAF"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f</w:t>
            </w:r>
          </w:p>
        </w:tc>
        <w:tc>
          <w:tcPr>
            <w:tcW w:w="7655" w:type="dxa"/>
          </w:tcPr>
          <w:p w14:paraId="2023EF1F" w14:textId="77777777" w:rsidR="00F5723F" w:rsidRPr="007F4CC8" w:rsidRDefault="00F5723F" w:rsidP="00D819DE">
            <w:pPr>
              <w:autoSpaceDE w:val="0"/>
              <w:autoSpaceDN w:val="0"/>
              <w:adjustRightInd w:val="0"/>
              <w:spacing w:after="120"/>
              <w:ind w:left="720"/>
              <w:jc w:val="both"/>
              <w:rPr>
                <w:b/>
                <w:sz w:val="24"/>
                <w:rFonts w:ascii="Times New Roman" w:hAnsi="Times New Roman" w:cs="Times New Roman"/>
              </w:rPr>
            </w:pPr>
            <w:r>
              <w:rPr>
                <w:b/>
                <w:sz w:val="24"/>
                <w:rFonts w:ascii="Times New Roman" w:hAnsi="Times New Roman"/>
              </w:rPr>
              <w:t xml:space="preserve">Heraf: forfaldne &gt; 90 dage ≤ 180 dage</w:t>
            </w:r>
          </w:p>
          <w:p w14:paraId="1D99400C"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Underkategori af misligholdte eksponeringer, der har været forfaldne i over 90 dage, men ikke over 180 dage.</w:t>
            </w:r>
          </w:p>
        </w:tc>
      </w:tr>
      <w:tr w:rsidR="00F5723F" w:rsidRPr="007F4CC8" w14:paraId="1BFF12C6" w14:textId="77777777" w:rsidTr="00D819DE">
        <w:trPr>
          <w:trHeight w:val="316"/>
        </w:trPr>
        <w:tc>
          <w:tcPr>
            <w:tcW w:w="1384" w:type="dxa"/>
          </w:tcPr>
          <w:p w14:paraId="37EF85A4"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g</w:t>
            </w:r>
          </w:p>
        </w:tc>
        <w:tc>
          <w:tcPr>
            <w:tcW w:w="7655" w:type="dxa"/>
          </w:tcPr>
          <w:p w14:paraId="7AE6A53D" w14:textId="77777777" w:rsidR="00F5723F" w:rsidRPr="007F4CC8" w:rsidRDefault="00F5723F" w:rsidP="00D819DE">
            <w:pPr>
              <w:autoSpaceDE w:val="0"/>
              <w:autoSpaceDN w:val="0"/>
              <w:adjustRightInd w:val="0"/>
              <w:spacing w:after="120"/>
              <w:ind w:left="720"/>
              <w:jc w:val="both"/>
              <w:rPr>
                <w:b/>
                <w:sz w:val="24"/>
                <w:rFonts w:ascii="Times New Roman" w:hAnsi="Times New Roman" w:cs="Times New Roman"/>
              </w:rPr>
            </w:pPr>
            <w:r>
              <w:rPr>
                <w:b/>
                <w:sz w:val="24"/>
                <w:rFonts w:ascii="Times New Roman" w:hAnsi="Times New Roman"/>
              </w:rPr>
              <w:t xml:space="preserve">Heraf: forfaldne &gt; 180 dage ≤ 1 år</w:t>
            </w:r>
          </w:p>
          <w:p w14:paraId="7D5E0BFE"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Underkategori af misligholdte eksponeringer, der har været forfaldne i over 180 dage, men ikke over 1 år.</w:t>
            </w:r>
          </w:p>
        </w:tc>
      </w:tr>
      <w:tr w:rsidR="00F5723F" w:rsidRPr="007F4CC8" w14:paraId="5DFB5BBD" w14:textId="77777777" w:rsidTr="00D819DE">
        <w:trPr>
          <w:trHeight w:val="695"/>
        </w:trPr>
        <w:tc>
          <w:tcPr>
            <w:tcW w:w="1384" w:type="dxa"/>
          </w:tcPr>
          <w:p w14:paraId="23800761"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h</w:t>
            </w:r>
          </w:p>
        </w:tc>
        <w:tc>
          <w:tcPr>
            <w:tcW w:w="7655" w:type="dxa"/>
          </w:tcPr>
          <w:p w14:paraId="01A7D8BA" w14:textId="77777777" w:rsidR="00F5723F" w:rsidRPr="007F4CC8" w:rsidRDefault="00F5723F" w:rsidP="00D819DE">
            <w:pPr>
              <w:autoSpaceDE w:val="0"/>
              <w:autoSpaceDN w:val="0"/>
              <w:adjustRightInd w:val="0"/>
              <w:spacing w:after="120"/>
              <w:ind w:left="720"/>
              <w:rPr>
                <w:sz w:val="24"/>
                <w:rFonts w:ascii="Times New Roman" w:hAnsi="Times New Roman" w:cs="Times New Roman"/>
              </w:rPr>
            </w:pPr>
            <w:r>
              <w:rPr>
                <w:sz w:val="24"/>
                <w:b/>
                <w:rFonts w:ascii="Times New Roman" w:hAnsi="Times New Roman"/>
              </w:rPr>
              <w:t xml:space="preserve">Heraf: forfaldne &gt; 1 år ≤ 2 år</w:t>
            </w:r>
            <w:r>
              <w:rPr>
                <w:sz w:val="24"/>
                <w:rFonts w:ascii="Times New Roman" w:hAnsi="Times New Roman"/>
              </w:rPr>
              <w:t xml:space="preserve"> </w:t>
            </w:r>
          </w:p>
          <w:p w14:paraId="1F320BC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Underkategori af misligholdte eksponeringer, der har været forfaldne i over 1 år, men ikke over 2 år.</w:t>
            </w:r>
          </w:p>
        </w:tc>
      </w:tr>
      <w:tr w:rsidR="00F5723F" w:rsidRPr="007F4CC8" w14:paraId="5258E83F" w14:textId="77777777" w:rsidTr="00D819DE">
        <w:trPr>
          <w:trHeight w:val="695"/>
        </w:trPr>
        <w:tc>
          <w:tcPr>
            <w:tcW w:w="1384" w:type="dxa"/>
          </w:tcPr>
          <w:p w14:paraId="0EFB43B5"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i</w:t>
            </w:r>
          </w:p>
        </w:tc>
        <w:tc>
          <w:tcPr>
            <w:tcW w:w="7655" w:type="dxa"/>
          </w:tcPr>
          <w:p w14:paraId="5861310C"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Heraf: forfaldne &gt; 2 år ≤ 5 år</w:t>
            </w:r>
          </w:p>
          <w:p w14:paraId="23A37F57"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Underkategori af misligholdte eksponeringer, der har været forfaldne i over 2 år, men ikke over 5 år.</w:t>
            </w:r>
          </w:p>
        </w:tc>
      </w:tr>
      <w:tr w:rsidR="00F5723F" w:rsidRPr="007F4CC8" w14:paraId="74A7660F" w14:textId="77777777" w:rsidTr="00D819DE">
        <w:trPr>
          <w:trHeight w:val="695"/>
        </w:trPr>
        <w:tc>
          <w:tcPr>
            <w:tcW w:w="1384" w:type="dxa"/>
          </w:tcPr>
          <w:p w14:paraId="37D2A934"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j</w:t>
            </w:r>
          </w:p>
        </w:tc>
        <w:tc>
          <w:tcPr>
            <w:tcW w:w="7655" w:type="dxa"/>
          </w:tcPr>
          <w:p w14:paraId="27B21472"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Heraf: forfaldne &gt; 5 år ≤ 7 år</w:t>
            </w:r>
          </w:p>
          <w:p w14:paraId="75C72A1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Underkategori af misligholdte eksponeringer, der har været forfaldne i over 5 år, men ikke over 7 år.</w:t>
            </w:r>
          </w:p>
        </w:tc>
      </w:tr>
      <w:tr w:rsidR="00F5723F" w:rsidRPr="007F4CC8" w14:paraId="7522ABA2" w14:textId="77777777" w:rsidTr="00D819DE">
        <w:trPr>
          <w:trHeight w:val="695"/>
        </w:trPr>
        <w:tc>
          <w:tcPr>
            <w:tcW w:w="1384" w:type="dxa"/>
          </w:tcPr>
          <w:p w14:paraId="5503513F"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k</w:t>
            </w:r>
          </w:p>
        </w:tc>
        <w:tc>
          <w:tcPr>
            <w:tcW w:w="7655" w:type="dxa"/>
          </w:tcPr>
          <w:p w14:paraId="7B50CB34"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Heraf: forfaldne &gt; 7 år</w:t>
            </w:r>
          </w:p>
          <w:p w14:paraId="65908A9E"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Underkategori af misligholdte eksponeringer, der har været forfaldne i over 7 år.</w:t>
            </w:r>
          </w:p>
        </w:tc>
      </w:tr>
      <w:tr w:rsidR="00F5723F" w:rsidRPr="007F4CC8" w14:paraId="627FC416" w14:textId="77777777" w:rsidTr="00D819DE">
        <w:trPr>
          <w:trHeight w:val="695"/>
        </w:trPr>
        <w:tc>
          <w:tcPr>
            <w:tcW w:w="1384" w:type="dxa"/>
          </w:tcPr>
          <w:p w14:paraId="4E1F56B1"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l</w:t>
            </w:r>
          </w:p>
        </w:tc>
        <w:tc>
          <w:tcPr>
            <w:tcW w:w="7655" w:type="dxa"/>
          </w:tcPr>
          <w:p w14:paraId="234DB36C"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Heraf misligholdte</w:t>
            </w:r>
          </w:p>
          <w:p w14:paraId="76E8F805" w14:textId="77777777" w:rsidR="00F5723F" w:rsidRPr="007F4CC8" w:rsidRDefault="00F5723F" w:rsidP="00D819DE">
            <w:pPr>
              <w:autoSpaceDE w:val="0"/>
              <w:autoSpaceDN w:val="0"/>
              <w:adjustRightInd w:val="0"/>
              <w:spacing w:after="120"/>
              <w:rPr>
                <w:sz w:val="24"/>
                <w:rFonts w:ascii="Times New Roman" w:hAnsi="Times New Roman" w:cs="Times New Roman"/>
              </w:rPr>
            </w:pPr>
            <w:r>
              <w:rPr>
                <w:sz w:val="24"/>
                <w:rFonts w:ascii="Times New Roman" w:hAnsi="Times New Roman"/>
              </w:rPr>
              <w:t xml:space="preserve">Misligholdte eksponeringer, jf. artikel 178 i CRR.</w:t>
            </w:r>
          </w:p>
        </w:tc>
      </w:tr>
    </w:tbl>
    <w:p w14:paraId="5A926BF6"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3E44B2C1" w14:textId="77777777" w:rsidR="00F5723F" w:rsidRPr="007F4CC8" w:rsidRDefault="00F5723F" w:rsidP="00F5723F">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Skema EU CQ4:</w:t>
      </w:r>
      <w:r>
        <w:rPr>
          <w:b/>
          <w:sz w:val="24"/>
          <w:rFonts w:ascii="Times New Roman" w:hAnsi="Times New Roman"/>
        </w:rPr>
        <w:t xml:space="preserve"> </w:t>
      </w:r>
      <w:r>
        <w:rPr>
          <w:b/>
          <w:sz w:val="24"/>
          <w:rFonts w:ascii="Times New Roman" w:hAnsi="Times New Roman"/>
        </w:rPr>
        <w:t xml:space="preserve">Kvaliteten af misligholdte eksponeringer efter geografisk placering</w:t>
      </w:r>
      <w:r>
        <w:rPr>
          <w:b/>
          <w:sz w:val="24"/>
          <w:rFonts w:ascii="Times New Roman" w:hAnsi="Times New Roman"/>
        </w:rPr>
        <w:t xml:space="preserve"> </w:t>
      </w:r>
    </w:p>
    <w:p w14:paraId="6C8A6FA6" w14:textId="3D308C16" w:rsidR="00F5723F" w:rsidRPr="007F4CC8" w:rsidRDefault="00F5723F" w:rsidP="0090750A">
      <w:pPr>
        <w:pStyle w:val="ListParagraph"/>
        <w:numPr>
          <w:ilvl w:val="0"/>
          <w:numId w:val="17"/>
        </w:numPr>
        <w:spacing w:after="120"/>
        <w:jc w:val="both"/>
        <w:rPr>
          <w:bCs/>
          <w:sz w:val="24"/>
          <w:rFonts w:ascii="Times New Roman" w:hAnsi="Times New Roman"/>
        </w:rPr>
      </w:pPr>
      <w:r>
        <w:rPr>
          <w:sz w:val="24"/>
          <w:rFonts w:ascii="Times New Roman" w:hAnsi="Times New Roman"/>
        </w:rPr>
        <w:t xml:space="preserve">Når ikkeindenlandske oprindelige eksponeringer i alle andre lande i alle eksponeringsklasser er lig med eller overstiger 10 % af de samlede (indenlandske og ikkeindenlandske) oprindelige eksponeringer, skal store institutter og andre børsnoterede institutter offentliggøre de oplysninger, som er omhandlet i artikel 442, litra c) og e), i CRR, ved at følge instrukserne i dette bilag til udfyldelse af skema EU CQ4, som findes i bilag XV til nærværende gennemførelsesforordning.</w:t>
      </w:r>
    </w:p>
    <w:p w14:paraId="15EA35D5"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5488A4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FF00A"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F5723F" w:rsidRPr="007F4CC8" w14:paraId="7B00E531" w14:textId="77777777" w:rsidTr="00D819DE">
        <w:trPr>
          <w:trHeight w:val="238"/>
        </w:trPr>
        <w:tc>
          <w:tcPr>
            <w:tcW w:w="1384" w:type="dxa"/>
            <w:shd w:val="clear" w:color="auto" w:fill="D9D9D9" w:themeFill="background1" w:themeFillShade="D9"/>
          </w:tcPr>
          <w:p w14:paraId="0AEE5736"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74945EAC"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Forklaring</w:t>
            </w:r>
          </w:p>
        </w:tc>
      </w:tr>
      <w:tr w:rsidR="00F5723F" w:rsidRPr="007F4CC8" w14:paraId="3411D373" w14:textId="77777777" w:rsidTr="00D819DE">
        <w:trPr>
          <w:trHeight w:val="971"/>
        </w:trPr>
        <w:tc>
          <w:tcPr>
            <w:tcW w:w="1384" w:type="dxa"/>
          </w:tcPr>
          <w:p w14:paraId="6C657A9D" w14:textId="77777777" w:rsidR="00F5723F" w:rsidRPr="007F4CC8" w:rsidRDefault="00F5723F" w:rsidP="00D819DE">
            <w:pPr>
              <w:pStyle w:val="Applicationdirecte"/>
              <w:spacing w:before="0"/>
            </w:pPr>
            <w:r>
              <w:t xml:space="preserve">010</w:t>
            </w:r>
          </w:p>
        </w:tc>
        <w:tc>
          <w:tcPr>
            <w:tcW w:w="7655" w:type="dxa"/>
          </w:tcPr>
          <w:p w14:paraId="0C1DD5F2" w14:textId="77777777" w:rsidR="00F5723F" w:rsidRPr="007F4CC8" w:rsidRDefault="00F5723F" w:rsidP="00D819DE">
            <w:pPr>
              <w:pStyle w:val="Applicationdirecte"/>
              <w:spacing w:before="0"/>
              <w:rPr>
                <w:b/>
              </w:rPr>
            </w:pPr>
            <w:r>
              <w:rPr>
                <w:b/>
              </w:rPr>
              <w:t xml:space="preserve">Balanceførte eksponeringer</w:t>
            </w:r>
          </w:p>
          <w:p w14:paraId="6FA55098" w14:textId="77777777" w:rsidR="00F5723F" w:rsidRPr="007F4CC8" w:rsidRDefault="00F5723F" w:rsidP="00D819DE">
            <w:pPr>
              <w:pStyle w:val="Fait"/>
              <w:spacing w:before="0" w:after="120"/>
            </w:pPr>
            <w:r>
              <w:t xml:space="preserve">Balanceførte eksponeringer i alt</w:t>
            </w:r>
          </w:p>
        </w:tc>
      </w:tr>
      <w:tr w:rsidR="00F5723F" w:rsidRPr="007F4CC8" w14:paraId="51358F6B" w14:textId="77777777" w:rsidTr="00D819DE">
        <w:trPr>
          <w:trHeight w:val="3491"/>
        </w:trPr>
        <w:tc>
          <w:tcPr>
            <w:tcW w:w="1384" w:type="dxa"/>
          </w:tcPr>
          <w:p w14:paraId="2AE9C2E9" w14:textId="77777777" w:rsidR="00F5723F" w:rsidRPr="007F4CC8" w:rsidRDefault="00F5723F" w:rsidP="00D819DE">
            <w:pPr>
              <w:pStyle w:val="Applicationdirecte"/>
              <w:spacing w:before="0"/>
            </w:pPr>
            <w:r>
              <w:t xml:space="preserve">020 – 070 og 090 - 140</w:t>
            </w:r>
          </w:p>
        </w:tc>
        <w:tc>
          <w:tcPr>
            <w:tcW w:w="7655" w:type="dxa"/>
          </w:tcPr>
          <w:p w14:paraId="64E74034" w14:textId="77777777" w:rsidR="00F5723F" w:rsidRPr="007F4CC8" w:rsidRDefault="00F5723F" w:rsidP="00D819DE">
            <w:pPr>
              <w:pStyle w:val="Applicationdirecte"/>
              <w:spacing w:before="0"/>
              <w:rPr>
                <w:b/>
              </w:rPr>
            </w:pPr>
            <w:r>
              <w:rPr>
                <w:b/>
              </w:rPr>
              <w:t xml:space="preserve">Land</w:t>
            </w:r>
          </w:p>
          <w:p w14:paraId="169709BF" w14:textId="77777777" w:rsidR="00F5723F" w:rsidRPr="007F4CC8" w:rsidRDefault="00F5723F" w:rsidP="00D819DE">
            <w:pPr>
              <w:pStyle w:val="Fait"/>
              <w:spacing w:before="0" w:after="120"/>
            </w:pPr>
            <w:r>
              <w:t xml:space="preserve">Et land, hvori instituttets eksponeringer er væsentlige i overensstemmelse med artikel 432 i CRR.</w:t>
            </w:r>
          </w:p>
          <w:p w14:paraId="3B5DABB8"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Når væsentligheden af lande fastlægges ved hjælp af en væsentlighedstærskel, oplyses denne tærskel lige så vel som listen over uvæsentlige lande, der er medtaget i rækken "Andre lande".</w:t>
            </w:r>
          </w:p>
          <w:p w14:paraId="139188B0" w14:textId="77777777" w:rsidR="00F5723F" w:rsidRPr="007F4CC8" w:rsidRDefault="00F5723F" w:rsidP="00D819DE">
            <w:pPr>
              <w:autoSpaceDE w:val="0"/>
              <w:autoSpaceDN w:val="0"/>
              <w:adjustRightInd w:val="0"/>
              <w:spacing w:after="120"/>
              <w:jc w:val="both"/>
            </w:pPr>
            <w:r>
              <w:rPr>
                <w:sz w:val="24"/>
                <w:rFonts w:ascii="Times New Roman" w:hAnsi="Times New Roman"/>
              </w:rPr>
              <w:t xml:space="preserve">Institutterne skal henføre eksponeringerne til et væsentligt land på grundlag af den umiddelbare modparts hjemsted.</w:t>
            </w:r>
            <w:r>
              <w:rPr>
                <w:sz w:val="24"/>
                <w:rFonts w:ascii="Times New Roman" w:hAnsi="Times New Roman"/>
              </w:rPr>
              <w:t xml:space="preserve"> </w:t>
            </w:r>
            <w:r>
              <w:rPr>
                <w:sz w:val="24"/>
                <w:rFonts w:ascii="Times New Roman" w:hAnsi="Times New Roman"/>
              </w:rPr>
              <w:t xml:space="preserve">Eksponeringer over for overnationale organisationer henregnes ikke til instituttets hjemsted, men til "Andre lande".</w:t>
            </w:r>
          </w:p>
        </w:tc>
      </w:tr>
      <w:tr w:rsidR="00F5723F" w:rsidRPr="007F4CC8" w14:paraId="6DA655C2" w14:textId="77777777" w:rsidTr="00D819DE">
        <w:trPr>
          <w:trHeight w:val="728"/>
        </w:trPr>
        <w:tc>
          <w:tcPr>
            <w:tcW w:w="1384" w:type="dxa"/>
          </w:tcPr>
          <w:p w14:paraId="0ECBE0A7" w14:textId="77777777" w:rsidR="00F5723F" w:rsidRPr="007F4CC8" w:rsidRDefault="00F5723F" w:rsidP="00D819DE">
            <w:pPr>
              <w:pStyle w:val="Applicationdirecte"/>
              <w:spacing w:before="0"/>
            </w:pPr>
            <w:r>
              <w:t xml:space="preserve">080</w:t>
            </w:r>
          </w:p>
        </w:tc>
        <w:tc>
          <w:tcPr>
            <w:tcW w:w="7655" w:type="dxa"/>
          </w:tcPr>
          <w:p w14:paraId="3E7625E8" w14:textId="77777777" w:rsidR="00F5723F" w:rsidRPr="007F4CC8" w:rsidRDefault="00F5723F" w:rsidP="00D819DE">
            <w:pPr>
              <w:pStyle w:val="Applicationdirecte"/>
              <w:spacing w:before="0"/>
              <w:rPr>
                <w:b/>
              </w:rPr>
            </w:pPr>
            <w:r>
              <w:rPr>
                <w:b/>
              </w:rPr>
              <w:t xml:space="preserve">Ikkebalanceførte eksponeringer</w:t>
            </w:r>
          </w:p>
          <w:p w14:paraId="55991ACF" w14:textId="77777777" w:rsidR="00F5723F" w:rsidRPr="007F4CC8" w:rsidRDefault="00F5723F" w:rsidP="00D819DE">
            <w:pPr>
              <w:autoSpaceDE w:val="0"/>
              <w:autoSpaceDN w:val="0"/>
              <w:adjustRightInd w:val="0"/>
              <w:spacing w:after="120"/>
              <w:jc w:val="both"/>
            </w:pPr>
            <w:r>
              <w:rPr>
                <w:sz w:val="24"/>
                <w:rFonts w:ascii="Times New Roman" w:hAnsi="Times New Roman"/>
              </w:rPr>
              <w:t xml:space="preserve">Se definitionen i EU-CR1:</w:t>
            </w:r>
            <w:r>
              <w:rPr>
                <w:sz w:val="24"/>
                <w:rFonts w:ascii="Times New Roman" w:hAnsi="Times New Roman"/>
              </w:rPr>
              <w:t xml:space="preserve"> </w:t>
            </w:r>
            <w:r>
              <w:rPr>
                <w:sz w:val="24"/>
                <w:rFonts w:ascii="Times New Roman" w:hAnsi="Times New Roman"/>
              </w:rPr>
              <w:t xml:space="preserve">Ikkemisligholdte og misligholdte eksponeringer og dertil knyttede bestemmelser.</w:t>
            </w:r>
          </w:p>
        </w:tc>
      </w:tr>
      <w:tr w:rsidR="00F5723F" w:rsidRPr="007F4CC8" w14:paraId="7CC53D70" w14:textId="77777777" w:rsidTr="00D819DE">
        <w:trPr>
          <w:trHeight w:val="367"/>
        </w:trPr>
        <w:tc>
          <w:tcPr>
            <w:tcW w:w="1384" w:type="dxa"/>
          </w:tcPr>
          <w:p w14:paraId="2134D62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sz w:val="24"/>
                <w:rFonts w:ascii="Times New Roman" w:hAnsi="Times New Roman"/>
              </w:rPr>
              <w:t xml:space="preserve">150</w:t>
            </w:r>
          </w:p>
        </w:tc>
        <w:tc>
          <w:tcPr>
            <w:tcW w:w="7655" w:type="dxa"/>
          </w:tcPr>
          <w:p w14:paraId="03089EE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I alt</w:t>
            </w:r>
          </w:p>
        </w:tc>
      </w:tr>
    </w:tbl>
    <w:p w14:paraId="35D2E80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949AB9E" w14:textId="77777777" w:rsidTr="00D819DE">
        <w:trPr>
          <w:trHeight w:val="238"/>
        </w:trPr>
        <w:tc>
          <w:tcPr>
            <w:tcW w:w="9039" w:type="dxa"/>
            <w:gridSpan w:val="2"/>
            <w:shd w:val="clear" w:color="auto" w:fill="D9D9D9" w:themeFill="background1" w:themeFillShade="D9"/>
          </w:tcPr>
          <w:p w14:paraId="771B319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F5723F" w:rsidRPr="007F4CC8" w14:paraId="06691BB8" w14:textId="77777777" w:rsidTr="00D819DE">
        <w:trPr>
          <w:trHeight w:val="238"/>
        </w:trPr>
        <w:tc>
          <w:tcPr>
            <w:tcW w:w="1384" w:type="dxa"/>
            <w:shd w:val="clear" w:color="auto" w:fill="D9D9D9" w:themeFill="background1" w:themeFillShade="D9"/>
          </w:tcPr>
          <w:p w14:paraId="4A49B6B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Kolonne nr.</w:t>
            </w:r>
          </w:p>
        </w:tc>
        <w:tc>
          <w:tcPr>
            <w:tcW w:w="7655" w:type="dxa"/>
            <w:shd w:val="clear" w:color="auto" w:fill="D9D9D9" w:themeFill="background1" w:themeFillShade="D9"/>
          </w:tcPr>
          <w:p w14:paraId="08F3A76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Forklaring</w:t>
            </w:r>
          </w:p>
        </w:tc>
      </w:tr>
      <w:tr w:rsidR="00F5723F" w:rsidRPr="007F4CC8" w14:paraId="11403E92" w14:textId="77777777" w:rsidTr="00D819DE">
        <w:trPr>
          <w:trHeight w:val="841"/>
        </w:trPr>
        <w:tc>
          <w:tcPr>
            <w:tcW w:w="1384" w:type="dxa"/>
          </w:tcPr>
          <w:p w14:paraId="09590F67" w14:textId="77777777" w:rsidR="00F5723F" w:rsidRPr="007F4CC8" w:rsidRDefault="00F5723F" w:rsidP="00D819DE">
            <w:pPr>
              <w:pStyle w:val="Applicationdirecte"/>
              <w:spacing w:before="0"/>
            </w:pPr>
            <w:r>
              <w:t xml:space="preserve">a</w:t>
            </w:r>
          </w:p>
        </w:tc>
        <w:tc>
          <w:tcPr>
            <w:tcW w:w="7655" w:type="dxa"/>
          </w:tcPr>
          <w:p w14:paraId="38B0A6AE" w14:textId="77777777" w:rsidR="00F5723F" w:rsidRPr="007F4CC8" w:rsidRDefault="00F5723F" w:rsidP="00D819DE">
            <w:pPr>
              <w:pStyle w:val="Fait"/>
              <w:spacing w:before="0" w:after="120"/>
              <w:rPr>
                <w:b/>
                <w:rFonts w:eastAsiaTheme="minorEastAsia"/>
              </w:rPr>
            </w:pPr>
            <w:r>
              <w:rPr>
                <w:b/>
              </w:rPr>
              <w:t xml:space="preserve">Regnskabsmæssig bruttoværdi/nominel værdi</w:t>
            </w:r>
            <w:r>
              <w:rPr>
                <w:b/>
              </w:rPr>
              <w:t xml:space="preserve"> </w:t>
            </w:r>
          </w:p>
          <w:p w14:paraId="6BF726E4" w14:textId="77777777" w:rsidR="00F5723F" w:rsidRPr="007F4CC8" w:rsidRDefault="00F5723F" w:rsidP="00D819DE">
            <w:pPr>
              <w:pStyle w:val="Fait"/>
              <w:spacing w:before="0" w:after="120"/>
            </w:pPr>
            <w:r>
              <w:t xml:space="preserve">Regnskabsmæssig bruttoværdi som defineret i bilag V, del 1, punkt 34, til Kommissionens gennemførelsesforordning (EU) nr. 680/2014.</w:t>
            </w:r>
            <w:r>
              <w:t xml:space="preserve"> </w:t>
            </w:r>
            <w:r>
              <w:t xml:space="preserve">Nominel værdi som defineret i bilag V, del 2, punkt 118, til Kommissionens gennemførelsesforordning (EU) nr. 680/2014.</w:t>
            </w:r>
          </w:p>
          <w:p w14:paraId="039BF630" w14:textId="77777777" w:rsidR="00F5723F" w:rsidRPr="007F4CC8" w:rsidRDefault="00F5723F" w:rsidP="00D819DE">
            <w:pPr>
              <w:pStyle w:val="Fait"/>
              <w:spacing w:before="0" w:after="120"/>
            </w:pPr>
            <w:r>
              <w:t xml:space="preserve">Den regnskabsmæssige bruttoværdi i forbindelse med eksponeringer, der testes for værdiforringelse, er med fradrag af akkumulerede delvise og hele afskrivninger.</w:t>
            </w:r>
          </w:p>
        </w:tc>
      </w:tr>
      <w:tr w:rsidR="00F5723F" w:rsidRPr="007F4CC8" w14:paraId="52864A56" w14:textId="77777777" w:rsidTr="00D819DE">
        <w:trPr>
          <w:trHeight w:val="841"/>
        </w:trPr>
        <w:tc>
          <w:tcPr>
            <w:tcW w:w="1384" w:type="dxa"/>
          </w:tcPr>
          <w:p w14:paraId="68AD242E" w14:textId="77777777" w:rsidR="00F5723F" w:rsidRPr="007F4CC8" w:rsidRDefault="00F5723F" w:rsidP="00D819DE">
            <w:pPr>
              <w:pStyle w:val="Applicationdirecte"/>
              <w:spacing w:before="0"/>
            </w:pPr>
            <w:r>
              <w:t xml:space="preserve">b</w:t>
            </w:r>
          </w:p>
        </w:tc>
        <w:tc>
          <w:tcPr>
            <w:tcW w:w="7655" w:type="dxa"/>
          </w:tcPr>
          <w:p w14:paraId="5551DAF1" w14:textId="77777777" w:rsidR="00F5723F" w:rsidRPr="007F4CC8" w:rsidRDefault="00F5723F" w:rsidP="00D819DE">
            <w:pPr>
              <w:pStyle w:val="Fait"/>
              <w:spacing w:before="0" w:after="120"/>
              <w:rPr>
                <w:b/>
                <w:rFonts w:eastAsiaTheme="minorEastAsia"/>
              </w:rPr>
            </w:pPr>
            <w:r>
              <w:rPr>
                <w:b/>
              </w:rPr>
              <w:t xml:space="preserve">Regnskabsmæssig bruttoværdi/nominel værdi – heraf misligholdte</w:t>
            </w:r>
          </w:p>
          <w:p w14:paraId="6BF51B3D" w14:textId="77777777" w:rsidR="005F5E08" w:rsidRDefault="00F5723F" w:rsidP="005F5E08">
            <w:pPr>
              <w:pStyle w:val="Fait"/>
              <w:spacing w:before="0" w:after="120"/>
            </w:pPr>
            <w:r>
              <w:t xml:space="preserve">Regnskabsmæssig bruttoværdi som defineret i bilag V, del 1, punkt 34, til Kommissionens gennemførelsesforordning (EU) nr. 680/2014.</w:t>
            </w:r>
            <w:r>
              <w:t xml:space="preserve"> </w:t>
            </w:r>
            <w:r>
              <w:t xml:space="preserve">Nominel værdi som defineret i bilag V, del 2, punkt 118, til Kommissionens gennemførelsesforordning (EU) nr. 680/2014.</w:t>
            </w:r>
            <w:r>
              <w:t xml:space="preserve"> </w:t>
            </w:r>
            <w:r>
              <w:t xml:space="preserve">Misligholdte eksponeringer som defineret i artikel 47a i CRR.</w:t>
            </w:r>
          </w:p>
          <w:p w14:paraId="40492E69" w14:textId="334B1B83" w:rsidR="005F5E08" w:rsidRPr="005F5E08" w:rsidRDefault="005F5E08" w:rsidP="005F5E08">
            <w:pPr>
              <w:pStyle w:val="Institutionquisigne"/>
              <w:rPr>
                <w:i w:val="0"/>
                <w:iCs/>
              </w:rPr>
            </w:pPr>
            <w:r>
              <w:rPr>
                <w:i w:val="0"/>
              </w:rPr>
              <w:t xml:space="preserve">Denne kolonne offentliggøres kun af store institutter som omhandlet i denne gennemførelsesforordnings artikel 8, stk. 2.</w:t>
            </w:r>
          </w:p>
        </w:tc>
      </w:tr>
      <w:tr w:rsidR="00F5723F" w:rsidRPr="007F4CC8" w14:paraId="14383951" w14:textId="77777777" w:rsidTr="00D819DE">
        <w:trPr>
          <w:trHeight w:val="316"/>
        </w:trPr>
        <w:tc>
          <w:tcPr>
            <w:tcW w:w="1384" w:type="dxa"/>
          </w:tcPr>
          <w:p w14:paraId="04DE9711"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c</w:t>
            </w:r>
          </w:p>
        </w:tc>
        <w:tc>
          <w:tcPr>
            <w:tcW w:w="7655" w:type="dxa"/>
          </w:tcPr>
          <w:p w14:paraId="6A562823"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Heraf misligholdte</w:t>
            </w:r>
          </w:p>
          <w:p w14:paraId="064EB311" w14:textId="77777777" w:rsidR="00F5723F" w:rsidRPr="007F4CC8" w:rsidRDefault="00F5723F" w:rsidP="00D819DE">
            <w:pPr>
              <w:pStyle w:val="Fait"/>
              <w:spacing w:before="0" w:after="120"/>
            </w:pPr>
            <w:r>
              <w:t xml:space="preserve">Misligholdte eksponeringer, jf. artikel 178 i CRR.</w:t>
            </w:r>
          </w:p>
        </w:tc>
      </w:tr>
      <w:tr w:rsidR="00F5723F" w:rsidRPr="007F4CC8" w14:paraId="7B3D6E5A" w14:textId="77777777" w:rsidTr="00D819DE">
        <w:trPr>
          <w:trHeight w:val="316"/>
        </w:trPr>
        <w:tc>
          <w:tcPr>
            <w:tcW w:w="1384" w:type="dxa"/>
          </w:tcPr>
          <w:p w14:paraId="4BFB9D5C"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d</w:t>
            </w:r>
          </w:p>
        </w:tc>
        <w:tc>
          <w:tcPr>
            <w:tcW w:w="7655" w:type="dxa"/>
          </w:tcPr>
          <w:p w14:paraId="0ED0B076"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Regnskabsmæssig bruttoværdi/nominel værdi – heraf eksponeringer, der testes for værdiforringelse</w:t>
            </w:r>
          </w:p>
          <w:p w14:paraId="3B04845E" w14:textId="77777777" w:rsidR="00F5723F" w:rsidRDefault="00F5723F" w:rsidP="00D819DE">
            <w:pPr>
              <w:pStyle w:val="Fait"/>
              <w:spacing w:before="0" w:after="120"/>
            </w:pPr>
            <w:r>
              <w:t xml:space="preserve">Den regnskabsmæssige bruttoværdi eller den nominelle værdi i forbindelse med eksponeringer, der er omfattet af kravene vedrørende værdiforringelse i henhold til de gældende regnskabsregler.</w:t>
            </w:r>
          </w:p>
          <w:p w14:paraId="770E50C4" w14:textId="3A12488A" w:rsidR="005F5E08" w:rsidRPr="005F5E08" w:rsidRDefault="005F5E08" w:rsidP="005F5E08">
            <w:pPr>
              <w:pStyle w:val="Institutionquisigne"/>
            </w:pPr>
            <w:r>
              <w:rPr>
                <w:i w:val="0"/>
              </w:rPr>
              <w:t xml:space="preserve">Denne kolonne offentliggøres kun af store institutter som omhandlet i denne gennemførelsesforordnings artikel 8, stk. 2.</w:t>
            </w:r>
          </w:p>
        </w:tc>
      </w:tr>
      <w:tr w:rsidR="00F5723F" w:rsidRPr="007F4CC8" w14:paraId="6B18ED66" w14:textId="77777777" w:rsidTr="00D819DE">
        <w:trPr>
          <w:trHeight w:val="316"/>
        </w:trPr>
        <w:tc>
          <w:tcPr>
            <w:tcW w:w="1384" w:type="dxa"/>
          </w:tcPr>
          <w:p w14:paraId="7EBF7C56"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e</w:t>
            </w:r>
          </w:p>
        </w:tc>
        <w:tc>
          <w:tcPr>
            <w:tcW w:w="7655" w:type="dxa"/>
          </w:tcPr>
          <w:p w14:paraId="1311E30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Akkumuleret værdiforringelse</w:t>
            </w:r>
          </w:p>
          <w:p w14:paraId="303E8FA1" w14:textId="77777777" w:rsidR="00F5723F" w:rsidRPr="007F4CC8" w:rsidRDefault="00F5723F" w:rsidP="00D819DE">
            <w:pPr>
              <w:pStyle w:val="Fait"/>
              <w:spacing w:before="0" w:after="120"/>
            </w:pPr>
            <w:r>
              <w:t xml:space="preserve">Dette omfatter de beløb, der er fastsat i overensstemmelse med bilag V, del 2, punkt 11, 69-71, 106 og 110, til Kommissionens gennemførelsesforordning (EU) nr. 680/2014.</w:t>
            </w:r>
          </w:p>
        </w:tc>
      </w:tr>
      <w:tr w:rsidR="00F5723F" w:rsidRPr="007F4CC8" w14:paraId="40921DB0" w14:textId="77777777" w:rsidTr="00D819DE">
        <w:trPr>
          <w:trHeight w:val="695"/>
        </w:trPr>
        <w:tc>
          <w:tcPr>
            <w:tcW w:w="1384" w:type="dxa"/>
          </w:tcPr>
          <w:p w14:paraId="3658610F"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f</w:t>
            </w:r>
          </w:p>
        </w:tc>
        <w:tc>
          <w:tcPr>
            <w:tcW w:w="7655" w:type="dxa"/>
          </w:tcPr>
          <w:p w14:paraId="779051CA"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Hensættelser vedrørende ikkebalanceførte afgivne tilsagn og finansielle garantier</w:t>
            </w:r>
          </w:p>
          <w:p w14:paraId="769EAE50" w14:textId="77777777" w:rsidR="00F5723F" w:rsidRPr="007F4CC8" w:rsidRDefault="00F5723F" w:rsidP="00D819DE">
            <w:pPr>
              <w:autoSpaceDE w:val="0"/>
              <w:autoSpaceDN w:val="0"/>
              <w:adjustRightInd w:val="0"/>
              <w:spacing w:after="120"/>
              <w:rPr>
                <w:sz w:val="24"/>
                <w:rFonts w:ascii="Times New Roman" w:hAnsi="Times New Roman" w:cs="Times New Roman"/>
              </w:rPr>
            </w:pPr>
            <w:r>
              <w:rPr>
                <w:sz w:val="24"/>
                <w:rFonts w:ascii="Times New Roman" w:hAnsi="Times New Roman"/>
              </w:rPr>
              <w:t xml:space="preserve">Denne række omfatter hensættelserne vedrørende ikkebalanceførte afgivne tilsagn og finansielle garantier.</w:t>
            </w:r>
          </w:p>
        </w:tc>
      </w:tr>
      <w:tr w:rsidR="00F5723F" w:rsidRPr="007F4CC8" w14:paraId="232A8B39" w14:textId="77777777" w:rsidTr="00D819DE">
        <w:trPr>
          <w:trHeight w:val="695"/>
        </w:trPr>
        <w:tc>
          <w:tcPr>
            <w:tcW w:w="1384" w:type="dxa"/>
          </w:tcPr>
          <w:p w14:paraId="4089AEB2"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g</w:t>
            </w:r>
          </w:p>
        </w:tc>
        <w:tc>
          <w:tcPr>
            <w:tcW w:w="7655" w:type="dxa"/>
          </w:tcPr>
          <w:p w14:paraId="7CFFC09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Akkumulerede negative ændringer i dagsværdi på grund af kreditrisiko vedrørende misligholdte eksponeringer</w:t>
            </w:r>
          </w:p>
          <w:p w14:paraId="7A8D8B6B" w14:textId="77777777" w:rsidR="00F5723F" w:rsidRPr="007F4CC8" w:rsidRDefault="00F5723F" w:rsidP="00D819DE">
            <w:pPr>
              <w:pStyle w:val="Fait"/>
              <w:spacing w:before="0" w:after="120"/>
            </w:pPr>
            <w:r>
              <w:t xml:space="preserve">Dette omfatter de beløb, der er fastsat i overensstemmelse med bilag V, del 2, punkt 11, 69-71, 106 og 110, til Kommissionens gennemførelsesforordning (EU) nr. 680/2014.</w:t>
            </w:r>
          </w:p>
        </w:tc>
      </w:tr>
    </w:tbl>
    <w:p w14:paraId="322BCD38"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556CAA12" w14:textId="77777777" w:rsidR="00F5723F" w:rsidRPr="007F4CC8" w:rsidRDefault="00F5723F" w:rsidP="00F5723F">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Skema EU CQ5:</w:t>
      </w:r>
      <w:r>
        <w:rPr>
          <w:b/>
          <w:sz w:val="24"/>
          <w:rFonts w:ascii="Times New Roman" w:hAnsi="Times New Roman"/>
        </w:rPr>
        <w:t xml:space="preserve"> </w:t>
      </w:r>
      <w:r>
        <w:rPr>
          <w:b/>
          <w:sz w:val="24"/>
          <w:rFonts w:ascii="Times New Roman" w:hAnsi="Times New Roman"/>
        </w:rPr>
        <w:t xml:space="preserve">Kreditkvalitet af lån og forskud til ikkefinansielle selskaber efter branche</w:t>
      </w:r>
    </w:p>
    <w:p w14:paraId="44C54E61" w14:textId="7D933E7A" w:rsidR="00F5723F" w:rsidRPr="007F4CC8" w:rsidRDefault="005F5E08" w:rsidP="0090750A">
      <w:pPr>
        <w:pStyle w:val="ListParagraph"/>
        <w:numPr>
          <w:ilvl w:val="0"/>
          <w:numId w:val="17"/>
        </w:numPr>
        <w:autoSpaceDE w:val="0"/>
        <w:autoSpaceDN w:val="0"/>
        <w:adjustRightInd w:val="0"/>
        <w:spacing w:after="120"/>
        <w:jc w:val="both"/>
        <w:rPr>
          <w:b/>
          <w:sz w:val="24"/>
          <w:rFonts w:ascii="Times New Roman" w:hAnsi="Times New Roman"/>
        </w:rPr>
      </w:pPr>
      <w:r>
        <w:rPr>
          <w:sz w:val="24"/>
          <w:rFonts w:ascii="Times New Roman" w:hAnsi="Times New Roman"/>
        </w:rPr>
        <w:t xml:space="preserve">Store institutter og andre børsnoterede institutter skal offentliggøre de oplysninger, som er omhandlet i artikel 442, litra c) og e), i CRR, ved at følge instrukserne i dette bilag til udfyldelse af skema EU CQ5, som findes i bilag XV til EBA's IT-løsninger.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FBB408"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5CB0E9"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F5723F" w:rsidRPr="007F4CC8" w14:paraId="5482C0E1" w14:textId="77777777" w:rsidTr="00D819DE">
        <w:trPr>
          <w:trHeight w:val="238"/>
        </w:trPr>
        <w:tc>
          <w:tcPr>
            <w:tcW w:w="1384" w:type="dxa"/>
            <w:shd w:val="clear" w:color="auto" w:fill="D9D9D9" w:themeFill="background1" w:themeFillShade="D9"/>
          </w:tcPr>
          <w:p w14:paraId="79368B7E"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3C9252E4"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Forklaring</w:t>
            </w:r>
          </w:p>
        </w:tc>
      </w:tr>
      <w:tr w:rsidR="00F5723F" w:rsidRPr="007F4CC8" w14:paraId="60710A86" w14:textId="77777777" w:rsidTr="00D819DE">
        <w:trPr>
          <w:trHeight w:val="971"/>
        </w:trPr>
        <w:tc>
          <w:tcPr>
            <w:tcW w:w="1384" w:type="dxa"/>
          </w:tcPr>
          <w:p w14:paraId="372E5F97" w14:textId="77777777" w:rsidR="00F5723F" w:rsidRPr="007F4CC8" w:rsidRDefault="00F5723F" w:rsidP="00D819DE">
            <w:pPr>
              <w:pStyle w:val="Applicationdirecte"/>
              <w:spacing w:before="0"/>
            </w:pPr>
            <w:r>
              <w:t xml:space="preserve">010 - 190</w:t>
            </w:r>
          </w:p>
        </w:tc>
        <w:tc>
          <w:tcPr>
            <w:tcW w:w="7655" w:type="dxa"/>
          </w:tcPr>
          <w:p w14:paraId="0915F442" w14:textId="77777777" w:rsidR="00F5723F" w:rsidRPr="007F4CC8" w:rsidRDefault="00F5723F" w:rsidP="00D819DE">
            <w:pPr>
              <w:pStyle w:val="Fait"/>
              <w:spacing w:before="0" w:after="120"/>
              <w:rPr>
                <w:b/>
              </w:rPr>
            </w:pPr>
            <w:r>
              <w:rPr>
                <w:b/>
              </w:rPr>
              <w:t xml:space="preserve">Opdeling af modparter efter branche</w:t>
            </w:r>
          </w:p>
          <w:p w14:paraId="2A4837A2" w14:textId="77777777" w:rsidR="00F5723F" w:rsidRPr="007F4CC8" w:rsidRDefault="00F5723F" w:rsidP="00D819DE">
            <w:pPr>
              <w:pStyle w:val="Fait"/>
              <w:spacing w:before="0" w:after="120"/>
            </w:pPr>
            <w:r>
              <w:t xml:space="preserve">Fordelingen af modparter efter sektor omfatter udelukkende de sektorer, der relaterer til modparter, som er ikkefinansielle selskaber.</w:t>
            </w:r>
          </w:p>
          <w:p w14:paraId="2F8B0969" w14:textId="77777777" w:rsidR="00F5723F" w:rsidRPr="007F4CC8" w:rsidRDefault="00F5723F" w:rsidP="00D819DE">
            <w:pPr>
              <w:pStyle w:val="Fait"/>
              <w:spacing w:before="0" w:after="120"/>
            </w:pPr>
            <w:r>
              <w:t xml:space="preserve">Fordelingen af modparter efter sektor er alene baseret på arten af den umiddelbare modpart.</w:t>
            </w:r>
            <w:r>
              <w:t xml:space="preserve"> </w:t>
            </w:r>
            <w:r>
              <w:t xml:space="preserve">Eksponeringer, som flere låntagere pådrager sig i fællesskab, skal klassificeres på grundlag af karakteristikaene for den låntager, der var mest relevant eller betydningsfuld for instituttets beslutning om eksponeringen.</w:t>
            </w:r>
          </w:p>
          <w:p w14:paraId="03F4C688" w14:textId="77777777" w:rsidR="00F5723F" w:rsidRPr="007F4CC8" w:rsidRDefault="00F5723F" w:rsidP="00D819DE">
            <w:pPr>
              <w:pStyle w:val="Fait"/>
              <w:spacing w:before="0" w:after="120"/>
            </w:pPr>
            <w:r>
              <w:t xml:space="preserve">Rækkerne anvendes til at oplyse de væsentlige industrisektorer eller typer af modparter, over for hvilke institutterne har eksponeringer.</w:t>
            </w:r>
            <w:r>
              <w:t xml:space="preserve"> </w:t>
            </w:r>
            <w:r>
              <w:t xml:space="preserve">Væsentlighed vurderes i overensstemmelse med artikel 432 i CRR, og uvæsentlige industrisektorer eller typer af modparter aggregeres i rækken "Andre tjenester".</w:t>
            </w:r>
          </w:p>
        </w:tc>
      </w:tr>
      <w:tr w:rsidR="00F5723F" w:rsidRPr="007F4CC8" w14:paraId="4B50CEC5" w14:textId="77777777" w:rsidTr="00D819DE">
        <w:trPr>
          <w:trHeight w:val="316"/>
        </w:trPr>
        <w:tc>
          <w:tcPr>
            <w:tcW w:w="1384" w:type="dxa"/>
          </w:tcPr>
          <w:p w14:paraId="6BAD9C94"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200</w:t>
            </w:r>
          </w:p>
        </w:tc>
        <w:tc>
          <w:tcPr>
            <w:tcW w:w="7655" w:type="dxa"/>
          </w:tcPr>
          <w:p w14:paraId="7E5CDB2A"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I alt</w:t>
            </w:r>
          </w:p>
        </w:tc>
      </w:tr>
    </w:tbl>
    <w:p w14:paraId="761946C9"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C753A4F" w14:textId="77777777" w:rsidTr="00D819DE">
        <w:trPr>
          <w:trHeight w:val="238"/>
        </w:trPr>
        <w:tc>
          <w:tcPr>
            <w:tcW w:w="9039" w:type="dxa"/>
            <w:gridSpan w:val="2"/>
            <w:shd w:val="clear" w:color="auto" w:fill="D9D9D9" w:themeFill="background1" w:themeFillShade="D9"/>
          </w:tcPr>
          <w:p w14:paraId="42BD8A7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F5723F" w:rsidRPr="007F4CC8" w14:paraId="0DE5C8BB" w14:textId="77777777" w:rsidTr="00D819DE">
        <w:trPr>
          <w:trHeight w:val="238"/>
        </w:trPr>
        <w:tc>
          <w:tcPr>
            <w:tcW w:w="1384" w:type="dxa"/>
            <w:shd w:val="clear" w:color="auto" w:fill="D9D9D9" w:themeFill="background1" w:themeFillShade="D9"/>
          </w:tcPr>
          <w:p w14:paraId="384AF56A"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Kolonne nr.</w:t>
            </w:r>
          </w:p>
        </w:tc>
        <w:tc>
          <w:tcPr>
            <w:tcW w:w="7655" w:type="dxa"/>
            <w:shd w:val="clear" w:color="auto" w:fill="D9D9D9" w:themeFill="background1" w:themeFillShade="D9"/>
          </w:tcPr>
          <w:p w14:paraId="2EB5C225"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Forklaring</w:t>
            </w:r>
          </w:p>
        </w:tc>
      </w:tr>
      <w:tr w:rsidR="00F5723F" w:rsidRPr="007F4CC8" w14:paraId="75D7DFD2" w14:textId="77777777" w:rsidTr="00D819DE">
        <w:trPr>
          <w:trHeight w:val="841"/>
        </w:trPr>
        <w:tc>
          <w:tcPr>
            <w:tcW w:w="1384" w:type="dxa"/>
          </w:tcPr>
          <w:p w14:paraId="435265C1" w14:textId="77777777" w:rsidR="00F5723F" w:rsidRPr="007F4CC8" w:rsidRDefault="00F5723F" w:rsidP="00D819DE">
            <w:pPr>
              <w:pStyle w:val="Applicationdirecte"/>
              <w:spacing w:before="0"/>
            </w:pPr>
            <w:r>
              <w:t xml:space="preserve">a</w:t>
            </w:r>
          </w:p>
        </w:tc>
        <w:tc>
          <w:tcPr>
            <w:tcW w:w="7655" w:type="dxa"/>
          </w:tcPr>
          <w:p w14:paraId="4B168351" w14:textId="77777777" w:rsidR="00F5723F" w:rsidRPr="007F4CC8" w:rsidRDefault="00F5723F" w:rsidP="00D819DE">
            <w:pPr>
              <w:pStyle w:val="Fait"/>
              <w:spacing w:before="0" w:after="120"/>
              <w:rPr>
                <w:b/>
                <w:rFonts w:eastAsiaTheme="minorEastAsia"/>
              </w:rPr>
            </w:pPr>
            <w:r>
              <w:rPr>
                <w:b/>
              </w:rPr>
              <w:t xml:space="preserve">Regnskabsmæssig bruttoværdi</w:t>
            </w:r>
            <w:r>
              <w:rPr>
                <w:b/>
              </w:rPr>
              <w:t xml:space="preserve"> </w:t>
            </w:r>
          </w:p>
          <w:p w14:paraId="39B88AF9" w14:textId="77777777" w:rsidR="00F5723F" w:rsidRPr="007F4CC8" w:rsidRDefault="00F5723F" w:rsidP="00D819DE">
            <w:pPr>
              <w:pStyle w:val="Fait"/>
              <w:spacing w:before="0" w:after="120"/>
            </w:pPr>
            <w:r>
              <w:t xml:space="preserve">Regnskabsmæssig bruttoværdi som defineret i bilag V, del 1, punkt 34, til Kommissionens gennemførelsesforordning (EU) nr. 680/2014.</w:t>
            </w:r>
          </w:p>
          <w:p w14:paraId="77B85669" w14:textId="77777777" w:rsidR="00F5723F" w:rsidRPr="007F4CC8" w:rsidRDefault="00F5723F" w:rsidP="00D819DE">
            <w:pPr>
              <w:pStyle w:val="Fait"/>
              <w:spacing w:before="0" w:after="120"/>
            </w:pPr>
            <w:r>
              <w:t xml:space="preserve">Den regnskabsmæssige bruttoværdi i forbindelse med eksponeringer, der testes for værdiforringelse, er med fradrag af akkumulerede delvise og hele afskrivninger.</w:t>
            </w:r>
          </w:p>
        </w:tc>
      </w:tr>
      <w:tr w:rsidR="00F5723F" w:rsidRPr="007F4CC8" w14:paraId="522D49B2" w14:textId="77777777" w:rsidTr="00D819DE">
        <w:trPr>
          <w:trHeight w:val="841"/>
        </w:trPr>
        <w:tc>
          <w:tcPr>
            <w:tcW w:w="1384" w:type="dxa"/>
          </w:tcPr>
          <w:p w14:paraId="75B267DB" w14:textId="77777777" w:rsidR="00F5723F" w:rsidRPr="007F4CC8" w:rsidRDefault="00F5723F" w:rsidP="00D819DE">
            <w:pPr>
              <w:pStyle w:val="Applicationdirecte"/>
              <w:spacing w:before="0"/>
            </w:pPr>
            <w:r>
              <w:t xml:space="preserve">b</w:t>
            </w:r>
          </w:p>
        </w:tc>
        <w:tc>
          <w:tcPr>
            <w:tcW w:w="7655" w:type="dxa"/>
          </w:tcPr>
          <w:p w14:paraId="58474467" w14:textId="77777777" w:rsidR="00F5723F" w:rsidRPr="007F4CC8" w:rsidRDefault="00F5723F" w:rsidP="00D819DE">
            <w:pPr>
              <w:pStyle w:val="Fait"/>
              <w:spacing w:before="0" w:after="120"/>
              <w:rPr>
                <w:b/>
              </w:rPr>
            </w:pPr>
            <w:r>
              <w:rPr>
                <w:b/>
              </w:rPr>
              <w:t xml:space="preserve">Regnskabsmæssig bruttoværdi – heraf misligholdte</w:t>
            </w:r>
            <w:r>
              <w:rPr>
                <w:b/>
              </w:rPr>
              <w:t xml:space="preserve"> </w:t>
            </w:r>
          </w:p>
          <w:p w14:paraId="57048721" w14:textId="77777777" w:rsidR="00F5723F" w:rsidRDefault="00F5723F" w:rsidP="00D819DE">
            <w:pPr>
              <w:pStyle w:val="Fait"/>
              <w:spacing w:before="0" w:after="120"/>
            </w:pPr>
            <w:r>
              <w:t xml:space="preserve">Regnskabsmæssig bruttoværdi som defineret i bilag V, del 1, punkt 34, til Kommissionens gennemførelsesforordning (EU) nr. 680/2014.</w:t>
            </w:r>
            <w:r>
              <w:t xml:space="preserve"> </w:t>
            </w:r>
            <w:r>
              <w:t xml:space="preserve">Misligholdte eksponeringer som defineret i artikel 47a i CRR.</w:t>
            </w:r>
          </w:p>
          <w:p w14:paraId="41180965" w14:textId="73C1D993" w:rsidR="005F5E08" w:rsidRPr="005F5E08" w:rsidRDefault="005F5E08" w:rsidP="0098126E">
            <w:pPr>
              <w:pStyle w:val="Institutionquisigne"/>
              <w:rPr>
                <w:rFonts w:eastAsiaTheme="minorEastAsia"/>
              </w:rPr>
            </w:pPr>
            <w:r>
              <w:rPr>
                <w:i w:val="0"/>
              </w:rPr>
              <w:t xml:space="preserve">Denne kolonne offentliggøres kun af store institutter som omhandlet i denne gennemførelsesforordnings artikel 8, stk. 2.</w:t>
            </w:r>
          </w:p>
        </w:tc>
      </w:tr>
      <w:tr w:rsidR="00F5723F" w:rsidRPr="007F4CC8" w14:paraId="742039F2" w14:textId="77777777" w:rsidTr="00D819DE">
        <w:trPr>
          <w:trHeight w:val="841"/>
        </w:trPr>
        <w:tc>
          <w:tcPr>
            <w:tcW w:w="1384" w:type="dxa"/>
          </w:tcPr>
          <w:p w14:paraId="2E7121FC" w14:textId="77777777" w:rsidR="00F5723F" w:rsidRPr="007F4CC8" w:rsidRDefault="00F5723F" w:rsidP="00D819DE">
            <w:pPr>
              <w:pStyle w:val="Applicationdirecte"/>
              <w:spacing w:before="0"/>
            </w:pPr>
            <w:r>
              <w:t xml:space="preserve">c</w:t>
            </w:r>
          </w:p>
        </w:tc>
        <w:tc>
          <w:tcPr>
            <w:tcW w:w="7655" w:type="dxa"/>
          </w:tcPr>
          <w:p w14:paraId="45317EBD" w14:textId="77777777" w:rsidR="00F5723F" w:rsidRPr="007F4CC8" w:rsidRDefault="00F5723F" w:rsidP="00D819DE">
            <w:pPr>
              <w:pStyle w:val="Fait"/>
              <w:spacing w:before="0" w:after="120"/>
              <w:ind w:left="720"/>
              <w:rPr>
                <w:b/>
                <w:rFonts w:eastAsiaTheme="minorEastAsia"/>
              </w:rPr>
            </w:pPr>
            <w:r>
              <w:rPr>
                <w:b/>
              </w:rPr>
              <w:t xml:space="preserve">Heraf misligholdte</w:t>
            </w:r>
          </w:p>
          <w:p w14:paraId="16D7E95C" w14:textId="77777777" w:rsidR="00F5723F" w:rsidRPr="007F4CC8" w:rsidRDefault="00F5723F" w:rsidP="00D819DE">
            <w:pPr>
              <w:pStyle w:val="Fait"/>
              <w:spacing w:before="0" w:after="120"/>
              <w:rPr>
                <w:rFonts w:eastAsiaTheme="minorEastAsia"/>
              </w:rPr>
            </w:pPr>
            <w:r>
              <w:t xml:space="preserve">Misligholdte eksponeringer, jf. artikel 178 i CRR.</w:t>
            </w:r>
          </w:p>
        </w:tc>
      </w:tr>
      <w:tr w:rsidR="00F5723F" w:rsidRPr="007F4CC8" w14:paraId="59E7FCCF" w14:textId="77777777" w:rsidTr="00D819DE">
        <w:trPr>
          <w:trHeight w:val="841"/>
        </w:trPr>
        <w:tc>
          <w:tcPr>
            <w:tcW w:w="1384" w:type="dxa"/>
          </w:tcPr>
          <w:p w14:paraId="135BFCB7" w14:textId="77777777" w:rsidR="00F5723F" w:rsidRPr="007F4CC8" w:rsidRDefault="00F5723F" w:rsidP="00D819DE">
            <w:pPr>
              <w:pStyle w:val="Applicationdirecte"/>
              <w:spacing w:before="0"/>
            </w:pPr>
            <w:r>
              <w:t xml:space="preserve">d</w:t>
            </w:r>
          </w:p>
        </w:tc>
        <w:tc>
          <w:tcPr>
            <w:tcW w:w="7655" w:type="dxa"/>
          </w:tcPr>
          <w:p w14:paraId="4AFABF70" w14:textId="77777777" w:rsidR="00F5723F" w:rsidRPr="007F4CC8" w:rsidRDefault="00F5723F" w:rsidP="00D819DE">
            <w:pPr>
              <w:pStyle w:val="Fait"/>
              <w:spacing w:before="0" w:after="120"/>
              <w:rPr>
                <w:b/>
              </w:rPr>
            </w:pPr>
            <w:r>
              <w:rPr>
                <w:b/>
              </w:rPr>
              <w:t xml:space="preserve">Regnskabsmæssig bruttoværdi – heraf lån og forskud, der testes for værdiforringelse</w:t>
            </w:r>
          </w:p>
          <w:p w14:paraId="159AB8D6" w14:textId="77777777" w:rsidR="00F5723F" w:rsidRDefault="00F5723F" w:rsidP="00D819DE">
            <w:pPr>
              <w:pStyle w:val="Fait"/>
              <w:spacing w:before="0" w:after="120"/>
            </w:pPr>
            <w:r>
              <w:t xml:space="preserve">Den regnskabsmæssige bruttoværdi i forbindelse med lån og forskud, der er omfattet af kravene vedrørende værdiforringelse i henhold til de gældende regnskabsregler.</w:t>
            </w:r>
          </w:p>
          <w:p w14:paraId="108F060E" w14:textId="60545641" w:rsidR="005F5E08" w:rsidRPr="005F5E08" w:rsidRDefault="005F5E08" w:rsidP="0098126E">
            <w:pPr>
              <w:pStyle w:val="Institutionquisigne"/>
            </w:pPr>
            <w:r>
              <w:rPr>
                <w:i w:val="0"/>
              </w:rPr>
              <w:t xml:space="preserve">Denne kolonne offentliggøres kun af store institutter som omhandlet i denne gennemførelsesforordnings artikel 8, stk. 2.</w:t>
            </w:r>
          </w:p>
        </w:tc>
      </w:tr>
      <w:tr w:rsidR="00F5723F" w:rsidRPr="007F4CC8" w14:paraId="3D610B55" w14:textId="77777777" w:rsidTr="00D819DE">
        <w:trPr>
          <w:trHeight w:val="316"/>
        </w:trPr>
        <w:tc>
          <w:tcPr>
            <w:tcW w:w="1384" w:type="dxa"/>
          </w:tcPr>
          <w:p w14:paraId="33DA741B"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e</w:t>
            </w:r>
          </w:p>
        </w:tc>
        <w:tc>
          <w:tcPr>
            <w:tcW w:w="7655" w:type="dxa"/>
          </w:tcPr>
          <w:p w14:paraId="5EA500A8" w14:textId="77777777" w:rsidR="00F5723F" w:rsidRPr="007F4CC8" w:rsidRDefault="00F5723F" w:rsidP="00D819DE">
            <w:pPr>
              <w:pStyle w:val="Fait"/>
              <w:spacing w:before="0" w:after="120"/>
              <w:rPr>
                <w:b/>
              </w:rPr>
            </w:pPr>
            <w:r>
              <w:rPr>
                <w:b/>
              </w:rPr>
              <w:t xml:space="preserve">Akkumuleret værdiforringelse</w:t>
            </w:r>
          </w:p>
          <w:p w14:paraId="7B17067E" w14:textId="77777777" w:rsidR="00F5723F" w:rsidRPr="007F4CC8" w:rsidRDefault="00F5723F" w:rsidP="00D819DE">
            <w:pPr>
              <w:pStyle w:val="Fait"/>
              <w:spacing w:before="0" w:after="120"/>
            </w:pPr>
            <w:r>
              <w:t xml:space="preserve">Dette omfatter de beløb, der er fastsat i overensstemmelse med bilag V, del 2, punkt 11, 69-71, 106 og 110, til Kommissionens gennemførelsesforordning (EU) nr. 680/2014.</w:t>
            </w:r>
          </w:p>
        </w:tc>
      </w:tr>
      <w:tr w:rsidR="00F5723F" w:rsidRPr="007F4CC8" w14:paraId="4BBBFA9F" w14:textId="77777777" w:rsidTr="00D819DE">
        <w:trPr>
          <w:trHeight w:val="316"/>
        </w:trPr>
        <w:tc>
          <w:tcPr>
            <w:tcW w:w="1384" w:type="dxa"/>
          </w:tcPr>
          <w:p w14:paraId="4EFC8396"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f</w:t>
            </w:r>
          </w:p>
        </w:tc>
        <w:tc>
          <w:tcPr>
            <w:tcW w:w="7655" w:type="dxa"/>
          </w:tcPr>
          <w:p w14:paraId="4850E4D0" w14:textId="77777777" w:rsidR="00F5723F" w:rsidRPr="007F4CC8" w:rsidRDefault="00F5723F" w:rsidP="00D819DE">
            <w:pPr>
              <w:pStyle w:val="Fait"/>
              <w:spacing w:before="0" w:after="120"/>
              <w:rPr>
                <w:b/>
              </w:rPr>
            </w:pPr>
            <w:r>
              <w:rPr>
                <w:b/>
              </w:rPr>
              <w:t xml:space="preserve">Akkumulerede negative ændringer i dagsværdi på grund af kreditrisiko vedrørende misligholdte eksponeringer</w:t>
            </w:r>
          </w:p>
          <w:p w14:paraId="6266D8CD" w14:textId="77777777" w:rsidR="00F5723F" w:rsidRPr="007F4CC8" w:rsidRDefault="00F5723F" w:rsidP="00D819DE">
            <w:pPr>
              <w:pStyle w:val="Fait"/>
              <w:spacing w:before="0" w:after="120"/>
            </w:pPr>
            <w:r>
              <w:t xml:space="preserve">Misligholdte eksponeringer som defineret i artikel 47a i CRR.</w:t>
            </w:r>
          </w:p>
          <w:p w14:paraId="1E981720" w14:textId="77777777" w:rsidR="00F5723F" w:rsidRPr="007F4CC8" w:rsidRDefault="00F5723F" w:rsidP="00D819DE">
            <w:pPr>
              <w:pStyle w:val="Fait"/>
              <w:spacing w:before="0" w:after="120"/>
            </w:pPr>
            <w:r>
              <w:t xml:space="preserve">Institutterne skal medtage de beløb, der er fastsat i overensstemmelse med bilag V, del 2, punkt 11, 69-71, 106 og 110, til Kommissionens gennemførelsesforordning (EU) nr. 680/2014.</w:t>
            </w:r>
          </w:p>
        </w:tc>
      </w:tr>
    </w:tbl>
    <w:p w14:paraId="058A70FE"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2B1D81D6" w14:textId="77777777" w:rsidR="00F5723F" w:rsidRPr="007F4CC8" w:rsidRDefault="00F5723F" w:rsidP="00F5723F">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Skema EU CQ6:</w:t>
      </w:r>
      <w:r>
        <w:rPr>
          <w:b/>
          <w:sz w:val="24"/>
          <w:rFonts w:ascii="Times New Roman" w:hAnsi="Times New Roman"/>
        </w:rPr>
        <w:t xml:space="preserve"> </w:t>
      </w:r>
      <w:r>
        <w:rPr>
          <w:b/>
          <w:sz w:val="24"/>
          <w:rFonts w:ascii="Times New Roman" w:hAnsi="Times New Roman"/>
        </w:rPr>
        <w:t xml:space="preserve">Værdiansættelse af sikkerhedsstillelse - lån og forskud</w:t>
      </w:r>
    </w:p>
    <w:p w14:paraId="260AC61C" w14:textId="4E2AB3A4" w:rsidR="00F5723F" w:rsidRPr="007F4CC8" w:rsidRDefault="00BE49C3" w:rsidP="0090750A">
      <w:pPr>
        <w:pStyle w:val="ListParagraph"/>
        <w:numPr>
          <w:ilvl w:val="0"/>
          <w:numId w:val="17"/>
        </w:numPr>
        <w:spacing w:after="120"/>
        <w:jc w:val="both"/>
        <w:rPr>
          <w:bCs/>
          <w:sz w:val="24"/>
          <w:rFonts w:ascii="Times New Roman" w:hAnsi="Times New Roman"/>
        </w:rPr>
      </w:pPr>
      <w:r>
        <w:rPr>
          <w:sz w:val="24"/>
          <w:rFonts w:ascii="Times New Roman" w:hAnsi="Times New Roman"/>
        </w:rPr>
        <w:t xml:space="preserve">Store institutter som omhandlet i denne gennemførelsesforordnings artikel 8, stk. 2, skal offentliggøre de oplysninger, som er omhandlet i artikel 442, litra c) i CRR, ved at følge nedenstående instrukser til udfyldelse af skema EU CQ6, som findes i bilag XV til EBA's IT-løsninger.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379647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5EF213"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F5723F" w:rsidRPr="007F4CC8" w14:paraId="55BC7308" w14:textId="77777777" w:rsidTr="00D819DE">
        <w:trPr>
          <w:trHeight w:val="238"/>
        </w:trPr>
        <w:tc>
          <w:tcPr>
            <w:tcW w:w="1384" w:type="dxa"/>
            <w:shd w:val="clear" w:color="auto" w:fill="D9D9D9" w:themeFill="background1" w:themeFillShade="D9"/>
          </w:tcPr>
          <w:p w14:paraId="631037D1"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003A402B"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Forklaring</w:t>
            </w:r>
          </w:p>
        </w:tc>
      </w:tr>
      <w:tr w:rsidR="00F5723F" w:rsidRPr="007F4CC8" w14:paraId="791BCCBF" w14:textId="77777777" w:rsidTr="00D819DE">
        <w:trPr>
          <w:trHeight w:val="971"/>
        </w:trPr>
        <w:tc>
          <w:tcPr>
            <w:tcW w:w="1384" w:type="dxa"/>
          </w:tcPr>
          <w:p w14:paraId="3995E9B4" w14:textId="77777777" w:rsidR="00F5723F" w:rsidRPr="007F4CC8" w:rsidRDefault="00F5723F" w:rsidP="00D819DE">
            <w:pPr>
              <w:pStyle w:val="Applicationdirecte"/>
              <w:spacing w:before="0"/>
            </w:pPr>
            <w:r>
              <w:t xml:space="preserve">010</w:t>
            </w:r>
          </w:p>
        </w:tc>
        <w:tc>
          <w:tcPr>
            <w:tcW w:w="7655" w:type="dxa"/>
          </w:tcPr>
          <w:p w14:paraId="4733608D" w14:textId="77777777" w:rsidR="00F5723F" w:rsidRPr="007F4CC8" w:rsidRDefault="00F5723F" w:rsidP="00D819DE">
            <w:pPr>
              <w:pStyle w:val="Fait"/>
              <w:spacing w:before="0" w:after="120"/>
              <w:rPr>
                <w:b/>
                <w:rFonts w:eastAsiaTheme="minorEastAsia"/>
              </w:rPr>
            </w:pPr>
            <w:r>
              <w:rPr>
                <w:b/>
              </w:rPr>
              <w:t xml:space="preserve">Regnskabsmæssig bruttoværdi</w:t>
            </w:r>
            <w:r>
              <w:rPr>
                <w:b/>
              </w:rPr>
              <w:t xml:space="preserve"> </w:t>
            </w:r>
          </w:p>
          <w:p w14:paraId="190BE9FA" w14:textId="77777777" w:rsidR="00F5723F" w:rsidRPr="007F4CC8" w:rsidRDefault="00F5723F" w:rsidP="00D819DE">
            <w:pPr>
              <w:pStyle w:val="Fait"/>
              <w:spacing w:before="0" w:after="120"/>
            </w:pPr>
            <w:r>
              <w:t xml:space="preserve">Regnskabsmæssig bruttoværdi som defineret i bilag V, del 1, punkt 34, til Kommissionens gennemførelsesforordning (EU) nr. 680/2014.</w:t>
            </w:r>
          </w:p>
        </w:tc>
      </w:tr>
      <w:tr w:rsidR="00F5723F" w:rsidRPr="007F4CC8" w14:paraId="3EBA0B7A" w14:textId="77777777" w:rsidTr="00D819DE">
        <w:trPr>
          <w:trHeight w:val="971"/>
        </w:trPr>
        <w:tc>
          <w:tcPr>
            <w:tcW w:w="1384" w:type="dxa"/>
          </w:tcPr>
          <w:p w14:paraId="3A8AACAE" w14:textId="77777777" w:rsidR="00F5723F" w:rsidRPr="007F4CC8" w:rsidRDefault="00F5723F" w:rsidP="00D819DE">
            <w:pPr>
              <w:pStyle w:val="Applicationdirecte"/>
              <w:spacing w:before="0"/>
            </w:pPr>
            <w:r>
              <w:t xml:space="preserve">020</w:t>
            </w:r>
          </w:p>
        </w:tc>
        <w:tc>
          <w:tcPr>
            <w:tcW w:w="7655" w:type="dxa"/>
          </w:tcPr>
          <w:p w14:paraId="750F5B43" w14:textId="77777777" w:rsidR="00F5723F" w:rsidRPr="007F4CC8" w:rsidRDefault="00F5723F" w:rsidP="00D819DE">
            <w:pPr>
              <w:pStyle w:val="Fait"/>
              <w:spacing w:before="0" w:after="120"/>
              <w:ind w:left="720"/>
              <w:rPr>
                <w:b/>
                <w:rFonts w:eastAsiaTheme="minorEastAsia"/>
              </w:rPr>
            </w:pPr>
            <w:r>
              <w:rPr>
                <w:b/>
              </w:rPr>
              <w:t xml:space="preserve">Heraf sikrede</w:t>
            </w:r>
            <w:r>
              <w:rPr>
                <w:b/>
              </w:rPr>
              <w:t xml:space="preserve"> </w:t>
            </w:r>
          </w:p>
          <w:p w14:paraId="692D0130" w14:textId="77777777" w:rsidR="00F5723F" w:rsidRPr="007F4CC8" w:rsidRDefault="00F5723F" w:rsidP="00D819DE">
            <w:pPr>
              <w:pStyle w:val="Fait"/>
              <w:spacing w:before="0" w:after="120"/>
            </w:pPr>
            <w:r>
              <w:t xml:space="preserve">Regnskabsmæssig bruttoværdi, som defineret i bilag V, del 1, punkt 34, til Kommissionens gennemførelsesforordning (EU) nr. 680/2014, af sikrede og delvist sikrede lån oplyses i denne række.</w:t>
            </w:r>
          </w:p>
          <w:p w14:paraId="7E938558" w14:textId="77777777" w:rsidR="00F5723F" w:rsidRPr="007F4CC8" w:rsidRDefault="00F5723F" w:rsidP="00D819DE">
            <w:pPr>
              <w:pStyle w:val="Fait"/>
              <w:spacing w:before="0" w:after="120"/>
            </w:pPr>
            <w:r>
              <w:t xml:space="preserve">Ikkesikrede lån og forskud omfatter eksponeringer, for hvilke der hverken er modtaget sikkerhedsstillelser eller finansielle garantier;</w:t>
            </w:r>
            <w:r>
              <w:t xml:space="preserve"> </w:t>
            </w:r>
            <w:r>
              <w:t xml:space="preserve">den ikkesikrede del af en delvist sikret eller delvist garanteret eksponering medregnes i denne række, jf. bilag V, del 2, punkt 323, til Kommissionens gennemførelsesforordning (EU) nr. 680/2014.</w:t>
            </w:r>
          </w:p>
          <w:p w14:paraId="7C6F8B48" w14:textId="77777777" w:rsidR="00F5723F" w:rsidRPr="007F4CC8" w:rsidRDefault="00F5723F" w:rsidP="00D819DE">
            <w:pPr>
              <w:pStyle w:val="Fait"/>
              <w:spacing w:before="0" w:after="120"/>
            </w:pPr>
            <w:r>
              <w:t xml:space="preserve">Sikrede lån og forskud beregnes derfor som forskellen mellem den regnskabsmæssige bruttoværdi af alle lån og forskud og den regnskabsmæssige bruttoværdi af ikkesikrede lån og forskud og omfatter både den sikrede og den ikkesikrede del af lånet.</w:t>
            </w:r>
          </w:p>
          <w:p w14:paraId="5E3F5558" w14:textId="77777777" w:rsidR="00F5723F" w:rsidRPr="007F4CC8" w:rsidRDefault="00F5723F" w:rsidP="00D819DE">
            <w:pPr>
              <w:pStyle w:val="Institutionquisigne"/>
              <w:spacing w:before="0" w:after="120"/>
            </w:pPr>
            <w:r>
              <w:rPr>
                <w:i w:val="0"/>
              </w:rPr>
              <w:t xml:space="preserve">I tilfælde af overdækning af sikkerhedsstillelse oplyses lånets regnskabsmæssige bruttoværdi.</w:t>
            </w:r>
          </w:p>
        </w:tc>
      </w:tr>
      <w:tr w:rsidR="00F5723F" w:rsidRPr="007F4CC8" w14:paraId="16E52E95" w14:textId="77777777" w:rsidTr="00D819DE">
        <w:trPr>
          <w:trHeight w:val="971"/>
        </w:trPr>
        <w:tc>
          <w:tcPr>
            <w:tcW w:w="1384" w:type="dxa"/>
          </w:tcPr>
          <w:p w14:paraId="0257207D" w14:textId="77777777" w:rsidR="00F5723F" w:rsidRPr="007F4CC8" w:rsidRDefault="00F5723F" w:rsidP="00D819DE">
            <w:pPr>
              <w:pStyle w:val="Applicationdirecte"/>
              <w:spacing w:before="0"/>
            </w:pPr>
            <w:r>
              <w:t xml:space="preserve">030</w:t>
            </w:r>
          </w:p>
        </w:tc>
        <w:tc>
          <w:tcPr>
            <w:tcW w:w="7655" w:type="dxa"/>
          </w:tcPr>
          <w:p w14:paraId="638614BA" w14:textId="77777777" w:rsidR="00F5723F" w:rsidRPr="007F4CC8" w:rsidRDefault="00F5723F" w:rsidP="00D819DE">
            <w:pPr>
              <w:pStyle w:val="Fait"/>
              <w:spacing w:before="0" w:after="120"/>
              <w:ind w:left="1440"/>
              <w:rPr>
                <w:b/>
                <w:rFonts w:eastAsiaTheme="minorEastAsia"/>
              </w:rPr>
            </w:pPr>
            <w:r>
              <w:rPr>
                <w:b/>
              </w:rPr>
              <w:t xml:space="preserve">Heraf sikret ved pant i fast ejendom</w:t>
            </w:r>
          </w:p>
          <w:p w14:paraId="29D6220E" w14:textId="77777777" w:rsidR="00F5723F" w:rsidRPr="007F4CC8" w:rsidRDefault="00F5723F" w:rsidP="00D819DE">
            <w:pPr>
              <w:pStyle w:val="Fait"/>
              <w:spacing w:before="0" w:after="120"/>
            </w:pPr>
            <w:r>
              <w:t xml:space="preserve">Lån med sikkerhed i fast ejendom omfatter lån og forskud, der formelt er sikret ved pant i beboelses- eller erhvervsejendomme, uafhængigt af deres belåning i forhold til værdi (almindeligvis benævnt "loan-to-value") og sikkerhedsstillelsens juridiske form, som defineret i bilag V, del 2, punkt 86, litra a), til Kommissionens gennemførelsesforordning (EU) nr. 680/2014.</w:t>
            </w:r>
          </w:p>
        </w:tc>
      </w:tr>
      <w:tr w:rsidR="00F5723F" w:rsidRPr="007F4CC8" w14:paraId="6326BEBE" w14:textId="77777777" w:rsidTr="00D819DE">
        <w:trPr>
          <w:trHeight w:val="971"/>
        </w:trPr>
        <w:tc>
          <w:tcPr>
            <w:tcW w:w="1384" w:type="dxa"/>
          </w:tcPr>
          <w:p w14:paraId="7138C625" w14:textId="77777777" w:rsidR="00F5723F" w:rsidRPr="007F4CC8" w:rsidRDefault="00F5723F" w:rsidP="00D819DE">
            <w:pPr>
              <w:pStyle w:val="Applicationdirecte"/>
              <w:spacing w:before="0"/>
            </w:pPr>
            <w:r>
              <w:t xml:space="preserve">040</w:t>
            </w:r>
          </w:p>
        </w:tc>
        <w:tc>
          <w:tcPr>
            <w:tcW w:w="7655" w:type="dxa"/>
          </w:tcPr>
          <w:p w14:paraId="2A16663D" w14:textId="77777777" w:rsidR="00F5723F" w:rsidRPr="007F4CC8" w:rsidRDefault="00F5723F" w:rsidP="00D819DE">
            <w:pPr>
              <w:pStyle w:val="Fait"/>
              <w:spacing w:before="0" w:after="120"/>
              <w:ind w:left="2160"/>
              <w:rPr>
                <w:b/>
                <w:rFonts w:eastAsiaTheme="minorEastAsia"/>
              </w:rPr>
            </w:pPr>
            <w:r>
              <w:rPr>
                <w:b/>
              </w:rPr>
              <w:t xml:space="preserve">Heraf instrumenter med en belåningsgrad på over 60 % og under eller lig med 80 %</w:t>
            </w:r>
          </w:p>
          <w:p w14:paraId="385D021C" w14:textId="77777777" w:rsidR="00F5723F" w:rsidRPr="007F4CC8" w:rsidRDefault="00F5723F" w:rsidP="00D819DE">
            <w:pPr>
              <w:pStyle w:val="Institutionquisigne"/>
              <w:spacing w:before="0" w:after="120"/>
              <w:rPr>
                <w:rFonts w:eastAsiaTheme="minorEastAsia"/>
              </w:rPr>
            </w:pPr>
            <w:r>
              <w:rPr>
                <w:i w:val="0"/>
              </w:rPr>
              <w:t xml:space="preserve">Belåningsgraden beregnes ved hjælp af den metode til beregning af den "aktuelle belåningsprocent", der er angivet i Det Europæiske Udvalg for Systemiske Risicis henstilling om lukning af datahuller vedrørende fast ejendom (ESRB/2016/14)</w:t>
            </w:r>
            <w:r>
              <w:rPr>
                <w:rStyle w:val="FootnoteReference"/>
                <w:i w:val="0"/>
              </w:rPr>
              <w:footnoteReference w:id="6"/>
            </w:r>
            <w:r>
              <w:rPr>
                <w:i w:val="0"/>
              </w:rPr>
              <w:t xml:space="preserve">.</w:t>
            </w:r>
            <w:r>
              <w:rPr>
                <w:i w:val="0"/>
              </w:rPr>
              <w:t xml:space="preserve"> </w:t>
            </w:r>
            <w:r>
              <w:rPr>
                <w:i w:val="0"/>
              </w:rPr>
              <w:t xml:space="preserve">Institutterne skal oplyse den regnskabsmæssige bruttoværdi af lån og forskud med belåningsgrad på over 60 % og under eller lig med 80 %.</w:t>
            </w:r>
          </w:p>
        </w:tc>
      </w:tr>
      <w:tr w:rsidR="00F5723F" w:rsidRPr="007F4CC8" w14:paraId="3395915B" w14:textId="77777777" w:rsidTr="00D819DE">
        <w:trPr>
          <w:trHeight w:val="971"/>
        </w:trPr>
        <w:tc>
          <w:tcPr>
            <w:tcW w:w="1384" w:type="dxa"/>
          </w:tcPr>
          <w:p w14:paraId="60705F4E" w14:textId="77777777" w:rsidR="00F5723F" w:rsidRPr="007F4CC8" w:rsidRDefault="00F5723F" w:rsidP="00D819DE">
            <w:pPr>
              <w:pStyle w:val="Applicationdirecte"/>
              <w:spacing w:before="0"/>
            </w:pPr>
            <w:r>
              <w:t xml:space="preserve">050</w:t>
            </w:r>
          </w:p>
        </w:tc>
        <w:tc>
          <w:tcPr>
            <w:tcW w:w="7655" w:type="dxa"/>
          </w:tcPr>
          <w:p w14:paraId="52051CD6" w14:textId="77777777" w:rsidR="00F5723F" w:rsidRPr="007F4CC8" w:rsidRDefault="00F5723F" w:rsidP="00D819DE">
            <w:pPr>
              <w:pStyle w:val="Fait"/>
              <w:spacing w:before="0" w:after="120"/>
              <w:ind w:left="2160"/>
              <w:rPr>
                <w:b/>
                <w:rFonts w:eastAsiaTheme="minorEastAsia"/>
              </w:rPr>
            </w:pPr>
            <w:r>
              <w:rPr>
                <w:b/>
              </w:rPr>
              <w:t xml:space="preserve">Heraf instrumenter med en belåningsgrad på over 80 % og under eller lig med 100 %</w:t>
            </w:r>
          </w:p>
          <w:p w14:paraId="29300DFE" w14:textId="77777777" w:rsidR="00F5723F" w:rsidRPr="007F4CC8" w:rsidRDefault="00F5723F" w:rsidP="00D819DE">
            <w:pPr>
              <w:pStyle w:val="Institutionquisigne"/>
              <w:spacing w:before="0" w:after="120"/>
              <w:rPr>
                <w:rFonts w:eastAsiaTheme="minorEastAsia"/>
              </w:rPr>
            </w:pPr>
            <w:r>
              <w:rPr>
                <w:i w:val="0"/>
              </w:rPr>
              <w:t xml:space="preserve">Institutterne skal oplyse den regnskabsmæssige bruttoværdi af lån og forskud med en belåningsgrad på over 80 % og under eller lig med 100 %.</w:t>
            </w:r>
          </w:p>
        </w:tc>
      </w:tr>
      <w:tr w:rsidR="00F5723F" w:rsidRPr="007F4CC8" w14:paraId="7957C1FE" w14:textId="77777777" w:rsidTr="00D819DE">
        <w:trPr>
          <w:trHeight w:val="971"/>
        </w:trPr>
        <w:tc>
          <w:tcPr>
            <w:tcW w:w="1384" w:type="dxa"/>
          </w:tcPr>
          <w:p w14:paraId="0BF61FDC" w14:textId="77777777" w:rsidR="00F5723F" w:rsidRPr="007F4CC8" w:rsidRDefault="00F5723F" w:rsidP="00D819DE">
            <w:pPr>
              <w:pStyle w:val="Applicationdirecte"/>
              <w:spacing w:before="0"/>
            </w:pPr>
            <w:r>
              <w:t xml:space="preserve">060</w:t>
            </w:r>
          </w:p>
        </w:tc>
        <w:tc>
          <w:tcPr>
            <w:tcW w:w="7655" w:type="dxa"/>
          </w:tcPr>
          <w:p w14:paraId="7C30FF8E" w14:textId="77777777" w:rsidR="00F5723F" w:rsidRPr="007F4CC8" w:rsidRDefault="00F5723F" w:rsidP="00D819DE">
            <w:pPr>
              <w:pStyle w:val="Fait"/>
              <w:spacing w:before="0" w:after="120"/>
              <w:ind w:left="2160"/>
              <w:rPr>
                <w:b/>
                <w:rFonts w:eastAsiaTheme="minorEastAsia"/>
              </w:rPr>
            </w:pPr>
            <w:r>
              <w:rPr>
                <w:b/>
              </w:rPr>
              <w:t xml:space="preserve">Heraf instrumenter med en belåningsgrad på over 100 %</w:t>
            </w:r>
          </w:p>
          <w:p w14:paraId="7EC8D31B" w14:textId="77777777" w:rsidR="00F5723F" w:rsidRPr="007F4CC8" w:rsidRDefault="00F5723F" w:rsidP="00D819DE">
            <w:pPr>
              <w:pStyle w:val="Institutionquisigne"/>
              <w:spacing w:before="0" w:after="120"/>
              <w:rPr>
                <w:rFonts w:eastAsiaTheme="minorEastAsia"/>
              </w:rPr>
            </w:pPr>
            <w:r>
              <w:rPr>
                <w:i w:val="0"/>
              </w:rPr>
              <w:t xml:space="preserve">Regnskabsmæssig bruttoværdi af lån og forskud med belåningsgrad på over 100 %.</w:t>
            </w:r>
          </w:p>
        </w:tc>
      </w:tr>
      <w:tr w:rsidR="00F5723F" w:rsidRPr="007F4CC8" w14:paraId="23DE4FA5" w14:textId="77777777" w:rsidTr="00D819DE">
        <w:trPr>
          <w:trHeight w:val="316"/>
        </w:trPr>
        <w:tc>
          <w:tcPr>
            <w:tcW w:w="1384" w:type="dxa"/>
          </w:tcPr>
          <w:p w14:paraId="36BA31F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070</w:t>
            </w:r>
          </w:p>
        </w:tc>
        <w:tc>
          <w:tcPr>
            <w:tcW w:w="7655" w:type="dxa"/>
          </w:tcPr>
          <w:p w14:paraId="201BEB4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Akkumuleret værdiforringelse for sikrede aktiver</w:t>
            </w:r>
          </w:p>
          <w:p w14:paraId="6A1F04F9" w14:textId="77777777" w:rsidR="00F5723F" w:rsidRPr="007F4CC8" w:rsidRDefault="00F5723F" w:rsidP="00D819DE">
            <w:pPr>
              <w:pStyle w:val="Fait"/>
              <w:spacing w:before="0" w:after="120"/>
            </w:pPr>
            <w:r>
              <w:t xml:space="preserve">For sikrede gældsinstrumenter beregnes akkumuleret værdiforringelse som de akkumulerede tab ved værdiforringelse, netto for anvendelse og tilbageførsler, der er blevet indregnet, for hver værdiforringelsesfase, hvor det er relevant (bilag V, del 2, punkt 70, til Kommissionens gennemførelsesforordning (EU) nr. 680/2014).</w:t>
            </w:r>
          </w:p>
          <w:p w14:paraId="430EA50A" w14:textId="77777777" w:rsidR="00F5723F" w:rsidRPr="007F4CC8" w:rsidRDefault="00F5723F" w:rsidP="00D819DE">
            <w:pPr>
              <w:pStyle w:val="Fait"/>
              <w:spacing w:before="0" w:after="120"/>
              <w:rPr>
                <w:b/>
              </w:rPr>
            </w:pPr>
            <w:r>
              <w:t xml:space="preserve">Den akkumulerede værdiforringelse i forbindelse med den ikkesikrede del af en delvist sikret eller delvist garanteret eksponering medtages i denne række.</w:t>
            </w:r>
          </w:p>
        </w:tc>
      </w:tr>
      <w:tr w:rsidR="00F5723F" w:rsidRPr="007F4CC8" w14:paraId="05BFD6F3" w14:textId="77777777" w:rsidTr="00D819DE">
        <w:trPr>
          <w:trHeight w:val="316"/>
        </w:trPr>
        <w:tc>
          <w:tcPr>
            <w:tcW w:w="1384" w:type="dxa"/>
          </w:tcPr>
          <w:p w14:paraId="22A22CB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090</w:t>
            </w:r>
          </w:p>
        </w:tc>
        <w:tc>
          <w:tcPr>
            <w:tcW w:w="7655" w:type="dxa"/>
          </w:tcPr>
          <w:p w14:paraId="4299E555"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Sikkerhedsstillelse – heraf værdi begrænset til eksponeringens værdi</w:t>
            </w:r>
          </w:p>
          <w:p w14:paraId="24FFD5F5" w14:textId="77777777" w:rsidR="00F5723F" w:rsidRPr="007F4CC8" w:rsidRDefault="00F5723F" w:rsidP="00D819DE">
            <w:pPr>
              <w:pStyle w:val="Fait"/>
              <w:spacing w:before="0" w:after="120"/>
              <w:rPr>
                <w:b/>
              </w:rPr>
            </w:pPr>
            <w:r>
              <w:t xml:space="preserve">Beløbene for modtagne sikkerhedsstillelser beregnes i overensstemmelse med bilag V, del 2, punkt 239, til Kommissionens gennemførelsesforordning (EU) nr. 680/2014.</w:t>
            </w:r>
            <w:r>
              <w:t xml:space="preserve"> </w:t>
            </w:r>
            <w:r>
              <w:t xml:space="preserve">Summen af beløbene for sikkerhedsstillelse i denne række begrænses til den regnskabsmæssige værdi af den relaterede eksponering.</w:t>
            </w:r>
          </w:p>
        </w:tc>
      </w:tr>
      <w:tr w:rsidR="00F5723F" w:rsidRPr="007F4CC8" w14:paraId="5711A68F" w14:textId="77777777" w:rsidTr="00D819DE">
        <w:trPr>
          <w:trHeight w:val="316"/>
        </w:trPr>
        <w:tc>
          <w:tcPr>
            <w:tcW w:w="1384" w:type="dxa"/>
          </w:tcPr>
          <w:p w14:paraId="2BA5CB92"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100</w:t>
            </w:r>
          </w:p>
        </w:tc>
        <w:tc>
          <w:tcPr>
            <w:tcW w:w="7655" w:type="dxa"/>
          </w:tcPr>
          <w:p w14:paraId="127F68B9"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Heraf fast ejendom</w:t>
            </w:r>
          </w:p>
          <w:p w14:paraId="3CE13C07" w14:textId="77777777" w:rsidR="00F5723F" w:rsidRPr="007F4CC8" w:rsidRDefault="00F5723F" w:rsidP="00D819DE">
            <w:pPr>
              <w:pStyle w:val="Fait"/>
              <w:spacing w:before="0" w:after="120"/>
            </w:pPr>
            <w:r>
              <w:t xml:space="preserve">Den del af sikkerhedsstillelsen, der består af pant i beboelses- eller erhvervsejendomme (bilag V, del 2, punkt 173, litra a), til Kommissionens gennemførelsesforordning (EU) nr. 680/2014).</w:t>
            </w:r>
          </w:p>
          <w:p w14:paraId="27C8A293" w14:textId="77777777" w:rsidR="00F5723F" w:rsidRPr="007F4CC8" w:rsidRDefault="00F5723F" w:rsidP="00D819DE">
            <w:pPr>
              <w:pStyle w:val="Fait"/>
              <w:spacing w:before="0" w:after="120"/>
              <w:rPr>
                <w:b/>
              </w:rPr>
            </w:pPr>
            <w:r>
              <w:t xml:space="preserve">Summen af beløbene for sikkerhedsstillelse i denne række begrænses til den regnskabsmæssige værdi af den relaterede eksponering.</w:t>
            </w:r>
          </w:p>
        </w:tc>
      </w:tr>
      <w:tr w:rsidR="00F5723F" w:rsidRPr="007F4CC8" w14:paraId="097BEC7A" w14:textId="77777777" w:rsidTr="00D819DE">
        <w:trPr>
          <w:trHeight w:val="316"/>
        </w:trPr>
        <w:tc>
          <w:tcPr>
            <w:tcW w:w="1384" w:type="dxa"/>
          </w:tcPr>
          <w:p w14:paraId="5B2FAEE3"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110</w:t>
            </w:r>
          </w:p>
        </w:tc>
        <w:tc>
          <w:tcPr>
            <w:tcW w:w="7655" w:type="dxa"/>
          </w:tcPr>
          <w:p w14:paraId="4F552CB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Sikkerhedsstillelse – heraf værdi over loftet</w:t>
            </w:r>
          </w:p>
          <w:p w14:paraId="11A1DBDA" w14:textId="77777777" w:rsidR="00F5723F" w:rsidRPr="007F4CC8" w:rsidRDefault="00F5723F" w:rsidP="00D819DE">
            <w:pPr>
              <w:pStyle w:val="Fait"/>
              <w:spacing w:before="0" w:after="120"/>
              <w:rPr>
                <w:b/>
              </w:rPr>
            </w:pPr>
            <w:r>
              <w:t xml:space="preserve">I denne række oplyses forskellen mellem den faktiske værdi af sikkerhedsstillelsen og den begrænsede værdi af sikkerhedsstillelsen (regnskabsmæssig værdi af den relaterede eksponering) (institutterne skal ikke anvende bilag V, del 2, punkt 239, til Kommissionens gennemførelsesforordning (EU) nr. 680/2014 til beregningen af den faktiske værdi af sikkerhedsstillelsen).</w:t>
            </w:r>
          </w:p>
        </w:tc>
      </w:tr>
      <w:tr w:rsidR="00F5723F" w:rsidRPr="007F4CC8" w14:paraId="7C96F615" w14:textId="77777777" w:rsidTr="00D819DE">
        <w:trPr>
          <w:trHeight w:val="316"/>
        </w:trPr>
        <w:tc>
          <w:tcPr>
            <w:tcW w:w="1384" w:type="dxa"/>
          </w:tcPr>
          <w:p w14:paraId="722BB33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120</w:t>
            </w:r>
          </w:p>
        </w:tc>
        <w:tc>
          <w:tcPr>
            <w:tcW w:w="7655" w:type="dxa"/>
          </w:tcPr>
          <w:p w14:paraId="118786AC"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Heraf fast ejendom</w:t>
            </w:r>
          </w:p>
          <w:p w14:paraId="17463CCB" w14:textId="77777777" w:rsidR="00F5723F" w:rsidRPr="007F4CC8" w:rsidRDefault="00F5723F" w:rsidP="00D819DE">
            <w:pPr>
              <w:pStyle w:val="Fait"/>
              <w:spacing w:before="0" w:after="120"/>
              <w:rPr>
                <w:b/>
              </w:rPr>
            </w:pPr>
            <w:r>
              <w:t xml:space="preserve">Forskellen mellem den faktiske værdi og den begrænsede værdi af den del af sikkerhedsstillelsen, der består af pant i beboelses- eller erhvervsejendomme (bilag V, del 2, punkt 173, litra a), til Kommissionens gennemførelsesforordning (EU) nr. 680/2014).</w:t>
            </w:r>
          </w:p>
        </w:tc>
      </w:tr>
      <w:tr w:rsidR="00F5723F" w:rsidRPr="007F4CC8" w14:paraId="1B2EADA1" w14:textId="77777777" w:rsidTr="00D819DE">
        <w:trPr>
          <w:trHeight w:val="316"/>
        </w:trPr>
        <w:tc>
          <w:tcPr>
            <w:tcW w:w="1384" w:type="dxa"/>
          </w:tcPr>
          <w:p w14:paraId="466B88A0"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130</w:t>
            </w:r>
          </w:p>
        </w:tc>
        <w:tc>
          <w:tcPr>
            <w:tcW w:w="7655" w:type="dxa"/>
          </w:tcPr>
          <w:p w14:paraId="26654BDA"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Modtagne finansielle garantier</w:t>
            </w:r>
          </w:p>
          <w:p w14:paraId="171BA8FD" w14:textId="77777777" w:rsidR="00F5723F" w:rsidRPr="007F4CC8" w:rsidRDefault="00F5723F" w:rsidP="00D819DE">
            <w:pPr>
              <w:pStyle w:val="Fait"/>
              <w:spacing w:before="0" w:after="120"/>
              <w:rPr>
                <w:b/>
              </w:rPr>
            </w:pPr>
            <w:r>
              <w:t xml:space="preserve">Som defineret i bilag V, del 2, punkt 114, til Kommissionens gennemførelsesforordning (EU) nr. 680/2014.</w:t>
            </w:r>
          </w:p>
        </w:tc>
      </w:tr>
      <w:tr w:rsidR="00F5723F" w:rsidRPr="007F4CC8" w14:paraId="713A855D" w14:textId="77777777" w:rsidTr="00D819DE">
        <w:trPr>
          <w:trHeight w:val="316"/>
        </w:trPr>
        <w:tc>
          <w:tcPr>
            <w:tcW w:w="1384" w:type="dxa"/>
          </w:tcPr>
          <w:p w14:paraId="68C7CA6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140</w:t>
            </w:r>
          </w:p>
        </w:tc>
        <w:tc>
          <w:tcPr>
            <w:tcW w:w="7655" w:type="dxa"/>
          </w:tcPr>
          <w:p w14:paraId="53ACFE94"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Akkumulerede delvise afskrivninger</w:t>
            </w:r>
          </w:p>
          <w:p w14:paraId="2EAF44D7" w14:textId="77777777" w:rsidR="00F5723F" w:rsidRPr="007F4CC8" w:rsidRDefault="00F5723F" w:rsidP="00D819DE">
            <w:pPr>
              <w:pStyle w:val="Fait"/>
              <w:spacing w:before="0" w:after="120"/>
            </w:pPr>
            <w:r>
              <w:t xml:space="preserve">Dette omfatter den akkumulerede delvise værdi pr. referencedatoen for hovedstol og påløbne morarenter og gebyrer for ethvert gældsinstrument, for hvilke indregning hidtil er ophørt, ved anvendelse af en af de i bilag V, del 2, punkt 74, til Kommissionens gennemførelsesforordning (EU) nr. 680/2014 beskrevne metoder, som skal oplyses, fordi instituttet ikke har nogen rimelige forventninger om at inddrive de kontraktlige pengestrømme.</w:t>
            </w:r>
            <w:r>
              <w:t xml:space="preserve"> </w:t>
            </w:r>
            <w:r>
              <w:t xml:space="preserve">Disse beløb skal oplyses, indtil alle instituttets rettigheder er fuldstændigt bortfaldet ved udløb af forældelsesperioden, eftergivelse eller andet, eller indtil inddrivelse.</w:t>
            </w:r>
            <w:r>
              <w:t xml:space="preserve"> </w:t>
            </w:r>
            <w:r>
              <w:t xml:space="preserve">Hvis de afskrevne beløb ikke inddrives, skal de derfor oplyses, mens de er omfattet af håndhævelsesforanstaltninger.</w:t>
            </w:r>
          </w:p>
          <w:p w14:paraId="14F0B41D" w14:textId="77777777" w:rsidR="00F5723F" w:rsidRPr="007F4CC8" w:rsidRDefault="00F5723F" w:rsidP="00D819DE">
            <w:pPr>
              <w:pStyle w:val="Fait"/>
              <w:spacing w:before="0" w:after="120"/>
            </w:pPr>
            <w:r>
              <w:t xml:space="preserve">Afskrivninger udgør et tilfælde af ophør af indregning og vedrører et finansielt aktiv i sin helhed eller (i tilfælde af en delvis afskrivning) en del af det, herunder også når ændringen af et aktiv fører til, at instituttet giver afkald på sin ret til at indsamle pengestrømme enten på en del af eller på hele det pågældende aktiv.</w:t>
            </w:r>
          </w:p>
        </w:tc>
      </w:tr>
    </w:tbl>
    <w:p w14:paraId="6D1B2FE7"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644ED64" w14:textId="77777777" w:rsidTr="00D819DE">
        <w:trPr>
          <w:trHeight w:val="238"/>
        </w:trPr>
        <w:tc>
          <w:tcPr>
            <w:tcW w:w="9039" w:type="dxa"/>
            <w:gridSpan w:val="2"/>
            <w:shd w:val="clear" w:color="auto" w:fill="D9D9D9" w:themeFill="background1" w:themeFillShade="D9"/>
          </w:tcPr>
          <w:p w14:paraId="47099925"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F5723F" w:rsidRPr="007F4CC8" w14:paraId="5B207C21" w14:textId="77777777" w:rsidTr="00D819DE">
        <w:trPr>
          <w:trHeight w:val="238"/>
        </w:trPr>
        <w:tc>
          <w:tcPr>
            <w:tcW w:w="1384" w:type="dxa"/>
            <w:shd w:val="clear" w:color="auto" w:fill="D9D9D9" w:themeFill="background1" w:themeFillShade="D9"/>
          </w:tcPr>
          <w:p w14:paraId="2D54041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Kolonne nr.</w:t>
            </w:r>
          </w:p>
        </w:tc>
        <w:tc>
          <w:tcPr>
            <w:tcW w:w="7655" w:type="dxa"/>
            <w:shd w:val="clear" w:color="auto" w:fill="D9D9D9" w:themeFill="background1" w:themeFillShade="D9"/>
          </w:tcPr>
          <w:p w14:paraId="0B2D1237"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Forklaring</w:t>
            </w:r>
          </w:p>
        </w:tc>
      </w:tr>
      <w:tr w:rsidR="00F5723F" w:rsidRPr="007F4CC8" w14:paraId="744CBE89" w14:textId="77777777" w:rsidTr="00D819DE">
        <w:trPr>
          <w:trHeight w:val="841"/>
        </w:trPr>
        <w:tc>
          <w:tcPr>
            <w:tcW w:w="1384" w:type="dxa"/>
          </w:tcPr>
          <w:p w14:paraId="0846E804" w14:textId="77777777" w:rsidR="00F5723F" w:rsidRPr="007F4CC8" w:rsidRDefault="00F5723F" w:rsidP="00D819DE">
            <w:pPr>
              <w:pStyle w:val="Applicationdirecte"/>
              <w:spacing w:before="0"/>
            </w:pPr>
            <w:r>
              <w:t xml:space="preserve">a</w:t>
            </w:r>
          </w:p>
        </w:tc>
        <w:tc>
          <w:tcPr>
            <w:tcW w:w="7655" w:type="dxa"/>
          </w:tcPr>
          <w:p w14:paraId="233F95C1" w14:textId="77777777" w:rsidR="00F5723F" w:rsidRPr="007F4CC8" w:rsidRDefault="00F5723F" w:rsidP="00D819DE">
            <w:pPr>
              <w:pStyle w:val="Institutionquisigne"/>
              <w:spacing w:before="0" w:after="120"/>
              <w:rPr>
                <w:b/>
                <w:i w:val="0"/>
                <w:rFonts w:eastAsiaTheme="minorEastAsia"/>
              </w:rPr>
            </w:pPr>
            <w:r>
              <w:rPr>
                <w:b/>
                <w:i w:val="0"/>
              </w:rPr>
              <w:t xml:space="preserve">Lån og forskud</w:t>
            </w:r>
          </w:p>
          <w:p w14:paraId="5960DEB5" w14:textId="77777777" w:rsidR="00F5723F" w:rsidRPr="007F4CC8" w:rsidRDefault="00F5723F" w:rsidP="00D819DE">
            <w:pPr>
              <w:pStyle w:val="Fait"/>
              <w:spacing w:before="0" w:after="120"/>
              <w:rPr>
                <w:rFonts w:eastAsiaTheme="minorEastAsia"/>
              </w:rPr>
            </w:pPr>
            <w:r>
              <w:t xml:space="preserve">Se definitionen i skema EU CR1:</w:t>
            </w:r>
            <w:r>
              <w:t xml:space="preserve"> </w:t>
            </w:r>
            <w:r>
              <w:t xml:space="preserve">Ikkemisligholdte og misligholdte eksponeringer og dertil knyttede bestemmelser.</w:t>
            </w:r>
          </w:p>
        </w:tc>
      </w:tr>
      <w:tr w:rsidR="00F5723F" w:rsidRPr="007F4CC8" w14:paraId="05DA9F15" w14:textId="77777777" w:rsidTr="00D819DE">
        <w:trPr>
          <w:trHeight w:val="841"/>
        </w:trPr>
        <w:tc>
          <w:tcPr>
            <w:tcW w:w="1384" w:type="dxa"/>
          </w:tcPr>
          <w:p w14:paraId="3F36867B" w14:textId="77777777" w:rsidR="00F5723F" w:rsidRPr="007F4CC8" w:rsidRDefault="00F5723F" w:rsidP="00D819DE">
            <w:pPr>
              <w:pStyle w:val="Applicationdirecte"/>
              <w:spacing w:before="0"/>
            </w:pPr>
            <w:r>
              <w:t xml:space="preserve">b</w:t>
            </w:r>
          </w:p>
        </w:tc>
        <w:tc>
          <w:tcPr>
            <w:tcW w:w="7655" w:type="dxa"/>
          </w:tcPr>
          <w:p w14:paraId="29D1E823" w14:textId="77777777" w:rsidR="00F5723F" w:rsidRPr="007F4CC8" w:rsidRDefault="00F5723F" w:rsidP="00D819DE">
            <w:pPr>
              <w:pStyle w:val="Institutionquisigne"/>
              <w:spacing w:before="0" w:after="120"/>
              <w:rPr>
                <w:b/>
                <w:i w:val="0"/>
                <w:rFonts w:eastAsiaTheme="minorEastAsia"/>
              </w:rPr>
            </w:pPr>
            <w:r>
              <w:rPr>
                <w:b/>
                <w:i w:val="0"/>
              </w:rPr>
              <w:t xml:space="preserve">Lån og forskud – heraf ikkemisligholdte</w:t>
            </w:r>
            <w:r>
              <w:rPr>
                <w:b/>
                <w:i w:val="0"/>
              </w:rPr>
              <w:t xml:space="preserve"> </w:t>
            </w:r>
          </w:p>
          <w:p w14:paraId="74C35D2E" w14:textId="77777777" w:rsidR="00F5723F" w:rsidRPr="007F4CC8" w:rsidRDefault="00F5723F" w:rsidP="00D819DE">
            <w:pPr>
              <w:pStyle w:val="Fait"/>
              <w:spacing w:before="0" w:after="120"/>
              <w:rPr>
                <w:rFonts w:eastAsiaTheme="minorEastAsia"/>
              </w:rPr>
            </w:pPr>
            <w:r>
              <w:t xml:space="preserve">Se definitionen i skema EU CR1:</w:t>
            </w:r>
            <w:r>
              <w:t xml:space="preserve"> </w:t>
            </w:r>
            <w:r>
              <w:t xml:space="preserve">Ikkemisligholdte og misligholdte eksponeringer og dertil knyttede bestemmelser.</w:t>
            </w:r>
          </w:p>
        </w:tc>
      </w:tr>
      <w:tr w:rsidR="00F5723F" w:rsidRPr="007F4CC8" w14:paraId="68FB2DE0" w14:textId="77777777" w:rsidTr="00D819DE">
        <w:trPr>
          <w:trHeight w:val="841"/>
        </w:trPr>
        <w:tc>
          <w:tcPr>
            <w:tcW w:w="1384" w:type="dxa"/>
          </w:tcPr>
          <w:p w14:paraId="2F15955D" w14:textId="77777777" w:rsidR="00F5723F" w:rsidRPr="007F4CC8" w:rsidRDefault="00F5723F" w:rsidP="00D819DE">
            <w:pPr>
              <w:pStyle w:val="Applicationdirecte"/>
              <w:spacing w:before="0"/>
            </w:pPr>
            <w:r>
              <w:t xml:space="preserve">c</w:t>
            </w:r>
          </w:p>
        </w:tc>
        <w:tc>
          <w:tcPr>
            <w:tcW w:w="7655" w:type="dxa"/>
          </w:tcPr>
          <w:p w14:paraId="6A0FD51E" w14:textId="77777777" w:rsidR="00F5723F" w:rsidRPr="007F4CC8" w:rsidRDefault="00F5723F" w:rsidP="00D819DE">
            <w:pPr>
              <w:pStyle w:val="Institutionquisigne"/>
              <w:spacing w:before="0" w:after="120"/>
              <w:ind w:left="720"/>
              <w:rPr>
                <w:b/>
                <w:i w:val="0"/>
                <w:rFonts w:eastAsiaTheme="minorEastAsia"/>
              </w:rPr>
            </w:pPr>
            <w:r>
              <w:rPr>
                <w:b/>
                <w:i w:val="0"/>
              </w:rPr>
              <w:t xml:space="preserve">Heraf forfaldne i &gt; 30 dage ≤ 90 dage</w:t>
            </w:r>
          </w:p>
          <w:p w14:paraId="7C6FD2E9" w14:textId="77777777" w:rsidR="00F5723F" w:rsidRPr="007F4CC8" w:rsidRDefault="00F5723F" w:rsidP="00D819DE">
            <w:pPr>
              <w:pStyle w:val="Fait"/>
              <w:spacing w:before="0" w:after="120"/>
              <w:rPr>
                <w:rFonts w:eastAsiaTheme="minorEastAsia"/>
              </w:rPr>
            </w:pPr>
            <w:r>
              <w:t xml:space="preserve">Underkategori af ikkemisligholdte lån og forskud, der har været forfaldne i 31-90 dage.</w:t>
            </w:r>
          </w:p>
        </w:tc>
      </w:tr>
      <w:tr w:rsidR="00F5723F" w:rsidRPr="007F4CC8" w14:paraId="4D549E56" w14:textId="77777777" w:rsidTr="00D819DE">
        <w:trPr>
          <w:trHeight w:val="841"/>
        </w:trPr>
        <w:tc>
          <w:tcPr>
            <w:tcW w:w="1384" w:type="dxa"/>
          </w:tcPr>
          <w:p w14:paraId="071BE6AF" w14:textId="77777777" w:rsidR="00F5723F" w:rsidRPr="007F4CC8" w:rsidRDefault="00F5723F" w:rsidP="00D819DE">
            <w:pPr>
              <w:pStyle w:val="Applicationdirecte"/>
              <w:spacing w:before="0"/>
            </w:pPr>
            <w:r>
              <w:t xml:space="preserve">d</w:t>
            </w:r>
          </w:p>
        </w:tc>
        <w:tc>
          <w:tcPr>
            <w:tcW w:w="7655" w:type="dxa"/>
          </w:tcPr>
          <w:p w14:paraId="546D8829" w14:textId="77777777" w:rsidR="00F5723F" w:rsidRPr="007F4CC8" w:rsidRDefault="00F5723F" w:rsidP="00D819DE">
            <w:pPr>
              <w:pStyle w:val="Fait"/>
              <w:spacing w:before="0" w:after="120"/>
              <w:rPr>
                <w:b/>
              </w:rPr>
            </w:pPr>
            <w:r>
              <w:rPr>
                <w:b/>
              </w:rPr>
              <w:t xml:space="preserve">Lån og forskud – heraf ikkemisligholdte eksponeringer</w:t>
            </w:r>
          </w:p>
          <w:p w14:paraId="090D7CC4" w14:textId="77777777" w:rsidR="00F5723F" w:rsidRPr="007F4CC8" w:rsidRDefault="00F5723F" w:rsidP="00D819DE">
            <w:pPr>
              <w:pStyle w:val="Fait"/>
              <w:spacing w:before="0" w:after="120"/>
            </w:pPr>
            <w:r>
              <w:t xml:space="preserve">Misligholdte eksponeringer som defineret i artikel 47a i CRR.</w:t>
            </w:r>
          </w:p>
          <w:p w14:paraId="657825F2" w14:textId="77777777" w:rsidR="00F5723F" w:rsidRPr="007F4CC8" w:rsidRDefault="00F5723F" w:rsidP="00D819DE">
            <w:pPr>
              <w:pStyle w:val="Fait"/>
              <w:spacing w:before="0" w:after="120"/>
            </w:pPr>
            <w:r>
              <w:t xml:space="preserve">Se definitionen i skema EU CR1:</w:t>
            </w:r>
            <w:r>
              <w:t xml:space="preserve"> </w:t>
            </w:r>
            <w:r>
              <w:t xml:space="preserve">Ikkemisligholdte og misligholdte eksponeringer og dertil knyttede bestemmelser.</w:t>
            </w:r>
          </w:p>
        </w:tc>
      </w:tr>
      <w:tr w:rsidR="00F5723F" w:rsidRPr="007F4CC8" w14:paraId="7B1B7E03" w14:textId="77777777" w:rsidTr="00D819DE">
        <w:trPr>
          <w:trHeight w:val="316"/>
        </w:trPr>
        <w:tc>
          <w:tcPr>
            <w:tcW w:w="1384" w:type="dxa"/>
          </w:tcPr>
          <w:p w14:paraId="424B38E3"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e</w:t>
            </w:r>
          </w:p>
        </w:tc>
        <w:tc>
          <w:tcPr>
            <w:tcW w:w="7655" w:type="dxa"/>
          </w:tcPr>
          <w:p w14:paraId="5AD228AA" w14:textId="77777777" w:rsidR="00F5723F" w:rsidRPr="007F4CC8" w:rsidRDefault="00F5723F" w:rsidP="00D819DE">
            <w:pPr>
              <w:pStyle w:val="Fait"/>
              <w:spacing w:before="0" w:after="120"/>
              <w:ind w:left="720"/>
              <w:rPr>
                <w:b/>
              </w:rPr>
            </w:pPr>
            <w:r>
              <w:rPr>
                <w:b/>
              </w:rPr>
              <w:t xml:space="preserve">Heraf betales sandsynligvis ikke, men er ikke forfaldne eller har været forfaldne i ≤ 90 dage</w:t>
            </w:r>
          </w:p>
          <w:p w14:paraId="4B6EF78B" w14:textId="77777777" w:rsidR="00F5723F" w:rsidRPr="007F4CC8" w:rsidRDefault="00F5723F" w:rsidP="00D819DE">
            <w:pPr>
              <w:pStyle w:val="Fait"/>
              <w:spacing w:before="0" w:after="120"/>
            </w:pPr>
            <w:r>
              <w:t xml:space="preserve">Underkategori af lån og forskud, der enten ikke er forfaldne eller har været forfaldne i op til 90 dage, men ikke desto mindre anses for at være misligholdte på grund af risikoen for manglende fuldstændig tilbagebetaling i henhold til artikel 47a i CRR.</w:t>
            </w:r>
          </w:p>
        </w:tc>
      </w:tr>
      <w:tr w:rsidR="00F5723F" w:rsidRPr="007F4CC8" w14:paraId="10CBED89" w14:textId="77777777" w:rsidTr="00D819DE">
        <w:trPr>
          <w:trHeight w:val="316"/>
        </w:trPr>
        <w:tc>
          <w:tcPr>
            <w:tcW w:w="1384" w:type="dxa"/>
          </w:tcPr>
          <w:p w14:paraId="68BE3638"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f</w:t>
            </w:r>
          </w:p>
        </w:tc>
        <w:tc>
          <w:tcPr>
            <w:tcW w:w="7655" w:type="dxa"/>
          </w:tcPr>
          <w:p w14:paraId="6432E95E"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Forfaldne &gt; 90 dage</w:t>
            </w:r>
          </w:p>
          <w:p w14:paraId="102FB1FD" w14:textId="77777777" w:rsidR="00F5723F" w:rsidRPr="007F4CC8" w:rsidRDefault="00F5723F" w:rsidP="00D819DE">
            <w:pPr>
              <w:pStyle w:val="Fait"/>
              <w:spacing w:before="0" w:after="120"/>
            </w:pPr>
            <w:r>
              <w:t xml:space="preserve">Underkategori af lån og forskud, der har været forfaldne i over 90 dage.</w:t>
            </w:r>
          </w:p>
        </w:tc>
      </w:tr>
      <w:tr w:rsidR="00F5723F" w:rsidRPr="007F4CC8" w14:paraId="3E62B3F7" w14:textId="77777777" w:rsidTr="00D819DE">
        <w:trPr>
          <w:trHeight w:val="316"/>
        </w:trPr>
        <w:tc>
          <w:tcPr>
            <w:tcW w:w="1384" w:type="dxa"/>
          </w:tcPr>
          <w:p w14:paraId="7A646434"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g</w:t>
            </w:r>
          </w:p>
        </w:tc>
        <w:tc>
          <w:tcPr>
            <w:tcW w:w="7655" w:type="dxa"/>
          </w:tcPr>
          <w:p w14:paraId="78650B02"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Heraf forfaldne &gt; 90 dage ≤ 180 dage</w:t>
            </w:r>
          </w:p>
          <w:p w14:paraId="57645020" w14:textId="77777777" w:rsidR="00F5723F" w:rsidRPr="007F4CC8" w:rsidRDefault="00F5723F" w:rsidP="00D819DE">
            <w:pPr>
              <w:autoSpaceDE w:val="0"/>
              <w:autoSpaceDN w:val="0"/>
              <w:adjustRightInd w:val="0"/>
              <w:spacing w:after="120"/>
              <w:rPr>
                <w:sz w:val="24"/>
                <w:rFonts w:ascii="Times New Roman" w:hAnsi="Times New Roman" w:cs="Times New Roman"/>
              </w:rPr>
            </w:pPr>
            <w:r>
              <w:rPr>
                <w:sz w:val="24"/>
                <w:rFonts w:ascii="Times New Roman" w:hAnsi="Times New Roman"/>
              </w:rPr>
              <w:t xml:space="preserve">Underkategori af lån og forskud, der har været forfaldne i 91-180 dage.</w:t>
            </w:r>
          </w:p>
        </w:tc>
      </w:tr>
      <w:tr w:rsidR="00F5723F" w:rsidRPr="007F4CC8" w14:paraId="53BF6257" w14:textId="77777777" w:rsidTr="00D819DE">
        <w:trPr>
          <w:trHeight w:val="316"/>
        </w:trPr>
        <w:tc>
          <w:tcPr>
            <w:tcW w:w="1384" w:type="dxa"/>
          </w:tcPr>
          <w:p w14:paraId="6B9EEA7D"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h</w:t>
            </w:r>
          </w:p>
        </w:tc>
        <w:tc>
          <w:tcPr>
            <w:tcW w:w="7655" w:type="dxa"/>
          </w:tcPr>
          <w:p w14:paraId="4A969C7E"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Heraf forfaldne &gt; 180 dage ≤ 1 år</w:t>
            </w:r>
          </w:p>
          <w:p w14:paraId="0EFE7AF3" w14:textId="77777777" w:rsidR="00F5723F" w:rsidRPr="007F4CC8" w:rsidRDefault="00F5723F" w:rsidP="00D819DE">
            <w:pPr>
              <w:autoSpaceDE w:val="0"/>
              <w:autoSpaceDN w:val="0"/>
              <w:adjustRightInd w:val="0"/>
              <w:spacing w:after="120"/>
              <w:rPr>
                <w:sz w:val="24"/>
                <w:rFonts w:ascii="Times New Roman" w:hAnsi="Times New Roman" w:cs="Times New Roman"/>
              </w:rPr>
            </w:pPr>
            <w:r>
              <w:rPr>
                <w:sz w:val="24"/>
                <w:rFonts w:ascii="Times New Roman" w:hAnsi="Times New Roman"/>
              </w:rPr>
              <w:t xml:space="preserve">Underkategori af lån og forskud, der har været forfaldne i 181 dage – 1 år.</w:t>
            </w:r>
          </w:p>
        </w:tc>
      </w:tr>
      <w:tr w:rsidR="00F5723F" w:rsidRPr="007F4CC8" w14:paraId="53C45B08" w14:textId="77777777" w:rsidTr="00D819DE">
        <w:trPr>
          <w:trHeight w:val="316"/>
        </w:trPr>
        <w:tc>
          <w:tcPr>
            <w:tcW w:w="1384" w:type="dxa"/>
          </w:tcPr>
          <w:p w14:paraId="702C87EF"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i</w:t>
            </w:r>
          </w:p>
        </w:tc>
        <w:tc>
          <w:tcPr>
            <w:tcW w:w="7655" w:type="dxa"/>
          </w:tcPr>
          <w:p w14:paraId="7767BDFA"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Heraf forfaldne &gt; 1 år ≤ 2 år</w:t>
            </w:r>
          </w:p>
          <w:p w14:paraId="61F01E3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Underkategori af lån og forskud, der har været forfaldne i 1-2 år.</w:t>
            </w:r>
          </w:p>
        </w:tc>
      </w:tr>
      <w:tr w:rsidR="00F5723F" w:rsidRPr="007F4CC8" w14:paraId="674C942C" w14:textId="77777777" w:rsidTr="00D819DE">
        <w:trPr>
          <w:trHeight w:val="316"/>
        </w:trPr>
        <w:tc>
          <w:tcPr>
            <w:tcW w:w="1384" w:type="dxa"/>
          </w:tcPr>
          <w:p w14:paraId="2EE51215"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j</w:t>
            </w:r>
          </w:p>
        </w:tc>
        <w:tc>
          <w:tcPr>
            <w:tcW w:w="7655" w:type="dxa"/>
          </w:tcPr>
          <w:p w14:paraId="24F370BE"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Heraf forfaldne &gt; 2 år ≤ 5 år</w:t>
            </w:r>
          </w:p>
          <w:p w14:paraId="2A38FCF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Underkategori af lån og forskud, der har været forfaldne i 2-5 år.</w:t>
            </w:r>
          </w:p>
        </w:tc>
      </w:tr>
      <w:tr w:rsidR="00F5723F" w:rsidRPr="007F4CC8" w14:paraId="09E821DE" w14:textId="77777777" w:rsidTr="00D819DE">
        <w:trPr>
          <w:trHeight w:val="316"/>
        </w:trPr>
        <w:tc>
          <w:tcPr>
            <w:tcW w:w="1384" w:type="dxa"/>
          </w:tcPr>
          <w:p w14:paraId="7FDD4807"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k</w:t>
            </w:r>
          </w:p>
        </w:tc>
        <w:tc>
          <w:tcPr>
            <w:tcW w:w="7655" w:type="dxa"/>
          </w:tcPr>
          <w:p w14:paraId="672131E5"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Heraf forfaldne &gt; 5 år ≤ 7 år</w:t>
            </w:r>
          </w:p>
          <w:p w14:paraId="7F841A0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Underkategori af lån og forskud, der har været forfaldne i 5-7 år.</w:t>
            </w:r>
          </w:p>
        </w:tc>
      </w:tr>
      <w:tr w:rsidR="00F5723F" w:rsidRPr="007F4CC8" w14:paraId="57791BEF" w14:textId="77777777" w:rsidTr="00D819DE">
        <w:trPr>
          <w:trHeight w:val="316"/>
        </w:trPr>
        <w:tc>
          <w:tcPr>
            <w:tcW w:w="1384" w:type="dxa"/>
          </w:tcPr>
          <w:p w14:paraId="2967FD85"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l</w:t>
            </w:r>
          </w:p>
        </w:tc>
        <w:tc>
          <w:tcPr>
            <w:tcW w:w="7655" w:type="dxa"/>
          </w:tcPr>
          <w:p w14:paraId="15758FD1"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Heraf forfaldne &gt; 7 år</w:t>
            </w:r>
          </w:p>
          <w:p w14:paraId="5A1AF6C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Underkategori af lån og forskud, der har været forfaldne i over 7 år.</w:t>
            </w:r>
          </w:p>
        </w:tc>
      </w:tr>
    </w:tbl>
    <w:p w14:paraId="5C3187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731AA926" w14:textId="77777777" w:rsidR="00F5723F" w:rsidRPr="007F4CC8" w:rsidRDefault="00F5723F" w:rsidP="00F5723F">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Skema EU CQ7:</w:t>
      </w:r>
      <w:r>
        <w:rPr>
          <w:b/>
          <w:sz w:val="24"/>
          <w:rFonts w:ascii="Times New Roman" w:hAnsi="Times New Roman"/>
        </w:rPr>
        <w:t xml:space="preserve"> </w:t>
      </w:r>
      <w:r>
        <w:rPr>
          <w:b/>
          <w:sz w:val="24"/>
          <w:rFonts w:ascii="Times New Roman" w:hAnsi="Times New Roman"/>
        </w:rPr>
        <w:t xml:space="preserve">Sikkerhedsstillelse opnået gennem overtagelse og fuldbyrdelsesprocesser</w:t>
      </w:r>
    </w:p>
    <w:p w14:paraId="60D809AB" w14:textId="6BFE598C" w:rsidR="00F5723F" w:rsidRPr="007F4CC8" w:rsidRDefault="00F5723F" w:rsidP="0090750A">
      <w:pPr>
        <w:pStyle w:val="ListParagraph"/>
        <w:numPr>
          <w:ilvl w:val="0"/>
          <w:numId w:val="17"/>
        </w:numPr>
        <w:autoSpaceDE w:val="0"/>
        <w:autoSpaceDN w:val="0"/>
        <w:adjustRightInd w:val="0"/>
        <w:spacing w:after="120"/>
        <w:jc w:val="both"/>
        <w:rPr>
          <w:b/>
          <w:sz w:val="24"/>
          <w:rFonts w:ascii="Times New Roman" w:hAnsi="Times New Roman"/>
        </w:rPr>
      </w:pPr>
      <w:r>
        <w:rPr>
          <w:sz w:val="24"/>
          <w:rFonts w:ascii="Times New Roman" w:hAnsi="Times New Roman"/>
        </w:rPr>
        <w:t xml:space="preserve">Institutterne skal offentliggøre de oplysninger, som er omhandlet i artikel 442, litra c), i CRR, ved at følge instrukserne i dette bilag til udfyldelse af skema EU CQ7, som findes i bilag XV til EBA's IT-løsninger.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00656C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F7D07E"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F5723F" w:rsidRPr="007F4CC8" w14:paraId="0B33EBC1" w14:textId="77777777" w:rsidTr="00D819DE">
        <w:trPr>
          <w:trHeight w:val="238"/>
        </w:trPr>
        <w:tc>
          <w:tcPr>
            <w:tcW w:w="1384" w:type="dxa"/>
            <w:shd w:val="clear" w:color="auto" w:fill="D9D9D9" w:themeFill="background1" w:themeFillShade="D9"/>
          </w:tcPr>
          <w:p w14:paraId="3E3BE47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1AB775EE"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Forklaring</w:t>
            </w:r>
          </w:p>
        </w:tc>
      </w:tr>
      <w:tr w:rsidR="00F5723F" w:rsidRPr="007F4CC8" w14:paraId="67CFBCBB" w14:textId="77777777" w:rsidTr="00D819DE">
        <w:trPr>
          <w:trHeight w:val="1286"/>
        </w:trPr>
        <w:tc>
          <w:tcPr>
            <w:tcW w:w="1384" w:type="dxa"/>
          </w:tcPr>
          <w:p w14:paraId="61E7F8BE" w14:textId="77777777" w:rsidR="00F5723F" w:rsidRPr="007F4CC8" w:rsidRDefault="00F5723F" w:rsidP="00D819DE">
            <w:pPr>
              <w:spacing w:after="120"/>
            </w:pPr>
            <w:r>
              <w:t xml:space="preserve">010</w:t>
            </w:r>
          </w:p>
        </w:tc>
        <w:tc>
          <w:tcPr>
            <w:tcW w:w="7655" w:type="dxa"/>
          </w:tcPr>
          <w:p w14:paraId="1B3E829E"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Materielle anlægsaktiver</w:t>
            </w:r>
          </w:p>
          <w:p w14:paraId="4825A8F6" w14:textId="77777777" w:rsidR="00F5723F" w:rsidRPr="007F4CC8" w:rsidRDefault="00F5723F" w:rsidP="00D819DE">
            <w:pPr>
              <w:pStyle w:val="Institutionquisigne"/>
              <w:spacing w:before="0" w:after="120"/>
              <w:rPr>
                <w:i w:val="0"/>
              </w:rPr>
            </w:pPr>
            <w:r>
              <w:rPr>
                <w:i w:val="0"/>
              </w:rPr>
              <w:t xml:space="preserve">Institutterne skal oplyse beholdningen af sikkerhedsstillelse opnået ved overtagelse, der stadig er balanceført på referencedatoen for indberetning, og som er klassificeret som materielle anlægsaktiver.</w:t>
            </w:r>
          </w:p>
        </w:tc>
      </w:tr>
      <w:tr w:rsidR="00F5723F" w:rsidRPr="007F4CC8" w14:paraId="1541F8CB" w14:textId="77777777" w:rsidTr="00D819DE">
        <w:trPr>
          <w:trHeight w:val="620"/>
        </w:trPr>
        <w:tc>
          <w:tcPr>
            <w:tcW w:w="1384" w:type="dxa"/>
          </w:tcPr>
          <w:p w14:paraId="27884A32" w14:textId="77777777" w:rsidR="00F5723F" w:rsidRPr="007F4CC8" w:rsidRDefault="00F5723F" w:rsidP="00D819DE">
            <w:pPr>
              <w:spacing w:after="120"/>
            </w:pPr>
            <w:r>
              <w:t xml:space="preserve">020</w:t>
            </w:r>
          </w:p>
        </w:tc>
        <w:tc>
          <w:tcPr>
            <w:tcW w:w="7655" w:type="dxa"/>
          </w:tcPr>
          <w:p w14:paraId="3293281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Bortset fra immaterielle anlægsaktiver</w:t>
            </w:r>
          </w:p>
          <w:p w14:paraId="527608F1" w14:textId="77777777" w:rsidR="00F5723F" w:rsidRPr="007F4CC8" w:rsidRDefault="00F5723F" w:rsidP="00D819DE">
            <w:pPr>
              <w:pStyle w:val="Institutionquisigne"/>
              <w:spacing w:before="0" w:after="120"/>
              <w:rPr>
                <w:b/>
              </w:rPr>
            </w:pPr>
            <w:r>
              <w:rPr>
                <w:i w:val="0"/>
              </w:rPr>
              <w:t xml:space="preserve">Beholdningen af sikkerhedsstillelse opnået ved overtagelse, der stadig er balanceført på referencedatoen for indberetning, og som ikke er klassificeret som materielle anlægsaktiver, oplyses automatisk i denne række.</w:t>
            </w:r>
            <w:r>
              <w:rPr>
                <w:i w:val="0"/>
              </w:rPr>
              <w:t xml:space="preserve"> </w:t>
            </w:r>
            <w:r>
              <w:rPr>
                <w:i w:val="0"/>
              </w:rPr>
              <w:t xml:space="preserve">Den samlede beholdning beregnes under hensyntagen til den oprindelige beholdning (siden udgangen af sidste regnskabsår) og de indgående og udgående pengestrømme i offentliggørelsesperioden (siden udgangen af sidste regnskabsår).</w:t>
            </w:r>
            <w:r>
              <w:rPr>
                <w:i w:val="0"/>
              </w:rPr>
              <w:t xml:space="preserve"> </w:t>
            </w:r>
            <w:r>
              <w:rPr>
                <w:i w:val="0"/>
              </w:rPr>
              <w:t xml:space="preserve">Sikkerhedsstillelse opnået ved overtagelse (bortset fra immaterielle anlægsaktiver) oplyses i rækker efter sikkerhedsstillelsens type.</w:t>
            </w:r>
          </w:p>
        </w:tc>
      </w:tr>
      <w:tr w:rsidR="00F5723F" w:rsidRPr="007F4CC8" w14:paraId="417A1D6E" w14:textId="77777777" w:rsidTr="00D819DE">
        <w:trPr>
          <w:trHeight w:val="1286"/>
        </w:trPr>
        <w:tc>
          <w:tcPr>
            <w:tcW w:w="1384" w:type="dxa"/>
          </w:tcPr>
          <w:p w14:paraId="1EF24529" w14:textId="77777777" w:rsidR="00F5723F" w:rsidRPr="007F4CC8" w:rsidRDefault="00F5723F" w:rsidP="00D819DE">
            <w:pPr>
              <w:spacing w:after="120"/>
            </w:pPr>
            <w:r>
              <w:t xml:space="preserve">030</w:t>
            </w:r>
          </w:p>
        </w:tc>
        <w:tc>
          <w:tcPr>
            <w:tcW w:w="7655" w:type="dxa"/>
          </w:tcPr>
          <w:p w14:paraId="4F53FF5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Beboelsesejendomme</w:t>
            </w:r>
          </w:p>
          <w:p w14:paraId="6476ED4A" w14:textId="77777777" w:rsidR="00F5723F" w:rsidRPr="007F4CC8" w:rsidRDefault="00F5723F" w:rsidP="00D819DE">
            <w:pPr>
              <w:pStyle w:val="Institutionquisigne"/>
              <w:spacing w:before="0" w:after="120"/>
              <w:rPr>
                <w:b/>
              </w:rPr>
            </w:pPr>
            <w:r>
              <w:rPr>
                <w:i w:val="0"/>
              </w:rPr>
              <w:t xml:space="preserve">Sikkerhedsstillelse opnået ved overtagelse af beboelsesejendomme (f.eks. huse, lejligheder) eller ejendomme, der kan anvendes i fremtiden som sådan (f.eks. ufærdige beboelsesejendomme).</w:t>
            </w:r>
          </w:p>
        </w:tc>
      </w:tr>
      <w:tr w:rsidR="00F5723F" w:rsidRPr="007F4CC8" w14:paraId="10479C0C" w14:textId="77777777" w:rsidTr="00D819DE">
        <w:trPr>
          <w:trHeight w:val="1286"/>
        </w:trPr>
        <w:tc>
          <w:tcPr>
            <w:tcW w:w="1384" w:type="dxa"/>
          </w:tcPr>
          <w:p w14:paraId="04C7CDDF" w14:textId="77777777" w:rsidR="00F5723F" w:rsidRPr="007F4CC8" w:rsidRDefault="00F5723F" w:rsidP="00D819DE">
            <w:pPr>
              <w:spacing w:after="120"/>
            </w:pPr>
            <w:r>
              <w:t xml:space="preserve">040</w:t>
            </w:r>
          </w:p>
        </w:tc>
        <w:tc>
          <w:tcPr>
            <w:tcW w:w="7655" w:type="dxa"/>
            <w:shd w:val="clear" w:color="auto" w:fill="auto"/>
          </w:tcPr>
          <w:p w14:paraId="00318D6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Erhvervsejendomme</w:t>
            </w:r>
          </w:p>
          <w:p w14:paraId="0809598B" w14:textId="77777777" w:rsidR="00F5723F" w:rsidRPr="007F4CC8" w:rsidRDefault="00F5723F" w:rsidP="00D819DE">
            <w:pPr>
              <w:pStyle w:val="Institutionquisigne"/>
              <w:spacing w:before="0" w:after="120"/>
              <w:rPr>
                <w:i w:val="0"/>
              </w:rPr>
            </w:pPr>
            <w:r>
              <w:rPr>
                <w:i w:val="0"/>
              </w:rPr>
              <w:t xml:space="preserve">Sikkerhedsstillelse opnået ved overtagelse af erhvervs- eller industriejendomme, der kan anvendes i forretnings- og/eller investeringsøjemed, eller fast ejendom, der ikke er beboelsesejendom som beskrevet ovenfor.</w:t>
            </w:r>
          </w:p>
          <w:p w14:paraId="69BCEFC7" w14:textId="77777777" w:rsidR="00F5723F" w:rsidRPr="007F4CC8" w:rsidRDefault="00F5723F" w:rsidP="00D819DE">
            <w:pPr>
              <w:pStyle w:val="Institutionquisigne"/>
              <w:spacing w:before="0" w:after="120"/>
              <w:rPr>
                <w:b/>
              </w:rPr>
            </w:pPr>
            <w:r>
              <w:rPr>
                <w:i w:val="0"/>
              </w:rPr>
              <w:t xml:space="preserve">Ikkelandbrugsjord såvel som landbrugsjord medtages også i denne kategori.</w:t>
            </w:r>
          </w:p>
        </w:tc>
      </w:tr>
      <w:tr w:rsidR="00F5723F" w:rsidRPr="007F4CC8" w14:paraId="008DCAE5" w14:textId="77777777" w:rsidTr="00D819DE">
        <w:trPr>
          <w:trHeight w:val="1286"/>
        </w:trPr>
        <w:tc>
          <w:tcPr>
            <w:tcW w:w="1384" w:type="dxa"/>
          </w:tcPr>
          <w:p w14:paraId="263A3F18" w14:textId="77777777" w:rsidR="00F5723F" w:rsidRPr="007F4CC8" w:rsidRDefault="00F5723F" w:rsidP="00D819DE">
            <w:pPr>
              <w:spacing w:after="120"/>
            </w:pPr>
            <w:r>
              <w:t xml:space="preserve">050</w:t>
            </w:r>
          </w:p>
        </w:tc>
        <w:tc>
          <w:tcPr>
            <w:tcW w:w="7655" w:type="dxa"/>
            <w:shd w:val="clear" w:color="auto" w:fill="auto"/>
          </w:tcPr>
          <w:p w14:paraId="2393412E"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Løsøre (køretøjer, skibe osv.)</w:t>
            </w:r>
          </w:p>
          <w:p w14:paraId="633843CC" w14:textId="77777777" w:rsidR="00F5723F" w:rsidRPr="007F4CC8" w:rsidRDefault="00F5723F" w:rsidP="00D819DE">
            <w:pPr>
              <w:pStyle w:val="Institutionquisigne"/>
              <w:spacing w:before="0" w:after="120"/>
              <w:rPr>
                <w:b/>
              </w:rPr>
            </w:pPr>
            <w:r>
              <w:rPr>
                <w:i w:val="0"/>
              </w:rPr>
              <w:t xml:space="preserve">Sikkerhedsstillelse opnået ved overtagelse af anden ejendom end fast ejendom oplyses i denne række.</w:t>
            </w:r>
          </w:p>
        </w:tc>
      </w:tr>
      <w:tr w:rsidR="00F5723F" w:rsidRPr="007F4CC8" w14:paraId="7DB13568" w14:textId="77777777" w:rsidTr="00D819DE">
        <w:trPr>
          <w:trHeight w:val="1286"/>
        </w:trPr>
        <w:tc>
          <w:tcPr>
            <w:tcW w:w="1384" w:type="dxa"/>
          </w:tcPr>
          <w:p w14:paraId="5AAD683D" w14:textId="77777777" w:rsidR="00F5723F" w:rsidRPr="007F4CC8" w:rsidRDefault="00F5723F" w:rsidP="00D819DE">
            <w:pPr>
              <w:spacing w:after="120"/>
            </w:pPr>
            <w:r>
              <w:t xml:space="preserve">060</w:t>
            </w:r>
          </w:p>
        </w:tc>
        <w:tc>
          <w:tcPr>
            <w:tcW w:w="7655" w:type="dxa"/>
            <w:shd w:val="clear" w:color="auto" w:fill="auto"/>
          </w:tcPr>
          <w:p w14:paraId="4984DD14"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Egenkapital- og gældsinstrumenter</w:t>
            </w:r>
          </w:p>
          <w:p w14:paraId="0922234F" w14:textId="77777777" w:rsidR="00F5723F" w:rsidRPr="007F4CC8" w:rsidRDefault="00F5723F" w:rsidP="00D819DE">
            <w:pPr>
              <w:pStyle w:val="Institutionquisigne"/>
              <w:spacing w:before="0" w:after="120"/>
              <w:rPr>
                <w:b/>
              </w:rPr>
            </w:pPr>
            <w:r>
              <w:rPr>
                <w:i w:val="0"/>
              </w:rPr>
              <w:t xml:space="preserve">Sikkerhedsstillelse opnået ved overtagelse af egenkapital- eller gældsinstrumenter oplyses i denne række.</w:t>
            </w:r>
          </w:p>
        </w:tc>
      </w:tr>
      <w:tr w:rsidR="00F5723F" w:rsidRPr="007F4CC8" w14:paraId="3C7D9F8F" w14:textId="77777777" w:rsidTr="00D819DE">
        <w:trPr>
          <w:trHeight w:val="1286"/>
        </w:trPr>
        <w:tc>
          <w:tcPr>
            <w:tcW w:w="1384" w:type="dxa"/>
          </w:tcPr>
          <w:p w14:paraId="125AE154" w14:textId="77777777" w:rsidR="00F5723F" w:rsidRPr="007F4CC8" w:rsidRDefault="00F5723F" w:rsidP="00D819DE">
            <w:pPr>
              <w:spacing w:after="120"/>
            </w:pPr>
            <w:r>
              <w:t xml:space="preserve">070</w:t>
            </w:r>
          </w:p>
        </w:tc>
        <w:tc>
          <w:tcPr>
            <w:tcW w:w="7655" w:type="dxa"/>
          </w:tcPr>
          <w:p w14:paraId="4383017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Anden sikkerhedsstillelse</w:t>
            </w:r>
          </w:p>
          <w:p w14:paraId="13DB5985" w14:textId="77777777" w:rsidR="00F5723F" w:rsidRPr="007F4CC8" w:rsidRDefault="00F5723F" w:rsidP="00D819DE">
            <w:pPr>
              <w:pStyle w:val="Institutionquisigne"/>
              <w:spacing w:before="0" w:after="120"/>
              <w:rPr>
                <w:i w:val="0"/>
              </w:rPr>
            </w:pPr>
            <w:r>
              <w:rPr>
                <w:i w:val="0"/>
              </w:rPr>
              <w:t xml:space="preserve">Sikkerhedsstillelse opnået ved overtagelse, der ikke henhører under nogen af kategorierne i de andre rækker.</w:t>
            </w:r>
          </w:p>
          <w:p w14:paraId="6105F465" w14:textId="77777777" w:rsidR="00F5723F" w:rsidRPr="007F4CC8" w:rsidRDefault="00F5723F" w:rsidP="00D819DE">
            <w:pPr>
              <w:pStyle w:val="Institutionquisigne"/>
              <w:spacing w:before="0" w:after="120"/>
              <w:rPr>
                <w:b/>
              </w:rPr>
            </w:pPr>
            <w:r>
              <w:rPr>
                <w:i w:val="0"/>
              </w:rPr>
              <w:t xml:space="preserve">Hvis beløbet i denne række er forholdsvis betydeligt, skal institutterne give yderligere oplysninger i den beskrivelse, der ledsager dette skema.</w:t>
            </w:r>
          </w:p>
        </w:tc>
      </w:tr>
      <w:tr w:rsidR="00F5723F" w:rsidRPr="007F4CC8" w14:paraId="2F438B9F" w14:textId="77777777" w:rsidTr="00D819DE">
        <w:trPr>
          <w:trHeight w:val="316"/>
        </w:trPr>
        <w:tc>
          <w:tcPr>
            <w:tcW w:w="1384" w:type="dxa"/>
          </w:tcPr>
          <w:p w14:paraId="3A5EF4C3"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080</w:t>
            </w:r>
          </w:p>
        </w:tc>
        <w:tc>
          <w:tcPr>
            <w:tcW w:w="7655" w:type="dxa"/>
          </w:tcPr>
          <w:p w14:paraId="67E09F1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I alt</w:t>
            </w:r>
            <w:r>
              <w:rPr>
                <w:b/>
                <w:sz w:val="24"/>
                <w:rFonts w:ascii="Times New Roman" w:hAnsi="Times New Roman"/>
              </w:rPr>
              <w:t xml:space="preserve"> </w:t>
            </w:r>
          </w:p>
        </w:tc>
      </w:tr>
    </w:tbl>
    <w:p w14:paraId="4D5025EE"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D207385" w14:textId="77777777" w:rsidTr="00D819DE">
        <w:trPr>
          <w:trHeight w:val="238"/>
        </w:trPr>
        <w:tc>
          <w:tcPr>
            <w:tcW w:w="9039" w:type="dxa"/>
            <w:gridSpan w:val="2"/>
            <w:shd w:val="clear" w:color="auto" w:fill="D9D9D9" w:themeFill="background1" w:themeFillShade="D9"/>
          </w:tcPr>
          <w:p w14:paraId="16CC0D21"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F5723F" w:rsidRPr="007F4CC8" w14:paraId="107514E8" w14:textId="77777777" w:rsidTr="00D819DE">
        <w:trPr>
          <w:trHeight w:val="238"/>
        </w:trPr>
        <w:tc>
          <w:tcPr>
            <w:tcW w:w="1384" w:type="dxa"/>
            <w:shd w:val="clear" w:color="auto" w:fill="D9D9D9" w:themeFill="background1" w:themeFillShade="D9"/>
          </w:tcPr>
          <w:p w14:paraId="50FC889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Kolonne nr.</w:t>
            </w:r>
          </w:p>
        </w:tc>
        <w:tc>
          <w:tcPr>
            <w:tcW w:w="7655" w:type="dxa"/>
            <w:shd w:val="clear" w:color="auto" w:fill="D9D9D9" w:themeFill="background1" w:themeFillShade="D9"/>
          </w:tcPr>
          <w:p w14:paraId="030FCE96"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Forklaring</w:t>
            </w:r>
          </w:p>
        </w:tc>
      </w:tr>
      <w:tr w:rsidR="00F5723F" w:rsidRPr="007F4CC8" w14:paraId="77EA31BB" w14:textId="77777777" w:rsidTr="00D819DE">
        <w:trPr>
          <w:trHeight w:val="841"/>
        </w:trPr>
        <w:tc>
          <w:tcPr>
            <w:tcW w:w="1384" w:type="dxa"/>
          </w:tcPr>
          <w:p w14:paraId="76AFB58A" w14:textId="77777777" w:rsidR="00F5723F" w:rsidRPr="007F4CC8" w:rsidRDefault="00F5723F" w:rsidP="00D819DE">
            <w:pPr>
              <w:pStyle w:val="Applicationdirecte"/>
              <w:spacing w:before="0"/>
            </w:pPr>
            <w:r>
              <w:t xml:space="preserve">a</w:t>
            </w:r>
          </w:p>
        </w:tc>
        <w:tc>
          <w:tcPr>
            <w:tcW w:w="7655" w:type="dxa"/>
          </w:tcPr>
          <w:p w14:paraId="4DD454E3" w14:textId="77777777" w:rsidR="00F5723F" w:rsidRPr="007F4CC8" w:rsidRDefault="00F5723F" w:rsidP="00D819DE">
            <w:pPr>
              <w:pStyle w:val="Institutionquisigne"/>
              <w:spacing w:before="0" w:after="120"/>
              <w:rPr>
                <w:b/>
                <w:i w:val="0"/>
                <w:rFonts w:eastAsiaTheme="minorEastAsia"/>
              </w:rPr>
            </w:pPr>
            <w:r>
              <w:rPr>
                <w:b/>
                <w:i w:val="0"/>
              </w:rPr>
              <w:t xml:space="preserve">Sikkerhedsstillelse opnået gennem overtagelse - værdi ved første indregning</w:t>
            </w:r>
          </w:p>
          <w:p w14:paraId="65C955B7" w14:textId="77777777" w:rsidR="00F5723F" w:rsidRPr="007F4CC8" w:rsidRDefault="00F5723F" w:rsidP="00D819DE">
            <w:pPr>
              <w:pStyle w:val="Institutionquisigne"/>
              <w:spacing w:before="0" w:after="120"/>
            </w:pPr>
            <w:r>
              <w:rPr>
                <w:i w:val="0"/>
              </w:rPr>
              <w:t xml:space="preserve">Institutterne skal i denne kolonne oplyse den regnskabsmæssige bruttoværdi af den sikkerhedsstillelse, der er opnået gennem overtagelse, ved første indregning i instituttets balance.</w:t>
            </w:r>
          </w:p>
        </w:tc>
      </w:tr>
      <w:tr w:rsidR="00F5723F" w:rsidRPr="007F4CC8" w14:paraId="22D7A202" w14:textId="77777777" w:rsidTr="00D819DE">
        <w:trPr>
          <w:trHeight w:val="841"/>
        </w:trPr>
        <w:tc>
          <w:tcPr>
            <w:tcW w:w="1384" w:type="dxa"/>
          </w:tcPr>
          <w:p w14:paraId="6E82D47B" w14:textId="77777777" w:rsidR="00F5723F" w:rsidRPr="007F4CC8" w:rsidRDefault="00F5723F" w:rsidP="00D819DE">
            <w:pPr>
              <w:pStyle w:val="Applicationdirecte"/>
              <w:spacing w:before="0"/>
            </w:pPr>
            <w:r>
              <w:t xml:space="preserve">b</w:t>
            </w:r>
          </w:p>
        </w:tc>
        <w:tc>
          <w:tcPr>
            <w:tcW w:w="7655" w:type="dxa"/>
          </w:tcPr>
          <w:p w14:paraId="2C1E7523" w14:textId="77777777" w:rsidR="00F5723F" w:rsidRPr="007F4CC8" w:rsidRDefault="00F5723F" w:rsidP="00D819DE">
            <w:pPr>
              <w:pStyle w:val="Fait"/>
              <w:spacing w:before="0" w:after="120"/>
              <w:rPr>
                <w:b/>
              </w:rPr>
            </w:pPr>
            <w:r>
              <w:rPr>
                <w:b/>
              </w:rPr>
              <w:t xml:space="preserve">Sikkerhedsstillelse opnået gennem overtagelse - akkumulerede negative ændringer</w:t>
            </w:r>
          </w:p>
          <w:p w14:paraId="27807C55" w14:textId="77777777" w:rsidR="00F5723F" w:rsidRPr="007F4CC8" w:rsidRDefault="00F5723F" w:rsidP="00D819DE">
            <w:pPr>
              <w:pStyle w:val="Institutionquisigne"/>
              <w:spacing w:before="0" w:after="120"/>
              <w:rPr>
                <w:i w:val="0"/>
              </w:rPr>
            </w:pPr>
            <w:r>
              <w:rPr>
                <w:i w:val="0"/>
              </w:rPr>
              <w:t xml:space="preserve">Akkumuleret værdiforringelse eller akkumulerede negative ændringer i værdien ved første indregning af sikkerhedsstillelsen, der er opnået gennem overtagelse, som beskrevet ovenfor.</w:t>
            </w:r>
          </w:p>
          <w:p w14:paraId="072EA0B3" w14:textId="77777777" w:rsidR="00F5723F" w:rsidRPr="007F4CC8" w:rsidRDefault="00F5723F" w:rsidP="00D819DE">
            <w:pPr>
              <w:pStyle w:val="Institutionquisigne"/>
              <w:spacing w:before="0" w:after="120"/>
            </w:pPr>
            <w:r>
              <w:rPr>
                <w:i w:val="0"/>
              </w:rPr>
              <w:t xml:space="preserve">Institutterne skal også medregne akkumulerede negative ændringer på grund af afskrivning i tilfælde af materielle anlægsaktiver og investeringsejendomme, hvis dette er relevant.</w:t>
            </w:r>
          </w:p>
        </w:tc>
      </w:tr>
    </w:tbl>
    <w:p w14:paraId="456EFC4B"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4DD1B3B8" w14:textId="77777777" w:rsidR="00F5723F" w:rsidRPr="007F4CC8" w:rsidRDefault="00F5723F" w:rsidP="00F5723F">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Skema EU CQ8:</w:t>
      </w:r>
      <w:r>
        <w:rPr>
          <w:b/>
          <w:sz w:val="24"/>
          <w:rFonts w:ascii="Times New Roman" w:hAnsi="Times New Roman"/>
        </w:rPr>
        <w:t xml:space="preserve"> </w:t>
      </w:r>
      <w:r>
        <w:rPr>
          <w:b/>
          <w:sz w:val="24"/>
          <w:rFonts w:ascii="Times New Roman" w:hAnsi="Times New Roman"/>
        </w:rPr>
        <w:t xml:space="preserve">Sikkerhedsstillelse opnået gennem overtagelse og fuldbyrdelsesprocesser – opdeling efter årgang</w:t>
      </w:r>
    </w:p>
    <w:p w14:paraId="00E877F5" w14:textId="6C934AD7" w:rsidR="00F5723F" w:rsidRPr="007F4CC8" w:rsidRDefault="00BE49C3" w:rsidP="0090750A">
      <w:pPr>
        <w:pStyle w:val="ListParagraph"/>
        <w:numPr>
          <w:ilvl w:val="0"/>
          <w:numId w:val="17"/>
        </w:numPr>
        <w:spacing w:after="120"/>
        <w:jc w:val="both"/>
        <w:rPr>
          <w:bCs/>
          <w:sz w:val="24"/>
          <w:rFonts w:ascii="Times New Roman" w:hAnsi="Times New Roman"/>
        </w:rPr>
      </w:pPr>
      <w:r>
        <w:rPr>
          <w:sz w:val="24"/>
          <w:rFonts w:ascii="Times New Roman" w:hAnsi="Times New Roman"/>
        </w:rPr>
        <w:t xml:space="preserve">Store institutter som omhandlet i denne gennemførelsesforordnings artikel 8, stk. 2, skal offentliggøre de oplysninger, som er omhandlet i artikel 442, litra c) i CRR, ved at følge nedenstående instrukser til udfyldelse af skema EU CQ8, som findes i bilag XV til EBA's IT-løsninger.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1FE280B" w14:textId="77777777" w:rsidTr="00D819DE">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4EAAD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F5723F" w:rsidRPr="007F4CC8" w14:paraId="6E990AB7" w14:textId="77777777" w:rsidTr="00D819DE">
        <w:trPr>
          <w:trHeight w:val="238"/>
        </w:trPr>
        <w:tc>
          <w:tcPr>
            <w:tcW w:w="1384" w:type="dxa"/>
            <w:shd w:val="clear" w:color="auto" w:fill="D9D9D9" w:themeFill="background1" w:themeFillShade="D9"/>
          </w:tcPr>
          <w:p w14:paraId="3E531D1D"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1590C9C3"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Forklaring</w:t>
            </w:r>
          </w:p>
        </w:tc>
      </w:tr>
      <w:tr w:rsidR="00F5723F" w:rsidRPr="007F4CC8" w14:paraId="142C9332" w14:textId="77777777" w:rsidTr="00D819DE">
        <w:trPr>
          <w:trHeight w:val="1286"/>
        </w:trPr>
        <w:tc>
          <w:tcPr>
            <w:tcW w:w="1384" w:type="dxa"/>
          </w:tcPr>
          <w:p w14:paraId="003CF643" w14:textId="77777777" w:rsidR="00F5723F" w:rsidRPr="007F4CC8" w:rsidRDefault="00F5723F" w:rsidP="00D819DE">
            <w:pPr>
              <w:spacing w:after="120"/>
            </w:pPr>
            <w:r>
              <w:t xml:space="preserve">010</w:t>
            </w:r>
          </w:p>
        </w:tc>
        <w:tc>
          <w:tcPr>
            <w:tcW w:w="7655" w:type="dxa"/>
          </w:tcPr>
          <w:p w14:paraId="3DC00B7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Materielle anlægsaktiver</w:t>
            </w:r>
          </w:p>
          <w:p w14:paraId="0B854ECC" w14:textId="77777777" w:rsidR="00F5723F" w:rsidRPr="007F4CC8" w:rsidRDefault="00F5723F" w:rsidP="00D819DE">
            <w:pPr>
              <w:pStyle w:val="Institutionquisigne"/>
              <w:spacing w:before="0" w:after="120"/>
              <w:rPr>
                <w:i w:val="0"/>
              </w:rPr>
            </w:pPr>
            <w:r>
              <w:rPr>
                <w:i w:val="0"/>
              </w:rPr>
              <w:t xml:space="preserve">Institutterne skal oplyse beholdningen af sikkerhedsstillelse opnået ved overtagelse, der stadig er balanceført på referencedatoen for indberetning, og som er klassificeret som materielle anlægsaktiver.</w:t>
            </w:r>
          </w:p>
        </w:tc>
      </w:tr>
      <w:tr w:rsidR="00F5723F" w:rsidRPr="007F4CC8" w14:paraId="72BA74D4" w14:textId="77777777" w:rsidTr="00D819DE">
        <w:trPr>
          <w:trHeight w:val="620"/>
        </w:trPr>
        <w:tc>
          <w:tcPr>
            <w:tcW w:w="1384" w:type="dxa"/>
          </w:tcPr>
          <w:p w14:paraId="0D17A9A7" w14:textId="77777777" w:rsidR="00F5723F" w:rsidRPr="007F4CC8" w:rsidRDefault="00F5723F" w:rsidP="00D819DE">
            <w:pPr>
              <w:spacing w:after="120"/>
            </w:pPr>
            <w:r>
              <w:t xml:space="preserve">020</w:t>
            </w:r>
          </w:p>
        </w:tc>
        <w:tc>
          <w:tcPr>
            <w:tcW w:w="7655" w:type="dxa"/>
          </w:tcPr>
          <w:p w14:paraId="5FD41FE4"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Bortset fra immaterielle anlægsaktiver</w:t>
            </w:r>
          </w:p>
          <w:p w14:paraId="67D85ED1" w14:textId="77777777" w:rsidR="00F5723F" w:rsidRPr="007F4CC8" w:rsidRDefault="00F5723F" w:rsidP="00D819DE">
            <w:pPr>
              <w:pStyle w:val="Institutionquisigne"/>
              <w:spacing w:before="0" w:after="120"/>
              <w:rPr>
                <w:i w:val="0"/>
              </w:rPr>
            </w:pPr>
            <w:r>
              <w:rPr>
                <w:i w:val="0"/>
              </w:rPr>
              <w:t xml:space="preserve">Beholdningen af sikkerhedsstillelse opnået ved overtagelse, der stadig er balanceført på referencedatoen for indberetning, og som ikke er klassificeret som materielle anlægsaktiver, oplyses automatisk i denne række.</w:t>
            </w:r>
            <w:r>
              <w:rPr>
                <w:i w:val="0"/>
              </w:rPr>
              <w:t xml:space="preserve"> </w:t>
            </w:r>
            <w:r>
              <w:rPr>
                <w:i w:val="0"/>
              </w:rPr>
              <w:t xml:space="preserve">Den samlede beholdning beregnes under hensyntagen til den oprindelige beholdning (siden udgangen af sidste regnskabsår) og de indgående og udgående pengestrømme i offentliggørelsesperioden (siden udgangen af sidste regnskabsår).</w:t>
            </w:r>
            <w:r>
              <w:rPr>
                <w:i w:val="0"/>
              </w:rPr>
              <w:t xml:space="preserve"> </w:t>
            </w:r>
            <w:r>
              <w:rPr>
                <w:i w:val="0"/>
              </w:rPr>
              <w:t xml:space="preserve">Sikkerhedsstillelse opnået ved overtagelse (bortset fra immaterielle anlægsaktiver) oplyses i rækker efter sikkerhedsstillelsens type.</w:t>
            </w:r>
          </w:p>
        </w:tc>
      </w:tr>
      <w:tr w:rsidR="00F5723F" w:rsidRPr="007F4CC8" w14:paraId="3670580E" w14:textId="77777777" w:rsidTr="00D819DE">
        <w:trPr>
          <w:trHeight w:val="1286"/>
        </w:trPr>
        <w:tc>
          <w:tcPr>
            <w:tcW w:w="1384" w:type="dxa"/>
          </w:tcPr>
          <w:p w14:paraId="7620E159" w14:textId="77777777" w:rsidR="00F5723F" w:rsidRPr="007F4CC8" w:rsidRDefault="00F5723F" w:rsidP="00D819DE">
            <w:pPr>
              <w:spacing w:after="120"/>
            </w:pPr>
            <w:r>
              <w:t xml:space="preserve">030</w:t>
            </w:r>
          </w:p>
        </w:tc>
        <w:tc>
          <w:tcPr>
            <w:tcW w:w="7655" w:type="dxa"/>
          </w:tcPr>
          <w:p w14:paraId="667208BE"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Beboelsesejendomme</w:t>
            </w:r>
          </w:p>
          <w:p w14:paraId="3FC65324" w14:textId="77777777" w:rsidR="00F5723F" w:rsidRPr="007F4CC8" w:rsidRDefault="00F5723F" w:rsidP="00D819DE">
            <w:pPr>
              <w:pStyle w:val="Institutionquisigne"/>
              <w:spacing w:before="0" w:after="120"/>
              <w:rPr>
                <w:b/>
              </w:rPr>
            </w:pPr>
            <w:r>
              <w:rPr>
                <w:i w:val="0"/>
              </w:rPr>
              <w:t xml:space="preserve">Sikkerhedsstillelse opnået ved overtagelse af beboelsesejendomme (f.eks. huse, lejligheder) eller ejendomme, der kan anvendes i fremtiden som sådan (f.eks. ufærdige beboelsesejendomme).</w:t>
            </w:r>
          </w:p>
        </w:tc>
      </w:tr>
      <w:tr w:rsidR="00F5723F" w:rsidRPr="007F4CC8" w14:paraId="6D1969BD" w14:textId="77777777" w:rsidTr="00D819DE">
        <w:trPr>
          <w:trHeight w:val="554"/>
        </w:trPr>
        <w:tc>
          <w:tcPr>
            <w:tcW w:w="1384" w:type="dxa"/>
          </w:tcPr>
          <w:p w14:paraId="0EEEF1F9" w14:textId="77777777" w:rsidR="00F5723F" w:rsidRPr="007F4CC8" w:rsidRDefault="00F5723F" w:rsidP="00D819DE">
            <w:pPr>
              <w:spacing w:after="120"/>
            </w:pPr>
            <w:r>
              <w:t xml:space="preserve">040</w:t>
            </w:r>
          </w:p>
        </w:tc>
        <w:tc>
          <w:tcPr>
            <w:tcW w:w="7655" w:type="dxa"/>
          </w:tcPr>
          <w:p w14:paraId="7FC58B9C" w14:textId="77777777" w:rsidR="00F5723F"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Erhvervsejendomme</w:t>
            </w:r>
          </w:p>
          <w:p w14:paraId="5889DBAD" w14:textId="77777777" w:rsidR="00F5723F" w:rsidRPr="00BE57B5" w:rsidRDefault="00F5723F" w:rsidP="00D819DE">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Sikkerhedsstillelse opnået ved overtagelse af erhvervs- eller industriejendomme, der kan anvendes i forretnings- og/eller investeringsøjemed, eller fast ejendom, der ikke er beboelsesejendom som beskrevet ovenfor.</w:t>
            </w:r>
          </w:p>
          <w:p w14:paraId="3BBD6D5D" w14:textId="77777777" w:rsidR="00F5723F" w:rsidRPr="007F4CC8" w:rsidRDefault="00F5723F" w:rsidP="00D819DE">
            <w:pPr>
              <w:pStyle w:val="Institutionquisigne"/>
              <w:spacing w:before="0" w:after="120"/>
              <w:rPr>
                <w:b/>
              </w:rPr>
            </w:pPr>
            <w:r>
              <w:rPr>
                <w:i w:val="0"/>
              </w:rPr>
              <w:t xml:space="preserve">Ikkelandbrugsjord såvel som landbrugsjord medtages også i denne kategori.</w:t>
            </w:r>
          </w:p>
        </w:tc>
      </w:tr>
      <w:tr w:rsidR="00F5723F" w:rsidRPr="007F4CC8" w14:paraId="70B2A045" w14:textId="77777777" w:rsidTr="00D819DE">
        <w:trPr>
          <w:trHeight w:val="1003"/>
        </w:trPr>
        <w:tc>
          <w:tcPr>
            <w:tcW w:w="1384" w:type="dxa"/>
          </w:tcPr>
          <w:p w14:paraId="02FA7984" w14:textId="77777777" w:rsidR="00F5723F" w:rsidRPr="007F4CC8" w:rsidRDefault="00F5723F" w:rsidP="00D819DE">
            <w:pPr>
              <w:spacing w:after="120"/>
            </w:pPr>
            <w:r>
              <w:t xml:space="preserve">050</w:t>
            </w:r>
          </w:p>
        </w:tc>
        <w:tc>
          <w:tcPr>
            <w:tcW w:w="7655" w:type="dxa"/>
          </w:tcPr>
          <w:p w14:paraId="5E14682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Løsøre (køretøjer, skibe osv.)</w:t>
            </w:r>
          </w:p>
          <w:p w14:paraId="4FEDCBDC" w14:textId="77777777" w:rsidR="00F5723F" w:rsidRPr="007F4CC8" w:rsidRDefault="00F5723F" w:rsidP="00D819DE">
            <w:pPr>
              <w:pStyle w:val="Institutionquisigne"/>
              <w:spacing w:before="0" w:after="120"/>
              <w:rPr>
                <w:b/>
              </w:rPr>
            </w:pPr>
            <w:r>
              <w:rPr>
                <w:i w:val="0"/>
              </w:rPr>
              <w:t xml:space="preserve">Sikkerhedsstillelse opnået ved overtagelse af anden ejendom end fast ejendom oplyses i denne række.</w:t>
            </w:r>
          </w:p>
        </w:tc>
      </w:tr>
      <w:tr w:rsidR="00F5723F" w:rsidRPr="007F4CC8" w14:paraId="068F822C" w14:textId="77777777" w:rsidTr="00D819DE">
        <w:trPr>
          <w:trHeight w:val="636"/>
        </w:trPr>
        <w:tc>
          <w:tcPr>
            <w:tcW w:w="1384" w:type="dxa"/>
          </w:tcPr>
          <w:p w14:paraId="0FBB5FBF" w14:textId="77777777" w:rsidR="00F5723F" w:rsidRPr="007F4CC8" w:rsidRDefault="00F5723F" w:rsidP="00D819DE">
            <w:pPr>
              <w:spacing w:after="120"/>
            </w:pPr>
            <w:r>
              <w:t xml:space="preserve">060</w:t>
            </w:r>
          </w:p>
        </w:tc>
        <w:tc>
          <w:tcPr>
            <w:tcW w:w="7655" w:type="dxa"/>
          </w:tcPr>
          <w:p w14:paraId="2254CC6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Egenkapital- og gældsinstrumenter</w:t>
            </w:r>
          </w:p>
          <w:p w14:paraId="2A332141" w14:textId="77777777" w:rsidR="00F5723F" w:rsidRPr="007F4CC8" w:rsidRDefault="00F5723F" w:rsidP="00D819DE">
            <w:pPr>
              <w:pStyle w:val="Institutionquisigne"/>
              <w:spacing w:before="0" w:after="120"/>
              <w:rPr>
                <w:b/>
              </w:rPr>
            </w:pPr>
            <w:r>
              <w:rPr>
                <w:i w:val="0"/>
              </w:rPr>
              <w:t xml:space="preserve">Sikkerhedsstillelse opnået ved overtagelse af egenkapital- eller gældsinstrumenter oplyses i denne række.</w:t>
            </w:r>
          </w:p>
        </w:tc>
      </w:tr>
      <w:tr w:rsidR="00F5723F" w:rsidRPr="007F4CC8" w14:paraId="3AADCF39" w14:textId="77777777" w:rsidTr="00D819DE">
        <w:trPr>
          <w:trHeight w:val="1286"/>
        </w:trPr>
        <w:tc>
          <w:tcPr>
            <w:tcW w:w="1384" w:type="dxa"/>
          </w:tcPr>
          <w:p w14:paraId="4A81975E" w14:textId="77777777" w:rsidR="00F5723F" w:rsidRPr="007F4CC8" w:rsidRDefault="00F5723F" w:rsidP="00D819DE">
            <w:pPr>
              <w:spacing w:after="120"/>
            </w:pPr>
            <w:r>
              <w:t xml:space="preserve">070</w:t>
            </w:r>
          </w:p>
        </w:tc>
        <w:tc>
          <w:tcPr>
            <w:tcW w:w="7655" w:type="dxa"/>
          </w:tcPr>
          <w:p w14:paraId="6898D2A1"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Anden sikkerhedsstillelse</w:t>
            </w:r>
          </w:p>
          <w:p w14:paraId="49D55064" w14:textId="77777777" w:rsidR="00F5723F" w:rsidRPr="007F4CC8" w:rsidRDefault="00F5723F" w:rsidP="00D819DE">
            <w:pPr>
              <w:pStyle w:val="Institutionquisigne"/>
              <w:spacing w:before="0" w:after="120"/>
              <w:rPr>
                <w:i w:val="0"/>
              </w:rPr>
            </w:pPr>
            <w:r>
              <w:rPr>
                <w:i w:val="0"/>
              </w:rPr>
              <w:t xml:space="preserve">Sikkerhedsstillelse opnået ved overtagelse, der ikke henhører under nogen af kategorierne i de andre rækker.</w:t>
            </w:r>
            <w:r>
              <w:rPr>
                <w:i w:val="0"/>
              </w:rPr>
              <w:t xml:space="preserve"> </w:t>
            </w:r>
          </w:p>
          <w:p w14:paraId="1779E75E" w14:textId="77777777" w:rsidR="00F5723F" w:rsidRPr="007F4CC8" w:rsidRDefault="00F5723F" w:rsidP="00D819DE">
            <w:pPr>
              <w:pStyle w:val="Institutionquisigne"/>
              <w:spacing w:before="0" w:after="120"/>
              <w:rPr>
                <w:b/>
              </w:rPr>
            </w:pPr>
            <w:r>
              <w:rPr>
                <w:i w:val="0"/>
              </w:rPr>
              <w:t xml:space="preserve">Hvis beløbet i denne række er forholdsvis betydeligt, skal institutterne give yderligere oplysninger i den beskrivelse, der ledsager dette skema.</w:t>
            </w:r>
          </w:p>
        </w:tc>
      </w:tr>
      <w:tr w:rsidR="00F5723F" w:rsidRPr="007F4CC8" w14:paraId="2361FAB6" w14:textId="77777777" w:rsidTr="00D819DE">
        <w:trPr>
          <w:trHeight w:val="316"/>
        </w:trPr>
        <w:tc>
          <w:tcPr>
            <w:tcW w:w="1384" w:type="dxa"/>
          </w:tcPr>
          <w:p w14:paraId="38F3A1E3"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080</w:t>
            </w:r>
          </w:p>
        </w:tc>
        <w:tc>
          <w:tcPr>
            <w:tcW w:w="7655" w:type="dxa"/>
          </w:tcPr>
          <w:p w14:paraId="759655AE"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I alt</w:t>
            </w:r>
          </w:p>
        </w:tc>
      </w:tr>
      <w:tr w:rsidR="00F5723F" w:rsidRPr="007F4CC8" w14:paraId="0B6354CA" w14:textId="77777777" w:rsidTr="00D819DE">
        <w:trPr>
          <w:trHeight w:val="238"/>
        </w:trPr>
        <w:tc>
          <w:tcPr>
            <w:tcW w:w="9039" w:type="dxa"/>
            <w:gridSpan w:val="2"/>
            <w:shd w:val="clear" w:color="auto" w:fill="D9D9D9" w:themeFill="background1" w:themeFillShade="D9"/>
          </w:tcPr>
          <w:p w14:paraId="00DBCD65"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F5723F" w:rsidRPr="007F4CC8" w14:paraId="627D1AD5" w14:textId="77777777" w:rsidTr="00D819DE">
        <w:trPr>
          <w:trHeight w:val="238"/>
        </w:trPr>
        <w:tc>
          <w:tcPr>
            <w:tcW w:w="1384" w:type="dxa"/>
            <w:shd w:val="clear" w:color="auto" w:fill="D9D9D9" w:themeFill="background1" w:themeFillShade="D9"/>
          </w:tcPr>
          <w:p w14:paraId="7CB88C97"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Kolonne nr.</w:t>
            </w:r>
          </w:p>
        </w:tc>
        <w:tc>
          <w:tcPr>
            <w:tcW w:w="7655" w:type="dxa"/>
            <w:shd w:val="clear" w:color="auto" w:fill="D9D9D9" w:themeFill="background1" w:themeFillShade="D9"/>
          </w:tcPr>
          <w:p w14:paraId="4EF685F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Forklaring</w:t>
            </w:r>
          </w:p>
        </w:tc>
      </w:tr>
      <w:tr w:rsidR="00F5723F" w:rsidRPr="007F4CC8" w14:paraId="1FE0EC5C" w14:textId="77777777" w:rsidTr="00D819DE">
        <w:trPr>
          <w:trHeight w:val="841"/>
        </w:trPr>
        <w:tc>
          <w:tcPr>
            <w:tcW w:w="1384" w:type="dxa"/>
          </w:tcPr>
          <w:p w14:paraId="747B44A1" w14:textId="77777777" w:rsidR="00F5723F" w:rsidRPr="007F4CC8" w:rsidRDefault="00F5723F" w:rsidP="00D819DE">
            <w:pPr>
              <w:pStyle w:val="Applicationdirecte"/>
              <w:spacing w:before="0"/>
            </w:pPr>
            <w:r>
              <w:t xml:space="preserve">a</w:t>
            </w:r>
          </w:p>
        </w:tc>
        <w:tc>
          <w:tcPr>
            <w:tcW w:w="7655" w:type="dxa"/>
          </w:tcPr>
          <w:p w14:paraId="3804B9DE" w14:textId="77777777" w:rsidR="00F5723F" w:rsidRPr="007F4CC8" w:rsidRDefault="00F5723F" w:rsidP="00D819DE">
            <w:pPr>
              <w:pStyle w:val="Institutionquisigne"/>
              <w:spacing w:before="0" w:after="120"/>
              <w:rPr>
                <w:b/>
                <w:i w:val="0"/>
                <w:rFonts w:eastAsiaTheme="minorEastAsia"/>
              </w:rPr>
            </w:pPr>
            <w:r>
              <w:rPr>
                <w:b/>
                <w:i w:val="0"/>
              </w:rPr>
              <w:t xml:space="preserve">Gældsbalancereduktion - regnskabsmæssig bruttoværdi</w:t>
            </w:r>
          </w:p>
          <w:p w14:paraId="285B4A59" w14:textId="77777777" w:rsidR="00F5723F" w:rsidRPr="007F4CC8" w:rsidRDefault="00F5723F" w:rsidP="00D819DE">
            <w:pPr>
              <w:pStyle w:val="Institutionquisigne"/>
              <w:spacing w:before="0" w:after="120"/>
              <w:rPr>
                <w:i w:val="0"/>
              </w:rPr>
            </w:pPr>
            <w:r>
              <w:rPr>
                <w:i w:val="0"/>
              </w:rPr>
              <w:t xml:space="preserve">Bruttoværdien af den gæld, der blev annulleret som modydelse for den sikkerhedsstillelse, der er opnået ved overtagelse, på det nøjagtige tidspunkt for udvekslingen, gennem retslige procedurer eller bilateral aftale.</w:t>
            </w:r>
          </w:p>
          <w:p w14:paraId="514003DC" w14:textId="77777777" w:rsidR="00F5723F" w:rsidRPr="007F4CC8" w:rsidRDefault="00F5723F" w:rsidP="00D819DE">
            <w:pPr>
              <w:pStyle w:val="Institutionquisigne"/>
              <w:spacing w:before="0" w:after="120"/>
            </w:pPr>
            <w:r>
              <w:rPr>
                <w:i w:val="0"/>
              </w:rPr>
              <w:t xml:space="preserve">Bruttoværdien beregnes som bruttoreduktionen af instrumentbalancen uden hensyntagen til hensættelser.</w:t>
            </w:r>
            <w:r>
              <w:rPr>
                <w:i w:val="0"/>
              </w:rPr>
              <w:t xml:space="preserve"> </w:t>
            </w:r>
            <w:r>
              <w:rPr>
                <w:i w:val="0"/>
              </w:rPr>
              <w:t xml:space="preserve">For at undgå tvivl gøres der opmærksom på, at balancereduktioner af andre årsager (f.eks. inddrivelse af kontanter) ikke angives i denne kolonne.</w:t>
            </w:r>
          </w:p>
        </w:tc>
      </w:tr>
      <w:tr w:rsidR="00F5723F" w:rsidRPr="007F4CC8" w14:paraId="6B1B3AB3" w14:textId="77777777" w:rsidTr="00D819DE">
        <w:trPr>
          <w:trHeight w:val="841"/>
        </w:trPr>
        <w:tc>
          <w:tcPr>
            <w:tcW w:w="1384" w:type="dxa"/>
          </w:tcPr>
          <w:p w14:paraId="12D84C4F" w14:textId="77777777" w:rsidR="00F5723F" w:rsidRPr="007F4CC8" w:rsidRDefault="00F5723F" w:rsidP="00D819DE">
            <w:pPr>
              <w:pStyle w:val="Applicationdirecte"/>
              <w:spacing w:before="0"/>
            </w:pPr>
            <w:r>
              <w:t xml:space="preserve">b</w:t>
            </w:r>
          </w:p>
        </w:tc>
        <w:tc>
          <w:tcPr>
            <w:tcW w:w="7655" w:type="dxa"/>
          </w:tcPr>
          <w:p w14:paraId="0EF41FBC" w14:textId="77777777" w:rsidR="00F5723F" w:rsidRPr="007F4CC8" w:rsidRDefault="00F5723F" w:rsidP="00D819DE">
            <w:pPr>
              <w:pStyle w:val="Institutionquisigne"/>
              <w:spacing w:before="0" w:after="120"/>
              <w:rPr>
                <w:b/>
                <w:i w:val="0"/>
              </w:rPr>
            </w:pPr>
            <w:r>
              <w:rPr>
                <w:b/>
                <w:i w:val="0"/>
              </w:rPr>
              <w:t xml:space="preserve">Gældsbalancereduktion - akkumulerede negative ændringer</w:t>
            </w:r>
          </w:p>
          <w:p w14:paraId="46722924" w14:textId="77777777" w:rsidR="00F5723F" w:rsidRPr="007F4CC8" w:rsidRDefault="00F5723F" w:rsidP="00D819DE">
            <w:pPr>
              <w:pStyle w:val="Institutionquisigne"/>
              <w:spacing w:before="0" w:after="120"/>
              <w:rPr>
                <w:i w:val="0"/>
              </w:rPr>
            </w:pPr>
            <w:r>
              <w:rPr>
                <w:i w:val="0"/>
              </w:rPr>
              <w:t xml:space="preserve">Akkumuleret værdiforringelse eller akkumulerede negative ændringer i værdien ved første indregning af sikkerhedsstillelsen, der er opnået gennem overtagelse, som beskrevet ovenfor.</w:t>
            </w:r>
          </w:p>
          <w:p w14:paraId="24A12C9C" w14:textId="77777777" w:rsidR="00F5723F" w:rsidRPr="007F4CC8" w:rsidRDefault="00F5723F" w:rsidP="00D819DE">
            <w:pPr>
              <w:pStyle w:val="Institutionquisigne"/>
              <w:spacing w:before="0" w:after="120"/>
              <w:rPr>
                <w:i w:val="0"/>
              </w:rPr>
            </w:pPr>
            <w:r>
              <w:rPr>
                <w:i w:val="0"/>
              </w:rPr>
              <w:t xml:space="preserve">Se definitionen i skema CQ7, "Sikkerhedsstillelse opnået gennem overtagelse og fuldbyrdelsesprocesser".</w:t>
            </w:r>
          </w:p>
          <w:p w14:paraId="5639310A" w14:textId="77777777" w:rsidR="00F5723F" w:rsidRPr="007F4CC8" w:rsidRDefault="00F5723F" w:rsidP="00D819DE">
            <w:pPr>
              <w:pStyle w:val="Institutionquisigne"/>
              <w:spacing w:before="0" w:after="120"/>
            </w:pPr>
            <w:r>
              <w:rPr>
                <w:i w:val="0"/>
              </w:rPr>
              <w:t xml:space="preserve">Institutterne skal medregne akkumulerede negative ændringer på grund af afskrivning i tilfælde af materielle anlægsaktiver og investeringsejendomme, hvis dette er relevant.</w:t>
            </w:r>
          </w:p>
        </w:tc>
      </w:tr>
      <w:tr w:rsidR="00F5723F" w:rsidRPr="007F4CC8" w14:paraId="5F3C8C1C" w14:textId="77777777" w:rsidTr="00D819DE">
        <w:trPr>
          <w:trHeight w:val="841"/>
        </w:trPr>
        <w:tc>
          <w:tcPr>
            <w:tcW w:w="1384" w:type="dxa"/>
          </w:tcPr>
          <w:p w14:paraId="0EA7DEB7" w14:textId="77777777" w:rsidR="00F5723F" w:rsidRPr="007F4CC8" w:rsidRDefault="00F5723F" w:rsidP="00D819DE">
            <w:pPr>
              <w:pStyle w:val="Applicationdirecte"/>
              <w:spacing w:before="0"/>
            </w:pPr>
            <w:r>
              <w:t xml:space="preserve">c</w:t>
            </w:r>
          </w:p>
        </w:tc>
        <w:tc>
          <w:tcPr>
            <w:tcW w:w="7655" w:type="dxa"/>
          </w:tcPr>
          <w:p w14:paraId="5917C55B" w14:textId="77777777" w:rsidR="00F5723F" w:rsidRPr="007F4CC8" w:rsidRDefault="00F5723F" w:rsidP="00D819DE">
            <w:pPr>
              <w:pStyle w:val="Institutionquisigne"/>
              <w:spacing w:before="0" w:after="120"/>
              <w:rPr>
                <w:b/>
                <w:i w:val="0"/>
              </w:rPr>
            </w:pPr>
            <w:r>
              <w:rPr>
                <w:b/>
                <w:i w:val="0"/>
              </w:rPr>
              <w:t xml:space="preserve">Sikkerhedsstillelse opnået gennem overtagelse i alt - værdi ved første indregning</w:t>
            </w:r>
          </w:p>
          <w:p w14:paraId="7FFB1AB5" w14:textId="77777777" w:rsidR="00F5723F" w:rsidRPr="007F4CC8" w:rsidRDefault="00F5723F" w:rsidP="00D819DE">
            <w:pPr>
              <w:pStyle w:val="Institutionquisigne"/>
              <w:spacing w:before="0" w:after="120"/>
              <w:rPr>
                <w:b/>
                <w:i w:val="0"/>
              </w:rPr>
            </w:pPr>
            <w:r>
              <w:rPr>
                <w:i w:val="0"/>
              </w:rPr>
              <w:t xml:space="preserve">Den regnskabsmæssige bruttoværdi af den sikkerhedsstillelse, der er opnået gennem overtagelse, ved første indregning i instituttets balance skal oplyses i denne kolonne.</w:t>
            </w:r>
          </w:p>
        </w:tc>
      </w:tr>
      <w:tr w:rsidR="00F5723F" w:rsidRPr="007F4CC8" w14:paraId="649D757C" w14:textId="77777777" w:rsidTr="00D819DE">
        <w:trPr>
          <w:trHeight w:val="841"/>
        </w:trPr>
        <w:tc>
          <w:tcPr>
            <w:tcW w:w="1384" w:type="dxa"/>
          </w:tcPr>
          <w:p w14:paraId="30D7FFD7" w14:textId="77777777" w:rsidR="00F5723F" w:rsidRPr="007F4CC8" w:rsidRDefault="00F5723F" w:rsidP="00D819DE">
            <w:pPr>
              <w:pStyle w:val="Applicationdirecte"/>
              <w:spacing w:before="0"/>
            </w:pPr>
            <w:r>
              <w:t xml:space="preserve">d</w:t>
            </w:r>
          </w:p>
        </w:tc>
        <w:tc>
          <w:tcPr>
            <w:tcW w:w="7655" w:type="dxa"/>
          </w:tcPr>
          <w:p w14:paraId="697EA3A2" w14:textId="77777777" w:rsidR="00F5723F" w:rsidRPr="007F4CC8" w:rsidRDefault="00F5723F" w:rsidP="00D819DE">
            <w:pPr>
              <w:pStyle w:val="Institutionquisigne"/>
              <w:spacing w:before="0" w:after="120"/>
              <w:rPr>
                <w:b/>
                <w:i w:val="0"/>
              </w:rPr>
            </w:pPr>
            <w:r>
              <w:rPr>
                <w:b/>
                <w:i w:val="0"/>
              </w:rPr>
              <w:t xml:space="preserve">Sikkerhedsstillelse opnået gennem overtagelse i alt - akkumulerede negative ændringer</w:t>
            </w:r>
          </w:p>
          <w:p w14:paraId="3A587776" w14:textId="77777777" w:rsidR="00F5723F" w:rsidRPr="007F4CC8" w:rsidRDefault="00F5723F" w:rsidP="00D819DE">
            <w:pPr>
              <w:pStyle w:val="Institutionquisigne"/>
              <w:spacing w:before="0" w:after="120"/>
              <w:rPr>
                <w:i w:val="0"/>
              </w:rPr>
            </w:pPr>
            <w:r>
              <w:rPr>
                <w:i w:val="0"/>
              </w:rPr>
              <w:t xml:space="preserve">Akkumuleret værdiforringelse eller akkumulerede negative ændringer i værdien ved første indregning af sikkerhedsstillelsen, der er opnået gennem overtagelse, som beskrevet ovenfor.</w:t>
            </w:r>
            <w:r>
              <w:rPr>
                <w:i w:val="0"/>
              </w:rPr>
              <w:t xml:space="preserve"> </w:t>
            </w:r>
          </w:p>
          <w:p w14:paraId="6EEBBC23" w14:textId="77777777" w:rsidR="00F5723F" w:rsidRPr="007F4CC8" w:rsidRDefault="00F5723F" w:rsidP="00D819DE">
            <w:pPr>
              <w:pStyle w:val="Institutionquisigne"/>
              <w:spacing w:before="0" w:after="120"/>
            </w:pPr>
            <w:r>
              <w:rPr>
                <w:i w:val="0"/>
              </w:rPr>
              <w:t xml:space="preserve">Institutterne skal medregne akkumulerede negative ændringer på grund af afskrivning i tilfælde af materielle anlægsaktiver og investeringsejendomme, hvis dette er relevant.</w:t>
            </w:r>
          </w:p>
        </w:tc>
      </w:tr>
      <w:tr w:rsidR="00F5723F" w:rsidRPr="007F4CC8" w14:paraId="1E52FA3A" w14:textId="77777777" w:rsidTr="00D819DE">
        <w:trPr>
          <w:trHeight w:val="841"/>
        </w:trPr>
        <w:tc>
          <w:tcPr>
            <w:tcW w:w="1384" w:type="dxa"/>
          </w:tcPr>
          <w:p w14:paraId="07B1101C" w14:textId="77777777" w:rsidR="00F5723F" w:rsidRPr="007F4CC8" w:rsidRDefault="00F5723F" w:rsidP="00D819DE">
            <w:pPr>
              <w:pStyle w:val="Applicationdirecte"/>
              <w:spacing w:before="0"/>
            </w:pPr>
            <w:r>
              <w:t xml:space="preserve">e</w:t>
            </w:r>
          </w:p>
        </w:tc>
        <w:tc>
          <w:tcPr>
            <w:tcW w:w="7655" w:type="dxa"/>
          </w:tcPr>
          <w:p w14:paraId="2EC3B187" w14:textId="77777777" w:rsidR="00F5723F" w:rsidRPr="007F4CC8" w:rsidRDefault="00F5723F" w:rsidP="00D819DE">
            <w:pPr>
              <w:pStyle w:val="Institutionquisigne"/>
              <w:spacing w:before="0" w:after="120"/>
              <w:rPr>
                <w:b/>
                <w:i w:val="0"/>
              </w:rPr>
            </w:pPr>
            <w:r>
              <w:rPr>
                <w:b/>
                <w:i w:val="0"/>
              </w:rPr>
              <w:t xml:space="preserve">Sikkerhedsstillelse opnået gennem overtagelse i alt - overtaget ≤ 2 år - heraf værdi ved første indregning</w:t>
            </w:r>
            <w:r>
              <w:rPr>
                <w:b/>
                <w:i w:val="0"/>
              </w:rPr>
              <w:t xml:space="preserve"> </w:t>
            </w:r>
          </w:p>
          <w:p w14:paraId="247E5A17" w14:textId="77777777" w:rsidR="00F5723F" w:rsidRPr="007F4CC8" w:rsidRDefault="00F5723F" w:rsidP="00D819DE">
            <w:pPr>
              <w:pStyle w:val="Institutionquisigne"/>
              <w:spacing w:before="0" w:after="120"/>
              <w:rPr>
                <w:i w:val="0"/>
              </w:rPr>
            </w:pPr>
            <w:r>
              <w:rPr>
                <w:i w:val="0"/>
              </w:rPr>
              <w:t xml:space="preserve">Værdi ved første indregning af den sikkerhedsstillelse, der er opnået gennem overtagelse, og som er balanceført for to år eller derunder, på referencedatoen for indberetning.</w:t>
            </w:r>
          </w:p>
        </w:tc>
      </w:tr>
      <w:tr w:rsidR="00F5723F" w:rsidRPr="007F4CC8" w14:paraId="764F5CF5" w14:textId="77777777" w:rsidTr="00D819DE">
        <w:trPr>
          <w:trHeight w:val="841"/>
        </w:trPr>
        <w:tc>
          <w:tcPr>
            <w:tcW w:w="1384" w:type="dxa"/>
          </w:tcPr>
          <w:p w14:paraId="70563CB0" w14:textId="77777777" w:rsidR="00F5723F" w:rsidRPr="007F4CC8" w:rsidRDefault="00F5723F" w:rsidP="00D819DE">
            <w:pPr>
              <w:pStyle w:val="Applicationdirecte"/>
              <w:spacing w:before="0"/>
            </w:pPr>
            <w:r>
              <w:t xml:space="preserve">f</w:t>
            </w:r>
          </w:p>
        </w:tc>
        <w:tc>
          <w:tcPr>
            <w:tcW w:w="7655" w:type="dxa"/>
          </w:tcPr>
          <w:p w14:paraId="37631FED" w14:textId="77777777" w:rsidR="00F5723F" w:rsidRPr="007F4CC8" w:rsidRDefault="00F5723F" w:rsidP="00D819DE">
            <w:pPr>
              <w:pStyle w:val="Institutionquisigne"/>
              <w:spacing w:before="0" w:after="120"/>
              <w:rPr>
                <w:b/>
                <w:i w:val="0"/>
              </w:rPr>
            </w:pPr>
            <w:r>
              <w:rPr>
                <w:b/>
                <w:i w:val="0"/>
              </w:rPr>
              <w:t xml:space="preserve">Sikkerhedsstillelse opnået gennem overtagelse i alt - overtaget ≤ 2 år - heraf akkumulerede negative ændringer</w:t>
            </w:r>
          </w:p>
          <w:p w14:paraId="70CCA7D4" w14:textId="77777777" w:rsidR="00F5723F" w:rsidRPr="007F4CC8" w:rsidRDefault="00F5723F" w:rsidP="00D819DE">
            <w:pPr>
              <w:pStyle w:val="Institutionquisigne"/>
              <w:spacing w:before="0" w:after="120"/>
            </w:pPr>
            <w:r>
              <w:rPr>
                <w:i w:val="0"/>
              </w:rPr>
              <w:t xml:space="preserve">Akkumulerede negative ændringer i den sikkerhedsstillelse, der er opnået gennem overtagelse, og som er balanceført for to år eller derunder, på referencedatoen for indberetning.</w:t>
            </w:r>
          </w:p>
        </w:tc>
      </w:tr>
      <w:tr w:rsidR="00F5723F" w:rsidRPr="007F4CC8" w14:paraId="5DBC4907" w14:textId="77777777" w:rsidTr="00D819DE">
        <w:trPr>
          <w:trHeight w:val="841"/>
        </w:trPr>
        <w:tc>
          <w:tcPr>
            <w:tcW w:w="1384" w:type="dxa"/>
          </w:tcPr>
          <w:p w14:paraId="5DAE2767" w14:textId="77777777" w:rsidR="00F5723F" w:rsidRPr="007F4CC8" w:rsidRDefault="00F5723F" w:rsidP="00D819DE">
            <w:pPr>
              <w:pStyle w:val="Applicationdirecte"/>
              <w:spacing w:before="0"/>
            </w:pPr>
            <w:r>
              <w:t xml:space="preserve">g</w:t>
            </w:r>
          </w:p>
        </w:tc>
        <w:tc>
          <w:tcPr>
            <w:tcW w:w="7655" w:type="dxa"/>
          </w:tcPr>
          <w:p w14:paraId="7D2A72C1" w14:textId="77777777" w:rsidR="00F5723F" w:rsidRPr="007F4CC8" w:rsidRDefault="00F5723F" w:rsidP="00D819DE">
            <w:pPr>
              <w:pStyle w:val="Institutionquisigne"/>
              <w:spacing w:before="0" w:after="120"/>
              <w:rPr>
                <w:b/>
                <w:i w:val="0"/>
              </w:rPr>
            </w:pPr>
            <w:r>
              <w:rPr>
                <w:b/>
                <w:i w:val="0"/>
              </w:rPr>
              <w:t xml:space="preserve">Sikkerhedsstillelse opnået gennem overtagelse i alt - overtaget &gt; 2 år ≤ 5 år - heraf værdi ved første indregning</w:t>
            </w:r>
            <w:r>
              <w:rPr>
                <w:b/>
                <w:i w:val="0"/>
              </w:rPr>
              <w:t xml:space="preserve"> </w:t>
            </w:r>
          </w:p>
          <w:p w14:paraId="60815C3C" w14:textId="77777777" w:rsidR="00F5723F" w:rsidRPr="007F4CC8" w:rsidRDefault="00F5723F" w:rsidP="00D819DE">
            <w:pPr>
              <w:pStyle w:val="Institutionquisigne"/>
              <w:spacing w:before="0" w:after="120"/>
              <w:rPr>
                <w:b/>
                <w:i w:val="0"/>
              </w:rPr>
            </w:pPr>
            <w:r>
              <w:rPr>
                <w:i w:val="0"/>
              </w:rPr>
              <w:t xml:space="preserve">Værdi ved første indregning af den sikkerhedsstillelse, der er opnået gennem overtagelse, og som er balanceført for mindst to år og højst fem år, på referencedatoen for indberetning.</w:t>
            </w:r>
          </w:p>
        </w:tc>
      </w:tr>
      <w:tr w:rsidR="00F5723F" w:rsidRPr="007F4CC8" w14:paraId="515AAE57" w14:textId="77777777" w:rsidTr="00D819DE">
        <w:trPr>
          <w:trHeight w:val="841"/>
        </w:trPr>
        <w:tc>
          <w:tcPr>
            <w:tcW w:w="1384" w:type="dxa"/>
          </w:tcPr>
          <w:p w14:paraId="1B4A8C94" w14:textId="77777777" w:rsidR="00F5723F" w:rsidRPr="007F4CC8" w:rsidRDefault="00F5723F" w:rsidP="00D819DE">
            <w:pPr>
              <w:pStyle w:val="Applicationdirecte"/>
              <w:spacing w:before="0"/>
            </w:pPr>
            <w:r>
              <w:t xml:space="preserve">h</w:t>
            </w:r>
          </w:p>
        </w:tc>
        <w:tc>
          <w:tcPr>
            <w:tcW w:w="7655" w:type="dxa"/>
          </w:tcPr>
          <w:p w14:paraId="15FFC6FC" w14:textId="77777777" w:rsidR="00F5723F" w:rsidRPr="007F4CC8" w:rsidRDefault="00F5723F" w:rsidP="00D819DE">
            <w:pPr>
              <w:pStyle w:val="Institutionquisigne"/>
              <w:spacing w:before="0" w:after="120"/>
              <w:rPr>
                <w:b/>
                <w:i w:val="0"/>
              </w:rPr>
            </w:pPr>
            <w:r>
              <w:rPr>
                <w:b/>
                <w:i w:val="0"/>
              </w:rPr>
              <w:t xml:space="preserve">Sikkerhedsstillelse opnået gennem overtagelse i alt - overtaget &gt; 2 år ≤ 5 år - heraf akkumulerede negative ændringer</w:t>
            </w:r>
          </w:p>
          <w:p w14:paraId="10817463" w14:textId="77777777" w:rsidR="00F5723F" w:rsidRPr="007F4CC8" w:rsidRDefault="00F5723F" w:rsidP="00D819DE">
            <w:pPr>
              <w:pStyle w:val="Institutionquisigne"/>
              <w:spacing w:before="0" w:after="120"/>
            </w:pPr>
            <w:r>
              <w:rPr>
                <w:i w:val="0"/>
              </w:rPr>
              <w:t xml:space="preserve">Akkumulerede negative ændringer i den sikkerhedsstillelse, der er opnået gennem overtagelse, og som er balanceført for mindst to år og højst fem år, på referencedatoen for indberetning.</w:t>
            </w:r>
          </w:p>
        </w:tc>
      </w:tr>
      <w:tr w:rsidR="00F5723F" w:rsidRPr="007F4CC8" w14:paraId="554E7761" w14:textId="77777777" w:rsidTr="00D819DE">
        <w:trPr>
          <w:trHeight w:val="841"/>
        </w:trPr>
        <w:tc>
          <w:tcPr>
            <w:tcW w:w="1384" w:type="dxa"/>
          </w:tcPr>
          <w:p w14:paraId="1EDF182C" w14:textId="77777777" w:rsidR="00F5723F" w:rsidRPr="007F4CC8" w:rsidRDefault="00F5723F" w:rsidP="00D819DE">
            <w:pPr>
              <w:pStyle w:val="Applicationdirecte"/>
              <w:spacing w:before="0"/>
            </w:pPr>
            <w:r>
              <w:t xml:space="preserve">i</w:t>
            </w:r>
          </w:p>
        </w:tc>
        <w:tc>
          <w:tcPr>
            <w:tcW w:w="7655" w:type="dxa"/>
          </w:tcPr>
          <w:p w14:paraId="6FAF1E48" w14:textId="77777777" w:rsidR="00F5723F" w:rsidRPr="007F4CC8" w:rsidRDefault="00F5723F" w:rsidP="00D819DE">
            <w:pPr>
              <w:pStyle w:val="Institutionquisigne"/>
              <w:spacing w:before="0" w:after="120"/>
              <w:rPr>
                <w:b/>
                <w:i w:val="0"/>
              </w:rPr>
            </w:pPr>
            <w:r>
              <w:rPr>
                <w:b/>
                <w:i w:val="0"/>
              </w:rPr>
              <w:t xml:space="preserve">Sikkerhedsstillelse opnået gennem overtagelse i alt - overtaget &gt; 5 år - heraf værdi ved første indregning</w:t>
            </w:r>
          </w:p>
          <w:p w14:paraId="2C29A93E" w14:textId="77777777" w:rsidR="00F5723F" w:rsidRPr="007F4CC8" w:rsidRDefault="00F5723F" w:rsidP="00D819DE">
            <w:pPr>
              <w:pStyle w:val="Institutionquisigne"/>
              <w:spacing w:before="0" w:after="120"/>
              <w:rPr>
                <w:b/>
                <w:i w:val="0"/>
              </w:rPr>
            </w:pPr>
            <w:r>
              <w:rPr>
                <w:i w:val="0"/>
              </w:rPr>
              <w:t xml:space="preserve">Værdi ved første indregning af den sikkerhedsstillelse, der er opnået gennem overtagelse, og som er balanceført for mindst fem år, på referencedatoen for indberetning.</w:t>
            </w:r>
          </w:p>
        </w:tc>
      </w:tr>
      <w:tr w:rsidR="00F5723F" w:rsidRPr="007F4CC8" w14:paraId="3A0CF611" w14:textId="77777777" w:rsidTr="00D819DE">
        <w:trPr>
          <w:trHeight w:val="841"/>
        </w:trPr>
        <w:tc>
          <w:tcPr>
            <w:tcW w:w="1384" w:type="dxa"/>
          </w:tcPr>
          <w:p w14:paraId="3E46A57F" w14:textId="77777777" w:rsidR="00F5723F" w:rsidRPr="007F4CC8" w:rsidRDefault="00F5723F" w:rsidP="00D819DE">
            <w:pPr>
              <w:pStyle w:val="Applicationdirecte"/>
              <w:spacing w:before="0"/>
            </w:pPr>
            <w:r>
              <w:t xml:space="preserve">j</w:t>
            </w:r>
          </w:p>
        </w:tc>
        <w:tc>
          <w:tcPr>
            <w:tcW w:w="7655" w:type="dxa"/>
          </w:tcPr>
          <w:p w14:paraId="3747CA23" w14:textId="77777777" w:rsidR="00F5723F" w:rsidRPr="007F4CC8" w:rsidRDefault="00F5723F" w:rsidP="00D819DE">
            <w:pPr>
              <w:pStyle w:val="Institutionquisigne"/>
              <w:spacing w:before="0" w:after="120"/>
              <w:rPr>
                <w:b/>
                <w:i w:val="0"/>
              </w:rPr>
            </w:pPr>
            <w:r>
              <w:rPr>
                <w:b/>
                <w:i w:val="0"/>
              </w:rPr>
              <w:t xml:space="preserve">Sikkerhedsstillelse opnået gennem overtagelse i alt - overtaget &gt; 5 år - heraf akkumulerede negative ændringer</w:t>
            </w:r>
          </w:p>
          <w:p w14:paraId="582261C0" w14:textId="77777777" w:rsidR="00F5723F" w:rsidRPr="007F4CC8" w:rsidRDefault="00F5723F" w:rsidP="00D819DE">
            <w:pPr>
              <w:pStyle w:val="Institutionquisigne"/>
              <w:spacing w:before="0" w:after="120"/>
            </w:pPr>
            <w:r>
              <w:rPr>
                <w:i w:val="0"/>
              </w:rPr>
              <w:t xml:space="preserve">Akkumulerede negative ændringer i den sikkerhedsstillelse, der er opnået gennem overtagelse, og som er balanceført for mindst fem år, på referencedatoen for indberetning.</w:t>
            </w:r>
          </w:p>
        </w:tc>
      </w:tr>
      <w:tr w:rsidR="00F5723F" w:rsidRPr="007F4CC8" w14:paraId="05933070" w14:textId="77777777" w:rsidTr="00D819DE">
        <w:trPr>
          <w:trHeight w:val="841"/>
        </w:trPr>
        <w:tc>
          <w:tcPr>
            <w:tcW w:w="1384" w:type="dxa"/>
          </w:tcPr>
          <w:p w14:paraId="1E48B28F" w14:textId="77777777" w:rsidR="00F5723F" w:rsidRPr="007F4CC8" w:rsidRDefault="00F5723F" w:rsidP="00D819DE">
            <w:pPr>
              <w:pStyle w:val="Applicationdirecte"/>
              <w:spacing w:before="0"/>
            </w:pPr>
            <w:r>
              <w:t xml:space="preserve">k</w:t>
            </w:r>
          </w:p>
        </w:tc>
        <w:tc>
          <w:tcPr>
            <w:tcW w:w="7655" w:type="dxa"/>
          </w:tcPr>
          <w:p w14:paraId="65F6DD42" w14:textId="77777777" w:rsidR="00F5723F" w:rsidRPr="007F4CC8" w:rsidRDefault="00F5723F" w:rsidP="00D819DE">
            <w:pPr>
              <w:pStyle w:val="Institutionquisigne"/>
              <w:spacing w:before="0" w:after="120"/>
              <w:rPr>
                <w:b/>
                <w:i w:val="0"/>
              </w:rPr>
            </w:pPr>
            <w:r>
              <w:rPr>
                <w:b/>
                <w:i w:val="0"/>
              </w:rPr>
              <w:t xml:space="preserve">Sikkerhedsstillelse opnået gennem overtagelse i alt - heraf anlægsaktiver, som besiddes med henblik på salg - heraf værdi ved første indregning</w:t>
            </w:r>
          </w:p>
          <w:p w14:paraId="4A93077D" w14:textId="77777777" w:rsidR="00F5723F" w:rsidRPr="007F4CC8" w:rsidRDefault="00F5723F" w:rsidP="00D819DE">
            <w:pPr>
              <w:pStyle w:val="Institutionquisigne"/>
              <w:spacing w:before="0" w:after="120"/>
              <w:rPr>
                <w:b/>
                <w:i w:val="0"/>
              </w:rPr>
            </w:pPr>
            <w:r>
              <w:rPr>
                <w:i w:val="0"/>
              </w:rPr>
              <w:t xml:space="preserve">Den oprindelige værdi af den sikkerhedsstillelse, der er opnået gennem overtagelse, og som klassificeres som anlægsaktiver, der besiddes med henblik på salg, skal oplyses.</w:t>
            </w:r>
            <w:r>
              <w:rPr>
                <w:i w:val="0"/>
              </w:rPr>
              <w:t xml:space="preserve"> </w:t>
            </w:r>
            <w:r>
              <w:rPr>
                <w:i w:val="0"/>
              </w:rPr>
              <w:t xml:space="preserve">Hvis denne klassificering ikke er relevant i henhold til de regnskabsregler, der gælder for instituttet, er det ikke nødvendigt at give denne oplysning.</w:t>
            </w:r>
          </w:p>
        </w:tc>
      </w:tr>
      <w:tr w:rsidR="00F5723F" w:rsidRPr="007F4CC8" w14:paraId="1F23FA86" w14:textId="77777777" w:rsidTr="00D819DE">
        <w:trPr>
          <w:trHeight w:val="841"/>
        </w:trPr>
        <w:tc>
          <w:tcPr>
            <w:tcW w:w="1384" w:type="dxa"/>
          </w:tcPr>
          <w:p w14:paraId="7AB5ECFC" w14:textId="77777777" w:rsidR="00F5723F" w:rsidRPr="007F4CC8" w:rsidRDefault="00F5723F" w:rsidP="00D819DE">
            <w:pPr>
              <w:pStyle w:val="Applicationdirecte"/>
              <w:spacing w:before="0"/>
            </w:pPr>
            <w:r>
              <w:t xml:space="preserve">l</w:t>
            </w:r>
          </w:p>
        </w:tc>
        <w:tc>
          <w:tcPr>
            <w:tcW w:w="7655" w:type="dxa"/>
          </w:tcPr>
          <w:p w14:paraId="30517782" w14:textId="77777777" w:rsidR="00F5723F" w:rsidRPr="007F4CC8" w:rsidRDefault="00F5723F" w:rsidP="00D819DE">
            <w:pPr>
              <w:pStyle w:val="Institutionquisigne"/>
              <w:spacing w:before="0" w:after="120"/>
              <w:rPr>
                <w:b/>
                <w:i w:val="0"/>
              </w:rPr>
            </w:pPr>
            <w:r>
              <w:rPr>
                <w:b/>
                <w:i w:val="0"/>
              </w:rPr>
              <w:t xml:space="preserve">Sikkerhedsstillelse opnået gennem overtagelse i alt - heraf anlægsaktiver, som besiddes med henblik på salg - heraf akkumulerede negative ændringer</w:t>
            </w:r>
          </w:p>
          <w:p w14:paraId="406288B9" w14:textId="77777777" w:rsidR="00F5723F" w:rsidRPr="007F4CC8" w:rsidRDefault="00F5723F" w:rsidP="00D819DE">
            <w:pPr>
              <w:pStyle w:val="Personnequisigne"/>
              <w:spacing w:after="120"/>
              <w:jc w:val="both"/>
            </w:pPr>
            <w:r>
              <w:rPr>
                <w:i w:val="0"/>
              </w:rPr>
              <w:t xml:space="preserve">Akkumulerede negative ændringer i den sikkerhedsstillelse, der er opnået gennem overtagelse, og som klassificeres som anlægsaktiver, der besiddes med henblik på salg, skal oplyses.</w:t>
            </w:r>
            <w:r>
              <w:rPr>
                <w:i w:val="0"/>
              </w:rPr>
              <w:t xml:space="preserve"> </w:t>
            </w:r>
            <w:r>
              <w:rPr>
                <w:i w:val="0"/>
              </w:rPr>
              <w:t xml:space="preserve">Hvis denne klassificering ikke er relevant i henhold til de regnskabsregler, der gælder for instituttet, er det ikke nødvendigt at give denne oplysning.</w:t>
            </w:r>
          </w:p>
        </w:tc>
      </w:tr>
    </w:tbl>
    <w:p w14:paraId="424EADF0"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73A00F" w14:textId="77777777" w:rsidR="004E3F4D" w:rsidRDefault="004E3F4D" w:rsidP="00F5723F"/>
    <w:sectPr w:rsidR="004E3F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F7E62" w14:textId="77777777" w:rsidR="0090750A" w:rsidRDefault="0090750A" w:rsidP="00F5723F">
      <w:r>
        <w:separator/>
      </w:r>
    </w:p>
  </w:endnote>
  <w:endnote w:type="continuationSeparator" w:id="0">
    <w:p w14:paraId="5A6A37CA" w14:textId="77777777" w:rsidR="0090750A" w:rsidRDefault="0090750A" w:rsidP="00F5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0C32C" w14:textId="77777777" w:rsidR="00F5723F" w:rsidRDefault="00F572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6883617"/>
      <w:docPartObj>
        <w:docPartGallery w:val="Page Numbers (Bottom of Page)"/>
        <w:docPartUnique/>
      </w:docPartObj>
    </w:sdtPr>
    <w:sdtEndPr>
      <w:rPr>
        <w:noProof/>
      </w:rPr>
    </w:sdtEndPr>
    <w:sdtContent>
      <w:p w14:paraId="5285C910" w14:textId="77777777" w:rsidR="00F5723F" w:rsidRDefault="00F5723F">
        <w:pPr>
          <w:pStyle w:val="Footer"/>
          <w:jc w:val="right"/>
        </w:pPr>
        <w:r>
          <w:fldChar w:fldCharType="begin"/>
        </w:r>
        <w:r>
          <w:instrText xml:space="preserve"> PAGE   \* MERGEFORMAT </w:instrText>
        </w:r>
        <w:r>
          <w:fldChar w:fldCharType="separate"/>
        </w:r>
        <w:r>
          <w:t xml:space="preserve">26</w:t>
        </w:r>
        <w:r>
          <w:fldChar w:fldCharType="end"/>
        </w:r>
      </w:p>
    </w:sdtContent>
  </w:sdt>
  <w:p w14:paraId="717F50A3" w14:textId="77777777" w:rsidR="00F5723F" w:rsidRDefault="00F572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FADD" w14:textId="77777777" w:rsidR="00F5723F" w:rsidRDefault="00F572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033E9" w14:textId="77777777" w:rsidR="0090750A" w:rsidRDefault="0090750A" w:rsidP="00F5723F">
      <w:r>
        <w:separator/>
      </w:r>
    </w:p>
  </w:footnote>
  <w:footnote w:type="continuationSeparator" w:id="0">
    <w:p w14:paraId="11FB0B57" w14:textId="77777777" w:rsidR="0090750A" w:rsidRDefault="0090750A" w:rsidP="00F5723F">
      <w:r>
        <w:continuationSeparator/>
      </w:r>
    </w:p>
  </w:footnote>
  <w:footnote w:id="1">
    <w:p w14:paraId="302308BD" w14:textId="4CFDCFDF" w:rsidR="003C7180" w:rsidRPr="003C7180" w:rsidRDefault="003C7180" w:rsidP="003C7180">
      <w:pPr>
        <w:pStyle w:val="FootnoteText"/>
      </w:pPr>
      <w:r>
        <w:rPr>
          <w:rStyle w:val="FootnoteReference"/>
        </w:rPr>
        <w:footnoteRef/>
      </w:r>
      <w:r>
        <w:tab/>
      </w:r>
      <w:r>
        <w:t xml:space="preserve">Europa-Parlamentets og Rådets forordning (EU) nr. 575/2013 af 26. juni 2013 om tilsynsmæssige krav til kreditinstitutter og om ændring af forordning (EU) nr. 648/2012, som ændret ved (EU) 2024/1623 (</w:t>
      </w:r>
      <w:hyperlink r:id="rId1" w:history="1">
        <w:r>
          <w:rPr>
            <w:rStyle w:val="Hyperlink"/>
            <w:color w:val="800080"/>
          </w:rPr>
          <w:t xml:space="preserve">EUT L 176 af 27.6.2013, s. 1</w:t>
        </w:r>
      </w:hyperlink>
      <w:r>
        <w:t xml:space="preserve">).</w:t>
      </w:r>
      <w:r>
        <w:rPr>
          <w:color w:val="800080"/>
          <w:u w:val="single"/>
        </w:rPr>
        <w:t xml:space="preserve"> </w:t>
      </w:r>
      <w:hyperlink r:id="rId2" w:history="1">
        <w:r>
          <w:rPr>
            <w:rStyle w:val="Hyperlink"/>
          </w:rPr>
          <w:t xml:space="preserve">Forordning - EU - 2024/1623 - DA - EUR-Lex (europa.eu)</w:t>
        </w:r>
      </w:hyperlink>
      <w:r>
        <w:rPr>
          <w:color w:val="444444"/>
        </w:rPr>
        <w:t xml:space="preserve">)</w:t>
      </w:r>
      <w:r>
        <w:t xml:space="preserve">.</w:t>
      </w:r>
    </w:p>
  </w:footnote>
  <w:footnote w:id="2">
    <w:p w14:paraId="6AEF5B81" w14:textId="169A84A3" w:rsidR="00F5723F" w:rsidRPr="00222AAB" w:rsidRDefault="00F5723F" w:rsidP="00F5723F">
      <w:pPr>
        <w:pStyle w:val="FootnoteText"/>
        <w:rPr>
          <w:rFonts w:cstheme="minorHAnsi"/>
        </w:rPr>
      </w:pPr>
      <w:r>
        <w:rPr>
          <w:rStyle w:val="FootnoteReference"/>
          <w:rFonts w:cstheme="minorHAnsi"/>
          <w:sz w:val="18"/>
        </w:rPr>
        <w:footnoteRef/>
      </w:r>
      <w:r>
        <w:t xml:space="preserve"> </w:t>
      </w:r>
      <w:r>
        <w:tab/>
      </w:r>
      <w:r>
        <w:t xml:space="preserve">Ibidem.</w:t>
      </w:r>
    </w:p>
  </w:footnote>
  <w:footnote w:id="3">
    <w:p w14:paraId="7B96499D" w14:textId="77777777" w:rsidR="00F5723F" w:rsidRPr="00222AAB" w:rsidRDefault="00F5723F" w:rsidP="00F5723F">
      <w:pPr>
        <w:pStyle w:val="FootnoteText"/>
        <w:rPr>
          <w:rFonts w:cstheme="minorHAnsi"/>
        </w:rPr>
      </w:pPr>
      <w:r>
        <w:rPr>
          <w:rStyle w:val="FootnoteReference"/>
          <w:rFonts w:cstheme="minorHAnsi"/>
          <w:sz w:val="18"/>
        </w:rPr>
        <w:footnoteRef/>
      </w:r>
      <w:r>
        <w:t xml:space="preserve"> </w:t>
      </w:r>
      <w:r>
        <w:tab/>
      </w:r>
      <w:r>
        <w:t xml:space="preserve">Kommissionens gennemførelsesforordning (EU) nr. 680/2014 af 16. april 2014 om gennemførelsesmæssige tekniske standarder for institutters indberetning med henblik på tilsyn i medfør af Europa-Parlamentets og Rådets forordning (EU) nr. 575/2013 (EUT L 191 af 28.6.2014, s. 1).</w:t>
      </w:r>
    </w:p>
  </w:footnote>
  <w:footnote w:id="4">
    <w:p w14:paraId="4F92FFA6" w14:textId="77777777" w:rsidR="00F5723F" w:rsidRPr="00222AAB" w:rsidRDefault="00F5723F" w:rsidP="00F5723F">
      <w:pPr>
        <w:pStyle w:val="FootnoteText"/>
        <w:rPr>
          <w:rFonts w:cstheme="minorHAnsi"/>
        </w:rPr>
      </w:pPr>
      <w:r>
        <w:rPr>
          <w:rStyle w:val="FootnoteReference"/>
          <w:rFonts w:cstheme="minorHAnsi"/>
          <w:sz w:val="18"/>
        </w:rPr>
        <w:footnoteRef/>
      </w:r>
      <w:r>
        <w:tab/>
      </w:r>
      <w:r>
        <w:t xml:space="preserve">Den Europæiske Centralbanks forordning (EU) nr. 1071/2013 af 24. september 2013 om den konsoliderede balance i MFI-sektoren (monetære finansielle institutioner), (ECB/2013/33), (EUT L 297 af 7.11.2013, s. 1).</w:t>
      </w:r>
    </w:p>
  </w:footnote>
  <w:footnote w:id="5">
    <w:p w14:paraId="556667A2" w14:textId="77777777" w:rsidR="00F5723F" w:rsidRPr="00BB5993" w:rsidRDefault="00F5723F" w:rsidP="00F5723F">
      <w:pPr>
        <w:pStyle w:val="FootnoteText"/>
        <w:rPr>
          <w:rFonts w:cstheme="minorHAnsi"/>
        </w:rPr>
      </w:pPr>
      <w:r>
        <w:rPr>
          <w:rStyle w:val="FootnoteReference"/>
          <w:rFonts w:cstheme="minorHAnsi"/>
          <w:sz w:val="18"/>
        </w:rPr>
        <w:footnoteRef/>
      </w:r>
      <w:r>
        <w:tab/>
      </w:r>
      <w:r>
        <w:t xml:space="preserve">Rådets direktiv 86/635/EØF af 8. december 1986 om bankers og andre penge- og finansieringsinstitutters årsregnskaber og konsoliderede regnskaber (EFT L 372 af 31.12.1986, s. 1).</w:t>
      </w:r>
    </w:p>
  </w:footnote>
  <w:footnote w:id="6">
    <w:p w14:paraId="54A29402" w14:textId="77777777" w:rsidR="00F5723F" w:rsidRPr="00222AAB" w:rsidRDefault="00F5723F" w:rsidP="00F5723F">
      <w:pPr>
        <w:pStyle w:val="FootnoteText"/>
        <w:rPr>
          <w:rFonts w:cstheme="minorHAnsi"/>
        </w:rPr>
      </w:pPr>
      <w:r>
        <w:rPr>
          <w:rStyle w:val="FootnoteReference"/>
          <w:rFonts w:cstheme="minorHAnsi"/>
          <w:sz w:val="18"/>
        </w:rPr>
        <w:footnoteRef/>
      </w:r>
      <w:r>
        <w:tab/>
      </w:r>
      <w:r>
        <w:t xml:space="preserve">Det Europæiske Udvalg for Systemiske Risicis henstilling af 31. oktober 2016 om lukning af datahuller vedrørende fast ejendom (ESRB/2016/14) (EUT C 31 af 31.1.2017,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EFC9" w14:textId="077252A9" w:rsidR="00F5723F" w:rsidRDefault="00BE49C3">
    <w:pPr>
      <w:pStyle w:val="Header"/>
    </w:pPr>
    <w:r>
      <mc:AlternateContent>
        <mc:Choice Requires="wps">
          <w:drawing>
            <wp:anchor distT="0" distB="0" distL="0" distR="0" simplePos="0" relativeHeight="251659264" behindDoc="0" locked="0" layoutInCell="1" allowOverlap="1" wp14:anchorId="47D9C51B" wp14:editId="09F49327">
              <wp:simplePos x="635" y="635"/>
              <wp:positionH relativeFrom="page">
                <wp:align>left</wp:align>
              </wp:positionH>
              <wp:positionV relativeFrom="page">
                <wp:align>top</wp:align>
              </wp:positionV>
              <wp:extent cx="443865" cy="443865"/>
              <wp:effectExtent l="0" t="0" r="3175" b="4445"/>
              <wp:wrapNone/>
              <wp:docPr id="139722189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9C581E" w14:textId="4EED78D3"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7D9C51B"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E9C581E" w14:textId="4EED78D3"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59502" w14:textId="42685AB7" w:rsidR="00F5723F" w:rsidRDefault="00BE49C3">
    <w:pPr>
      <w:pStyle w:val="Header"/>
    </w:pPr>
    <w:r>
      <mc:AlternateContent>
        <mc:Choice Requires="wps">
          <w:drawing>
            <wp:anchor distT="0" distB="0" distL="0" distR="0" simplePos="0" relativeHeight="251660288" behindDoc="0" locked="0" layoutInCell="1" allowOverlap="1" wp14:anchorId="386CEAAF" wp14:editId="2139B35B">
              <wp:simplePos x="914400" y="447675"/>
              <wp:positionH relativeFrom="page">
                <wp:align>left</wp:align>
              </wp:positionH>
              <wp:positionV relativeFrom="page">
                <wp:align>top</wp:align>
              </wp:positionV>
              <wp:extent cx="443865" cy="443865"/>
              <wp:effectExtent l="0" t="0" r="3175" b="4445"/>
              <wp:wrapNone/>
              <wp:docPr id="169214844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A3204C" w14:textId="361AEA7D"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86CEAAF"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DA3204C" w14:textId="361AEA7D"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BEDA6" w14:textId="52688456" w:rsidR="00F5723F" w:rsidRDefault="00BE49C3">
    <w:pPr>
      <w:pStyle w:val="Header"/>
    </w:pPr>
    <w:r>
      <mc:AlternateContent>
        <mc:Choice Requires="wps">
          <w:drawing>
            <wp:anchor distT="0" distB="0" distL="0" distR="0" simplePos="0" relativeHeight="251658240" behindDoc="0" locked="0" layoutInCell="1" allowOverlap="1" wp14:anchorId="0EA9B5F4" wp14:editId="7D1BDEBC">
              <wp:simplePos x="635" y="635"/>
              <wp:positionH relativeFrom="page">
                <wp:align>left</wp:align>
              </wp:positionH>
              <wp:positionV relativeFrom="page">
                <wp:align>top</wp:align>
              </wp:positionV>
              <wp:extent cx="443865" cy="443865"/>
              <wp:effectExtent l="0" t="0" r="3175" b="4445"/>
              <wp:wrapNone/>
              <wp:docPr id="78340835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857630" w14:textId="331402D4"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EA9B5F4"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8857630" w14:textId="331402D4"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5"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9031431">
    <w:abstractNumId w:val="13"/>
  </w:num>
  <w:num w:numId="2" w16cid:durableId="135536343">
    <w:abstractNumId w:val="3"/>
  </w:num>
  <w:num w:numId="3" w16cid:durableId="1494296395">
    <w:abstractNumId w:val="7"/>
  </w:num>
  <w:num w:numId="4" w16cid:durableId="524683457">
    <w:abstractNumId w:val="9"/>
  </w:num>
  <w:num w:numId="5" w16cid:durableId="1649742835">
    <w:abstractNumId w:val="17"/>
  </w:num>
  <w:num w:numId="6" w16cid:durableId="105931811">
    <w:abstractNumId w:val="2"/>
  </w:num>
  <w:num w:numId="7" w16cid:durableId="924652707">
    <w:abstractNumId w:val="16"/>
  </w:num>
  <w:num w:numId="8" w16cid:durableId="1245071583">
    <w:abstractNumId w:val="14"/>
  </w:num>
  <w:num w:numId="9" w16cid:durableId="1144355349">
    <w:abstractNumId w:val="1"/>
  </w:num>
  <w:num w:numId="10" w16cid:durableId="1589729186">
    <w:abstractNumId w:val="6"/>
  </w:num>
  <w:num w:numId="11" w16cid:durableId="1517159877">
    <w:abstractNumId w:val="0"/>
  </w:num>
  <w:num w:numId="12" w16cid:durableId="759830881">
    <w:abstractNumId w:val="5"/>
  </w:num>
  <w:num w:numId="13" w16cid:durableId="431166211">
    <w:abstractNumId w:val="15"/>
  </w:num>
  <w:num w:numId="14" w16cid:durableId="901256509">
    <w:abstractNumId w:val="4"/>
  </w:num>
  <w:num w:numId="15" w16cid:durableId="655377329">
    <w:abstractNumId w:val="10"/>
  </w:num>
  <w:num w:numId="16" w16cid:durableId="1455443828">
    <w:abstractNumId w:val="11"/>
  </w:num>
  <w:num w:numId="17" w16cid:durableId="444888124">
    <w:abstractNumId w:val="12"/>
  </w:num>
  <w:num w:numId="18" w16cid:durableId="592671513">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257C4"/>
    <w:rsid w:val="00205F17"/>
    <w:rsid w:val="003C7180"/>
    <w:rsid w:val="004E3F4D"/>
    <w:rsid w:val="005F5E08"/>
    <w:rsid w:val="0090750A"/>
    <w:rsid w:val="0098126E"/>
    <w:rsid w:val="00A257C4"/>
    <w:rsid w:val="00BE49C3"/>
    <w:rsid w:val="00CD7E3D"/>
    <w:rsid w:val="00F13FED"/>
    <w:rsid w:val="00F5723F"/>
    <w:rsid w:val="00FF78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60490"/>
  <w15:chartTrackingRefBased/>
  <w15:docId w15:val="{3ABF1497-1D8E-458B-9596-748CE877F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23F"/>
    <w:pPr>
      <w:spacing w:after="0" w:line="240" w:lineRule="auto"/>
    </w:pPr>
    <w:rPr>
      <w:rFonts w:eastAsiaTheme="minorEastAsia"/>
      <w:szCs w:val="24"/>
    </w:rPr>
  </w:style>
  <w:style w:type="paragraph" w:styleId="Heading1">
    <w:name w:val="heading 1"/>
    <w:aliases w:val="Cover title white"/>
    <w:next w:val="Normal"/>
    <w:link w:val="Heading1Char"/>
    <w:qFormat/>
    <w:rsid w:val="00F5723F"/>
    <w:pPr>
      <w:keepNext/>
      <w:keepLines/>
      <w:spacing w:after="0" w:line="240" w:lineRule="auto"/>
      <w:outlineLvl w:val="0"/>
    </w:pPr>
    <w:rPr>
      <w:rFonts w:asciiTheme="majorHAnsi" w:eastAsiaTheme="majorEastAsia" w:hAnsiTheme="majorHAnsi" w:cstheme="majorBidi"/>
      <w:b/>
      <w:bCs/>
      <w:caps/>
      <w:color w:val="FFFFFF" w:themeColor="background1"/>
      <w:sz w:val="40"/>
      <w:szCs w:val="40"/>
      <w:lang w:val="da-DK"/>
    </w:rPr>
  </w:style>
  <w:style w:type="paragraph" w:styleId="Heading2">
    <w:name w:val="heading 2"/>
    <w:basedOn w:val="Numberedtilelevel1"/>
    <w:next w:val="Normal"/>
    <w:link w:val="Heading2Char"/>
    <w:uiPriority w:val="9"/>
    <w:semiHidden/>
    <w:qFormat/>
    <w:rsid w:val="00F5723F"/>
    <w:pPr>
      <w:outlineLvl w:val="1"/>
    </w:pPr>
  </w:style>
  <w:style w:type="paragraph" w:styleId="Heading3">
    <w:name w:val="heading 3"/>
    <w:aliases w:val="Title 2"/>
    <w:basedOn w:val="Numberedtitlelevel2"/>
    <w:next w:val="Normal"/>
    <w:link w:val="Heading3Char"/>
    <w:uiPriority w:val="9"/>
    <w:semiHidden/>
    <w:rsid w:val="00F5723F"/>
    <w:pPr>
      <w:outlineLvl w:val="2"/>
    </w:pPr>
  </w:style>
  <w:style w:type="paragraph" w:styleId="Heading4">
    <w:name w:val="heading 4"/>
    <w:basedOn w:val="Normal"/>
    <w:next w:val="Normal"/>
    <w:link w:val="Heading4Char"/>
    <w:uiPriority w:val="9"/>
    <w:semiHidden/>
    <w:qFormat/>
    <w:rsid w:val="00F5723F"/>
    <w:pPr>
      <w:keepNext/>
      <w:keepLines/>
      <w:numPr>
        <w:ilvl w:val="3"/>
        <w:numId w:val="3"/>
      </w:numPr>
      <w:spacing w:before="200"/>
      <w:outlineLvl w:val="3"/>
    </w:pPr>
    <w:rPr>
      <w:rFonts w:asciiTheme="majorHAnsi" w:eastAsiaTheme="majorEastAsia" w:hAnsiTheme="majorHAnsi" w:cstheme="majorBidi"/>
      <w:b/>
      <w:bCs/>
      <w:i/>
      <w:iCs/>
      <w:color w:val="5B9BD5" w:themeColor="accent1"/>
    </w:rPr>
  </w:style>
  <w:style w:type="paragraph" w:styleId="Heading5">
    <w:name w:val="heading 5"/>
    <w:aliases w:val="Cover subtitle white"/>
    <w:next w:val="Normal"/>
    <w:link w:val="Heading5Char"/>
    <w:semiHidden/>
    <w:qFormat/>
    <w:rsid w:val="00F5723F"/>
    <w:pPr>
      <w:keepNext/>
      <w:keepLines/>
      <w:spacing w:before="200" w:after="0" w:line="240" w:lineRule="auto"/>
      <w:outlineLvl w:val="4"/>
    </w:pPr>
    <w:rPr>
      <w:rFonts w:asciiTheme="majorHAnsi" w:eastAsiaTheme="majorEastAsia" w:hAnsiTheme="majorHAnsi" w:cstheme="majorBidi"/>
      <w:caps/>
      <w:color w:val="FFFFFF" w:themeColor="background1"/>
      <w:sz w:val="28"/>
      <w:szCs w:val="28"/>
      <w:lang w:val="da-DK"/>
    </w:rPr>
  </w:style>
  <w:style w:type="paragraph" w:styleId="Heading6">
    <w:name w:val="heading 6"/>
    <w:basedOn w:val="Normal"/>
    <w:next w:val="Normal"/>
    <w:link w:val="Heading6Char"/>
    <w:uiPriority w:val="9"/>
    <w:semiHidden/>
    <w:qFormat/>
    <w:rsid w:val="00F5723F"/>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qFormat/>
    <w:rsid w:val="00F5723F"/>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F5723F"/>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F5723F"/>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F5723F"/>
    <w:rPr>
      <w:rFonts w:asciiTheme="majorHAnsi" w:eastAsiaTheme="majorEastAsia" w:hAnsiTheme="majorHAnsi" w:cstheme="majorBidi"/>
      <w:b/>
      <w:bCs/>
      <w:caps/>
      <w:color w:val="FFFFFF" w:themeColor="background1"/>
      <w:sz w:val="40"/>
      <w:szCs w:val="40"/>
      <w:lang w:val="da-DK"/>
    </w:rPr>
  </w:style>
  <w:style w:type="character" w:customStyle="1" w:styleId="Heading2Char">
    <w:name w:val="Heading 2 Char"/>
    <w:basedOn w:val="DefaultParagraphFont"/>
    <w:link w:val="Heading2"/>
    <w:uiPriority w:val="9"/>
    <w:semiHidden/>
    <w:rsid w:val="00F5723F"/>
    <w:rPr>
      <w:rFonts w:asciiTheme="majorHAnsi" w:eastAsiaTheme="majorEastAsia" w:hAnsiTheme="majorHAnsi" w:cstheme="majorBidi"/>
      <w:color w:val="44546A" w:themeColor="text2"/>
      <w:spacing w:val="5"/>
      <w:kern w:val="28"/>
      <w:sz w:val="52"/>
      <w:szCs w:val="52"/>
      <w:lang w:val="da-DK"/>
    </w:rPr>
  </w:style>
  <w:style w:type="character" w:customStyle="1" w:styleId="Heading3Char">
    <w:name w:val="Heading 3 Char"/>
    <w:aliases w:val="Title 2 Char"/>
    <w:basedOn w:val="DefaultParagraphFont"/>
    <w:link w:val="Heading3"/>
    <w:uiPriority w:val="9"/>
    <w:semiHidden/>
    <w:rsid w:val="00F5723F"/>
    <w:rPr>
      <w:rFonts w:asciiTheme="majorHAnsi" w:eastAsiaTheme="majorEastAsia" w:hAnsiTheme="majorHAnsi" w:cstheme="majorBidi"/>
      <w:bCs/>
      <w:color w:val="44546A" w:themeColor="text2"/>
      <w:sz w:val="32"/>
      <w:szCs w:val="24"/>
      <w:lang w:val="da-DK"/>
    </w:rPr>
  </w:style>
  <w:style w:type="character" w:customStyle="1" w:styleId="Heading4Char">
    <w:name w:val="Heading 4 Char"/>
    <w:basedOn w:val="DefaultParagraphFont"/>
    <w:link w:val="Heading4"/>
    <w:uiPriority w:val="9"/>
    <w:semiHidden/>
    <w:rsid w:val="00F5723F"/>
    <w:rPr>
      <w:rFonts w:asciiTheme="majorHAnsi" w:eastAsiaTheme="majorEastAsia" w:hAnsiTheme="majorHAnsi" w:cstheme="majorBidi"/>
      <w:b/>
      <w:bCs/>
      <w:i/>
      <w:iCs/>
      <w:color w:val="5B9BD5" w:themeColor="accent1"/>
      <w:szCs w:val="24"/>
    </w:rPr>
  </w:style>
  <w:style w:type="character" w:customStyle="1" w:styleId="Heading5Char">
    <w:name w:val="Heading 5 Char"/>
    <w:aliases w:val="Cover subtitle white Char"/>
    <w:basedOn w:val="DefaultParagraphFont"/>
    <w:link w:val="Heading5"/>
    <w:semiHidden/>
    <w:rsid w:val="00F5723F"/>
    <w:rPr>
      <w:rFonts w:asciiTheme="majorHAnsi" w:eastAsiaTheme="majorEastAsia" w:hAnsiTheme="majorHAnsi" w:cstheme="majorBidi"/>
      <w:caps/>
      <w:color w:val="FFFFFF" w:themeColor="background1"/>
      <w:sz w:val="28"/>
      <w:szCs w:val="28"/>
      <w:lang w:val="da-DK"/>
    </w:rPr>
  </w:style>
  <w:style w:type="character" w:customStyle="1" w:styleId="Heading6Char">
    <w:name w:val="Heading 6 Char"/>
    <w:basedOn w:val="DefaultParagraphFont"/>
    <w:link w:val="Heading6"/>
    <w:uiPriority w:val="9"/>
    <w:semiHidden/>
    <w:rsid w:val="00F5723F"/>
    <w:rPr>
      <w:rFonts w:asciiTheme="majorHAnsi" w:eastAsiaTheme="majorEastAsia" w:hAnsiTheme="majorHAnsi" w:cstheme="majorBidi"/>
      <w:i/>
      <w:iCs/>
      <w:color w:val="1F4D78" w:themeColor="accent1" w:themeShade="7F"/>
      <w:szCs w:val="24"/>
    </w:rPr>
  </w:style>
  <w:style w:type="character" w:customStyle="1" w:styleId="Heading7Char">
    <w:name w:val="Heading 7 Char"/>
    <w:basedOn w:val="DefaultParagraphFont"/>
    <w:link w:val="Heading7"/>
    <w:uiPriority w:val="9"/>
    <w:semiHidden/>
    <w:rsid w:val="00F5723F"/>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F572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5723F"/>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rsid w:val="00F5723F"/>
    <w:pPr>
      <w:numPr>
        <w:numId w:val="7"/>
      </w:numPr>
    </w:pPr>
  </w:style>
  <w:style w:type="paragraph" w:customStyle="1" w:styleId="Numberedtitlelevel2">
    <w:name w:val="Numbered title level 2"/>
    <w:basedOn w:val="Titlelevel2"/>
    <w:next w:val="body"/>
    <w:qFormat/>
    <w:rsid w:val="00F5723F"/>
    <w:pPr>
      <w:numPr>
        <w:ilvl w:val="1"/>
        <w:numId w:val="7"/>
      </w:numPr>
    </w:pPr>
  </w:style>
  <w:style w:type="paragraph" w:customStyle="1" w:styleId="Titlelevel2">
    <w:name w:val="Title level 2"/>
    <w:qFormat/>
    <w:rsid w:val="00F5723F"/>
    <w:pPr>
      <w:spacing w:before="240" w:after="240" w:line="240" w:lineRule="auto"/>
    </w:pPr>
    <w:rPr>
      <w:rFonts w:asciiTheme="majorHAnsi" w:eastAsiaTheme="majorEastAsia" w:hAnsiTheme="majorHAnsi" w:cstheme="majorBidi"/>
      <w:bCs/>
      <w:color w:val="44546A" w:themeColor="text2"/>
      <w:sz w:val="32"/>
      <w:szCs w:val="24"/>
      <w:lang w:val="da-DK"/>
    </w:rPr>
  </w:style>
  <w:style w:type="paragraph" w:customStyle="1" w:styleId="body">
    <w:name w:val="body"/>
    <w:qFormat/>
    <w:rsid w:val="00F5723F"/>
    <w:pPr>
      <w:spacing w:before="240" w:after="120" w:line="276" w:lineRule="auto"/>
      <w:jc w:val="both"/>
    </w:pPr>
    <w:rPr>
      <w:rFonts w:eastAsiaTheme="minorEastAsia"/>
      <w:szCs w:val="24"/>
      <w:lang w:val="da-DK"/>
    </w:rPr>
  </w:style>
  <w:style w:type="paragraph" w:styleId="BalloonText">
    <w:name w:val="Balloon Text"/>
    <w:basedOn w:val="Normal"/>
    <w:link w:val="BalloonTextChar"/>
    <w:uiPriority w:val="99"/>
    <w:semiHidden/>
    <w:rsid w:val="00F572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723F"/>
    <w:rPr>
      <w:rFonts w:ascii="Lucida Grande" w:eastAsiaTheme="minorEastAsia" w:hAnsi="Lucida Grande" w:cs="Lucida Grande"/>
      <w:sz w:val="18"/>
      <w:szCs w:val="18"/>
    </w:rPr>
  </w:style>
  <w:style w:type="paragraph" w:customStyle="1" w:styleId="Tableheader">
    <w:name w:val="Table header"/>
    <w:next w:val="Tabledata"/>
    <w:qFormat/>
    <w:rsid w:val="00F5723F"/>
    <w:pPr>
      <w:spacing w:after="80" w:line="240" w:lineRule="auto"/>
    </w:pPr>
    <w:rPr>
      <w:rFonts w:ascii="Calibri" w:eastAsia="Times New Roman" w:hAnsi="Calibri" w:cs="Times New Roman"/>
      <w:b/>
      <w:color w:val="000000"/>
      <w:lang w:val="da-DK"/>
    </w:rPr>
  </w:style>
  <w:style w:type="paragraph" w:customStyle="1" w:styleId="Tabledata">
    <w:name w:val="Table data"/>
    <w:basedOn w:val="body"/>
    <w:qFormat/>
    <w:rsid w:val="00F5723F"/>
    <w:pPr>
      <w:spacing w:before="120" w:line="240" w:lineRule="auto"/>
    </w:pPr>
    <w:rPr>
      <w:rFonts w:eastAsia="Times New Roman" w:cstheme="minorHAnsi"/>
      <w:bCs/>
      <w:color w:val="000000"/>
      <w:sz w:val="20"/>
      <w:szCs w:val="22"/>
      <w:lang w:val="da-DK" w:eastAsia="en-GB"/>
    </w:rPr>
  </w:style>
  <w:style w:type="paragraph" w:customStyle="1" w:styleId="List1">
    <w:name w:val="List1"/>
    <w:autoRedefine/>
    <w:qFormat/>
    <w:rsid w:val="00F5723F"/>
    <w:pPr>
      <w:numPr>
        <w:numId w:val="5"/>
      </w:numPr>
      <w:spacing w:after="0" w:line="240" w:lineRule="auto"/>
    </w:pPr>
    <w:rPr>
      <w:rFonts w:eastAsiaTheme="minorEastAsia"/>
      <w:lang w:val="da-DK"/>
    </w:rPr>
  </w:style>
  <w:style w:type="paragraph" w:styleId="Footer">
    <w:name w:val="footer"/>
    <w:basedOn w:val="Normal"/>
    <w:link w:val="FooterChar"/>
    <w:uiPriority w:val="99"/>
    <w:rsid w:val="00F5723F"/>
    <w:pPr>
      <w:tabs>
        <w:tab w:val="center" w:pos="4320"/>
        <w:tab w:val="right" w:pos="8640"/>
      </w:tabs>
    </w:pPr>
  </w:style>
  <w:style w:type="character" w:customStyle="1" w:styleId="FooterChar">
    <w:name w:val="Footer Char"/>
    <w:basedOn w:val="DefaultParagraphFont"/>
    <w:link w:val="Footer"/>
    <w:uiPriority w:val="99"/>
    <w:rsid w:val="00F5723F"/>
    <w:rPr>
      <w:rFonts w:eastAsiaTheme="minorEastAsia"/>
      <w:szCs w:val="24"/>
    </w:rPr>
  </w:style>
  <w:style w:type="table" w:styleId="TableGrid">
    <w:name w:val="Table Grid"/>
    <w:basedOn w:val="TableProfessional"/>
    <w:uiPriority w:val="59"/>
    <w:rsid w:val="00F5723F"/>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F5723F"/>
    <w:pPr>
      <w:spacing w:after="0" w:line="240" w:lineRule="auto"/>
    </w:pPr>
    <w:rPr>
      <w:rFonts w:eastAsiaTheme="minorEastAsia"/>
      <w:sz w:val="24"/>
      <w:szCs w:val="24"/>
      <w:lang w:val="da-DK"/>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5723F"/>
    <w:pPr>
      <w:numPr>
        <w:numId w:val="6"/>
      </w:numPr>
      <w:spacing w:before="240" w:after="120" w:line="240" w:lineRule="auto"/>
      <w:contextualSpacing/>
    </w:pPr>
    <w:rPr>
      <w:rFonts w:eastAsiaTheme="minorEastAsia"/>
      <w:szCs w:val="24"/>
      <w:lang w:val="da-DK"/>
    </w:rPr>
  </w:style>
  <w:style w:type="paragraph" w:customStyle="1" w:styleId="Titlelevel1">
    <w:name w:val="Title level 1"/>
    <w:autoRedefine/>
    <w:qFormat/>
    <w:rsid w:val="00F5723F"/>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da-DK"/>
    </w:rPr>
  </w:style>
  <w:style w:type="paragraph" w:customStyle="1" w:styleId="Titlelevel3">
    <w:name w:val="Title level 3"/>
    <w:qFormat/>
    <w:rsid w:val="00F5723F"/>
    <w:pPr>
      <w:spacing w:before="240" w:after="240" w:line="240" w:lineRule="auto"/>
    </w:pPr>
    <w:rPr>
      <w:rFonts w:eastAsiaTheme="minorEastAsia"/>
      <w:b/>
      <w:color w:val="44546A" w:themeColor="text2"/>
      <w:sz w:val="24"/>
      <w:szCs w:val="24"/>
      <w:lang w:val="da-DK"/>
    </w:rPr>
  </w:style>
  <w:style w:type="paragraph" w:customStyle="1" w:styleId="Titlelevel4">
    <w:name w:val="Title level 4"/>
    <w:next w:val="body"/>
    <w:qFormat/>
    <w:rsid w:val="00F5723F"/>
    <w:pPr>
      <w:spacing w:before="240" w:after="240" w:line="240" w:lineRule="auto"/>
    </w:pPr>
    <w:rPr>
      <w:rFonts w:eastAsiaTheme="minorEastAsia"/>
      <w:color w:val="E7E6E6" w:themeColor="background2"/>
      <w:sz w:val="24"/>
      <w:szCs w:val="24"/>
      <w:lang w:val="da-DK"/>
    </w:rPr>
  </w:style>
  <w:style w:type="paragraph" w:customStyle="1" w:styleId="Figuretitle">
    <w:name w:val="Figure title"/>
    <w:basedOn w:val="body"/>
    <w:next w:val="Normal"/>
    <w:autoRedefine/>
    <w:qFormat/>
    <w:rsid w:val="00F5723F"/>
    <w:pPr>
      <w:keepNext/>
      <w:spacing w:before="360" w:after="360"/>
    </w:pPr>
    <w:rPr>
      <w:rFonts w:eastAsia="Times New Roman" w:cs="Times New Roman"/>
      <w:bCs/>
      <w:noProof/>
      <w:color w:val="44546A" w:themeColor="text2"/>
      <w:szCs w:val="20"/>
      <w:lang w:val="da-DK" w:eastAsia="en-GB"/>
    </w:rPr>
  </w:style>
  <w:style w:type="table" w:customStyle="1" w:styleId="EBAtable">
    <w:name w:val="EBA table"/>
    <w:basedOn w:val="TableNormal"/>
    <w:uiPriority w:val="99"/>
    <w:rsid w:val="00F5723F"/>
    <w:pPr>
      <w:spacing w:after="0" w:line="240" w:lineRule="auto"/>
    </w:pPr>
    <w:rPr>
      <w:rFonts w:eastAsiaTheme="minorEastAsia"/>
      <w:sz w:val="24"/>
      <w:szCs w:val="24"/>
      <w:lang w:val="da-DK"/>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character" w:styleId="PageNumber">
    <w:name w:val="page number"/>
    <w:basedOn w:val="DefaultParagraphFont"/>
    <w:uiPriority w:val="99"/>
    <w:semiHidden/>
    <w:rsid w:val="00F5723F"/>
    <w:rPr>
      <w:rFonts w:asciiTheme="minorHAnsi" w:hAnsiTheme="minorHAnsi"/>
      <w:color w:val="auto"/>
      <w:sz w:val="22"/>
    </w:rPr>
  </w:style>
  <w:style w:type="paragraph" w:customStyle="1" w:styleId="Runningtitle">
    <w:name w:val="Running title"/>
    <w:qFormat/>
    <w:rsid w:val="00F5723F"/>
    <w:pPr>
      <w:spacing w:after="0" w:line="240" w:lineRule="auto"/>
    </w:pPr>
    <w:rPr>
      <w:rFonts w:eastAsiaTheme="minorEastAsia"/>
      <w:caps/>
      <w:sz w:val="16"/>
      <w:szCs w:val="18"/>
      <w:lang w:val="da-DK"/>
    </w:rPr>
  </w:style>
  <w:style w:type="paragraph" w:styleId="FootnoteText">
    <w:name w:val="footnote text"/>
    <w:basedOn w:val="body"/>
    <w:link w:val="FootnoteTextChar"/>
    <w:autoRedefine/>
    <w:qFormat/>
    <w:rsid w:val="00F5723F"/>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F5723F"/>
    <w:rPr>
      <w:rFonts w:eastAsiaTheme="minorEastAsia"/>
      <w:sz w:val="18"/>
      <w:szCs w:val="18"/>
      <w:lang w:val="da-DK"/>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5723F"/>
    <w:rPr>
      <w:rFonts w:asciiTheme="minorHAnsi" w:hAnsiTheme="minorHAnsi"/>
      <w:sz w:val="22"/>
      <w:szCs w:val="18"/>
      <w:vertAlign w:val="superscript"/>
    </w:rPr>
  </w:style>
  <w:style w:type="paragraph" w:customStyle="1" w:styleId="bullet1">
    <w:name w:val="bullet 1"/>
    <w:basedOn w:val="body"/>
    <w:next w:val="body"/>
    <w:qFormat/>
    <w:rsid w:val="00F5723F"/>
    <w:pPr>
      <w:numPr>
        <w:numId w:val="2"/>
      </w:numPr>
    </w:pPr>
    <w:rPr>
      <w:szCs w:val="22"/>
    </w:rPr>
  </w:style>
  <w:style w:type="paragraph" w:styleId="TOC1">
    <w:name w:val="toc 1"/>
    <w:autoRedefine/>
    <w:uiPriority w:val="39"/>
    <w:qFormat/>
    <w:rsid w:val="00F5723F"/>
    <w:pPr>
      <w:tabs>
        <w:tab w:val="left" w:pos="312"/>
        <w:tab w:val="left" w:pos="421"/>
        <w:tab w:val="right" w:pos="8771"/>
      </w:tabs>
      <w:spacing w:before="120" w:after="120" w:line="240" w:lineRule="auto"/>
      <w:outlineLvl w:val="0"/>
    </w:pPr>
    <w:rPr>
      <w:rFonts w:eastAsiaTheme="minorEastAsia"/>
      <w:b/>
      <w:bCs/>
      <w:noProof/>
      <w:color w:val="44546A" w:themeColor="text2"/>
      <w:lang w:val="da-DK"/>
    </w:rPr>
  </w:style>
  <w:style w:type="paragraph" w:styleId="TOC2">
    <w:name w:val="toc 2"/>
    <w:next w:val="Normal"/>
    <w:autoRedefine/>
    <w:uiPriority w:val="39"/>
    <w:qFormat/>
    <w:rsid w:val="00F5723F"/>
    <w:pPr>
      <w:tabs>
        <w:tab w:val="left" w:pos="529"/>
        <w:tab w:val="right" w:pos="8771"/>
      </w:tabs>
      <w:spacing w:before="80" w:after="80" w:line="240" w:lineRule="auto"/>
    </w:pPr>
    <w:rPr>
      <w:rFonts w:eastAsiaTheme="minorEastAsia"/>
      <w:noProof/>
      <w:lang w:val="da-DK"/>
    </w:rPr>
  </w:style>
  <w:style w:type="paragraph" w:styleId="TOC3">
    <w:name w:val="toc 3"/>
    <w:basedOn w:val="Normal"/>
    <w:next w:val="Normal"/>
    <w:autoRedefine/>
    <w:uiPriority w:val="39"/>
    <w:qFormat/>
    <w:rsid w:val="00F5723F"/>
    <w:pPr>
      <w:tabs>
        <w:tab w:val="right" w:pos="8771"/>
      </w:tabs>
      <w:ind w:left="567"/>
    </w:pPr>
    <w:rPr>
      <w:szCs w:val="22"/>
    </w:rPr>
  </w:style>
  <w:style w:type="paragraph" w:styleId="TOC4">
    <w:name w:val="toc 4"/>
    <w:basedOn w:val="Normal"/>
    <w:next w:val="Normal"/>
    <w:autoRedefine/>
    <w:uiPriority w:val="39"/>
    <w:rsid w:val="00F5723F"/>
    <w:pPr>
      <w:tabs>
        <w:tab w:val="right" w:pos="8771"/>
      </w:tabs>
      <w:ind w:left="1134"/>
    </w:pPr>
    <w:rPr>
      <w:szCs w:val="22"/>
    </w:rPr>
  </w:style>
  <w:style w:type="paragraph" w:customStyle="1" w:styleId="bullet2">
    <w:name w:val="bullet 2"/>
    <w:basedOn w:val="body"/>
    <w:qFormat/>
    <w:rsid w:val="00F5723F"/>
    <w:pPr>
      <w:numPr>
        <w:numId w:val="1"/>
      </w:numPr>
    </w:pPr>
    <w:rPr>
      <w:szCs w:val="22"/>
    </w:rPr>
  </w:style>
  <w:style w:type="paragraph" w:customStyle="1" w:styleId="Numberedtitlelevel3">
    <w:name w:val="Numbered title level 3"/>
    <w:basedOn w:val="Titlelevel3"/>
    <w:next w:val="body"/>
    <w:qFormat/>
    <w:rsid w:val="00F5723F"/>
    <w:pPr>
      <w:numPr>
        <w:ilvl w:val="2"/>
        <w:numId w:val="7"/>
      </w:numPr>
    </w:pPr>
  </w:style>
  <w:style w:type="table" w:styleId="LightShading">
    <w:name w:val="Light Shading"/>
    <w:basedOn w:val="TableNormal"/>
    <w:uiPriority w:val="60"/>
    <w:rsid w:val="00F5723F"/>
    <w:pPr>
      <w:spacing w:after="0" w:line="240" w:lineRule="auto"/>
    </w:pPr>
    <w:rPr>
      <w:rFonts w:eastAsiaTheme="minorEastAsia"/>
      <w:color w:val="000000" w:themeColor="text1" w:themeShade="BF"/>
      <w:sz w:val="24"/>
      <w:szCs w:val="24"/>
      <w:lang w:val="da-DK"/>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5723F"/>
    <w:pPr>
      <w:spacing w:after="0" w:line="240" w:lineRule="auto"/>
    </w:pPr>
    <w:rPr>
      <w:rFonts w:eastAsiaTheme="minorEastAsia"/>
      <w:color w:val="2E74B5" w:themeColor="accent1" w:themeShade="BF"/>
      <w:sz w:val="24"/>
      <w:szCs w:val="24"/>
      <w:lang w:val="da-DK"/>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Contenttitle">
    <w:name w:val="Content title"/>
    <w:basedOn w:val="Titlelevel1"/>
    <w:qFormat/>
    <w:rsid w:val="00F5723F"/>
  </w:style>
  <w:style w:type="paragraph" w:customStyle="1" w:styleId="Numberedtitlelevel4">
    <w:name w:val="Numbered title level 4"/>
    <w:basedOn w:val="Titlelevel4"/>
    <w:qFormat/>
    <w:rsid w:val="00F5723F"/>
    <w:pPr>
      <w:numPr>
        <w:numId w:val="4"/>
      </w:numPr>
    </w:pPr>
  </w:style>
  <w:style w:type="paragraph" w:styleId="Header">
    <w:name w:val="header"/>
    <w:basedOn w:val="Normal"/>
    <w:link w:val="HeaderChar"/>
    <w:uiPriority w:val="99"/>
    <w:rsid w:val="00F5723F"/>
    <w:pPr>
      <w:tabs>
        <w:tab w:val="center" w:pos="4320"/>
        <w:tab w:val="right" w:pos="8640"/>
      </w:tabs>
    </w:pPr>
  </w:style>
  <w:style w:type="character" w:customStyle="1" w:styleId="HeaderChar">
    <w:name w:val="Header Char"/>
    <w:basedOn w:val="DefaultParagraphFont"/>
    <w:link w:val="Header"/>
    <w:uiPriority w:val="99"/>
    <w:rsid w:val="00F5723F"/>
    <w:rPr>
      <w:rFonts w:eastAsiaTheme="minorEastAsia"/>
      <w:szCs w:val="24"/>
    </w:rPr>
  </w:style>
  <w:style w:type="paragraph" w:styleId="Title">
    <w:name w:val="Title"/>
    <w:basedOn w:val="Normal"/>
    <w:next w:val="Normal"/>
    <w:link w:val="TitleChar"/>
    <w:qFormat/>
    <w:rsid w:val="00F5723F"/>
    <w:pPr>
      <w:pBdr>
        <w:bottom w:val="single" w:sz="8" w:space="4" w:color="5B9BD5" w:themeColor="accent1"/>
      </w:pBdr>
      <w:spacing w:after="300"/>
      <w:contextualSpacing/>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5723F"/>
    <w:rPr>
      <w:rFonts w:asciiTheme="majorHAnsi" w:eastAsiaTheme="majorEastAsia" w:hAnsiTheme="majorHAnsi" w:cstheme="majorBidi"/>
      <w:color w:val="44546A" w:themeColor="text2"/>
      <w:spacing w:val="5"/>
      <w:kern w:val="28"/>
      <w:sz w:val="52"/>
      <w:szCs w:val="52"/>
    </w:rPr>
  </w:style>
  <w:style w:type="paragraph" w:styleId="TableofFigures">
    <w:name w:val="table of figures"/>
    <w:basedOn w:val="Normal"/>
    <w:next w:val="Normal"/>
    <w:autoRedefine/>
    <w:uiPriority w:val="99"/>
    <w:qFormat/>
    <w:rsid w:val="00F5723F"/>
    <w:pPr>
      <w:spacing w:before="160"/>
    </w:pPr>
  </w:style>
  <w:style w:type="paragraph" w:styleId="Subtitle">
    <w:name w:val="Subtitle"/>
    <w:next w:val="Normal"/>
    <w:link w:val="SubtitleChar"/>
    <w:autoRedefine/>
    <w:uiPriority w:val="11"/>
    <w:qFormat/>
    <w:rsid w:val="00F5723F"/>
    <w:pPr>
      <w:numPr>
        <w:ilvl w:val="1"/>
      </w:numPr>
      <w:spacing w:before="240" w:after="120" w:line="240" w:lineRule="auto"/>
    </w:pPr>
    <w:rPr>
      <w:rFonts w:asciiTheme="majorHAnsi" w:eastAsiaTheme="majorEastAsia" w:hAnsiTheme="majorHAnsi" w:cstheme="majorBidi"/>
      <w:color w:val="5B9BD5" w:themeColor="accent1"/>
      <w:sz w:val="32"/>
      <w:szCs w:val="32"/>
    </w:rPr>
  </w:style>
  <w:style w:type="character" w:customStyle="1" w:styleId="SubtitleChar">
    <w:name w:val="Subtitle Char"/>
    <w:basedOn w:val="DefaultParagraphFont"/>
    <w:link w:val="Subtitle"/>
    <w:uiPriority w:val="11"/>
    <w:rsid w:val="00F5723F"/>
    <w:rPr>
      <w:rFonts w:asciiTheme="majorHAnsi" w:eastAsiaTheme="majorEastAsia" w:hAnsiTheme="majorHAnsi" w:cstheme="majorBidi"/>
      <w:color w:val="5B9BD5" w:themeColor="accent1"/>
      <w:sz w:val="32"/>
      <w:szCs w:val="32"/>
    </w:rPr>
  </w:style>
  <w:style w:type="character" w:styleId="BookTitle">
    <w:name w:val="Book Title"/>
    <w:basedOn w:val="DefaultParagraphFont"/>
    <w:uiPriority w:val="33"/>
    <w:qFormat/>
    <w:rsid w:val="00F5723F"/>
    <w:rPr>
      <w:b/>
      <w:bCs/>
      <w:smallCaps/>
      <w:spacing w:val="5"/>
    </w:rPr>
  </w:style>
  <w:style w:type="character" w:customStyle="1" w:styleId="Highlighttext">
    <w:name w:val="Highlight text"/>
    <w:basedOn w:val="DefaultParagraphFont"/>
    <w:uiPriority w:val="1"/>
    <w:semiHidden/>
    <w:qFormat/>
    <w:rsid w:val="00F5723F"/>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5723F"/>
    <w:rPr>
      <w:bCs/>
      <w:lang w:val="da-DK" w:eastAsia="en-GB"/>
    </w:rPr>
  </w:style>
  <w:style w:type="paragraph" w:styleId="ListBullet">
    <w:name w:val="List Bullet"/>
    <w:basedOn w:val="Normal"/>
    <w:semiHidden/>
    <w:qFormat/>
    <w:rsid w:val="00F5723F"/>
    <w:pPr>
      <w:numPr>
        <w:numId w:val="9"/>
      </w:numPr>
      <w:contextualSpacing/>
    </w:pPr>
  </w:style>
  <w:style w:type="character" w:styleId="Hyperlink">
    <w:name w:val="Hyperlink"/>
    <w:basedOn w:val="DefaultParagraphFont"/>
    <w:uiPriority w:val="99"/>
    <w:rsid w:val="00F5723F"/>
    <w:rPr>
      <w:color w:val="0563C1" w:themeColor="hyperlink"/>
      <w:u w:val="single"/>
    </w:rPr>
  </w:style>
  <w:style w:type="paragraph" w:customStyle="1" w:styleId="numberedparagraph">
    <w:name w:val="numbered paragraph"/>
    <w:basedOn w:val="body"/>
    <w:qFormat/>
    <w:rsid w:val="00F5723F"/>
    <w:pPr>
      <w:numPr>
        <w:numId w:val="8"/>
      </w:numPr>
    </w:pPr>
  </w:style>
  <w:style w:type="paragraph" w:styleId="TOC5">
    <w:name w:val="toc 5"/>
    <w:basedOn w:val="Normal"/>
    <w:next w:val="Normal"/>
    <w:autoRedefine/>
    <w:uiPriority w:val="39"/>
    <w:semiHidden/>
    <w:rsid w:val="00F5723F"/>
    <w:pPr>
      <w:ind w:left="880"/>
    </w:pPr>
  </w:style>
  <w:style w:type="paragraph" w:styleId="TOC6">
    <w:name w:val="toc 6"/>
    <w:basedOn w:val="Normal"/>
    <w:next w:val="Normal"/>
    <w:autoRedefine/>
    <w:uiPriority w:val="39"/>
    <w:semiHidden/>
    <w:rsid w:val="00F5723F"/>
    <w:pPr>
      <w:ind w:left="1100"/>
    </w:pPr>
  </w:style>
  <w:style w:type="paragraph" w:styleId="TOC7">
    <w:name w:val="toc 7"/>
    <w:basedOn w:val="Normal"/>
    <w:next w:val="Normal"/>
    <w:autoRedefine/>
    <w:uiPriority w:val="39"/>
    <w:semiHidden/>
    <w:rsid w:val="00F5723F"/>
    <w:pPr>
      <w:ind w:left="1320"/>
    </w:pPr>
  </w:style>
  <w:style w:type="paragraph" w:styleId="TOC8">
    <w:name w:val="toc 8"/>
    <w:basedOn w:val="Normal"/>
    <w:next w:val="Normal"/>
    <w:autoRedefine/>
    <w:uiPriority w:val="39"/>
    <w:semiHidden/>
    <w:rsid w:val="00F5723F"/>
    <w:pPr>
      <w:ind w:left="1540"/>
    </w:pPr>
  </w:style>
  <w:style w:type="paragraph" w:styleId="TOC9">
    <w:name w:val="toc 9"/>
    <w:basedOn w:val="Normal"/>
    <w:next w:val="Normal"/>
    <w:autoRedefine/>
    <w:uiPriority w:val="39"/>
    <w:semiHidden/>
    <w:rsid w:val="00F5723F"/>
    <w:pPr>
      <w:ind w:left="1760"/>
    </w:pPr>
  </w:style>
  <w:style w:type="paragraph" w:customStyle="1" w:styleId="Default">
    <w:name w:val="Default"/>
    <w:rsid w:val="00F5723F"/>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F5723F"/>
    <w:pPr>
      <w:spacing w:before="480"/>
      <w:outlineLvl w:val="9"/>
    </w:pPr>
    <w:rPr>
      <w:caps w:val="0"/>
      <w:color w:val="2E74B5" w:themeColor="accent1" w:themeShade="BF"/>
      <w:sz w:val="28"/>
      <w:szCs w:val="28"/>
    </w:rPr>
  </w:style>
  <w:style w:type="character" w:customStyle="1" w:styleId="Marker">
    <w:name w:val="Marker"/>
    <w:rsid w:val="00F5723F"/>
    <w:rPr>
      <w:color w:val="0000FF"/>
      <w:shd w:val="clear" w:color="auto" w:fill="auto"/>
    </w:rPr>
  </w:style>
  <w:style w:type="character" w:customStyle="1" w:styleId="Marker2">
    <w:name w:val="Marker2"/>
    <w:rsid w:val="00F5723F"/>
    <w:rPr>
      <w:color w:val="FF0000"/>
      <w:shd w:val="clear" w:color="auto" w:fill="auto"/>
    </w:rPr>
  </w:style>
  <w:style w:type="paragraph" w:customStyle="1" w:styleId="Annexetitre">
    <w:name w:val="Annexe titre"/>
    <w:basedOn w:val="Normal"/>
    <w:next w:val="Normal"/>
    <w:rsid w:val="00F5723F"/>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F5723F"/>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F5723F"/>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F5723F"/>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F5723F"/>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F5723F"/>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F5723F"/>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F5723F"/>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F5723F"/>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F5723F"/>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F5723F"/>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F5723F"/>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F5723F"/>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F5723F"/>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F5723F"/>
    <w:rPr>
      <w:sz w:val="16"/>
      <w:szCs w:val="16"/>
    </w:rPr>
  </w:style>
  <w:style w:type="paragraph" w:styleId="CommentText">
    <w:name w:val="annotation text"/>
    <w:basedOn w:val="Normal"/>
    <w:link w:val="CommentTextChar"/>
    <w:uiPriority w:val="99"/>
    <w:unhideWhenUsed/>
    <w:rsid w:val="00F5723F"/>
    <w:rPr>
      <w:sz w:val="20"/>
      <w:szCs w:val="20"/>
    </w:rPr>
  </w:style>
  <w:style w:type="character" w:customStyle="1" w:styleId="CommentTextChar">
    <w:name w:val="Comment Text Char"/>
    <w:basedOn w:val="DefaultParagraphFont"/>
    <w:link w:val="CommentText"/>
    <w:uiPriority w:val="99"/>
    <w:rsid w:val="00F5723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5723F"/>
    <w:rPr>
      <w:b/>
      <w:bCs/>
    </w:rPr>
  </w:style>
  <w:style w:type="character" w:customStyle="1" w:styleId="CommentSubjectChar">
    <w:name w:val="Comment Subject Char"/>
    <w:basedOn w:val="CommentTextChar"/>
    <w:link w:val="CommentSubject"/>
    <w:uiPriority w:val="99"/>
    <w:semiHidden/>
    <w:rsid w:val="00F5723F"/>
    <w:rPr>
      <w:rFonts w:eastAsiaTheme="minorEastAsia"/>
      <w:b/>
      <w:bCs/>
      <w:sz w:val="20"/>
      <w:szCs w:val="20"/>
    </w:rPr>
  </w:style>
  <w:style w:type="paragraph" w:styleId="Caption">
    <w:name w:val="caption"/>
    <w:basedOn w:val="Normal"/>
    <w:next w:val="Normal"/>
    <w:uiPriority w:val="35"/>
    <w:unhideWhenUsed/>
    <w:qFormat/>
    <w:rsid w:val="00F5723F"/>
    <w:pPr>
      <w:spacing w:after="200"/>
    </w:pPr>
    <w:rPr>
      <w:b/>
      <w:bCs/>
      <w:color w:val="5B9BD5" w:themeColor="accent1"/>
      <w:sz w:val="18"/>
      <w:szCs w:val="18"/>
    </w:rPr>
  </w:style>
  <w:style w:type="paragraph" w:customStyle="1" w:styleId="TableMainHeading">
    <w:name w:val="TableMainHeading"/>
    <w:basedOn w:val="Normal"/>
    <w:next w:val="Normal"/>
    <w:uiPriority w:val="99"/>
    <w:rsid w:val="00F5723F"/>
    <w:pPr>
      <w:spacing w:before="120" w:after="120"/>
    </w:pPr>
    <w:rPr>
      <w:rFonts w:ascii="Segoe UI" w:eastAsia="Times New Roman" w:hAnsi="Segoe UI" w:cs="Times New Roman"/>
      <w:szCs w:val="20"/>
    </w:rPr>
  </w:style>
  <w:style w:type="paragraph" w:customStyle="1" w:styleId="TableNote">
    <w:name w:val="TableNote"/>
    <w:basedOn w:val="Normal"/>
    <w:rsid w:val="00F5723F"/>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F5723F"/>
    <w:rPr>
      <w:rFonts w:ascii="EUAlbertina" w:eastAsiaTheme="minorEastAsia" w:hAnsi="EUAlbertina" w:cstheme="minorBidi"/>
      <w:color w:val="auto"/>
      <w:lang w:val="da-DK"/>
    </w:rPr>
  </w:style>
  <w:style w:type="paragraph" w:customStyle="1" w:styleId="CM31">
    <w:name w:val="CM3+1"/>
    <w:basedOn w:val="Default"/>
    <w:next w:val="Default"/>
    <w:uiPriority w:val="99"/>
    <w:rsid w:val="00F5723F"/>
    <w:rPr>
      <w:rFonts w:ascii="EUAlbertina" w:eastAsiaTheme="minorEastAsia" w:hAnsi="EUAlbertina" w:cstheme="minorBidi"/>
      <w:color w:val="auto"/>
      <w:lang w:val="da-DK"/>
    </w:rPr>
  </w:style>
  <w:style w:type="paragraph" w:customStyle="1" w:styleId="CM13">
    <w:name w:val="CM1+3"/>
    <w:basedOn w:val="Default"/>
    <w:next w:val="Default"/>
    <w:uiPriority w:val="99"/>
    <w:rsid w:val="00F5723F"/>
    <w:rPr>
      <w:rFonts w:ascii="EUAlbertina" w:eastAsiaTheme="minorEastAsia" w:hAnsi="EUAlbertina" w:cstheme="minorBidi"/>
      <w:color w:val="auto"/>
      <w:lang w:val="da-DK"/>
    </w:rPr>
  </w:style>
  <w:style w:type="paragraph" w:customStyle="1" w:styleId="CM33">
    <w:name w:val="CM3+3"/>
    <w:basedOn w:val="Default"/>
    <w:next w:val="Default"/>
    <w:uiPriority w:val="99"/>
    <w:rsid w:val="00F5723F"/>
    <w:rPr>
      <w:rFonts w:ascii="EUAlbertina" w:eastAsiaTheme="minorEastAsia" w:hAnsi="EUAlbertina" w:cstheme="minorBidi"/>
      <w:color w:val="auto"/>
      <w:lang w:val="da-DK"/>
    </w:rPr>
  </w:style>
  <w:style w:type="paragraph" w:styleId="Revision">
    <w:name w:val="Revision"/>
    <w:hidden/>
    <w:uiPriority w:val="99"/>
    <w:semiHidden/>
    <w:rsid w:val="00F5723F"/>
    <w:pPr>
      <w:spacing w:after="0" w:line="240" w:lineRule="auto"/>
    </w:pPr>
    <w:rPr>
      <w:rFonts w:eastAsiaTheme="minorEastAsia"/>
      <w:szCs w:val="24"/>
      <w:lang w:val="da-DK"/>
    </w:rPr>
  </w:style>
  <w:style w:type="character" w:customStyle="1" w:styleId="InstructionsTextChar">
    <w:name w:val="Instructions Text Char"/>
    <w:link w:val="InstructionsText"/>
    <w:locked/>
    <w:rsid w:val="00F5723F"/>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F5723F"/>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F5723F"/>
    <w:pPr>
      <w:widowControl w:val="0"/>
    </w:pPr>
    <w:rPr>
      <w:rFonts w:eastAsiaTheme="minorHAnsi"/>
      <w:szCs w:val="22"/>
    </w:rPr>
  </w:style>
  <w:style w:type="character" w:customStyle="1" w:styleId="TeksttreciPogrubienie">
    <w:name w:val="Tekst treści + Pogrubienie"/>
    <w:basedOn w:val="DefaultParagraphFont"/>
    <w:rsid w:val="00F5723F"/>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da-DK"/>
    </w:rPr>
  </w:style>
  <w:style w:type="character" w:customStyle="1" w:styleId="Teksttreci">
    <w:name w:val="Tekst treści_"/>
    <w:basedOn w:val="DefaultParagraphFont"/>
    <w:link w:val="Teksttreci0"/>
    <w:rsid w:val="00F5723F"/>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F5723F"/>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F5723F"/>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F5723F"/>
    <w:rPr>
      <w:rFonts w:ascii="Arial" w:eastAsia="MS Mincho" w:hAnsi="Arial" w:cs="Times New Roman"/>
      <w:b/>
      <w:noProof/>
      <w:szCs w:val="20"/>
    </w:rPr>
  </w:style>
  <w:style w:type="character" w:customStyle="1" w:styleId="InstructionsTabelleberschrift">
    <w:name w:val="Instructions Tabelle Überschrift"/>
    <w:qFormat/>
    <w:rsid w:val="00F5723F"/>
    <w:rPr>
      <w:rFonts w:ascii="Verdana" w:hAnsi="Verdana" w:cs="Times New Roman"/>
      <w:b/>
      <w:bCs/>
      <w:sz w:val="20"/>
      <w:u w:val="single"/>
    </w:rPr>
  </w:style>
  <w:style w:type="paragraph" w:styleId="EndnoteText">
    <w:name w:val="endnote text"/>
    <w:basedOn w:val="Normal"/>
    <w:link w:val="EndnoteTextChar"/>
    <w:uiPriority w:val="99"/>
    <w:semiHidden/>
    <w:unhideWhenUsed/>
    <w:rsid w:val="00F5723F"/>
    <w:rPr>
      <w:sz w:val="20"/>
      <w:szCs w:val="20"/>
      <w:lang w:val="da-DK"/>
    </w:rPr>
  </w:style>
  <w:style w:type="character" w:customStyle="1" w:styleId="EndnoteTextChar">
    <w:name w:val="Endnote Text Char"/>
    <w:basedOn w:val="DefaultParagraphFont"/>
    <w:link w:val="EndnoteText"/>
    <w:uiPriority w:val="99"/>
    <w:semiHidden/>
    <w:rsid w:val="00F5723F"/>
    <w:rPr>
      <w:rFonts w:eastAsiaTheme="minorEastAsia"/>
      <w:sz w:val="20"/>
      <w:szCs w:val="20"/>
      <w:lang w:val="da-DK"/>
    </w:rPr>
  </w:style>
  <w:style w:type="character" w:styleId="EndnoteReference">
    <w:name w:val="endnote reference"/>
    <w:basedOn w:val="DefaultParagraphFont"/>
    <w:uiPriority w:val="99"/>
    <w:semiHidden/>
    <w:unhideWhenUsed/>
    <w:rsid w:val="00F5723F"/>
    <w:rPr>
      <w:vertAlign w:val="superscript"/>
    </w:rPr>
  </w:style>
  <w:style w:type="character" w:customStyle="1" w:styleId="Nagwek2">
    <w:name w:val="Nagłówek #2_"/>
    <w:basedOn w:val="DefaultParagraphFont"/>
    <w:link w:val="Nagwek20"/>
    <w:rsid w:val="00F5723F"/>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F5723F"/>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F5723F"/>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F5723F"/>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F5723F"/>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F5723F"/>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F5723F"/>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da-DK"/>
    </w:rPr>
  </w:style>
  <w:style w:type="character" w:customStyle="1" w:styleId="DeltaViewInsertion">
    <w:name w:val="DeltaView Insertion"/>
    <w:uiPriority w:val="99"/>
    <w:rsid w:val="00F5723F"/>
    <w:rPr>
      <w:b/>
      <w:i/>
      <w:color w:val="00C000"/>
    </w:rPr>
  </w:style>
  <w:style w:type="character" w:customStyle="1" w:styleId="DeltaViewDeletion">
    <w:name w:val="DeltaView Deletion"/>
    <w:uiPriority w:val="99"/>
    <w:rsid w:val="00F5723F"/>
    <w:rPr>
      <w:strike/>
      <w:color w:val="FF0000"/>
    </w:rPr>
  </w:style>
  <w:style w:type="paragraph" w:customStyle="1" w:styleId="BodyText1">
    <w:name w:val="Body Text1"/>
    <w:basedOn w:val="Normal"/>
    <w:qFormat/>
    <w:rsid w:val="00F5723F"/>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F5723F"/>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F5723F"/>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F5723F"/>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F5723F"/>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D7D31" w:themeColor="accent2"/>
      <w:sz w:val="20"/>
      <w:szCs w:val="20"/>
    </w:rPr>
  </w:style>
  <w:style w:type="paragraph" w:styleId="ListNumber">
    <w:name w:val="List Number"/>
    <w:basedOn w:val="Normal"/>
    <w:uiPriority w:val="9"/>
    <w:qFormat/>
    <w:rsid w:val="00F5723F"/>
    <w:pPr>
      <w:numPr>
        <w:numId w:val="11"/>
      </w:numPr>
      <w:contextualSpacing/>
    </w:pPr>
  </w:style>
  <w:style w:type="character" w:customStyle="1" w:styleId="Stopka2">
    <w:name w:val="Stopka2"/>
    <w:basedOn w:val="DefaultParagraphFont"/>
    <w:rsid w:val="00F5723F"/>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F5723F"/>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F5723F"/>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F5723F"/>
    <w:rPr>
      <w:rFonts w:ascii="Calibri" w:eastAsia="Calibri" w:hAnsi="Calibri" w:cs="Calibri"/>
      <w:b w:val="0"/>
      <w:bCs w:val="0"/>
      <w:i/>
      <w:iCs/>
      <w:smallCaps w:val="0"/>
      <w:strike w:val="0"/>
      <w:color w:val="000000"/>
      <w:spacing w:val="0"/>
      <w:w w:val="100"/>
      <w:position w:val="0"/>
      <w:sz w:val="19"/>
      <w:szCs w:val="19"/>
      <w:u w:val="none"/>
      <w:shd w:val="clear" w:color="auto" w:fill="FFFFFF"/>
      <w:lang w:val="da-DK"/>
    </w:rPr>
  </w:style>
  <w:style w:type="character" w:customStyle="1" w:styleId="Podpistabeli2">
    <w:name w:val="Podpis tabeli (2)_"/>
    <w:basedOn w:val="DefaultParagraphFont"/>
    <w:link w:val="Podpistabeli20"/>
    <w:rsid w:val="00F5723F"/>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F5723F"/>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F5723F"/>
    <w:pPr>
      <w:numPr>
        <w:numId w:val="12"/>
      </w:numPr>
    </w:pPr>
  </w:style>
  <w:style w:type="paragraph" w:customStyle="1" w:styleId="Baseparagraphnumbered">
    <w:name w:val="Base paragraph numbered"/>
    <w:basedOn w:val="Normal"/>
    <w:link w:val="BaseparagraphnumberedChar"/>
    <w:qFormat/>
    <w:rsid w:val="00F5723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F5723F"/>
    <w:rPr>
      <w:rFonts w:ascii="Times New Roman" w:eastAsia="Times New Roman" w:hAnsi="Times New Roman" w:cs="Times New Roman"/>
      <w:sz w:val="24"/>
      <w:szCs w:val="24"/>
      <w:lang w:eastAsia="en-GB"/>
    </w:rPr>
  </w:style>
  <w:style w:type="numbering" w:customStyle="1" w:styleId="Style3">
    <w:name w:val="Style3"/>
    <w:rsid w:val="00F5723F"/>
    <w:pPr>
      <w:numPr>
        <w:numId w:val="13"/>
      </w:numPr>
    </w:pPr>
  </w:style>
  <w:style w:type="character" w:customStyle="1" w:styleId="InstructionsTabelleText">
    <w:name w:val="Instructions Tabelle Text"/>
    <w:rsid w:val="00F5723F"/>
    <w:rPr>
      <w:rFonts w:ascii="Verdana" w:hAnsi="Verdana" w:cs="Times New Roman"/>
      <w:sz w:val="20"/>
    </w:rPr>
  </w:style>
  <w:style w:type="paragraph" w:customStyle="1" w:styleId="InstructionsText2">
    <w:name w:val="Instructions Text 2"/>
    <w:basedOn w:val="Normal"/>
    <w:qFormat/>
    <w:rsid w:val="00F5723F"/>
    <w:pPr>
      <w:numPr>
        <w:numId w:val="18"/>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F5723F"/>
    <w:rPr>
      <w:rFonts w:ascii="Times New Roman" w:eastAsia="Times New Roman" w:hAnsi="Times New Roman" w:cs="Times New Roman"/>
      <w:b/>
      <w:bCs/>
      <w:color w:val="000000"/>
      <w:spacing w:val="4"/>
      <w:w w:val="100"/>
      <w:position w:val="0"/>
      <w:sz w:val="21"/>
      <w:szCs w:val="21"/>
      <w:shd w:val="clear" w:color="auto" w:fill="FFFFFF"/>
      <w:lang w:val="da-DK"/>
    </w:rPr>
  </w:style>
  <w:style w:type="character" w:customStyle="1" w:styleId="TeksttreciTimesNewRoman105ptOdstpy0pt">
    <w:name w:val="Tekst treści + Times New Roman;10;5 pt;Odstępy 0 pt"/>
    <w:basedOn w:val="Teksttreci"/>
    <w:rsid w:val="00F5723F"/>
    <w:rPr>
      <w:rFonts w:ascii="Times New Roman" w:eastAsia="Times New Roman" w:hAnsi="Times New Roman" w:cs="Times New Roman"/>
      <w:color w:val="000000"/>
      <w:spacing w:val="4"/>
      <w:w w:val="100"/>
      <w:position w:val="0"/>
      <w:sz w:val="21"/>
      <w:szCs w:val="21"/>
      <w:shd w:val="clear" w:color="auto" w:fill="FFFFFF"/>
      <w:lang w:val="da-DK"/>
    </w:rPr>
  </w:style>
  <w:style w:type="character" w:customStyle="1" w:styleId="Teksttreci5">
    <w:name w:val="Tekst treści (5)_"/>
    <w:basedOn w:val="DefaultParagraphFont"/>
    <w:link w:val="Teksttreci50"/>
    <w:rsid w:val="00F5723F"/>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F5723F"/>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DA/TXT/?uri=OJ:L_202401623" TargetMode="External"/><Relationship Id="rId1" Type="http://schemas.openxmlformats.org/officeDocument/2006/relationships/hyperlink" Target="https://eur-lex.europa.eu/legal-content/DA/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6E9EA8-9C58-45A0-94AC-71561A441B72}">
  <ds:schemaRefs>
    <ds:schemaRef ds:uri="http://schemas.openxmlformats.org/officeDocument/2006/bibliography"/>
  </ds:schemaRefs>
</ds:datastoreItem>
</file>

<file path=customXml/itemProps2.xml><?xml version="1.0" encoding="utf-8"?>
<ds:datastoreItem xmlns:ds="http://schemas.openxmlformats.org/officeDocument/2006/customXml" ds:itemID="{AE55538A-2E5A-48E2-9EE5-07A55CA4FB37}"/>
</file>

<file path=customXml/itemProps3.xml><?xml version="1.0" encoding="utf-8"?>
<ds:datastoreItem xmlns:ds="http://schemas.openxmlformats.org/officeDocument/2006/customXml" ds:itemID="{D9E8D6FE-9E9E-441B-AEDA-76469FA82ABD}"/>
</file>

<file path=customXml/itemProps4.xml><?xml version="1.0" encoding="utf-8"?>
<ds:datastoreItem xmlns:ds="http://schemas.openxmlformats.org/officeDocument/2006/customXml" ds:itemID="{A5F50AF7-251B-47DF-90FD-35B0514A37C3}"/>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36</TotalTime>
  <Pages>27</Pages>
  <Words>9202</Words>
  <Characters>50065</Characters>
  <Application>Microsoft Office Word</Application>
  <DocSecurity>0</DocSecurity>
  <Lines>1283</Lines>
  <Paragraphs>759</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7</cp:revision>
  <dcterms:created xsi:type="dcterms:W3CDTF">2021-03-11T12:07:00Z</dcterms:created>
  <dcterms:modified xsi:type="dcterms:W3CDTF">2024-09-26T14:50:00Z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2eb1dcde,5347ea02,64dc22dd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2024-09-26T14:50:22Z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4fac10e8-7355-4194-82db-684ef5159f33</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