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XXVIII PRIEDAS. Pakeitimo vertybiniais popieriais pozicijų atskleidimo nurodymai</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 SECA lentelė. Su pakeitimo vertybiniais popieriais pozicijomis susiję kokybinės informacijos atskleidimo reikalavimai. </w:t>
      </w:r>
      <w:r>
        <w:rPr>
          <w:rFonts w:ascii="Times New Roman" w:hAnsi="Times New Roman"/>
          <w:sz w:val="24"/>
        </w:rPr>
        <w:t>Laisvos formos teksto laukeliai, skirti kokybinei informacijai atskleisti</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Pildydamos EBI IT sprendimų XXVII priede pateiktą EU SECA lentelę įstaigos atskleidžia Reglamento (ES) Nr. 575/2013</w:t>
      </w:r>
      <w:r>
        <w:rPr>
          <w:rStyle w:val="FootnoteReference"/>
          <w:bCs/>
        </w:rPr>
        <w:footnoteReference w:id="1"/>
      </w:r>
      <w:r>
        <w:rPr>
          <w:rFonts w:ascii="Times New Roman" w:hAnsi="Times New Roman"/>
          <w:sz w:val="24"/>
        </w:rPr>
        <w:t xml:space="preserve"> (toliau – KRR) 449 straipsnio a–i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Eilutės nuoroda</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Aprašoma pakeitimo vertybiniais popieriais ir pakartotinio pakeitimo vertybiniais popieriais veikla, nurodant su šia veikla susijusius rizikos valdymo ir investavimo tikslus, savo vaidmenį pakeitimo vertybiniais popieriais ir pakartotinio pakeitimo vertybiniais popieriais sandoriuose, nepriklausomai nuo to, ar įstaigos naudojasi paprasto, skaidraus ir standartizuoto (PSS) pakeitimo vertybiniais popieriais sistema, ir nuo to, kokiu mastu jos naudoja pakeitimo vertybiniais popieriais sandorius, kad pakeistų vertybiniais popieriais pozicijų kredito riziką perleistų trečiosioms šalims, ir atitinkamais atvejais pateikiant atskirą savo sintetinio pakeitimo vertybiniais popieriais būdu atliekamo rizikos perleidimo politikos aprašymą pagal KRR 449 straipsnio a punktą.</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Įstaigoms kylančios su pakeitimo vertybiniais popieriais ir pakartotinio pakeitimo vertybiniais popieriais veikla susijusios rizikos rūšis pagal atitinkamų pakeitimo vertybiniais popieriais pozicijų prioritetą, atskiriant PSS ir ne PSS pozicijas, ir:</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pačių įstaigų inicijuotuose sandoriuose išlaikyta rizika;</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su trečiųjų šalių inicijuotais sandoriais susijusi prisiimta rizika,</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449 straipsnio b punktą.</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Įstaigų taikomi pagal riziką įvertintų pozicijų sumų apskaičiavimo metodai, kuriuos įstaigos taiko vykdydamos pakeitimo vertybiniais popieriais veiklą, įskaitant pakeitimo vertybiniais popieriais pozicijų rūšis, kurioms taikomas kiekvienas metodas, ir atskiriant PSS ir ne PSS pozicijas, pagal KRR 449 straipsnio c punktą.</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Toliau nurodytoms kategorijoms priskiriamų SPPVPS sąrašas, aprašant pozicijų tų SPPVPS atžvilgiu rūšis, įskaitant išvestinių finansinių priemonių sutartis:</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SPPVPS, kurie įsigyja įstaigų inicijuotas pozicijas;</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SPPVPS, kuriuos remia įstaigos;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SPPVPS ir kiti juridiniai subjektai, kuriems įstaigos teikia su pakeitimu vertybiniais popieriais susijusias paslaugas, pvz., konsultavimo, turto priežiūros ar valdymo paslaugas; </w:t>
            </w:r>
          </w:p>
          <w:p w14:paraId="3EBB09FF" w14:textId="3DA39BA0" w:rsidR="007224D6" w:rsidRPr="007F4CC8" w:rsidRDefault="007224D6" w:rsidP="00AC1B02">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iv) SPPVPS, įtraukti į įstaigų </w:t>
            </w:r>
            <w:proofErr w:type="spellStart"/>
            <w:r>
              <w:rPr>
                <w:rFonts w:ascii="Times New Roman" w:hAnsi="Times New Roman"/>
                <w:sz w:val="24"/>
              </w:rPr>
              <w:t>prudencinio</w:t>
            </w:r>
            <w:proofErr w:type="spellEnd"/>
            <w:r>
              <w:rPr>
                <w:rFonts w:ascii="Times New Roman" w:hAnsi="Times New Roman"/>
                <w:sz w:val="24"/>
              </w:rPr>
              <w:t xml:space="preserve"> konsolidavimo apimtį pagal KRR 449 straipsnio d punktą.</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Visų juridinių subjektų, kuriems, kaip nurodė įstaigos, jos suteikė paramą pagal KRR trečios dalies II antraštinės dalies 5 skyriaus 449 straipsnio e punktą, sąrašas.</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Su įstaigomis susijusių juridinių subjektų, investuojančių į įstaigų inicijuotus pakeitimo vertybiniais popieriais sandorius arba į įstaigų remiamų SPPVPS išleistas pakeitimo vertybiniais popieriais pozicijas pagal KRR 449 straipsnio f punktą, sąrašas.</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Įstaigos pakeitimo vertybiniais popieriais veiklos apskaitos politikos santrauka, prireikus atskiriant pakeitimo vertybiniais popieriais ir pakartotinio pakeitimo vertybiniais popieriais pozicijas, pagal KRR 449 straipsnio g punktą.</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ECAI, naudojamų pakeitimo vertybiniais popieriais sandoriams, pavadinimai ir pozicijų, kurių atveju naudojamasi kiekviena agentūra, rūšys pagal KRR 449 straipsnio h punktą.</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Kai taikytina, vidaus vertinimo metodo, nustatyto KRR trečios dalies II antraštinės dalies 5 skyriuje, aprašymas, įskaitant vidaus vertinimo proceso struktūrą ir vidaus vertinimo bei atitinkamos ECAI, kurios pavadinimas atskleidžiamas pagal h punktą, išorės reitingų ryšį, vidaus vertinimo proceso kontrolės mechanizmus, įskaitant nepriklausomumo, atskaitomybės apibūdinimą ir vidaus vertinimo proceso peržiūros aprašymą, pozicijų rūšis, kurioms taikomas vidaus vertinimo procesas, ir nepalankius veiksnius, naudojamus nustatant kredito vertės padidinimo lygius, pagal KRR 449 straipsnio i punktą.</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 SEC1 forma. Pakeitimo vertybiniais popieriais pozicijos ne prekybos knygoje </w:t>
      </w:r>
      <w:r>
        <w:rPr>
          <w:rFonts w:ascii="Times New Roman" w:hAnsi="Times New Roman"/>
          <w:sz w:val="24"/>
        </w:rPr>
        <w:t>(nustatytasis formatas)</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Pildydamos šio įgyvendinimo reglamento XXVII priede pateiktą EU SEC1 formą įstaigos atskleidžia KRR 449 straipsnio j punkte nurodytą informaciją, vadovaudamosi toliau šiame priede pateiktais nurodymais. Prie formos pridedamose aiškinamosiose pastabose įstaigos paaiškina, ar vykdo tradicinio pakeitimo vertybiniais popieriais sandorius pagal ABCP programas ir, jei taip, nurodo ABCP sandorių apimtį.</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Įstaiga veikia kaip iniciatorė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Kai įstaiga veikia kaip iniciatorė, kaip apibrėžta KRR 4 straipsnio 1 dalies 13 punkte, pakeitimo vertybiniais popieriais pozicijos yra išlaikytos pozicijos, net </w:t>
            </w:r>
            <w:r>
              <w:rPr>
                <w:rFonts w:ascii="Times New Roman" w:hAnsi="Times New Roman"/>
                <w:sz w:val="24"/>
              </w:rPr>
              <w:lastRenderedPageBreak/>
              <w:t>jei jos neatitinka reikalavimų pagal pakeitimo vertybiniais popieriais sistemą, nes reikšminga rizika nėra perleidžiama. Sandorių pakeitimo vertybiniais popieriais pozicijos, kuriomis yra pasiektas reikšmingos rizikos perleidimas, pateikiamos atskirai.</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iniciatorės atskleidžia visų turimų pakeitimo vertybiniais popieriais pozicijų, susidariusių dėl jų inicijuotų pakeitimo vertybiniais popieriais sandorių, balansinę vertę informacijos atskleidimo datą. Atskleidžiamos su tais pakeitimo vertybiniais popieriais sandoriais susijusios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Įstaiga veikia kaip rėmėja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Kai įstaiga veikia kaip rėmėja (kaip apibrėžta KRR 4 straipsnio 1 dalies 14 punkte), pakeitimo vertybiniais popieriais pozicijos apima komercinių vekselių struktūrinio investavimo įmonės, kuriai įstaiga teikia vertės didinimo pagal programą priemones, likvidumo ir kitas priemones, pozicijas. Kai įstaiga atlieka tiek iniciatorės, tiek rėmėjos funkcijas, ji vengia dvigubo skaičiavimo. Šiuo atveju įstaiga gali sujungti abi skiltis („Įstaiga veikia kaip iniciatorė“ ir „Įstaiga veikia kaip rėmėja“) ir pildyti skiltis „Įstaiga veikia kaip iniciatorė / rėmėja“.</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Įstaiga veikia kaip investuotoja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Kai įstaiga veikia kaip investuotoja, pakeitimo vertybiniais popieriais pozicijos yra pagal sandorius su trečiosiomis šalimis įsigytos investicijų pozicijos.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KRR aiški investuotojo apibrėžtis nėra pateikta. Todėl šiuo atveju investuotoju laikoma įstaiga, turinti pakeitimo vertybiniais popieriais poziciją, kurią sudaro pakeitimo vertybiniais popieriais sandoris, kurio atžvilgiu ji nėra nei iniciatorė, nei rėmėja.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Jeigu vertybiniais popieriais pakeistų pozicijų grupę sudaro įvairių rūšių pakeitimo vertybiniais popieriais pozicijos, įstaiga nurodo svarbiausią rūšį.</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Tradiciniai sandoriai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Remiantis KRR 242 straipsnio 13 punktu kartu su Reglamento (ES) 2017/2402</w:t>
            </w:r>
            <w:r>
              <w:rPr>
                <w:rStyle w:val="FootnoteReference"/>
                <w:rFonts w:eastAsia="Times New Roman" w:cs="Times New Roman"/>
                <w:iCs/>
              </w:rPr>
              <w:footnoteReference w:id="2"/>
            </w:r>
            <w:r>
              <w:rPr>
                <w:rFonts w:ascii="Times New Roman" w:hAnsi="Times New Roman"/>
                <w:sz w:val="24"/>
              </w:rPr>
              <w:t xml:space="preserve"> 2 straipsnio 9 punktu, tradicinis pakeitimas vertybiniais popieriais – pakeitimas vertybiniais popieriais, susijęs su ekonominių interesų pozicijose, kurios pakeičiamos vertybiniais popieriais, perleidimu. Tai atliekama vertybiniais popieriais pakeistų pozicijų nuosavybės teisę perleidžiant iš įstaigos iniciatorės specialios paskirties pakeitimo vertybiniais </w:t>
            </w:r>
            <w:r>
              <w:rPr>
                <w:rFonts w:ascii="Times New Roman" w:hAnsi="Times New Roman"/>
                <w:sz w:val="24"/>
              </w:rPr>
              <w:lastRenderedPageBreak/>
              <w:t>popieriais subjektui (SPPVPS) arba SPPVPS dalinio dalyvavimo būdu. Išleisti vertybiniai popieriai nėra įstaigos iniciatorės mokėjimo prievolės.</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Tradicinio pakeitimo vertybiniais popieriais atveju, kai įstaiga iniciatorė jokios pozicijos neturi, ji to pakeitimo vertybiniais popieriais į šią formą neįtraukia.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Sintetiniai sandoriai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Remiantis KRR 242 straipsnio 14 punktu kartu su Reglamento (ES) 2017/2402 2 straipsnio 10 punktu, sintetinis pakeitimas vertybiniais popieriais – pakeitimas vertybiniais popieriais, kai rizika perleidžiama naudojant kredito išvestines finansines priemones arba garantijas, o vertybiniais popieriais pakeičiamos pozicijos lieka įstaigos iniciatorės pozicijomis.</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Jei įstaiga yra įsigijusi užtikrinimą, ji šios formos skiltyse „įstaiga iniciatorė / rėmėja“ atskleidžia turimas grynąsias pozicijos sumas, kurioms netaikomas įsigytas užtikrinimas (t. y. sumą, kuri nėra užtikrinta). Jei įstaiga yra pardavusi užtikrinimą, šios formos skiltyje „investuotoja“ atskleidžiama kredito užtikrinimo pozicijos suma.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PSS pozicija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Bendra PSS pakeitimo vertybiniais popieriais pozicijų suma, apskaičiuota pagal Reglamento (ES) 2017/2402 18–26 straipsnių kriterijus.</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Pozicija, kurios atžvilgiu atliktas reikšmingas rizikos perleidimas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Pakeitimo vertybiniais popieriais pozicijų, kurių atžvilgiu įstaiga iniciatorė yra pasiekusi reikšmingą rizikos perleidimą pagal KRR 244 straipsnį (tradicinis pakeitimas vertybiniais popieriais) ir 245 straipsnį (sintetinis pakeitimas vertybiniais popieriais), bendra suma.</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Pakartotinis pakeitimas vertybiniais popieriais</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Bendra neapmokėtų pakartotinio pakeitimo vertybiniais popieriais, apibrėžto KRR 4 straipsnio 1 dalies 63 ir 64 punktuose, pozicijų suma.</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Visos su pakartotiniu pakeitimu vertybiniais popieriais susijusios pozicijos įrašomos į eilutes „pakartotinis pakeitimas vertybiniais popieriais“, o ne į pirmesnes eilutes (pagal pagrindinio turto rūšį), kuriose pateikiamos tik pakeitimo vertybiniais popieriais pozicijos, išskyrus pakartotinio pakeitimo vertybiniais popieriais pozicijas.</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Default="007224D6" w:rsidP="007224D6">
      <w:pPr>
        <w:rPr>
          <w:rFonts w:ascii="Times New Roman" w:hAnsi="Times New Roman" w:cs="Times New Roman"/>
          <w:sz w:val="24"/>
        </w:rPr>
      </w:pPr>
    </w:p>
    <w:p w14:paraId="412A4207" w14:textId="77777777" w:rsidR="00AC1B02" w:rsidRDefault="00AC1B02" w:rsidP="007224D6">
      <w:pPr>
        <w:rPr>
          <w:rFonts w:ascii="Times New Roman" w:hAnsi="Times New Roman" w:cs="Times New Roman"/>
          <w:sz w:val="24"/>
        </w:rPr>
      </w:pPr>
    </w:p>
    <w:p w14:paraId="1714C53B" w14:textId="77777777" w:rsidR="00AC1B02" w:rsidRDefault="00AC1B02" w:rsidP="007224D6">
      <w:pPr>
        <w:rPr>
          <w:rFonts w:ascii="Times New Roman" w:hAnsi="Times New Roman" w:cs="Times New Roman"/>
          <w:sz w:val="24"/>
        </w:rPr>
      </w:pPr>
    </w:p>
    <w:p w14:paraId="13641526" w14:textId="77777777" w:rsidR="00AC1B02" w:rsidRDefault="00AC1B02" w:rsidP="007224D6">
      <w:pPr>
        <w:rPr>
          <w:rFonts w:ascii="Times New Roman" w:hAnsi="Times New Roman" w:cs="Times New Roman"/>
          <w:sz w:val="24"/>
        </w:rPr>
      </w:pPr>
    </w:p>
    <w:p w14:paraId="74B9FFBD" w14:textId="77777777" w:rsidR="00AC1B02" w:rsidRPr="007F4CC8" w:rsidRDefault="00AC1B02"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lastRenderedPageBreak/>
        <w:t xml:space="preserve">EU SEC2 forma. Pakeitimo vertybiniais popieriais pozicijos prekybos knygoje </w:t>
      </w:r>
      <w:r>
        <w:rPr>
          <w:rFonts w:ascii="Times New Roman" w:hAnsi="Times New Roman"/>
          <w:sz w:val="24"/>
        </w:rPr>
        <w:t>(nustatytasis formatas)</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Pildydamos šio įgyvendinimo reglamento XXVII priede pateiktą EU SEC2 formą įstaigos atskleidžia KRR 449 straipsnio j punkte nurodytą informaciją, vadovaudamosi toliau šiame priede pateiktais nurodymais.</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Įstaigos vadovaujasi EU SEC1 formoje „Pakeitimo vertybiniais popieriais pozicijos ne prekybos knygoje“ pateiktais nurodymais.</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EU SEC3 forma. Pakeitimo vertybiniais popieriais pozicijos ne prekybos knygoje ir susiję reguliuojamojo kapitalo reikalavimai. Įstaiga, veikianti kaip iniciatorė arba rėmėja </w:t>
      </w:r>
      <w:r>
        <w:rPr>
          <w:rFonts w:ascii="Times New Roman" w:hAnsi="Times New Roman"/>
          <w:sz w:val="24"/>
        </w:rPr>
        <w:t>(nustatytasis formatas)</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Pildydamos šio įgyvendinimo reglamento XXVII priede pateiktą EU SEC3 formą įstaigos atskleidžia KRR 449 straipsnio k punkto i papunktyje nurodytą informaciją, vadovaudamosi toliau šiame priede pateiktais nurodymais.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Pozicijos vertės (pagal rizikos koeficientų intervalus / atskaitymus)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 formos a–d skiltyse atskleistinos vertės, susijusios su teisės aktais nustatytais rizikos koeficientais, yra nustatomos pagal KRR trečios dalies II antraštinės dalies 5 skyrių.</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Pozicijos vertės (pagal reguliavimo metodą)</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 formos f–h skiltyse nurodomas taikytas reguliavimo metodas laikantis KRR 254 straipsnyje nustatytos metodų hierarchijos.</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(pagal reguliavimo metodą)</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riziką įvertintų pozicijų suma (RWEA) pagal reguliavimo metodą pagal KRR trečios dalies II antraštinės dalies 5 skyrių prieš taikant viršutinę ribą.</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Kapitalo poreikio koeficientas pritaikius viršutinę ribą</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Šiose skiltyse nurodomas kapitalo poreikio koeficientas pritaikius viršutinę ribą pagal KRR 267 ir 268 straipsnius.</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1 250 % rizikos koeficientas / atskaitymai</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Skiltyse nurodomi straipsniai:</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kuriems pagal KRR trečios dalies II antraštinės dalies 5 skyrių taikomas 1 250 % rizikos koeficientas arba kurie yra atskaitomi;</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kuriems pagal KRR 244 straipsnio 1 dalies b punktą arba 245 straipsnio 1 dalies b punktą taikomas 1 250 % rizikos koeficientas arba kurie yra atskaitomi;</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kuriems pagal KRR 254 straipsnio 7 dalį taikomas 1 250 % rizikos koeficientas;</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arba kurie pagal KRR 253 straipsnį yra atskaitomi.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Bendra pozicijų suma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Bendra pozicijų suma – bendra įstaigos, kuri veikia kaip iniciatorė arba rėmėja, turimų pakeitimo vertybiniais popieriais pozicijų ir pakartotinio pakeitimo vertybiniais popieriais pozicijų suma. Šioje eilutėje apibendrinama tolesnėse eilutėse įstaigų iniciatorių ir rėmėjų atskleidžiama informacija apie tradicinį ir sintetinį pakeitimą vertybiniais popieriais.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Tradiciniai sandoriai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Žr. paaiškinimą EU SEC1 formoje.</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Pakeitimas vertybiniais popieriais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Bendra neapmokėtų KRR 4 straipsnio 1 dalies 62 punkte apibrėžtų pakeitimo vertybiniais popieriais pozicijų, kurios nėra KRR 4 straipsnio 1 dalies 64 punkte apibrėžtos pakartotinio pakeitimo vertybiniais popieriais pozicijos, suma.</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PSS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Pakartotinis pakeitimas vertybiniais popieriais</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Sintetiniai sandoriai</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EU SEC4 forma. Pakeitimo vertybiniais popieriais pozicijos ne prekybos knygoje ir susiję reguliuojamojo kapitalo reikalavimai. Įstaiga, veikianti kaip investuotoja </w:t>
      </w:r>
      <w:r>
        <w:rPr>
          <w:rFonts w:ascii="Times New Roman" w:hAnsi="Times New Roman"/>
          <w:sz w:val="24"/>
        </w:rPr>
        <w:t>(nustatytasis formatas)</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Pildydamos šio įgyvendinimo reglamento XXVII priede pateiktą EU SEC4 formą įstaigos atskleidžia KRR 449 straipsnio k punkto ii papunktyje nurodytą informaciją, vadovaudamosi toliau šiame priede pateiktais nurodymais.</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Įstaigos vadovaujasi EU SEC3 formoje „Pakeitimo vertybiniais popieriais pozicijos ne prekybos knygoje ir susiję reguliuojamojo kapitalo reikalavimai. Įstaiga, veikianti kaip iniciatorė arba rėmėja“ pateiktais nurodymais.</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lastRenderedPageBreak/>
        <w:t xml:space="preserve">EU SEC5 forma. Įstaigos vertybiniais popieriais pakeistos pozicijos. Pozicijos esant įsipareigojimų neįvykdymui ir specifinės kredito rizikos koregavimai </w:t>
      </w:r>
      <w:r>
        <w:rPr>
          <w:rFonts w:ascii="Times New Roman" w:hAnsi="Times New Roman"/>
          <w:sz w:val="24"/>
        </w:rPr>
        <w:t>(nustatytasis formatas)</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Pildydamos šio įgyvendinimo reglamento XXVII priede pateiktą EU SEC5 formą įstaigos atskleidžia KRR 449 straipsnio l punkte nurodytą informaciją pagal pakeitimo vertybiniais popieriais pozicijos rūšį, vadovaudamosi toliau šiame priede pateiktais nurodymais.</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Nuorodos į teisės aktus ir nurodymai</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Bendra neapmokėta nominalioji suma</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(iniciatorės arba rėmėjos) vertybiniais popieriais pakeistų pozicijų bendra neapmokėta nominalioji suma, suskirstyta pagal pakeitimo vertybiniais popieriais pozicijos rūšį.</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Bendra neapmokėta nominalioji suma. Iš jos pozicijos esant įsipareigojimų neįvykdymui</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Įstaigos (iniciatorės arba rėmėjos) vertybiniais popieriais pakeistų pozicijų, </w:t>
            </w:r>
            <w:r>
              <w:rPr>
                <w:rStyle w:val="InstructionsTabelleText"/>
                <w:rFonts w:ascii="Times New Roman" w:hAnsi="Times New Roman"/>
                <w:sz w:val="24"/>
              </w:rPr>
              <w:t>pagal KRR 178 straipsnį priskirtų prie pozicijų esant įsipareigojimų neįvykdymui, bendra neapmokėta nominalioji suma,</w:t>
            </w:r>
            <w:r>
              <w:rPr>
                <w:rFonts w:ascii="Times New Roman" w:hAnsi="Times New Roman"/>
                <w:sz w:val="24"/>
              </w:rPr>
              <w:t xml:space="preserve"> suskirstyta pagal pakeitimo vertybiniais popieriais pozicijos rūšį.</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Specifinės kredito rizikos koregavimai per laikotarpį</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110 straipsnį per laikotarpį atliktų įstaigos (iniciatorės arba rėmėjos) vertybiniais popieriais pakeistų pozicijų specifinės kredito rizikos koregavimų suma, suskirstyta pagal pakeitimo vertybiniais popieriais pozicijos rūšį.</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F361" w14:textId="77777777" w:rsidR="00A0379D" w:rsidRDefault="00A0379D" w:rsidP="007224D6">
      <w:r>
        <w:separator/>
      </w:r>
    </w:p>
  </w:endnote>
  <w:endnote w:type="continuationSeparator" w:id="0">
    <w:p w14:paraId="4CF98551" w14:textId="77777777" w:rsidR="00A0379D" w:rsidRDefault="00A0379D"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A5A0" w14:textId="77777777" w:rsidR="00A0379D" w:rsidRDefault="00A0379D" w:rsidP="007224D6">
      <w:r>
        <w:separator/>
      </w:r>
    </w:p>
  </w:footnote>
  <w:footnote w:type="continuationSeparator" w:id="0">
    <w:p w14:paraId="438B065B" w14:textId="77777777" w:rsidR="00A0379D" w:rsidRDefault="00A0379D"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r>
      <w: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(OL L 347, 2017 12 28,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A0379D"/>
    <w:rsid w:val="00AC1B0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A0ADED-0647-4D15-B5AF-A4777FBE9447}"/>
</file>

<file path=customXml/itemProps2.xml><?xml version="1.0" encoding="utf-8"?>
<ds:datastoreItem xmlns:ds="http://schemas.openxmlformats.org/officeDocument/2006/customXml" ds:itemID="{E9F0A18D-C984-42A5-A5AB-ACBC6D72055E}"/>
</file>

<file path=customXml/itemProps3.xml><?xml version="1.0" encoding="utf-8"?>
<ds:datastoreItem xmlns:ds="http://schemas.openxmlformats.org/officeDocument/2006/customXml" ds:itemID="{CCF33156-87AC-4E40-977B-4DEFA5CCFC5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1815</Words>
  <Characters>12985</Characters>
  <Application>Microsoft Office Word</Application>
  <DocSecurity>0</DocSecurity>
  <Lines>301</Lines>
  <Paragraphs>154</Paragraphs>
  <ScaleCrop>false</ScaleCrop>
  <Company>European Banking Authority</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5</cp:revision>
  <dcterms:created xsi:type="dcterms:W3CDTF">2021-03-11T13:29:00Z</dcterms:created>
  <dcterms:modified xsi:type="dcterms:W3CDTF">2024-10-18T13:23:00Z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