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 xml:space="preserve">PRILOG XX. – Upute o objavi primjene standardiziranog pristupa kreditnom riziku (ne uključujući kreditni rizik druge ugovorne strane i sekuritizacijske pozicije)</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sz w:val="24"/>
          <w:rFonts w:ascii="Times New Roman" w:hAnsi="Times New Roman"/>
        </w:rPr>
      </w:pPr>
      <w:r>
        <w:rPr>
          <w:sz w:val="24"/>
          <w:rFonts w:ascii="Times New Roman" w:hAnsi="Times New Roman"/>
        </w:rPr>
        <w:t xml:space="preserve">Instrumenti na koje se primjenjuje dio treći glava II. poglavlje 6. Uredbe (EU) br. 575/2013 („CRR”)</w:t>
      </w:r>
      <w:r>
        <w:rPr>
          <w:rStyle w:val="FootnoteReference"/>
          <w:rFonts w:ascii="Times New Roman" w:hAnsi="Times New Roman"/>
        </w:rPr>
        <w:footnoteReference w:id="2"/>
      </w:r>
      <w:r>
        <w:rPr>
          <w:sz w:val="24"/>
          <w:rFonts w:ascii="Times New Roman" w:hAnsi="Times New Roman"/>
        </w:rPr>
        <w:t xml:space="preserve"> (izloženosti prema kreditnom riziku druge ugovorne strane), kao i instrumenti na koje se primjenjuju zahtjevi iz dijela trećeg glave II. poglavlja 5. Uredbe (EU) br. 575/2013 (sekuritizacijske izloženosti) nisu obuhvaćeni obrascima za koje su navedene upute u ovom Prilogu.</w:t>
      </w:r>
    </w:p>
    <w:p w14:paraId="137E3946" w14:textId="77777777" w:rsidR="0005278F" w:rsidRPr="00BC439A" w:rsidRDefault="0005278F" w:rsidP="0005278F">
      <w:pPr>
        <w:spacing w:after="120"/>
        <w:rPr>
          <w:b/>
          <w:sz w:val="24"/>
          <w:rFonts w:ascii="Times New Roman" w:hAnsi="Times New Roman" w:cs="Times New Roman"/>
        </w:rPr>
      </w:pPr>
      <w:r>
        <w:rPr>
          <w:sz w:val="24"/>
          <w:b/>
          <w:rFonts w:ascii="Times New Roman" w:hAnsi="Times New Roman"/>
        </w:rPr>
        <w:t xml:space="preserve">Tablica EU CRD – Zahtjevi za objavu kvalitativnih informacija o standardiziranom pristupu.</w:t>
      </w:r>
      <w:r>
        <w:rPr>
          <w:sz w:val="24"/>
          <w:b/>
          <w:rFonts w:ascii="Times New Roman" w:hAnsi="Times New Roman"/>
        </w:rPr>
        <w:t xml:space="preserve"> </w:t>
      </w:r>
      <w:r>
        <w:rPr>
          <w:sz w:val="24"/>
          <w:rFonts w:ascii="Times New Roman" w:hAnsi="Times New Roman"/>
        </w:rPr>
        <w:t xml:space="preserve">Fleksibilan format</w:t>
      </w:r>
    </w:p>
    <w:p w14:paraId="137E3947" w14:textId="5594AA8B" w:rsidR="0005278F" w:rsidRPr="00BC439A" w:rsidRDefault="0005278F" w:rsidP="0005278F">
      <w:pPr>
        <w:pStyle w:val="ListParagraph"/>
        <w:numPr>
          <w:ilvl w:val="0"/>
          <w:numId w:val="1"/>
        </w:numPr>
        <w:spacing w:after="120"/>
        <w:ind w:left="425" w:hanging="357"/>
        <w:jc w:val="both"/>
        <w:rPr>
          <w:sz w:val="24"/>
          <w:rFonts w:ascii="Times New Roman" w:hAnsi="Times New Roman"/>
        </w:rPr>
      </w:pPr>
      <w:r>
        <w:rPr>
          <w:sz w:val="24"/>
          <w:rFonts w:ascii="Times New Roman" w:hAnsi="Times New Roman"/>
        </w:rPr>
        <w:t xml:space="preserve">Institucije objavljuju informacije iz članka 444. točaka od (a) do (d) Uredbe (EU) br. 575/2013 prateći upute u nastavku ovog Priloga za popunjavanje tablice EU CRD iz Priloga XIX. IT rješenjima EBA-e.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Referentni</w:t>
            </w:r>
          </w:p>
          <w:p w14:paraId="137E3949"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redak</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Pravna osnova i upute</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Objašnjenje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Članak 444. točka (a) CRR-a</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Institucije objavljuju nazive odabranih vanjskih institucija za procjenu kreditnog rizika (VIPKR) i agencija za kreditiranje izvoza (AKI) te razloge za bilo kakve promjene tih odabranih institucija tijekom razdoblja objave.</w:t>
            </w:r>
            <w:r>
              <w:rPr>
                <w:sz w:val="24"/>
                <w:rFonts w:ascii="Times New Roman" w:hAnsi="Times New Roman"/>
              </w:rPr>
              <w:t xml:space="preserve">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(b)</w:t>
            </w:r>
          </w:p>
        </w:tc>
        <w:tc>
          <w:tcPr>
            <w:tcW w:w="3118" w:type="dxa"/>
          </w:tcPr>
          <w:p w14:paraId="137E3954"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Članak 444. točka (b) CRR-a</w:t>
            </w:r>
          </w:p>
        </w:tc>
        <w:tc>
          <w:tcPr>
            <w:tcW w:w="4546" w:type="dxa"/>
          </w:tcPr>
          <w:p w14:paraId="137E3955" w14:textId="116E6D70" w:rsidR="0005278F" w:rsidRPr="00BC439A" w:rsidRDefault="0005278F">
            <w:pPr>
              <w:spacing w:after="120"/>
              <w:jc w:val="both"/>
              <w:rPr>
                <w:sz w:val="24"/>
                <w:rFonts w:ascii="Times New Roman" w:hAnsi="Times New Roman" w:cs="Times New Roman"/>
              </w:rPr>
            </w:pPr>
            <w:r>
              <w:rPr>
                <w:sz w:val="24"/>
                <w:rFonts w:ascii="Times New Roman" w:hAnsi="Times New Roman"/>
              </w:rPr>
              <w:t xml:space="preserve">Institucije iskazuju kategorije izloženosti, utvrđene u članku 112. Uredbe (EU) br. 575/2013, za koje institucije izračunavaju iznose izloženosti ponderiranih rizikom primjenom kreditne procjene odabranog VIPKR-a ili AKI-ja u skladu s dijelom trećim glavom II. poglavljem 2. CRR-a.</w:t>
            </w:r>
            <w:r>
              <w:rPr>
                <w:sz w:val="24"/>
                <w:rFonts w:ascii="Times New Roman" w:hAnsi="Times New Roman"/>
              </w:rPr>
              <w:t xml:space="preserve">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(c)</w:t>
            </w:r>
          </w:p>
        </w:tc>
        <w:tc>
          <w:tcPr>
            <w:tcW w:w="3118" w:type="dxa"/>
          </w:tcPr>
          <w:p w14:paraId="137E3958"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Članak 444. točka (c) CRR-a</w:t>
            </w:r>
          </w:p>
        </w:tc>
        <w:tc>
          <w:tcPr>
            <w:tcW w:w="4546" w:type="dxa"/>
          </w:tcPr>
          <w:p w14:paraId="137E3959" w14:textId="5469201A" w:rsidR="0005278F" w:rsidRPr="00BC439A" w:rsidDel="00915DC9" w:rsidRDefault="0005278F" w:rsidP="004F3087">
            <w:pPr>
              <w:spacing w:after="120"/>
              <w:jc w:val="both"/>
              <w:rPr>
                <w:sz w:val="24"/>
                <w:rFonts w:ascii="Times New Roman" w:hAnsi="Times New Roman" w:cs="Times New Roman"/>
              </w:rPr>
            </w:pPr>
            <w:r>
              <w:rPr>
                <w:sz w:val="24"/>
                <w:rFonts w:ascii="Times New Roman" w:hAnsi="Times New Roman"/>
              </w:rPr>
              <w:t xml:space="preserve">Ako se za određivanje pondera rizika koji će se dodijeliti izloženosti koja nije uključena u knjigu za trgovanje koristi kreditna procjena izdavatelja i izdanja u skladu s dijelom trećim glavom II. poglavljem 2. člankom 139. Uredbe (EU) br. 575/2013, institucije opisuju postupak koji se primjenjuje.</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(d)</w:t>
            </w:r>
          </w:p>
        </w:tc>
        <w:tc>
          <w:tcPr>
            <w:tcW w:w="3118" w:type="dxa"/>
          </w:tcPr>
          <w:p w14:paraId="137E395C"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Članak 444. točka (d) CRR-a</w:t>
            </w:r>
          </w:p>
        </w:tc>
        <w:tc>
          <w:tcPr>
            <w:tcW w:w="4546" w:type="dxa"/>
          </w:tcPr>
          <w:p w14:paraId="137E395D" w14:textId="60016B0C" w:rsidR="0005278F" w:rsidRPr="00BC439A" w:rsidRDefault="0005278F">
            <w:pPr>
              <w:spacing w:after="120"/>
              <w:jc w:val="both"/>
              <w:rPr>
                <w:sz w:val="24"/>
                <w:rFonts w:ascii="Times New Roman" w:hAnsi="Times New Roman" w:cs="Times New Roman"/>
              </w:rPr>
            </w:pPr>
            <w:r>
              <w:rPr>
                <w:sz w:val="24"/>
                <w:rFonts w:ascii="Times New Roman" w:hAnsi="Times New Roman"/>
              </w:rPr>
              <w:t xml:space="preserve">Institucije za svaku kategoriju izloženosti iz članka 112. Uredbe (EU) br. 575/2013 navode alfanumerički niz svakog odabranog VIPKR-a/AKI-ja (iz retka (a) ovog obrasca) s ponderima rizika koji odgovaraju stupnjevima kreditne kvalitete kako je utvrđeno u dijelu trećem glavi II. poglavlju 2. </w:t>
            </w:r>
            <w:r>
              <w:rPr>
                <w:sz w:val="24"/>
                <w:color w:val="000000" w:themeColor="text1"/>
                <w:rFonts w:ascii="Times New Roman" w:hAnsi="Times New Roman"/>
              </w:rPr>
              <w:t xml:space="preserve">Uredbe (EU) br. 575/2013</w:t>
            </w:r>
            <w:r>
              <w:rPr>
                <w:sz w:val="24"/>
                <w:rFonts w:ascii="Times New Roman" w:hAnsi="Times New Roman"/>
              </w:rPr>
              <w:t xml:space="preserve">, osim ako institucija poštuje standard povezivanja koji je objavila EBA.</w:t>
            </w:r>
            <w:r>
              <w:rPr>
                <w:sz w:val="24"/>
                <w:rFonts w:ascii="Times New Roman" w:hAnsi="Times New Roman"/>
              </w:rPr>
              <w:t xml:space="preserv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sz w:val="24"/>
          <w:rFonts w:ascii="Times New Roman" w:hAnsi="Times New Roman" w:cs="Times New Roman"/>
        </w:rPr>
      </w:pPr>
      <w:r>
        <w:rPr>
          <w:sz w:val="24"/>
          <w:b/>
          <w:rFonts w:ascii="Times New Roman" w:hAnsi="Times New Roman"/>
        </w:rPr>
        <w:t xml:space="preserve">Obrazac EU CR4 – Izloženosti kreditnom riziku i učinci tehnika smanjenja kreditnog rizika.</w:t>
      </w:r>
      <w:r>
        <w:rPr>
          <w:sz w:val="24"/>
          <w:rFonts w:ascii="Times New Roman" w:hAnsi="Times New Roman"/>
        </w:rPr>
        <w:t xml:space="preserve"> </w:t>
      </w:r>
      <w:r>
        <w:rPr>
          <w:sz w:val="24"/>
          <w:rFonts w:ascii="Times New Roman" w:hAnsi="Times New Roman"/>
        </w:rPr>
        <w:t xml:space="preserve">Fiksan format</w:t>
      </w:r>
    </w:p>
    <w:p w14:paraId="137E3962" w14:textId="789BFD53" w:rsidR="0005278F" w:rsidRPr="00BC439A" w:rsidRDefault="0005278F" w:rsidP="5A0D947F">
      <w:pPr>
        <w:pStyle w:val="ListParagraph"/>
        <w:numPr>
          <w:ilvl w:val="0"/>
          <w:numId w:val="1"/>
        </w:numPr>
        <w:spacing w:after="120"/>
        <w:ind w:left="425" w:hanging="357"/>
        <w:jc w:val="both"/>
        <w:rPr>
          <w:sz w:val="24"/>
          <w:szCs w:val="24"/>
          <w:rFonts w:ascii="Times New Roman" w:hAnsi="Times New Roman"/>
        </w:rPr>
      </w:pPr>
      <w:r>
        <w:rPr>
          <w:sz w:val="24"/>
          <w:rFonts w:ascii="Times New Roman" w:hAnsi="Times New Roman"/>
        </w:rPr>
        <w:t xml:space="preserve">Institucije koje izračunavaju iznose izloženosti ponderirane rizikom za kreditni rizik u skladu s dijelom trećim glavom II. poglavljem 2. </w:t>
      </w:r>
      <w:r>
        <w:rPr>
          <w:sz w:val="24"/>
          <w:color w:val="000000" w:themeColor="text1"/>
          <w:rFonts w:ascii="Times New Roman" w:hAnsi="Times New Roman"/>
        </w:rPr>
        <w:t xml:space="preserve">Uredbe (EU) br. 575/2013</w:t>
      </w:r>
      <w:r>
        <w:rPr>
          <w:sz w:val="24"/>
          <w:rFonts w:ascii="Times New Roman" w:hAnsi="Times New Roman"/>
        </w:rPr>
        <w:t xml:space="preserve"> objavljuju informacije iz članka 453. točaka (g), (h) i (i) </w:t>
      </w:r>
      <w:r>
        <w:rPr>
          <w:sz w:val="24"/>
          <w:color w:val="000000" w:themeColor="text1"/>
          <w:rFonts w:ascii="Times New Roman" w:hAnsi="Times New Roman"/>
        </w:rPr>
        <w:t xml:space="preserve">Uredbe (EU) br. 575/2013</w:t>
      </w:r>
      <w:r>
        <w:rPr>
          <w:sz w:val="24"/>
          <w:rFonts w:ascii="Times New Roman" w:hAnsi="Times New Roman"/>
        </w:rPr>
        <w:t xml:space="preserve"> i članka 444. točke (e) </w:t>
      </w:r>
      <w:r>
        <w:rPr>
          <w:sz w:val="24"/>
          <w:color w:val="000000" w:themeColor="text1"/>
          <w:rFonts w:ascii="Times New Roman" w:hAnsi="Times New Roman"/>
        </w:rPr>
        <w:t xml:space="preserve">Uredbe (EU) br. 575/2013</w:t>
      </w:r>
      <w:r>
        <w:rPr>
          <w:sz w:val="24"/>
          <w:rFonts w:ascii="Times New Roman" w:hAnsi="Times New Roman"/>
        </w:rPr>
        <w:t xml:space="preserve"> prema uputama navedenima u nastavku ovog Priloga kako bi ispunile obrazac EU CR4 koji je naveden u Prilogu XIX. IT rješenjima EBA-e.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Referentni stupac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Pravna osnova i upute</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Objašnjenje</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137E396A"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Izloženost prije konverzijskog faktora i prije smanjenja kreditnog rizika – Bilančne izloženosti:</w:t>
            </w:r>
            <w:r>
              <w:rPr>
                <w:b/>
                <w:sz w:val="24"/>
                <w:rFonts w:ascii="Times New Roman" w:hAnsi="Times New Roman"/>
              </w:rPr>
              <w:t xml:space="preserve"> </w:t>
            </w:r>
          </w:p>
          <w:p w14:paraId="137E396B" w14:textId="70539396" w:rsidR="0005278F" w:rsidRPr="00BC439A" w:rsidRDefault="0005278F" w:rsidP="0027241B">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Institucije objavljuju vrijednost bilančne izloženosti u skladu s opsegom bonitetne konsolidacije u skladu s člankom 111. </w:t>
            </w:r>
            <w:r>
              <w:rPr>
                <w:sz w:val="24"/>
                <w:color w:val="000000" w:themeColor="text1"/>
                <w:rFonts w:ascii="Times New Roman" w:hAnsi="Times New Roman"/>
              </w:rPr>
              <w:t xml:space="preserve">Uredbe (EU) br. 575/2013</w:t>
            </w:r>
            <w:r>
              <w:rPr>
                <w:sz w:val="24"/>
                <w:rFonts w:ascii="Times New Roman" w:hAnsi="Times New Roman"/>
              </w:rPr>
              <w:t xml:space="preserve">, nakon primjene specifičnih ispravaka vrijednosti za kreditni rizik u skladu s člankom 110. </w:t>
            </w:r>
            <w:r>
              <w:rPr>
                <w:sz w:val="24"/>
                <w:color w:val="000000" w:themeColor="text1"/>
                <w:rFonts w:ascii="Times New Roman" w:hAnsi="Times New Roman"/>
              </w:rPr>
              <w:t xml:space="preserve">Uredbe (EU) br. 575/2013</w:t>
            </w:r>
            <w:r>
              <w:rPr>
                <w:sz w:val="24"/>
                <w:rFonts w:ascii="Times New Roman" w:hAnsi="Times New Roman"/>
              </w:rPr>
              <w:t xml:space="preserve">, dodatnih vrijednosnih usklađenja u skladu s člancima 34. i 105. </w:t>
            </w:r>
            <w:r>
              <w:rPr>
                <w:sz w:val="24"/>
                <w:color w:val="000000" w:themeColor="text1"/>
                <w:rFonts w:ascii="Times New Roman" w:hAnsi="Times New Roman"/>
              </w:rPr>
              <w:t xml:space="preserve">Uredbe (EU) br. 575/2013</w:t>
            </w:r>
            <w:r>
              <w:rPr>
                <w:sz w:val="24"/>
                <w:rFonts w:ascii="Times New Roman" w:hAnsi="Times New Roman"/>
              </w:rPr>
              <w:t xml:space="preserve">, iznosa odbijenih u skladu s člankom 36. stavkom 1. točkom (m) </w:t>
            </w:r>
            <w:r>
              <w:rPr>
                <w:sz w:val="24"/>
                <w:color w:val="000000" w:themeColor="text1"/>
                <w:rFonts w:ascii="Times New Roman" w:hAnsi="Times New Roman"/>
              </w:rPr>
              <w:t xml:space="preserve">Uredbe (EU) br. 575/2013</w:t>
            </w:r>
            <w:r>
              <w:rPr>
                <w:sz w:val="24"/>
                <w:rFonts w:ascii="Times New Roman" w:hAnsi="Times New Roman"/>
              </w:rPr>
              <w:t xml:space="preserve">, ostalih smanjenja regulatornog kapitala i otpisa (kako je definirano u primjenjivom računovodstvenom okviru), ali prije i. primjene kreditnih konverzijskih faktora kako je određeno u istom članku i ii. primjene tehnika smanjenja kreditnog rizika određenih u dijelu trećem glavi II. poglavlju 4. Uredbe (EU) br. 575/2013.</w:t>
            </w:r>
            <w:r>
              <w:rPr>
                <w:sz w:val="24"/>
                <w:rFonts w:ascii="Times New Roman" w:hAnsi="Times New Roman"/>
              </w:rPr>
              <w:t xml:space="preserve"> </w:t>
            </w:r>
            <w:r>
              <w:rPr>
                <w:sz w:val="24"/>
                <w:rFonts w:ascii="Times New Roman" w:hAnsi="Times New Roman"/>
              </w:rPr>
              <w:t xml:space="preserve">Na vrijednosti izloženosti za najam primjenjuje se članak 134. stavak 7. </w:t>
            </w:r>
            <w:r>
              <w:rPr>
                <w:sz w:val="24"/>
                <w:color w:val="000000" w:themeColor="text1"/>
                <w:rFonts w:ascii="Times New Roman" w:hAnsi="Times New Roman"/>
              </w:rPr>
              <w:t xml:space="preserve">Uredbe (EU) br. 575/2013</w:t>
            </w:r>
            <w:r>
              <w:rPr>
                <w:sz w:val="24"/>
                <w:rFonts w:ascii="Times New Roman" w:hAnsi="Times New Roman"/>
              </w:rPr>
              <w:t xml:space="preserve">.</w:t>
            </w:r>
            <w:r>
              <w:rPr>
                <w:sz w:val="24"/>
                <w:highlight w:val="yellow"/>
                <w:rFonts w:ascii="Times New Roman" w:hAnsi="Times New Roman"/>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137E396E"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Izloženosti prije konverzijskog faktora i prije smanjenja kreditnog rizika – Izvanbilančne izloženosti:</w:t>
            </w:r>
          </w:p>
          <w:p w14:paraId="137E396F" w14:textId="70A24ABD"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Institucije objavljuju vrijednost izvanbilančne izloženosti u skladu s opsegom bonitetne konsolidacije, nakon umanjenja za specifične ispravke vrijednosti za kreditni rizik i iznosa odbijenih u skladu s člankom 36. stavkom 1. točkom (m) </w:t>
            </w:r>
            <w:r>
              <w:rPr>
                <w:sz w:val="24"/>
                <w:color w:val="498205"/>
                <w:rFonts w:ascii="Times New Roman" w:hAnsi="Times New Roman"/>
              </w:rPr>
              <w:t xml:space="preserve"> </w:t>
            </w:r>
            <w:r>
              <w:rPr>
                <w:sz w:val="24"/>
                <w:rFonts w:ascii="Times New Roman" w:hAnsi="Times New Roman"/>
              </w:rPr>
              <w:t xml:space="preserve"> Uredbe (EU) br. 575/2013, ali prije primjene kreditnih konverzijskih faktora u skladu s člankom 111. Uredbe (EU) br. 575/2013 i prije primjene tehnika smanjenja kreditnog rizika (u skladu s dijelom trećim glavom II. poglavljem 4. Uredbe (EU) br.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137E3972"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Izloženosti nakon konverzijskog faktora i nakon smanjenja kreditnog rizika – Bilančne izloženosti:</w:t>
            </w:r>
            <w:r>
              <w:rPr>
                <w:b/>
                <w:sz w:val="24"/>
                <w:rFonts w:ascii="Times New Roman" w:hAnsi="Times New Roman"/>
              </w:rPr>
              <w:t xml:space="preserve"> </w:t>
            </w:r>
          </w:p>
          <w:p w14:paraId="137E3973" w14:textId="3965907F"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Institucije objavljuju iznos bilančnih izloženosti u skladu s opsegom bonitetne konsolidacije (u skladu s člankom 111.</w:t>
            </w:r>
            <w:r>
              <w:rPr>
                <w:sz w:val="24"/>
                <w:color w:val="498205"/>
                <w:rFonts w:ascii="Times New Roman" w:hAnsi="Times New Roman"/>
              </w:rPr>
              <w:t xml:space="preserve"> </w:t>
            </w:r>
            <w:r>
              <w:rPr>
                <w:sz w:val="24"/>
                <w:rFonts w:ascii="Times New Roman" w:hAnsi="Times New Roman"/>
              </w:rPr>
              <w:t xml:space="preserve">Uredbe (EU) br. 575/2013), nakon primjene specifičnih ispravaka vrijednosti za kreditni rizik u skladu s člankom 110. Uredbe (EU) br. 575/2013, dodatnih vrijednosnih usklađenja u skladu s člancima 34. i 105. Uredbe (EU) br. 575/2013, iznosa odbijenih u skladu s člankom 36. stavkom 1. točkom (m) Uredbe (EU) br. 575/2013, ostalih smanjenja regulatornog kapitala i otpisa kako je definirano u primjenjivom računovodstvenom okviru, nakon primjene svih instrumenata smanjenja kreditnog rizika i kreditnih konverzijskih faktora.</w:t>
            </w:r>
            <w:r>
              <w:rPr>
                <w:sz w:val="24"/>
                <w:rFonts w:ascii="Times New Roman" w:hAnsi="Times New Roman"/>
              </w:rPr>
              <w:t xml:space="preserve"> </w:t>
            </w:r>
            <w:r>
              <w:rPr>
                <w:sz w:val="24"/>
                <w:rFonts w:ascii="Times New Roman" w:hAnsi="Times New Roman"/>
              </w:rPr>
              <w:t xml:space="preserve">To je iznos na koji se primjenjuju ponderi rizika (u skladu s člankom 113. Uredbe (EU) br. 575/2013 i dijelom trećim glavom II. poglavljem 2. odjeljkom 2. Uredbe (EU) br. 575/2013).</w:t>
            </w:r>
            <w:r>
              <w:rPr>
                <w:sz w:val="24"/>
                <w:rFonts w:ascii="Times New Roman" w:hAnsi="Times New Roman"/>
              </w:rPr>
              <w:t xml:space="preserve"> </w:t>
            </w:r>
            <w:r>
              <w:rPr>
                <w:sz w:val="24"/>
                <w:rFonts w:ascii="Times New Roman" w:hAnsi="Times New Roman"/>
              </w:rPr>
              <w:t xml:space="preserve">To je neto iznos istovjetan kreditu, nakon primjene tehnika smanjenja kreditnog rizika i kreditnih konverzijskih faktora.</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137E3976"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Izloženosti nakon konverzijskog faktora i nakon smanjenja kreditnog rizika – Izvanbilančne izloženosti:</w:t>
            </w:r>
            <w:r>
              <w:rPr>
                <w:b/>
                <w:sz w:val="24"/>
                <w:rFonts w:ascii="Times New Roman" w:hAnsi="Times New Roman"/>
              </w:rPr>
              <w:t xml:space="preserve"> </w:t>
            </w:r>
          </w:p>
          <w:p w14:paraId="137E3977" w14:textId="3A31757C"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Institucije objavljuju iznos vrijednosti izvanbilančnih izloženosti nakon uzimanja u obzir specifičnih ispravaka vrijednosti za kreditni rizik kako je definirano u Delegiranoj uredbi Komisije (EU) 183/2014</w:t>
            </w:r>
            <w:r>
              <w:rPr>
                <w:rStyle w:val="FootnoteReference"/>
                <w:rFonts w:ascii="Times New Roman" w:eastAsia="Times New Roman" w:hAnsi="Times New Roman" w:cs="Times New Roman"/>
              </w:rPr>
              <w:footnoteReference w:id="3"/>
            </w:r>
            <w:r>
              <w:rPr>
                <w:sz w:val="24"/>
                <w:rFonts w:ascii="Times New Roman" w:hAnsi="Times New Roman"/>
              </w:rPr>
              <w:t xml:space="preserve">, dodatnih vrijednosnih usklađenja i ostalih smanjenja regulatornog kapitala, nakon primjene svih instrumenata smanjenja kreditnog rizika i kreditnih konverzijskih faktora.</w:t>
            </w:r>
            <w:r>
              <w:rPr>
                <w:sz w:val="24"/>
                <w:rFonts w:ascii="Times New Roman" w:hAnsi="Times New Roman"/>
              </w:rPr>
              <w:t xml:space="preserve"> </w:t>
            </w:r>
            <w:r>
              <w:rPr>
                <w:sz w:val="24"/>
                <w:rFonts w:ascii="Times New Roman" w:hAnsi="Times New Roman"/>
              </w:rPr>
              <w:t xml:space="preserve">To je iznos na koji se primjenjuju ponderi rizika (u skladu s člankom 113. Uredbe (EU) br. 575/2013 i dijelom trećim glavom II. poglavljem 2. odjeljkom 2. CRR-a).</w:t>
            </w:r>
            <w:r>
              <w:rPr>
                <w:sz w:val="24"/>
                <w:rFonts w:ascii="Times New Roman" w:hAnsi="Times New Roman"/>
              </w:rPr>
              <w:t xml:space="preserve"> </w:t>
            </w:r>
            <w:r>
              <w:rPr>
                <w:sz w:val="24"/>
                <w:rFonts w:ascii="Times New Roman" w:hAnsi="Times New Roman"/>
              </w:rPr>
              <w:t xml:space="preserve">To je neto iznos istovjetan kreditu, nakon primjene tehnika smanjenja kreditnog rizika i kreditnih konverzijskih faktora.</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37E397A"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Iznosi izloženosti ponderiranih rizikom (RWEA)</w:t>
            </w:r>
          </w:p>
          <w:p w14:paraId="137E397B" w14:textId="1F9983D6"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Iznosi izloženosti ponderiranih rizikom (RWEA) koji se izračunavaju u skladu s dijelom trećim glavom II. poglavljem 2. odjeljkom 2. Uredbe (EU) br.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37E397E"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Gustoća RWEA</w:t>
            </w:r>
          </w:p>
          <w:p w14:paraId="137E397F"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(Stupac e/Stupci (c+d) ovog obrasca)</w:t>
            </w:r>
          </w:p>
          <w:p w14:paraId="137E3980"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Omjer se izračunava tako što se RWEA odgovarajuće kategorije izloženosti (stupac e ovog obrasca) podijeli s iznosom odgovarajućih izloženosti nakon što se uzmu u obzir svi instrumenti smanjenja kreditnog rizika i kreditnih konverzijskih faktora (zbroj iznosa u stupcima c i d ovog obrasca).</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b/>
                <w:sz w:val="24"/>
                <w:rFonts w:ascii="Times New Roman" w:hAnsi="Times New Roman" w:cs="Times New Roman"/>
              </w:rPr>
            </w:pPr>
            <w:r>
              <w:rPr>
                <w:b/>
                <w:sz w:val="24"/>
                <w:rFonts w:ascii="Times New Roman" w:hAnsi="Times New Roman"/>
              </w:rPr>
              <w:t xml:space="preserve">Pravna osnova i upute</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Broj retka</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Objašnjenje</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 EU 2a, EU2b, 3, EU 3a, 4, 5, 6, EU 7a, EU 7b, 8, 9, 10, EU 10a, EU 10b, EU 10c</w:t>
            </w:r>
            <w:r>
              <w:rPr>
                <w:sz w:val="24"/>
                <w:rFonts w:ascii="Times New Roman" w:hAnsi="Times New Roman"/>
              </w:rPr>
              <w:t xml:space="preserve"> </w:t>
            </w:r>
          </w:p>
        </w:tc>
        <w:tc>
          <w:tcPr>
            <w:tcW w:w="7654" w:type="dxa"/>
            <w:shd w:val="clear" w:color="auto" w:fill="auto"/>
          </w:tcPr>
          <w:p w14:paraId="7983BEBC" w14:textId="7FFA78E2" w:rsidR="00535F36" w:rsidRPr="00BC439A" w:rsidRDefault="00535F36" w:rsidP="00A518F7">
            <w:pPr>
              <w:spacing w:after="120"/>
              <w:jc w:val="both"/>
              <w:rPr>
                <w:sz w:val="24"/>
                <w:rFonts w:ascii="Times New Roman" w:hAnsi="Times New Roman" w:cs="Times New Roman"/>
              </w:rPr>
            </w:pPr>
            <w:r>
              <w:rPr>
                <w:sz w:val="24"/>
                <w:rFonts w:ascii="Times New Roman" w:hAnsi="Times New Roman"/>
              </w:rPr>
              <w:t xml:space="preserve">Kategorije izloženosti kako su definirane u skladu s člankom 112. Uredbe (EU) br. 575/2013.</w:t>
            </w:r>
            <w:r>
              <w:rPr>
                <w:sz w:val="24"/>
                <w:rFonts w:ascii="Times New Roman" w:hAnsi="Times New Roman"/>
              </w:rPr>
              <w:t xml:space="preserve"> </w:t>
            </w:r>
          </w:p>
          <w:p w14:paraId="4E391AF9" w14:textId="6574451E" w:rsidR="00535F36" w:rsidRPr="00BC439A" w:rsidRDefault="5682D6C4" w:rsidP="5A0D947F">
            <w:pPr>
              <w:spacing w:after="120"/>
              <w:jc w:val="both"/>
              <w:rPr>
                <w:sz w:val="24"/>
                <w:rFonts w:ascii="Times New Roman" w:eastAsia="Times New Roman" w:hAnsi="Times New Roman" w:cs="Times New Roman"/>
              </w:rPr>
            </w:pPr>
            <w:r>
              <w:rPr>
                <w:sz w:val="24"/>
                <w:rFonts w:ascii="Times New Roman" w:hAnsi="Times New Roman"/>
              </w:rPr>
              <w:t xml:space="preserve">Izloženosti raspoređene u kategoriju izloženosti „stavke koje čine sekuritizacijske pozicije” koja je navedena u članku 112. točki (m) Uredbe (EU) br. 575/2013 nisu uključene.</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2853DB1C" w14:textId="6EED0555" w:rsidR="00FF5357" w:rsidRDefault="002A2B60" w:rsidP="00535F36">
            <w:pPr>
              <w:spacing w:after="120"/>
              <w:jc w:val="both"/>
              <w:rPr>
                <w:sz w:val="24"/>
                <w:rFonts w:ascii="Times New Roman" w:eastAsiaTheme="minorHAnsi" w:hAnsi="Times New Roman" w:cs="Times New Roman"/>
              </w:rPr>
            </w:pPr>
            <w:r>
              <w:rPr>
                <w:b/>
                <w:sz w:val="24"/>
                <w:rFonts w:ascii="Times New Roman" w:hAnsi="Times New Roman"/>
              </w:rPr>
              <w:t xml:space="preserve">Subjekti javnog sektora koji ne pripadaju središnjoj državi</w:t>
            </w:r>
          </w:p>
          <w:p w14:paraId="7D529948" w14:textId="15F28325" w:rsidR="00C337F1" w:rsidRPr="00BC439A" w:rsidRDefault="00FF5357" w:rsidP="00535F36">
            <w:pPr>
              <w:spacing w:after="120"/>
              <w:jc w:val="both"/>
              <w:rPr>
                <w:sz w:val="24"/>
                <w:rFonts w:ascii="Times New Roman" w:eastAsiaTheme="minorHAnsi" w:hAnsi="Times New Roman" w:cs="Times New Roman"/>
              </w:rPr>
            </w:pPr>
            <w:r>
              <w:rPr>
                <w:sz w:val="24"/>
                <w:rFonts w:ascii="Times New Roman" w:hAnsi="Times New Roman"/>
              </w:rPr>
              <w:t xml:space="preserve">Zbroj izloženosti u redcima EU 2a i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2a</w:t>
            </w:r>
          </w:p>
        </w:tc>
        <w:tc>
          <w:tcPr>
            <w:tcW w:w="7654" w:type="dxa"/>
            <w:shd w:val="clear" w:color="auto" w:fill="auto"/>
          </w:tcPr>
          <w:p w14:paraId="17AB2AE5" w14:textId="139DE043"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Jedinice područne (regionalne) ili lokalne samouprave</w:t>
            </w:r>
          </w:p>
          <w:p w14:paraId="788C221F" w14:textId="388C84CA"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(b) Uredbe (EU) br. 575/2013 i članku 115. stavcima –1., 1., 3., 4. i 5. Uredbe (EU) br. 575/2013 za izloženosti u skladu sa standardiziranim pristupom</w:t>
            </w:r>
            <w:r>
              <w:rPr>
                <w:rFonts w:ascii="Times New Roman" w:hAnsi="Times New Roman"/>
              </w:rPr>
              <w:t xml:space="preserve">.</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2b</w:t>
            </w:r>
          </w:p>
        </w:tc>
        <w:tc>
          <w:tcPr>
            <w:tcW w:w="7654" w:type="dxa"/>
            <w:shd w:val="clear" w:color="auto" w:fill="auto"/>
          </w:tcPr>
          <w:p w14:paraId="0E9CAEB2" w14:textId="076DA4A8" w:rsidR="00FF5357" w:rsidRDefault="5682D6C4" w:rsidP="5A0D947F">
            <w:pPr>
              <w:spacing w:after="120"/>
              <w:jc w:val="both"/>
              <w:rPr>
                <w:sz w:val="24"/>
                <w:rFonts w:ascii="Times New Roman" w:hAnsi="Times New Roman" w:cs="Times New Roman"/>
              </w:rPr>
            </w:pPr>
            <w:r>
              <w:rPr>
                <w:sz w:val="24"/>
                <w:b/>
                <w:rFonts w:ascii="Times New Roman" w:hAnsi="Times New Roman"/>
              </w:rPr>
              <w:t xml:space="preserve">Subjekti javnog sektora</w:t>
            </w:r>
            <w:r>
              <w:rPr>
                <w:sz w:val="24"/>
                <w:rFonts w:ascii="Times New Roman" w:hAnsi="Times New Roman"/>
              </w:rPr>
              <w:t xml:space="preserve"> </w:t>
            </w:r>
          </w:p>
          <w:p w14:paraId="1BBE065D" w14:textId="524818C4"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4. stavku 1. točki (8) Uredbe (EU) br. 575/2013, članku 112. točki (c) i članku 116. stavcima 1., 2., 3., 4. i 5. Uredbe (EU) br. 575/2013 za izloženosti u skladu sa standardiziranim pristupom</w:t>
            </w:r>
            <w:r>
              <w:rPr>
                <w:sz w:val="24"/>
                <w:rFonts w:ascii="Times New Roman" w:hAnsi="Times New Roman"/>
              </w:rPr>
              <w:t xml:space="preserve">.</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shd w:val="clear" w:color="auto" w:fill="auto"/>
          </w:tcPr>
          <w:p w14:paraId="78704303" w14:textId="1DA2D51A" w:rsidR="00FF5357" w:rsidRDefault="5682D6C4" w:rsidP="5A0D947F">
            <w:pPr>
              <w:spacing w:after="120"/>
              <w:jc w:val="both"/>
              <w:rPr>
                <w:sz w:val="24"/>
                <w:rFonts w:ascii="Times New Roman" w:hAnsi="Times New Roman" w:cs="Times New Roman"/>
              </w:rPr>
            </w:pPr>
            <w:r>
              <w:rPr>
                <w:sz w:val="24"/>
                <w:b/>
                <w:rFonts w:ascii="Times New Roman" w:hAnsi="Times New Roman"/>
              </w:rPr>
              <w:t xml:space="preserve">Trgovačka društva</w:t>
            </w:r>
            <w:r>
              <w:rPr>
                <w:sz w:val="24"/>
                <w:rFonts w:ascii="Times New Roman" w:hAnsi="Times New Roman"/>
              </w:rPr>
              <w:t xml:space="preserve"> </w:t>
            </w:r>
          </w:p>
          <w:p w14:paraId="263A5792" w14:textId="0257AF9A"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(g) i članku 122. Uredbe (EU) br.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6.1</w:t>
            </w:r>
          </w:p>
        </w:tc>
        <w:tc>
          <w:tcPr>
            <w:tcW w:w="7654" w:type="dxa"/>
            <w:shd w:val="clear" w:color="auto" w:fill="auto"/>
          </w:tcPr>
          <w:p w14:paraId="520CB388" w14:textId="38E1D245" w:rsidR="00FF5357" w:rsidRPr="00FB64CF" w:rsidRDefault="00FF5357" w:rsidP="5A0D947F">
            <w:pPr>
              <w:spacing w:after="120"/>
              <w:jc w:val="both"/>
              <w:rPr>
                <w:b/>
                <w:bCs/>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Od čega:</w:t>
            </w:r>
            <w:r>
              <w:rPr>
                <w:sz w:val="24"/>
                <w:b/>
                <w:rFonts w:ascii="Times New Roman" w:hAnsi="Times New Roman"/>
              </w:rPr>
              <w:t xml:space="preserve"> </w:t>
            </w:r>
            <w:r>
              <w:rPr>
                <w:sz w:val="24"/>
                <w:b/>
                <w:rFonts w:ascii="Times New Roman" w:hAnsi="Times New Roman"/>
              </w:rPr>
              <w:t xml:space="preserve">specijalizirano financiranje</w:t>
            </w:r>
          </w:p>
          <w:p w14:paraId="4606DB92" w14:textId="6A3BD835"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122.a Uredbe (EU) br.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shd w:val="clear" w:color="auto" w:fill="auto"/>
          </w:tcPr>
          <w:p w14:paraId="47E0CC5E" w14:textId="38F4C285" w:rsidR="00FF5357"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Podređene dužničke izloženosti i vlasnička ulaganja</w:t>
            </w:r>
          </w:p>
          <w:p w14:paraId="3D20D7B3" w14:textId="20D736B2" w:rsidR="00535F36" w:rsidRPr="00BC439A" w:rsidRDefault="00FF5357" w:rsidP="00535F36">
            <w:pPr>
              <w:spacing w:after="120"/>
              <w:jc w:val="both"/>
              <w:rPr>
                <w:sz w:val="24"/>
                <w:rFonts w:ascii="Times New Roman" w:eastAsiaTheme="minorHAnsi" w:hAnsi="Times New Roman" w:cs="Times New Roman"/>
              </w:rPr>
            </w:pPr>
            <w:r>
              <w:rPr>
                <w:sz w:val="24"/>
                <w:rFonts w:ascii="Times New Roman" w:hAnsi="Times New Roman"/>
              </w:rPr>
              <w:t xml:space="preserve">Zbroj izloženosti u redcima EU 7a i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7a</w:t>
            </w:r>
          </w:p>
        </w:tc>
        <w:tc>
          <w:tcPr>
            <w:tcW w:w="7654" w:type="dxa"/>
            <w:shd w:val="clear" w:color="auto" w:fill="auto"/>
          </w:tcPr>
          <w:p w14:paraId="235943EF" w14:textId="7B59FDFD"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Podređene dužničke izloženosti</w:t>
            </w:r>
          </w:p>
          <w:p w14:paraId="7A5E8FE8" w14:textId="01CEFAA6"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(k) Uredbe (EU) br. 575/2013 i članku 128. Uredbe (EU) br.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7b</w:t>
            </w:r>
          </w:p>
        </w:tc>
        <w:tc>
          <w:tcPr>
            <w:tcW w:w="7654" w:type="dxa"/>
            <w:shd w:val="clear" w:color="auto" w:fill="auto"/>
          </w:tcPr>
          <w:p w14:paraId="3BED8548" w14:textId="18A49974"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Vlasnička ulaganja</w:t>
            </w:r>
          </w:p>
          <w:p w14:paraId="31034ED0" w14:textId="7C726DCB"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(p) Uredbe (EU) br. 575/2013 i članku 133. stavku 1. Uredbe (EU) br.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shd w:val="clear" w:color="auto" w:fill="auto"/>
          </w:tcPr>
          <w:p w14:paraId="1AD83094" w14:textId="3714119C" w:rsidR="007F1438"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Izloženosti osigurane hipotekama na nekretninama i ADC izloženosti</w:t>
            </w:r>
          </w:p>
          <w:p w14:paraId="01108BAD" w14:textId="7A881266" w:rsidR="00535F36" w:rsidRPr="00166E0C" w:rsidRDefault="007F1438" w:rsidP="5A0D947F">
            <w:pPr>
              <w:spacing w:after="120"/>
              <w:jc w:val="both"/>
              <w:rPr>
                <w:sz w:val="24"/>
                <w:rFonts w:ascii="Times New Roman" w:hAnsi="Times New Roman" w:cs="Times New Roman"/>
              </w:rPr>
            </w:pPr>
            <w:r>
              <w:rPr>
                <w:sz w:val="24"/>
                <w:rFonts w:ascii="Times New Roman" w:hAnsi="Times New Roman"/>
              </w:rPr>
              <w:t xml:space="preserve">Iskazuju se izloženosti osigurane nekretninama definirane u članku 4. stavku 1. točkama od (75.) do (75.f) Uredbe (EU) br. 575/2013 i članku 4. stavku 1. točki (78.a) Uredbe (EU) br. 575/2013.</w:t>
            </w:r>
            <w:r>
              <w:rPr>
                <w:sz w:val="24"/>
                <w:rFonts w:ascii="Times New Roman" w:hAnsi="Times New Roman"/>
              </w:rPr>
              <w:t xml:space="preserve"> </w:t>
            </w:r>
          </w:p>
          <w:p w14:paraId="19E24D73" w14:textId="6A0F3423" w:rsidR="00D60B05" w:rsidRPr="00166E0C" w:rsidRDefault="00D60B05" w:rsidP="00535F36">
            <w:pPr>
              <w:spacing w:after="120"/>
              <w:jc w:val="both"/>
              <w:rPr>
                <w:sz w:val="24"/>
                <w:rFonts w:ascii="Times New Roman" w:eastAsiaTheme="minorHAnsi" w:hAnsi="Times New Roman" w:cs="Times New Roman"/>
              </w:rPr>
            </w:pPr>
            <w:r>
              <w:rPr>
                <w:sz w:val="24"/>
                <w:rFonts w:ascii="Times New Roman" w:hAnsi="Times New Roman"/>
              </w:rPr>
              <w:t xml:space="preserve">Ovaj redak je zbroj redaka 9.1;</w:t>
            </w:r>
            <w:r>
              <w:rPr>
                <w:sz w:val="24"/>
                <w:rFonts w:ascii="Times New Roman" w:hAnsi="Times New Roman"/>
              </w:rPr>
              <w:t xml:space="preserve"> </w:t>
            </w:r>
            <w:r>
              <w:rPr>
                <w:sz w:val="24"/>
                <w:rFonts w:ascii="Times New Roman" w:hAnsi="Times New Roman"/>
              </w:rPr>
              <w:t xml:space="preserve">9.2;</w:t>
            </w:r>
            <w:r>
              <w:rPr>
                <w:sz w:val="24"/>
                <w:rFonts w:ascii="Times New Roman" w:hAnsi="Times New Roman"/>
              </w:rPr>
              <w:t xml:space="preserve"> </w:t>
            </w:r>
            <w:r>
              <w:rPr>
                <w:sz w:val="24"/>
                <w:rFonts w:ascii="Times New Roman" w:hAnsi="Times New Roman"/>
              </w:rPr>
              <w:t xml:space="preserve">9.3;</w:t>
            </w:r>
            <w:r>
              <w:rPr>
                <w:sz w:val="24"/>
                <w:rFonts w:ascii="Times New Roman" w:hAnsi="Times New Roman"/>
              </w:rPr>
              <w:t xml:space="preserve"> </w:t>
            </w:r>
            <w:r>
              <w:rPr>
                <w:sz w:val="24"/>
                <w:rFonts w:ascii="Times New Roman" w:hAnsi="Times New Roman"/>
              </w:rPr>
              <w:t xml:space="preserve">9.4; 9.5.</w:t>
            </w:r>
            <w:r>
              <w:rPr>
                <w:sz w:val="24"/>
                <w:rFonts w:ascii="Times New Roman" w:hAnsi="Times New Roman"/>
              </w:rPr>
              <w:t xml:space="preserve">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w:t>
            </w:r>
          </w:p>
        </w:tc>
        <w:tc>
          <w:tcPr>
            <w:tcW w:w="7654" w:type="dxa"/>
            <w:shd w:val="clear" w:color="auto" w:fill="auto"/>
          </w:tcPr>
          <w:p w14:paraId="767946BA" w14:textId="417EA438" w:rsidR="007F1438"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Osigurane hipotekama na stambenim nekretninama – nisu IPRE</w:t>
            </w:r>
          </w:p>
          <w:p w14:paraId="4DB2B534" w14:textId="5136C073" w:rsidR="00535F36" w:rsidRPr="00166E0C" w:rsidRDefault="007F1438" w:rsidP="00535F36">
            <w:pPr>
              <w:spacing w:after="120"/>
              <w:jc w:val="both"/>
              <w:rPr>
                <w:bCs/>
                <w:sz w:val="24"/>
                <w:rFonts w:ascii="Times New Roman" w:hAnsi="Times New Roman" w:cs="Times New Roman"/>
              </w:rPr>
            </w:pPr>
            <w:r>
              <w:rPr>
                <w:sz w:val="24"/>
                <w:rFonts w:ascii="Times New Roman" w:hAnsi="Times New Roman"/>
              </w:rPr>
              <w:t xml:space="preserve">Iskazuju se izloženosti koje se tretiraju u skladu s člankom 125. stavkom 1. Uredbe (EU) 575/2013.</w:t>
            </w:r>
          </w:p>
          <w:p w14:paraId="39BC2BE6" w14:textId="40A39FE4" w:rsidR="00FD6952" w:rsidRPr="00FB64CF" w:rsidRDefault="00FD6952" w:rsidP="00FB64CF">
            <w:pPr>
              <w:spacing w:after="120"/>
              <w:jc w:val="both"/>
              <w:rPr>
                <w:rFonts w:eastAsiaTheme="minorHAnsi"/>
              </w:rPr>
            </w:pPr>
            <w:r>
              <w:rPr>
                <w:sz w:val="24"/>
                <w:rFonts w:ascii="Times New Roman" w:hAnsi="Times New Roman"/>
              </w:rPr>
              <w:t xml:space="preserve">U ovom retku objavljuje se i sljedeće:</w:t>
            </w:r>
            <w:r>
              <w:rPr>
                <w:sz w:val="24"/>
                <w:rFonts w:ascii="Times New Roman" w:hAnsi="Times New Roman"/>
              </w:rPr>
              <w:t xml:space="preserve"> </w:t>
            </w:r>
            <w:r>
              <w:rPr>
                <w:sz w:val="24"/>
                <w:rFonts w:ascii="Times New Roman" w:hAnsi="Times New Roman"/>
              </w:rPr>
              <w:t xml:space="preserve">druge izloženosti osigurane hipotekama na stambenim nekretninama – nisu IPRE, koje ne ispunjavaju uvjete iz članka 124. stavka 3. ili bilo koji dio izloženosti koja nije ADC koji prelazi nominalni iznos založnog prava na nekretnini iz članka 124. stavka 1. točke (a) Uredbe (EU) br.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9.2</w:t>
            </w:r>
          </w:p>
        </w:tc>
        <w:tc>
          <w:tcPr>
            <w:tcW w:w="7654" w:type="dxa"/>
            <w:shd w:val="clear" w:color="auto" w:fill="auto"/>
          </w:tcPr>
          <w:p w14:paraId="0A4DA91A" w14:textId="6039BA7A" w:rsidR="007F1438"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Osigurane hipotekama na stambenim nekretninama – IPRE</w:t>
            </w:r>
          </w:p>
          <w:p w14:paraId="683E626E" w14:textId="03E1AF1F" w:rsidR="00535F36" w:rsidRPr="00166E0C" w:rsidRDefault="007F1438" w:rsidP="5A0D947F">
            <w:pPr>
              <w:spacing w:after="120"/>
              <w:jc w:val="both"/>
              <w:rPr>
                <w:sz w:val="24"/>
                <w:rFonts w:ascii="Times New Roman" w:hAnsi="Times New Roman" w:cs="Times New Roman"/>
              </w:rPr>
            </w:pPr>
            <w:r>
              <w:rPr>
                <w:sz w:val="24"/>
                <w:rFonts w:ascii="Times New Roman" w:hAnsi="Times New Roman"/>
              </w:rPr>
              <w:t xml:space="preserve">Iskazuju se samo izloženosti koje odgovaraju definiciji iz članka 4. stavka 1. točke (75.b) Uredbe (EU) br. 575/2013, uključujući IPRE izloženosti koje ispunjavaju bilo koji od uvjeta iz članka 124. stavka 2. točke (a) podtočke ii. točaka od 1. do 4. Uredbe (EU) br. 575/2013;</w:t>
            </w:r>
            <w:r>
              <w:rPr>
                <w:sz w:val="24"/>
                <w:rFonts w:ascii="Times New Roman" w:hAnsi="Times New Roman"/>
              </w:rPr>
              <w:t xml:space="preserve"> </w:t>
            </w:r>
            <w:r>
              <w:rPr>
                <w:sz w:val="24"/>
                <w:rFonts w:ascii="Times New Roman" w:hAnsi="Times New Roman"/>
              </w:rPr>
              <w:t xml:space="preserve">IPRE izloženosti ako se primjenjuje odstupanje iz članka 125. stavka 2. Uredbe (EU) br. 575/2013.</w:t>
            </w:r>
          </w:p>
          <w:p w14:paraId="752E3912" w14:textId="33220D5C" w:rsidR="00900E99" w:rsidRPr="00BC439A" w:rsidRDefault="00900E99" w:rsidP="5A0D947F">
            <w:pPr>
              <w:spacing w:after="120"/>
              <w:jc w:val="both"/>
              <w:rPr>
                <w:sz w:val="24"/>
                <w:rFonts w:ascii="Times New Roman" w:hAnsi="Times New Roman" w:cs="Times New Roman"/>
              </w:rPr>
            </w:pPr>
            <w:r>
              <w:rPr>
                <w:sz w:val="24"/>
                <w:rFonts w:ascii="Times New Roman" w:hAnsi="Times New Roman"/>
              </w:rPr>
              <w:t xml:space="preserve">U ovom retku objavljuju se i druge izloženosti osigurane hipotekama na stambenim nekretninama – IPRE koje ne ispunjavaju uvjete iz članka 124. stavka 3. ili bilo koji dio izloženosti koja nije ADC koji prelazi nominalni iznos založnog prava na nekretnini iz članka 124. stavka 1. točke (b) Uredbe (EU) br.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w:t>
            </w:r>
          </w:p>
        </w:tc>
        <w:tc>
          <w:tcPr>
            <w:tcW w:w="7654" w:type="dxa"/>
            <w:shd w:val="clear" w:color="auto" w:fill="auto"/>
          </w:tcPr>
          <w:p w14:paraId="4E2BB22E" w14:textId="65455CC2" w:rsidR="007F1438"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Osigurane hipotekama na poslovnim nekretninama – nisu IPRE</w:t>
            </w:r>
            <w:r>
              <w:rPr>
                <w:b/>
                <w:sz w:val="24"/>
                <w:rFonts w:ascii="Times New Roman" w:hAnsi="Times New Roman"/>
              </w:rPr>
              <w:t xml:space="preserve"> </w:t>
            </w:r>
          </w:p>
          <w:p w14:paraId="599BA328" w14:textId="126EA28D" w:rsidR="00535F36" w:rsidRPr="00166E0C" w:rsidRDefault="007F1438" w:rsidP="00535F36">
            <w:pPr>
              <w:spacing w:after="120"/>
              <w:jc w:val="both"/>
              <w:rPr>
                <w:bCs/>
                <w:sz w:val="24"/>
                <w:rFonts w:ascii="Times New Roman" w:hAnsi="Times New Roman" w:cs="Times New Roman"/>
              </w:rPr>
            </w:pPr>
            <w:r>
              <w:rPr>
                <w:sz w:val="24"/>
                <w:rFonts w:ascii="Times New Roman" w:hAnsi="Times New Roman"/>
              </w:rPr>
              <w:t xml:space="preserve">Iskazuju se izloženosti koje se tretiraju u skladu s člankom 126. stavkom 1. Uredbe (EU) br. 575/2013.</w:t>
            </w:r>
          </w:p>
          <w:p w14:paraId="56DF61DF" w14:textId="3ED6FADA" w:rsidR="00A93447" w:rsidRPr="00FB64CF" w:rsidRDefault="00A93447" w:rsidP="00900E99">
            <w:pPr>
              <w:spacing w:after="120"/>
              <w:jc w:val="both"/>
              <w:rPr>
                <w:sz w:val="24"/>
                <w:rFonts w:ascii="Times New Roman" w:eastAsiaTheme="minorHAnsi" w:hAnsi="Times New Roman"/>
              </w:rPr>
            </w:pPr>
            <w:r>
              <w:rPr>
                <w:sz w:val="24"/>
                <w:rFonts w:ascii="Times New Roman" w:hAnsi="Times New Roman"/>
              </w:rPr>
              <w:t xml:space="preserve">U ovom retku objavljuje se i sljedeće:</w:t>
            </w:r>
            <w:r>
              <w:rPr>
                <w:sz w:val="24"/>
                <w:rFonts w:ascii="Times New Roman" w:hAnsi="Times New Roman"/>
              </w:rPr>
              <w:t xml:space="preserve"> </w:t>
            </w:r>
            <w:r>
              <w:rPr>
                <w:sz w:val="24"/>
                <w:rFonts w:ascii="Times New Roman" w:hAnsi="Times New Roman"/>
              </w:rPr>
              <w:t xml:space="preserve">druge izloženosti osigurane hipotekama na poslovnim nekretninama – nisu IPRE, koje ne ispunjavaju uvjete iz članka 124. stavka 3. ili bilo koji dio izloženosti koja nije ADC koji prelazi nominalni iznos založnog prava na nekretnini iz članka 124. stavka 1. točke (a) Uredbe (EU) br.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9.4</w:t>
            </w:r>
          </w:p>
        </w:tc>
        <w:tc>
          <w:tcPr>
            <w:tcW w:w="7654" w:type="dxa"/>
            <w:shd w:val="clear" w:color="auto" w:fill="auto"/>
          </w:tcPr>
          <w:p w14:paraId="606B4A71" w14:textId="586254A3" w:rsidR="00FB4914"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Osigurane hipotekama na poslovnim nekretninama – IPRE</w:t>
            </w:r>
          </w:p>
          <w:p w14:paraId="570AD855" w14:textId="377A4690" w:rsidR="00535F36" w:rsidRPr="00166E0C" w:rsidRDefault="00FB4914" w:rsidP="5A0D947F">
            <w:pPr>
              <w:spacing w:after="120"/>
              <w:jc w:val="both"/>
              <w:rPr>
                <w:sz w:val="24"/>
                <w:rFonts w:ascii="Times New Roman" w:hAnsi="Times New Roman" w:cs="Times New Roman"/>
              </w:rPr>
            </w:pPr>
            <w:r>
              <w:rPr>
                <w:sz w:val="24"/>
                <w:rFonts w:ascii="Times New Roman" w:hAnsi="Times New Roman"/>
              </w:rPr>
              <w:t xml:space="preserve">Iskazuju se izloženosti koje odgovaraju definiciju iz članka 4. stavka 1. točke (75.b) i članka 124. stavka 2. točke (b) podtočke ii. Uredbe (EU) br. 575/2013, uključujući IPRE izloženosti ako se primjenjuje odstupanje iz članka 126. stavka 2. Uredbe (EU) br. 575/2013.</w:t>
            </w:r>
          </w:p>
          <w:p w14:paraId="17723425" w14:textId="4CA6C755" w:rsidR="00900E99" w:rsidRPr="00166E0C" w:rsidRDefault="00900E99" w:rsidP="5A0D947F">
            <w:pPr>
              <w:spacing w:after="120"/>
              <w:jc w:val="both"/>
              <w:rPr>
                <w:sz w:val="24"/>
                <w:rFonts w:ascii="Times New Roman" w:hAnsi="Times New Roman" w:cs="Times New Roman"/>
              </w:rPr>
            </w:pPr>
            <w:r>
              <w:rPr>
                <w:sz w:val="24"/>
                <w:rFonts w:ascii="Times New Roman" w:hAnsi="Times New Roman"/>
              </w:rPr>
              <w:t xml:space="preserve">U ovom retku objavljuju se i druge izloženosti osigurane hipotekama na poslovnim nekretninama – IPRE koje ne ispunjavaju uvjete iz članka 124. stavka 3. ili bilo koji dio izloženosti koja nije ADC koji prelazi nominalni iznos založnog prava na nekretnini iz članka 124. stavka 1. točke (b) Uredbe (EU) br.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sz w:val="24"/>
                <w:rFonts w:ascii="Times New Roman" w:hAnsi="Times New Roman" w:cs="Times New Roman"/>
              </w:rPr>
            </w:pPr>
            <w:r>
              <w:rPr>
                <w:sz w:val="24"/>
                <w:rFonts w:ascii="Times New Roman" w:hAnsi="Times New Roman"/>
              </w:rPr>
              <w:t xml:space="preserve">Nije primjenjivo</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sz w:val="24"/>
                <w:rFonts w:ascii="Times New Roman" w:eastAsia="Times New Roman" w:hAnsi="Times New Roman" w:cs="Times New Roman"/>
              </w:rPr>
            </w:pPr>
            <w:r>
              <w:rPr>
                <w:sz w:val="24"/>
                <w:rFonts w:ascii="Times New Roman" w:hAnsi="Times New Roman"/>
              </w:rPr>
              <w:t xml:space="preserve">12</w:t>
            </w:r>
          </w:p>
        </w:tc>
        <w:tc>
          <w:tcPr>
            <w:tcW w:w="7654" w:type="dxa"/>
          </w:tcPr>
          <w:p w14:paraId="132C0D24" w14:textId="77777777" w:rsidR="00395831" w:rsidRPr="00FB64CF" w:rsidRDefault="00395831" w:rsidP="00926A01">
            <w:pPr>
              <w:spacing w:after="120"/>
              <w:jc w:val="both"/>
              <w:rPr>
                <w:b/>
                <w:bCs/>
                <w:sz w:val="24"/>
                <w:rFonts w:ascii="Times New Roman" w:hAnsi="Times New Roman" w:cs="Times New Roman"/>
              </w:rPr>
            </w:pPr>
            <w:r>
              <w:rPr>
                <w:b/>
                <w:sz w:val="24"/>
                <w:rFonts w:ascii="Times New Roman" w:hAnsi="Times New Roman"/>
              </w:rPr>
              <w:t xml:space="preserve">„Ukupno”</w:t>
            </w:r>
            <w:r>
              <w:rPr>
                <w:b/>
                <w:sz w:val="24"/>
                <w:rFonts w:ascii="Times New Roman" w:hAnsi="Times New Roman"/>
              </w:rPr>
              <w:t xml:space="preserve"> </w:t>
            </w:r>
          </w:p>
          <w:p w14:paraId="55987C40" w14:textId="74538114" w:rsidR="00395831" w:rsidRPr="00BC439A" w:rsidRDefault="00395831" w:rsidP="5A0D947F">
            <w:pPr>
              <w:spacing w:after="120"/>
              <w:jc w:val="both"/>
              <w:rPr>
                <w:sz w:val="24"/>
                <w:rFonts w:ascii="Times New Roman" w:hAnsi="Times New Roman" w:cs="Times New Roman"/>
              </w:rPr>
            </w:pPr>
            <w:r>
              <w:rPr>
                <w:sz w:val="24"/>
                <w:rFonts w:ascii="Times New Roman" w:hAnsi="Times New Roman"/>
              </w:rPr>
              <w:t xml:space="preserve">Zbroj izloženosti u prethodnim redcima 1, 2, 3, EU 3a, 4, 5, 6, 7, 8, 9, 10, EU 10a, EU 10b, EU 10c.</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sz w:val="24"/>
          <w:rFonts w:ascii="Times New Roman" w:hAnsi="Times New Roman" w:cs="Times New Roman"/>
        </w:rPr>
      </w:pPr>
      <w:r>
        <w:rPr>
          <w:sz w:val="24"/>
          <w:b/>
          <w:rFonts w:ascii="Times New Roman" w:hAnsi="Times New Roman"/>
        </w:rPr>
        <w:t xml:space="preserve">Obrazac EU CR5 – Standardizirani pristup</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Fiksan format</w:t>
      </w:r>
    </w:p>
    <w:p w14:paraId="137E3994" w14:textId="0AE68309" w:rsidR="0005278F" w:rsidRPr="00BC439A" w:rsidRDefault="0005278F" w:rsidP="5A0D947F">
      <w:pPr>
        <w:pStyle w:val="ListParagraph"/>
        <w:numPr>
          <w:ilvl w:val="0"/>
          <w:numId w:val="1"/>
        </w:numPr>
        <w:spacing w:after="120"/>
        <w:ind w:left="425" w:hanging="357"/>
        <w:jc w:val="both"/>
        <w:rPr>
          <w:sz w:val="24"/>
          <w:szCs w:val="24"/>
          <w:rFonts w:ascii="Times New Roman" w:hAnsi="Times New Roman"/>
        </w:rPr>
      </w:pPr>
      <w:r>
        <w:rPr>
          <w:sz w:val="24"/>
          <w:rFonts w:ascii="Times New Roman" w:hAnsi="Times New Roman"/>
        </w:rPr>
        <w:t xml:space="preserve">Institucije objavljuju informacije iz članka 444. točke (e) </w:t>
      </w:r>
      <w:r>
        <w:rPr>
          <w:sz w:val="24"/>
          <w:color w:val="000000" w:themeColor="text1"/>
          <w:rFonts w:ascii="Times New Roman" w:hAnsi="Times New Roman"/>
        </w:rPr>
        <w:t xml:space="preserve">Uredbe (EU) br. 575/2013</w:t>
      </w:r>
      <w:r>
        <w:rPr>
          <w:rFonts w:ascii="Times New Roman" w:hAnsi="Times New Roman"/>
        </w:rPr>
        <w:t xml:space="preserve"> </w:t>
      </w:r>
      <w:r>
        <w:rPr>
          <w:sz w:val="24"/>
          <w:rFonts w:ascii="Times New Roman" w:hAnsi="Times New Roman"/>
        </w:rPr>
        <w:t xml:space="preserve">prateći upute u nastavku ovog Priloga za popunjavanje tablice EU CR5 iz Priloga XIX. IT rješenjima EBA-e.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Referentni stupac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Pravna osnova i upute</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Objašnjenje</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 – y</w:t>
            </w:r>
          </w:p>
        </w:tc>
        <w:tc>
          <w:tcPr>
            <w:tcW w:w="7654" w:type="dxa"/>
          </w:tcPr>
          <w:p w14:paraId="137E399C"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Ponder rizika:</w:t>
            </w:r>
            <w:r>
              <w:rPr>
                <w:b/>
                <w:sz w:val="24"/>
                <w:rFonts w:ascii="Times New Roman" w:hAnsi="Times New Roman"/>
              </w:rPr>
              <w:t xml:space="preserve"> </w:t>
            </w:r>
          </w:p>
          <w:p w14:paraId="137E399D" w14:textId="6FB71B4F" w:rsidR="0005278F" w:rsidRPr="00BC439A" w:rsidRDefault="0005278F"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Institucije objavljuju informacije o raspodjeli pondera rizika unutar odgovarajuće kategorije izloženosti u skladu s dijelom trećim glavom II. poglavljem 2. odjeljkom 2.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z</w:t>
            </w:r>
          </w:p>
        </w:tc>
        <w:tc>
          <w:tcPr>
            <w:tcW w:w="7654" w:type="dxa"/>
          </w:tcPr>
          <w:p w14:paraId="137E39A0"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Ukupno:</w:t>
            </w:r>
            <w:r>
              <w:rPr>
                <w:b/>
                <w:sz w:val="24"/>
                <w:rFonts w:ascii="Times New Roman" w:hAnsi="Times New Roman"/>
              </w:rPr>
              <w:t xml:space="preserve"> </w:t>
            </w:r>
          </w:p>
          <w:p w14:paraId="137E39A1"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Ukupan iznos bilančnih i izvanbilančnih izloženosti u skladu s opsegom bonitetne konsolidacije:</w:t>
            </w:r>
            <w:r>
              <w:rPr>
                <w:sz w:val="24"/>
                <w:rFonts w:ascii="Times New Roman" w:hAnsi="Times New Roman"/>
              </w:rPr>
              <w:t xml:space="preserve"> </w:t>
            </w:r>
          </w:p>
          <w:p w14:paraId="137E39A2" w14:textId="6B6AE66E"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nakon specifičnih ispravaka vrijednosti za kreditni rizik u skladu s člankom 110. </w:t>
            </w:r>
            <w:r>
              <w:rPr>
                <w:sz w:val="24"/>
                <w:color w:val="000000" w:themeColor="text1"/>
                <w:rFonts w:ascii="Times New Roman" w:hAnsi="Times New Roman"/>
              </w:rPr>
              <w:t xml:space="preserve">Uredbe (EU) br. 575/2013</w:t>
            </w:r>
            <w:r>
              <w:rPr>
                <w:sz w:val="24"/>
                <w:rFonts w:ascii="Times New Roman" w:hAnsi="Times New Roman"/>
              </w:rPr>
              <w:t xml:space="preserve">, dodatnih vrijednosnih usklađenja u skladu s člancima 34. i 105. </w:t>
            </w:r>
            <w:r>
              <w:rPr>
                <w:sz w:val="24"/>
                <w:color w:val="000000" w:themeColor="text1"/>
                <w:rFonts w:ascii="Times New Roman" w:hAnsi="Times New Roman"/>
              </w:rPr>
              <w:t xml:space="preserve">Uredbe (EU) br. 575/2013</w:t>
            </w:r>
            <w:r>
              <w:rPr>
                <w:sz w:val="24"/>
                <w:rFonts w:ascii="Times New Roman" w:hAnsi="Times New Roman"/>
              </w:rPr>
              <w:t xml:space="preserve">, iznosa odbijenih u skladu s člankom 36. stavkom 1. točkom (m) </w:t>
            </w:r>
            <w:r>
              <w:rPr>
                <w:sz w:val="24"/>
                <w:color w:val="000000" w:themeColor="text1"/>
                <w:rFonts w:ascii="Times New Roman" w:hAnsi="Times New Roman"/>
              </w:rPr>
              <w:t xml:space="preserve">Uredbe (EU) br. 575/2013</w:t>
            </w:r>
            <w:r>
              <w:rPr>
                <w:sz w:val="24"/>
                <w:rFonts w:ascii="Times New Roman" w:hAnsi="Times New Roman"/>
              </w:rPr>
              <w:t xml:space="preserve">, ostalih umanjenja regulatornoga kapitala i otpisa (kako je definirano u primjenjivom računovodstvenom okviru) za bilančne izloženosti, u skladu s člankom 111. </w:t>
            </w:r>
            <w:r>
              <w:rPr>
                <w:sz w:val="24"/>
                <w:color w:val="000000" w:themeColor="text1"/>
                <w:rFonts w:ascii="Times New Roman" w:hAnsi="Times New Roman"/>
              </w:rPr>
              <w:t xml:space="preserve">Uredbe (EU) br. 575/2013</w:t>
            </w:r>
            <w:r>
              <w:rPr>
                <w:sz w:val="24"/>
                <w:rFonts w:ascii="Times New Roman" w:hAnsi="Times New Roman"/>
              </w:rPr>
              <w:t xml:space="preserve">;</w:t>
            </w:r>
          </w:p>
          <w:p w14:paraId="137E39A3" w14:textId="5D0C5323"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nakon umanjenja specifičnih ispravaka vrijednosti za kreditni rizik i iznosa odbijenih u skladu s člankom 36. stavkom 1. točkom (m) </w:t>
            </w:r>
            <w:r>
              <w:rPr>
                <w:sz w:val="24"/>
                <w:color w:val="000000" w:themeColor="text1"/>
                <w:rFonts w:ascii="Times New Roman" w:hAnsi="Times New Roman"/>
              </w:rPr>
              <w:t xml:space="preserve">Uredbe (EU) br. 575/2013</w:t>
            </w:r>
            <w:r>
              <w:rPr>
                <w:sz w:val="24"/>
                <w:rFonts w:ascii="Times New Roman" w:hAnsi="Times New Roman"/>
              </w:rPr>
              <w:t xml:space="preserve"> za izvanbilančne izloženosti, u skladu s člankom 111. </w:t>
            </w:r>
            <w:r>
              <w:rPr>
                <w:sz w:val="24"/>
                <w:color w:val="000000" w:themeColor="text1"/>
                <w:rFonts w:ascii="Times New Roman" w:hAnsi="Times New Roman"/>
              </w:rPr>
              <w:t xml:space="preserve">Uredbe (EU) br. 575/2013</w:t>
            </w:r>
            <w:r>
              <w:rPr>
                <w:sz w:val="24"/>
                <w:rFonts w:ascii="Times New Roman" w:hAnsi="Times New Roman"/>
              </w:rPr>
              <w:t xml:space="preserve">;</w:t>
            </w:r>
          </w:p>
          <w:p w14:paraId="137E39A4"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 nakon i. primjene konverzijskih faktora određenih u istom članku i ii. primjene tehnika smanjenja kreditnog rizika određenih u dijelu trećem glavi II. poglavlju 4. CRR-a za bilančne i izvanbilančne izloženosti.</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aa</w:t>
            </w:r>
          </w:p>
        </w:tc>
        <w:tc>
          <w:tcPr>
            <w:tcW w:w="7654" w:type="dxa"/>
          </w:tcPr>
          <w:p w14:paraId="137E39A7"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Od čega bez rejtinga:</w:t>
            </w:r>
          </w:p>
          <w:p w14:paraId="137E39A8" w14:textId="3CDE48FF"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Izloženosti za koje nije dostupna procjena kreditnog rizika odabranog VIPKR-a i koje su primijenile specifične pondere rizika ovisno o njihovoj kategoriji izloženosti, kako je određeno u člancima od 113. do 134. </w:t>
            </w:r>
            <w:r>
              <w:rPr>
                <w:sz w:val="24"/>
                <w:color w:val="000000" w:themeColor="text1"/>
                <w:rFonts w:ascii="Times New Roman" w:hAnsi="Times New Roman"/>
              </w:rPr>
              <w:t xml:space="preserve">Uredbe (EU) br.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b/>
                <w:sz w:val="24"/>
                <w:rFonts w:ascii="Times New Roman" w:hAnsi="Times New Roman" w:cs="Times New Roman"/>
              </w:rPr>
            </w:pPr>
            <w:r>
              <w:rPr>
                <w:b/>
                <w:sz w:val="24"/>
                <w:rFonts w:ascii="Times New Roman" w:hAnsi="Times New Roman"/>
              </w:rPr>
              <w:t xml:space="preserve">Pravna osnova i upute</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Objašnjenje</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 EU2a,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sz w:val="24"/>
                <w:rFonts w:ascii="Times New Roman" w:hAnsi="Times New Roman" w:cs="Times New Roman"/>
              </w:rPr>
            </w:pPr>
            <w:r>
              <w:rPr>
                <w:sz w:val="24"/>
                <w:rFonts w:ascii="Times New Roman" w:hAnsi="Times New Roman"/>
              </w:rPr>
              <w:t xml:space="preserve">Kategorije izloženosti u skladu s člankom 112. Uredbe (EU) br. 575/2013</w:t>
            </w:r>
            <w:r>
              <w:rPr>
                <w:sz w:val="24"/>
                <w:rFonts w:ascii="Times New Roman" w:hAnsi="Times New Roman"/>
              </w:rPr>
              <w:t xml:space="preserve"> </w:t>
            </w:r>
          </w:p>
          <w:p w14:paraId="418D4291" w14:textId="757AEF54" w:rsidR="00B731E6" w:rsidRPr="00BC439A" w:rsidRDefault="0B701945" w:rsidP="5A0D947F">
            <w:pPr>
              <w:spacing w:after="120"/>
              <w:jc w:val="both"/>
              <w:rPr>
                <w:sz w:val="24"/>
                <w:rFonts w:ascii="Times New Roman" w:hAnsi="Times New Roman" w:cs="Times New Roman"/>
              </w:rPr>
            </w:pPr>
            <w:r>
              <w:rPr>
                <w:sz w:val="24"/>
                <w:rFonts w:ascii="Times New Roman" w:hAnsi="Times New Roman"/>
              </w:rPr>
              <w:t xml:space="preserve">Izloženosti raspoređene u kategoriju izloženosti „stavke koje čine sekuritizacijske pozicije” koja je navedena u članku 112. točki (m) </w:t>
            </w:r>
            <w:r>
              <w:rPr>
                <w:sz w:val="24"/>
                <w:color w:val="000000" w:themeColor="text1"/>
                <w:rFonts w:ascii="Times New Roman" w:hAnsi="Times New Roman"/>
              </w:rPr>
              <w:t xml:space="preserve">Uredbe (EU) br. 575/2013</w:t>
            </w:r>
            <w:r>
              <w:rPr>
                <w:sz w:val="24"/>
                <w:rFonts w:ascii="Times New Roman" w:hAnsi="Times New Roman"/>
              </w:rPr>
              <w:t xml:space="preserve"> nisu uključene.</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79E951C7" w14:textId="311E1895" w:rsidR="00F26067" w:rsidRPr="00FB64CF" w:rsidRDefault="009B6905" w:rsidP="00AB03E9">
            <w:pPr>
              <w:spacing w:after="120"/>
              <w:jc w:val="both"/>
              <w:rPr>
                <w:b/>
                <w:bCs/>
                <w:sz w:val="24"/>
                <w:rFonts w:ascii="Times New Roman" w:eastAsiaTheme="minorHAnsi" w:hAnsi="Times New Roman" w:cs="Times New Roman"/>
              </w:rPr>
            </w:pPr>
            <w:r>
              <w:rPr>
                <w:b/>
                <w:sz w:val="24"/>
                <w:rFonts w:ascii="Times New Roman" w:hAnsi="Times New Roman"/>
              </w:rPr>
              <w:t xml:space="preserve">Subjekti javnog sektora koji ne pripadaju središnjoj državi</w:t>
            </w:r>
            <w:r>
              <w:rPr>
                <w:b/>
                <w:sz w:val="24"/>
                <w:rFonts w:ascii="Times New Roman" w:hAnsi="Times New Roman"/>
              </w:rPr>
              <w:t xml:space="preserve"> </w:t>
            </w:r>
          </w:p>
          <w:p w14:paraId="4CF4DA0A" w14:textId="6AA1E2BE" w:rsidR="00AF5033" w:rsidRPr="00BC439A" w:rsidRDefault="00F26067" w:rsidP="00AB03E9">
            <w:pPr>
              <w:spacing w:after="120"/>
              <w:jc w:val="both"/>
              <w:rPr>
                <w:sz w:val="24"/>
                <w:rFonts w:ascii="Times New Roman" w:eastAsiaTheme="minorHAnsi" w:hAnsi="Times New Roman" w:cs="Times New Roman"/>
              </w:rPr>
            </w:pPr>
            <w:r>
              <w:rPr>
                <w:sz w:val="24"/>
                <w:rFonts w:ascii="Times New Roman" w:hAnsi="Times New Roman"/>
              </w:rPr>
              <w:t xml:space="preserve">Zbroj izloženosti u redcima EU 2a i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2a</w:t>
            </w:r>
          </w:p>
        </w:tc>
        <w:tc>
          <w:tcPr>
            <w:tcW w:w="7654" w:type="dxa"/>
            <w:shd w:val="clear" w:color="auto" w:fill="auto"/>
          </w:tcPr>
          <w:p w14:paraId="6E395D8A" w14:textId="5F849253"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Jedinice područne (regionalne) ili lokalne samouprave</w:t>
            </w:r>
          </w:p>
          <w:p w14:paraId="0F0B69B5" w14:textId="1A951C0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(b) </w:t>
            </w:r>
            <w:r>
              <w:rPr>
                <w:sz w:val="24"/>
                <w:color w:val="000000" w:themeColor="text1"/>
                <w:rFonts w:ascii="Times New Roman" w:hAnsi="Times New Roman"/>
              </w:rPr>
              <w:t xml:space="preserve">Uredbe (EU) br. 575/2013</w:t>
            </w:r>
            <w:r>
              <w:rPr>
                <w:sz w:val="24"/>
                <w:rFonts w:ascii="Times New Roman" w:hAnsi="Times New Roman"/>
              </w:rPr>
              <w:t xml:space="preserve"> i članku 115. stavcima –1., 1., 3., 4. i 5. </w:t>
            </w:r>
            <w:r>
              <w:rPr>
                <w:sz w:val="24"/>
                <w:color w:val="000000" w:themeColor="text1"/>
                <w:rFonts w:ascii="Times New Roman" w:hAnsi="Times New Roman"/>
              </w:rPr>
              <w:t xml:space="preserve">Uredbe (EU) br. 575/2013</w:t>
            </w:r>
            <w:r>
              <w:rPr>
                <w:sz w:val="24"/>
                <w:rFonts w:ascii="Times New Roman" w:hAnsi="Times New Roman"/>
              </w:rPr>
              <w:t xml:space="preserve"> za izloženosti u skladu sa standardiziranim pristupom</w:t>
            </w:r>
            <w:r>
              <w:rPr>
                <w:rFonts w:ascii="Times New Roman" w:hAnsi="Times New Roman"/>
              </w:rPr>
              <w:t xml:space="preserve">.</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2b</w:t>
            </w:r>
          </w:p>
        </w:tc>
        <w:tc>
          <w:tcPr>
            <w:tcW w:w="7654" w:type="dxa"/>
            <w:shd w:val="clear" w:color="auto" w:fill="auto"/>
          </w:tcPr>
          <w:p w14:paraId="6B0874A8" w14:textId="7C1E20B6"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Subjekti javnog sektora</w:t>
            </w:r>
          </w:p>
          <w:p w14:paraId="042D63D7" w14:textId="03ACF4BC"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4. stavku 1. točki (8) </w:t>
            </w:r>
            <w:r>
              <w:rPr>
                <w:sz w:val="24"/>
                <w:color w:val="000000" w:themeColor="text1"/>
                <w:rFonts w:ascii="Times New Roman" w:hAnsi="Times New Roman"/>
              </w:rPr>
              <w:t xml:space="preserve">Uredbe (EU) br. 575/2013</w:t>
            </w:r>
            <w:r>
              <w:rPr>
                <w:sz w:val="24"/>
                <w:rFonts w:ascii="Times New Roman" w:hAnsi="Times New Roman"/>
              </w:rPr>
              <w:t xml:space="preserve">, članku 112. točki (c) i članku 116. stavcima 1., 2., 3., 4. i 5. </w:t>
            </w:r>
            <w:r>
              <w:rPr>
                <w:sz w:val="24"/>
                <w:color w:val="000000" w:themeColor="text1"/>
                <w:rFonts w:ascii="Times New Roman" w:hAnsi="Times New Roman"/>
              </w:rPr>
              <w:t xml:space="preserve">Uredbe (EU) br. 575/2013</w:t>
            </w:r>
            <w:r>
              <w:rPr>
                <w:sz w:val="24"/>
                <w:rFonts w:ascii="Times New Roman" w:hAnsi="Times New Roman"/>
              </w:rPr>
              <w:t xml:space="preserve"> za izloženosti u skladu sa standardiziranim pristupom.</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shd w:val="clear" w:color="auto" w:fill="auto"/>
          </w:tcPr>
          <w:p w14:paraId="0D63781E" w14:textId="3D73F3E2"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Trgovačka društva</w:t>
            </w:r>
          </w:p>
          <w:p w14:paraId="6AFAC788" w14:textId="55730926"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(g) i članku 122.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6.1</w:t>
            </w:r>
          </w:p>
        </w:tc>
        <w:tc>
          <w:tcPr>
            <w:tcW w:w="7654" w:type="dxa"/>
            <w:shd w:val="clear" w:color="auto" w:fill="auto"/>
          </w:tcPr>
          <w:p w14:paraId="7434934B" w14:textId="62424925" w:rsidR="00F26067" w:rsidRPr="00FB64CF" w:rsidRDefault="00F26067" w:rsidP="5A0D947F">
            <w:pPr>
              <w:spacing w:after="120"/>
              <w:jc w:val="both"/>
              <w:rPr>
                <w:b/>
                <w:bCs/>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Od čega:</w:t>
            </w:r>
            <w:r>
              <w:rPr>
                <w:sz w:val="24"/>
                <w:b/>
                <w:rFonts w:ascii="Times New Roman" w:hAnsi="Times New Roman"/>
              </w:rPr>
              <w:t xml:space="preserve"> </w:t>
            </w:r>
            <w:r>
              <w:rPr>
                <w:sz w:val="24"/>
                <w:b/>
                <w:rFonts w:ascii="Times New Roman" w:hAnsi="Times New Roman"/>
              </w:rPr>
              <w:t xml:space="preserve">specijalizirano financiranje</w:t>
            </w:r>
          </w:p>
          <w:p w14:paraId="24C0DA08" w14:textId="36A32BF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122.a </w:t>
            </w:r>
            <w:r>
              <w:rPr>
                <w:sz w:val="24"/>
                <w:color w:val="000000" w:themeColor="text1"/>
                <w:rFonts w:ascii="Times New Roman" w:hAnsi="Times New Roman"/>
              </w:rPr>
              <w:t xml:space="preserve">Uredbe (EU) br. 575/2013</w:t>
            </w:r>
            <w:r>
              <w:rPr>
                <w:sz w:val="24"/>
                <w:rFonts w:ascii="Times New Roman" w:hAnsi="Times New Roman"/>
              </w:rPr>
              <w:t xml:space="preserve">.</w:t>
            </w:r>
            <w:r>
              <w:rPr>
                <w:sz w:val="24"/>
                <w:rFonts w:ascii="Times New Roman" w:hAnsi="Times New Roman"/>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shd w:val="clear" w:color="auto" w:fill="auto"/>
          </w:tcPr>
          <w:p w14:paraId="4D223688" w14:textId="3E9BBE9B" w:rsidR="00F2606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Podređene dužničke izloženosti i vlasnička ulaganja</w:t>
            </w:r>
          </w:p>
          <w:p w14:paraId="0AA0F933" w14:textId="77EC0BD5" w:rsidR="00B731E6" w:rsidRPr="00BC439A" w:rsidRDefault="00F26067" w:rsidP="00B731E6">
            <w:pPr>
              <w:spacing w:after="120"/>
              <w:jc w:val="both"/>
              <w:rPr>
                <w:sz w:val="24"/>
                <w:rFonts w:ascii="Times New Roman" w:eastAsiaTheme="minorHAnsi" w:hAnsi="Times New Roman" w:cs="Times New Roman"/>
              </w:rPr>
            </w:pPr>
            <w:r>
              <w:rPr>
                <w:sz w:val="24"/>
                <w:rFonts w:ascii="Times New Roman" w:hAnsi="Times New Roman"/>
              </w:rPr>
              <w:t xml:space="preserve">Zbroj redaka kako su definirani u nastavku (EU 7a i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7a</w:t>
            </w:r>
          </w:p>
        </w:tc>
        <w:tc>
          <w:tcPr>
            <w:tcW w:w="7654" w:type="dxa"/>
            <w:shd w:val="clear" w:color="auto" w:fill="auto"/>
          </w:tcPr>
          <w:p w14:paraId="2087D858" w14:textId="358EEE2E"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Podređene dužničke izloženosti</w:t>
            </w:r>
          </w:p>
          <w:p w14:paraId="6A91C57C" w14:textId="5BCEFCB5"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(k) </w:t>
            </w:r>
            <w:r>
              <w:rPr>
                <w:sz w:val="24"/>
                <w:color w:val="000000" w:themeColor="text1"/>
                <w:rFonts w:ascii="Times New Roman" w:hAnsi="Times New Roman"/>
              </w:rPr>
              <w:t xml:space="preserve">Uredbe (EU) br. 575/2013</w:t>
            </w:r>
            <w:r>
              <w:rPr>
                <w:sz w:val="24"/>
                <w:rFonts w:ascii="Times New Roman" w:hAnsi="Times New Roman"/>
              </w:rPr>
              <w:t xml:space="preserve"> i članku 128.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7b</w:t>
            </w:r>
          </w:p>
        </w:tc>
        <w:tc>
          <w:tcPr>
            <w:tcW w:w="7654" w:type="dxa"/>
            <w:shd w:val="clear" w:color="auto" w:fill="auto"/>
          </w:tcPr>
          <w:p w14:paraId="1433F3D8" w14:textId="30F87742"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Vlasnička ulaganja</w:t>
            </w:r>
          </w:p>
          <w:p w14:paraId="191A2924" w14:textId="2CDA679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kako su definirane u članku 112. točki (p) </w:t>
            </w:r>
            <w:r>
              <w:rPr>
                <w:sz w:val="24"/>
                <w:color w:val="000000" w:themeColor="text1"/>
                <w:rFonts w:ascii="Times New Roman" w:hAnsi="Times New Roman"/>
              </w:rPr>
              <w:t xml:space="preserve">Uredbe (EU) br. 575/2013</w:t>
            </w:r>
            <w:r>
              <w:rPr>
                <w:sz w:val="24"/>
                <w:rFonts w:ascii="Times New Roman" w:hAnsi="Times New Roman"/>
              </w:rPr>
              <w:t xml:space="preserve"> i članku 133. stavku 1.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shd w:val="clear" w:color="auto" w:fill="auto"/>
          </w:tcPr>
          <w:p w14:paraId="6F18D30C" w14:textId="20BDB687"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Izloženosti osigurane hipotekama na nekretninama i ADC izloženosti</w:t>
            </w:r>
          </w:p>
          <w:p w14:paraId="652029AE" w14:textId="28474DBD" w:rsidR="00B731E6" w:rsidRPr="00166E0C" w:rsidRDefault="00F26067" w:rsidP="5A0D947F">
            <w:pPr>
              <w:spacing w:after="120"/>
              <w:jc w:val="both"/>
              <w:rPr>
                <w:sz w:val="24"/>
                <w:rFonts w:ascii="Times New Roman" w:hAnsi="Times New Roman" w:cs="Times New Roman"/>
              </w:rPr>
            </w:pPr>
            <w:r>
              <w:rPr>
                <w:sz w:val="24"/>
                <w:rFonts w:ascii="Times New Roman" w:hAnsi="Times New Roman"/>
              </w:rPr>
              <w:t xml:space="preserve">Iskazuju se izloženosti osigurane hipotekama definirane u članku 4. stavku 1. točkama od (75) do (75.f) </w:t>
            </w:r>
            <w:r>
              <w:rPr>
                <w:sz w:val="24"/>
                <w:color w:val="000000" w:themeColor="text1"/>
                <w:rFonts w:ascii="Times New Roman" w:hAnsi="Times New Roman"/>
              </w:rPr>
              <w:t xml:space="preserve">Uredbe (EU) br. 575/2013</w:t>
            </w:r>
            <w:r>
              <w:rPr>
                <w:sz w:val="24"/>
                <w:rFonts w:ascii="Times New Roman" w:hAnsi="Times New Roman"/>
              </w:rPr>
              <w:t xml:space="preserve"> i članku 4. stavku 1. točki (78.a) </w:t>
            </w:r>
            <w:r>
              <w:rPr>
                <w:sz w:val="24"/>
                <w:color w:val="000000" w:themeColor="text1"/>
                <w:rFonts w:ascii="Times New Roman" w:hAnsi="Times New Roman"/>
              </w:rPr>
              <w:t xml:space="preserve">Uredbe (EU) br. 575/2013</w:t>
            </w:r>
            <w:r>
              <w:rPr>
                <w:sz w:val="24"/>
                <w:rFonts w:ascii="Times New Roman" w:hAnsi="Times New Roman"/>
              </w:rPr>
              <w:t xml:space="preserve">.</w:t>
            </w:r>
          </w:p>
          <w:p w14:paraId="03F0288C" w14:textId="5F4104D7" w:rsidR="00324117" w:rsidRPr="00166E0C" w:rsidRDefault="00324117" w:rsidP="00B731E6">
            <w:pPr>
              <w:spacing w:after="120"/>
              <w:jc w:val="both"/>
              <w:rPr>
                <w:sz w:val="24"/>
                <w:rFonts w:ascii="Times New Roman" w:eastAsiaTheme="minorHAnsi" w:hAnsi="Times New Roman" w:cs="Times New Roman"/>
              </w:rPr>
            </w:pPr>
            <w:r>
              <w:rPr>
                <w:sz w:val="24"/>
                <w:rFonts w:ascii="Times New Roman" w:hAnsi="Times New Roman"/>
              </w:rPr>
              <w:t xml:space="preserve">Ovaj redak je zbroj redaka 9.1;</w:t>
            </w:r>
            <w:r>
              <w:rPr>
                <w:sz w:val="24"/>
                <w:rFonts w:ascii="Times New Roman" w:hAnsi="Times New Roman"/>
              </w:rPr>
              <w:t xml:space="preserve"> </w:t>
            </w:r>
            <w:r>
              <w:rPr>
                <w:sz w:val="24"/>
                <w:rFonts w:ascii="Times New Roman" w:hAnsi="Times New Roman"/>
              </w:rPr>
              <w:t xml:space="preserve">9.2;</w:t>
            </w:r>
            <w:r>
              <w:rPr>
                <w:sz w:val="24"/>
                <w:rFonts w:ascii="Times New Roman" w:hAnsi="Times New Roman"/>
              </w:rPr>
              <w:t xml:space="preserve"> </w:t>
            </w:r>
            <w:r>
              <w:rPr>
                <w:sz w:val="24"/>
                <w:rFonts w:ascii="Times New Roman" w:hAnsi="Times New Roman"/>
              </w:rPr>
              <w:t xml:space="preserve">9.3;</w:t>
            </w:r>
            <w:r>
              <w:rPr>
                <w:sz w:val="24"/>
                <w:rFonts w:ascii="Times New Roman" w:hAnsi="Times New Roman"/>
              </w:rPr>
              <w:t xml:space="preserve"> </w:t>
            </w:r>
            <w:r>
              <w:rPr>
                <w:sz w:val="24"/>
                <w:rFonts w:ascii="Times New Roman" w:hAnsi="Times New Roman"/>
              </w:rPr>
              <w:t xml:space="preserve">9.4;</w:t>
            </w:r>
            <w:r>
              <w:rPr>
                <w:sz w:val="24"/>
                <w:rFonts w:ascii="Times New Roman" w:hAnsi="Times New Roman"/>
              </w:rPr>
              <w:t xml:space="preserve"> </w:t>
            </w:r>
            <w:r>
              <w:rPr>
                <w:sz w:val="24"/>
                <w:rFonts w:ascii="Times New Roman" w:hAnsi="Times New Roman"/>
              </w:rPr>
              <w:t xml:space="preserve">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w:t>
            </w:r>
          </w:p>
        </w:tc>
        <w:tc>
          <w:tcPr>
            <w:tcW w:w="7654" w:type="dxa"/>
            <w:shd w:val="clear" w:color="auto" w:fill="auto"/>
          </w:tcPr>
          <w:p w14:paraId="0DE2BD5F" w14:textId="7880F40C" w:rsidR="00F26067" w:rsidRPr="00FB64CF" w:rsidRDefault="00B731E6" w:rsidP="007750BC">
            <w:pPr>
              <w:spacing w:after="120"/>
              <w:jc w:val="both"/>
              <w:rPr>
                <w:b/>
                <w:bCs/>
                <w:sz w:val="24"/>
                <w:rFonts w:ascii="Times New Roman" w:eastAsiaTheme="minorHAnsi" w:hAnsi="Times New Roman" w:cs="Times New Roman"/>
              </w:rPr>
            </w:pPr>
            <w:r>
              <w:rPr>
                <w:b/>
                <w:sz w:val="24"/>
                <w:rFonts w:ascii="Times New Roman" w:hAnsi="Times New Roman"/>
              </w:rPr>
              <w:t xml:space="preserve">Osigurane hipotekama na stambenim nekretninama – nisu IPRE</w:t>
            </w:r>
          </w:p>
          <w:p w14:paraId="1A8747F6" w14:textId="045D4EEB" w:rsidR="00F26067" w:rsidRPr="00166E0C" w:rsidRDefault="00F26067" w:rsidP="007750BC">
            <w:pPr>
              <w:spacing w:after="120"/>
              <w:jc w:val="both"/>
              <w:rPr>
                <w:bCs/>
                <w:sz w:val="24"/>
                <w:rFonts w:ascii="Times New Roman" w:hAnsi="Times New Roman" w:cs="Times New Roman"/>
              </w:rPr>
            </w:pPr>
            <w:r>
              <w:rPr>
                <w:sz w:val="24"/>
                <w:rFonts w:ascii="Times New Roman" w:hAnsi="Times New Roman"/>
              </w:rPr>
              <w:t xml:space="preserve">Objavljuju se izloženosti koje se tretiraju u skladu s člankom 125. stavkom 1. Uredbe (EU)br. 575/2013.</w:t>
            </w:r>
          </w:p>
          <w:p w14:paraId="739769BE" w14:textId="77777777" w:rsidR="00FB64CF" w:rsidRDefault="007750BC" w:rsidP="007750BC">
            <w:pPr>
              <w:spacing w:after="120"/>
              <w:jc w:val="both"/>
              <w:rPr>
                <w:sz w:val="24"/>
                <w:rFonts w:ascii="Times New Roman" w:eastAsiaTheme="minorHAnsi" w:hAnsi="Times New Roman"/>
              </w:rPr>
            </w:pPr>
            <w:r>
              <w:t xml:space="preserve"> </w:t>
            </w:r>
            <w:r>
              <w:br/>
            </w:r>
            <w:r>
              <w:rPr>
                <w:sz w:val="24"/>
                <w:rFonts w:ascii="Times New Roman" w:hAnsi="Times New Roman"/>
              </w:rPr>
              <w:t xml:space="preserve">U ovom retku objavljuje se i sljedeće:</w:t>
            </w:r>
            <w:r>
              <w:rPr>
                <w:sz w:val="24"/>
                <w:rFonts w:ascii="Times New Roman" w:hAnsi="Times New Roman"/>
              </w:rPr>
              <w:t xml:space="preserve"> </w:t>
            </w:r>
            <w:r>
              <w:rPr>
                <w:sz w:val="24"/>
                <w:rFonts w:ascii="Times New Roman" w:hAnsi="Times New Roman"/>
              </w:rPr>
              <w:t xml:space="preserve">druge izloženosti osigurane hipotekama na stambenim nekretninama – izloženosti koje nisu IPRE koje ne ispunjavaju uvjete iz članka 124. stavka 3.;</w:t>
            </w:r>
            <w:r>
              <w:rPr>
                <w:sz w:val="24"/>
                <w:rFonts w:ascii="Times New Roman" w:hAnsi="Times New Roman"/>
              </w:rPr>
              <w:t xml:space="preserve"> </w:t>
            </w:r>
            <w:r>
              <w:rPr>
                <w:sz w:val="24"/>
                <w:rFonts w:ascii="Times New Roman" w:hAnsi="Times New Roman"/>
              </w:rPr>
              <w:t xml:space="preserve">ili bilo koji dio izloženosti koja nije ADC koji prelazi nominalni iznos založnog prava na nekretnini iz članka 124. stavka 1. točke (b) Uredbe (EU) br. 575/2013.</w:t>
            </w:r>
          </w:p>
          <w:p w14:paraId="432D1633" w14:textId="5C6396A7" w:rsidR="004E3D87" w:rsidRPr="00166E0C" w:rsidRDefault="004E3D87" w:rsidP="007750BC">
            <w:pPr>
              <w:spacing w:after="120"/>
              <w:jc w:val="both"/>
              <w:rPr>
                <w:bCs/>
                <w:sz w:val="24"/>
                <w:rFonts w:ascii="Times New Roman" w:hAnsi="Times New Roman" w:cs="Times New Roman"/>
              </w:rPr>
            </w:pPr>
            <w:r>
              <w:rPr>
                <w:sz w:val="24"/>
                <w:rFonts w:ascii="Times New Roman" w:hAnsi="Times New Roman"/>
              </w:rPr>
              <w:t xml:space="preserve">Ovaj redak je zbroj redaka 9.1.1, 9.1.2 i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9.1.1</w:t>
            </w:r>
          </w:p>
        </w:tc>
        <w:tc>
          <w:tcPr>
            <w:tcW w:w="7654" w:type="dxa"/>
            <w:shd w:val="clear" w:color="auto" w:fill="auto"/>
          </w:tcPr>
          <w:p w14:paraId="7643D411" w14:textId="53D2093F" w:rsidR="00F26067" w:rsidRPr="00FB64CF" w:rsidRDefault="00F26067"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Nije primijenjen pristup razdvajanja kredita</w:t>
            </w:r>
          </w:p>
          <w:p w14:paraId="02E8C845" w14:textId="57A0B1B1" w:rsidR="00B731E6" w:rsidRPr="00166E0C" w:rsidRDefault="00F26067" w:rsidP="00B731E6">
            <w:pPr>
              <w:spacing w:after="120"/>
              <w:jc w:val="both"/>
              <w:rPr>
                <w:sz w:val="24"/>
                <w:rFonts w:ascii="Times New Roman" w:eastAsiaTheme="minorHAnsi" w:hAnsi="Times New Roman" w:cs="Times New Roman"/>
              </w:rPr>
            </w:pPr>
            <w:r>
              <w:rPr>
                <w:sz w:val="24"/>
                <w:rFonts w:ascii="Times New Roman" w:hAnsi="Times New Roman"/>
              </w:rPr>
              <w:t xml:space="preserve">Izloženosti osigurane hipotekama na stambenim nekretninama – izloženosti koje nisu IPRE na koje se ne primjenjuje pristup razdvajanja kredita opisan u članku 125. stavku 1. Uredbe (EU) br. 575/2013.</w:t>
            </w:r>
            <w:r>
              <w:rPr>
                <w:sz w:val="24"/>
                <w:rFonts w:ascii="Times New Roman" w:hAnsi="Times New Roman"/>
              </w:rPr>
              <w:t xml:space="preserve">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9.1.2</w:t>
            </w:r>
          </w:p>
        </w:tc>
        <w:tc>
          <w:tcPr>
            <w:tcW w:w="7654" w:type="dxa"/>
            <w:shd w:val="clear" w:color="auto" w:fill="auto"/>
          </w:tcPr>
          <w:p w14:paraId="0F9D3D69" w14:textId="1E8EFD2D" w:rsidR="00F26067" w:rsidRPr="00FB64CF" w:rsidRDefault="00F26067" w:rsidP="5A0D947F">
            <w:pPr>
              <w:spacing w:after="120"/>
              <w:jc w:val="both"/>
              <w:rPr>
                <w:b/>
                <w:bCs/>
                <w:sz w:val="24"/>
                <w:rFonts w:ascii="Times New Roman" w:hAnsi="Times New Roman" w:cs="Times New Roman"/>
              </w:rPr>
            </w:pPr>
            <w:r>
              <w:rPr>
                <w:b/>
                <w:sz w:val="24"/>
                <w:rFonts w:ascii="Times New Roman" w:hAnsi="Times New Roman"/>
              </w:rPr>
              <w:t xml:space="preserve">Primijenjen je pristup razdvajanja kredita (osigurano)</w:t>
            </w:r>
          </w:p>
          <w:p w14:paraId="28B98A7E" w14:textId="6E936DED"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Izloženosti osigurane hipotekama na stambenim nekretninama na koje se primjenjuje pristup razdvajanja kredita opisan u članku 125. stavku 1. točki (a)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9.1.3</w:t>
            </w:r>
          </w:p>
        </w:tc>
        <w:tc>
          <w:tcPr>
            <w:tcW w:w="7654" w:type="dxa"/>
            <w:shd w:val="clear" w:color="auto" w:fill="auto"/>
          </w:tcPr>
          <w:p w14:paraId="276011BB" w14:textId="26F29D4D" w:rsidR="00F26067" w:rsidRPr="00FB64CF" w:rsidRDefault="00F26067" w:rsidP="5A0D947F">
            <w:pPr>
              <w:spacing w:after="120"/>
              <w:jc w:val="both"/>
              <w:rPr>
                <w:b/>
                <w:bCs/>
                <w:sz w:val="24"/>
                <w:rFonts w:ascii="Times New Roman" w:hAnsi="Times New Roman" w:cs="Times New Roman"/>
              </w:rPr>
            </w:pPr>
            <w:r>
              <w:rPr>
                <w:b/>
                <w:sz w:val="24"/>
                <w:rFonts w:ascii="Times New Roman" w:hAnsi="Times New Roman"/>
              </w:rPr>
              <w:t xml:space="preserve">Primijenjen je pristup razdvajanja kredita (neosigurano)</w:t>
            </w:r>
          </w:p>
          <w:p w14:paraId="4F2656D3" w14:textId="59CF83C6"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Preostali dio izloženosti osiguranih hipotekama na stambenim nekretninama na koje se primjenjuje pristup razdvajanja kredita opisan u članku 125. stavku 1. </w:t>
            </w:r>
            <w:r>
              <w:rPr>
                <w:sz w:val="24"/>
                <w:color w:val="000000" w:themeColor="text1"/>
                <w:rFonts w:ascii="Times New Roman" w:hAnsi="Times New Roman"/>
              </w:rPr>
              <w:t xml:space="preserve">Uredbe (EU) br. 575/2013</w:t>
            </w:r>
            <w:r>
              <w:rPr>
                <w:sz w:val="24"/>
                <w:rFonts w:ascii="Times New Roman" w:hAnsi="Times New Roman"/>
              </w:rPr>
              <w:t xml:space="preserve">.</w:t>
            </w:r>
            <w:r>
              <w:rPr>
                <w:sz w:val="24"/>
                <w:rFonts w:ascii="Times New Roman" w:hAnsi="Times New Roman"/>
              </w:rPr>
              <w:t xml:space="preserve">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9.2</w:t>
            </w:r>
          </w:p>
        </w:tc>
        <w:tc>
          <w:tcPr>
            <w:tcW w:w="7654" w:type="dxa"/>
            <w:shd w:val="clear" w:color="auto" w:fill="auto"/>
          </w:tcPr>
          <w:p w14:paraId="70C82B6D" w14:textId="2D504FDB"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Osigurane hipotekama na stambenim nekretninama – IPRE</w:t>
            </w:r>
          </w:p>
          <w:p w14:paraId="4E83C986" w14:textId="06AEEF5B"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Ovdje se iskazuju izloženosti koje odgovaraju definiciji iz članka 4. stavka 1. točke (75.b) </w:t>
            </w:r>
            <w:r>
              <w:rPr>
                <w:sz w:val="24"/>
                <w:color w:val="000000" w:themeColor="text1"/>
                <w:rFonts w:ascii="Times New Roman" w:hAnsi="Times New Roman"/>
              </w:rPr>
              <w:t xml:space="preserve">Uredbe (EU) br. 575/2013</w:t>
            </w:r>
            <w:r>
              <w:rPr>
                <w:sz w:val="24"/>
                <w:rFonts w:ascii="Times New Roman" w:hAnsi="Times New Roman"/>
              </w:rPr>
              <w:t xml:space="preserve">.</w:t>
            </w:r>
          </w:p>
          <w:p w14:paraId="46AB10B2" w14:textId="77777777" w:rsidR="008D77B1" w:rsidRPr="00166E0C" w:rsidRDefault="00BC2787" w:rsidP="5A0D947F">
            <w:pPr>
              <w:spacing w:after="120"/>
              <w:jc w:val="both"/>
              <w:rPr>
                <w:sz w:val="24"/>
                <w:rFonts w:ascii="Times New Roman" w:hAnsi="Times New Roman" w:cs="Times New Roman"/>
              </w:rPr>
            </w:pPr>
            <w:r>
              <w:rPr>
                <w:sz w:val="24"/>
                <w:rFonts w:ascii="Times New Roman" w:hAnsi="Times New Roman"/>
              </w:rPr>
              <w:t xml:space="preserve">U ovom retku objavljuje se i sljedeće:</w:t>
            </w:r>
            <w:r>
              <w:rPr>
                <w:sz w:val="24"/>
                <w:rFonts w:ascii="Times New Roman" w:hAnsi="Times New Roman"/>
              </w:rPr>
              <w:t xml:space="preserve"> </w:t>
            </w:r>
          </w:p>
          <w:p w14:paraId="56D10EDE" w14:textId="53C433B5" w:rsidR="008D77B1" w:rsidRPr="00166E0C" w:rsidRDefault="008D77B1" w:rsidP="5A0D947F">
            <w:pPr>
              <w:spacing w:after="120"/>
              <w:jc w:val="both"/>
              <w:rPr>
                <w:sz w:val="24"/>
                <w:rFonts w:ascii="Times New Roman" w:eastAsiaTheme="minorHAnsi" w:hAnsi="Times New Roman" w:cs="Times New Roman"/>
              </w:rPr>
            </w:pPr>
            <w:r>
              <w:rPr>
                <w:sz w:val="24"/>
                <w:rFonts w:ascii="Times New Roman" w:hAnsi="Times New Roman"/>
              </w:rPr>
              <w:t xml:space="preserve">– druge izloženosti osigurane hipotekama na stambenim nekretninama – IPRE izloženosti koje ne ispunjavaju uvjete iz članka 124. stavka 3. ili bilo koji dio izloženosti koja nije ADC koji prelazi nominalni iznos založnog prava na nekretnini iz članka 124. stavka 1. točke (b) Uredbe (EU) br. 575/2013.;</w:t>
            </w:r>
          </w:p>
          <w:p w14:paraId="54B1CD31" w14:textId="77777777" w:rsidR="00DE1541" w:rsidRDefault="008D77B1" w:rsidP="5A0D947F">
            <w:pPr>
              <w:spacing w:after="120"/>
              <w:jc w:val="both"/>
              <w:rPr>
                <w:bCs/>
                <w:sz w:val="24"/>
                <w:rFonts w:ascii="Times New Roman" w:hAnsi="Times New Roman" w:cs="Times New Roman"/>
              </w:rPr>
            </w:pPr>
            <w:r>
              <w:rPr>
                <w:sz w:val="24"/>
                <w:rFonts w:ascii="Times New Roman" w:hAnsi="Times New Roman"/>
              </w:rPr>
              <w:t xml:space="preserve">IPRE izloženosti koje ispunjavaju bilo koji od uvjeta iz članka 124. stavka 2. točke (a) podtočke ii. točaka od 1. do 4. Uredbe (EU) br. 575/2013:</w:t>
            </w:r>
            <w:r>
              <w:rPr>
                <w:sz w:val="24"/>
                <w:rFonts w:ascii="Times New Roman" w:hAnsi="Times New Roman"/>
              </w:rPr>
              <w:t xml:space="preserve"> </w:t>
            </w:r>
          </w:p>
          <w:p w14:paraId="2A0561A2" w14:textId="62F31EDE" w:rsidR="00BC2787" w:rsidRPr="00166E0C" w:rsidRDefault="00DE1541" w:rsidP="5A0D947F">
            <w:pPr>
              <w:spacing w:after="120"/>
              <w:jc w:val="both"/>
              <w:rPr>
                <w:sz w:val="24"/>
                <w:rFonts w:ascii="Times New Roman" w:hAnsi="Times New Roman" w:cs="Times New Roman"/>
              </w:rPr>
            </w:pPr>
            <w:r>
              <w:rPr>
                <w:sz w:val="24"/>
                <w:rFonts w:ascii="Times New Roman" w:hAnsi="Times New Roman"/>
              </w:rPr>
              <w:t xml:space="preserve">– IPRE izloženosti ako se primjenjuje odstupanje iz članka 125. stavka 2. Uredbe (EU) br. 575/2013.</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w:t>
            </w:r>
          </w:p>
        </w:tc>
        <w:tc>
          <w:tcPr>
            <w:tcW w:w="7654" w:type="dxa"/>
            <w:shd w:val="clear" w:color="auto" w:fill="auto"/>
          </w:tcPr>
          <w:p w14:paraId="1FB5BC8C" w14:textId="150F29C1" w:rsidR="00AF565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Osigurane hipotekama na poslovnim nekretninama – nisu IPRE</w:t>
            </w:r>
          </w:p>
          <w:p w14:paraId="6D774530" w14:textId="076B20CB" w:rsidR="00B731E6" w:rsidRPr="00166E0C" w:rsidRDefault="00AF5657" w:rsidP="00B731E6">
            <w:pPr>
              <w:spacing w:after="120"/>
              <w:jc w:val="both"/>
              <w:rPr>
                <w:bCs/>
                <w:sz w:val="24"/>
                <w:rFonts w:ascii="Times New Roman" w:hAnsi="Times New Roman" w:cs="Times New Roman"/>
              </w:rPr>
            </w:pPr>
            <w:r>
              <w:rPr>
                <w:sz w:val="24"/>
                <w:rFonts w:ascii="Times New Roman" w:hAnsi="Times New Roman"/>
              </w:rPr>
              <w:t xml:space="preserve">Objavljuju se izloženosti koje se tretiraju u skladu s člankom 126. stavkom 1. Uredbe (EU)br. 575/2013.</w:t>
            </w:r>
          </w:p>
          <w:p w14:paraId="7E6B1435" w14:textId="2E512A61" w:rsidR="00DA7EF5" w:rsidRPr="00166E0C" w:rsidRDefault="0033556A" w:rsidP="00B731E6">
            <w:pPr>
              <w:spacing w:after="120"/>
              <w:jc w:val="both"/>
              <w:rPr>
                <w:bCs/>
                <w:sz w:val="24"/>
                <w:rFonts w:ascii="Times New Roman" w:hAnsi="Times New Roman" w:cs="Times New Roman"/>
              </w:rPr>
            </w:pPr>
            <w:r>
              <w:rPr>
                <w:sz w:val="24"/>
                <w:rFonts w:ascii="Times New Roman" w:hAnsi="Times New Roman"/>
              </w:rPr>
              <w:t xml:space="preserve">U ovom retku objavljuje se i sljedeće:</w:t>
            </w:r>
            <w:r>
              <w:rPr>
                <w:sz w:val="24"/>
                <w:rFonts w:ascii="Times New Roman" w:hAnsi="Times New Roman"/>
              </w:rPr>
              <w:t xml:space="preserve"> </w:t>
            </w:r>
            <w:r>
              <w:rPr>
                <w:sz w:val="24"/>
                <w:rFonts w:ascii="Times New Roman" w:hAnsi="Times New Roman"/>
              </w:rPr>
              <w:t xml:space="preserve">druge izloženosti osigurane hipotekama na poslovnim nekretninama – nisu IPRE, koje ne ispunjavaju uvjete iz članka 124. stavka 3. ili bilo koji dio izloženosti koja nije ADC koji prelazi nominalni iznos založnog prava na nekretnini iz članka 124. stavka 1. točke (a) Uredbe (EU) br. 575/2013.</w:t>
            </w:r>
          </w:p>
          <w:p w14:paraId="3A4B49EE" w14:textId="21BC011B" w:rsidR="007E0548" w:rsidRPr="00166E0C" w:rsidRDefault="007E0548" w:rsidP="00B731E6">
            <w:pPr>
              <w:spacing w:after="120"/>
              <w:jc w:val="both"/>
              <w:rPr>
                <w:sz w:val="24"/>
                <w:rFonts w:ascii="Times New Roman" w:eastAsiaTheme="minorHAnsi" w:hAnsi="Times New Roman" w:cs="Times New Roman"/>
              </w:rPr>
            </w:pPr>
            <w:r>
              <w:rPr>
                <w:sz w:val="24"/>
                <w:rFonts w:ascii="Times New Roman" w:hAnsi="Times New Roman"/>
              </w:rPr>
              <w:t xml:space="preserve">Ovaj redak je zbroj redaka 9.3.1, 9.3.2 i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9.3.1</w:t>
            </w:r>
          </w:p>
        </w:tc>
        <w:tc>
          <w:tcPr>
            <w:tcW w:w="7654" w:type="dxa"/>
            <w:shd w:val="clear" w:color="auto" w:fill="auto"/>
          </w:tcPr>
          <w:p w14:paraId="6F533409" w14:textId="44833E01"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Nije primijenjen pristup razdvajanja kredita</w:t>
            </w:r>
          </w:p>
          <w:p w14:paraId="189515BD" w14:textId="4BE4C9FD"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Izloženosti osigurane hipotekama na poslovnim nekretninama na koje se ne primjenjuje pristup razdvajanja kredita opisan u članku 126. stavku 1.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9.3.2</w:t>
            </w:r>
          </w:p>
        </w:tc>
        <w:tc>
          <w:tcPr>
            <w:tcW w:w="7654" w:type="dxa"/>
            <w:shd w:val="clear" w:color="auto" w:fill="auto"/>
          </w:tcPr>
          <w:p w14:paraId="2A4977BE" w14:textId="7C1D3936"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Primijenjen je pristup razdvajanja kredita (osigurano)</w:t>
            </w:r>
          </w:p>
          <w:p w14:paraId="295F988E" w14:textId="163AC587"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Osigurani dio izloženosti osiguranih hipotekama na poslovnim nekretninama na koje se primjenjuje pristup razdvajanja kredita opisan u članku 126. stavku 1.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9.3.3</w:t>
            </w:r>
          </w:p>
        </w:tc>
        <w:tc>
          <w:tcPr>
            <w:tcW w:w="7654" w:type="dxa"/>
            <w:shd w:val="clear" w:color="auto" w:fill="auto"/>
          </w:tcPr>
          <w:p w14:paraId="4ECB5244" w14:textId="1E8E28D6"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Primijenjen je pristup razdvajanja kredita (neosigurano)</w:t>
            </w:r>
          </w:p>
          <w:p w14:paraId="6C4BCA6C" w14:textId="42BC1D87"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Preostali dio izloženosti osiguranih hipotekama na poslovnim nekretninama na koje se primjenjuje pristup razdvajanja kredita opisan u članku 126. stavku 1.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9.4</w:t>
            </w:r>
          </w:p>
        </w:tc>
        <w:tc>
          <w:tcPr>
            <w:tcW w:w="7654" w:type="dxa"/>
            <w:shd w:val="clear" w:color="auto" w:fill="auto"/>
          </w:tcPr>
          <w:p w14:paraId="5DC2F5DD" w14:textId="1CB33C48"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Osigurane hipotekama na poslovnim nekretninama – IPRE</w:t>
            </w:r>
          </w:p>
          <w:p w14:paraId="6B5C20F3" w14:textId="231C48A9"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Ovdje se iskazuju samo izloženosti koje odgovaraju definiciji iz članka 4. stavka 1. točke (75.b) i članka 124. stavka 2. točke (b) podtočke ii. </w:t>
            </w:r>
            <w:r>
              <w:rPr>
                <w:sz w:val="24"/>
                <w:color w:val="000000" w:themeColor="text1"/>
                <w:rFonts w:ascii="Times New Roman" w:hAnsi="Times New Roman"/>
              </w:rPr>
              <w:t xml:space="preserve">Uredbe (EU) br. 575/2013</w:t>
            </w:r>
            <w:r>
              <w:rPr>
                <w:sz w:val="24"/>
                <w:rFonts w:ascii="Times New Roman" w:hAnsi="Times New Roman"/>
              </w:rPr>
              <w:t xml:space="preserve">.</w:t>
            </w:r>
            <w:r>
              <w:rPr>
                <w:sz w:val="24"/>
                <w:rFonts w:ascii="Times New Roman" w:hAnsi="Times New Roman"/>
              </w:rPr>
              <w:t xml:space="preserve"> </w:t>
            </w:r>
          </w:p>
          <w:p w14:paraId="753C2F57" w14:textId="77777777" w:rsidR="008D77B1" w:rsidRPr="00166E0C" w:rsidRDefault="00DA7EF5" w:rsidP="5A0D947F">
            <w:pPr>
              <w:spacing w:after="120"/>
              <w:jc w:val="both"/>
              <w:rPr>
                <w:sz w:val="24"/>
                <w:rFonts w:ascii="Times New Roman" w:hAnsi="Times New Roman" w:cs="Times New Roman"/>
              </w:rPr>
            </w:pPr>
            <w:r>
              <w:rPr>
                <w:sz w:val="24"/>
                <w:rFonts w:ascii="Times New Roman" w:hAnsi="Times New Roman"/>
              </w:rPr>
              <w:t xml:space="preserve">U ovom retku objavljuje se i sljedeće:</w:t>
            </w:r>
          </w:p>
          <w:p w14:paraId="5FECF5F7" w14:textId="5AE5B58A" w:rsidR="008D77B1" w:rsidRPr="00166E0C" w:rsidRDefault="008D77B1" w:rsidP="5A0D947F">
            <w:pPr>
              <w:spacing w:after="120"/>
              <w:jc w:val="both"/>
              <w:rPr>
                <w:sz w:val="24"/>
                <w:rFonts w:ascii="Times New Roman" w:eastAsiaTheme="minorHAnsi" w:hAnsi="Times New Roman" w:cs="Times New Roman"/>
              </w:rPr>
            </w:pPr>
            <w:r>
              <w:rPr>
                <w:sz w:val="24"/>
                <w:rFonts w:ascii="Times New Roman" w:hAnsi="Times New Roman"/>
              </w:rPr>
              <w:t xml:space="preserve">– druge izloženosti osigurane hipotekama na poslovnim nekretninama – IPRE koje ne ispunjavaju uvjete iz članka 124. stavka 3. ili bilo koji dio izloženosti koja nije ADC koji prelazi nominalni iznos založnog prava na nekretnini iz članka 124. stavka 1. točke (b) Uredbe (EU) br. 575/2013</w:t>
            </w:r>
          </w:p>
          <w:p w14:paraId="7685605B" w14:textId="29DF1160" w:rsidR="00DA7EF5" w:rsidRPr="00166E0C" w:rsidRDefault="008D77B1" w:rsidP="5A0D947F">
            <w:pPr>
              <w:spacing w:after="120"/>
              <w:jc w:val="both"/>
              <w:rPr>
                <w:bCs/>
                <w:sz w:val="24"/>
                <w:rFonts w:ascii="Times New Roman" w:hAnsi="Times New Roman" w:cs="Times New Roman"/>
              </w:rPr>
            </w:pPr>
            <w:r>
              <w:rPr>
                <w:sz w:val="24"/>
                <w:rFonts w:ascii="Times New Roman" w:hAnsi="Times New Roman"/>
              </w:rPr>
              <w:t xml:space="preserve">– IPRE izloženosti ako se primjenjuje odstupanje iz članka 126. stavka 2. Uredbe (EU) br. 575/2013.</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9.5</w:t>
            </w:r>
          </w:p>
        </w:tc>
        <w:tc>
          <w:tcPr>
            <w:tcW w:w="7654" w:type="dxa"/>
            <w:shd w:val="clear" w:color="auto" w:fill="auto"/>
          </w:tcPr>
          <w:p w14:paraId="341A3252" w14:textId="49B1967E"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Stjecanje, razvoj i građenje (ADC)</w:t>
            </w:r>
          </w:p>
          <w:p w14:paraId="0F969F9F" w14:textId="52C7FD3B"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Ovdje se iskazuju samo izloženosti koje odgovaraju definiciji iz članka 4. stavka 1. točke (78.a)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sz w:val="24"/>
                <w:rFonts w:ascii="Times New Roman" w:eastAsia="Times New Roman" w:hAnsi="Times New Roman" w:cs="Times New Roman"/>
              </w:rPr>
            </w:pPr>
            <w:r>
              <w:rPr>
                <w:sz w:val="24"/>
                <w:rFonts w:ascii="Times New Roman" w:hAnsi="Times New Roman"/>
              </w:rPr>
              <w:t xml:space="preserve">EU 10c</w:t>
            </w:r>
          </w:p>
        </w:tc>
        <w:tc>
          <w:tcPr>
            <w:tcW w:w="7654" w:type="dxa"/>
          </w:tcPr>
          <w:p w14:paraId="44064BA9" w14:textId="08D5F5C0" w:rsidR="00AF565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Ostale stavke</w:t>
            </w:r>
          </w:p>
          <w:p w14:paraId="71B77EE9" w14:textId="278AF798" w:rsidR="00B731E6" w:rsidRPr="00166E0C" w:rsidRDefault="00AF5657" w:rsidP="00B731E6">
            <w:pPr>
              <w:spacing w:after="120"/>
              <w:jc w:val="both"/>
              <w:rPr>
                <w:sz w:val="24"/>
                <w:rFonts w:ascii="Times New Roman" w:eastAsiaTheme="minorHAnsi" w:hAnsi="Times New Roman" w:cs="Times New Roman"/>
              </w:rPr>
            </w:pPr>
            <w:r>
              <w:rPr>
                <w:sz w:val="24"/>
                <w:rFonts w:ascii="Times New Roman" w:hAnsi="Times New Roman"/>
              </w:rPr>
              <w:t xml:space="preserve">Kategorija izloženosti odnosi se na sljedeće:</w:t>
            </w:r>
          </w:p>
          <w:p w14:paraId="278C94D3" w14:textId="1D604FCC" w:rsidR="00B731E6" w:rsidRPr="00166E0C" w:rsidRDefault="00B731E6" w:rsidP="00B731E6">
            <w:pPr>
              <w:spacing w:after="120"/>
              <w:jc w:val="both"/>
              <w:rPr>
                <w:sz w:val="24"/>
                <w:rFonts w:ascii="Times New Roman" w:eastAsiaTheme="minorHAnsi" w:hAnsi="Times New Roman" w:cs="Times New Roman"/>
              </w:rPr>
            </w:pPr>
            <w:r>
              <w:rPr>
                <w:sz w:val="24"/>
                <w:rFonts w:ascii="Times New Roman" w:hAnsi="Times New Roman"/>
              </w:rPr>
              <w:t xml:space="preserve">– imovinu na koju se primjenjuje specifični ponder rizika utvrđen u dijelu trećem glavi II. poglavlju 4. članku 134. </w:t>
            </w:r>
            <w:r>
              <w:rPr>
                <w:sz w:val="24"/>
                <w:color w:val="000000" w:themeColor="text1"/>
                <w:rFonts w:ascii="Times New Roman" w:hAnsi="Times New Roman"/>
              </w:rPr>
              <w:t xml:space="preserve">Uredbe (EU) br. 575/2013</w:t>
            </w:r>
            <w:r>
              <w:rPr>
                <w:sz w:val="24"/>
                <w:rFonts w:ascii="Times New Roman" w:hAnsi="Times New Roman"/>
              </w:rPr>
              <w:t xml:space="preserve">;</w:t>
            </w:r>
          </w:p>
          <w:p w14:paraId="573636F2" w14:textId="044BB2FD" w:rsidR="00B731E6" w:rsidRPr="00BC439A" w:rsidRDefault="0B701945" w:rsidP="5A0D947F">
            <w:pPr>
              <w:spacing w:after="120"/>
              <w:jc w:val="both"/>
              <w:rPr>
                <w:sz w:val="24"/>
                <w:rFonts w:ascii="Times New Roman" w:hAnsi="Times New Roman" w:cs="Times New Roman"/>
              </w:rPr>
            </w:pPr>
            <w:r>
              <w:rPr>
                <w:sz w:val="24"/>
                <w:rFonts w:ascii="Times New Roman" w:hAnsi="Times New Roman"/>
              </w:rPr>
              <w:t xml:space="preserve">– imovinu koja nije odbijena u skladu s člankom 39. </w:t>
            </w:r>
            <w:r>
              <w:rPr>
                <w:sz w:val="24"/>
                <w:color w:val="000000" w:themeColor="text1"/>
                <w:rFonts w:ascii="Times New Roman" w:hAnsi="Times New Roman"/>
              </w:rPr>
              <w:t xml:space="preserve">Uredbe (EU) br. 575/2013</w:t>
            </w:r>
            <w:r>
              <w:rPr>
                <w:sz w:val="24"/>
                <w:rFonts w:ascii="Times New Roman" w:hAnsi="Times New Roman"/>
              </w:rPr>
              <w:t xml:space="preserve"> (preplata poreza, prijenos poreznoga gubitka i odgođena porezna imovina koja ne ovisi o budućoj profitabilnosti), člankom 41. </w:t>
            </w:r>
            <w:r>
              <w:rPr>
                <w:sz w:val="24"/>
                <w:color w:val="000000" w:themeColor="text1"/>
                <w:rFonts w:ascii="Times New Roman" w:hAnsi="Times New Roman"/>
              </w:rPr>
              <w:t xml:space="preserve">Uredbe (EU) br. 575/2013</w:t>
            </w:r>
            <w:r>
              <w:rPr>
                <w:sz w:val="24"/>
                <w:rFonts w:ascii="Times New Roman" w:hAnsi="Times New Roman"/>
              </w:rPr>
              <w:t xml:space="preserve"> (imovina mirovinskog fonda pod pokroviteljstvom poslodavca), člancima 46. i 469. </w:t>
            </w:r>
            <w:r>
              <w:rPr>
                <w:sz w:val="24"/>
                <w:color w:val="000000" w:themeColor="text1"/>
                <w:rFonts w:ascii="Times New Roman" w:hAnsi="Times New Roman"/>
              </w:rPr>
              <w:t xml:space="preserve">Uredbe (EU) br. 575/2013</w:t>
            </w:r>
            <w:r>
              <w:rPr>
                <w:sz w:val="24"/>
                <w:rFonts w:ascii="Times New Roman" w:hAnsi="Times New Roman"/>
              </w:rPr>
              <w:t xml:space="preserve"> (ulaganja u redovni osnovni kapital subjekata financijskog sektora koja nisu značajna), člancima 49. i 471. </w:t>
            </w:r>
            <w:r>
              <w:rPr>
                <w:sz w:val="24"/>
                <w:color w:val="000000" w:themeColor="text1"/>
                <w:rFonts w:ascii="Times New Roman" w:hAnsi="Times New Roman"/>
              </w:rPr>
              <w:t xml:space="preserve">Uredbe (EU) br. 575/2013</w:t>
            </w:r>
            <w:r>
              <w:rPr>
                <w:sz w:val="24"/>
                <w:rFonts w:ascii="Times New Roman" w:hAnsi="Times New Roman"/>
              </w:rPr>
              <w:t xml:space="preserve"> (ulaganja u društva za osiguranje neovisno o tome jesu li ta društva pod nadzorom u skladu s direktivom o konglomeratima), člancima 60. i 475. </w:t>
            </w:r>
            <w:r>
              <w:rPr>
                <w:sz w:val="24"/>
                <w:color w:val="000000" w:themeColor="text1"/>
                <w:rFonts w:ascii="Times New Roman" w:hAnsi="Times New Roman"/>
              </w:rPr>
              <w:t xml:space="preserve">Uredbe (EU) br. 575/2013</w:t>
            </w:r>
            <w:r>
              <w:rPr>
                <w:sz w:val="24"/>
                <w:rFonts w:ascii="Times New Roman" w:hAnsi="Times New Roman"/>
              </w:rPr>
              <w:t xml:space="preserve"> (značajna ulaganja i ulaganja koja nisu značajna, izravna, neizravna i sintetska ulaganja u instrumente dodatnog osnovnog kapitala subjekta financijskog sektora), člancima 70. i 477. </w:t>
            </w:r>
            <w:r>
              <w:rPr>
                <w:sz w:val="24"/>
                <w:color w:val="000000" w:themeColor="text1"/>
                <w:rFonts w:ascii="Times New Roman" w:hAnsi="Times New Roman"/>
              </w:rPr>
              <w:t xml:space="preserve">Uredbe (EU) br. 575/2013</w:t>
            </w:r>
            <w:r>
              <w:rPr>
                <w:sz w:val="24"/>
                <w:rFonts w:ascii="Times New Roman" w:hAnsi="Times New Roman"/>
              </w:rPr>
              <w:t xml:space="preserve"> (značajna i neznačajna izravna, neizravna i sintetska ulaganja u instrumente dopunskog kapitala subjekata financijskog sektora) ako nije raspoređena u druge kategorije izloženosti i na kvalificirane udjele izvan financijskog sektora ako im nije dodijeljen ponder rizika od 1250 % (u skladu s dijelom drugim glavom I. poglavljem 1. člankom 36. točkom (k) </w:t>
            </w:r>
            <w:r>
              <w:rPr>
                <w:sz w:val="24"/>
                <w:color w:val="000000" w:themeColor="text1"/>
                <w:rFonts w:ascii="Times New Roman" w:hAnsi="Times New Roman"/>
              </w:rPr>
              <w:t xml:space="preserve">Uredbe (EU) br. 575/2013</w:t>
            </w:r>
            <w:r>
              <w:rPr>
                <w:sz w:val="24"/>
                <w:rFonts w:ascii="Times New Roman" w:hAnsi="Times New Roman"/>
              </w:rPr>
              <w:t xml:space="preserve">).</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sz w:val="24"/>
                <w:rFonts w:ascii="Times New Roman" w:eastAsia="Times New Roman" w:hAnsi="Times New Roman" w:cs="Times New Roman"/>
              </w:rPr>
            </w:pPr>
            <w:r>
              <w:rPr>
                <w:sz w:val="24"/>
                <w:rFonts w:ascii="Times New Roman" w:hAnsi="Times New Roman"/>
              </w:rPr>
              <w:t xml:space="preserve">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sz w:val="24"/>
                <w:rFonts w:ascii="Times New Roman" w:eastAsiaTheme="minorHAnsi" w:hAnsi="Times New Roman" w:cs="Times New Roman"/>
              </w:rPr>
            </w:pPr>
            <w:r>
              <w:rPr>
                <w:sz w:val="24"/>
                <w:rFonts w:ascii="Times New Roman" w:hAnsi="Times New Roman"/>
              </w:rPr>
              <w:t xml:space="preserve">Nije primjenjivo</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b/>
                <w:bCs/>
                <w:sz w:val="24"/>
                <w:rFonts w:ascii="Times New Roman" w:hAnsi="Times New Roman" w:cs="Times New Roman"/>
              </w:rPr>
            </w:pPr>
            <w:r>
              <w:rPr>
                <w:b/>
                <w:sz w:val="24"/>
                <w:rFonts w:ascii="Times New Roman" w:hAnsi="Times New Roman"/>
              </w:rPr>
              <w:t xml:space="preserve">Ukupno</w:t>
            </w:r>
          </w:p>
          <w:p w14:paraId="463C4A08" w14:textId="7392B85F" w:rsidR="00B731E6" w:rsidRPr="00FB64CF" w:rsidRDefault="00AF5657" w:rsidP="00B731E6">
            <w:pPr>
              <w:spacing w:after="120"/>
              <w:jc w:val="both"/>
              <w:rPr>
                <w:sz w:val="24"/>
                <w:rFonts w:ascii="Times New Roman" w:hAnsi="Times New Roman" w:cs="Times New Roman"/>
              </w:rPr>
            </w:pPr>
            <w:r>
              <w:rPr>
                <w:sz w:val="24"/>
                <w:rFonts w:ascii="Times New Roman" w:hAnsi="Times New Roman"/>
              </w:rPr>
              <w:t xml:space="preserve">Zbroj prethodnih redaka 1, 2, 3, EU 3a, 4, 5, 6, 7, 8, 9, 10, EU 10a, EU 10b, EU 10c.</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 xml:space="preserve">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r>
      <w:r>
        <w:t xml:space="preserve">Uredba (EU) br. 575/2013 Europskog parlamenta i Vijeća od 26. lipnja 2013. o bonitetnim zahtjevima za kreditne institucije i o izmjeni Uredbe (EU) br. 648/2012, kako je izmijenjena Uredbom (EU) 2024/1623 </w:t>
      </w:r>
      <w:r>
        <w:rPr>
          <w:color w:val="444444"/>
        </w:rPr>
        <w:t xml:space="preserve">(</w:t>
      </w:r>
      <w:hyperlink r:id="rId1" w:history="1">
        <w:r>
          <w:rPr>
            <w:rStyle w:val="Hyperlink"/>
            <w:color w:val="800080"/>
          </w:rPr>
          <w:t xml:space="preserve">SL L 176, 27.6.2013., str. 1.</w:t>
        </w:r>
      </w:hyperlink>
      <w:r>
        <w:rPr>
          <w:color w:val="800080"/>
          <w:u w:val="single"/>
        </w:rPr>
        <w:t xml:space="preserve">;</w:t>
      </w:r>
      <w:r>
        <w:rPr>
          <w:color w:val="800080"/>
          <w:u w:val="single"/>
        </w:rPr>
        <w:t xml:space="preserve"> </w:t>
      </w:r>
      <w:hyperlink r:id="rId2" w:history="1">
        <w:r>
          <w:rPr>
            <w:rStyle w:val="Hyperlink"/>
          </w:rPr>
          <w:t xml:space="preserve">Uredba – EU – 2024/1623 – HR – EUR-Lex (europa.eu)</w:t>
        </w:r>
      </w:hyperlink>
      <w:r>
        <w:rPr>
          <w:color w:val="444444"/>
        </w:rPr>
        <w:t xml:space="preserve">)</w:t>
      </w:r>
      <w:r>
        <w:t xml:space="preserve">.</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 xml:space="preserve"> </w:t>
      </w:r>
      <w:r>
        <w:tab/>
      </w:r>
      <w:r>
        <w:t xml:space="preserve">DELEGIRANA UREDBA KOMISIJE (EU) br. 183/2014 оd 20. prosinca 2013. o dopuni Uredbe (EU) br. 575/2013 Europskog parlamenta i Vijeća o bonitetnim zahtjevima za kreditne institucije i investicijska društva u vezi s regulatornim tehničkim standardima kojima se pobliže određuje način izračuna specifičnih i općih ispravaka vrijednosti za kreditni rizik (SL L 57, 27.2.2014., str.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hr-H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hr-HR"/>
    </w:rPr>
  </w:style>
  <w:style w:type="character" w:customStyle="1" w:styleId="FootnoteTextChar">
    <w:name w:val="Footnote Text Char"/>
    <w:basedOn w:val="DefaultParagraphFont"/>
    <w:link w:val="FootnoteText"/>
    <w:rsid w:val="0005278F"/>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0BD9717A-1343-420D-B2A8-7F46A1EF5F62}"/>
</file>

<file path=customXml/itemProps3.xml><?xml version="1.0" encoding="utf-8"?>
<ds:datastoreItem xmlns:ds="http://schemas.openxmlformats.org/officeDocument/2006/customXml" ds:itemID="{44BEC0FD-CC67-4738-8814-0E8930DC7468}"/>
</file>

<file path=customXml/itemProps4.xml><?xml version="1.0" encoding="utf-8"?>
<ds:datastoreItem xmlns:ds="http://schemas.openxmlformats.org/officeDocument/2006/customXml" ds:itemID="{D18A11AC-D8EA-4543-9AB8-7BDB855FFA6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3329</Words>
  <Characters>17245</Characters>
  <Application>Microsoft Office Word</Application>
  <DocSecurity>0</DocSecurity>
  <Lines>442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2024-09-26T14:27:00Z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