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016A" w14:textId="77777777" w:rsidR="00A040D0" w:rsidRPr="007F4CC8" w:rsidRDefault="00A040D0" w:rsidP="00A040D0">
      <w:pPr>
        <w:pStyle w:val="Annexetitre"/>
        <w:rPr>
          <w:b w:val="0"/>
        </w:rPr>
      </w:pPr>
      <w:r>
        <w:t xml:space="preserve">ПРИЛОЖЕНИЕ IV — Указания за оповестяване на целите и политиките за управление на риска</w:t>
      </w:r>
    </w:p>
    <w:p w14:paraId="54412256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61CF2D7C" w14:textId="77777777" w:rsidR="00A040D0" w:rsidRPr="007F4CC8" w:rsidRDefault="00A040D0" w:rsidP="00A040D0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Таблица EU OVA — Подход на институциите за управление на риска: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Полета със свободен текст за оповестяване на качествена информация.</w:t>
      </w:r>
    </w:p>
    <w:p w14:paraId="6410CBA1" w14:textId="56AB6827" w:rsidR="00A040D0" w:rsidRPr="007F4CC8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Институциите оповестяват информацията, посочена в член 435, параграф 1 от Регламент (ЕС) № 575/2013</w:t>
      </w:r>
      <w:r w:rsidRPr="007F4CC8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(„РКИ“), като попълват таблица EU OVA от приложение III към ИТ решенията на ЕБО, следвайки изложените по-долу в настоящото приложение указания.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7F4CC8" w14:paraId="65B1C3A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60DAAB" w14:textId="77777777" w:rsidR="00A040D0" w:rsidRPr="007F4CC8" w:rsidRDefault="00A040D0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Препратки към нормативни актове и указания</w:t>
            </w:r>
          </w:p>
        </w:tc>
      </w:tr>
      <w:tr w:rsidR="00A040D0" w:rsidRPr="007F4CC8" w14:paraId="6539318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AB253F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C0C45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A040D0" w:rsidRPr="007F4CC8" w14:paraId="1644152E" w14:textId="77777777" w:rsidTr="00D819DE">
        <w:trPr>
          <w:trHeight w:val="1803"/>
        </w:trPr>
        <w:tc>
          <w:tcPr>
            <w:tcW w:w="1384" w:type="dxa"/>
          </w:tcPr>
          <w:p w14:paraId="5E2D9514" w14:textId="77777777" w:rsidR="00A040D0" w:rsidRPr="007F4CC8" w:rsidRDefault="00A040D0" w:rsidP="00D819DE">
            <w:pPr>
              <w:pStyle w:val="Applicationdirecte"/>
              <w:spacing w:before="120"/>
            </w:pPr>
            <w:r>
              <w:t xml:space="preserve">а)</w:t>
            </w:r>
          </w:p>
        </w:tc>
        <w:tc>
          <w:tcPr>
            <w:tcW w:w="7655" w:type="dxa"/>
          </w:tcPr>
          <w:p w14:paraId="15BD1156" w14:textId="77777777" w:rsidR="00A040D0" w:rsidRPr="007F4CC8" w:rsidRDefault="00A040D0" w:rsidP="00D819DE">
            <w:pPr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В краткото изявление за риска, одобрено от ръководния орган в изпълнение на член 435, параграф 1, буква е) от РКИ, се описва как моделът на стопанска дейност обуславя и взаимодейства с общия рисков профил: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например — основните рискове, свързани с модела на стопанска дейност, как всеки от тези рискове е отразен и описан в оповестяванията за риска или как рисковият профил на институцията взаимодейства с лимита за поемане на риск, одобрен от ръководния орган.</w:t>
            </w:r>
          </w:p>
          <w:p w14:paraId="114EC765" w14:textId="77777777" w:rsidR="00A040D0" w:rsidRPr="007F4CC8" w:rsidRDefault="00A040D0" w:rsidP="00D819DE">
            <w:pPr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В изявлението за риска — в приложение на член 435, параграф 1, буква е) от РКИ — институциите оповестяват и естеството, степента, целта и икономическата същност на съществените сделки в рамките на групата, свързаните предприятия и свързаните лица.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Оповестяват се само сделките, които се отразяват съществено на рисковия профил на институцията (включително риска за репутацията) или на разпределянето на рисковете в рамките на групата.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Институциите посочват и основните отношения и стойности, които показват как рисковият профил на институцията взаимодейства с допустимата степен на риск, определена от ръководния орган.</w:t>
            </w:r>
          </w:p>
        </w:tc>
      </w:tr>
      <w:tr w:rsidR="00A040D0" w:rsidRPr="007F4CC8" w14:paraId="6DC348D0" w14:textId="77777777" w:rsidTr="00D819DE">
        <w:trPr>
          <w:trHeight w:val="316"/>
        </w:trPr>
        <w:tc>
          <w:tcPr>
            <w:tcW w:w="1384" w:type="dxa"/>
          </w:tcPr>
          <w:p w14:paraId="4CED54F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б)</w:t>
            </w:r>
          </w:p>
        </w:tc>
        <w:tc>
          <w:tcPr>
            <w:tcW w:w="7655" w:type="dxa"/>
          </w:tcPr>
          <w:p w14:paraId="47E22821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Информацията, която се оповестява в изпълнение на член 435, параграф 1, буква б) от РКИ, включва структурата за управление на риска за всеки вид риск: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възложените в рамките на цялата институция отговорности (в т.ч., когато е приложимо, по отношение на надзора и делегирането на правомощия, както и разпределянето на отговорностите между ръководния орган, отделните стопански дейности и функцията за управление на риска по вид риск, стопанска единица, а така също и друга информация във връзка с това);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връзките между структурите и функцията, участващи в управлението на риска (в т.ч., когато е целесъобразно, между ръководния орган, комитета по риска, функцията за управление на риска, функцията за проверка на спазването на нормативните изисквания, функцията за вътрешен одит);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както и организационните процедури и процедурите за вътрешен контрол.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A2A58FF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оповестяват структурата и организацията на съответната функция за управление на риска, институциите допълват оповестяването със следната информация: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5A514C3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информация за цялостната рамка за вътрешен контрол и за начина, по който са организирани контролните звена (правомощия, ресурси, статут, независимост), за основните задачи, които те изпълняват, както и за евентуалните влезли в действие или планирани съществени промени на тези функции;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91A6CC9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одобрения максимален риск, на който институцията може да бъде изложена;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CC1CBB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промените в ръководството на звената за вътрешен контрол, за управление на риска, за проверка на спазването на нормативните изисквания и за вътрешен одит;</w:t>
            </w:r>
          </w:p>
          <w:p w14:paraId="4277173D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каналите за съобщаване, внедряване и прилагане на култура на риска в рамките на институцията (например дали има етични кодекси, ръководства, съдържащи оперативни ограничения, или процедури при нарушаване или надхвърляне на рисковите прагове, или за повдигане и споделяне на свързани с риска въпроси между стопанските дейности и функциите за управление на риска).</w:t>
            </w:r>
          </w:p>
        </w:tc>
      </w:tr>
      <w:tr w:rsidR="00A040D0" w:rsidRPr="007F4CC8" w14:paraId="2B280C9F" w14:textId="77777777" w:rsidTr="00D819DE">
        <w:trPr>
          <w:trHeight w:val="316"/>
        </w:trPr>
        <w:tc>
          <w:tcPr>
            <w:tcW w:w="1384" w:type="dxa"/>
          </w:tcPr>
          <w:p w14:paraId="77CD429A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в)</w:t>
            </w:r>
          </w:p>
        </w:tc>
        <w:tc>
          <w:tcPr>
            <w:tcW w:w="7655" w:type="dxa"/>
          </w:tcPr>
          <w:p w14:paraId="188115A5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Изявлението на институцията, че тя предоставя информация за адекватността на механизмите за управление на риска в изпълнение на член 435, параграф 1, буква д) от РКИ, трябва да бъде одобрено от ръководния орган, за да се удостовери, че въведените системи за управление на риска са съобразени с рисковия профил и стратегията на институцията.</w:t>
            </w:r>
          </w:p>
        </w:tc>
      </w:tr>
      <w:tr w:rsidR="00A040D0" w:rsidRPr="007F4CC8" w14:paraId="104296D4" w14:textId="77777777" w:rsidTr="00D819DE">
        <w:trPr>
          <w:trHeight w:val="316"/>
        </w:trPr>
        <w:tc>
          <w:tcPr>
            <w:tcW w:w="1384" w:type="dxa"/>
          </w:tcPr>
          <w:p w14:paraId="3A78F3A6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г)</w:t>
            </w:r>
          </w:p>
        </w:tc>
        <w:tc>
          <w:tcPr>
            <w:tcW w:w="7655" w:type="dxa"/>
          </w:tcPr>
          <w:p w14:paraId="4D27F082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Като част от оповестяванията, изисквани по силата на член 435, параграф 1, буква в) от РКИ, институциите оповестяват обхвата и естеството на системите за оповестяване и/или измерване на риска и описват информационния поток, предназначен за ръководния орган и висшето ръководство във връзка с рисковете.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26185CFD" w14:textId="77777777" w:rsidTr="00D819DE">
        <w:trPr>
          <w:trHeight w:val="316"/>
        </w:trPr>
        <w:tc>
          <w:tcPr>
            <w:tcW w:w="1384" w:type="dxa"/>
          </w:tcPr>
          <w:p w14:paraId="65A0F03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д)</w:t>
            </w:r>
          </w:p>
        </w:tc>
        <w:tc>
          <w:tcPr>
            <w:tcW w:w="7655" w:type="dxa"/>
          </w:tcPr>
          <w:p w14:paraId="6A2B9C4E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в изпълнение на член 435, параграф 1, буква в) от РКИ институциите предоставят информация за основните характеристики на системите за оповестяване и измерване на риска, те описват политиката си за систематичен и редовен преглед на стратегиите за управление на риска и за периодична оценка на тяхната ефективност.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6E7ABB82" w14:textId="77777777" w:rsidTr="00D819DE">
        <w:trPr>
          <w:trHeight w:val="316"/>
        </w:trPr>
        <w:tc>
          <w:tcPr>
            <w:tcW w:w="1384" w:type="dxa"/>
          </w:tcPr>
          <w:p w14:paraId="0FB42B0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е)</w:t>
            </w:r>
          </w:p>
        </w:tc>
        <w:tc>
          <w:tcPr>
            <w:tcW w:w="7655" w:type="dxa"/>
          </w:tcPr>
          <w:p w14:paraId="0DE39293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в изпълнение на член 435, параграф 1, буква а) от РКИ институциите предоставят информация за своите стратегии и процеси за управление на риска, те включват качествена информация за стрес тестовете — например по отношение на кои портфейли са били проведени, какви сценарии и методи са използвани и др., както и за използването на тези тестове при управлението на риска.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1D959299" w14:textId="77777777" w:rsidTr="00D819DE">
        <w:trPr>
          <w:trHeight w:val="316"/>
        </w:trPr>
        <w:tc>
          <w:tcPr>
            <w:tcW w:w="1384" w:type="dxa"/>
          </w:tcPr>
          <w:p w14:paraId="75786D93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ж)</w:t>
            </w:r>
          </w:p>
        </w:tc>
        <w:tc>
          <w:tcPr>
            <w:tcW w:w="7655" w:type="dxa"/>
          </w:tcPr>
          <w:p w14:paraId="28108A47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По отношение на рисковете, свързани с модела на стопанска дейност, институциите предоставят — в изпълнение на член 435, параграф 1, букви а) и г) от РКИ — информация за стратегиите и процесите за управление, хеджиране и редуциране на рисковете, както и за текущо наблюдаване на ефективността на средствата за хеджиране и редуциране на риска.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0E25B208" w14:textId="77777777" w:rsidR="00A040D0" w:rsidRPr="007F4CC8" w:rsidRDefault="00A040D0" w:rsidP="00A040D0">
      <w:pPr>
        <w:rPr>
          <w:rFonts w:ascii="Times New Roman" w:hAnsi="Times New Roman" w:cs="Times New Roman"/>
          <w:b/>
          <w:sz w:val="24"/>
        </w:rPr>
      </w:pPr>
    </w:p>
    <w:p w14:paraId="572B8418" w14:textId="77777777" w:rsidR="00A040D0" w:rsidRPr="007F4CC8" w:rsidRDefault="00A040D0" w:rsidP="00A040D0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Таблица EU OVB — Оповестяване на управленските механизми: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Полета за свободен текст за оповестяване на качествена информация</w:t>
      </w:r>
    </w:p>
    <w:p w14:paraId="3B77667C" w14:textId="77777777" w:rsidR="00A040D0" w:rsidRPr="007F4CC8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Институциите оповестяват информацията, посочена в член 435, параграф 2 от РКИ, като попълват таблица EU OVB от приложение III към настоящия регламент за изпълнение, следвайки изложените по-долу в настоящото приложение указания.</w:t>
      </w:r>
    </w:p>
    <w:p w14:paraId="6EA36DBF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0EB63C44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7F4CC8" w14:paraId="31D1BB1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2A432" w14:textId="77777777" w:rsidR="00A040D0" w:rsidRPr="007F4CC8" w:rsidRDefault="00A040D0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Препратки към нормативни актове и указания</w:t>
            </w:r>
          </w:p>
        </w:tc>
      </w:tr>
      <w:tr w:rsidR="00A040D0" w:rsidRPr="007F4CC8" w14:paraId="78F9F26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602A87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F068A71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A040D0" w:rsidRPr="007F4CC8" w14:paraId="64E4F6B1" w14:textId="77777777" w:rsidTr="00D819DE">
        <w:trPr>
          <w:trHeight w:val="316"/>
        </w:trPr>
        <w:tc>
          <w:tcPr>
            <w:tcW w:w="1384" w:type="dxa"/>
          </w:tcPr>
          <w:p w14:paraId="27D4719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а)</w:t>
            </w:r>
          </w:p>
        </w:tc>
        <w:tc>
          <w:tcPr>
            <w:tcW w:w="7655" w:type="dxa"/>
          </w:tcPr>
          <w:p w14:paraId="1C15AB1C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В изпълнение на член 435, параграф 2, буква а) от РКИ институциите оповестяват броя на директорските длъжности, заемани от членовете на ръководния орган.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Оповестяването на тази информация се ръководи от следните специфики:</w:t>
            </w:r>
          </w:p>
          <w:p w14:paraId="06520613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институциите, попадащи в обхвата на член 91, параграфи 3 и 4 от Директива 2013/36/ЕС</w:t>
            </w:r>
            <w:r w:rsidRPr="007F4CC8">
              <w:rPr>
                <w:rStyle w:val="FootnoteReference"/>
                <w:rFonts w:eastAsia="Times New Roman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 („ДКИ“), оповестяват броя на директорските длъжности според предписанията на посочения член;</w:t>
            </w:r>
          </w:p>
          <w:p w14:paraId="13BFC386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институциите оповестяват броя на директорските длъжности, действително заемани от всеки член на ръководния орган (независимо дали той е дружество от групата или не, квалифицирано дялово участие или институция в рамките на една и съща институционална защитна схема и дали директорската длъжност е със или без изпълнителни функции), независимо дали директорската длъжност е в структура със или без стопанска цел;</w:t>
            </w:r>
          </w:p>
          <w:p w14:paraId="3EBC9D22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компетентният орган е одобрил допълнителна директорска длъжност, всички институции, в които този член заема директорска длъжност, оповестяват този факт заедно с наименованието на компетентния орган, одобрил допълнителната директорска длъжност.</w:t>
            </w:r>
          </w:p>
        </w:tc>
      </w:tr>
      <w:tr w:rsidR="00A040D0" w:rsidRPr="007F4CC8" w14:paraId="42649F64" w14:textId="77777777" w:rsidTr="00D819DE">
        <w:trPr>
          <w:trHeight w:val="316"/>
        </w:trPr>
        <w:tc>
          <w:tcPr>
            <w:tcW w:w="1384" w:type="dxa"/>
          </w:tcPr>
          <w:p w14:paraId="3ED8E03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б)</w:t>
            </w:r>
          </w:p>
        </w:tc>
        <w:tc>
          <w:tcPr>
            <w:tcW w:w="7655" w:type="dxa"/>
          </w:tcPr>
          <w:p w14:paraId="211F21E9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в изпълнение на член 435, параграф 2, буква б) от РКИ институциите оповестяват политиката си за подбор на членовете на ръководния орган, те включват информация за действителните знания, умения и експертен опит на членовете.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Институциите включват информация за политиката, евентуално произтичаща от планирането на подмяната на състава на ръководния орган, и за всякакви планирани промени в общия състав на ръководния орган.</w:t>
            </w:r>
          </w:p>
        </w:tc>
      </w:tr>
      <w:tr w:rsidR="00A040D0" w:rsidRPr="007F4CC8" w14:paraId="18692714" w14:textId="77777777" w:rsidTr="00D819DE">
        <w:trPr>
          <w:trHeight w:val="316"/>
        </w:trPr>
        <w:tc>
          <w:tcPr>
            <w:tcW w:w="1384" w:type="dxa"/>
          </w:tcPr>
          <w:p w14:paraId="29439E90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в)</w:t>
            </w:r>
          </w:p>
        </w:tc>
        <w:tc>
          <w:tcPr>
            <w:tcW w:w="7655" w:type="dxa"/>
          </w:tcPr>
          <w:p w14:paraId="2226CEFC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в изпълнение на член 435, параграф 2, буква в) от РКИ институциите оповестяват политиката си за равностойно представяне, те посочват общите и, евентуално, поетапните цели на тази политика, както и степента, в която са били постигнати тези общи и поетапни цели.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DF56C3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Институциите оповестяват в частност политиката си за равностойно представяне на половете, в т.ч.: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410600B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ако е определена цел за по-слабо представения пол и за политиката за равностойно представяне по възраст, образование, професионален опит и географски произход — поставената цел и степента, в която е постигната;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3413A60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ако поставената цел не е постигната, институциите посочват причините и, когато е уместно, предприетите мерки за постигане на целта в рамките на определен срок.</w:t>
            </w:r>
          </w:p>
        </w:tc>
      </w:tr>
      <w:tr w:rsidR="00A040D0" w:rsidRPr="007F4CC8" w14:paraId="39DE01E9" w14:textId="77777777" w:rsidTr="00D819DE">
        <w:trPr>
          <w:trHeight w:val="316"/>
        </w:trPr>
        <w:tc>
          <w:tcPr>
            <w:tcW w:w="1384" w:type="dxa"/>
          </w:tcPr>
          <w:p w14:paraId="150CF89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г)</w:t>
            </w:r>
          </w:p>
        </w:tc>
        <w:tc>
          <w:tcPr>
            <w:tcW w:w="7655" w:type="dxa"/>
          </w:tcPr>
          <w:p w14:paraId="2DA8A566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В изпълнение на член 435, параграф 2, буква г) от РКИ институциите оповестяват дали е създаден отделен комитет по риска и колко пъти е заседавал този комитет.</w:t>
            </w:r>
          </w:p>
        </w:tc>
      </w:tr>
      <w:tr w:rsidR="00A040D0" w:rsidRPr="007F4CC8" w14:paraId="0142566A" w14:textId="77777777" w:rsidTr="00D819DE">
        <w:trPr>
          <w:trHeight w:val="316"/>
        </w:trPr>
        <w:tc>
          <w:tcPr>
            <w:tcW w:w="1384" w:type="dxa"/>
          </w:tcPr>
          <w:p w14:paraId="14FC28E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д)</w:t>
            </w:r>
          </w:p>
        </w:tc>
        <w:tc>
          <w:tcPr>
            <w:tcW w:w="7655" w:type="dxa"/>
          </w:tcPr>
          <w:p w14:paraId="28B9F6EB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Институциите описват — като част от предоставяните в изпълнение на член 435, параграф 2, буква д) от РКИ сведения за предназначения за ръководния орган информационен поток във връзка с рисковете — процеса за уведомяване на ръководния орган за рисковете, по-специално честотата, обхвата и основните елементи на рисковата експозиция, както и начина, по който ръководният орган е участвал в определянето на оповестяваното съдържание.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68F9C718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5157D277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3131F001" w14:textId="77777777" w:rsidR="00A040D0" w:rsidRPr="007F4CC8" w:rsidRDefault="00A040D0" w:rsidP="00A040D0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3D128DC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6E30" w14:textId="77777777" w:rsidR="001533DB" w:rsidRDefault="001533DB" w:rsidP="00A040D0">
      <w:r>
        <w:separator/>
      </w:r>
    </w:p>
  </w:endnote>
  <w:endnote w:type="continuationSeparator" w:id="0">
    <w:p w14:paraId="6FC9FCF0" w14:textId="77777777" w:rsidR="001533DB" w:rsidRDefault="001533DB" w:rsidP="00A0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391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95991" w14:textId="77777777" w:rsidR="00A040D0" w:rsidRDefault="00A040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F9DC5C7" w14:textId="77777777" w:rsidR="00A040D0" w:rsidRDefault="00A04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406A" w14:textId="77777777" w:rsidR="001533DB" w:rsidRDefault="001533DB" w:rsidP="00A040D0">
      <w:r>
        <w:separator/>
      </w:r>
    </w:p>
  </w:footnote>
  <w:footnote w:type="continuationSeparator" w:id="0">
    <w:p w14:paraId="3F6F22FD" w14:textId="77777777" w:rsidR="001533DB" w:rsidRDefault="001533DB" w:rsidP="00A040D0">
      <w:r>
        <w:continuationSeparator/>
      </w:r>
    </w:p>
  </w:footnote>
  <w:footnote w:id="1">
    <w:p w14:paraId="054C7A76" w14:textId="7D5B130B" w:rsidR="00A040D0" w:rsidRPr="00346640" w:rsidRDefault="00A040D0" w:rsidP="00A040D0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Регламент (ЕС) № 575/2013 на Европейския парламент и на Съвета от 26 юни 2013 г. относно пруденциалните изисквания за кредитните институции и инвестиционните посредници и за изменение на Регламент (ЕС) № 648/2012, изменен с Регламент (ЕС) 2024/1623 (</w:t>
      </w:r>
      <w:hyperlink r:id="rId1" w:history="1">
        <w:r>
          <w:rPr>
            <w:rStyle w:val="Hyperlink"/>
            <w:color w:val="800080"/>
          </w:rPr>
          <w:t xml:space="preserve">ОВ L 176, 27.6.2013 г., стр.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Регламент — ЕС — 2024/1623 — BG — EUR-Lex (europa.eu)</w:t>
        </w:r>
      </w:hyperlink>
      <w:r>
        <w:t xml:space="preserve">).</w:t>
      </w:r>
    </w:p>
  </w:footnote>
  <w:footnote w:id="2">
    <w:p w14:paraId="6202C474" w14:textId="77777777" w:rsidR="00A040D0" w:rsidRPr="00222AAB" w:rsidRDefault="00A040D0" w:rsidP="00A040D0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Директива 2013/36/ЕС на Европейския парламент и на Съвета от 26 юни 2013 г.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посредници, за изменение на Директива 2002/87/ЕО и за отмяна на директиви 2006/48/ЕО и 2006/49/ЕО (ОВ L 176, 27.6.2013 г., стр. 338).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12EE" w14:textId="1EBA7605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724E678B" wp14:editId="1FCA4A8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497291729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945629" w14:textId="6ABA208F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24E67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19945629" w14:textId="6ABA208F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D209" w14:textId="07B7AE20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2C9FAAE9" wp14:editId="1A76A66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4282059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B7988" w14:textId="6B6234BD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C9FAAE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36AB7988" w14:textId="6B6234BD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42D1" w14:textId="693C7074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EB2F592" wp14:editId="210626C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54450415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110976" w14:textId="32A4A2D9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EB2F5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12110976" w14:textId="32A4A2D9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438491">
    <w:abstractNumId w:val="1"/>
  </w:num>
  <w:num w:numId="2" w16cid:durableId="82590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94BEF"/>
    <w:rsid w:val="00094BEF"/>
    <w:rsid w:val="001533DB"/>
    <w:rsid w:val="0016520C"/>
    <w:rsid w:val="004E3F4D"/>
    <w:rsid w:val="00777266"/>
    <w:rsid w:val="009B3B08"/>
    <w:rsid w:val="00A0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5F82A"/>
  <w15:chartTrackingRefBased/>
  <w15:docId w15:val="{1BB72DD4-38E2-4CBF-94CD-13DC822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D0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A040D0"/>
    <w:pPr>
      <w:spacing w:before="80" w:line="200" w:lineRule="exact"/>
      <w:ind w:left="567" w:hanging="567"/>
      <w:jc w:val="both"/>
    </w:pPr>
    <w:rPr>
      <w:sz w:val="18"/>
      <w:szCs w:val="18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A040D0"/>
    <w:rPr>
      <w:rFonts w:eastAsiaTheme="minorEastAsia"/>
      <w:sz w:val="18"/>
      <w:szCs w:val="18"/>
      <w:lang w:val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040D0"/>
    <w:rPr>
      <w:rFonts w:asciiTheme="minorHAnsi" w:hAnsiTheme="minorHAnsi"/>
      <w:sz w:val="22"/>
      <w:szCs w:val="18"/>
      <w:vertAlign w:val="superscript"/>
    </w:rPr>
  </w:style>
  <w:style w:type="paragraph" w:customStyle="1" w:styleId="Annexetitre">
    <w:name w:val="Annexe titre"/>
    <w:basedOn w:val="Normal"/>
    <w:next w:val="Normal"/>
    <w:rsid w:val="00A040D0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A040D0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A040D0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D0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0D0"/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77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BG/TXT/?uri=OJ:L_202401623" TargetMode="External"/><Relationship Id="rId1" Type="http://schemas.openxmlformats.org/officeDocument/2006/relationships/hyperlink" Target="https://eur-lex.europa.eu/legal-content/BG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93C735-B540-43FC-AE56-4CC04CF7B2DB}"/>
</file>

<file path=customXml/itemProps2.xml><?xml version="1.0" encoding="utf-8"?>
<ds:datastoreItem xmlns:ds="http://schemas.openxmlformats.org/officeDocument/2006/customXml" ds:itemID="{0AB8903A-CF60-4FBF-9180-87D7AEC79C7F}"/>
</file>

<file path=customXml/itemProps3.xml><?xml version="1.0" encoding="utf-8"?>
<ds:datastoreItem xmlns:ds="http://schemas.openxmlformats.org/officeDocument/2006/customXml" ds:itemID="{61AA0D9D-A948-4239-8627-C163CA3616E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1214</Words>
  <Characters>6787</Characters>
  <Application>Microsoft Office Word</Application>
  <DocSecurity>0</DocSecurity>
  <Lines>144</Lines>
  <Paragraphs>55</Paragraphs>
  <ScaleCrop>false</ScaleCrop>
  <Company>European Banking Authority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2021-03-11T11:48:00Z</dcterms:created>
  <dcterms:modified xsi:type="dcterms:W3CDTF">2024-09-26T14:40:00Z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15207bef,593edbd1,41d201cb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2024-09-26T14:40:00Z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0d4717ba-70de-450a-967c-f26c87c45c25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