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3B806" w14:textId="66831D99" w:rsidR="009E7D0C" w:rsidRDefault="009E7D0C" w:rsidP="00A33695">
      <w:pPr>
        <w:jc w:val="center"/>
        <w:rPr>
          <w:rFonts w:ascii="Times New Roman" w:hAnsi="Times New Roman"/>
          <w:sz w:val="24"/>
        </w:rPr>
      </w:pPr>
      <w:bookmarkStart w:id="0" w:name="_Toc262568021"/>
      <w:bookmarkStart w:id="1" w:name="_Toc295829847"/>
      <w:r>
        <w:rPr>
          <w:rFonts w:ascii="Times New Roman" w:hAnsi="Times New Roman"/>
          <w:sz w:val="24"/>
        </w:rPr>
        <w:t>EN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24333E7A" w14:textId="5EEA2C00" w:rsidR="008D696E" w:rsidRDefault="008D696E" w:rsidP="00A33695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ANNEX </w:t>
      </w:r>
      <w:r w:rsidR="000E06FA" w:rsidRPr="002E2479">
        <w:rPr>
          <w:rFonts w:ascii="Times New Roman" w:hAnsi="Times New Roman"/>
          <w:sz w:val="24"/>
        </w:rPr>
        <w:t>X</w:t>
      </w:r>
      <w:r w:rsidR="00D03B1B" w:rsidRPr="002E2479">
        <w:rPr>
          <w:rFonts w:ascii="Times New Roman" w:hAnsi="Times New Roman"/>
          <w:sz w:val="24"/>
        </w:rPr>
        <w:t>LIV</w:t>
      </w:r>
    </w:p>
    <w:p w14:paraId="327777EC" w14:textId="412B4B5A" w:rsidR="002648B0" w:rsidRPr="002A677E" w:rsidRDefault="00D03B1B" w:rsidP="00C87CEE">
      <w:pPr>
        <w:jc w:val="center"/>
        <w:rPr>
          <w:rFonts w:ascii="Times New Roman" w:hAnsi="Times New Roman"/>
          <w:b/>
          <w:sz w:val="24"/>
          <w:lang w:eastAsia="de-DE"/>
        </w:rPr>
      </w:pPr>
      <w:r w:rsidRPr="002A677E">
        <w:rPr>
          <w:rFonts w:ascii="Times New Roman" w:hAnsi="Times New Roman"/>
          <w:b/>
          <w:sz w:val="24"/>
          <w:lang w:eastAsia="de-DE"/>
        </w:rPr>
        <w:t xml:space="preserve">Instructions for </w:t>
      </w:r>
      <w:r>
        <w:rPr>
          <w:rFonts w:ascii="Times New Roman" w:hAnsi="Times New Roman"/>
          <w:b/>
          <w:sz w:val="24"/>
          <w:lang w:eastAsia="de-DE"/>
        </w:rPr>
        <w:t>disclosure</w:t>
      </w:r>
      <w:r w:rsidRPr="002A677E">
        <w:rPr>
          <w:rFonts w:ascii="Times New Roman" w:hAnsi="Times New Roman"/>
          <w:b/>
          <w:sz w:val="24"/>
          <w:lang w:eastAsia="de-DE"/>
        </w:rPr>
        <w:t xml:space="preserve"> on </w:t>
      </w:r>
      <w:r>
        <w:rPr>
          <w:rFonts w:ascii="Times New Roman" w:hAnsi="Times New Roman"/>
          <w:b/>
          <w:sz w:val="24"/>
          <w:lang w:eastAsia="de-DE"/>
        </w:rPr>
        <w:t>exposures to crypto-assets</w:t>
      </w:r>
    </w:p>
    <w:p w14:paraId="2C40683C" w14:textId="77777777" w:rsidR="00436204" w:rsidRPr="002A677E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4099A354" w14:textId="5F7E540B" w:rsidR="00464F34" w:rsidRPr="00D03B1B" w:rsidRDefault="00D03B1B" w:rsidP="002F1D8D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  <w:lang w:val="fr-LU"/>
        </w:rPr>
      </w:pPr>
      <w:bookmarkStart w:id="2" w:name="_Toc163551527"/>
      <w:bookmarkEnd w:id="0"/>
      <w:bookmarkEnd w:id="1"/>
      <w:r w:rsidRPr="00D03B1B">
        <w:rPr>
          <w:rFonts w:ascii="Times New Roman" w:hAnsi="Times New Roman" w:cs="Times New Roman"/>
          <w:b/>
          <w:bCs/>
          <w:sz w:val="24"/>
          <w:u w:val="none"/>
          <w:lang w:val="fr-LU"/>
        </w:rPr>
        <w:t xml:space="preserve">Template EU CAE 1- </w:t>
      </w:r>
      <w:r w:rsidR="007F6485" w:rsidRPr="00D03B1B">
        <w:rPr>
          <w:rFonts w:ascii="Times New Roman" w:hAnsi="Times New Roman" w:cs="Times New Roman"/>
          <w:b/>
          <w:bCs/>
          <w:sz w:val="24"/>
          <w:u w:val="none"/>
          <w:lang w:val="fr-LU"/>
        </w:rPr>
        <w:t xml:space="preserve">Crypto-assets </w:t>
      </w:r>
      <w:proofErr w:type="spellStart"/>
      <w:r w:rsidR="007F6485" w:rsidRPr="00D03B1B">
        <w:rPr>
          <w:rFonts w:ascii="Times New Roman" w:hAnsi="Times New Roman" w:cs="Times New Roman"/>
          <w:b/>
          <w:bCs/>
          <w:sz w:val="24"/>
          <w:u w:val="none"/>
          <w:lang w:val="fr-LU"/>
        </w:rPr>
        <w:t>template</w:t>
      </w:r>
      <w:bookmarkEnd w:id="2"/>
      <w:proofErr w:type="spellEnd"/>
      <w:r>
        <w:rPr>
          <w:rFonts w:ascii="Times New Roman" w:hAnsi="Times New Roman" w:cs="Times New Roman"/>
          <w:b/>
          <w:bCs/>
          <w:sz w:val="24"/>
          <w:u w:val="none"/>
          <w:lang w:val="fr-LU"/>
        </w:rPr>
        <w:t>.</w:t>
      </w:r>
      <w:r>
        <w:rPr>
          <w:rFonts w:ascii="Times New Roman" w:hAnsi="Times New Roman" w:cs="Times New Roman"/>
          <w:sz w:val="24"/>
          <w:u w:val="none"/>
          <w:lang w:val="fr-L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u w:val="none"/>
          <w:lang w:val="fr-LU"/>
        </w:rPr>
        <w:t>Fixed</w:t>
      </w:r>
      <w:proofErr w:type="spellEnd"/>
      <w:r>
        <w:rPr>
          <w:rFonts w:ascii="Times New Roman" w:hAnsi="Times New Roman" w:cs="Times New Roman"/>
          <w:sz w:val="24"/>
          <w:u w:val="none"/>
          <w:lang w:val="fr-LU"/>
        </w:rPr>
        <w:t xml:space="preserve"> format.</w:t>
      </w:r>
    </w:p>
    <w:p w14:paraId="041009DD" w14:textId="3EFC441D" w:rsidR="00464F34" w:rsidRPr="0076606B" w:rsidRDefault="00D03B1B" w:rsidP="002F1D8D">
      <w:pPr>
        <w:pStyle w:val="InstructionsText2"/>
        <w:jc w:val="both"/>
      </w:pPr>
      <w:r w:rsidRPr="00D03B1B">
        <w:t xml:space="preserve">Institutions shall apply the instructions below to complete template EU </w:t>
      </w:r>
      <w:r>
        <w:t>CAE1</w:t>
      </w:r>
      <w:r w:rsidRPr="00D03B1B">
        <w:t xml:space="preserve"> as presented in Annex </w:t>
      </w:r>
      <w:r>
        <w:t>XLIII</w:t>
      </w:r>
      <w:r w:rsidRPr="00D03B1B">
        <w:t xml:space="preserve"> </w:t>
      </w:r>
      <w:r w:rsidR="00824B90">
        <w:t>of the EBA IT solutions</w:t>
      </w:r>
      <w:r>
        <w:t xml:space="preserve"> to disclose the information on</w:t>
      </w:r>
      <w:r w:rsidRPr="00D03B1B">
        <w:t xml:space="preserve"> the risk weighted exposure amounts and the own funds requirements</w:t>
      </w:r>
      <w:r>
        <w:t xml:space="preserve"> </w:t>
      </w:r>
      <w:r w:rsidRPr="00D03B1B">
        <w:t>for the types of exposures to crypto-assets referred to in Article 501d(2) of Regulation (EU) No 575/2013</w:t>
      </w:r>
      <w:r w:rsidR="0076606B" w:rsidRPr="0076606B">
        <w:rPr>
          <w:rStyle w:val="FootnoteReference"/>
          <w:rFonts w:ascii="Times New Roman" w:eastAsiaTheme="minorEastAsia" w:hAnsi="Times New Roman"/>
          <w:bCs w:val="0"/>
          <w:color w:val="000000"/>
          <w:sz w:val="24"/>
          <w:szCs w:val="24"/>
          <w:vertAlign w:val="superscript"/>
        </w:rPr>
        <w:footnoteReference w:id="2"/>
      </w:r>
      <w:r w:rsidRPr="0076606B">
        <w:t>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464F34" w:rsidRPr="002A677E" w14:paraId="05FA098D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76571629" w14:textId="6F36549B" w:rsidR="00464F34" w:rsidRPr="002A677E" w:rsidRDefault="0076606B" w:rsidP="002F1D8D">
            <w:pPr>
              <w:pStyle w:val="InstructionsText"/>
            </w:pPr>
            <w:r w:rsidRPr="009E1F4E">
              <w:t>Legal references and instructions</w:t>
            </w:r>
          </w:p>
        </w:tc>
      </w:tr>
      <w:tr w:rsidR="0076606B" w:rsidRPr="0076606B" w14:paraId="355F95A3" w14:textId="77777777" w:rsidTr="00D9757A">
        <w:tc>
          <w:tcPr>
            <w:tcW w:w="1555" w:type="dxa"/>
            <w:shd w:val="clear" w:color="auto" w:fill="CCCCCC"/>
          </w:tcPr>
          <w:p w14:paraId="5227B491" w14:textId="73380187" w:rsidR="0076606B" w:rsidRPr="0076606B" w:rsidRDefault="0076606B" w:rsidP="002F1D8D">
            <w:pPr>
              <w:pStyle w:val="InstructionsText"/>
            </w:pPr>
            <w:r w:rsidRPr="0076606B">
              <w:t xml:space="preserve">Column number </w:t>
            </w:r>
          </w:p>
        </w:tc>
        <w:tc>
          <w:tcPr>
            <w:tcW w:w="8363" w:type="dxa"/>
            <w:shd w:val="clear" w:color="auto" w:fill="CCCCCC"/>
          </w:tcPr>
          <w:p w14:paraId="5846F631" w14:textId="28D78C36" w:rsidR="0076606B" w:rsidRPr="0076606B" w:rsidRDefault="0076606B" w:rsidP="002F1D8D">
            <w:pPr>
              <w:pStyle w:val="InstructionsText"/>
            </w:pPr>
            <w:r>
              <w:t>Explanation</w:t>
            </w:r>
          </w:p>
        </w:tc>
      </w:tr>
      <w:tr w:rsidR="002953A0" w:rsidRPr="0076606B" w14:paraId="11675C2A" w14:textId="77777777" w:rsidTr="001A633E">
        <w:tc>
          <w:tcPr>
            <w:tcW w:w="1555" w:type="dxa"/>
          </w:tcPr>
          <w:p w14:paraId="4BE7CB71" w14:textId="77777777" w:rsidR="002953A0" w:rsidRPr="0076606B" w:rsidRDefault="002953A0" w:rsidP="002F1D8D">
            <w:pPr>
              <w:pStyle w:val="InstructionsText"/>
            </w:pPr>
            <w:r>
              <w:t>a</w:t>
            </w:r>
          </w:p>
        </w:tc>
        <w:tc>
          <w:tcPr>
            <w:tcW w:w="8363" w:type="dxa"/>
          </w:tcPr>
          <w:p w14:paraId="16748558" w14:textId="2EDF205C" w:rsidR="002953A0" w:rsidRPr="0076606B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Exposure value</w:t>
            </w:r>
          </w:p>
          <w:p w14:paraId="3168829C" w14:textId="3F57F48A" w:rsidR="002953A0" w:rsidRPr="0076606B" w:rsidRDefault="002953A0" w:rsidP="002F1D8D">
            <w:pPr>
              <w:pStyle w:val="InstructionsText"/>
            </w:pPr>
            <w:r>
              <w:t xml:space="preserve">Value of the exposures to crypto-assets for the </w:t>
            </w:r>
            <w:r w:rsidR="006C06AC">
              <w:t xml:space="preserve">different </w:t>
            </w:r>
            <w:r>
              <w:t xml:space="preserve">types of crypto-assets referred to in </w:t>
            </w:r>
            <w:r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 xml:space="preserve">Article 501d(2) </w:t>
            </w:r>
            <w:r w:rsidR="006C06AC"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>o</w:t>
            </w:r>
            <w:r w:rsidRPr="0076606B"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 xml:space="preserve">f </w:t>
            </w:r>
            <w:r w:rsidRPr="0076606B">
              <w:t>Regulation (EU) No 575/201</w:t>
            </w:r>
            <w:r>
              <w:t>3</w:t>
            </w:r>
            <w:r w:rsidR="001F0121">
              <w:rPr>
                <w:rStyle w:val="InstructionsTabelleberschrift"/>
              </w:rPr>
              <w:t>.</w:t>
            </w:r>
          </w:p>
        </w:tc>
      </w:tr>
      <w:tr w:rsidR="00E46AC0" w:rsidRPr="0076606B" w14:paraId="25D246EF" w14:textId="77777777" w:rsidTr="00D9757A">
        <w:tc>
          <w:tcPr>
            <w:tcW w:w="1555" w:type="dxa"/>
          </w:tcPr>
          <w:p w14:paraId="15D7F3E0" w14:textId="5E6C5043" w:rsidR="0076606B" w:rsidRPr="0076606B" w:rsidRDefault="002953A0" w:rsidP="002F1D8D">
            <w:pPr>
              <w:pStyle w:val="InstructionsText"/>
            </w:pPr>
            <w:r>
              <w:t>b</w:t>
            </w:r>
          </w:p>
        </w:tc>
        <w:tc>
          <w:tcPr>
            <w:tcW w:w="8363" w:type="dxa"/>
          </w:tcPr>
          <w:p w14:paraId="18B3A388" w14:textId="519B3BC9" w:rsidR="00E46AC0" w:rsidRPr="0076606B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76606B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Risk weighted exposure amount</w:t>
            </w:r>
            <w:r w:rsidR="003B6B5F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s</w:t>
            </w:r>
            <w:r w:rsidR="002953A0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(RWEA)</w:t>
            </w:r>
          </w:p>
          <w:p w14:paraId="2AB54302" w14:textId="6CD1C0C9" w:rsidR="002953A0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 xml:space="preserve">Article 501d(2) </w:t>
            </w:r>
            <w:r w:rsidR="006C06AC"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>o</w:t>
            </w:r>
            <w:r w:rsidRPr="0076606B"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 xml:space="preserve">f </w:t>
            </w:r>
            <w:r w:rsidRPr="0076606B">
              <w:t>Regulation (EU) No 575/201</w:t>
            </w:r>
            <w:r>
              <w:t>3</w:t>
            </w:r>
            <w:r w:rsidR="001F0121">
              <w:t>.</w:t>
            </w:r>
            <w:r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 xml:space="preserve"> </w:t>
            </w:r>
          </w:p>
          <w:p w14:paraId="2EA1E817" w14:textId="7862AD81" w:rsidR="002953A0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>Risk weighted exposure amounts for the different types of exposures to crypto assets calculated in accordance with Article 501d</w:t>
            </w:r>
            <w:r w:rsidR="00B867A9"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 xml:space="preserve">(2) </w:t>
            </w:r>
            <w:r w:rsidRPr="0076606B"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 xml:space="preserve">f </w:t>
            </w:r>
            <w:r w:rsidRPr="0076606B">
              <w:t>Regulation (EU) No 575/201</w:t>
            </w:r>
            <w:r>
              <w:t>3</w:t>
            </w:r>
            <w:r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>.</w:t>
            </w:r>
          </w:p>
          <w:p w14:paraId="019E027E" w14:textId="27A9F1F5" w:rsidR="000811A0" w:rsidRPr="0076606B" w:rsidRDefault="000811A0" w:rsidP="002F1D8D">
            <w:pPr>
              <w:pStyle w:val="InstructionsText"/>
            </w:pPr>
          </w:p>
        </w:tc>
      </w:tr>
      <w:tr w:rsidR="0076606B" w:rsidRPr="0076606B" w14:paraId="31E88113" w14:textId="77777777" w:rsidTr="00D9757A">
        <w:tc>
          <w:tcPr>
            <w:tcW w:w="1555" w:type="dxa"/>
          </w:tcPr>
          <w:p w14:paraId="276588C9" w14:textId="2559B7BA" w:rsidR="0076606B" w:rsidRDefault="002953A0" w:rsidP="002F1D8D">
            <w:pPr>
              <w:pStyle w:val="InstructionsText"/>
            </w:pPr>
            <w:r>
              <w:t>c</w:t>
            </w:r>
          </w:p>
        </w:tc>
        <w:tc>
          <w:tcPr>
            <w:tcW w:w="8363" w:type="dxa"/>
          </w:tcPr>
          <w:p w14:paraId="1DB08D4E" w14:textId="77777777" w:rsidR="0076606B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Own funds requirements </w:t>
            </w:r>
          </w:p>
          <w:p w14:paraId="7787F909" w14:textId="33023A71" w:rsidR="003B6B5F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 xml:space="preserve">Article 501d(2) </w:t>
            </w:r>
            <w:r w:rsidR="006C06AC"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>o</w:t>
            </w:r>
            <w:r w:rsidRPr="0076606B"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 xml:space="preserve">f </w:t>
            </w:r>
            <w:r w:rsidRPr="0076606B">
              <w:t>Regulation (EU) No 575/201</w:t>
            </w:r>
            <w:r>
              <w:t>3</w:t>
            </w:r>
            <w:r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 xml:space="preserve"> </w:t>
            </w:r>
          </w:p>
          <w:p w14:paraId="7D3D40B6" w14:textId="26A2D5FE" w:rsidR="0076606B" w:rsidRPr="0076606B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>Own funds requirements corresponding to the risk weighted exposure amounts for the different types of crypto assets.</w:t>
            </w:r>
          </w:p>
        </w:tc>
      </w:tr>
    </w:tbl>
    <w:p w14:paraId="310FB6E2" w14:textId="77777777" w:rsidR="00464F34" w:rsidRPr="0076606B" w:rsidRDefault="00464F34" w:rsidP="002F1D8D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D9757A" w:rsidRPr="002A677E" w14:paraId="485D8F4A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57E6B293" w14:textId="77777777" w:rsidR="00D9757A" w:rsidRPr="002A677E" w:rsidRDefault="00D9757A" w:rsidP="002F1D8D">
            <w:pPr>
              <w:pStyle w:val="InstructionsText"/>
            </w:pPr>
            <w:r w:rsidRPr="009E1F4E">
              <w:t>Legal references and instructions</w:t>
            </w:r>
          </w:p>
        </w:tc>
      </w:tr>
      <w:tr w:rsidR="00464F34" w:rsidRPr="0076606B" w14:paraId="511AFFC7" w14:textId="77777777" w:rsidTr="00D9757A">
        <w:tc>
          <w:tcPr>
            <w:tcW w:w="1555" w:type="dxa"/>
            <w:shd w:val="clear" w:color="auto" w:fill="CCCCCC"/>
          </w:tcPr>
          <w:p w14:paraId="42E7C874" w14:textId="4DAD3DCD" w:rsidR="00464F34" w:rsidRPr="0076606B" w:rsidRDefault="007106FB" w:rsidP="002F1D8D">
            <w:pPr>
              <w:pStyle w:val="InstructionsText"/>
            </w:pPr>
            <w:r w:rsidRPr="0076606B">
              <w:t>R</w:t>
            </w:r>
            <w:r w:rsidR="00464F34" w:rsidRPr="0076606B">
              <w:t>ow</w:t>
            </w:r>
            <w:r w:rsidR="0076606B">
              <w:t xml:space="preserve"> number</w:t>
            </w:r>
          </w:p>
        </w:tc>
        <w:tc>
          <w:tcPr>
            <w:tcW w:w="8363" w:type="dxa"/>
            <w:shd w:val="clear" w:color="auto" w:fill="CCCCCC"/>
          </w:tcPr>
          <w:p w14:paraId="5101E780" w14:textId="6FFAFB3B" w:rsidR="00464F34" w:rsidRPr="0076606B" w:rsidRDefault="0076606B" w:rsidP="002F1D8D">
            <w:pPr>
              <w:pStyle w:val="InstructionsText"/>
            </w:pPr>
            <w:r>
              <w:t>Explanation</w:t>
            </w:r>
          </w:p>
        </w:tc>
      </w:tr>
      <w:tr w:rsidR="00464F34" w:rsidRPr="0076606B" w14:paraId="4200F5F5" w14:textId="77777777" w:rsidTr="00D9757A">
        <w:tc>
          <w:tcPr>
            <w:tcW w:w="1555" w:type="dxa"/>
          </w:tcPr>
          <w:p w14:paraId="13D34CD0" w14:textId="17D414E2" w:rsidR="00464F34" w:rsidRPr="0076606B" w:rsidRDefault="0076606B" w:rsidP="002F1D8D">
            <w:pPr>
              <w:pStyle w:val="InstructionsText"/>
            </w:pPr>
            <w:r>
              <w:t>1</w:t>
            </w:r>
          </w:p>
        </w:tc>
        <w:tc>
          <w:tcPr>
            <w:tcW w:w="8363" w:type="dxa"/>
          </w:tcPr>
          <w:p w14:paraId="6642D329" w14:textId="77777777" w:rsidR="002F1D8D" w:rsidRDefault="00A15ACF" w:rsidP="002F1D8D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</w:pPr>
            <w:r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  <w:t>T</w:t>
            </w:r>
            <w:r w:rsidR="006C06AC" w:rsidRPr="006C06AC"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  <w:t>okenised traditional assets</w:t>
            </w:r>
          </w:p>
          <w:p w14:paraId="2C368109" w14:textId="5EEDDCF7" w:rsidR="000811A0" w:rsidRPr="0076606B" w:rsidRDefault="000C1FFC" w:rsidP="002F1D8D">
            <w:pPr>
              <w:pStyle w:val="InstructionsText"/>
            </w:pPr>
            <w:r w:rsidRPr="0076606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Article 501d</w:t>
            </w:r>
            <w:r w:rsidR="74A76FA2" w:rsidRPr="0076606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(2), point (a)</w:t>
            </w:r>
            <w:r w:rsidRPr="0076606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0811A0" w:rsidRPr="0076606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 w:rsidR="000811A0" w:rsidRPr="0076606B">
              <w:t>Regulation (EU) No 575/2013</w:t>
            </w:r>
            <w:r w:rsidR="00D9757A">
              <w:t>.</w:t>
            </w:r>
          </w:p>
        </w:tc>
      </w:tr>
      <w:tr w:rsidR="00373762" w:rsidRPr="0076606B" w14:paraId="3CBB5149" w14:textId="77777777" w:rsidTr="00D9757A">
        <w:tc>
          <w:tcPr>
            <w:tcW w:w="1555" w:type="dxa"/>
          </w:tcPr>
          <w:p w14:paraId="6C15DAA6" w14:textId="315E07AC" w:rsidR="00373762" w:rsidRPr="0076606B" w:rsidRDefault="0076606B" w:rsidP="002F1D8D">
            <w:pPr>
              <w:pStyle w:val="InstructionsText"/>
            </w:pPr>
            <w:r>
              <w:t>2</w:t>
            </w:r>
          </w:p>
        </w:tc>
        <w:tc>
          <w:tcPr>
            <w:tcW w:w="8363" w:type="dxa"/>
          </w:tcPr>
          <w:p w14:paraId="1BDD91BD" w14:textId="121E64C7" w:rsidR="000C1FFC" w:rsidRPr="0076606B" w:rsidRDefault="00A02EBC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Asset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referencered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tokens</w:t>
            </w:r>
          </w:p>
          <w:p w14:paraId="1D7215CE" w14:textId="2358370C" w:rsidR="000811A0" w:rsidRPr="0076606B" w:rsidRDefault="000811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76606B">
              <w:lastRenderedPageBreak/>
              <w:t>Article 50</w:t>
            </w:r>
            <w:r w:rsidR="00A94552">
              <w:t>1</w:t>
            </w:r>
            <w:r w:rsidRPr="0076606B">
              <w:t>d</w:t>
            </w:r>
            <w:r w:rsidR="18B4EEB3" w:rsidRPr="0076606B">
              <w:t>(2), point (b)</w:t>
            </w:r>
            <w:r w:rsidRPr="0076606B">
              <w:t xml:space="preserve"> of Regulation (EU) No 575/2013</w:t>
            </w:r>
            <w:r w:rsidR="00D9757A">
              <w:t>.</w:t>
            </w:r>
          </w:p>
        </w:tc>
      </w:tr>
      <w:tr w:rsidR="00373762" w:rsidRPr="0076606B" w14:paraId="5E466513" w14:textId="77777777" w:rsidTr="00D9757A">
        <w:tc>
          <w:tcPr>
            <w:tcW w:w="1555" w:type="dxa"/>
          </w:tcPr>
          <w:p w14:paraId="39E8A0FB" w14:textId="215B912E" w:rsidR="00373762" w:rsidRPr="0076606B" w:rsidRDefault="00D9757A" w:rsidP="002F1D8D">
            <w:pPr>
              <w:pStyle w:val="InstructionsText"/>
            </w:pPr>
            <w:r>
              <w:lastRenderedPageBreak/>
              <w:t>3</w:t>
            </w:r>
          </w:p>
        </w:tc>
        <w:tc>
          <w:tcPr>
            <w:tcW w:w="8363" w:type="dxa"/>
          </w:tcPr>
          <w:p w14:paraId="0CD31563" w14:textId="11ABCDFB" w:rsidR="000C1FFC" w:rsidRPr="0076606B" w:rsidRDefault="006C06AC" w:rsidP="002F1D8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E</w:t>
            </w:r>
            <w:r w:rsidR="00623C6D" w:rsidRPr="0076606B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xposure</w:t>
            </w:r>
            <w:r w:rsidR="00510547" w:rsidRPr="0076606B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s</w:t>
            </w:r>
            <w:r w:rsidR="000C1FFC" w:rsidRPr="0076606B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to </w:t>
            </w: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other </w:t>
            </w:r>
            <w:r w:rsidR="000C1FFC" w:rsidRPr="0076606B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crypto assets</w:t>
            </w:r>
          </w:p>
          <w:p w14:paraId="22594EAC" w14:textId="2A3C1F16" w:rsidR="00373762" w:rsidRPr="0076606B" w:rsidRDefault="000811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6606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Article 501d</w:t>
            </w:r>
            <w:r w:rsidR="3BDB7AAB" w:rsidRPr="0076606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(2), point (c) </w:t>
            </w:r>
            <w:r w:rsidRPr="0076606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 w:rsidRPr="0076606B">
              <w:t>Regulation (EU) No 575/2013</w:t>
            </w:r>
            <w:r w:rsidR="00D9757A">
              <w:t>.</w:t>
            </w:r>
          </w:p>
          <w:p w14:paraId="1BCB3895" w14:textId="0709C3F8" w:rsidR="000811A0" w:rsidRPr="00D9757A" w:rsidRDefault="4EBA09A7" w:rsidP="002F1D8D">
            <w:pPr>
              <w:pStyle w:val="InstructionsText"/>
            </w:pPr>
            <w:r w:rsidRPr="0076606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Other exposures to crypto-assets that are different from</w:t>
            </w:r>
            <w:r w:rsidR="006C06AC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points (a) and (b) of </w:t>
            </w:r>
            <w:r w:rsidR="006C06AC" w:rsidRPr="0076606B">
              <w:t>Article 50</w:t>
            </w:r>
            <w:r w:rsidR="006C06AC">
              <w:t>1</w:t>
            </w:r>
            <w:r w:rsidR="006C06AC" w:rsidRPr="0076606B">
              <w:t>d(2) of Regulation (EU) No 575/2013</w:t>
            </w:r>
            <w:r w:rsidR="006C06AC" w:rsidRPr="0076606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623C6D" w:rsidRPr="0076606B" w14:paraId="10277CD1" w14:textId="77777777" w:rsidTr="00D9757A">
        <w:tc>
          <w:tcPr>
            <w:tcW w:w="1555" w:type="dxa"/>
          </w:tcPr>
          <w:p w14:paraId="33D217D5" w14:textId="13A52B17" w:rsidR="00623C6D" w:rsidRPr="0076606B" w:rsidRDefault="00D9757A" w:rsidP="002F1D8D">
            <w:pPr>
              <w:pStyle w:val="InstructionsText"/>
            </w:pPr>
            <w:r>
              <w:t>4</w:t>
            </w:r>
          </w:p>
        </w:tc>
        <w:tc>
          <w:tcPr>
            <w:tcW w:w="8363" w:type="dxa"/>
          </w:tcPr>
          <w:p w14:paraId="5385821A" w14:textId="259A3565" w:rsidR="00623C6D" w:rsidRPr="0076606B" w:rsidRDefault="00931726" w:rsidP="002F1D8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Total</w:t>
            </w:r>
          </w:p>
          <w:p w14:paraId="55F5AED4" w14:textId="5039CC11" w:rsidR="003B6B5F" w:rsidRDefault="0088549A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 w:rsidRPr="0076606B"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 xml:space="preserve">Total </w:t>
            </w:r>
            <w:r w:rsidR="00675AF4"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 xml:space="preserve">values </w:t>
            </w:r>
            <w:r w:rsidRPr="0076606B"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>calculated as a sum of rows</w:t>
            </w:r>
            <w:r w:rsidR="00D9757A"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 xml:space="preserve"> 1, 2, 3.</w:t>
            </w:r>
            <w:r w:rsidR="003B6B5F"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 xml:space="preserve"> </w:t>
            </w:r>
          </w:p>
          <w:p w14:paraId="2CF3B315" w14:textId="6D98023C" w:rsidR="00623C6D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>The total risk exposure amounts is equal to the amount disclosed in row EU24a, column (a) of template EU OV1.</w:t>
            </w:r>
          </w:p>
          <w:p w14:paraId="1DE909BE" w14:textId="28825665" w:rsidR="003B6B5F" w:rsidRPr="0076606B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>The total own funds requirements is equal to the amount disclosed in row EU 24a, column (c) of template EU OV1.</w:t>
            </w:r>
          </w:p>
        </w:tc>
      </w:tr>
      <w:tr w:rsidR="001F0121" w:rsidRPr="0076606B" w14:paraId="1E203B4D" w14:textId="77777777" w:rsidTr="001F0121">
        <w:tc>
          <w:tcPr>
            <w:tcW w:w="1555" w:type="dxa"/>
            <w:shd w:val="clear" w:color="auto" w:fill="D9D9D9" w:themeFill="background1" w:themeFillShade="D9"/>
          </w:tcPr>
          <w:p w14:paraId="5024020C" w14:textId="77777777" w:rsidR="001F0121" w:rsidRDefault="001F0121" w:rsidP="002F1D8D">
            <w:pPr>
              <w:pStyle w:val="InstructionsText"/>
            </w:pPr>
          </w:p>
        </w:tc>
        <w:tc>
          <w:tcPr>
            <w:tcW w:w="8363" w:type="dxa"/>
            <w:shd w:val="clear" w:color="auto" w:fill="D9D9D9" w:themeFill="background1" w:themeFillShade="D9"/>
          </w:tcPr>
          <w:p w14:paraId="106F6FC9" w14:textId="3BB95B54" w:rsidR="001F0121" w:rsidRPr="001F0121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Memorandum item </w:t>
            </w:r>
          </w:p>
        </w:tc>
      </w:tr>
      <w:tr w:rsidR="001F0121" w:rsidRPr="0076606B" w14:paraId="50DA30D3" w14:textId="77777777" w:rsidTr="00D9757A">
        <w:tc>
          <w:tcPr>
            <w:tcW w:w="1555" w:type="dxa"/>
          </w:tcPr>
          <w:p w14:paraId="41FBBB67" w14:textId="5DBC581B" w:rsidR="001F0121" w:rsidRDefault="001F0121" w:rsidP="002F1D8D">
            <w:pPr>
              <w:pStyle w:val="InstructionsText"/>
            </w:pPr>
            <w:r>
              <w:t>5</w:t>
            </w:r>
          </w:p>
        </w:tc>
        <w:tc>
          <w:tcPr>
            <w:tcW w:w="8363" w:type="dxa"/>
          </w:tcPr>
          <w:p w14:paraId="47F1511E" w14:textId="768E44DB" w:rsidR="00AA385A" w:rsidRDefault="00685F67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685F67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Exposures to other crypto assets expressed as a percentage of the </w:t>
            </w:r>
            <w:proofErr w:type="spellStart"/>
            <w:r w:rsidRPr="00685F67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institutions's</w:t>
            </w:r>
            <w:proofErr w:type="spellEnd"/>
            <w:r w:rsidRPr="00685F67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T1 capital</w:t>
            </w:r>
          </w:p>
          <w:p w14:paraId="77AFF5E7" w14:textId="2EE951BB" w:rsidR="001F0121" w:rsidRPr="0076606B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6606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Article 501d(</w:t>
            </w:r>
            <w:r w:rsidR="00053448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</w:t>
            </w:r>
            <w:r w:rsidRPr="0076606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) of </w:t>
            </w:r>
            <w:r w:rsidRPr="0076606B">
              <w:t>Regulation (EU) No 575/2013</w:t>
            </w:r>
            <w:r>
              <w:t>.</w:t>
            </w:r>
          </w:p>
          <w:p w14:paraId="715123E0" w14:textId="3FEC4A67" w:rsidR="001F0121" w:rsidRPr="001F0121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</w:p>
        </w:tc>
      </w:tr>
    </w:tbl>
    <w:p w14:paraId="0793ABC6" w14:textId="77777777" w:rsidR="001C7AB7" w:rsidRPr="002A677E" w:rsidRDefault="001C7AB7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1C7AB7" w:rsidRPr="002A677E" w:rsidSect="00570E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  <w:szCs w:val="22"/>
      </w:rPr>
      <w:fldChar w:fldCharType="begin"/>
    </w:r>
    <w:r>
      <w:rPr>
        <w:rStyle w:val="PageNumber"/>
        <w:szCs w:val="22"/>
      </w:rPr>
      <w:instrText xml:space="preserve">PAGE  </w:instrText>
    </w:r>
    <w:r>
      <w:rPr>
        <w:rStyle w:val="PageNumber"/>
        <w:szCs w:val="22"/>
      </w:rPr>
      <w:fldChar w:fldCharType="separate"/>
    </w:r>
    <w:r>
      <w:rPr>
        <w:rStyle w:val="PageNumber"/>
        <w:noProof/>
        <w:szCs w:val="22"/>
      </w:rPr>
      <w:t>183</w:t>
    </w:r>
    <w:r>
      <w:rPr>
        <w:rStyle w:val="PageNumber"/>
        <w:szCs w:val="22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 w:rsidRPr="00ED1956">
      <w:rPr>
        <w:rFonts w:ascii="Times New Roman" w:hAnsi="Times New Roman"/>
        <w:sz w:val="20"/>
        <w:szCs w:val="20"/>
      </w:rPr>
      <w:fldChar w:fldCharType="begin"/>
    </w:r>
    <w:r w:rsidRPr="00ED1956">
      <w:rPr>
        <w:rFonts w:ascii="Times New Roman" w:hAnsi="Times New Roman"/>
        <w:sz w:val="20"/>
        <w:szCs w:val="20"/>
      </w:rPr>
      <w:instrText xml:space="preserve"> PAGE   \* MERGEFORMAT </w:instrText>
    </w:r>
    <w:r w:rsidRPr="00ED1956">
      <w:rPr>
        <w:rFonts w:ascii="Times New Roman" w:hAnsi="Times New Roman"/>
        <w:sz w:val="20"/>
        <w:szCs w:val="20"/>
      </w:rPr>
      <w:fldChar w:fldCharType="separate"/>
    </w:r>
    <w:r w:rsidR="008F3052">
      <w:rPr>
        <w:rFonts w:ascii="Times New Roman" w:hAnsi="Times New Roman"/>
        <w:noProof/>
        <w:sz w:val="20"/>
        <w:szCs w:val="20"/>
      </w:rPr>
      <w:t>42</w:t>
    </w:r>
    <w:r w:rsidRPr="00ED1956">
      <w:rPr>
        <w:rFonts w:ascii="Times New Roman" w:hAnsi="Times New Roman"/>
        <w:sz w:val="20"/>
        <w:szCs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  <w:footnote w:id="2">
    <w:p w14:paraId="5704B613" w14:textId="277DD487" w:rsidR="0076606B" w:rsidRPr="00D9757A" w:rsidRDefault="0076606B" w:rsidP="0076606B">
      <w:pPr>
        <w:pStyle w:val="FootnoteText"/>
        <w:rPr>
          <w:rFonts w:ascii="Times New Roman" w:eastAsia="Calibri" w:hAnsi="Times New Roman"/>
          <w:sz w:val="20"/>
          <w:szCs w:val="20"/>
        </w:rPr>
      </w:pPr>
      <w:r w:rsidRPr="00D9757A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9757A">
        <w:rPr>
          <w:rFonts w:ascii="Times New Roman" w:hAnsi="Times New Roman"/>
          <w:sz w:val="20"/>
          <w:szCs w:val="20"/>
        </w:rPr>
        <w:t xml:space="preserve"> </w:t>
      </w:r>
      <w:r w:rsidRPr="00D9757A">
        <w:rPr>
          <w:rFonts w:ascii="Times New Roman" w:hAnsi="Times New Roman"/>
          <w:sz w:val="20"/>
          <w:szCs w:val="20"/>
        </w:rPr>
        <w:tab/>
      </w:r>
      <w:r w:rsidR="00824B90">
        <w:rPr>
          <w:lang w:eastAsia="en-GB"/>
        </w:rPr>
        <w:t xml:space="preserve">Regulation (EU) No 575/2013 of the European Parliament and of the Council of 26 June 2013 on prudential requirements for credit institutions and investment firms and amending Regulation (EU) No 648/2012 and amending Regulation (EU) No 2024/1623 </w:t>
      </w:r>
      <w:r w:rsidR="00824B90">
        <w:rPr>
          <w:color w:val="444444"/>
          <w:lang w:eastAsia="en-GB"/>
        </w:rPr>
        <w:t>(</w:t>
      </w:r>
      <w:hyperlink r:id="rId1" w:history="1">
        <w:r w:rsidR="00824B90">
          <w:rPr>
            <w:rStyle w:val="Hyperlink"/>
            <w:color w:val="800080"/>
            <w:lang w:eastAsia="en-GB"/>
          </w:rPr>
          <w:t>OJ L 176, 27.6.2013, p. 1</w:t>
        </w:r>
      </w:hyperlink>
      <w:r w:rsidR="00824B90">
        <w:rPr>
          <w:color w:val="800080"/>
          <w:u w:val="single"/>
          <w:lang w:eastAsia="en-GB"/>
        </w:rPr>
        <w:t xml:space="preserve">; </w:t>
      </w:r>
      <w:hyperlink r:id="rId2" w:history="1">
        <w:r w:rsidR="00824B90">
          <w:rPr>
            <w:rStyle w:val="Hyperlink"/>
          </w:rPr>
          <w:t>Regulation - EU - 2024/1623 - EN - EUR-Lex (europa.eu)</w:t>
        </w:r>
      </w:hyperlink>
      <w:r w:rsidR="00824B90">
        <w:rPr>
          <w:color w:val="444444"/>
          <w:lang w:eastAsia="en-GB"/>
        </w:rPr>
        <w:t>)</w:t>
      </w:r>
      <w:r w:rsidR="00824B90">
        <w:rPr>
          <w:lang w:eastAsia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A98C1" w14:textId="7C971337" w:rsidR="00C3070C" w:rsidRDefault="00C3070C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 w:rsidRPr="003B6094"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EBA Regular Us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 w:rsidRPr="003B6094"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DBBC0" w14:textId="5C594065" w:rsidR="00C3070C" w:rsidRDefault="00C3070C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 w:rsidRPr="003B6094"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EBA Regular Us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 w:rsidRPr="003B6094"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 w:cs="Arial"/>
        <w:noProof/>
        <w:lang w:eastAsia="en-GB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 w:rsidRPr="003B6094"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EBA Regular Us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 w:rsidRPr="003B6094"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360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B67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479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D8D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85F67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0A3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B90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385A"/>
    <w:rsid w:val="00AA42A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458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0D0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GB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val="en-US"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val="x-none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x-none"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x-none"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val="x-none"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x-none"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val="x-non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en-GB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en-US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en-US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x-none"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x-none"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x-none"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val="x-none"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val="x-none"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val="en-US"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en-US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val="en-US"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en-US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en-GB"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2F1D8D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val="es-ES_tradnl"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es-ES_tradnl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2F1D8D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en-US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en-US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de-DE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val="en-US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en-US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en-GB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en-GB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en-GB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val="en-US"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val="en-US"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val="en-US"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val="en-US"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en-GB"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val="en-US"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val="en-US"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en-US"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val="en-US"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val="en-US"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val="en-GB"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val="en-US"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val="en-US"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val="en-US"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val="en-US"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en-US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val="en-GB"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en-US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en-US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r-FR"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r-FR"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r-FR"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r-FR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val="de-DE"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de-DE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val="de-DE"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EN/TXT/?uri=OJ:L_202401623" TargetMode="External"/><Relationship Id="rId1" Type="http://schemas.openxmlformats.org/officeDocument/2006/relationships/hyperlink" Target="https://eur-lex.europa.eu/legal-content/EN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2024-06-06T15:40:00Z</dcterms:created>
  <dcterms:modified xsi:type="dcterms:W3CDTF">2024-06-19T10:18:00Z</dcterms:modified>
</cp:coreProperties>
</file>