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10903" w:rsidRDefault="0001206B" w:rsidP="0001206B">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A636825-78F9-43D0-8666-2E170DDFF5B9" style="width:455.25pt;height:426pt">
            <v:imagedata r:id="rId11" o:title=""/>
          </v:shape>
        </w:pict>
      </w:r>
    </w:p>
    <w:p w:rsidR="0050796F" w:rsidRPr="00A10903" w:rsidRDefault="0050796F">
      <w:pPr>
        <w:rPr>
          <w:noProof/>
        </w:rPr>
        <w:sectPr w:rsidR="0050796F" w:rsidRPr="00A10903" w:rsidSect="0001206B">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A10903" w:rsidRDefault="00A10903" w:rsidP="00A10903">
      <w:pPr>
        <w:pStyle w:val="Typedudocument"/>
        <w:rPr>
          <w:noProof/>
        </w:rPr>
      </w:pPr>
      <w:bookmarkStart w:id="0" w:name="_GoBack"/>
      <w:bookmarkEnd w:id="0"/>
      <w:r w:rsidRPr="00A10903">
        <w:rPr>
          <w:noProof/>
        </w:rPr>
        <w:lastRenderedPageBreak/>
        <w:t>ROZPORZĄDZENIE WYKONAWCZE KOMISJI (UE) …/…</w:t>
      </w:r>
    </w:p>
    <w:p w:rsidR="0050796F" w:rsidRPr="00A10903" w:rsidRDefault="0005134E" w:rsidP="00A10903">
      <w:pPr>
        <w:pStyle w:val="Datedadoption"/>
        <w:rPr>
          <w:noProof/>
        </w:rPr>
      </w:pPr>
      <w:r>
        <w:rPr>
          <w:noProof/>
        </w:rPr>
        <w:t>z dnia 29.11.2024 r.</w:t>
      </w:r>
    </w:p>
    <w:p w:rsidR="0050796F" w:rsidRPr="00A10903" w:rsidRDefault="00A10903" w:rsidP="00A10903">
      <w:pPr>
        <w:pStyle w:val="Titreobjet"/>
        <w:rPr>
          <w:noProof/>
        </w:rPr>
      </w:pPr>
      <w:r w:rsidRPr="00A10903">
        <w:rPr>
          <w:noProof/>
        </w:rPr>
        <w:t>ustanawiające wykonawcze standardy techniczne do celów stosowania rozporządzenia Parlamentu Europejskiego i Rady (UE) nr 575/2013 w odniesieniu do publicznego ujawniania przez instytucje informacji, o których mowa w części ósmej tytuły II i III tego rozporządzenia, oraz uchylające rozporządzenie wykonawcze Komisji (UE) 2021/637</w:t>
      </w:r>
    </w:p>
    <w:p w:rsidR="0050796F" w:rsidRPr="00A10903" w:rsidRDefault="00A10903" w:rsidP="00A10903">
      <w:pPr>
        <w:pStyle w:val="IntrtEEE"/>
        <w:rPr>
          <w:noProof/>
        </w:rPr>
      </w:pPr>
      <w:r w:rsidRPr="00A10903">
        <w:rPr>
          <w:noProof/>
        </w:rPr>
        <w:t>(Tekst mający znaczenie dla EOG)</w:t>
      </w:r>
    </w:p>
    <w:p w:rsidR="0050796F" w:rsidRPr="00A10903" w:rsidRDefault="0050796F">
      <w:pPr>
        <w:pStyle w:val="Institutionquiagit"/>
        <w:rPr>
          <w:noProof/>
        </w:rPr>
      </w:pPr>
      <w:r w:rsidRPr="00A10903">
        <w:rPr>
          <w:noProof/>
        </w:rPr>
        <w:t>KOMISJA EUROPEJSKA,</w:t>
      </w:r>
    </w:p>
    <w:p w:rsidR="0050796F" w:rsidRPr="00A10903" w:rsidRDefault="0050796F">
      <w:pPr>
        <w:rPr>
          <w:noProof/>
        </w:rPr>
      </w:pPr>
      <w:r w:rsidRPr="00A10903">
        <w:rPr>
          <w:noProof/>
        </w:rPr>
        <w:t>uwzględniając Traktat</w:t>
      </w:r>
      <w:r w:rsidR="00A10903" w:rsidRPr="00A10903">
        <w:rPr>
          <w:noProof/>
        </w:rPr>
        <w:t xml:space="preserve"> o</w:t>
      </w:r>
      <w:r w:rsidR="00A10903">
        <w:rPr>
          <w:noProof/>
        </w:rPr>
        <w:t> </w:t>
      </w:r>
      <w:r w:rsidR="00A10903" w:rsidRPr="00A10903">
        <w:rPr>
          <w:noProof/>
        </w:rPr>
        <w:t>fun</w:t>
      </w:r>
      <w:r w:rsidRPr="00A10903">
        <w:rPr>
          <w:noProof/>
        </w:rPr>
        <w:t>kcjonowaniu Unii Europejskiej,</w:t>
      </w:r>
    </w:p>
    <w:p w:rsidR="000A5D79" w:rsidRPr="00A10903" w:rsidRDefault="000A5D79" w:rsidP="000A5D79">
      <w:pPr>
        <w:rPr>
          <w:noProof/>
        </w:rPr>
      </w:pPr>
      <w:r w:rsidRPr="00A10903">
        <w:rPr>
          <w:noProof/>
        </w:rPr>
        <w:t>uwzględniając rozporządzenie Parlamentu Europejskiego</w:t>
      </w:r>
      <w:r w:rsidR="00A10903" w:rsidRPr="00A10903">
        <w:rPr>
          <w:noProof/>
        </w:rPr>
        <w:t xml:space="preserve"> i</w:t>
      </w:r>
      <w:r w:rsidR="00A10903">
        <w:rPr>
          <w:noProof/>
        </w:rPr>
        <w:t> </w:t>
      </w:r>
      <w:r w:rsidR="00A10903" w:rsidRPr="00A10903">
        <w:rPr>
          <w:noProof/>
        </w:rPr>
        <w:t>Rad</w:t>
      </w:r>
      <w:r w:rsidRPr="00A10903">
        <w:rPr>
          <w:noProof/>
        </w:rPr>
        <w:t>y (UE) nr</w:t>
      </w:r>
      <w:r w:rsidR="00A10903" w:rsidRPr="00A10903">
        <w:rPr>
          <w:noProof/>
        </w:rPr>
        <w:t> </w:t>
      </w:r>
      <w:r w:rsidRPr="00A10903">
        <w:rPr>
          <w:noProof/>
        </w:rPr>
        <w:t>575/2013</w:t>
      </w:r>
      <w:r w:rsidR="00A10903" w:rsidRPr="00A10903">
        <w:rPr>
          <w:noProof/>
        </w:rPr>
        <w:t xml:space="preserve"> z</w:t>
      </w:r>
      <w:r w:rsidR="00A10903">
        <w:rPr>
          <w:noProof/>
        </w:rPr>
        <w:t> </w:t>
      </w:r>
      <w:r w:rsidR="00A10903" w:rsidRPr="00A10903">
        <w:rPr>
          <w:noProof/>
        </w:rPr>
        <w:t>dni</w:t>
      </w:r>
      <w:r w:rsidRPr="00A10903">
        <w:rPr>
          <w:noProof/>
        </w:rPr>
        <w:t>a 26 czerwca 2013</w:t>
      </w:r>
      <w:r w:rsidR="00A10903" w:rsidRPr="00A10903">
        <w:rPr>
          <w:noProof/>
        </w:rPr>
        <w:t> </w:t>
      </w:r>
      <w:r w:rsidRPr="00A10903">
        <w:rPr>
          <w:noProof/>
        </w:rPr>
        <w:t>r.</w:t>
      </w:r>
      <w:r w:rsidR="00A10903" w:rsidRPr="00A10903">
        <w:rPr>
          <w:noProof/>
        </w:rPr>
        <w:t xml:space="preserve"> w</w:t>
      </w:r>
      <w:r w:rsidR="00A10903">
        <w:rPr>
          <w:noProof/>
        </w:rPr>
        <w:t> </w:t>
      </w:r>
      <w:r w:rsidR="00A10903" w:rsidRPr="00A10903">
        <w:rPr>
          <w:noProof/>
        </w:rPr>
        <w:t>spr</w:t>
      </w:r>
      <w:r w:rsidRPr="00A10903">
        <w:rPr>
          <w:noProof/>
        </w:rPr>
        <w:t>awie wymogów ostrożnościowych dla instytucji kredytowych oraz zmieniające rozporządzenie (UE) nr</w:t>
      </w:r>
      <w:r w:rsidR="00A10903" w:rsidRPr="00A10903">
        <w:rPr>
          <w:noProof/>
        </w:rPr>
        <w:t> </w:t>
      </w:r>
      <w:r w:rsidRPr="00A10903">
        <w:rPr>
          <w:noProof/>
        </w:rPr>
        <w:t>648/2012</w:t>
      </w:r>
      <w:r w:rsidRPr="00A10903">
        <w:rPr>
          <w:rStyle w:val="FootnoteReference"/>
          <w:noProof/>
        </w:rPr>
        <w:footnoteReference w:id="2"/>
      </w:r>
      <w:r w:rsidRPr="00A10903">
        <w:rPr>
          <w:noProof/>
        </w:rPr>
        <w:t>,</w:t>
      </w:r>
      <w:r w:rsidR="00A10903" w:rsidRPr="00A10903">
        <w:rPr>
          <w:noProof/>
        </w:rPr>
        <w:t xml:space="preserve"> w</w:t>
      </w:r>
      <w:r w:rsidR="00A10903">
        <w:rPr>
          <w:noProof/>
        </w:rPr>
        <w:t> </w:t>
      </w:r>
      <w:r w:rsidR="00A10903" w:rsidRPr="00A10903">
        <w:rPr>
          <w:noProof/>
        </w:rPr>
        <w:t>szc</w:t>
      </w:r>
      <w:r w:rsidRPr="00A10903">
        <w:rPr>
          <w:noProof/>
        </w:rPr>
        <w:t>zególności jego art.</w:t>
      </w:r>
      <w:r w:rsidR="00A10903" w:rsidRPr="00A10903">
        <w:rPr>
          <w:noProof/>
        </w:rPr>
        <w:t> </w:t>
      </w:r>
      <w:r w:rsidRPr="00A10903">
        <w:rPr>
          <w:noProof/>
        </w:rPr>
        <w:t>434a akapit piąty,</w:t>
      </w:r>
    </w:p>
    <w:p w:rsidR="0050796F" w:rsidRPr="00A10903" w:rsidRDefault="0050796F">
      <w:pPr>
        <w:rPr>
          <w:noProof/>
        </w:rPr>
      </w:pPr>
      <w:r w:rsidRPr="00A10903">
        <w:rPr>
          <w:noProof/>
        </w:rPr>
        <w:t>a także mając na uwadze, co następuje:</w:t>
      </w:r>
    </w:p>
    <w:p w:rsidR="00021AB3" w:rsidRPr="00A10903" w:rsidRDefault="00D26602" w:rsidP="00D26602">
      <w:pPr>
        <w:pStyle w:val="ManualConsidrant"/>
        <w:rPr>
          <w:noProof/>
        </w:rPr>
      </w:pPr>
      <w:r w:rsidRPr="00D26602">
        <w:rPr>
          <w:noProof/>
        </w:rPr>
        <w:t>(1)</w:t>
      </w:r>
      <w:r w:rsidRPr="00D26602">
        <w:rPr>
          <w:noProof/>
        </w:rPr>
        <w:tab/>
      </w:r>
      <w:r w:rsidR="00021AB3" w:rsidRPr="00A10903">
        <w:rPr>
          <w:noProof/>
        </w:rPr>
        <w:t>W rozporządzeniu wykonawczym Komisji (UE) 2021/637</w:t>
      </w:r>
      <w:r w:rsidR="00021AB3" w:rsidRPr="00A10903">
        <w:rPr>
          <w:rStyle w:val="FootnoteReference"/>
          <w:noProof/>
        </w:rPr>
        <w:footnoteReference w:id="3"/>
      </w:r>
      <w:r w:rsidR="00021AB3" w:rsidRPr="00A10903">
        <w:rPr>
          <w:noProof/>
        </w:rPr>
        <w:t xml:space="preserve"> ustanowiono jednolite formaty ujawniania informacji</w:t>
      </w:r>
      <w:r w:rsidR="00A10903" w:rsidRPr="00A10903">
        <w:rPr>
          <w:noProof/>
        </w:rPr>
        <w:t xml:space="preserve"> w</w:t>
      </w:r>
      <w:r w:rsidR="00A10903">
        <w:rPr>
          <w:noProof/>
        </w:rPr>
        <w:t> </w:t>
      </w:r>
      <w:r w:rsidR="00A10903" w:rsidRPr="00A10903">
        <w:rPr>
          <w:noProof/>
        </w:rPr>
        <w:t>cel</w:t>
      </w:r>
      <w:r w:rsidR="00021AB3" w:rsidRPr="00A10903">
        <w:rPr>
          <w:noProof/>
        </w:rPr>
        <w:t>u zapewnienia jednolitego stosowania rozporządzenia (UE) nr</w:t>
      </w:r>
      <w:r w:rsidR="00A10903" w:rsidRPr="00A10903">
        <w:rPr>
          <w:noProof/>
        </w:rPr>
        <w:t> </w:t>
      </w:r>
      <w:r w:rsidR="00021AB3" w:rsidRPr="00A10903">
        <w:rPr>
          <w:noProof/>
        </w:rPr>
        <w:t>575/2013. Rozporządzeniem Parlamentu Europejskiego</w:t>
      </w:r>
      <w:r w:rsidR="00A10903" w:rsidRPr="00A10903">
        <w:rPr>
          <w:noProof/>
        </w:rPr>
        <w:t xml:space="preserve"> i</w:t>
      </w:r>
      <w:r w:rsidR="00A10903">
        <w:rPr>
          <w:noProof/>
        </w:rPr>
        <w:t> </w:t>
      </w:r>
      <w:r w:rsidR="00A10903" w:rsidRPr="00A10903">
        <w:rPr>
          <w:noProof/>
        </w:rPr>
        <w:t>Rad</w:t>
      </w:r>
      <w:r w:rsidR="00021AB3" w:rsidRPr="00A10903">
        <w:rPr>
          <w:noProof/>
        </w:rPr>
        <w:t>y (UE) 2024/1623</w:t>
      </w:r>
      <w:r w:rsidR="00021AB3" w:rsidRPr="00A10903">
        <w:rPr>
          <w:rStyle w:val="FootnoteReference"/>
          <w:noProof/>
        </w:rPr>
        <w:footnoteReference w:id="4"/>
      </w:r>
      <w:r w:rsidR="00021AB3" w:rsidRPr="00A10903">
        <w:rPr>
          <w:noProof/>
        </w:rPr>
        <w:t xml:space="preserve"> zmieniono rozporządzenie (UE) nr</w:t>
      </w:r>
      <w:r w:rsidR="00A10903" w:rsidRPr="00A10903">
        <w:rPr>
          <w:noProof/>
        </w:rPr>
        <w:t> </w:t>
      </w:r>
      <w:r w:rsidR="00021AB3" w:rsidRPr="00A10903">
        <w:rPr>
          <w:noProof/>
        </w:rPr>
        <w:t>575/2013</w:t>
      </w:r>
      <w:r w:rsidR="00A10903" w:rsidRPr="00A10903">
        <w:rPr>
          <w:noProof/>
        </w:rPr>
        <w:t xml:space="preserve"> w</w:t>
      </w:r>
      <w:r w:rsidR="00A10903">
        <w:rPr>
          <w:noProof/>
        </w:rPr>
        <w:t> </w:t>
      </w:r>
      <w:r w:rsidR="00A10903" w:rsidRPr="00A10903">
        <w:rPr>
          <w:noProof/>
        </w:rPr>
        <w:t>cel</w:t>
      </w:r>
      <w:r w:rsidR="00021AB3" w:rsidRPr="00A10903">
        <w:rPr>
          <w:noProof/>
        </w:rPr>
        <w:t>u włączenia do tego rozporządzenia międzynarodowych standardów przyjętych przez Bazylejski Komitet Nadzoru Bankowego (określanych dalej jako „pakiet Bazylea III”). Te międzynarodowe standardy zawierają standardy dotyczące ujawniania informacji ostrożnościowych</w:t>
      </w:r>
      <w:r w:rsidR="00A10903" w:rsidRPr="00A10903">
        <w:rPr>
          <w:noProof/>
        </w:rPr>
        <w:t xml:space="preserve"> w</w:t>
      </w:r>
      <w:r w:rsidR="00A10903">
        <w:rPr>
          <w:noProof/>
        </w:rPr>
        <w:t> </w:t>
      </w:r>
      <w:r w:rsidR="00A10903" w:rsidRPr="00A10903">
        <w:rPr>
          <w:noProof/>
        </w:rPr>
        <w:t>cel</w:t>
      </w:r>
      <w:r w:rsidR="00021AB3" w:rsidRPr="00A10903">
        <w:rPr>
          <w:noProof/>
        </w:rPr>
        <w:t>u poprawy przejrzystości</w:t>
      </w:r>
      <w:r w:rsidR="00A10903" w:rsidRPr="00A10903">
        <w:rPr>
          <w:noProof/>
        </w:rPr>
        <w:t xml:space="preserve"> i</w:t>
      </w:r>
      <w:r w:rsidR="00A10903">
        <w:rPr>
          <w:noProof/>
        </w:rPr>
        <w:t> </w:t>
      </w:r>
      <w:r w:rsidR="00A10903" w:rsidRPr="00A10903">
        <w:rPr>
          <w:noProof/>
        </w:rPr>
        <w:t>spó</w:t>
      </w:r>
      <w:r w:rsidR="00021AB3" w:rsidRPr="00A10903">
        <w:rPr>
          <w:noProof/>
        </w:rPr>
        <w:t>jności</w:t>
      </w:r>
      <w:r w:rsidR="00A10903" w:rsidRPr="00A10903">
        <w:rPr>
          <w:noProof/>
        </w:rPr>
        <w:t xml:space="preserve"> w</w:t>
      </w:r>
      <w:r w:rsidR="00A10903">
        <w:rPr>
          <w:noProof/>
        </w:rPr>
        <w:t> </w:t>
      </w:r>
      <w:r w:rsidR="00A10903" w:rsidRPr="00A10903">
        <w:rPr>
          <w:noProof/>
        </w:rPr>
        <w:t>dzi</w:t>
      </w:r>
      <w:r w:rsidR="00021AB3" w:rsidRPr="00A10903">
        <w:rPr>
          <w:noProof/>
        </w:rPr>
        <w:t>edzinie wymogów ostrożnościowych dla instytucji kredytowych. Konieczna jest zatem zmiana przepisów dotyczących jednolitych formatów ujawniania informacji</w:t>
      </w:r>
      <w:r w:rsidR="00A10903" w:rsidRPr="00A10903">
        <w:rPr>
          <w:noProof/>
        </w:rPr>
        <w:t xml:space="preserve"> w</w:t>
      </w:r>
      <w:r w:rsidR="00A10903">
        <w:rPr>
          <w:noProof/>
        </w:rPr>
        <w:t> </w:t>
      </w:r>
      <w:r w:rsidR="00A10903" w:rsidRPr="00A10903">
        <w:rPr>
          <w:noProof/>
        </w:rPr>
        <w:t>cel</w:t>
      </w:r>
      <w:r w:rsidR="00021AB3" w:rsidRPr="00A10903">
        <w:rPr>
          <w:noProof/>
        </w:rPr>
        <w:t>u odzwierciedlenia tych zmian</w:t>
      </w:r>
      <w:r w:rsidR="00A10903" w:rsidRPr="00A10903">
        <w:rPr>
          <w:noProof/>
        </w:rPr>
        <w:t xml:space="preserve"> w</w:t>
      </w:r>
      <w:r w:rsidR="00A10903">
        <w:rPr>
          <w:noProof/>
        </w:rPr>
        <w:t> </w:t>
      </w:r>
      <w:r w:rsidR="00A10903" w:rsidRPr="00A10903">
        <w:rPr>
          <w:noProof/>
        </w:rPr>
        <w:t>spe</w:t>
      </w:r>
      <w:r w:rsidR="00021AB3" w:rsidRPr="00A10903">
        <w:rPr>
          <w:noProof/>
        </w:rPr>
        <w:t>cyfikacjach dotyczących obowiązków</w:t>
      </w:r>
      <w:r w:rsidR="00A10903" w:rsidRPr="00A10903">
        <w:rPr>
          <w:noProof/>
        </w:rPr>
        <w:t xml:space="preserve"> w</w:t>
      </w:r>
      <w:r w:rsidR="00A10903">
        <w:rPr>
          <w:noProof/>
        </w:rPr>
        <w:t> </w:t>
      </w:r>
      <w:r w:rsidR="00A10903" w:rsidRPr="00A10903">
        <w:rPr>
          <w:noProof/>
        </w:rPr>
        <w:t>zak</w:t>
      </w:r>
      <w:r w:rsidR="00021AB3" w:rsidRPr="00A10903">
        <w:rPr>
          <w:noProof/>
        </w:rPr>
        <w:t xml:space="preserve">resie ujawniania informacji. </w:t>
      </w:r>
    </w:p>
    <w:p w:rsidR="000B02C7" w:rsidRPr="00A10903" w:rsidRDefault="00D26602" w:rsidP="00D26602">
      <w:pPr>
        <w:pStyle w:val="ManualConsidrant"/>
        <w:rPr>
          <w:noProof/>
        </w:rPr>
      </w:pPr>
      <w:r w:rsidRPr="00D26602">
        <w:rPr>
          <w:noProof/>
        </w:rPr>
        <w:t>(2)</w:t>
      </w:r>
      <w:r w:rsidRPr="00D26602">
        <w:rPr>
          <w:noProof/>
        </w:rPr>
        <w:tab/>
      </w:r>
      <w:r w:rsidR="00374932" w:rsidRPr="00A10903">
        <w:rPr>
          <w:noProof/>
        </w:rPr>
        <w:t>Ujawnianie przez instytucje informacji na temat swoich najważniejszych wskaźników regulacyjnych powinno obejmować ujawnienie dostępnego kapitału instytucji, jej aktywów ważonych ryzykiem, jej dźwigni,</w:t>
      </w:r>
      <w:r w:rsidR="00A10903" w:rsidRPr="00A10903">
        <w:rPr>
          <w:noProof/>
        </w:rPr>
        <w:t xml:space="preserve"> a</w:t>
      </w:r>
      <w:r w:rsidR="00A10903">
        <w:rPr>
          <w:noProof/>
        </w:rPr>
        <w:t> </w:t>
      </w:r>
      <w:r w:rsidR="00A10903" w:rsidRPr="00A10903">
        <w:rPr>
          <w:noProof/>
        </w:rPr>
        <w:t>tak</w:t>
      </w:r>
      <w:r w:rsidR="00374932" w:rsidRPr="00A10903">
        <w:rPr>
          <w:noProof/>
        </w:rPr>
        <w:t xml:space="preserve">że najistotniejszych wskaźników płynności. </w:t>
      </w:r>
    </w:p>
    <w:p w:rsidR="009D26D8" w:rsidRPr="00A10903" w:rsidRDefault="00D26602" w:rsidP="00D26602">
      <w:pPr>
        <w:pStyle w:val="ManualConsidrant"/>
        <w:rPr>
          <w:noProof/>
        </w:rPr>
      </w:pPr>
      <w:r w:rsidRPr="00D26602">
        <w:rPr>
          <w:noProof/>
        </w:rPr>
        <w:t>(3)</w:t>
      </w:r>
      <w:r w:rsidRPr="00D26602">
        <w:rPr>
          <w:noProof/>
        </w:rPr>
        <w:tab/>
      </w:r>
      <w:r w:rsidR="0021307C" w:rsidRPr="00A10903">
        <w:rPr>
          <w:noProof/>
        </w:rPr>
        <w:t>Aby instytucje były</w:t>
      </w:r>
      <w:r w:rsidR="00A10903" w:rsidRPr="00A10903">
        <w:rPr>
          <w:noProof/>
        </w:rPr>
        <w:t xml:space="preserve"> w</w:t>
      </w:r>
      <w:r w:rsidR="00A10903">
        <w:rPr>
          <w:noProof/>
        </w:rPr>
        <w:t> </w:t>
      </w:r>
      <w:r w:rsidR="00A10903" w:rsidRPr="00A10903">
        <w:rPr>
          <w:noProof/>
        </w:rPr>
        <w:t>sta</w:t>
      </w:r>
      <w:r w:rsidR="0021307C" w:rsidRPr="00A10903">
        <w:rPr>
          <w:noProof/>
        </w:rPr>
        <w:t>nie pokryć straty</w:t>
      </w:r>
      <w:r w:rsidR="00A10903" w:rsidRPr="00A10903">
        <w:rPr>
          <w:noProof/>
        </w:rPr>
        <w:t xml:space="preserve"> w</w:t>
      </w:r>
      <w:r w:rsidR="00A10903">
        <w:rPr>
          <w:noProof/>
        </w:rPr>
        <w:t> </w:t>
      </w:r>
      <w:r w:rsidR="00A10903" w:rsidRPr="00A10903">
        <w:rPr>
          <w:noProof/>
        </w:rPr>
        <w:t>syt</w:t>
      </w:r>
      <w:r w:rsidR="0021307C" w:rsidRPr="00A10903">
        <w:rPr>
          <w:noProof/>
        </w:rPr>
        <w:t>uacji kontynuacji lub zaprzestania działalności, potrzebują funduszy własnych</w:t>
      </w:r>
      <w:r w:rsidR="00A10903" w:rsidRPr="00A10903">
        <w:rPr>
          <w:noProof/>
        </w:rPr>
        <w:t xml:space="preserve"> w</w:t>
      </w:r>
      <w:r w:rsidR="00A10903">
        <w:rPr>
          <w:noProof/>
        </w:rPr>
        <w:t> </w:t>
      </w:r>
      <w:r w:rsidR="00A10903" w:rsidRPr="00A10903">
        <w:rPr>
          <w:noProof/>
        </w:rPr>
        <w:t>wys</w:t>
      </w:r>
      <w:r w:rsidR="0021307C" w:rsidRPr="00A10903">
        <w:rPr>
          <w:noProof/>
        </w:rPr>
        <w:t>tarczającej ilości</w:t>
      </w:r>
      <w:r w:rsidR="00A10903" w:rsidRPr="00A10903">
        <w:rPr>
          <w:noProof/>
        </w:rPr>
        <w:t xml:space="preserve"> i</w:t>
      </w:r>
      <w:r w:rsidR="00A10903">
        <w:rPr>
          <w:noProof/>
        </w:rPr>
        <w:t> </w:t>
      </w:r>
      <w:r w:rsidR="00A10903" w:rsidRPr="00A10903">
        <w:rPr>
          <w:noProof/>
        </w:rPr>
        <w:t>o</w:t>
      </w:r>
      <w:r w:rsidR="00A10903">
        <w:rPr>
          <w:noProof/>
        </w:rPr>
        <w:t> </w:t>
      </w:r>
      <w:r w:rsidR="00A10903" w:rsidRPr="00A10903">
        <w:rPr>
          <w:noProof/>
        </w:rPr>
        <w:t>wys</w:t>
      </w:r>
      <w:r w:rsidR="0021307C" w:rsidRPr="00A10903">
        <w:rPr>
          <w:noProof/>
        </w:rPr>
        <w:t>tarczającej jakości, zgodnie</w:t>
      </w:r>
      <w:r w:rsidR="00A10903" w:rsidRPr="00A10903">
        <w:rPr>
          <w:noProof/>
        </w:rPr>
        <w:t xml:space="preserve"> z</w:t>
      </w:r>
      <w:r w:rsidR="00A10903">
        <w:rPr>
          <w:noProof/>
        </w:rPr>
        <w:t> </w:t>
      </w:r>
      <w:r w:rsidR="00A10903" w:rsidRPr="00A10903">
        <w:rPr>
          <w:noProof/>
        </w:rPr>
        <w:t>wym</w:t>
      </w:r>
      <w:r w:rsidR="0021307C" w:rsidRPr="00A10903">
        <w:rPr>
          <w:noProof/>
        </w:rPr>
        <w:t>ogami art.</w:t>
      </w:r>
      <w:r w:rsidR="00A10903" w:rsidRPr="00A10903">
        <w:rPr>
          <w:noProof/>
        </w:rPr>
        <w:t> </w:t>
      </w:r>
      <w:r w:rsidR="0021307C" w:rsidRPr="00A10903">
        <w:rPr>
          <w:noProof/>
        </w:rPr>
        <w:t>92 rozporządzenia (UE) nr</w:t>
      </w:r>
      <w:r w:rsidR="00A10903" w:rsidRPr="00A10903">
        <w:rPr>
          <w:noProof/>
        </w:rPr>
        <w:t> </w:t>
      </w:r>
      <w:r w:rsidR="0021307C" w:rsidRPr="00A10903">
        <w:rPr>
          <w:noProof/>
        </w:rPr>
        <w:t>575/2013. Instytucje powinny ujawniać informacje na temat struktury funduszy własnych, ich ilości</w:t>
      </w:r>
      <w:r w:rsidR="00A10903" w:rsidRPr="00A10903">
        <w:rPr>
          <w:noProof/>
        </w:rPr>
        <w:t xml:space="preserve"> i</w:t>
      </w:r>
      <w:r w:rsidR="00A10903">
        <w:rPr>
          <w:noProof/>
        </w:rPr>
        <w:t> </w:t>
      </w:r>
      <w:r w:rsidR="00A10903" w:rsidRPr="00A10903">
        <w:rPr>
          <w:noProof/>
        </w:rPr>
        <w:t>jak</w:t>
      </w:r>
      <w:r w:rsidR="0021307C" w:rsidRPr="00A10903">
        <w:rPr>
          <w:noProof/>
        </w:rPr>
        <w:t xml:space="preserve">ości, aby umożliwić zainteresowanym stronom ocenę zdolności banków do pokrywania strat. </w:t>
      </w:r>
    </w:p>
    <w:p w:rsidR="008E4ACA" w:rsidRPr="00A10903" w:rsidRDefault="00D26602" w:rsidP="00D26602">
      <w:pPr>
        <w:pStyle w:val="ManualConsidrant"/>
        <w:rPr>
          <w:noProof/>
        </w:rPr>
      </w:pPr>
      <w:r w:rsidRPr="00D26602">
        <w:rPr>
          <w:noProof/>
        </w:rPr>
        <w:t>(4)</w:t>
      </w:r>
      <w:r w:rsidRPr="00D26602">
        <w:rPr>
          <w:noProof/>
        </w:rPr>
        <w:tab/>
      </w:r>
      <w:r w:rsidR="001C319D" w:rsidRPr="00A10903">
        <w:rPr>
          <w:noProof/>
        </w:rPr>
        <w:t>Ujawnianie informacji na temat przestrzegania wymogu</w:t>
      </w:r>
      <w:r w:rsidR="00A10903" w:rsidRPr="00A10903">
        <w:rPr>
          <w:noProof/>
        </w:rPr>
        <w:t xml:space="preserve"> w</w:t>
      </w:r>
      <w:r w:rsidR="00A10903">
        <w:rPr>
          <w:noProof/>
        </w:rPr>
        <w:t> </w:t>
      </w:r>
      <w:r w:rsidR="00A10903" w:rsidRPr="00A10903">
        <w:rPr>
          <w:noProof/>
        </w:rPr>
        <w:t>zak</w:t>
      </w:r>
      <w:r w:rsidR="001C319D" w:rsidRPr="00A10903">
        <w:rPr>
          <w:noProof/>
        </w:rPr>
        <w:t>resie bufora antycyklicznego powinno odzwierciedlać fakt, że bufor antycykliczny,</w:t>
      </w:r>
      <w:r w:rsidR="00A10903" w:rsidRPr="00A10903">
        <w:rPr>
          <w:noProof/>
        </w:rPr>
        <w:t xml:space="preserve"> o</w:t>
      </w:r>
      <w:r w:rsidR="00A10903">
        <w:rPr>
          <w:noProof/>
        </w:rPr>
        <w:t> </w:t>
      </w:r>
      <w:r w:rsidR="00A10903" w:rsidRPr="00A10903">
        <w:rPr>
          <w:noProof/>
        </w:rPr>
        <w:t>któ</w:t>
      </w:r>
      <w:r w:rsidR="001C319D" w:rsidRPr="00A10903">
        <w:rPr>
          <w:noProof/>
        </w:rPr>
        <w:t>rym mowa</w:t>
      </w:r>
      <w:r w:rsidR="00A10903" w:rsidRPr="00A10903">
        <w:rPr>
          <w:noProof/>
        </w:rPr>
        <w:t xml:space="preserve"> w</w:t>
      </w:r>
      <w:r w:rsidR="00A10903">
        <w:rPr>
          <w:noProof/>
        </w:rPr>
        <w:t> </w:t>
      </w:r>
      <w:r w:rsidR="00A10903" w:rsidRPr="00A10903">
        <w:rPr>
          <w:noProof/>
        </w:rPr>
        <w:t>tyt</w:t>
      </w:r>
      <w:r w:rsidR="001C319D" w:rsidRPr="00A10903">
        <w:rPr>
          <w:noProof/>
        </w:rPr>
        <w:t>ule VII rozdział 4 dyrektywy Parlamentu Europejskiego</w:t>
      </w:r>
      <w:r w:rsidR="00A10903" w:rsidRPr="00A10903">
        <w:rPr>
          <w:noProof/>
        </w:rPr>
        <w:t xml:space="preserve"> i</w:t>
      </w:r>
      <w:r w:rsidR="00A10903">
        <w:rPr>
          <w:noProof/>
        </w:rPr>
        <w:t> </w:t>
      </w:r>
      <w:r w:rsidR="00A10903" w:rsidRPr="00A10903">
        <w:rPr>
          <w:noProof/>
        </w:rPr>
        <w:t>Rad</w:t>
      </w:r>
      <w:r w:rsidR="001C319D" w:rsidRPr="00A10903">
        <w:rPr>
          <w:noProof/>
        </w:rPr>
        <w:t>y 2013/36/UE</w:t>
      </w:r>
      <w:r w:rsidR="001C319D" w:rsidRPr="00A10903">
        <w:rPr>
          <w:rStyle w:val="FootnoteReference"/>
          <w:noProof/>
          <w:color w:val="000000"/>
        </w:rPr>
        <w:footnoteReference w:id="5"/>
      </w:r>
      <w:r w:rsidR="001C319D" w:rsidRPr="00A10903">
        <w:rPr>
          <w:noProof/>
        </w:rPr>
        <w:t>, ma na celu zapewnienie, aby wymogi kapitałowe sektora bankowego uwzględniały otoczenie makrofinansowe,</w:t>
      </w:r>
      <w:r w:rsidR="00A10903" w:rsidRPr="00A10903">
        <w:rPr>
          <w:noProof/>
        </w:rPr>
        <w:t xml:space="preserve"> w</w:t>
      </w:r>
      <w:r w:rsidR="00A10903">
        <w:rPr>
          <w:noProof/>
        </w:rPr>
        <w:t> </w:t>
      </w:r>
      <w:r w:rsidR="00A10903" w:rsidRPr="00A10903">
        <w:rPr>
          <w:noProof/>
        </w:rPr>
        <w:t>któ</w:t>
      </w:r>
      <w:r w:rsidR="001C319D" w:rsidRPr="00A10903">
        <w:rPr>
          <w:noProof/>
        </w:rPr>
        <w:t xml:space="preserve">rym działają instytucje kredytowe. </w:t>
      </w:r>
    </w:p>
    <w:p w:rsidR="005246AE" w:rsidRPr="00A10903" w:rsidRDefault="00D26602" w:rsidP="00D26602">
      <w:pPr>
        <w:pStyle w:val="ManualConsidrant"/>
        <w:rPr>
          <w:noProof/>
        </w:rPr>
      </w:pPr>
      <w:r w:rsidRPr="00D26602">
        <w:rPr>
          <w:noProof/>
        </w:rPr>
        <w:t>(5)</w:t>
      </w:r>
      <w:r w:rsidRPr="00D26602">
        <w:rPr>
          <w:noProof/>
        </w:rPr>
        <w:tab/>
      </w:r>
      <w:r w:rsidR="00230BAF" w:rsidRPr="00A10903">
        <w:rPr>
          <w:noProof/>
        </w:rPr>
        <w:t>Istotne jest, aby rynek miał dostęp do informacji na temat tego, czy daną instytucję należy zaklasyfikować jako globalną instytucję</w:t>
      </w:r>
      <w:r w:rsidR="00A10903" w:rsidRPr="00A10903">
        <w:rPr>
          <w:noProof/>
        </w:rPr>
        <w:t xml:space="preserve"> o</w:t>
      </w:r>
      <w:r w:rsidR="00A10903">
        <w:rPr>
          <w:noProof/>
        </w:rPr>
        <w:t> </w:t>
      </w:r>
      <w:r w:rsidR="00A10903" w:rsidRPr="00A10903">
        <w:rPr>
          <w:noProof/>
        </w:rPr>
        <w:t>zna</w:t>
      </w:r>
      <w:r w:rsidR="00230BAF" w:rsidRPr="00A10903">
        <w:rPr>
          <w:noProof/>
        </w:rPr>
        <w:t xml:space="preserve">czeniu </w:t>
      </w:r>
      <w:r w:rsidR="00230BAF" w:rsidRPr="00A10903">
        <w:rPr>
          <w:noProof/>
          <w:color w:val="000000"/>
          <w:shd w:val="clear" w:color="auto" w:fill="FFFFFF"/>
        </w:rPr>
        <w:t>systemowym</w:t>
      </w:r>
      <w:r w:rsidR="00A10903" w:rsidRPr="00A10903">
        <w:rPr>
          <w:noProof/>
        </w:rPr>
        <w:t>.</w:t>
      </w:r>
      <w:r w:rsidR="00A10903" w:rsidRPr="00A10903">
        <w:rPr>
          <w:noProof/>
          <w:color w:val="000000"/>
          <w:shd w:val="clear" w:color="auto" w:fill="FFFFFF"/>
        </w:rPr>
        <w:t xml:space="preserve"> Z</w:t>
      </w:r>
      <w:r w:rsidR="00A10903">
        <w:rPr>
          <w:noProof/>
        </w:rPr>
        <w:t> </w:t>
      </w:r>
      <w:r w:rsidR="00A10903" w:rsidRPr="00A10903">
        <w:rPr>
          <w:noProof/>
          <w:color w:val="000000"/>
          <w:shd w:val="clear" w:color="auto" w:fill="FFFFFF"/>
        </w:rPr>
        <w:t>teg</w:t>
      </w:r>
      <w:r w:rsidR="00230BAF" w:rsidRPr="00A10903">
        <w:rPr>
          <w:noProof/>
          <w:color w:val="000000"/>
          <w:shd w:val="clear" w:color="auto" w:fill="FFFFFF"/>
        </w:rPr>
        <w:t>o powodu instytucje powinny ujawniać informacje, czy wskaźniki istotności,</w:t>
      </w:r>
      <w:r w:rsidR="00A10903" w:rsidRPr="00A10903">
        <w:rPr>
          <w:noProof/>
          <w:color w:val="000000"/>
          <w:shd w:val="clear" w:color="auto" w:fill="FFFFFF"/>
        </w:rPr>
        <w:t xml:space="preserve"> o</w:t>
      </w:r>
      <w:r w:rsidR="00A10903">
        <w:rPr>
          <w:noProof/>
          <w:color w:val="000000"/>
          <w:shd w:val="clear" w:color="auto" w:fill="FFFFFF"/>
        </w:rPr>
        <w:t> </w:t>
      </w:r>
      <w:r w:rsidR="00A10903" w:rsidRPr="00A10903">
        <w:rPr>
          <w:noProof/>
          <w:color w:val="000000"/>
          <w:shd w:val="clear" w:color="auto" w:fill="FFFFFF"/>
        </w:rPr>
        <w:t>któ</w:t>
      </w:r>
      <w:r w:rsidR="00230BAF" w:rsidRPr="00A10903">
        <w:rPr>
          <w:noProof/>
          <w:color w:val="000000"/>
          <w:shd w:val="clear" w:color="auto" w:fill="FFFFFF"/>
        </w:rPr>
        <w:t>rych mowa</w:t>
      </w:r>
      <w:r w:rsidR="00A10903" w:rsidRPr="00A10903">
        <w:rPr>
          <w:noProof/>
          <w:color w:val="000000"/>
          <w:shd w:val="clear" w:color="auto" w:fill="FFFFFF"/>
        </w:rPr>
        <w:t xml:space="preserve"> w</w:t>
      </w:r>
      <w:r w:rsidR="00A10903">
        <w:rPr>
          <w:noProof/>
          <w:color w:val="000000"/>
          <w:shd w:val="clear" w:color="auto" w:fill="FFFFFF"/>
        </w:rPr>
        <w:t> </w:t>
      </w:r>
      <w:r w:rsidR="00A10903" w:rsidRPr="00A10903">
        <w:rPr>
          <w:noProof/>
          <w:color w:val="000000"/>
          <w:shd w:val="clear" w:color="auto" w:fill="FFFFFF"/>
        </w:rPr>
        <w:t>art</w:t>
      </w:r>
      <w:r w:rsidR="00230BAF" w:rsidRPr="00A10903">
        <w:rPr>
          <w:noProof/>
          <w:color w:val="000000"/>
          <w:shd w:val="clear" w:color="auto" w:fill="FFFFFF"/>
        </w:rPr>
        <w:t>.</w:t>
      </w:r>
      <w:r w:rsidR="00A10903" w:rsidRPr="00A10903">
        <w:rPr>
          <w:noProof/>
          <w:color w:val="000000"/>
          <w:shd w:val="clear" w:color="auto" w:fill="FFFFFF"/>
        </w:rPr>
        <w:t> </w:t>
      </w:r>
      <w:r w:rsidR="00230BAF" w:rsidRPr="00A10903">
        <w:rPr>
          <w:noProof/>
          <w:color w:val="000000"/>
          <w:shd w:val="clear" w:color="auto" w:fill="FFFFFF"/>
        </w:rPr>
        <w:t xml:space="preserve">131 dyrektywy 2013/36/UE, zostały spełnione, czy też nie. </w:t>
      </w:r>
    </w:p>
    <w:p w:rsidR="00AD2682" w:rsidRPr="00A10903" w:rsidRDefault="00D26602" w:rsidP="00D26602">
      <w:pPr>
        <w:pStyle w:val="ManualConsidrant"/>
        <w:rPr>
          <w:noProof/>
        </w:rPr>
      </w:pPr>
      <w:r w:rsidRPr="00D26602">
        <w:rPr>
          <w:noProof/>
        </w:rPr>
        <w:t>(6)</w:t>
      </w:r>
      <w:r w:rsidRPr="00D26602">
        <w:rPr>
          <w:noProof/>
        </w:rPr>
        <w:tab/>
      </w:r>
      <w:r w:rsidR="001C319D" w:rsidRPr="00A10903">
        <w:rPr>
          <w:noProof/>
        </w:rPr>
        <w:t>Należy ustanowić jednolite wzory</w:t>
      </w:r>
      <w:r w:rsidR="00A10903" w:rsidRPr="00A10903">
        <w:rPr>
          <w:noProof/>
        </w:rPr>
        <w:t xml:space="preserve"> w</w:t>
      </w:r>
      <w:r w:rsidR="00A10903">
        <w:rPr>
          <w:noProof/>
        </w:rPr>
        <w:t> </w:t>
      </w:r>
      <w:r w:rsidR="00A10903" w:rsidRPr="00A10903">
        <w:rPr>
          <w:noProof/>
        </w:rPr>
        <w:t>cel</w:t>
      </w:r>
      <w:r w:rsidR="001C319D" w:rsidRPr="00A10903">
        <w:rPr>
          <w:noProof/>
        </w:rPr>
        <w:t>u zapewnienia, aby instytucje ujawniały informacje na temat spełniania przez nie wymogów dotyczących płynności,</w:t>
      </w:r>
      <w:r w:rsidR="00A10903" w:rsidRPr="00A10903">
        <w:rPr>
          <w:noProof/>
        </w:rPr>
        <w:t xml:space="preserve"> w</w:t>
      </w:r>
      <w:r w:rsidR="00A10903">
        <w:rPr>
          <w:noProof/>
        </w:rPr>
        <w:t> </w:t>
      </w:r>
      <w:r w:rsidR="00A10903" w:rsidRPr="00A10903">
        <w:rPr>
          <w:noProof/>
        </w:rPr>
        <w:t>tym</w:t>
      </w:r>
      <w:r w:rsidR="001C319D" w:rsidRPr="00A10903">
        <w:rPr>
          <w:noProof/>
        </w:rPr>
        <w:t xml:space="preserve"> wskaźnika pokrycia wypływów netto</w:t>
      </w:r>
      <w:r w:rsidR="00A10903" w:rsidRPr="00A10903">
        <w:rPr>
          <w:noProof/>
        </w:rPr>
        <w:t xml:space="preserve"> i</w:t>
      </w:r>
      <w:r w:rsidR="00A10903">
        <w:rPr>
          <w:noProof/>
        </w:rPr>
        <w:t> </w:t>
      </w:r>
      <w:r w:rsidR="00A10903" w:rsidRPr="00A10903">
        <w:rPr>
          <w:noProof/>
        </w:rPr>
        <w:t>wsk</w:t>
      </w:r>
      <w:r w:rsidR="001C319D" w:rsidRPr="00A10903">
        <w:rPr>
          <w:noProof/>
        </w:rPr>
        <w:t>aźnika stabilnego finansowania netto,</w:t>
      </w:r>
      <w:r w:rsidR="00A10903" w:rsidRPr="00A10903">
        <w:rPr>
          <w:noProof/>
        </w:rPr>
        <w:t xml:space="preserve"> w</w:t>
      </w:r>
      <w:r w:rsidR="00A10903">
        <w:rPr>
          <w:noProof/>
        </w:rPr>
        <w:t> </w:t>
      </w:r>
      <w:r w:rsidR="00A10903" w:rsidRPr="00A10903">
        <w:rPr>
          <w:noProof/>
        </w:rPr>
        <w:t>jed</w:t>
      </w:r>
      <w:r w:rsidR="001C319D" w:rsidRPr="00A10903">
        <w:rPr>
          <w:noProof/>
        </w:rPr>
        <w:t>nolity</w:t>
      </w:r>
      <w:r w:rsidR="00A10903" w:rsidRPr="00A10903">
        <w:rPr>
          <w:noProof/>
        </w:rPr>
        <w:t xml:space="preserve"> i</w:t>
      </w:r>
      <w:r w:rsidR="00A10903">
        <w:rPr>
          <w:noProof/>
        </w:rPr>
        <w:t> </w:t>
      </w:r>
      <w:r w:rsidR="00A10903" w:rsidRPr="00A10903">
        <w:rPr>
          <w:noProof/>
        </w:rPr>
        <w:t>por</w:t>
      </w:r>
      <w:r w:rsidR="001C319D" w:rsidRPr="00A10903">
        <w:rPr>
          <w:noProof/>
        </w:rPr>
        <w:t xml:space="preserve">ównywalny sposób. </w:t>
      </w:r>
    </w:p>
    <w:p w:rsidR="000A5D79" w:rsidRPr="00A10903" w:rsidRDefault="00D26602" w:rsidP="00D26602">
      <w:pPr>
        <w:pStyle w:val="ManualConsidrant"/>
        <w:rPr>
          <w:noProof/>
          <w:szCs w:val="24"/>
        </w:rPr>
      </w:pPr>
      <w:r w:rsidRPr="00D26602">
        <w:rPr>
          <w:noProof/>
        </w:rPr>
        <w:t>(7)</w:t>
      </w:r>
      <w:r w:rsidRPr="00D26602">
        <w:rPr>
          <w:noProof/>
        </w:rPr>
        <w:tab/>
      </w:r>
      <w:r w:rsidR="00E07BF3" w:rsidRPr="00A10903">
        <w:rPr>
          <w:noProof/>
        </w:rPr>
        <w:t>Konieczne jest zapewnienie spójności</w:t>
      </w:r>
      <w:r w:rsidR="00A10903" w:rsidRPr="00A10903">
        <w:rPr>
          <w:noProof/>
        </w:rPr>
        <w:t xml:space="preserve"> i</w:t>
      </w:r>
      <w:r w:rsidR="00A10903">
        <w:rPr>
          <w:noProof/>
        </w:rPr>
        <w:t> </w:t>
      </w:r>
      <w:r w:rsidR="00A10903" w:rsidRPr="00A10903">
        <w:rPr>
          <w:noProof/>
        </w:rPr>
        <w:t>zgo</w:t>
      </w:r>
      <w:r w:rsidR="00E07BF3" w:rsidRPr="00A10903">
        <w:rPr>
          <w:noProof/>
        </w:rPr>
        <w:t>dności między obowiązkami sprawozdawczymi określonymi</w:t>
      </w:r>
      <w:r w:rsidR="00A10903" w:rsidRPr="00A10903">
        <w:rPr>
          <w:noProof/>
        </w:rPr>
        <w:t xml:space="preserve"> w</w:t>
      </w:r>
      <w:r w:rsidR="00A10903">
        <w:rPr>
          <w:noProof/>
        </w:rPr>
        <w:t> </w:t>
      </w:r>
      <w:r w:rsidR="00A10903" w:rsidRPr="00A10903">
        <w:rPr>
          <w:noProof/>
        </w:rPr>
        <w:t>roz</w:t>
      </w:r>
      <w:r w:rsidR="00E07BF3" w:rsidRPr="00A10903">
        <w:rPr>
          <w:noProof/>
        </w:rPr>
        <w:t>porządzeniu (UE) nr</w:t>
      </w:r>
      <w:r w:rsidR="00A10903" w:rsidRPr="00A10903">
        <w:rPr>
          <w:noProof/>
        </w:rPr>
        <w:t> </w:t>
      </w:r>
      <w:r w:rsidR="00E07BF3" w:rsidRPr="00A10903">
        <w:rPr>
          <w:noProof/>
        </w:rPr>
        <w:t>575/2013</w:t>
      </w:r>
      <w:r w:rsidR="00A10903" w:rsidRPr="00A10903">
        <w:rPr>
          <w:noProof/>
        </w:rPr>
        <w:t xml:space="preserve"> a</w:t>
      </w:r>
      <w:r w:rsidR="00A10903">
        <w:rPr>
          <w:noProof/>
        </w:rPr>
        <w:t> </w:t>
      </w:r>
      <w:r w:rsidR="00A10903" w:rsidRPr="00A10903">
        <w:rPr>
          <w:noProof/>
        </w:rPr>
        <w:t>inn</w:t>
      </w:r>
      <w:r w:rsidR="00E07BF3" w:rsidRPr="00A10903">
        <w:rPr>
          <w:noProof/>
        </w:rPr>
        <w:t>ymi przepisami Unii</w:t>
      </w:r>
      <w:r w:rsidR="00A10903" w:rsidRPr="00A10903">
        <w:rPr>
          <w:noProof/>
        </w:rPr>
        <w:t xml:space="preserve"> w</w:t>
      </w:r>
      <w:r w:rsidR="00A10903">
        <w:rPr>
          <w:noProof/>
        </w:rPr>
        <w:t> </w:t>
      </w:r>
      <w:r w:rsidR="00A10903" w:rsidRPr="00A10903">
        <w:rPr>
          <w:noProof/>
        </w:rPr>
        <w:t>dzi</w:t>
      </w:r>
      <w:r w:rsidR="00E07BF3" w:rsidRPr="00A10903">
        <w:rPr>
          <w:noProof/>
        </w:rPr>
        <w:t>edzinie ryzyk ESG,</w:t>
      </w:r>
      <w:r w:rsidR="00A10903" w:rsidRPr="00A10903">
        <w:rPr>
          <w:noProof/>
        </w:rPr>
        <w:t xml:space="preserve"> w</w:t>
      </w:r>
      <w:r w:rsidR="00A10903">
        <w:rPr>
          <w:noProof/>
        </w:rPr>
        <w:t> </w:t>
      </w:r>
      <w:r w:rsidR="00A10903" w:rsidRPr="00A10903">
        <w:rPr>
          <w:noProof/>
        </w:rPr>
        <w:t>szc</w:t>
      </w:r>
      <w:r w:rsidR="00E07BF3" w:rsidRPr="00A10903">
        <w:rPr>
          <w:noProof/>
        </w:rPr>
        <w:t>zególności</w:t>
      </w:r>
      <w:r w:rsidR="00A10903" w:rsidRPr="00A10903">
        <w:rPr>
          <w:noProof/>
        </w:rPr>
        <w:t xml:space="preserve"> z</w:t>
      </w:r>
      <w:r w:rsidR="00A10903">
        <w:rPr>
          <w:noProof/>
        </w:rPr>
        <w:t> </w:t>
      </w:r>
      <w:r w:rsidR="00A10903" w:rsidRPr="00A10903">
        <w:rPr>
          <w:noProof/>
        </w:rPr>
        <w:t>roz</w:t>
      </w:r>
      <w:r w:rsidR="00E07BF3" w:rsidRPr="00A10903">
        <w:rPr>
          <w:noProof/>
        </w:rPr>
        <w:t>porządzeniem Parlamentu Europejskiego</w:t>
      </w:r>
      <w:r w:rsidR="00A10903" w:rsidRPr="00A10903">
        <w:rPr>
          <w:noProof/>
        </w:rPr>
        <w:t xml:space="preserve"> i</w:t>
      </w:r>
      <w:r w:rsidR="00A10903">
        <w:rPr>
          <w:noProof/>
        </w:rPr>
        <w:t> </w:t>
      </w:r>
      <w:r w:rsidR="00A10903" w:rsidRPr="00A10903">
        <w:rPr>
          <w:noProof/>
        </w:rPr>
        <w:t>Rad</w:t>
      </w:r>
      <w:r w:rsidR="00E07BF3" w:rsidRPr="00A10903">
        <w:rPr>
          <w:noProof/>
        </w:rPr>
        <w:t>y (UE) 2020/852</w:t>
      </w:r>
      <w:r w:rsidR="00E07BF3" w:rsidRPr="00A10903">
        <w:rPr>
          <w:rStyle w:val="FootnoteReference"/>
          <w:noProof/>
          <w:szCs w:val="24"/>
        </w:rPr>
        <w:footnoteReference w:id="6"/>
      </w:r>
      <w:r w:rsidR="00A10903" w:rsidRPr="00A10903">
        <w:rPr>
          <w:noProof/>
        </w:rPr>
        <w:t>. W</w:t>
      </w:r>
      <w:r w:rsidR="00A10903">
        <w:rPr>
          <w:noProof/>
        </w:rPr>
        <w:t> </w:t>
      </w:r>
      <w:r w:rsidR="00A10903" w:rsidRPr="00A10903">
        <w:rPr>
          <w:noProof/>
        </w:rPr>
        <w:t>prz</w:t>
      </w:r>
      <w:r w:rsidR="00E07BF3" w:rsidRPr="00A10903">
        <w:rPr>
          <w:noProof/>
        </w:rPr>
        <w:t>episach dotyczących ujawniania informacji na temat ryzyk ESG należy zatem uwzględnić kryteria, klasyfikacje</w:t>
      </w:r>
      <w:r w:rsidR="00A10903" w:rsidRPr="00A10903">
        <w:rPr>
          <w:noProof/>
        </w:rPr>
        <w:t xml:space="preserve"> i</w:t>
      </w:r>
      <w:r w:rsidR="00A10903">
        <w:rPr>
          <w:noProof/>
        </w:rPr>
        <w:t> </w:t>
      </w:r>
      <w:r w:rsidR="00A10903" w:rsidRPr="00A10903">
        <w:rPr>
          <w:noProof/>
        </w:rPr>
        <w:t>def</w:t>
      </w:r>
      <w:r w:rsidR="00E07BF3" w:rsidRPr="00A10903">
        <w:rPr>
          <w:noProof/>
        </w:rPr>
        <w:t>inicje określone</w:t>
      </w:r>
      <w:r w:rsidR="00A10903" w:rsidRPr="00A10903">
        <w:rPr>
          <w:noProof/>
        </w:rPr>
        <w:t xml:space="preserve"> w</w:t>
      </w:r>
      <w:r w:rsidR="00A10903">
        <w:rPr>
          <w:noProof/>
        </w:rPr>
        <w:t> </w:t>
      </w:r>
      <w:r w:rsidR="00A10903" w:rsidRPr="00A10903">
        <w:rPr>
          <w:noProof/>
        </w:rPr>
        <w:t>art</w:t>
      </w:r>
      <w:r w:rsidR="00E07BF3" w:rsidRPr="00A10903">
        <w:rPr>
          <w:noProof/>
        </w:rPr>
        <w:t>.</w:t>
      </w:r>
      <w:r w:rsidR="00A10903" w:rsidRPr="00A10903">
        <w:rPr>
          <w:noProof/>
        </w:rPr>
        <w:t> </w:t>
      </w:r>
      <w:r w:rsidR="00E07BF3" w:rsidRPr="00A10903">
        <w:rPr>
          <w:noProof/>
        </w:rPr>
        <w:t>2</w:t>
      </w:r>
      <w:r w:rsidR="00A10903" w:rsidRPr="00A10903">
        <w:rPr>
          <w:noProof/>
        </w:rPr>
        <w:t xml:space="preserve"> i</w:t>
      </w:r>
      <w:r w:rsidR="00A10903">
        <w:rPr>
          <w:noProof/>
        </w:rPr>
        <w:t> </w:t>
      </w:r>
      <w:r w:rsidR="00A10903" w:rsidRPr="00A10903">
        <w:rPr>
          <w:noProof/>
        </w:rPr>
        <w:t>3</w:t>
      </w:r>
      <w:r w:rsidR="00E07BF3" w:rsidRPr="00A10903">
        <w:rPr>
          <w:noProof/>
        </w:rPr>
        <w:t xml:space="preserve"> rozporządzenia 2020/852</w:t>
      </w:r>
      <w:r w:rsidR="00A10903" w:rsidRPr="00A10903">
        <w:rPr>
          <w:noProof/>
        </w:rPr>
        <w:t>. W</w:t>
      </w:r>
      <w:r w:rsidR="00A10903">
        <w:rPr>
          <w:noProof/>
        </w:rPr>
        <w:t> </w:t>
      </w:r>
      <w:r w:rsidR="00A10903" w:rsidRPr="00A10903">
        <w:rPr>
          <w:noProof/>
        </w:rPr>
        <w:t>szc</w:t>
      </w:r>
      <w:r w:rsidR="00E07BF3" w:rsidRPr="00A10903">
        <w:rPr>
          <w:noProof/>
        </w:rPr>
        <w:t>zególności</w:t>
      </w:r>
      <w:r w:rsidR="00A10903" w:rsidRPr="00A10903">
        <w:rPr>
          <w:noProof/>
        </w:rPr>
        <w:t xml:space="preserve"> w</w:t>
      </w:r>
      <w:r w:rsidR="00A10903">
        <w:rPr>
          <w:noProof/>
        </w:rPr>
        <w:t> </w:t>
      </w:r>
      <w:r w:rsidR="00A10903" w:rsidRPr="00A10903">
        <w:rPr>
          <w:noProof/>
        </w:rPr>
        <w:t>prz</w:t>
      </w:r>
      <w:r w:rsidR="00E07BF3" w:rsidRPr="00A10903">
        <w:rPr>
          <w:noProof/>
        </w:rPr>
        <w:t>episach tych należy uwzględnić kryteria dotyczące identyfikowania</w:t>
      </w:r>
      <w:r w:rsidR="00A10903" w:rsidRPr="00A10903">
        <w:rPr>
          <w:noProof/>
        </w:rPr>
        <w:t xml:space="preserve"> i</w:t>
      </w:r>
      <w:r w:rsidR="00A10903">
        <w:rPr>
          <w:noProof/>
        </w:rPr>
        <w:t> </w:t>
      </w:r>
      <w:r w:rsidR="00A10903" w:rsidRPr="00A10903">
        <w:rPr>
          <w:noProof/>
        </w:rPr>
        <w:t>kla</w:t>
      </w:r>
      <w:r w:rsidR="00E07BF3" w:rsidRPr="00A10903">
        <w:rPr>
          <w:noProof/>
        </w:rPr>
        <w:t>syfikacji zrównoważonej środowiskowo działalności gospodarczej, określone</w:t>
      </w:r>
      <w:r w:rsidR="00A10903" w:rsidRPr="00A10903">
        <w:rPr>
          <w:noProof/>
        </w:rPr>
        <w:t xml:space="preserve"> w</w:t>
      </w:r>
      <w:r w:rsidR="00A10903">
        <w:rPr>
          <w:noProof/>
        </w:rPr>
        <w:t> </w:t>
      </w:r>
      <w:r w:rsidR="00A10903" w:rsidRPr="00A10903">
        <w:rPr>
          <w:noProof/>
        </w:rPr>
        <w:t>roz</w:t>
      </w:r>
      <w:r w:rsidR="00E07BF3" w:rsidRPr="00A10903">
        <w:rPr>
          <w:noProof/>
        </w:rPr>
        <w:t>porządzeniu (UE) 2020/852 oraz</w:t>
      </w:r>
      <w:r w:rsidR="00A10903" w:rsidRPr="00A10903">
        <w:rPr>
          <w:noProof/>
        </w:rPr>
        <w:t xml:space="preserve"> w</w:t>
      </w:r>
      <w:r w:rsidR="00A10903">
        <w:rPr>
          <w:noProof/>
        </w:rPr>
        <w:t> </w:t>
      </w:r>
      <w:r w:rsidR="00A10903" w:rsidRPr="00A10903">
        <w:rPr>
          <w:noProof/>
        </w:rPr>
        <w:t>roz</w:t>
      </w:r>
      <w:r w:rsidR="00E07BF3" w:rsidRPr="00A10903">
        <w:rPr>
          <w:noProof/>
        </w:rPr>
        <w:t>porządzeniu delegowanym Komisji (UE) 2020/1818</w:t>
      </w:r>
      <w:r w:rsidR="00E07BF3" w:rsidRPr="00A10903">
        <w:rPr>
          <w:rStyle w:val="FootnoteReference"/>
          <w:noProof/>
          <w:szCs w:val="24"/>
        </w:rPr>
        <w:footnoteReference w:id="7"/>
      </w:r>
      <w:r w:rsidR="00A10903" w:rsidRPr="00A10903">
        <w:rPr>
          <w:noProof/>
        </w:rPr>
        <w:t>. Z</w:t>
      </w:r>
      <w:r w:rsidR="00A10903">
        <w:rPr>
          <w:noProof/>
        </w:rPr>
        <w:t> </w:t>
      </w:r>
      <w:r w:rsidR="00A10903" w:rsidRPr="00A10903">
        <w:rPr>
          <w:noProof/>
        </w:rPr>
        <w:t>teg</w:t>
      </w:r>
      <w:r w:rsidR="00E07BF3" w:rsidRPr="00A10903">
        <w:rPr>
          <w:noProof/>
        </w:rPr>
        <w:t>o samego powodu, ujawniając informacje na temat charakterystyki energetycznej swojego portfela nieruchomości, instytucje powinny podać te informacje</w:t>
      </w:r>
      <w:r w:rsidR="00A10903" w:rsidRPr="00A10903">
        <w:rPr>
          <w:noProof/>
        </w:rPr>
        <w:t xml:space="preserve"> w</w:t>
      </w:r>
      <w:r w:rsidR="00A10903">
        <w:rPr>
          <w:noProof/>
        </w:rPr>
        <w:t> </w:t>
      </w:r>
      <w:r w:rsidR="00A10903" w:rsidRPr="00A10903">
        <w:rPr>
          <w:noProof/>
        </w:rPr>
        <w:t>for</w:t>
      </w:r>
      <w:r w:rsidR="00E07BF3" w:rsidRPr="00A10903">
        <w:rPr>
          <w:noProof/>
        </w:rPr>
        <w:t>mie świadectwa charakterystyki energetycznej zdefiniowanego</w:t>
      </w:r>
      <w:r w:rsidR="00A10903" w:rsidRPr="00A10903">
        <w:rPr>
          <w:noProof/>
        </w:rPr>
        <w:t xml:space="preserve"> w</w:t>
      </w:r>
      <w:r w:rsidR="00A10903">
        <w:rPr>
          <w:noProof/>
        </w:rPr>
        <w:t> </w:t>
      </w:r>
      <w:r w:rsidR="00A10903" w:rsidRPr="00A10903">
        <w:rPr>
          <w:noProof/>
        </w:rPr>
        <w:t>art</w:t>
      </w:r>
      <w:r w:rsidR="00E07BF3" w:rsidRPr="00A10903">
        <w:rPr>
          <w:noProof/>
        </w:rPr>
        <w:t>.</w:t>
      </w:r>
      <w:r w:rsidR="00A10903" w:rsidRPr="00A10903">
        <w:rPr>
          <w:noProof/>
        </w:rPr>
        <w:t> </w:t>
      </w:r>
      <w:r w:rsidR="00E07BF3" w:rsidRPr="00A10903">
        <w:rPr>
          <w:noProof/>
        </w:rPr>
        <w:t>2 pkt</w:t>
      </w:r>
      <w:r w:rsidR="00A10903" w:rsidRPr="00A10903">
        <w:rPr>
          <w:noProof/>
        </w:rPr>
        <w:t> </w:t>
      </w:r>
      <w:r w:rsidR="00E07BF3" w:rsidRPr="00A10903">
        <w:rPr>
          <w:noProof/>
        </w:rPr>
        <w:t>12 dyrektywy Parlamentu Europejskiego</w:t>
      </w:r>
      <w:r w:rsidR="00A10903" w:rsidRPr="00A10903">
        <w:rPr>
          <w:noProof/>
        </w:rPr>
        <w:t xml:space="preserve"> i</w:t>
      </w:r>
      <w:r w:rsidR="00A10903">
        <w:rPr>
          <w:noProof/>
        </w:rPr>
        <w:t> </w:t>
      </w:r>
      <w:r w:rsidR="00A10903" w:rsidRPr="00A10903">
        <w:rPr>
          <w:noProof/>
        </w:rPr>
        <w:t>Rad</w:t>
      </w:r>
      <w:r w:rsidR="00E07BF3" w:rsidRPr="00A10903">
        <w:rPr>
          <w:noProof/>
        </w:rPr>
        <w:t>y 2010/31/UE</w:t>
      </w:r>
      <w:r w:rsidR="00E07BF3" w:rsidRPr="00A10903">
        <w:rPr>
          <w:rStyle w:val="FootnoteReference"/>
          <w:noProof/>
          <w:szCs w:val="24"/>
        </w:rPr>
        <w:footnoteReference w:id="8"/>
      </w:r>
      <w:r w:rsidR="00E07BF3" w:rsidRPr="00A10903">
        <w:rPr>
          <w:noProof/>
        </w:rPr>
        <w:t xml:space="preserve">. </w:t>
      </w:r>
    </w:p>
    <w:p w:rsidR="000A5D79" w:rsidRPr="00A10903" w:rsidRDefault="00D26602" w:rsidP="00D26602">
      <w:pPr>
        <w:pStyle w:val="ManualConsidrant"/>
        <w:rPr>
          <w:noProof/>
          <w:szCs w:val="24"/>
        </w:rPr>
      </w:pPr>
      <w:r w:rsidRPr="00D26602">
        <w:rPr>
          <w:noProof/>
        </w:rPr>
        <w:t>(8)</w:t>
      </w:r>
      <w:r w:rsidRPr="00D26602">
        <w:rPr>
          <w:noProof/>
        </w:rPr>
        <w:tab/>
      </w:r>
      <w:r w:rsidR="000A5D79" w:rsidRPr="00A10903">
        <w:rPr>
          <w:noProof/>
        </w:rPr>
        <w:t>W art.</w:t>
      </w:r>
      <w:r w:rsidR="00A10903" w:rsidRPr="00A10903">
        <w:rPr>
          <w:noProof/>
        </w:rPr>
        <w:t> </w:t>
      </w:r>
      <w:r w:rsidR="000A5D79" w:rsidRPr="00A10903">
        <w:rPr>
          <w:noProof/>
        </w:rPr>
        <w:t>19a</w:t>
      </w:r>
      <w:r w:rsidR="00A10903" w:rsidRPr="00A10903">
        <w:rPr>
          <w:noProof/>
        </w:rPr>
        <w:t xml:space="preserve"> i</w:t>
      </w:r>
      <w:r w:rsidR="00A10903">
        <w:rPr>
          <w:noProof/>
        </w:rPr>
        <w:t> </w:t>
      </w:r>
      <w:r w:rsidR="00A10903" w:rsidRPr="00A10903">
        <w:rPr>
          <w:noProof/>
        </w:rPr>
        <w:t>2</w:t>
      </w:r>
      <w:r w:rsidR="000A5D79" w:rsidRPr="00A10903">
        <w:rPr>
          <w:noProof/>
        </w:rPr>
        <w:t>9a dyrektywy Parlamentu Europejskiego</w:t>
      </w:r>
      <w:r w:rsidR="00A10903" w:rsidRPr="00A10903">
        <w:rPr>
          <w:noProof/>
        </w:rPr>
        <w:t xml:space="preserve"> i</w:t>
      </w:r>
      <w:r w:rsidR="00A10903">
        <w:rPr>
          <w:noProof/>
        </w:rPr>
        <w:t> </w:t>
      </w:r>
      <w:r w:rsidR="00A10903" w:rsidRPr="00A10903">
        <w:rPr>
          <w:noProof/>
        </w:rPr>
        <w:t>Rad</w:t>
      </w:r>
      <w:r w:rsidR="000A5D79" w:rsidRPr="00A10903">
        <w:rPr>
          <w:noProof/>
        </w:rPr>
        <w:t>y 2013/34/UE</w:t>
      </w:r>
      <w:r w:rsidR="000A5D79" w:rsidRPr="00A10903">
        <w:rPr>
          <w:rStyle w:val="FootnoteReference"/>
          <w:noProof/>
          <w:szCs w:val="24"/>
        </w:rPr>
        <w:footnoteReference w:id="9"/>
      </w:r>
      <w:r w:rsidR="000A5D79" w:rsidRPr="00A10903">
        <w:rPr>
          <w:noProof/>
        </w:rPr>
        <w:t xml:space="preserve"> nałożono na niektóre duże jednostki, które są jednostkami interesu publicznego, lub odpowiednio na jednostki interesu publicznego, które są jednostkami dominującymi dużej grupy, wymóg ujmowania</w:t>
      </w:r>
      <w:r w:rsidR="00A10903" w:rsidRPr="00A10903">
        <w:rPr>
          <w:noProof/>
        </w:rPr>
        <w:t xml:space="preserve"> w</w:t>
      </w:r>
      <w:r w:rsidR="00A10903">
        <w:rPr>
          <w:noProof/>
        </w:rPr>
        <w:t> </w:t>
      </w:r>
      <w:r w:rsidR="00A10903" w:rsidRPr="00A10903">
        <w:rPr>
          <w:noProof/>
        </w:rPr>
        <w:t>swo</w:t>
      </w:r>
      <w:r w:rsidR="000A5D79" w:rsidRPr="00A10903">
        <w:rPr>
          <w:noProof/>
        </w:rPr>
        <w:t>im sprawozdaniu</w:t>
      </w:r>
      <w:r w:rsidR="00A10903" w:rsidRPr="00A10903">
        <w:rPr>
          <w:noProof/>
        </w:rPr>
        <w:t xml:space="preserve"> z</w:t>
      </w:r>
      <w:r w:rsidR="00A10903">
        <w:rPr>
          <w:noProof/>
        </w:rPr>
        <w:t> </w:t>
      </w:r>
      <w:r w:rsidR="00A10903" w:rsidRPr="00A10903">
        <w:rPr>
          <w:noProof/>
        </w:rPr>
        <w:t>dzi</w:t>
      </w:r>
      <w:r w:rsidR="000A5D79" w:rsidRPr="00A10903">
        <w:rPr>
          <w:noProof/>
        </w:rPr>
        <w:t>ałalności lub</w:t>
      </w:r>
      <w:r w:rsidR="00A10903" w:rsidRPr="00A10903">
        <w:rPr>
          <w:noProof/>
        </w:rPr>
        <w:t xml:space="preserve"> w</w:t>
      </w:r>
      <w:r w:rsidR="00A10903">
        <w:rPr>
          <w:noProof/>
        </w:rPr>
        <w:t> </w:t>
      </w:r>
      <w:r w:rsidR="00A10903" w:rsidRPr="00A10903">
        <w:rPr>
          <w:noProof/>
        </w:rPr>
        <w:t>sko</w:t>
      </w:r>
      <w:r w:rsidR="000A5D79" w:rsidRPr="00A10903">
        <w:rPr>
          <w:noProof/>
        </w:rPr>
        <w:t>nsolidowanym sprawozdaniu</w:t>
      </w:r>
      <w:r w:rsidR="00A10903" w:rsidRPr="00A10903">
        <w:rPr>
          <w:noProof/>
        </w:rPr>
        <w:t xml:space="preserve"> z</w:t>
      </w:r>
      <w:r w:rsidR="00A10903">
        <w:rPr>
          <w:noProof/>
        </w:rPr>
        <w:t> </w:t>
      </w:r>
      <w:r w:rsidR="00A10903" w:rsidRPr="00A10903">
        <w:rPr>
          <w:noProof/>
        </w:rPr>
        <w:t>dzi</w:t>
      </w:r>
      <w:r w:rsidR="000A5D79" w:rsidRPr="00A10903">
        <w:rPr>
          <w:noProof/>
        </w:rPr>
        <w:t>ałalności informacji</w:t>
      </w:r>
      <w:r w:rsidR="00A10903" w:rsidRPr="00A10903">
        <w:rPr>
          <w:noProof/>
        </w:rPr>
        <w:t xml:space="preserve"> o</w:t>
      </w:r>
      <w:r w:rsidR="00A10903">
        <w:rPr>
          <w:noProof/>
        </w:rPr>
        <w:t> </w:t>
      </w:r>
      <w:r w:rsidR="00A10903" w:rsidRPr="00A10903">
        <w:rPr>
          <w:noProof/>
        </w:rPr>
        <w:t>wpł</w:t>
      </w:r>
      <w:r w:rsidR="000A5D79" w:rsidRPr="00A10903">
        <w:rPr>
          <w:noProof/>
        </w:rPr>
        <w:t>ywie swojej działalności na kwestie środowiskowe, społeczne</w:t>
      </w:r>
      <w:r w:rsidR="00A10903" w:rsidRPr="00A10903">
        <w:rPr>
          <w:noProof/>
        </w:rPr>
        <w:t xml:space="preserve"> i</w:t>
      </w:r>
      <w:r w:rsidR="00A10903">
        <w:rPr>
          <w:noProof/>
        </w:rPr>
        <w:t> </w:t>
      </w:r>
      <w:r w:rsidR="00A10903" w:rsidRPr="00A10903">
        <w:rPr>
          <w:noProof/>
        </w:rPr>
        <w:t>pra</w:t>
      </w:r>
      <w:r w:rsidR="000A5D79" w:rsidRPr="00A10903">
        <w:rPr>
          <w:noProof/>
        </w:rPr>
        <w:t>cownicze, poszanowanie praw człowieka oraz przeciwdziałanie korupcji</w:t>
      </w:r>
      <w:r w:rsidR="00A10903" w:rsidRPr="00A10903">
        <w:rPr>
          <w:noProof/>
        </w:rPr>
        <w:t xml:space="preserve"> i</w:t>
      </w:r>
      <w:r w:rsidR="00A10903">
        <w:rPr>
          <w:noProof/>
        </w:rPr>
        <w:t> </w:t>
      </w:r>
      <w:r w:rsidR="00A10903" w:rsidRPr="00A10903">
        <w:rPr>
          <w:noProof/>
        </w:rPr>
        <w:t>łap</w:t>
      </w:r>
      <w:r w:rsidR="000A5D79" w:rsidRPr="00A10903">
        <w:rPr>
          <w:noProof/>
        </w:rPr>
        <w:t>ownictwu. Obowiązek ten nie dotyczy jednak innych jednostek</w:t>
      </w:r>
      <w:r w:rsidR="00A10903" w:rsidRPr="00A10903">
        <w:rPr>
          <w:noProof/>
        </w:rPr>
        <w:t>. W</w:t>
      </w:r>
      <w:r w:rsidR="00A10903">
        <w:rPr>
          <w:noProof/>
        </w:rPr>
        <w:t> </w:t>
      </w:r>
      <w:r w:rsidR="00A10903" w:rsidRPr="00A10903">
        <w:rPr>
          <w:noProof/>
        </w:rPr>
        <w:t>zwi</w:t>
      </w:r>
      <w:r w:rsidR="000A5D79" w:rsidRPr="00A10903">
        <w:rPr>
          <w:noProof/>
        </w:rPr>
        <w:t>ązku</w:t>
      </w:r>
      <w:r w:rsidR="00A10903" w:rsidRPr="00A10903">
        <w:rPr>
          <w:noProof/>
        </w:rPr>
        <w:t xml:space="preserve"> z</w:t>
      </w:r>
      <w:r w:rsidR="00A10903">
        <w:rPr>
          <w:noProof/>
        </w:rPr>
        <w:t> </w:t>
      </w:r>
      <w:r w:rsidR="00A10903" w:rsidRPr="00A10903">
        <w:rPr>
          <w:noProof/>
        </w:rPr>
        <w:t>tym</w:t>
      </w:r>
      <w:r w:rsidR="000A5D79" w:rsidRPr="00A10903">
        <w:rPr>
          <w:noProof/>
        </w:rPr>
        <w:t xml:space="preserve"> jednostki, które nie podlegają art.</w:t>
      </w:r>
      <w:r w:rsidR="00A10903" w:rsidRPr="00A10903">
        <w:rPr>
          <w:noProof/>
        </w:rPr>
        <w:t> </w:t>
      </w:r>
      <w:r w:rsidR="000A5D79" w:rsidRPr="00A10903">
        <w:rPr>
          <w:noProof/>
        </w:rPr>
        <w:t>19a lub</w:t>
      </w:r>
      <w:r w:rsidR="00A10903" w:rsidRPr="00A10903">
        <w:rPr>
          <w:noProof/>
        </w:rPr>
        <w:t> </w:t>
      </w:r>
      <w:r w:rsidR="000A5D79" w:rsidRPr="00A10903">
        <w:rPr>
          <w:noProof/>
        </w:rPr>
        <w:t>29a dyrektywy 2013/34/UE, nie mają obowiązku ujawniania takich informacji</w:t>
      </w:r>
      <w:r w:rsidR="00A10903" w:rsidRPr="00A10903">
        <w:rPr>
          <w:noProof/>
        </w:rPr>
        <w:t xml:space="preserve"> i</w:t>
      </w:r>
      <w:r w:rsidR="00A10903">
        <w:rPr>
          <w:noProof/>
        </w:rPr>
        <w:t> </w:t>
      </w:r>
      <w:r w:rsidR="00A10903" w:rsidRPr="00A10903">
        <w:rPr>
          <w:noProof/>
        </w:rPr>
        <w:t>mog</w:t>
      </w:r>
      <w:r w:rsidR="000A5D79" w:rsidRPr="00A10903">
        <w:rPr>
          <w:noProof/>
        </w:rPr>
        <w:t>ą nie być</w:t>
      </w:r>
      <w:r w:rsidR="00A10903" w:rsidRPr="00A10903">
        <w:rPr>
          <w:noProof/>
        </w:rPr>
        <w:t xml:space="preserve"> w</w:t>
      </w:r>
      <w:r w:rsidR="00A10903">
        <w:rPr>
          <w:noProof/>
        </w:rPr>
        <w:t> </w:t>
      </w:r>
      <w:r w:rsidR="00A10903" w:rsidRPr="00A10903">
        <w:rPr>
          <w:noProof/>
        </w:rPr>
        <w:t>sta</w:t>
      </w:r>
      <w:r w:rsidR="000A5D79" w:rsidRPr="00A10903">
        <w:rPr>
          <w:noProof/>
        </w:rPr>
        <w:t>nie przekazać takich informacji instytucjom. Od tych jednostek, które są kontrahentami instytucji, można zatem oczekiwać jedynie dobrowolnego przekazywania takich informacji</w:t>
      </w:r>
      <w:r w:rsidR="00A10903" w:rsidRPr="00A10903">
        <w:rPr>
          <w:noProof/>
        </w:rPr>
        <w:t xml:space="preserve"> i</w:t>
      </w:r>
      <w:r w:rsidR="00A10903">
        <w:rPr>
          <w:noProof/>
        </w:rPr>
        <w:t> </w:t>
      </w:r>
      <w:r w:rsidR="00A10903" w:rsidRPr="00A10903">
        <w:rPr>
          <w:noProof/>
        </w:rPr>
        <w:t>dan</w:t>
      </w:r>
      <w:r w:rsidR="000A5D79" w:rsidRPr="00A10903">
        <w:rPr>
          <w:noProof/>
        </w:rPr>
        <w:t xml:space="preserve">ych. </w:t>
      </w:r>
    </w:p>
    <w:p w:rsidR="003A1487" w:rsidRPr="00A10903" w:rsidRDefault="00D26602" w:rsidP="00D26602">
      <w:pPr>
        <w:pStyle w:val="ManualConsidrant"/>
        <w:rPr>
          <w:noProof/>
          <w:color w:val="000000"/>
          <w:szCs w:val="24"/>
        </w:rPr>
      </w:pPr>
      <w:r w:rsidRPr="00D26602">
        <w:rPr>
          <w:noProof/>
        </w:rPr>
        <w:t>(9)</w:t>
      </w:r>
      <w:r w:rsidRPr="00D26602">
        <w:rPr>
          <w:noProof/>
        </w:rPr>
        <w:tab/>
      </w:r>
      <w:r w:rsidR="003A1487" w:rsidRPr="00A10903">
        <w:rPr>
          <w:rStyle w:val="cf11"/>
          <w:rFonts w:ascii="Times New Roman" w:hAnsi="Times New Roman"/>
          <w:noProof/>
          <w:sz w:val="24"/>
        </w:rPr>
        <w:t>W celu wdrożenia standardów wchodzących</w:t>
      </w:r>
      <w:r w:rsidR="00A10903" w:rsidRPr="00A10903">
        <w:rPr>
          <w:rStyle w:val="cf11"/>
          <w:rFonts w:ascii="Times New Roman" w:hAnsi="Times New Roman"/>
          <w:noProof/>
          <w:sz w:val="24"/>
        </w:rPr>
        <w:t xml:space="preserve"> w</w:t>
      </w:r>
      <w:r w:rsidR="00A10903">
        <w:rPr>
          <w:rStyle w:val="cf11"/>
          <w:rFonts w:ascii="Times New Roman" w:hAnsi="Times New Roman"/>
          <w:noProof/>
          <w:sz w:val="24"/>
        </w:rPr>
        <w:t> </w:t>
      </w:r>
      <w:r w:rsidR="00A10903" w:rsidRPr="00A10903">
        <w:rPr>
          <w:rStyle w:val="cf11"/>
          <w:rFonts w:ascii="Times New Roman" w:hAnsi="Times New Roman"/>
          <w:noProof/>
          <w:sz w:val="24"/>
        </w:rPr>
        <w:t>skł</w:t>
      </w:r>
      <w:r w:rsidR="003A1487" w:rsidRPr="00A10903">
        <w:rPr>
          <w:rStyle w:val="cf11"/>
          <w:rFonts w:ascii="Times New Roman" w:hAnsi="Times New Roman"/>
          <w:noProof/>
          <w:sz w:val="24"/>
        </w:rPr>
        <w:t>ad pakietu Bazylea III rozporządzeniem (UE) 2024/1623 wprowadzono do art.</w:t>
      </w:r>
      <w:r w:rsidR="00A10903" w:rsidRPr="00A10903">
        <w:rPr>
          <w:rStyle w:val="cf11"/>
          <w:rFonts w:ascii="Times New Roman" w:hAnsi="Times New Roman"/>
          <w:noProof/>
          <w:sz w:val="24"/>
        </w:rPr>
        <w:t> </w:t>
      </w:r>
      <w:r w:rsidR="003A1487" w:rsidRPr="00A10903">
        <w:rPr>
          <w:rStyle w:val="cf11"/>
          <w:rFonts w:ascii="Times New Roman" w:hAnsi="Times New Roman"/>
          <w:noProof/>
          <w:sz w:val="24"/>
        </w:rPr>
        <w:t>92 ust.</w:t>
      </w:r>
      <w:r w:rsidR="00A10903" w:rsidRPr="00A10903">
        <w:rPr>
          <w:rStyle w:val="cf11"/>
          <w:rFonts w:ascii="Times New Roman" w:hAnsi="Times New Roman"/>
          <w:noProof/>
          <w:sz w:val="24"/>
        </w:rPr>
        <w:t> </w:t>
      </w:r>
      <w:r w:rsidR="003A1487" w:rsidRPr="00A10903">
        <w:rPr>
          <w:rStyle w:val="cf11"/>
          <w:rFonts w:ascii="Times New Roman" w:hAnsi="Times New Roman"/>
          <w:noProof/>
          <w:sz w:val="24"/>
        </w:rPr>
        <w:t>3 rozporządzenia (UE) nr</w:t>
      </w:r>
      <w:r w:rsidR="00A10903" w:rsidRPr="00A10903">
        <w:rPr>
          <w:rStyle w:val="cf11"/>
          <w:rFonts w:ascii="Times New Roman" w:hAnsi="Times New Roman"/>
          <w:noProof/>
          <w:sz w:val="24"/>
        </w:rPr>
        <w:t> </w:t>
      </w:r>
      <w:r w:rsidR="003A1487" w:rsidRPr="00A10903">
        <w:rPr>
          <w:rStyle w:val="cf11"/>
          <w:rFonts w:ascii="Times New Roman" w:hAnsi="Times New Roman"/>
          <w:noProof/>
          <w:sz w:val="24"/>
        </w:rPr>
        <w:t>575/2013 dolny limit wymogów kapitałowych opartych na analizie ryzyka obliczonych</w:t>
      </w:r>
      <w:r w:rsidR="00A10903" w:rsidRPr="00A10903">
        <w:rPr>
          <w:rStyle w:val="cf11"/>
          <w:rFonts w:ascii="Times New Roman" w:hAnsi="Times New Roman"/>
          <w:noProof/>
          <w:sz w:val="24"/>
        </w:rPr>
        <w:t xml:space="preserve"> z</w:t>
      </w:r>
      <w:r w:rsidR="00A10903">
        <w:rPr>
          <w:rStyle w:val="cf11"/>
          <w:rFonts w:ascii="Times New Roman" w:hAnsi="Times New Roman"/>
          <w:noProof/>
          <w:sz w:val="24"/>
        </w:rPr>
        <w:t> </w:t>
      </w:r>
      <w:r w:rsidR="00A10903" w:rsidRPr="00A10903">
        <w:rPr>
          <w:rStyle w:val="cf11"/>
          <w:rFonts w:ascii="Times New Roman" w:hAnsi="Times New Roman"/>
          <w:noProof/>
          <w:sz w:val="24"/>
        </w:rPr>
        <w:t>wyk</w:t>
      </w:r>
      <w:r w:rsidR="003A1487" w:rsidRPr="00A10903">
        <w:rPr>
          <w:rStyle w:val="cf11"/>
          <w:rFonts w:ascii="Times New Roman" w:hAnsi="Times New Roman"/>
          <w:noProof/>
          <w:sz w:val="24"/>
        </w:rPr>
        <w:t>orzystaniem modeli wewnętrznych („minimalny próg kapitałowy”), który jest równy określonemu odsetkowi wymogów kapitałowych, które miałyby zastosowanie, gdyby zastosowano metody standardowe. Należy zatem uwzględnić te zmiany</w:t>
      </w:r>
      <w:r w:rsidR="00A10903" w:rsidRPr="00A10903">
        <w:rPr>
          <w:rStyle w:val="cf11"/>
          <w:rFonts w:ascii="Times New Roman" w:hAnsi="Times New Roman"/>
          <w:noProof/>
          <w:sz w:val="24"/>
        </w:rPr>
        <w:t xml:space="preserve"> w</w:t>
      </w:r>
      <w:r w:rsidR="00A10903">
        <w:rPr>
          <w:rStyle w:val="cf11"/>
          <w:rFonts w:ascii="Times New Roman" w:hAnsi="Times New Roman"/>
          <w:noProof/>
          <w:sz w:val="24"/>
        </w:rPr>
        <w:t> </w:t>
      </w:r>
      <w:r w:rsidR="00A10903" w:rsidRPr="00A10903">
        <w:rPr>
          <w:rStyle w:val="cf11"/>
          <w:rFonts w:ascii="Times New Roman" w:hAnsi="Times New Roman"/>
          <w:noProof/>
          <w:sz w:val="24"/>
        </w:rPr>
        <w:t>odp</w:t>
      </w:r>
      <w:r w:rsidR="003A1487" w:rsidRPr="00A10903">
        <w:rPr>
          <w:rStyle w:val="cf11"/>
          <w:rFonts w:ascii="Times New Roman" w:hAnsi="Times New Roman"/>
          <w:noProof/>
          <w:sz w:val="24"/>
        </w:rPr>
        <w:t>owiednich wzorach do celów ujawniania informacji. Ponadto, aby zapewnić możliwość porównania współczynników kapitałowych opartych na analizie ryzyka obliczonych zgodnie</w:t>
      </w:r>
      <w:r w:rsidR="00A10903" w:rsidRPr="00A10903">
        <w:rPr>
          <w:rStyle w:val="cf11"/>
          <w:rFonts w:ascii="Times New Roman" w:hAnsi="Times New Roman"/>
          <w:noProof/>
          <w:sz w:val="24"/>
        </w:rPr>
        <w:t xml:space="preserve"> z</w:t>
      </w:r>
      <w:r w:rsidR="00A10903">
        <w:rPr>
          <w:rStyle w:val="cf11"/>
          <w:rFonts w:ascii="Times New Roman" w:hAnsi="Times New Roman"/>
          <w:noProof/>
          <w:sz w:val="24"/>
        </w:rPr>
        <w:t> </w:t>
      </w:r>
      <w:r w:rsidR="00A10903" w:rsidRPr="00A10903">
        <w:rPr>
          <w:rStyle w:val="cf11"/>
          <w:rFonts w:ascii="Times New Roman" w:hAnsi="Times New Roman"/>
          <w:noProof/>
          <w:sz w:val="24"/>
        </w:rPr>
        <w:t>met</w:t>
      </w:r>
      <w:r w:rsidR="003A1487" w:rsidRPr="00A10903">
        <w:rPr>
          <w:rStyle w:val="cf11"/>
          <w:rFonts w:ascii="Times New Roman" w:hAnsi="Times New Roman"/>
          <w:noProof/>
          <w:sz w:val="24"/>
        </w:rPr>
        <w:t>odą standardową</w:t>
      </w:r>
      <w:r w:rsidR="00A10903" w:rsidRPr="00A10903">
        <w:rPr>
          <w:rStyle w:val="cf11"/>
          <w:rFonts w:ascii="Times New Roman" w:hAnsi="Times New Roman"/>
          <w:noProof/>
          <w:sz w:val="24"/>
        </w:rPr>
        <w:t xml:space="preserve"> i</w:t>
      </w:r>
      <w:r w:rsidR="00A10903">
        <w:rPr>
          <w:rStyle w:val="cf11"/>
          <w:rFonts w:ascii="Times New Roman" w:hAnsi="Times New Roman"/>
          <w:noProof/>
          <w:sz w:val="24"/>
        </w:rPr>
        <w:t> </w:t>
      </w:r>
      <w:r w:rsidR="00A10903" w:rsidRPr="00A10903">
        <w:rPr>
          <w:rStyle w:val="cf11"/>
          <w:rFonts w:ascii="Times New Roman" w:hAnsi="Times New Roman"/>
          <w:noProof/>
          <w:sz w:val="24"/>
        </w:rPr>
        <w:t>met</w:t>
      </w:r>
      <w:r w:rsidR="003A1487" w:rsidRPr="00A10903">
        <w:rPr>
          <w:rStyle w:val="cf11"/>
          <w:rFonts w:ascii="Times New Roman" w:hAnsi="Times New Roman"/>
          <w:noProof/>
          <w:sz w:val="24"/>
        </w:rPr>
        <w:t>odą modeli wewnętrznych na poziomie ryzyka oraz według kategorii ekspozycji</w:t>
      </w:r>
      <w:r w:rsidR="00A10903" w:rsidRPr="00A10903">
        <w:rPr>
          <w:rStyle w:val="cf11"/>
          <w:rFonts w:ascii="Times New Roman" w:hAnsi="Times New Roman"/>
          <w:noProof/>
          <w:sz w:val="24"/>
        </w:rPr>
        <w:t xml:space="preserve"> w</w:t>
      </w:r>
      <w:r w:rsidR="00A10903">
        <w:rPr>
          <w:rStyle w:val="cf11"/>
          <w:rFonts w:ascii="Times New Roman" w:hAnsi="Times New Roman"/>
          <w:noProof/>
          <w:sz w:val="24"/>
        </w:rPr>
        <w:t> </w:t>
      </w:r>
      <w:r w:rsidR="00A10903" w:rsidRPr="00A10903">
        <w:rPr>
          <w:rStyle w:val="cf11"/>
          <w:rFonts w:ascii="Times New Roman" w:hAnsi="Times New Roman"/>
          <w:noProof/>
          <w:sz w:val="24"/>
        </w:rPr>
        <w:t>odn</w:t>
      </w:r>
      <w:r w:rsidR="003A1487" w:rsidRPr="00A10903">
        <w:rPr>
          <w:rStyle w:val="cf11"/>
          <w:rFonts w:ascii="Times New Roman" w:hAnsi="Times New Roman"/>
          <w:noProof/>
          <w:sz w:val="24"/>
        </w:rPr>
        <w:t>iesieniu do ryzyka kredytowego, należy wprowadzić dwa nowe wzory do celów ujawniania informacji.</w:t>
      </w:r>
      <w:r w:rsidR="003A1487" w:rsidRPr="00A10903">
        <w:rPr>
          <w:noProof/>
          <w:color w:val="000000"/>
        </w:rPr>
        <w:t xml:space="preserve"> </w:t>
      </w:r>
    </w:p>
    <w:p w:rsidR="000A5D79" w:rsidRPr="00A10903" w:rsidRDefault="00D26602" w:rsidP="00D26602">
      <w:pPr>
        <w:pStyle w:val="ManualConsidrant"/>
        <w:rPr>
          <w:noProof/>
          <w:color w:val="000000"/>
        </w:rPr>
      </w:pPr>
      <w:r w:rsidRPr="00D26602">
        <w:rPr>
          <w:noProof/>
        </w:rPr>
        <w:t>(10)</w:t>
      </w:r>
      <w:r w:rsidRPr="00D26602">
        <w:rPr>
          <w:noProof/>
        </w:rPr>
        <w:tab/>
      </w:r>
      <w:r w:rsidR="000A5D79" w:rsidRPr="00A10903">
        <w:rPr>
          <w:noProof/>
        </w:rPr>
        <w:t>W odniesieniu do stosowania metody standardowej („SA”) do ryzyka kredytowego rozporządzeniem (UE) 2024/1623 wprowadzono do tytułu II rozdział 2 rozporządzenia (UE) nr</w:t>
      </w:r>
      <w:r w:rsidR="00A10903" w:rsidRPr="00A10903">
        <w:rPr>
          <w:noProof/>
        </w:rPr>
        <w:t> </w:t>
      </w:r>
      <w:r w:rsidR="000A5D79" w:rsidRPr="00A10903">
        <w:rPr>
          <w:noProof/>
        </w:rPr>
        <w:t>575/2013 bardziej szczegółowy sposób traktowania różnych ekspozycji według wagi ryzyka,</w:t>
      </w:r>
      <w:r w:rsidR="00A10903" w:rsidRPr="00A10903">
        <w:rPr>
          <w:noProof/>
        </w:rPr>
        <w:t xml:space="preserve"> w</w:t>
      </w:r>
      <w:r w:rsidR="00A10903">
        <w:rPr>
          <w:noProof/>
        </w:rPr>
        <w:t> </w:t>
      </w:r>
      <w:r w:rsidR="00A10903" w:rsidRPr="00A10903">
        <w:rPr>
          <w:noProof/>
        </w:rPr>
        <w:t>tym</w:t>
      </w:r>
      <w:r w:rsidR="000A5D79" w:rsidRPr="00A10903">
        <w:rPr>
          <w:noProof/>
        </w:rPr>
        <w:t xml:space="preserve"> ekspozycji wobec instytucji, ekspozycji wobec przedsiębiorstw, ekspozycji</w:t>
      </w:r>
      <w:r w:rsidR="00A10903" w:rsidRPr="00A10903">
        <w:rPr>
          <w:noProof/>
        </w:rPr>
        <w:t xml:space="preserve"> z</w:t>
      </w:r>
      <w:r w:rsidR="00A10903">
        <w:rPr>
          <w:noProof/>
        </w:rPr>
        <w:t> </w:t>
      </w:r>
      <w:r w:rsidR="00A10903" w:rsidRPr="00A10903">
        <w:rPr>
          <w:noProof/>
        </w:rPr>
        <w:t>tyt</w:t>
      </w:r>
      <w:r w:rsidR="000A5D79" w:rsidRPr="00A10903">
        <w:rPr>
          <w:noProof/>
        </w:rPr>
        <w:t>ułu kredytowania specjalistycznego, ekspozycji detalicznych, ekspozycji zabezpieczonych nieruchomościami, ekspozycji</w:t>
      </w:r>
      <w:r w:rsidR="00A10903" w:rsidRPr="00A10903">
        <w:rPr>
          <w:noProof/>
        </w:rPr>
        <w:t xml:space="preserve"> z</w:t>
      </w:r>
      <w:r w:rsidR="00A10903">
        <w:rPr>
          <w:noProof/>
        </w:rPr>
        <w:t> </w:t>
      </w:r>
      <w:r w:rsidR="00A10903" w:rsidRPr="00A10903">
        <w:rPr>
          <w:noProof/>
        </w:rPr>
        <w:t>tyt</w:t>
      </w:r>
      <w:r w:rsidR="000A5D79" w:rsidRPr="00A10903">
        <w:rPr>
          <w:noProof/>
        </w:rPr>
        <w:t>ułu długu podporządkowanego, ekspozycji kapitałowych</w:t>
      </w:r>
      <w:r w:rsidR="00A10903" w:rsidRPr="00A10903">
        <w:rPr>
          <w:noProof/>
        </w:rPr>
        <w:t xml:space="preserve"> i</w:t>
      </w:r>
      <w:r w:rsidR="00A10903">
        <w:rPr>
          <w:noProof/>
        </w:rPr>
        <w:t> </w:t>
      </w:r>
      <w:r w:rsidR="00A10903" w:rsidRPr="00A10903">
        <w:rPr>
          <w:noProof/>
        </w:rPr>
        <w:t>eks</w:t>
      </w:r>
      <w:r w:rsidR="000A5D79" w:rsidRPr="00A10903">
        <w:rPr>
          <w:noProof/>
        </w:rPr>
        <w:t>pozycji, których dotyczy niewykonanie zobowiązania. Konieczne jest odzwierciedlenie tych zmian we wzorach do celów ujawniania informacji oraz dostosowanie numeracji wierszy</w:t>
      </w:r>
      <w:r w:rsidR="00A10903" w:rsidRPr="00A10903">
        <w:rPr>
          <w:noProof/>
        </w:rPr>
        <w:t xml:space="preserve"> w</w:t>
      </w:r>
      <w:r w:rsidR="00A10903">
        <w:rPr>
          <w:noProof/>
        </w:rPr>
        <w:t> </w:t>
      </w:r>
      <w:r w:rsidR="00A10903" w:rsidRPr="00A10903">
        <w:rPr>
          <w:noProof/>
        </w:rPr>
        <w:t>tyc</w:t>
      </w:r>
      <w:r w:rsidR="000A5D79" w:rsidRPr="00A10903">
        <w:rPr>
          <w:noProof/>
        </w:rPr>
        <w:t>h wzorach do numeracji</w:t>
      </w:r>
      <w:r w:rsidR="00A10903" w:rsidRPr="00A10903">
        <w:rPr>
          <w:noProof/>
        </w:rPr>
        <w:t xml:space="preserve"> w</w:t>
      </w:r>
      <w:r w:rsidR="00A10903">
        <w:rPr>
          <w:noProof/>
        </w:rPr>
        <w:t> </w:t>
      </w:r>
      <w:r w:rsidR="00A10903" w:rsidRPr="00A10903">
        <w:rPr>
          <w:noProof/>
        </w:rPr>
        <w:t>odp</w:t>
      </w:r>
      <w:r w:rsidR="000A5D79" w:rsidRPr="00A10903">
        <w:rPr>
          <w:noProof/>
        </w:rPr>
        <w:t xml:space="preserve">owiednich wzorach do celów ujawniania informacji stosowanych przez Bazylejski Komitet Nadzoru Bankowego. </w:t>
      </w:r>
    </w:p>
    <w:p w:rsidR="000A5D79" w:rsidRPr="00A10903" w:rsidRDefault="00D26602" w:rsidP="00D26602">
      <w:pPr>
        <w:pStyle w:val="ManualConsidrant"/>
        <w:rPr>
          <w:noProof/>
          <w:color w:val="000000"/>
        </w:rPr>
      </w:pPr>
      <w:r w:rsidRPr="00D26602">
        <w:rPr>
          <w:noProof/>
        </w:rPr>
        <w:t>(11)</w:t>
      </w:r>
      <w:r w:rsidRPr="00D26602">
        <w:rPr>
          <w:noProof/>
        </w:rPr>
        <w:tab/>
      </w:r>
      <w:r w:rsidR="009E6EC8" w:rsidRPr="00A10903">
        <w:rPr>
          <w:noProof/>
        </w:rPr>
        <w:t>Rozporządzeniem (UE) 2024/1623 wprowadzono zmiany do tytułu II rozdział 3 rozporządzenia (UE) nr</w:t>
      </w:r>
      <w:r w:rsidR="00A10903" w:rsidRPr="00A10903">
        <w:rPr>
          <w:noProof/>
        </w:rPr>
        <w:t> </w:t>
      </w:r>
      <w:r w:rsidR="009E6EC8" w:rsidRPr="00A10903">
        <w:rPr>
          <w:noProof/>
        </w:rPr>
        <w:t>575/2013</w:t>
      </w:r>
      <w:r w:rsidR="00A10903" w:rsidRPr="00A10903">
        <w:rPr>
          <w:noProof/>
        </w:rPr>
        <w:t xml:space="preserve"> w</w:t>
      </w:r>
      <w:r w:rsidR="00A10903">
        <w:rPr>
          <w:noProof/>
        </w:rPr>
        <w:t> </w:t>
      </w:r>
      <w:r w:rsidR="00A10903" w:rsidRPr="00A10903">
        <w:rPr>
          <w:noProof/>
        </w:rPr>
        <w:t>odn</w:t>
      </w:r>
      <w:r w:rsidR="009E6EC8" w:rsidRPr="00A10903">
        <w:rPr>
          <w:noProof/>
        </w:rPr>
        <w:t>iesieniu do stosowania metody wewnętrznych ratingów („IRB”)</w:t>
      </w:r>
      <w:r w:rsidR="00A10903" w:rsidRPr="00A10903">
        <w:rPr>
          <w:noProof/>
        </w:rPr>
        <w:t xml:space="preserve"> w</w:t>
      </w:r>
      <w:r w:rsidR="00A10903">
        <w:rPr>
          <w:noProof/>
        </w:rPr>
        <w:t> </w:t>
      </w:r>
      <w:r w:rsidR="00A10903" w:rsidRPr="00A10903">
        <w:rPr>
          <w:noProof/>
        </w:rPr>
        <w:t>prz</w:t>
      </w:r>
      <w:r w:rsidR="009E6EC8" w:rsidRPr="00A10903">
        <w:rPr>
          <w:noProof/>
        </w:rPr>
        <w:t>ypadku ekspozycji na ryzyko kredytowe, ograniczając kategorie ekspozycji, do których można stosować zaawansowaną metodę IRB (A-IRB)</w:t>
      </w:r>
      <w:r w:rsidR="00A10903" w:rsidRPr="00A10903">
        <w:rPr>
          <w:noProof/>
        </w:rPr>
        <w:t xml:space="preserve"> w</w:t>
      </w:r>
      <w:r w:rsidR="00A10903">
        <w:rPr>
          <w:noProof/>
        </w:rPr>
        <w:t> </w:t>
      </w:r>
      <w:r w:rsidR="00A10903" w:rsidRPr="00A10903">
        <w:rPr>
          <w:noProof/>
        </w:rPr>
        <w:t>cel</w:t>
      </w:r>
      <w:r w:rsidR="009E6EC8" w:rsidRPr="00A10903">
        <w:rPr>
          <w:noProof/>
        </w:rPr>
        <w:t>u obliczenia wymogów</w:t>
      </w:r>
      <w:r w:rsidR="00A10903" w:rsidRPr="00A10903">
        <w:rPr>
          <w:noProof/>
        </w:rPr>
        <w:t xml:space="preserve"> w</w:t>
      </w:r>
      <w:r w:rsidR="00A10903">
        <w:rPr>
          <w:noProof/>
        </w:rPr>
        <w:t> </w:t>
      </w:r>
      <w:r w:rsidR="00A10903" w:rsidRPr="00A10903">
        <w:rPr>
          <w:noProof/>
        </w:rPr>
        <w:t>zak</w:t>
      </w:r>
      <w:r w:rsidR="009E6EC8" w:rsidRPr="00A10903">
        <w:rPr>
          <w:noProof/>
        </w:rPr>
        <w:t>resie funduszy własnych</w:t>
      </w:r>
      <w:r w:rsidR="00A10903" w:rsidRPr="00A10903">
        <w:rPr>
          <w:noProof/>
        </w:rPr>
        <w:t xml:space="preserve"> z</w:t>
      </w:r>
      <w:r w:rsidR="00A10903">
        <w:rPr>
          <w:noProof/>
        </w:rPr>
        <w:t> </w:t>
      </w:r>
      <w:r w:rsidR="00A10903" w:rsidRPr="00A10903">
        <w:rPr>
          <w:noProof/>
        </w:rPr>
        <w:t>tyt</w:t>
      </w:r>
      <w:r w:rsidR="009E6EC8" w:rsidRPr="00A10903">
        <w:rPr>
          <w:noProof/>
        </w:rPr>
        <w:t>ułu ryzyka kredytowego</w:t>
      </w:r>
      <w:r w:rsidR="00A10903" w:rsidRPr="00A10903">
        <w:rPr>
          <w:noProof/>
        </w:rPr>
        <w:t>. W</w:t>
      </w:r>
      <w:r w:rsidR="00A10903">
        <w:rPr>
          <w:noProof/>
        </w:rPr>
        <w:t> </w:t>
      </w:r>
      <w:r w:rsidR="00A10903" w:rsidRPr="00A10903">
        <w:rPr>
          <w:noProof/>
        </w:rPr>
        <w:t>szc</w:t>
      </w:r>
      <w:r w:rsidR="009E6EC8" w:rsidRPr="00A10903">
        <w:rPr>
          <w:noProof/>
        </w:rPr>
        <w:t>zególności</w:t>
      </w:r>
      <w:r w:rsidR="00A10903" w:rsidRPr="00A10903">
        <w:rPr>
          <w:noProof/>
        </w:rPr>
        <w:t xml:space="preserve"> w</w:t>
      </w:r>
      <w:r w:rsidR="00A10903">
        <w:rPr>
          <w:noProof/>
        </w:rPr>
        <w:t> </w:t>
      </w:r>
      <w:r w:rsidR="00A10903" w:rsidRPr="00A10903">
        <w:rPr>
          <w:noProof/>
        </w:rPr>
        <w:t>prz</w:t>
      </w:r>
      <w:r w:rsidR="009E6EC8" w:rsidRPr="00A10903">
        <w:rPr>
          <w:noProof/>
        </w:rPr>
        <w:t>ypadku ekspozycji wobec instytucji można obecnie stosować wyłącznie podstawową metodę IRB (F-IRB),</w:t>
      </w:r>
      <w:r w:rsidR="00A10903" w:rsidRPr="00A10903">
        <w:rPr>
          <w:noProof/>
        </w:rPr>
        <w:t xml:space="preserve"> a</w:t>
      </w:r>
      <w:r w:rsidR="00A10903">
        <w:rPr>
          <w:noProof/>
        </w:rPr>
        <w:t> </w:t>
      </w:r>
      <w:r w:rsidR="00A10903" w:rsidRPr="00A10903">
        <w:rPr>
          <w:noProof/>
        </w:rPr>
        <w:t>w</w:t>
      </w:r>
      <w:r w:rsidR="00A10903">
        <w:rPr>
          <w:noProof/>
        </w:rPr>
        <w:t> </w:t>
      </w:r>
      <w:r w:rsidR="00A10903" w:rsidRPr="00A10903">
        <w:rPr>
          <w:noProof/>
        </w:rPr>
        <w:t>prz</w:t>
      </w:r>
      <w:r w:rsidR="009E6EC8" w:rsidRPr="00A10903">
        <w:rPr>
          <w:noProof/>
        </w:rPr>
        <w:t>ypadku ekspozycji kapitałowych dozwolone jest wyłącznie stosowanie metody standardowej,</w:t>
      </w:r>
      <w:r w:rsidR="00A10903" w:rsidRPr="00A10903">
        <w:rPr>
          <w:noProof/>
        </w:rPr>
        <w:t xml:space="preserve"> z</w:t>
      </w:r>
      <w:r w:rsidR="00A10903">
        <w:rPr>
          <w:noProof/>
        </w:rPr>
        <w:t> </w:t>
      </w:r>
      <w:r w:rsidR="00A10903" w:rsidRPr="00A10903">
        <w:rPr>
          <w:noProof/>
        </w:rPr>
        <w:t>wyj</w:t>
      </w:r>
      <w:r w:rsidR="009E6EC8" w:rsidRPr="00A10903">
        <w:rPr>
          <w:noProof/>
        </w:rPr>
        <w:t>ątkiem okresu przejściowego. Ponadto utworzono nowe kategorie ekspozycji dotyczące „samorządów regionalnych lub władz lokalnych” oraz „podmiotów sektora publicznego”, aby zapewnić spójne traktowanie tych ekspozycji</w:t>
      </w:r>
      <w:r w:rsidR="00A10903" w:rsidRPr="00A10903">
        <w:rPr>
          <w:noProof/>
        </w:rPr>
        <w:t xml:space="preserve"> i</w:t>
      </w:r>
      <w:r w:rsidR="00A10903">
        <w:rPr>
          <w:noProof/>
        </w:rPr>
        <w:t> </w:t>
      </w:r>
      <w:r w:rsidR="00A10903" w:rsidRPr="00A10903">
        <w:rPr>
          <w:noProof/>
        </w:rPr>
        <w:t>uni</w:t>
      </w:r>
      <w:r w:rsidR="009E6EC8" w:rsidRPr="00A10903">
        <w:rPr>
          <w:noProof/>
        </w:rPr>
        <w:t>knąć niezamierzonej zmienności</w:t>
      </w:r>
      <w:r w:rsidR="00A10903" w:rsidRPr="00A10903">
        <w:rPr>
          <w:noProof/>
        </w:rPr>
        <w:t xml:space="preserve"> w</w:t>
      </w:r>
      <w:r w:rsidR="00A10903">
        <w:rPr>
          <w:noProof/>
        </w:rPr>
        <w:t> </w:t>
      </w:r>
      <w:r w:rsidR="00A10903" w:rsidRPr="00A10903">
        <w:rPr>
          <w:noProof/>
        </w:rPr>
        <w:t>zwi</w:t>
      </w:r>
      <w:r w:rsidR="009E6EC8" w:rsidRPr="00A10903">
        <w:rPr>
          <w:noProof/>
        </w:rPr>
        <w:t>ązanych</w:t>
      </w:r>
      <w:r w:rsidR="00A10903" w:rsidRPr="00A10903">
        <w:rPr>
          <w:noProof/>
        </w:rPr>
        <w:t xml:space="preserve"> z</w:t>
      </w:r>
      <w:r w:rsidR="00A10903">
        <w:rPr>
          <w:noProof/>
        </w:rPr>
        <w:t> </w:t>
      </w:r>
      <w:r w:rsidR="00A10903" w:rsidRPr="00A10903">
        <w:rPr>
          <w:noProof/>
        </w:rPr>
        <w:t>nim</w:t>
      </w:r>
      <w:r w:rsidR="009E6EC8" w:rsidRPr="00A10903">
        <w:rPr>
          <w:noProof/>
        </w:rPr>
        <w:t>i wymogach</w:t>
      </w:r>
      <w:r w:rsidR="00A10903" w:rsidRPr="00A10903">
        <w:rPr>
          <w:noProof/>
        </w:rPr>
        <w:t xml:space="preserve"> w</w:t>
      </w:r>
      <w:r w:rsidR="00A10903">
        <w:rPr>
          <w:noProof/>
        </w:rPr>
        <w:t> </w:t>
      </w:r>
      <w:r w:rsidR="00A10903" w:rsidRPr="00A10903">
        <w:rPr>
          <w:noProof/>
        </w:rPr>
        <w:t>zak</w:t>
      </w:r>
      <w:r w:rsidR="009E6EC8" w:rsidRPr="00A10903">
        <w:rPr>
          <w:noProof/>
        </w:rPr>
        <w:t>resie funduszy własnych. Zmiany te powinny znaleźć odzwierciedlenie we wzorach do celów ujawniania informacji na temat stosowania metody IRB. Konieczne jest również dostosowanie struktury wzoru dotyczącego wpływu kredytowych instrumentów pochodnych, stosowanych jako techniki ograniczania ryzyka kredytowego, na kwoty ekspozycji ważonych ryzykiem do numeracji wierszy</w:t>
      </w:r>
      <w:r w:rsidR="00A10903" w:rsidRPr="00A10903">
        <w:rPr>
          <w:noProof/>
        </w:rPr>
        <w:t xml:space="preserve"> w</w:t>
      </w:r>
      <w:r w:rsidR="00A10903">
        <w:rPr>
          <w:noProof/>
        </w:rPr>
        <w:t> </w:t>
      </w:r>
      <w:r w:rsidR="00A10903" w:rsidRPr="00A10903">
        <w:rPr>
          <w:noProof/>
        </w:rPr>
        <w:t>odp</w:t>
      </w:r>
      <w:r w:rsidR="009E6EC8" w:rsidRPr="00A10903">
        <w:rPr>
          <w:noProof/>
        </w:rPr>
        <w:t xml:space="preserve">owiednim wzorze dotyczącym ujawniania informacji stosowanym przez Bazylejski Komitet Nadzoru Bankowego. </w:t>
      </w:r>
    </w:p>
    <w:p w:rsidR="000A5D79" w:rsidRPr="00A10903" w:rsidRDefault="00D26602" w:rsidP="00D26602">
      <w:pPr>
        <w:pStyle w:val="ManualConsidrant"/>
        <w:rPr>
          <w:noProof/>
          <w:sz w:val="22"/>
        </w:rPr>
      </w:pPr>
      <w:r w:rsidRPr="00D26602">
        <w:rPr>
          <w:noProof/>
        </w:rPr>
        <w:t>(12)</w:t>
      </w:r>
      <w:r w:rsidRPr="00D26602">
        <w:rPr>
          <w:noProof/>
        </w:rPr>
        <w:tab/>
      </w:r>
      <w:r w:rsidR="00E365AC" w:rsidRPr="00A10903">
        <w:rPr>
          <w:noProof/>
        </w:rPr>
        <w:t>Rozporządzeniem (UE) 2024/1623 wprowadzono do tytułu IV rozporządzenia (UE) nr</w:t>
      </w:r>
      <w:r w:rsidR="00A10903" w:rsidRPr="00A10903">
        <w:rPr>
          <w:noProof/>
        </w:rPr>
        <w:t> </w:t>
      </w:r>
      <w:r w:rsidR="00E365AC" w:rsidRPr="00A10903">
        <w:rPr>
          <w:noProof/>
        </w:rPr>
        <w:t>575/2013 nowe ramy obliczania wymogów</w:t>
      </w:r>
      <w:r w:rsidR="00A10903" w:rsidRPr="00A10903">
        <w:rPr>
          <w:noProof/>
        </w:rPr>
        <w:t xml:space="preserve"> w</w:t>
      </w:r>
      <w:r w:rsidR="00A10903">
        <w:rPr>
          <w:noProof/>
        </w:rPr>
        <w:t> </w:t>
      </w:r>
      <w:r w:rsidR="00A10903" w:rsidRPr="00A10903">
        <w:rPr>
          <w:noProof/>
        </w:rPr>
        <w:t>zak</w:t>
      </w:r>
      <w:r w:rsidR="00E365AC" w:rsidRPr="00A10903">
        <w:rPr>
          <w:noProof/>
        </w:rPr>
        <w:t>resie funduszy własnych</w:t>
      </w:r>
      <w:r w:rsidR="00A10903" w:rsidRPr="00A10903">
        <w:rPr>
          <w:noProof/>
        </w:rPr>
        <w:t xml:space="preserve"> z</w:t>
      </w:r>
      <w:r w:rsidR="00A10903">
        <w:rPr>
          <w:noProof/>
        </w:rPr>
        <w:t> </w:t>
      </w:r>
      <w:r w:rsidR="00A10903" w:rsidRPr="00A10903">
        <w:rPr>
          <w:noProof/>
        </w:rPr>
        <w:t>tyt</w:t>
      </w:r>
      <w:r w:rsidR="00E365AC" w:rsidRPr="00A10903">
        <w:rPr>
          <w:noProof/>
        </w:rPr>
        <w:t>ułu ryzyka rynkowego oparte na gruntownym przeglądzie portfela handlowego (FRTB) przeprowadzonym przez Bazylejski Komitet Nadzoru Bankowego.</w:t>
      </w:r>
      <w:r w:rsidR="00E365AC" w:rsidRPr="00A10903">
        <w:rPr>
          <w:noProof/>
          <w:color w:val="000000" w:themeColor="text1"/>
        </w:rPr>
        <w:t xml:space="preserve"> Zmiana ta była konieczna</w:t>
      </w:r>
      <w:r w:rsidR="00A10903" w:rsidRPr="00A10903">
        <w:rPr>
          <w:noProof/>
          <w:color w:val="000000" w:themeColor="text1"/>
        </w:rPr>
        <w:t xml:space="preserve"> w</w:t>
      </w:r>
      <w:r w:rsidR="00A10903">
        <w:rPr>
          <w:noProof/>
          <w:color w:val="000000" w:themeColor="text1"/>
        </w:rPr>
        <w:t> </w:t>
      </w:r>
      <w:r w:rsidR="00A10903" w:rsidRPr="00A10903">
        <w:rPr>
          <w:noProof/>
          <w:color w:val="000000" w:themeColor="text1"/>
        </w:rPr>
        <w:t>cel</w:t>
      </w:r>
      <w:r w:rsidR="00E365AC" w:rsidRPr="00A10903">
        <w:rPr>
          <w:noProof/>
          <w:color w:val="000000" w:themeColor="text1"/>
        </w:rPr>
        <w:t>u wyeliminowania niedociągnięć stwierdzonych</w:t>
      </w:r>
      <w:r w:rsidR="00A10903" w:rsidRPr="00A10903">
        <w:rPr>
          <w:noProof/>
          <w:color w:val="000000" w:themeColor="text1"/>
        </w:rPr>
        <w:t xml:space="preserve"> w</w:t>
      </w:r>
      <w:r w:rsidR="00A10903">
        <w:rPr>
          <w:noProof/>
          <w:color w:val="000000" w:themeColor="text1"/>
        </w:rPr>
        <w:t> </w:t>
      </w:r>
      <w:r w:rsidR="00A10903" w:rsidRPr="00A10903">
        <w:rPr>
          <w:noProof/>
          <w:color w:val="000000" w:themeColor="text1"/>
        </w:rPr>
        <w:t>obe</w:t>
      </w:r>
      <w:r w:rsidR="00E365AC" w:rsidRPr="00A10903">
        <w:rPr>
          <w:noProof/>
          <w:color w:val="000000" w:themeColor="text1"/>
        </w:rPr>
        <w:t>cnych ramach dotyczących wymogów kapitałowych</w:t>
      </w:r>
      <w:r w:rsidR="00A10903" w:rsidRPr="00A10903">
        <w:rPr>
          <w:noProof/>
          <w:color w:val="000000" w:themeColor="text1"/>
        </w:rPr>
        <w:t xml:space="preserve"> z</w:t>
      </w:r>
      <w:r w:rsidR="00A10903">
        <w:rPr>
          <w:noProof/>
          <w:color w:val="000000" w:themeColor="text1"/>
        </w:rPr>
        <w:t> </w:t>
      </w:r>
      <w:r w:rsidR="00A10903" w:rsidRPr="00A10903">
        <w:rPr>
          <w:noProof/>
          <w:color w:val="000000" w:themeColor="text1"/>
        </w:rPr>
        <w:t>tyt</w:t>
      </w:r>
      <w:r w:rsidR="00E365AC" w:rsidRPr="00A10903">
        <w:rPr>
          <w:noProof/>
          <w:color w:val="000000" w:themeColor="text1"/>
        </w:rPr>
        <w:t>ułu ryzyka rynkowego</w:t>
      </w:r>
      <w:r w:rsidR="00A10903" w:rsidRPr="00A10903">
        <w:rPr>
          <w:noProof/>
          <w:color w:val="000000" w:themeColor="text1"/>
        </w:rPr>
        <w:t xml:space="preserve"> w</w:t>
      </w:r>
      <w:r w:rsidR="00A10903">
        <w:rPr>
          <w:noProof/>
          <w:color w:val="000000" w:themeColor="text1"/>
        </w:rPr>
        <w:t> </w:t>
      </w:r>
      <w:r w:rsidR="00A10903" w:rsidRPr="00A10903">
        <w:rPr>
          <w:noProof/>
          <w:color w:val="000000" w:themeColor="text1"/>
        </w:rPr>
        <w:t>odn</w:t>
      </w:r>
      <w:r w:rsidR="00E365AC" w:rsidRPr="00A10903">
        <w:rPr>
          <w:noProof/>
          <w:color w:val="000000" w:themeColor="text1"/>
        </w:rPr>
        <w:t>iesieniu do pozycji portfela handlowego. Zgodnie</w:t>
      </w:r>
      <w:r w:rsidR="00A10903" w:rsidRPr="00A10903">
        <w:rPr>
          <w:noProof/>
          <w:color w:val="000000" w:themeColor="text1"/>
        </w:rPr>
        <w:t xml:space="preserve"> z</w:t>
      </w:r>
      <w:r w:rsidR="00A10903">
        <w:rPr>
          <w:noProof/>
          <w:color w:val="000000" w:themeColor="text1"/>
        </w:rPr>
        <w:t> </w:t>
      </w:r>
      <w:r w:rsidR="00A10903" w:rsidRPr="00A10903">
        <w:rPr>
          <w:noProof/>
          <w:color w:val="000000" w:themeColor="text1"/>
        </w:rPr>
        <w:t>now</w:t>
      </w:r>
      <w:r w:rsidR="00E365AC" w:rsidRPr="00A10903">
        <w:rPr>
          <w:noProof/>
          <w:color w:val="000000" w:themeColor="text1"/>
        </w:rPr>
        <w:t>ymi ramami do obliczania wymogów</w:t>
      </w:r>
      <w:r w:rsidR="00A10903" w:rsidRPr="00A10903">
        <w:rPr>
          <w:noProof/>
          <w:color w:val="000000" w:themeColor="text1"/>
        </w:rPr>
        <w:t xml:space="preserve"> w</w:t>
      </w:r>
      <w:r w:rsidR="00A10903">
        <w:rPr>
          <w:noProof/>
          <w:color w:val="000000" w:themeColor="text1"/>
        </w:rPr>
        <w:t> </w:t>
      </w:r>
      <w:r w:rsidR="00A10903" w:rsidRPr="00A10903">
        <w:rPr>
          <w:noProof/>
          <w:color w:val="000000" w:themeColor="text1"/>
        </w:rPr>
        <w:t>zak</w:t>
      </w:r>
      <w:r w:rsidR="00E365AC" w:rsidRPr="00A10903">
        <w:rPr>
          <w:noProof/>
          <w:color w:val="000000" w:themeColor="text1"/>
        </w:rPr>
        <w:t>resie funduszy własnych</w:t>
      </w:r>
      <w:r w:rsidR="00A10903" w:rsidRPr="00A10903">
        <w:rPr>
          <w:noProof/>
          <w:color w:val="000000" w:themeColor="text1"/>
        </w:rPr>
        <w:t xml:space="preserve"> z</w:t>
      </w:r>
      <w:r w:rsidR="00A10903">
        <w:rPr>
          <w:noProof/>
          <w:color w:val="000000" w:themeColor="text1"/>
        </w:rPr>
        <w:t> </w:t>
      </w:r>
      <w:r w:rsidR="00A10903" w:rsidRPr="00A10903">
        <w:rPr>
          <w:noProof/>
          <w:color w:val="000000" w:themeColor="text1"/>
        </w:rPr>
        <w:t>tyt</w:t>
      </w:r>
      <w:r w:rsidR="00E365AC" w:rsidRPr="00A10903">
        <w:rPr>
          <w:noProof/>
          <w:color w:val="000000" w:themeColor="text1"/>
        </w:rPr>
        <w:t>ułu ryzyka rynkowego instytucje mają stosować uproszczoną metodę standardową, alternatywną metodę standardową lub alternatywną metodę modeli wewnętrznych. Zmiany te powinny zostać odzwierciedlone we wzorach do celów ujawniania informacji poprzez wprowadzenie kompleksowego zestawu tabel</w:t>
      </w:r>
      <w:r w:rsidR="00A10903" w:rsidRPr="00A10903">
        <w:rPr>
          <w:noProof/>
          <w:color w:val="000000" w:themeColor="text1"/>
        </w:rPr>
        <w:t xml:space="preserve"> i</w:t>
      </w:r>
      <w:r w:rsidR="00A10903">
        <w:rPr>
          <w:noProof/>
          <w:color w:val="000000" w:themeColor="text1"/>
        </w:rPr>
        <w:t> </w:t>
      </w:r>
      <w:r w:rsidR="00A10903" w:rsidRPr="00A10903">
        <w:rPr>
          <w:noProof/>
          <w:color w:val="000000" w:themeColor="text1"/>
        </w:rPr>
        <w:t>wzo</w:t>
      </w:r>
      <w:r w:rsidR="00E365AC" w:rsidRPr="00A10903">
        <w:rPr>
          <w:noProof/>
          <w:color w:val="000000" w:themeColor="text1"/>
        </w:rPr>
        <w:t>rów do celów ujawniania informacji. Ten nowy zestaw tabel</w:t>
      </w:r>
      <w:r w:rsidR="00A10903" w:rsidRPr="00A10903">
        <w:rPr>
          <w:noProof/>
          <w:color w:val="000000" w:themeColor="text1"/>
        </w:rPr>
        <w:t xml:space="preserve"> i</w:t>
      </w:r>
      <w:r w:rsidR="00A10903">
        <w:rPr>
          <w:noProof/>
          <w:color w:val="000000" w:themeColor="text1"/>
        </w:rPr>
        <w:t> </w:t>
      </w:r>
      <w:r w:rsidR="00A10903" w:rsidRPr="00A10903">
        <w:rPr>
          <w:noProof/>
          <w:color w:val="000000" w:themeColor="text1"/>
        </w:rPr>
        <w:t>wzo</w:t>
      </w:r>
      <w:r w:rsidR="00E365AC" w:rsidRPr="00A10903">
        <w:rPr>
          <w:noProof/>
          <w:color w:val="000000" w:themeColor="text1"/>
        </w:rPr>
        <w:t>rów do celów ujawniania informacji powinien zostać wdrożony, gdy ramy regulacyjne dotyczące ryzyka rynkowego oparte na bazylejskich standardach FRTB zaczną obowiązywać</w:t>
      </w:r>
      <w:r w:rsidR="00A10903" w:rsidRPr="00A10903">
        <w:rPr>
          <w:noProof/>
          <w:color w:val="000000" w:themeColor="text1"/>
        </w:rPr>
        <w:t xml:space="preserve"> w</w:t>
      </w:r>
      <w:r w:rsidR="00A10903">
        <w:rPr>
          <w:noProof/>
          <w:color w:val="000000" w:themeColor="text1"/>
        </w:rPr>
        <w:t> </w:t>
      </w:r>
      <w:r w:rsidR="00A10903" w:rsidRPr="00A10903">
        <w:rPr>
          <w:noProof/>
          <w:color w:val="000000" w:themeColor="text1"/>
        </w:rPr>
        <w:t>Uni</w:t>
      </w:r>
      <w:r w:rsidR="00E365AC" w:rsidRPr="00A10903">
        <w:rPr>
          <w:noProof/>
          <w:color w:val="000000" w:themeColor="text1"/>
        </w:rPr>
        <w:t>i. Do tego czasu nadal powinny mieć zastosowanie obecnie obowiązujące wymogi dotyczące ujawniania informacji</w:t>
      </w:r>
      <w:r w:rsidR="00A10903" w:rsidRPr="00A10903">
        <w:rPr>
          <w:noProof/>
          <w:color w:val="000000" w:themeColor="text1"/>
        </w:rPr>
        <w:t>. W</w:t>
      </w:r>
      <w:r w:rsidR="00A10903">
        <w:rPr>
          <w:noProof/>
          <w:color w:val="000000" w:themeColor="text1"/>
        </w:rPr>
        <w:t> </w:t>
      </w:r>
      <w:r w:rsidR="00A10903" w:rsidRPr="00A10903">
        <w:rPr>
          <w:noProof/>
          <w:color w:val="000000" w:themeColor="text1"/>
        </w:rPr>
        <w:t>cel</w:t>
      </w:r>
      <w:r w:rsidR="00E365AC" w:rsidRPr="00A10903">
        <w:rPr>
          <w:noProof/>
          <w:color w:val="000000" w:themeColor="text1"/>
        </w:rPr>
        <w:t>u kompleksowego zrozumienia stosowania tej nowej metody instytucje stosujące alternatywną metodę modeli wewnętrznych powinny –</w:t>
      </w:r>
      <w:r w:rsidR="00A10903" w:rsidRPr="00A10903">
        <w:rPr>
          <w:noProof/>
          <w:color w:val="000000" w:themeColor="text1"/>
        </w:rPr>
        <w:t xml:space="preserve"> w</w:t>
      </w:r>
      <w:r w:rsidR="00A10903">
        <w:rPr>
          <w:noProof/>
          <w:color w:val="000000" w:themeColor="text1"/>
        </w:rPr>
        <w:t> </w:t>
      </w:r>
      <w:r w:rsidR="00A10903" w:rsidRPr="00A10903">
        <w:rPr>
          <w:noProof/>
          <w:color w:val="000000" w:themeColor="text1"/>
        </w:rPr>
        <w:t>pie</w:t>
      </w:r>
      <w:r w:rsidR="00E365AC" w:rsidRPr="00A10903">
        <w:rPr>
          <w:noProof/>
          <w:color w:val="000000" w:themeColor="text1"/>
        </w:rPr>
        <w:t>rwszym dniu stosowania nowych ram dotyczących ujawniania informacji – ujawnić informacje ilościowe wraz</w:t>
      </w:r>
      <w:r w:rsidR="00A10903" w:rsidRPr="00A10903">
        <w:rPr>
          <w:noProof/>
          <w:color w:val="000000" w:themeColor="text1"/>
        </w:rPr>
        <w:t xml:space="preserve"> z</w:t>
      </w:r>
      <w:r w:rsidR="00A10903">
        <w:rPr>
          <w:noProof/>
          <w:color w:val="000000" w:themeColor="text1"/>
        </w:rPr>
        <w:t> </w:t>
      </w:r>
      <w:r w:rsidR="00A10903" w:rsidRPr="00A10903">
        <w:rPr>
          <w:noProof/>
          <w:color w:val="000000" w:themeColor="text1"/>
        </w:rPr>
        <w:t>inf</w:t>
      </w:r>
      <w:r w:rsidR="00E365AC" w:rsidRPr="00A10903">
        <w:rPr>
          <w:noProof/>
          <w:color w:val="000000" w:themeColor="text1"/>
        </w:rPr>
        <w:t xml:space="preserve">ormacjami jakościowymi. </w:t>
      </w:r>
    </w:p>
    <w:p w:rsidR="000A5D79" w:rsidRPr="00A10903" w:rsidRDefault="00D26602" w:rsidP="00D26602">
      <w:pPr>
        <w:pStyle w:val="ManualConsidrant"/>
        <w:rPr>
          <w:noProof/>
        </w:rPr>
      </w:pPr>
      <w:r w:rsidRPr="00D26602">
        <w:rPr>
          <w:noProof/>
        </w:rPr>
        <w:t>(13)</w:t>
      </w:r>
      <w:r w:rsidRPr="00D26602">
        <w:rPr>
          <w:noProof/>
        </w:rPr>
        <w:tab/>
      </w:r>
      <w:r w:rsidR="00990CED" w:rsidRPr="00A10903">
        <w:rPr>
          <w:noProof/>
        </w:rPr>
        <w:t>Należy ustanowić jednolite formaty ujawniania informacji</w:t>
      </w:r>
      <w:r w:rsidR="00A10903" w:rsidRPr="00A10903">
        <w:rPr>
          <w:noProof/>
        </w:rPr>
        <w:t xml:space="preserve"> w</w:t>
      </w:r>
      <w:r w:rsidR="00A10903">
        <w:rPr>
          <w:noProof/>
        </w:rPr>
        <w:t> </w:t>
      </w:r>
      <w:r w:rsidR="00A10903" w:rsidRPr="00A10903">
        <w:rPr>
          <w:noProof/>
        </w:rPr>
        <w:t>cel</w:t>
      </w:r>
      <w:r w:rsidR="00990CED" w:rsidRPr="00A10903">
        <w:rPr>
          <w:noProof/>
        </w:rPr>
        <w:t>u zapewnienia jednolitego</w:t>
      </w:r>
      <w:r w:rsidR="00A10903" w:rsidRPr="00A10903">
        <w:rPr>
          <w:noProof/>
        </w:rPr>
        <w:t xml:space="preserve"> i</w:t>
      </w:r>
      <w:r w:rsidR="00A10903">
        <w:rPr>
          <w:noProof/>
        </w:rPr>
        <w:t> </w:t>
      </w:r>
      <w:r w:rsidR="00A10903" w:rsidRPr="00A10903">
        <w:rPr>
          <w:noProof/>
        </w:rPr>
        <w:t>por</w:t>
      </w:r>
      <w:r w:rsidR="00990CED" w:rsidRPr="00A10903">
        <w:rPr>
          <w:noProof/>
        </w:rPr>
        <w:t>ównywalnego ujawniania informacji na temat ryzyka związanego</w:t>
      </w:r>
      <w:r w:rsidR="00A10903" w:rsidRPr="00A10903">
        <w:rPr>
          <w:noProof/>
        </w:rPr>
        <w:t xml:space="preserve"> z</w:t>
      </w:r>
      <w:r w:rsidR="00A10903">
        <w:rPr>
          <w:noProof/>
        </w:rPr>
        <w:t> </w:t>
      </w:r>
      <w:r w:rsidR="00A10903" w:rsidRPr="00A10903">
        <w:rPr>
          <w:noProof/>
        </w:rPr>
        <w:t>kor</w:t>
      </w:r>
      <w:r w:rsidR="00990CED" w:rsidRPr="00A10903">
        <w:rPr>
          <w:noProof/>
        </w:rPr>
        <w:t>ektą wyceny kredytowej („CVA”)</w:t>
      </w:r>
      <w:r w:rsidR="00A10903" w:rsidRPr="00A10903">
        <w:rPr>
          <w:noProof/>
        </w:rPr>
        <w:t>. W</w:t>
      </w:r>
      <w:r w:rsidR="00A10903">
        <w:rPr>
          <w:noProof/>
        </w:rPr>
        <w:t> </w:t>
      </w:r>
      <w:r w:rsidR="00A10903" w:rsidRPr="00A10903">
        <w:rPr>
          <w:noProof/>
        </w:rPr>
        <w:t>tym</w:t>
      </w:r>
      <w:r w:rsidR="00990CED" w:rsidRPr="00A10903">
        <w:rPr>
          <w:noProof/>
        </w:rPr>
        <w:t xml:space="preserve"> celu konieczne jest wprowadzenie nowych wzorów</w:t>
      </w:r>
      <w:r w:rsidR="00A10903" w:rsidRPr="00A10903">
        <w:rPr>
          <w:noProof/>
        </w:rPr>
        <w:t xml:space="preserve"> i</w:t>
      </w:r>
      <w:r w:rsidR="00A10903">
        <w:rPr>
          <w:noProof/>
        </w:rPr>
        <w:t> </w:t>
      </w:r>
      <w:r w:rsidR="00A10903" w:rsidRPr="00A10903">
        <w:rPr>
          <w:noProof/>
        </w:rPr>
        <w:t>tab</w:t>
      </w:r>
      <w:r w:rsidR="00990CED" w:rsidRPr="00A10903">
        <w:rPr>
          <w:noProof/>
        </w:rPr>
        <w:t>el do celów ujawniania informacji, obejmujących informacje ilościowe</w:t>
      </w:r>
      <w:r w:rsidR="00A10903" w:rsidRPr="00A10903">
        <w:rPr>
          <w:noProof/>
        </w:rPr>
        <w:t xml:space="preserve"> i</w:t>
      </w:r>
      <w:r w:rsidR="00A10903">
        <w:rPr>
          <w:noProof/>
        </w:rPr>
        <w:t> </w:t>
      </w:r>
      <w:r w:rsidR="00A10903" w:rsidRPr="00A10903">
        <w:rPr>
          <w:noProof/>
        </w:rPr>
        <w:t>jak</w:t>
      </w:r>
      <w:r w:rsidR="00990CED" w:rsidRPr="00A10903">
        <w:rPr>
          <w:noProof/>
        </w:rPr>
        <w:t>ościowe na temat ryzyka związanego z CVA. We wzorach tych należy uwzględnić fakt, że instytucje podlegające wymogom</w:t>
      </w:r>
      <w:r w:rsidR="00A10903" w:rsidRPr="00A10903">
        <w:rPr>
          <w:noProof/>
        </w:rPr>
        <w:t xml:space="preserve"> w</w:t>
      </w:r>
      <w:r w:rsidR="00A10903">
        <w:rPr>
          <w:noProof/>
        </w:rPr>
        <w:t> </w:t>
      </w:r>
      <w:r w:rsidR="00A10903" w:rsidRPr="00A10903">
        <w:rPr>
          <w:noProof/>
        </w:rPr>
        <w:t>zak</w:t>
      </w:r>
      <w:r w:rsidR="00990CED" w:rsidRPr="00A10903">
        <w:rPr>
          <w:noProof/>
        </w:rPr>
        <w:t>resie funduszy własnych</w:t>
      </w:r>
      <w:r w:rsidR="00A10903" w:rsidRPr="00A10903">
        <w:rPr>
          <w:noProof/>
        </w:rPr>
        <w:t xml:space="preserve"> z</w:t>
      </w:r>
      <w:r w:rsidR="00A10903">
        <w:rPr>
          <w:noProof/>
        </w:rPr>
        <w:t> </w:t>
      </w:r>
      <w:r w:rsidR="00A10903" w:rsidRPr="00A10903">
        <w:rPr>
          <w:noProof/>
        </w:rPr>
        <w:t>tyt</w:t>
      </w:r>
      <w:r w:rsidR="00990CED" w:rsidRPr="00A10903">
        <w:rPr>
          <w:noProof/>
        </w:rPr>
        <w:t>ułu ryzyka związanego z CVA mogą stosować metodę standardową, podstawową lub uproszczoną lub kombinację tych metod oraz że ryzyko związane z CVA powinno obejmować zarówno ryzyko spreadu kredytowego kontrahenta instytucji, jak</w:t>
      </w:r>
      <w:r w:rsidR="00A10903" w:rsidRPr="00A10903">
        <w:rPr>
          <w:noProof/>
        </w:rPr>
        <w:t xml:space="preserve"> i</w:t>
      </w:r>
      <w:r w:rsidR="00A10903">
        <w:rPr>
          <w:noProof/>
        </w:rPr>
        <w:t> </w:t>
      </w:r>
      <w:r w:rsidR="00A10903" w:rsidRPr="00A10903">
        <w:rPr>
          <w:noProof/>
        </w:rPr>
        <w:t>ryz</w:t>
      </w:r>
      <w:r w:rsidR="00990CED" w:rsidRPr="00A10903">
        <w:rPr>
          <w:noProof/>
        </w:rPr>
        <w:t>yko rynkowe portfela transakcji zawieranych przez tę instytucję</w:t>
      </w:r>
      <w:r w:rsidR="00A10903" w:rsidRPr="00A10903">
        <w:rPr>
          <w:noProof/>
        </w:rPr>
        <w:t xml:space="preserve"> z</w:t>
      </w:r>
      <w:r w:rsidR="00A10903">
        <w:rPr>
          <w:noProof/>
        </w:rPr>
        <w:t> </w:t>
      </w:r>
      <w:r w:rsidR="00A10903" w:rsidRPr="00A10903">
        <w:rPr>
          <w:noProof/>
        </w:rPr>
        <w:t>tym</w:t>
      </w:r>
      <w:r w:rsidR="00990CED" w:rsidRPr="00A10903">
        <w:rPr>
          <w:noProof/>
        </w:rPr>
        <w:t xml:space="preserve"> kontrahentem.</w:t>
      </w:r>
    </w:p>
    <w:p w:rsidR="000A5D79" w:rsidRPr="00A10903" w:rsidRDefault="00D26602" w:rsidP="00D26602">
      <w:pPr>
        <w:pStyle w:val="ManualConsidrant"/>
        <w:rPr>
          <w:noProof/>
          <w:color w:val="000000"/>
        </w:rPr>
      </w:pPr>
      <w:r w:rsidRPr="00D26602">
        <w:rPr>
          <w:noProof/>
        </w:rPr>
        <w:t>(14)</w:t>
      </w:r>
      <w:r w:rsidRPr="00D26602">
        <w:rPr>
          <w:noProof/>
        </w:rPr>
        <w:tab/>
      </w:r>
      <w:r w:rsidR="000A5D79" w:rsidRPr="00A10903">
        <w:rPr>
          <w:noProof/>
        </w:rPr>
        <w:t xml:space="preserve">Rozporządzeniem (UE) 2024/1623 wprowadzono do tytułu III rozdział 1 </w:t>
      </w:r>
      <w:bookmarkStart w:id="1" w:name="_Hlk174954474"/>
      <w:r w:rsidR="000A5D79" w:rsidRPr="00A10903">
        <w:rPr>
          <w:noProof/>
        </w:rPr>
        <w:t>rozporządzenia (UE) nr</w:t>
      </w:r>
      <w:r w:rsidR="00A10903" w:rsidRPr="00A10903">
        <w:rPr>
          <w:noProof/>
        </w:rPr>
        <w:t> </w:t>
      </w:r>
      <w:r w:rsidR="000A5D79" w:rsidRPr="00A10903">
        <w:rPr>
          <w:noProof/>
        </w:rPr>
        <w:t>575/2013</w:t>
      </w:r>
      <w:bookmarkEnd w:id="1"/>
      <w:r w:rsidR="000A5D79" w:rsidRPr="00A10903">
        <w:rPr>
          <w:noProof/>
        </w:rPr>
        <w:t xml:space="preserve"> jedną nieopartą na modelu metodę obliczania wymogów</w:t>
      </w:r>
      <w:r w:rsidR="00A10903" w:rsidRPr="00A10903">
        <w:rPr>
          <w:noProof/>
        </w:rPr>
        <w:t xml:space="preserve"> w</w:t>
      </w:r>
      <w:r w:rsidR="00A10903">
        <w:rPr>
          <w:noProof/>
        </w:rPr>
        <w:t> </w:t>
      </w:r>
      <w:r w:rsidR="00A10903" w:rsidRPr="00A10903">
        <w:rPr>
          <w:noProof/>
        </w:rPr>
        <w:t>zak</w:t>
      </w:r>
      <w:r w:rsidR="000A5D79" w:rsidRPr="00A10903">
        <w:rPr>
          <w:noProof/>
        </w:rPr>
        <w:t>resie funduszy własnych</w:t>
      </w:r>
      <w:r w:rsidR="00A10903" w:rsidRPr="00A10903">
        <w:rPr>
          <w:noProof/>
        </w:rPr>
        <w:t xml:space="preserve"> z</w:t>
      </w:r>
      <w:r w:rsidR="00A10903">
        <w:rPr>
          <w:noProof/>
        </w:rPr>
        <w:t> </w:t>
      </w:r>
      <w:r w:rsidR="00A10903" w:rsidRPr="00A10903">
        <w:rPr>
          <w:noProof/>
        </w:rPr>
        <w:t>tyt</w:t>
      </w:r>
      <w:r w:rsidR="000A5D79" w:rsidRPr="00A10903">
        <w:rPr>
          <w:noProof/>
        </w:rPr>
        <w:t>ułu ryzyka operacyjnego, aby zaradzić brakowi wrażliwości na ryzyko</w:t>
      </w:r>
      <w:r w:rsidR="00A10903" w:rsidRPr="00A10903">
        <w:rPr>
          <w:noProof/>
        </w:rPr>
        <w:t xml:space="preserve"> i</w:t>
      </w:r>
      <w:r w:rsidR="00A10903">
        <w:rPr>
          <w:noProof/>
        </w:rPr>
        <w:t> </w:t>
      </w:r>
      <w:r w:rsidR="00A10903" w:rsidRPr="00A10903">
        <w:rPr>
          <w:noProof/>
        </w:rPr>
        <w:t>bra</w:t>
      </w:r>
      <w:r w:rsidR="000A5D79" w:rsidRPr="00A10903">
        <w:rPr>
          <w:noProof/>
        </w:rPr>
        <w:t>kowi porównywalności dotychczasowych metod.</w:t>
      </w:r>
      <w:r w:rsidR="000A5D79" w:rsidRPr="00A10903">
        <w:rPr>
          <w:noProof/>
          <w:color w:val="000000"/>
        </w:rPr>
        <w:t xml:space="preserve"> Zgodnie</w:t>
      </w:r>
      <w:r w:rsidR="00A10903" w:rsidRPr="00A10903">
        <w:rPr>
          <w:noProof/>
          <w:color w:val="000000"/>
        </w:rPr>
        <w:t xml:space="preserve"> z</w:t>
      </w:r>
      <w:r w:rsidR="00A10903">
        <w:rPr>
          <w:noProof/>
          <w:color w:val="000000"/>
        </w:rPr>
        <w:t> </w:t>
      </w:r>
      <w:r w:rsidR="00A10903" w:rsidRPr="00A10903">
        <w:rPr>
          <w:noProof/>
          <w:color w:val="000000"/>
        </w:rPr>
        <w:t>mar</w:t>
      </w:r>
      <w:r w:rsidR="000A5D79" w:rsidRPr="00A10903">
        <w:rPr>
          <w:noProof/>
          <w:color w:val="000000"/>
        </w:rPr>
        <w:t>ginesem swobody przewidzianym</w:t>
      </w:r>
      <w:r w:rsidR="00A10903" w:rsidRPr="00A10903">
        <w:rPr>
          <w:noProof/>
          <w:color w:val="000000"/>
        </w:rPr>
        <w:t xml:space="preserve"> w</w:t>
      </w:r>
      <w:r w:rsidR="00A10903">
        <w:rPr>
          <w:noProof/>
          <w:color w:val="000000"/>
        </w:rPr>
        <w:t> </w:t>
      </w:r>
      <w:r w:rsidR="00A10903" w:rsidRPr="00A10903">
        <w:rPr>
          <w:noProof/>
          <w:color w:val="000000"/>
        </w:rPr>
        <w:t>pak</w:t>
      </w:r>
      <w:r w:rsidR="000A5D79" w:rsidRPr="00A10903">
        <w:rPr>
          <w:noProof/>
          <w:color w:val="000000"/>
        </w:rPr>
        <w:t>iecie Bazylea III minimalne unijne wymogi</w:t>
      </w:r>
      <w:r w:rsidR="00A10903" w:rsidRPr="00A10903">
        <w:rPr>
          <w:noProof/>
          <w:color w:val="000000"/>
        </w:rPr>
        <w:t xml:space="preserve"> w</w:t>
      </w:r>
      <w:r w:rsidR="00A10903">
        <w:rPr>
          <w:noProof/>
          <w:color w:val="000000"/>
        </w:rPr>
        <w:t> </w:t>
      </w:r>
      <w:r w:rsidR="00A10903" w:rsidRPr="00A10903">
        <w:rPr>
          <w:noProof/>
          <w:color w:val="000000"/>
        </w:rPr>
        <w:t>zak</w:t>
      </w:r>
      <w:r w:rsidR="000A5D79" w:rsidRPr="00A10903">
        <w:rPr>
          <w:noProof/>
          <w:color w:val="000000"/>
        </w:rPr>
        <w:t>resie funduszy własnych opierają się wyłącznie na obliczeniu wskaźnika biznesowego skorygowanego</w:t>
      </w:r>
      <w:r w:rsidR="00A10903" w:rsidRPr="00A10903">
        <w:rPr>
          <w:noProof/>
          <w:color w:val="000000"/>
        </w:rPr>
        <w:t xml:space="preserve"> o</w:t>
      </w:r>
      <w:r w:rsidR="00A10903">
        <w:rPr>
          <w:noProof/>
          <w:color w:val="000000"/>
        </w:rPr>
        <w:t> </w:t>
      </w:r>
      <w:r w:rsidR="00A10903" w:rsidRPr="00A10903">
        <w:rPr>
          <w:noProof/>
          <w:color w:val="000000"/>
        </w:rPr>
        <w:t>wsp</w:t>
      </w:r>
      <w:r w:rsidR="000A5D79" w:rsidRPr="00A10903">
        <w:rPr>
          <w:noProof/>
          <w:color w:val="000000"/>
        </w:rPr>
        <w:t xml:space="preserve">ółczynniki krańcowe (BIC), natomiast historię strat uwzględnia się wyłącznie do celów ujawniania informacji. </w:t>
      </w:r>
      <w:r w:rsidR="000A5D79" w:rsidRPr="00A10903">
        <w:rPr>
          <w:noProof/>
        </w:rPr>
        <w:t>Zmiany te powinny znaleźć odzwierciedlenie we wzorach do celów ujawniania informacji, między innymi poprzez ustanowienie nowych wzorów obejmujących informacje na temat rocznych strat operacyjnych poniesionych</w:t>
      </w:r>
      <w:r w:rsidR="00A10903" w:rsidRPr="00A10903">
        <w:rPr>
          <w:noProof/>
        </w:rPr>
        <w:t xml:space="preserve"> w</w:t>
      </w:r>
      <w:r w:rsidR="00A10903">
        <w:rPr>
          <w:noProof/>
        </w:rPr>
        <w:t> </w:t>
      </w:r>
      <w:r w:rsidR="00A10903" w:rsidRPr="00A10903">
        <w:rPr>
          <w:noProof/>
        </w:rPr>
        <w:t>cią</w:t>
      </w:r>
      <w:r w:rsidR="000A5D79" w:rsidRPr="00A10903">
        <w:rPr>
          <w:noProof/>
        </w:rPr>
        <w:t>gu ostatnich 10 lat, obliczania wskaźnika biznesowego, jego składników</w:t>
      </w:r>
      <w:r w:rsidR="00A10903" w:rsidRPr="00A10903">
        <w:rPr>
          <w:noProof/>
        </w:rPr>
        <w:t xml:space="preserve"> i</w:t>
      </w:r>
      <w:r w:rsidR="00A10903">
        <w:rPr>
          <w:noProof/>
        </w:rPr>
        <w:t> </w:t>
      </w:r>
      <w:r w:rsidR="00A10903" w:rsidRPr="00A10903">
        <w:rPr>
          <w:noProof/>
        </w:rPr>
        <w:t>ele</w:t>
      </w:r>
      <w:r w:rsidR="000A5D79" w:rsidRPr="00A10903">
        <w:rPr>
          <w:noProof/>
        </w:rPr>
        <w:t>mentów składowych oraz powiązanych wymogów</w:t>
      </w:r>
      <w:r w:rsidR="00A10903" w:rsidRPr="00A10903">
        <w:rPr>
          <w:noProof/>
        </w:rPr>
        <w:t xml:space="preserve"> w</w:t>
      </w:r>
      <w:r w:rsidR="00A10903">
        <w:rPr>
          <w:noProof/>
        </w:rPr>
        <w:t> </w:t>
      </w:r>
      <w:r w:rsidR="00A10903" w:rsidRPr="00A10903">
        <w:rPr>
          <w:noProof/>
        </w:rPr>
        <w:t>zak</w:t>
      </w:r>
      <w:r w:rsidR="000A5D79" w:rsidRPr="00A10903">
        <w:rPr>
          <w:noProof/>
        </w:rPr>
        <w:t>resie funduszy własnych</w:t>
      </w:r>
      <w:r w:rsidR="00A10903" w:rsidRPr="00A10903">
        <w:rPr>
          <w:noProof/>
        </w:rPr>
        <w:t xml:space="preserve"> i</w:t>
      </w:r>
      <w:r w:rsidR="00A10903">
        <w:rPr>
          <w:noProof/>
        </w:rPr>
        <w:t> </w:t>
      </w:r>
      <w:r w:rsidR="00A10903" w:rsidRPr="00A10903">
        <w:rPr>
          <w:noProof/>
        </w:rPr>
        <w:t>kwo</w:t>
      </w:r>
      <w:r w:rsidR="000A5D79" w:rsidRPr="00A10903">
        <w:rPr>
          <w:noProof/>
        </w:rPr>
        <w:t>t ekspozycji na ryzyko.</w:t>
      </w:r>
    </w:p>
    <w:p w:rsidR="00A81627" w:rsidRPr="00A10903" w:rsidRDefault="00D26602" w:rsidP="00D26602">
      <w:pPr>
        <w:pStyle w:val="ManualConsidrant"/>
        <w:rPr>
          <w:noProof/>
        </w:rPr>
      </w:pPr>
      <w:r w:rsidRPr="00D26602">
        <w:rPr>
          <w:noProof/>
        </w:rPr>
        <w:t>(15)</w:t>
      </w:r>
      <w:r w:rsidRPr="00D26602">
        <w:rPr>
          <w:noProof/>
        </w:rPr>
        <w:tab/>
      </w:r>
      <w:r w:rsidR="000A5D79" w:rsidRPr="00A10903">
        <w:rPr>
          <w:noProof/>
        </w:rPr>
        <w:t>W art.</w:t>
      </w:r>
      <w:r w:rsidR="00A10903" w:rsidRPr="00A10903">
        <w:rPr>
          <w:noProof/>
        </w:rPr>
        <w:t> </w:t>
      </w:r>
      <w:r w:rsidR="000A5D79" w:rsidRPr="00A10903">
        <w:rPr>
          <w:noProof/>
        </w:rPr>
        <w:t>501d ust.</w:t>
      </w:r>
      <w:r w:rsidR="00A10903" w:rsidRPr="00A10903">
        <w:rPr>
          <w:noProof/>
        </w:rPr>
        <w:t> </w:t>
      </w:r>
      <w:r w:rsidR="000A5D79" w:rsidRPr="00A10903">
        <w:rPr>
          <w:noProof/>
        </w:rPr>
        <w:t>2 rozporządzenia (UE) nr</w:t>
      </w:r>
      <w:r w:rsidR="00A10903" w:rsidRPr="00A10903">
        <w:rPr>
          <w:noProof/>
        </w:rPr>
        <w:t> </w:t>
      </w:r>
      <w:r w:rsidR="000A5D79" w:rsidRPr="00A10903">
        <w:rPr>
          <w:noProof/>
        </w:rPr>
        <w:t>575/2013 określono sposób obliczania przez instytucje wymogów</w:t>
      </w:r>
      <w:r w:rsidR="00A10903" w:rsidRPr="00A10903">
        <w:rPr>
          <w:noProof/>
        </w:rPr>
        <w:t xml:space="preserve"> w</w:t>
      </w:r>
      <w:r w:rsidR="00A10903">
        <w:rPr>
          <w:noProof/>
        </w:rPr>
        <w:t> </w:t>
      </w:r>
      <w:r w:rsidR="00A10903" w:rsidRPr="00A10903">
        <w:rPr>
          <w:noProof/>
        </w:rPr>
        <w:t>zak</w:t>
      </w:r>
      <w:r w:rsidR="000A5D79" w:rsidRPr="00A10903">
        <w:rPr>
          <w:noProof/>
        </w:rPr>
        <w:t>resie funduszy własnych</w:t>
      </w:r>
      <w:r w:rsidR="00A10903" w:rsidRPr="00A10903">
        <w:rPr>
          <w:noProof/>
        </w:rPr>
        <w:t xml:space="preserve"> z</w:t>
      </w:r>
      <w:r w:rsidR="00A10903">
        <w:rPr>
          <w:noProof/>
        </w:rPr>
        <w:t> </w:t>
      </w:r>
      <w:r w:rsidR="00A10903" w:rsidRPr="00A10903">
        <w:rPr>
          <w:noProof/>
        </w:rPr>
        <w:t>tyt</w:t>
      </w:r>
      <w:r w:rsidR="000A5D79" w:rsidRPr="00A10903">
        <w:rPr>
          <w:noProof/>
        </w:rPr>
        <w:t>ułu ekspozycji na kryptoaktywa do dnia rozpoczęcia stosowania aktu ustawodawczego,</w:t>
      </w:r>
      <w:r w:rsidR="00A10903" w:rsidRPr="00A10903">
        <w:rPr>
          <w:noProof/>
        </w:rPr>
        <w:t xml:space="preserve"> o</w:t>
      </w:r>
      <w:r w:rsidR="00A10903">
        <w:rPr>
          <w:noProof/>
        </w:rPr>
        <w:t> </w:t>
      </w:r>
      <w:r w:rsidR="00A10903" w:rsidRPr="00A10903">
        <w:rPr>
          <w:noProof/>
        </w:rPr>
        <w:t>któ</w:t>
      </w:r>
      <w:r w:rsidR="000A5D79" w:rsidRPr="00A10903">
        <w:rPr>
          <w:noProof/>
        </w:rPr>
        <w:t>rym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501d ust.</w:t>
      </w:r>
      <w:r w:rsidR="00A10903" w:rsidRPr="00A10903">
        <w:rPr>
          <w:noProof/>
        </w:rPr>
        <w:t> </w:t>
      </w:r>
      <w:r w:rsidR="000A5D79" w:rsidRPr="00A10903">
        <w:rPr>
          <w:noProof/>
        </w:rPr>
        <w:t>1 tego rozporządzenia. Należy zatem określić,</w:t>
      </w:r>
      <w:r w:rsidR="00A10903" w:rsidRPr="00A10903">
        <w:rPr>
          <w:noProof/>
        </w:rPr>
        <w:t xml:space="preserve"> w</w:t>
      </w:r>
      <w:r w:rsidR="00A10903">
        <w:rPr>
          <w:noProof/>
        </w:rPr>
        <w:t> </w:t>
      </w:r>
      <w:r w:rsidR="00A10903" w:rsidRPr="00A10903">
        <w:rPr>
          <w:noProof/>
        </w:rPr>
        <w:t>jak</w:t>
      </w:r>
      <w:r w:rsidR="000A5D79" w:rsidRPr="00A10903">
        <w:rPr>
          <w:noProof/>
        </w:rPr>
        <w:t>i sposób instytucje mają ujawniać informacje na temat swoich ekspozycji na kryptoaktywa</w:t>
      </w:r>
      <w:r w:rsidR="00A10903" w:rsidRPr="00A10903">
        <w:rPr>
          <w:noProof/>
        </w:rPr>
        <w:t xml:space="preserve"> w</w:t>
      </w:r>
      <w:r w:rsidR="00A10903">
        <w:rPr>
          <w:noProof/>
        </w:rPr>
        <w:t> </w:t>
      </w:r>
      <w:r w:rsidR="00A10903" w:rsidRPr="00A10903">
        <w:rPr>
          <w:noProof/>
        </w:rPr>
        <w:t>tym</w:t>
      </w:r>
      <w:r w:rsidR="000A5D79" w:rsidRPr="00A10903">
        <w:rPr>
          <w:noProof/>
        </w:rPr>
        <w:t xml:space="preserve"> okresie przejściowym.</w:t>
      </w:r>
    </w:p>
    <w:p w:rsidR="0072766F" w:rsidRPr="00A10903" w:rsidRDefault="00D26602" w:rsidP="00D26602">
      <w:pPr>
        <w:pStyle w:val="ManualConsidrant"/>
        <w:rPr>
          <w:noProof/>
        </w:rPr>
      </w:pPr>
      <w:r w:rsidRPr="00D26602">
        <w:rPr>
          <w:noProof/>
        </w:rPr>
        <w:t>(16)</w:t>
      </w:r>
      <w:r w:rsidRPr="00D26602">
        <w:rPr>
          <w:noProof/>
        </w:rPr>
        <w:tab/>
      </w:r>
      <w:r w:rsidR="0072766F" w:rsidRPr="00A10903">
        <w:rPr>
          <w:noProof/>
        </w:rPr>
        <w:t>Rozporządzeniem (UE) 2024/1623 zmieniono art.</w:t>
      </w:r>
      <w:r w:rsidR="00A10903" w:rsidRPr="00A10903">
        <w:rPr>
          <w:noProof/>
        </w:rPr>
        <w:t> </w:t>
      </w:r>
      <w:r w:rsidR="0072766F" w:rsidRPr="00A10903">
        <w:rPr>
          <w:noProof/>
        </w:rPr>
        <w:t>434a ust.</w:t>
      </w:r>
      <w:r w:rsidR="00A10903" w:rsidRPr="00A10903">
        <w:rPr>
          <w:noProof/>
        </w:rPr>
        <w:t> </w:t>
      </w:r>
      <w:r w:rsidR="0072766F" w:rsidRPr="00A10903">
        <w:rPr>
          <w:noProof/>
        </w:rPr>
        <w:t>1 rozporządzenia (UE) nr</w:t>
      </w:r>
      <w:r w:rsidR="00A10903" w:rsidRPr="00A10903">
        <w:rPr>
          <w:noProof/>
        </w:rPr>
        <w:t> </w:t>
      </w:r>
      <w:r w:rsidR="0072766F" w:rsidRPr="00A10903">
        <w:rPr>
          <w:noProof/>
        </w:rPr>
        <w:t>575/2013</w:t>
      </w:r>
      <w:r w:rsidR="00A10903" w:rsidRPr="00A10903">
        <w:rPr>
          <w:noProof/>
        </w:rPr>
        <w:t xml:space="preserve"> i</w:t>
      </w:r>
      <w:r w:rsidR="00A10903">
        <w:rPr>
          <w:noProof/>
        </w:rPr>
        <w:t> </w:t>
      </w:r>
      <w:r w:rsidR="00A10903" w:rsidRPr="00A10903">
        <w:rPr>
          <w:noProof/>
        </w:rPr>
        <w:t>wpr</w:t>
      </w:r>
      <w:r w:rsidR="0072766F" w:rsidRPr="00A10903">
        <w:rPr>
          <w:noProof/>
        </w:rPr>
        <w:t>owadzono wymóg, aby EUNB opracował rozwiązania informatyczne,</w:t>
      </w:r>
      <w:r w:rsidR="00A10903" w:rsidRPr="00A10903">
        <w:rPr>
          <w:noProof/>
        </w:rPr>
        <w:t xml:space="preserve"> w</w:t>
      </w:r>
      <w:r w:rsidR="00A10903">
        <w:rPr>
          <w:noProof/>
        </w:rPr>
        <w:t> </w:t>
      </w:r>
      <w:r w:rsidR="00A10903" w:rsidRPr="00A10903">
        <w:rPr>
          <w:noProof/>
        </w:rPr>
        <w:t>tym</w:t>
      </w:r>
      <w:r w:rsidR="0072766F" w:rsidRPr="00A10903">
        <w:rPr>
          <w:noProof/>
        </w:rPr>
        <w:t xml:space="preserve"> instrukcje, które mają być stosowane przez instytucje do celów ujawniania informacji wymaganych na mocy tytułów II i III tego rozporządzenia</w:t>
      </w:r>
      <w:r w:rsidR="00A10903" w:rsidRPr="00A10903">
        <w:rPr>
          <w:noProof/>
        </w:rPr>
        <w:t>. W</w:t>
      </w:r>
      <w:r w:rsidR="00A10903">
        <w:rPr>
          <w:noProof/>
        </w:rPr>
        <w:t> </w:t>
      </w:r>
      <w:r w:rsidR="00A10903" w:rsidRPr="00A10903">
        <w:rPr>
          <w:noProof/>
        </w:rPr>
        <w:t>zwi</w:t>
      </w:r>
      <w:r w:rsidR="0072766F" w:rsidRPr="00A10903">
        <w:rPr>
          <w:noProof/>
        </w:rPr>
        <w:t>ązku</w:t>
      </w:r>
      <w:r w:rsidR="00A10903" w:rsidRPr="00A10903">
        <w:rPr>
          <w:noProof/>
        </w:rPr>
        <w:t xml:space="preserve"> z</w:t>
      </w:r>
      <w:r w:rsidR="00A10903">
        <w:rPr>
          <w:noProof/>
        </w:rPr>
        <w:t> </w:t>
      </w:r>
      <w:r w:rsidR="00A10903" w:rsidRPr="00A10903">
        <w:rPr>
          <w:noProof/>
        </w:rPr>
        <w:t>tym</w:t>
      </w:r>
      <w:r w:rsidR="0072766F" w:rsidRPr="00A10903">
        <w:rPr>
          <w:noProof/>
        </w:rPr>
        <w:t xml:space="preserve"> wzory do celów ujawniania informacji powinny</w:t>
      </w:r>
      <w:r w:rsidR="00A10903" w:rsidRPr="00A10903">
        <w:rPr>
          <w:noProof/>
        </w:rPr>
        <w:t xml:space="preserve"> w</w:t>
      </w:r>
      <w:r w:rsidR="00A10903">
        <w:rPr>
          <w:noProof/>
        </w:rPr>
        <w:t> </w:t>
      </w:r>
      <w:r w:rsidR="00A10903" w:rsidRPr="00A10903">
        <w:rPr>
          <w:noProof/>
        </w:rPr>
        <w:t>wys</w:t>
      </w:r>
      <w:r w:rsidR="0072766F" w:rsidRPr="00A10903">
        <w:rPr>
          <w:noProof/>
        </w:rPr>
        <w:t>tarczająco jasny sposób wskazywać punkty danych</w:t>
      </w:r>
      <w:r w:rsidR="00A10903" w:rsidRPr="00A10903">
        <w:rPr>
          <w:noProof/>
        </w:rPr>
        <w:t xml:space="preserve"> i</w:t>
      </w:r>
      <w:r w:rsidR="00A10903">
        <w:rPr>
          <w:noProof/>
        </w:rPr>
        <w:t> </w:t>
      </w:r>
      <w:r w:rsidR="00A10903" w:rsidRPr="00A10903">
        <w:rPr>
          <w:noProof/>
        </w:rPr>
        <w:t>inf</w:t>
      </w:r>
      <w:r w:rsidR="0072766F" w:rsidRPr="00A10903">
        <w:rPr>
          <w:noProof/>
        </w:rPr>
        <w:t>ormacje, które instytucje muszą ujawniać, aby zapewnić użytkownikom dostęp do wystarczająco kompleksowych</w:t>
      </w:r>
      <w:r w:rsidR="00A10903" w:rsidRPr="00A10903">
        <w:rPr>
          <w:noProof/>
        </w:rPr>
        <w:t xml:space="preserve"> i</w:t>
      </w:r>
      <w:r w:rsidR="00A10903">
        <w:rPr>
          <w:noProof/>
        </w:rPr>
        <w:t> </w:t>
      </w:r>
      <w:r w:rsidR="00A10903" w:rsidRPr="00A10903">
        <w:rPr>
          <w:noProof/>
        </w:rPr>
        <w:t>por</w:t>
      </w:r>
      <w:r w:rsidR="0072766F" w:rsidRPr="00A10903">
        <w:rPr>
          <w:noProof/>
        </w:rPr>
        <w:t>ównywalnych informacji oraz aby zapewnić zachowanie spójności</w:t>
      </w:r>
      <w:r w:rsidR="00A10903" w:rsidRPr="00A10903">
        <w:rPr>
          <w:noProof/>
        </w:rPr>
        <w:t xml:space="preserve"> z</w:t>
      </w:r>
      <w:r w:rsidR="00A10903">
        <w:rPr>
          <w:noProof/>
        </w:rPr>
        <w:t> </w:t>
      </w:r>
      <w:r w:rsidR="00A10903" w:rsidRPr="00A10903">
        <w:rPr>
          <w:noProof/>
        </w:rPr>
        <w:t>mię</w:t>
      </w:r>
      <w:r w:rsidR="0072766F" w:rsidRPr="00A10903">
        <w:rPr>
          <w:noProof/>
        </w:rPr>
        <w:t>dzynarodowymi standardami dotyczącymi ujawniania informacji. Aby umożliwić EUNB opracowanie odpowiednich rozwiązań informatycznych, te jednolite formaty ujawniania informacji nie powinny być wiążące, jeśli chodzi</w:t>
      </w:r>
      <w:r w:rsidR="00A10903" w:rsidRPr="00A10903">
        <w:rPr>
          <w:noProof/>
        </w:rPr>
        <w:t xml:space="preserve"> o</w:t>
      </w:r>
      <w:r w:rsidR="00A10903">
        <w:rPr>
          <w:noProof/>
        </w:rPr>
        <w:t> </w:t>
      </w:r>
      <w:r w:rsidR="00A10903" w:rsidRPr="00A10903">
        <w:rPr>
          <w:noProof/>
        </w:rPr>
        <w:t>ich</w:t>
      </w:r>
      <w:r w:rsidR="0072766F" w:rsidRPr="00A10903">
        <w:rPr>
          <w:noProof/>
        </w:rPr>
        <w:t xml:space="preserve"> strukturę</w:t>
      </w:r>
      <w:r w:rsidR="00A10903" w:rsidRPr="00A10903">
        <w:rPr>
          <w:noProof/>
        </w:rPr>
        <w:t xml:space="preserve"> i</w:t>
      </w:r>
      <w:r w:rsidR="00A10903">
        <w:rPr>
          <w:noProof/>
        </w:rPr>
        <w:t> </w:t>
      </w:r>
      <w:r w:rsidR="00A10903" w:rsidRPr="00A10903">
        <w:rPr>
          <w:noProof/>
        </w:rPr>
        <w:t>for</w:t>
      </w:r>
      <w:r w:rsidR="0072766F" w:rsidRPr="00A10903">
        <w:rPr>
          <w:noProof/>
        </w:rPr>
        <w:t>mę prezentacji</w:t>
      </w:r>
      <w:r w:rsidR="00A10903" w:rsidRPr="00A10903">
        <w:rPr>
          <w:noProof/>
        </w:rPr>
        <w:t>. W</w:t>
      </w:r>
      <w:r w:rsidR="00A10903">
        <w:rPr>
          <w:noProof/>
        </w:rPr>
        <w:t> </w:t>
      </w:r>
      <w:r w:rsidR="00A10903" w:rsidRPr="00A10903">
        <w:rPr>
          <w:noProof/>
        </w:rPr>
        <w:t>szc</w:t>
      </w:r>
      <w:r w:rsidR="0072766F" w:rsidRPr="00A10903">
        <w:rPr>
          <w:noProof/>
        </w:rPr>
        <w:t>zególności EUNB powinien mieć możliwość odstąpienia od prezentacji graficznej</w:t>
      </w:r>
      <w:r w:rsidR="00A10903" w:rsidRPr="00A10903">
        <w:rPr>
          <w:noProof/>
        </w:rPr>
        <w:t xml:space="preserve"> i</w:t>
      </w:r>
      <w:r w:rsidR="00A10903">
        <w:rPr>
          <w:noProof/>
        </w:rPr>
        <w:t> </w:t>
      </w:r>
      <w:r w:rsidR="00A10903" w:rsidRPr="00A10903">
        <w:rPr>
          <w:noProof/>
        </w:rPr>
        <w:t>str</w:t>
      </w:r>
      <w:r w:rsidR="0072766F" w:rsidRPr="00A10903">
        <w:rPr>
          <w:noProof/>
        </w:rPr>
        <w:t>uktury tabelarycznej we wzorach do celów ujawniania informacji,</w:t>
      </w:r>
      <w:r w:rsidR="00A10903" w:rsidRPr="00A10903">
        <w:rPr>
          <w:noProof/>
        </w:rPr>
        <w:t xml:space="preserve"> o</w:t>
      </w:r>
      <w:r w:rsidR="00A10903">
        <w:rPr>
          <w:noProof/>
        </w:rPr>
        <w:t> </w:t>
      </w:r>
      <w:r w:rsidR="00A10903" w:rsidRPr="00A10903">
        <w:rPr>
          <w:noProof/>
        </w:rPr>
        <w:t>ile</w:t>
      </w:r>
      <w:r w:rsidR="0072766F" w:rsidRPr="00A10903">
        <w:rPr>
          <w:noProof/>
        </w:rPr>
        <w:t xml:space="preserve"> wszystkie wymagane punkty danych</w:t>
      </w:r>
      <w:r w:rsidR="00A10903" w:rsidRPr="00A10903">
        <w:rPr>
          <w:noProof/>
        </w:rPr>
        <w:t xml:space="preserve"> i</w:t>
      </w:r>
      <w:r w:rsidR="00A10903">
        <w:rPr>
          <w:noProof/>
        </w:rPr>
        <w:t> </w:t>
      </w:r>
      <w:r w:rsidR="00A10903" w:rsidRPr="00A10903">
        <w:rPr>
          <w:noProof/>
        </w:rPr>
        <w:t>inf</w:t>
      </w:r>
      <w:r w:rsidR="0072766F" w:rsidRPr="00A10903">
        <w:rPr>
          <w:noProof/>
        </w:rPr>
        <w:t>ormacje są uwzględnione</w:t>
      </w:r>
      <w:r w:rsidR="00A10903" w:rsidRPr="00A10903">
        <w:rPr>
          <w:noProof/>
        </w:rPr>
        <w:t xml:space="preserve"> w</w:t>
      </w:r>
      <w:r w:rsidR="00A10903">
        <w:rPr>
          <w:noProof/>
        </w:rPr>
        <w:t> </w:t>
      </w:r>
      <w:r w:rsidR="00A10903" w:rsidRPr="00A10903">
        <w:rPr>
          <w:noProof/>
        </w:rPr>
        <w:t>roz</w:t>
      </w:r>
      <w:r w:rsidR="0072766F" w:rsidRPr="00A10903">
        <w:rPr>
          <w:noProof/>
        </w:rPr>
        <w:t>wiązaniu informatycznym.</w:t>
      </w:r>
    </w:p>
    <w:p w:rsidR="005F4989" w:rsidRPr="00A10903" w:rsidRDefault="00D26602" w:rsidP="00D26602">
      <w:pPr>
        <w:pStyle w:val="ManualConsidrant"/>
        <w:rPr>
          <w:noProof/>
          <w:szCs w:val="24"/>
        </w:rPr>
      </w:pPr>
      <w:r w:rsidRPr="00D26602">
        <w:rPr>
          <w:noProof/>
        </w:rPr>
        <w:t>(17)</w:t>
      </w:r>
      <w:r w:rsidRPr="00D26602">
        <w:rPr>
          <w:noProof/>
        </w:rPr>
        <w:tab/>
      </w:r>
      <w:r w:rsidR="005F4989" w:rsidRPr="00A10903">
        <w:rPr>
          <w:noProof/>
        </w:rPr>
        <w:t>Aby zapewnić instytucjom kompleksowy zintegrowany zestaw jednolitych formatów ujawniania informacji oraz zapewnić ujawnianie informacji</w:t>
      </w:r>
      <w:r w:rsidR="00A10903" w:rsidRPr="00A10903">
        <w:rPr>
          <w:noProof/>
        </w:rPr>
        <w:t xml:space="preserve"> o</w:t>
      </w:r>
      <w:r w:rsidR="00A10903">
        <w:rPr>
          <w:noProof/>
        </w:rPr>
        <w:t> </w:t>
      </w:r>
      <w:r w:rsidR="00A10903" w:rsidRPr="00A10903">
        <w:rPr>
          <w:noProof/>
        </w:rPr>
        <w:t>wys</w:t>
      </w:r>
      <w:r w:rsidR="005F4989" w:rsidRPr="00A10903">
        <w:rPr>
          <w:noProof/>
        </w:rPr>
        <w:t>okiej jakości,</w:t>
      </w:r>
      <w:r w:rsidR="00A10903" w:rsidRPr="00A10903">
        <w:rPr>
          <w:noProof/>
        </w:rPr>
        <w:t xml:space="preserve"> a</w:t>
      </w:r>
      <w:r w:rsidR="00A10903">
        <w:rPr>
          <w:noProof/>
        </w:rPr>
        <w:t> </w:t>
      </w:r>
      <w:r w:rsidR="00A10903" w:rsidRPr="00A10903">
        <w:rPr>
          <w:noProof/>
        </w:rPr>
        <w:t>jed</w:t>
      </w:r>
      <w:r w:rsidR="005F4989" w:rsidRPr="00A10903">
        <w:rPr>
          <w:noProof/>
        </w:rPr>
        <w:t>nocześnie odzwierciedlić podejście określone</w:t>
      </w:r>
      <w:r w:rsidR="00A10903" w:rsidRPr="00A10903">
        <w:rPr>
          <w:noProof/>
        </w:rPr>
        <w:t xml:space="preserve"> w</w:t>
      </w:r>
      <w:r w:rsidR="00A10903">
        <w:rPr>
          <w:noProof/>
        </w:rPr>
        <w:t> </w:t>
      </w:r>
      <w:r w:rsidR="00A10903" w:rsidRPr="00A10903">
        <w:rPr>
          <w:noProof/>
        </w:rPr>
        <w:t>zmi</w:t>
      </w:r>
      <w:r w:rsidR="005F4989" w:rsidRPr="00A10903">
        <w:rPr>
          <w:noProof/>
        </w:rPr>
        <w:t>enionym art.</w:t>
      </w:r>
      <w:r w:rsidR="00A10903" w:rsidRPr="00A10903">
        <w:rPr>
          <w:noProof/>
        </w:rPr>
        <w:t> </w:t>
      </w:r>
      <w:r w:rsidR="005F4989" w:rsidRPr="00A10903">
        <w:rPr>
          <w:noProof/>
        </w:rPr>
        <w:t>434a ust.</w:t>
      </w:r>
      <w:r w:rsidR="00A10903" w:rsidRPr="00A10903">
        <w:rPr>
          <w:noProof/>
        </w:rPr>
        <w:t> </w:t>
      </w:r>
      <w:r w:rsidR="005F4989" w:rsidRPr="00A10903">
        <w:rPr>
          <w:noProof/>
        </w:rPr>
        <w:t>1 rozporządzenia (UE) nr</w:t>
      </w:r>
      <w:r w:rsidR="00A10903" w:rsidRPr="00A10903">
        <w:rPr>
          <w:noProof/>
        </w:rPr>
        <w:t> </w:t>
      </w:r>
      <w:r w:rsidR="005F4989" w:rsidRPr="00A10903">
        <w:rPr>
          <w:noProof/>
        </w:rPr>
        <w:t>575/2013, konieczne jest uchylenie rozporządzenia wykonawczego Komisji (UE) 2021/637</w:t>
      </w:r>
      <w:r w:rsidR="00A10903" w:rsidRPr="00A10903">
        <w:rPr>
          <w:noProof/>
        </w:rPr>
        <w:t xml:space="preserve"> i</w:t>
      </w:r>
      <w:r w:rsidR="00A10903">
        <w:rPr>
          <w:noProof/>
        </w:rPr>
        <w:t> </w:t>
      </w:r>
      <w:r w:rsidR="00A10903" w:rsidRPr="00A10903">
        <w:rPr>
          <w:noProof/>
        </w:rPr>
        <w:t>zas</w:t>
      </w:r>
      <w:r w:rsidR="005F4989" w:rsidRPr="00A10903">
        <w:rPr>
          <w:noProof/>
        </w:rPr>
        <w:t>tąpienie tego rozporządzenia wykonawczego niniejszym rozporządzeniem.</w:t>
      </w:r>
    </w:p>
    <w:p w:rsidR="000A5D79" w:rsidRPr="00A10903" w:rsidRDefault="00D26602" w:rsidP="00D26602">
      <w:pPr>
        <w:pStyle w:val="ManualConsidrant"/>
        <w:rPr>
          <w:noProof/>
          <w:sz w:val="22"/>
        </w:rPr>
      </w:pPr>
      <w:r w:rsidRPr="00D26602">
        <w:rPr>
          <w:noProof/>
        </w:rPr>
        <w:t>(18)</w:t>
      </w:r>
      <w:r w:rsidRPr="00D26602">
        <w:rPr>
          <w:noProof/>
        </w:rPr>
        <w:tab/>
      </w:r>
      <w:r w:rsidR="00DF17AE" w:rsidRPr="00A10903">
        <w:rPr>
          <w:noProof/>
        </w:rPr>
        <w:t>Aby zapewnić terminowe ujawnianie przez instytucje informacji</w:t>
      </w:r>
      <w:r w:rsidR="00A10903" w:rsidRPr="00A10903">
        <w:rPr>
          <w:noProof/>
        </w:rPr>
        <w:t xml:space="preserve"> o</w:t>
      </w:r>
      <w:r w:rsidR="00A10903">
        <w:rPr>
          <w:noProof/>
        </w:rPr>
        <w:t> </w:t>
      </w:r>
      <w:r w:rsidR="00A10903" w:rsidRPr="00A10903">
        <w:rPr>
          <w:noProof/>
        </w:rPr>
        <w:t>wys</w:t>
      </w:r>
      <w:r w:rsidR="00DF17AE" w:rsidRPr="00A10903">
        <w:rPr>
          <w:noProof/>
        </w:rPr>
        <w:t>okiej jakości, należy im zapewnić wystarczająco dużo czasu na dostosowanie swoich systemów wewnętrznych do zmian</w:t>
      </w:r>
      <w:r w:rsidR="00A10903" w:rsidRPr="00A10903">
        <w:rPr>
          <w:noProof/>
        </w:rPr>
        <w:t xml:space="preserve"> w</w:t>
      </w:r>
      <w:r w:rsidR="00A10903">
        <w:rPr>
          <w:noProof/>
        </w:rPr>
        <w:t> </w:t>
      </w:r>
      <w:r w:rsidR="00A10903" w:rsidRPr="00A10903">
        <w:rPr>
          <w:noProof/>
        </w:rPr>
        <w:t>ist</w:t>
      </w:r>
      <w:r w:rsidR="00DF17AE" w:rsidRPr="00A10903">
        <w:rPr>
          <w:noProof/>
        </w:rPr>
        <w:t>niejących ramach ujawniania informacji odzwierciedlonych</w:t>
      </w:r>
      <w:r w:rsidR="00A10903" w:rsidRPr="00A10903">
        <w:rPr>
          <w:noProof/>
        </w:rPr>
        <w:t xml:space="preserve"> w</w:t>
      </w:r>
      <w:r w:rsidR="00A10903">
        <w:rPr>
          <w:noProof/>
        </w:rPr>
        <w:t> </w:t>
      </w:r>
      <w:r w:rsidR="00A10903" w:rsidRPr="00A10903">
        <w:rPr>
          <w:noProof/>
        </w:rPr>
        <w:t>nin</w:t>
      </w:r>
      <w:r w:rsidR="00DF17AE" w:rsidRPr="00A10903">
        <w:rPr>
          <w:noProof/>
        </w:rPr>
        <w:t>iejszym rozporządzeniu.</w:t>
      </w:r>
    </w:p>
    <w:p w:rsidR="000A5D79" w:rsidRPr="00A10903" w:rsidRDefault="00D26602" w:rsidP="00D26602">
      <w:pPr>
        <w:pStyle w:val="ManualConsidrant"/>
        <w:rPr>
          <w:noProof/>
        </w:rPr>
      </w:pPr>
      <w:r w:rsidRPr="00D26602">
        <w:rPr>
          <w:noProof/>
        </w:rPr>
        <w:t>(19)</w:t>
      </w:r>
      <w:r w:rsidRPr="00D26602">
        <w:rPr>
          <w:noProof/>
        </w:rPr>
        <w:tab/>
      </w:r>
      <w:r w:rsidR="000A5D79" w:rsidRPr="00A10903">
        <w:rPr>
          <w:noProof/>
        </w:rPr>
        <w:t>Podstawę niniejszego rozporządzenia stanowi projekt wykonawczych standardów technicznych przedłożony Komisji przez Europejski Urząd Nadzoru Bankowego.</w:t>
      </w:r>
    </w:p>
    <w:p w:rsidR="000A5D79" w:rsidRPr="00A10903" w:rsidRDefault="00D26602" w:rsidP="00D26602">
      <w:pPr>
        <w:pStyle w:val="ManualConsidrant"/>
        <w:rPr>
          <w:noProof/>
        </w:rPr>
      </w:pPr>
      <w:r w:rsidRPr="00D26602">
        <w:rPr>
          <w:noProof/>
        </w:rPr>
        <w:t>(20)</w:t>
      </w:r>
      <w:r w:rsidRPr="00D26602">
        <w:rPr>
          <w:noProof/>
        </w:rPr>
        <w:tab/>
      </w:r>
      <w:r w:rsidR="000A5D79" w:rsidRPr="00A10903">
        <w:rPr>
          <w:noProof/>
        </w:rPr>
        <w:t>Europejski Urząd Nadzoru Bankowego przeprowadził otwarte konsultacje publiczne na temat projektu wykonawczych standardów technicznych, który stanowi podstawę niniejszego rozporządzenia, dokonał analizy potencjalnych powiązanych kosztów</w:t>
      </w:r>
      <w:r w:rsidR="00A10903" w:rsidRPr="00A10903">
        <w:rPr>
          <w:noProof/>
        </w:rPr>
        <w:t xml:space="preserve"> i</w:t>
      </w:r>
      <w:r w:rsidR="00A10903">
        <w:rPr>
          <w:noProof/>
        </w:rPr>
        <w:t> </w:t>
      </w:r>
      <w:r w:rsidR="00A10903" w:rsidRPr="00A10903">
        <w:rPr>
          <w:noProof/>
        </w:rPr>
        <w:t>kor</w:t>
      </w:r>
      <w:r w:rsidR="000A5D79" w:rsidRPr="00A10903">
        <w:rPr>
          <w:noProof/>
        </w:rPr>
        <w:t>zyści oraz zwrócił się</w:t>
      </w:r>
      <w:r w:rsidR="00A10903" w:rsidRPr="00A10903">
        <w:rPr>
          <w:noProof/>
        </w:rPr>
        <w:t xml:space="preserve"> o</w:t>
      </w:r>
      <w:r w:rsidR="00A10903">
        <w:rPr>
          <w:noProof/>
        </w:rPr>
        <w:t> </w:t>
      </w:r>
      <w:r w:rsidR="00A10903" w:rsidRPr="00A10903">
        <w:rPr>
          <w:noProof/>
        </w:rPr>
        <w:t>opi</w:t>
      </w:r>
      <w:r w:rsidR="000A5D79" w:rsidRPr="00A10903">
        <w:rPr>
          <w:noProof/>
        </w:rPr>
        <w:t>nię do Bankowej Grupy Interesariuszy powołanej zgodnie</w:t>
      </w:r>
      <w:r w:rsidR="00A10903" w:rsidRPr="00A10903">
        <w:rPr>
          <w:noProof/>
        </w:rPr>
        <w:t xml:space="preserve"> z</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37 rozporządzenia Parlamentu Europejskiego</w:t>
      </w:r>
      <w:r w:rsidR="00A10903" w:rsidRPr="00A10903">
        <w:rPr>
          <w:noProof/>
        </w:rPr>
        <w:t xml:space="preserve"> i</w:t>
      </w:r>
      <w:r w:rsidR="00A10903">
        <w:rPr>
          <w:noProof/>
        </w:rPr>
        <w:t> </w:t>
      </w:r>
      <w:r w:rsidR="00A10903" w:rsidRPr="00A10903">
        <w:rPr>
          <w:noProof/>
        </w:rPr>
        <w:t>Rad</w:t>
      </w:r>
      <w:r w:rsidR="000A5D79" w:rsidRPr="00A10903">
        <w:rPr>
          <w:noProof/>
        </w:rPr>
        <w:t>y (UE) nr</w:t>
      </w:r>
      <w:r w:rsidR="00A10903" w:rsidRPr="00A10903">
        <w:rPr>
          <w:noProof/>
        </w:rPr>
        <w:t> </w:t>
      </w:r>
      <w:r w:rsidR="000A5D79" w:rsidRPr="00A10903">
        <w:rPr>
          <w:noProof/>
        </w:rPr>
        <w:t>1093/2010</w:t>
      </w:r>
      <w:r w:rsidR="000A5D79" w:rsidRPr="00A10903">
        <w:rPr>
          <w:rStyle w:val="FootnoteReference"/>
          <w:noProof/>
        </w:rPr>
        <w:footnoteReference w:id="10"/>
      </w:r>
      <w:r w:rsidR="00A10903">
        <w:rPr>
          <w:noProof/>
        </w:rPr>
        <w:t>,</w:t>
      </w:r>
    </w:p>
    <w:p w:rsidR="0050796F" w:rsidRPr="00A10903" w:rsidRDefault="0050796F">
      <w:pPr>
        <w:pStyle w:val="Formuledadoption"/>
        <w:rPr>
          <w:noProof/>
        </w:rPr>
      </w:pPr>
      <w:r w:rsidRPr="00A10903">
        <w:rPr>
          <w:noProof/>
        </w:rPr>
        <w:t>PRZYJMUJE NINIEJSZE ROZPORZĄDZENIE:</w:t>
      </w:r>
    </w:p>
    <w:p w:rsidR="00905855" w:rsidRPr="00A10903" w:rsidRDefault="00905855" w:rsidP="00905855">
      <w:pPr>
        <w:pStyle w:val="Titrearticle"/>
        <w:rPr>
          <w:noProof/>
        </w:rPr>
      </w:pPr>
      <w:r w:rsidRPr="00A10903">
        <w:rPr>
          <w:noProof/>
        </w:rPr>
        <w:t>Artykuł 1</w:t>
      </w:r>
    </w:p>
    <w:p w:rsidR="000A5D79" w:rsidRPr="00A10903" w:rsidRDefault="000A5D79" w:rsidP="000A5D79">
      <w:pPr>
        <w:pStyle w:val="Titrearticle"/>
        <w:spacing w:before="120"/>
        <w:rPr>
          <w:b/>
          <w:i w:val="0"/>
          <w:noProof/>
        </w:rPr>
      </w:pPr>
      <w:r w:rsidRPr="00A10903">
        <w:rPr>
          <w:b/>
          <w:i w:val="0"/>
          <w:noProof/>
        </w:rPr>
        <w:t>Ujawnianie najważniejszych wskaźników</w:t>
      </w:r>
      <w:r w:rsidR="00A10903" w:rsidRPr="00A10903">
        <w:rPr>
          <w:b/>
          <w:i w:val="0"/>
          <w:noProof/>
        </w:rPr>
        <w:t xml:space="preserve"> i</w:t>
      </w:r>
      <w:r w:rsidR="00A10903">
        <w:rPr>
          <w:b/>
          <w:i w:val="0"/>
          <w:noProof/>
        </w:rPr>
        <w:t> </w:t>
      </w:r>
      <w:r w:rsidR="00A10903" w:rsidRPr="00A10903">
        <w:rPr>
          <w:b/>
          <w:i w:val="0"/>
          <w:noProof/>
        </w:rPr>
        <w:t>prz</w:t>
      </w:r>
      <w:r w:rsidRPr="00A10903">
        <w:rPr>
          <w:b/>
          <w:i w:val="0"/>
          <w:noProof/>
        </w:rPr>
        <w:t>egląd kwot ekspozycji ważonych ryzykiem</w:t>
      </w:r>
    </w:p>
    <w:p w:rsidR="000A5D79" w:rsidRPr="00A10903" w:rsidRDefault="000A5D79" w:rsidP="00905855">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438 lit.</w:t>
      </w:r>
      <w:r w:rsidR="00A10903" w:rsidRPr="00A10903">
        <w:rPr>
          <w:noProof/>
        </w:rPr>
        <w:t> </w:t>
      </w:r>
      <w:r w:rsidRPr="00A10903">
        <w:rPr>
          <w:noProof/>
        </w:rPr>
        <w:t>a)–d), f) i g) oraz art.</w:t>
      </w:r>
      <w:r w:rsidR="00A10903" w:rsidRPr="00A10903">
        <w:rPr>
          <w:noProof/>
        </w:rPr>
        <w:t> </w:t>
      </w:r>
      <w:r w:rsidRPr="00A10903">
        <w:rPr>
          <w:noProof/>
        </w:rPr>
        <w:t>447 lit.</w:t>
      </w:r>
      <w:r w:rsidR="00A10903" w:rsidRPr="00A10903">
        <w:rPr>
          <w:noProof/>
        </w:rPr>
        <w:t> </w:t>
      </w:r>
      <w:r w:rsidRPr="00A10903">
        <w:rPr>
          <w:noProof/>
        </w:rPr>
        <w:t>a)–g)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1 „Ujawnianie informacji na temat przeglądu zarządzania ryzykiem, najważniejszych wskaźników ostrożnościowych</w:t>
      </w:r>
      <w:r w:rsidR="00A10903" w:rsidRPr="00A10903">
        <w:rPr>
          <w:noProof/>
        </w:rPr>
        <w:t xml:space="preserve"> i</w:t>
      </w:r>
      <w:r w:rsidR="00A10903">
        <w:rPr>
          <w:noProof/>
        </w:rPr>
        <w:t> </w:t>
      </w:r>
      <w:r w:rsidR="00A10903" w:rsidRPr="00A10903">
        <w:rPr>
          <w:noProof/>
        </w:rPr>
        <w:t>akt</w:t>
      </w:r>
      <w:r w:rsidRPr="00A10903">
        <w:rPr>
          <w:noProof/>
        </w:rPr>
        <w:t>ywów ważonych ryzykiem”</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Artykuł 2</w:t>
      </w:r>
    </w:p>
    <w:p w:rsidR="000A5D79" w:rsidRPr="00A10903" w:rsidRDefault="000A5D79" w:rsidP="000A5D79">
      <w:pPr>
        <w:pStyle w:val="Titrearticle"/>
        <w:spacing w:before="120"/>
        <w:rPr>
          <w:b/>
          <w:i w:val="0"/>
          <w:noProof/>
        </w:rPr>
      </w:pPr>
      <w:r w:rsidRPr="00A10903">
        <w:rPr>
          <w:b/>
          <w:i w:val="0"/>
          <w:noProof/>
        </w:rPr>
        <w:t>Ujawnianie informacji na temat celów</w:t>
      </w:r>
      <w:r w:rsidR="00A10903" w:rsidRPr="00A10903">
        <w:rPr>
          <w:b/>
          <w:i w:val="0"/>
          <w:noProof/>
        </w:rPr>
        <w:t xml:space="preserve"> i</w:t>
      </w:r>
      <w:r w:rsidR="00A10903">
        <w:rPr>
          <w:b/>
          <w:i w:val="0"/>
          <w:noProof/>
        </w:rPr>
        <w:t> </w:t>
      </w:r>
      <w:r w:rsidR="00A10903" w:rsidRPr="00A10903">
        <w:rPr>
          <w:b/>
          <w:i w:val="0"/>
          <w:noProof/>
        </w:rPr>
        <w:t>pol</w:t>
      </w:r>
      <w:r w:rsidRPr="00A10903">
        <w:rPr>
          <w:b/>
          <w:i w:val="0"/>
          <w:noProof/>
        </w:rPr>
        <w:t>ityk</w:t>
      </w:r>
      <w:r w:rsidR="00A10903" w:rsidRPr="00A10903">
        <w:rPr>
          <w:b/>
          <w:i w:val="0"/>
          <w:noProof/>
        </w:rPr>
        <w:t xml:space="preserve"> w</w:t>
      </w:r>
      <w:r w:rsidR="00A10903">
        <w:rPr>
          <w:b/>
          <w:i w:val="0"/>
          <w:noProof/>
        </w:rPr>
        <w:t> </w:t>
      </w:r>
      <w:r w:rsidR="00A10903" w:rsidRPr="00A10903">
        <w:rPr>
          <w:b/>
          <w:i w:val="0"/>
          <w:noProof/>
        </w:rPr>
        <w:t>zak</w:t>
      </w:r>
      <w:r w:rsidRPr="00A10903">
        <w:rPr>
          <w:b/>
          <w:i w:val="0"/>
          <w:noProof/>
        </w:rPr>
        <w:t>resie zarządzania ryzykiem</w:t>
      </w:r>
    </w:p>
    <w:p w:rsidR="000A5D79" w:rsidRPr="00A10903" w:rsidRDefault="000A5D79" w:rsidP="00905855">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435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2 „Ujawnianie informacji na temat celów</w:t>
      </w:r>
      <w:r w:rsidR="00A10903" w:rsidRPr="00A10903">
        <w:rPr>
          <w:noProof/>
        </w:rPr>
        <w:t xml:space="preserve"> i</w:t>
      </w:r>
      <w:r w:rsidR="00A10903">
        <w:rPr>
          <w:noProof/>
        </w:rPr>
        <w:t> </w:t>
      </w:r>
      <w:r w:rsidR="00A10903" w:rsidRPr="00A10903">
        <w:rPr>
          <w:noProof/>
        </w:rPr>
        <w:t>pol</w:t>
      </w:r>
      <w:r w:rsidRPr="00A10903">
        <w:rPr>
          <w:noProof/>
        </w:rPr>
        <w:t>ityk</w:t>
      </w:r>
      <w:r w:rsidR="00A10903" w:rsidRPr="00A10903">
        <w:rPr>
          <w:noProof/>
        </w:rPr>
        <w:t xml:space="preserve"> w</w:t>
      </w:r>
      <w:r w:rsidR="00A10903">
        <w:rPr>
          <w:noProof/>
        </w:rPr>
        <w:t> </w:t>
      </w:r>
      <w:r w:rsidR="00A10903" w:rsidRPr="00A10903">
        <w:rPr>
          <w:noProof/>
        </w:rPr>
        <w:t>zak</w:t>
      </w:r>
      <w:r w:rsidRPr="00A10903">
        <w:rPr>
          <w:noProof/>
        </w:rPr>
        <w:t>resie zarządzania ryzykiem”</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Artykuł 3</w:t>
      </w:r>
    </w:p>
    <w:p w:rsidR="000A5D79" w:rsidRPr="00A10903" w:rsidRDefault="000A5D79" w:rsidP="000A5D79">
      <w:pPr>
        <w:pStyle w:val="Titrearticle"/>
        <w:tabs>
          <w:tab w:val="left" w:pos="567"/>
        </w:tabs>
        <w:spacing w:before="120"/>
        <w:rPr>
          <w:b/>
          <w:i w:val="0"/>
          <w:noProof/>
        </w:rPr>
      </w:pPr>
      <w:r w:rsidRPr="00A10903">
        <w:rPr>
          <w:b/>
          <w:i w:val="0"/>
          <w:noProof/>
        </w:rPr>
        <w:t xml:space="preserve">Ujawnianie informacji na temat zakresu stosowania </w:t>
      </w:r>
    </w:p>
    <w:p w:rsidR="000A5D79" w:rsidRPr="00A10903" w:rsidRDefault="000A5D79" w:rsidP="00905855">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436 lit.</w:t>
      </w:r>
      <w:r w:rsidR="00A10903" w:rsidRPr="00A10903">
        <w:rPr>
          <w:noProof/>
        </w:rPr>
        <w:t> </w:t>
      </w:r>
      <w:r w:rsidRPr="00A10903">
        <w:rPr>
          <w:noProof/>
        </w:rPr>
        <w:t>b)–h)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3 „Ujawnianie informacji na temat zakresu stosowania”</w:t>
      </w:r>
      <w:r w:rsidR="00A10903" w:rsidRPr="00A10903">
        <w:rPr>
          <w:noProof/>
        </w:rPr>
        <w:t xml:space="preserve"> w</w:t>
      </w:r>
      <w:r w:rsidR="00A10903">
        <w:rPr>
          <w:noProof/>
        </w:rPr>
        <w:t> </w:t>
      </w:r>
      <w:r w:rsidR="00A10903" w:rsidRPr="00A10903">
        <w:rPr>
          <w:noProof/>
        </w:rPr>
        <w:t>zał</w:t>
      </w:r>
      <w:r w:rsidRPr="00A10903">
        <w:rPr>
          <w:noProof/>
        </w:rPr>
        <w:t xml:space="preserve">ączniku I. </w:t>
      </w:r>
    </w:p>
    <w:p w:rsidR="000A5D79" w:rsidRPr="00A10903" w:rsidRDefault="000A5D79" w:rsidP="000A5D79">
      <w:pPr>
        <w:pStyle w:val="Titrearticle"/>
        <w:rPr>
          <w:noProof/>
        </w:rPr>
      </w:pPr>
      <w:r w:rsidRPr="00A10903">
        <w:rPr>
          <w:noProof/>
        </w:rPr>
        <w:t>Artykuł 4</w:t>
      </w:r>
    </w:p>
    <w:p w:rsidR="000A5D79" w:rsidRPr="00A10903" w:rsidRDefault="000A5D79" w:rsidP="000A5D79">
      <w:pPr>
        <w:pStyle w:val="Titrearticle"/>
        <w:spacing w:before="120"/>
        <w:rPr>
          <w:b/>
          <w:i w:val="0"/>
          <w:noProof/>
        </w:rPr>
      </w:pPr>
      <w:r w:rsidRPr="00A10903">
        <w:rPr>
          <w:b/>
          <w:i w:val="0"/>
          <w:noProof/>
        </w:rPr>
        <w:t>Ujawnianie informacji na temat funduszy własnych</w:t>
      </w:r>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437 lit.</w:t>
      </w:r>
      <w:r w:rsidR="00A10903" w:rsidRPr="00A10903">
        <w:rPr>
          <w:noProof/>
        </w:rPr>
        <w:t> </w:t>
      </w:r>
      <w:r w:rsidRPr="00A10903">
        <w:rPr>
          <w:noProof/>
        </w:rPr>
        <w:t>a)–f)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4 „Ujawnianie informacji na temat funduszy własnych”</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 xml:space="preserve">Artykuł 5 </w:t>
      </w:r>
    </w:p>
    <w:p w:rsidR="000A5D79" w:rsidRPr="00A10903" w:rsidRDefault="000A5D79" w:rsidP="000A5D79">
      <w:pPr>
        <w:pStyle w:val="Titrearticle"/>
        <w:spacing w:before="120"/>
        <w:rPr>
          <w:b/>
          <w:i w:val="0"/>
          <w:noProof/>
        </w:rPr>
      </w:pPr>
      <w:r w:rsidRPr="00A10903">
        <w:rPr>
          <w:b/>
          <w:i w:val="0"/>
          <w:noProof/>
        </w:rPr>
        <w:t>Ujawnianie informacji na temat buforów antycyklicznych</w:t>
      </w:r>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440 lit.</w:t>
      </w:r>
      <w:r w:rsidR="00A10903" w:rsidRPr="00A10903">
        <w:rPr>
          <w:noProof/>
        </w:rPr>
        <w:t> </w:t>
      </w:r>
      <w:r w:rsidRPr="00A10903">
        <w:rPr>
          <w:noProof/>
        </w:rPr>
        <w:t>a)–b)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5 „Ujawnianie informacji na temat buforów antycyklicznych”</w:t>
      </w:r>
      <w:r w:rsidR="00A10903" w:rsidRPr="00A10903">
        <w:rPr>
          <w:noProof/>
        </w:rPr>
        <w:t xml:space="preserve"> w</w:t>
      </w:r>
      <w:r w:rsidR="00A10903">
        <w:rPr>
          <w:noProof/>
        </w:rPr>
        <w:t> </w:t>
      </w:r>
      <w:r w:rsidR="00A10903" w:rsidRPr="00A10903">
        <w:rPr>
          <w:noProof/>
        </w:rPr>
        <w:t>zał</w:t>
      </w:r>
      <w:r w:rsidRPr="00A10903">
        <w:rPr>
          <w:noProof/>
        </w:rPr>
        <w:t xml:space="preserve">ączniku I. </w:t>
      </w:r>
    </w:p>
    <w:p w:rsidR="000A5D79" w:rsidRPr="00A10903" w:rsidRDefault="000A5D79" w:rsidP="000A5D79">
      <w:pPr>
        <w:pStyle w:val="Titrearticle"/>
        <w:rPr>
          <w:noProof/>
        </w:rPr>
      </w:pPr>
      <w:r w:rsidRPr="00A10903">
        <w:rPr>
          <w:noProof/>
        </w:rPr>
        <w:t>Artykuł 6</w:t>
      </w:r>
    </w:p>
    <w:p w:rsidR="000A5D79" w:rsidRPr="00A10903" w:rsidRDefault="000A5D79" w:rsidP="000A5D79">
      <w:pPr>
        <w:pStyle w:val="Titrearticle"/>
        <w:spacing w:before="120"/>
        <w:rPr>
          <w:b/>
          <w:i w:val="0"/>
          <w:noProof/>
        </w:rPr>
      </w:pPr>
      <w:r w:rsidRPr="00A10903">
        <w:rPr>
          <w:b/>
          <w:i w:val="0"/>
          <w:noProof/>
        </w:rPr>
        <w:t>Ujawnianie informacji na temat wskaźnika dźwigni</w:t>
      </w:r>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451 ust.1 lit.</w:t>
      </w:r>
      <w:r w:rsidR="00A10903" w:rsidRPr="00A10903">
        <w:rPr>
          <w:noProof/>
        </w:rPr>
        <w:t> </w:t>
      </w:r>
      <w:r w:rsidRPr="00A10903">
        <w:rPr>
          <w:noProof/>
        </w:rPr>
        <w:t>a)–e) oraz art.</w:t>
      </w:r>
      <w:r w:rsidR="00A10903" w:rsidRPr="00A10903">
        <w:rPr>
          <w:noProof/>
        </w:rPr>
        <w:t> </w:t>
      </w:r>
      <w:r w:rsidRPr="00A10903">
        <w:rPr>
          <w:noProof/>
        </w:rPr>
        <w:t>451 ust.</w:t>
      </w:r>
      <w:r w:rsidR="00A10903" w:rsidRPr="00A10903">
        <w:rPr>
          <w:noProof/>
        </w:rPr>
        <w:t> </w:t>
      </w:r>
      <w:r w:rsidRPr="00A10903">
        <w:rPr>
          <w:noProof/>
        </w:rPr>
        <w:t>2</w:t>
      </w:r>
      <w:r w:rsidR="00A10903" w:rsidRPr="00A10903">
        <w:rPr>
          <w:noProof/>
        </w:rPr>
        <w:t xml:space="preserve"> i</w:t>
      </w:r>
      <w:r w:rsidR="00A10903">
        <w:rPr>
          <w:noProof/>
        </w:rPr>
        <w:t> </w:t>
      </w:r>
      <w:r w:rsidR="00A10903" w:rsidRPr="00A10903">
        <w:rPr>
          <w:noProof/>
        </w:rPr>
        <w:t>3</w:t>
      </w:r>
      <w:r w:rsidRPr="00A10903">
        <w:rPr>
          <w:noProof/>
        </w:rPr>
        <w:t xml:space="preserve"> rozporządzenia (UE) nr</w:t>
      </w:r>
      <w:r w:rsidR="00A10903" w:rsidRPr="00A10903">
        <w:rPr>
          <w:noProof/>
        </w:rPr>
        <w:t> </w:t>
      </w:r>
      <w:r w:rsidRPr="00A10903">
        <w:rPr>
          <w:noProof/>
        </w:rPr>
        <w:t>575/2013</w:t>
      </w:r>
      <w:bookmarkStart w:id="2" w:name="_Hlk168653610"/>
      <w:r w:rsidRPr="00A10903">
        <w:rPr>
          <w:noProof/>
        </w:rPr>
        <w:t>, jak określono</w:t>
      </w:r>
      <w:r w:rsidR="00A10903" w:rsidRPr="00A10903">
        <w:rPr>
          <w:noProof/>
        </w:rPr>
        <w:t xml:space="preserve"> w</w:t>
      </w:r>
      <w:r w:rsidR="00A10903">
        <w:rPr>
          <w:noProof/>
        </w:rPr>
        <w:t> </w:t>
      </w:r>
      <w:r w:rsidR="00A10903" w:rsidRPr="00A10903">
        <w:rPr>
          <w:noProof/>
        </w:rPr>
        <w:t>sek</w:t>
      </w:r>
      <w:r w:rsidRPr="00A10903">
        <w:rPr>
          <w:noProof/>
        </w:rPr>
        <w:t>cji 6 „Ujawnianie informacji na temat wskaźnika dźwigni”</w:t>
      </w:r>
      <w:r w:rsidR="00A10903" w:rsidRPr="00A10903">
        <w:rPr>
          <w:noProof/>
        </w:rPr>
        <w:t xml:space="preserve"> w</w:t>
      </w:r>
      <w:r w:rsidR="00A10903">
        <w:rPr>
          <w:noProof/>
        </w:rPr>
        <w:t> </w:t>
      </w:r>
      <w:r w:rsidR="00A10903" w:rsidRPr="00A10903">
        <w:rPr>
          <w:noProof/>
        </w:rPr>
        <w:t>zał</w:t>
      </w:r>
      <w:r w:rsidRPr="00A10903">
        <w:rPr>
          <w:noProof/>
        </w:rPr>
        <w:t>ączniku I.</w:t>
      </w:r>
    </w:p>
    <w:bookmarkEnd w:id="2"/>
    <w:p w:rsidR="000A5D79" w:rsidRPr="00A10903" w:rsidRDefault="000A5D79" w:rsidP="000A5D79">
      <w:pPr>
        <w:pStyle w:val="Titrearticle"/>
        <w:rPr>
          <w:noProof/>
        </w:rPr>
      </w:pPr>
      <w:r w:rsidRPr="00A10903">
        <w:rPr>
          <w:noProof/>
        </w:rPr>
        <w:t xml:space="preserve">Artykuł 7 </w:t>
      </w:r>
    </w:p>
    <w:p w:rsidR="000A5D79" w:rsidRPr="00A10903" w:rsidRDefault="000A5D79" w:rsidP="000A5D79">
      <w:pPr>
        <w:pStyle w:val="Titrearticle"/>
        <w:spacing w:before="120"/>
        <w:rPr>
          <w:b/>
          <w:i w:val="0"/>
          <w:noProof/>
        </w:rPr>
      </w:pPr>
      <w:r w:rsidRPr="00A10903">
        <w:rPr>
          <w:b/>
          <w:i w:val="0"/>
          <w:noProof/>
        </w:rPr>
        <w:t>Ujawnianie informacji na temat wskaźników globalnego znaczenia systemowego</w:t>
      </w:r>
    </w:p>
    <w:p w:rsidR="000A5D79" w:rsidRPr="00A10903" w:rsidRDefault="00D26602" w:rsidP="00D26602">
      <w:pPr>
        <w:pStyle w:val="ManualNumPar1"/>
        <w:rPr>
          <w:noProof/>
        </w:rPr>
      </w:pPr>
      <w:r w:rsidRPr="00D26602">
        <w:rPr>
          <w:noProof/>
        </w:rPr>
        <w:t>1.</w:t>
      </w:r>
      <w:r w:rsidRPr="00D26602">
        <w:rPr>
          <w:noProof/>
        </w:rPr>
        <w:tab/>
      </w:r>
      <w:r w:rsidR="00FA266C" w:rsidRPr="00A10903">
        <w:rPr>
          <w:noProof/>
        </w:rPr>
        <w:t>Globalne instytucje</w:t>
      </w:r>
      <w:r w:rsidR="00A10903" w:rsidRPr="00A10903">
        <w:rPr>
          <w:noProof/>
        </w:rPr>
        <w:t xml:space="preserve"> o</w:t>
      </w:r>
      <w:r w:rsidR="00A10903">
        <w:rPr>
          <w:noProof/>
        </w:rPr>
        <w:t> </w:t>
      </w:r>
      <w:r w:rsidR="00A10903" w:rsidRPr="00A10903">
        <w:rPr>
          <w:noProof/>
        </w:rPr>
        <w:t>zna</w:t>
      </w:r>
      <w:r w:rsidR="00FA266C" w:rsidRPr="00A10903">
        <w:rPr>
          <w:noProof/>
        </w:rPr>
        <w:t>czeniu systemowym ujawniają informacje na temat wartości wskaźników stosowanych do określenia ich wyników,</w:t>
      </w:r>
      <w:r w:rsidR="00A10903" w:rsidRPr="00A10903">
        <w:rPr>
          <w:noProof/>
        </w:rPr>
        <w:t xml:space="preserve"> o</w:t>
      </w:r>
      <w:r w:rsidR="00A10903">
        <w:rPr>
          <w:noProof/>
        </w:rPr>
        <w:t> </w:t>
      </w:r>
      <w:r w:rsidR="00A10903" w:rsidRPr="00A10903">
        <w:rPr>
          <w:noProof/>
        </w:rPr>
        <w:t>któ</w:t>
      </w:r>
      <w:r w:rsidR="00FA266C" w:rsidRPr="00A10903">
        <w:rPr>
          <w:noProof/>
        </w:rPr>
        <w:t>rych mowa</w:t>
      </w:r>
      <w:r w:rsidR="00A10903" w:rsidRPr="00A10903">
        <w:rPr>
          <w:noProof/>
        </w:rPr>
        <w:t xml:space="preserve"> w</w:t>
      </w:r>
      <w:r w:rsidR="00A10903">
        <w:rPr>
          <w:noProof/>
        </w:rPr>
        <w:t> </w:t>
      </w:r>
      <w:r w:rsidR="00A10903" w:rsidRPr="00A10903">
        <w:rPr>
          <w:noProof/>
        </w:rPr>
        <w:t>art</w:t>
      </w:r>
      <w:r w:rsidR="00FA266C" w:rsidRPr="00A10903">
        <w:rPr>
          <w:noProof/>
        </w:rPr>
        <w:t>.</w:t>
      </w:r>
      <w:r w:rsidR="00A10903" w:rsidRPr="00A10903">
        <w:rPr>
          <w:noProof/>
        </w:rPr>
        <w:t> </w:t>
      </w:r>
      <w:r w:rsidR="00FA266C" w:rsidRPr="00A10903">
        <w:rPr>
          <w:noProof/>
        </w:rPr>
        <w:t>441 rozporządzenia (UE) nr</w:t>
      </w:r>
      <w:r w:rsidR="00A10903" w:rsidRPr="00A10903">
        <w:rPr>
          <w:noProof/>
        </w:rPr>
        <w:t> </w:t>
      </w:r>
      <w:r w:rsidR="00FA266C" w:rsidRPr="00A10903">
        <w:rPr>
          <w:noProof/>
        </w:rPr>
        <w:t>575/2013, korzystając</w:t>
      </w:r>
      <w:r w:rsidR="00A10903" w:rsidRPr="00A10903">
        <w:rPr>
          <w:noProof/>
        </w:rPr>
        <w:t xml:space="preserve"> z</w:t>
      </w:r>
      <w:r w:rsidR="00A10903">
        <w:rPr>
          <w:noProof/>
        </w:rPr>
        <w:t> </w:t>
      </w:r>
      <w:r w:rsidR="00A10903" w:rsidRPr="00A10903">
        <w:rPr>
          <w:noProof/>
        </w:rPr>
        <w:t>jed</w:t>
      </w:r>
      <w:r w:rsidR="00FA266C" w:rsidRPr="00A10903">
        <w:rPr>
          <w:noProof/>
        </w:rPr>
        <w:t>nolitego formatu ujawniania informacji,</w:t>
      </w:r>
      <w:r w:rsidR="00A10903" w:rsidRPr="00A10903">
        <w:rPr>
          <w:noProof/>
        </w:rPr>
        <w:t xml:space="preserve"> o</w:t>
      </w:r>
      <w:r w:rsidR="00A10903">
        <w:rPr>
          <w:noProof/>
        </w:rPr>
        <w:t> </w:t>
      </w:r>
      <w:r w:rsidR="00A10903" w:rsidRPr="00A10903">
        <w:rPr>
          <w:noProof/>
        </w:rPr>
        <w:t>któ</w:t>
      </w:r>
      <w:r w:rsidR="00FA266C" w:rsidRPr="00A10903">
        <w:rPr>
          <w:noProof/>
        </w:rPr>
        <w:t>rym mowa</w:t>
      </w:r>
      <w:r w:rsidR="00A10903" w:rsidRPr="00A10903">
        <w:rPr>
          <w:noProof/>
        </w:rPr>
        <w:t xml:space="preserve"> w</w:t>
      </w:r>
      <w:r w:rsidR="00A10903">
        <w:rPr>
          <w:noProof/>
        </w:rPr>
        <w:t> </w:t>
      </w:r>
      <w:r w:rsidR="00A10903" w:rsidRPr="00A10903">
        <w:rPr>
          <w:noProof/>
        </w:rPr>
        <w:t>art</w:t>
      </w:r>
      <w:r w:rsidR="00FA266C" w:rsidRPr="00A10903">
        <w:rPr>
          <w:noProof/>
        </w:rPr>
        <w:t>.</w:t>
      </w:r>
      <w:r w:rsidR="00A10903" w:rsidRPr="00A10903">
        <w:rPr>
          <w:noProof/>
        </w:rPr>
        <w:t> </w:t>
      </w:r>
      <w:r w:rsidR="00FA266C" w:rsidRPr="00A10903">
        <w:rPr>
          <w:noProof/>
        </w:rPr>
        <w:t>434a tego rozporządzenia. Globalne instytucje</w:t>
      </w:r>
      <w:r w:rsidR="00A10903" w:rsidRPr="00A10903">
        <w:rPr>
          <w:noProof/>
        </w:rPr>
        <w:t xml:space="preserve"> o</w:t>
      </w:r>
      <w:r w:rsidR="00A10903">
        <w:rPr>
          <w:noProof/>
        </w:rPr>
        <w:t> </w:t>
      </w:r>
      <w:r w:rsidR="00A10903" w:rsidRPr="00A10903">
        <w:rPr>
          <w:noProof/>
        </w:rPr>
        <w:t>zna</w:t>
      </w:r>
      <w:r w:rsidR="00FA266C" w:rsidRPr="00A10903">
        <w:rPr>
          <w:noProof/>
        </w:rPr>
        <w:t>czeniu systemowym stosują ten format ujawniania informacji do celów gromadzenia wartości wskaźników przez odpowiednie organy, jak określono</w:t>
      </w:r>
      <w:r w:rsidR="00A10903" w:rsidRPr="00A10903">
        <w:rPr>
          <w:noProof/>
        </w:rPr>
        <w:t xml:space="preserve"> w</w:t>
      </w:r>
      <w:r w:rsidR="00A10903">
        <w:rPr>
          <w:noProof/>
        </w:rPr>
        <w:t> </w:t>
      </w:r>
      <w:r w:rsidR="00A10903" w:rsidRPr="00A10903">
        <w:rPr>
          <w:noProof/>
        </w:rPr>
        <w:t>art</w:t>
      </w:r>
      <w:r w:rsidR="00FA266C" w:rsidRPr="00A10903">
        <w:rPr>
          <w:noProof/>
        </w:rPr>
        <w:t>.</w:t>
      </w:r>
      <w:r w:rsidR="00A10903" w:rsidRPr="00A10903">
        <w:rPr>
          <w:noProof/>
        </w:rPr>
        <w:t> </w:t>
      </w:r>
      <w:r w:rsidR="00FA266C" w:rsidRPr="00A10903">
        <w:rPr>
          <w:noProof/>
        </w:rPr>
        <w:t>3 ust.</w:t>
      </w:r>
      <w:r w:rsidR="00A10903" w:rsidRPr="00A10903">
        <w:rPr>
          <w:noProof/>
        </w:rPr>
        <w:t> </w:t>
      </w:r>
      <w:r w:rsidR="00FA266C" w:rsidRPr="00A10903">
        <w:rPr>
          <w:noProof/>
        </w:rPr>
        <w:t>2 rozporządzenia delegowanego Komisji (UE) nr</w:t>
      </w:r>
      <w:r w:rsidR="00A10903" w:rsidRPr="00A10903">
        <w:rPr>
          <w:noProof/>
        </w:rPr>
        <w:t> </w:t>
      </w:r>
      <w:r w:rsidR="00FA266C" w:rsidRPr="00A10903">
        <w:rPr>
          <w:noProof/>
        </w:rPr>
        <w:t>1222/2014</w:t>
      </w:r>
      <w:r w:rsidR="00FA266C" w:rsidRPr="00A10903">
        <w:rPr>
          <w:rStyle w:val="FootnoteReference"/>
          <w:noProof/>
        </w:rPr>
        <w:footnoteReference w:id="11"/>
      </w:r>
      <w:r w:rsidR="00FA266C" w:rsidRPr="00A10903">
        <w:rPr>
          <w:noProof/>
        </w:rPr>
        <w:t>,</w:t>
      </w:r>
      <w:r w:rsidR="00A10903" w:rsidRPr="00A10903">
        <w:rPr>
          <w:noProof/>
        </w:rPr>
        <w:t xml:space="preserve"> z</w:t>
      </w:r>
      <w:r w:rsidR="00A10903">
        <w:rPr>
          <w:noProof/>
        </w:rPr>
        <w:t> </w:t>
      </w:r>
      <w:r w:rsidR="00A10903" w:rsidRPr="00A10903">
        <w:rPr>
          <w:noProof/>
        </w:rPr>
        <w:t>wyj</w:t>
      </w:r>
      <w:r w:rsidR="00FA266C" w:rsidRPr="00A10903">
        <w:rPr>
          <w:noProof/>
        </w:rPr>
        <w:t>ątkiem wszelkich danych pomocniczych</w:t>
      </w:r>
      <w:r w:rsidR="00A10903" w:rsidRPr="00A10903">
        <w:rPr>
          <w:noProof/>
        </w:rPr>
        <w:t xml:space="preserve"> i</w:t>
      </w:r>
      <w:r w:rsidR="00A10903">
        <w:rPr>
          <w:noProof/>
        </w:rPr>
        <w:t> </w:t>
      </w:r>
      <w:r w:rsidR="00A10903" w:rsidRPr="00A10903">
        <w:rPr>
          <w:noProof/>
        </w:rPr>
        <w:t>poz</w:t>
      </w:r>
      <w:r w:rsidR="00FA266C" w:rsidRPr="00A10903">
        <w:rPr>
          <w:noProof/>
        </w:rPr>
        <w:t>ycji uzupełniających zgromadzonych zgodnie</w:t>
      </w:r>
      <w:r w:rsidR="00A10903" w:rsidRPr="00A10903">
        <w:rPr>
          <w:noProof/>
        </w:rPr>
        <w:t xml:space="preserve"> z</w:t>
      </w:r>
      <w:r w:rsidR="00A10903">
        <w:rPr>
          <w:noProof/>
        </w:rPr>
        <w:t> </w:t>
      </w:r>
      <w:r w:rsidR="00A10903" w:rsidRPr="00A10903">
        <w:rPr>
          <w:noProof/>
        </w:rPr>
        <w:t>art</w:t>
      </w:r>
      <w:r w:rsidR="00FA266C" w:rsidRPr="00A10903">
        <w:rPr>
          <w:noProof/>
        </w:rPr>
        <w:t>.</w:t>
      </w:r>
      <w:r w:rsidR="00A10903" w:rsidRPr="00A10903">
        <w:rPr>
          <w:noProof/>
        </w:rPr>
        <w:t> </w:t>
      </w:r>
      <w:r w:rsidR="00FA266C" w:rsidRPr="00A10903">
        <w:rPr>
          <w:noProof/>
        </w:rPr>
        <w:t>3 ust.</w:t>
      </w:r>
      <w:r w:rsidR="00A10903" w:rsidRPr="00A10903">
        <w:rPr>
          <w:noProof/>
        </w:rPr>
        <w:t> </w:t>
      </w:r>
      <w:r w:rsidR="00FA266C" w:rsidRPr="00A10903">
        <w:rPr>
          <w:noProof/>
        </w:rPr>
        <w:t xml:space="preserve">2 tego rozporządzenia delegowanego. </w:t>
      </w:r>
    </w:p>
    <w:p w:rsidR="000A5D79" w:rsidRPr="00A10903" w:rsidRDefault="00D26602" w:rsidP="00D26602">
      <w:pPr>
        <w:pStyle w:val="ManualNumPar1"/>
        <w:rPr>
          <w:noProof/>
        </w:rPr>
      </w:pPr>
      <w:r w:rsidRPr="00D26602">
        <w:rPr>
          <w:noProof/>
        </w:rPr>
        <w:t>2.</w:t>
      </w:r>
      <w:r w:rsidRPr="00D26602">
        <w:rPr>
          <w:noProof/>
        </w:rPr>
        <w:tab/>
      </w:r>
      <w:r w:rsidR="000A5D79" w:rsidRPr="00A10903">
        <w:rPr>
          <w:noProof/>
        </w:rPr>
        <w:t>Globalne instytucje</w:t>
      </w:r>
      <w:r w:rsidR="00A10903" w:rsidRPr="00A10903">
        <w:rPr>
          <w:noProof/>
        </w:rPr>
        <w:t xml:space="preserve"> o</w:t>
      </w:r>
      <w:r w:rsidR="00A10903">
        <w:rPr>
          <w:noProof/>
        </w:rPr>
        <w:t> </w:t>
      </w:r>
      <w:r w:rsidR="00A10903" w:rsidRPr="00A10903">
        <w:rPr>
          <w:noProof/>
        </w:rPr>
        <w:t>zna</w:t>
      </w:r>
      <w:r w:rsidR="000A5D79" w:rsidRPr="00A10903">
        <w:rPr>
          <w:noProof/>
        </w:rPr>
        <w:t>czeniu systemowym ujawniają informacje,</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ust</w:t>
      </w:r>
      <w:r w:rsidR="000A5D79" w:rsidRPr="00A10903">
        <w:rPr>
          <w:noProof/>
        </w:rPr>
        <w:t>.</w:t>
      </w:r>
      <w:r w:rsidR="00A10903" w:rsidRPr="00A10903">
        <w:rPr>
          <w:noProof/>
        </w:rPr>
        <w:t> </w:t>
      </w:r>
      <w:r w:rsidR="000A5D79" w:rsidRPr="00A10903">
        <w:rPr>
          <w:noProof/>
        </w:rPr>
        <w:t>1,</w:t>
      </w:r>
      <w:r w:rsidR="00A10903" w:rsidRPr="00A10903">
        <w:rPr>
          <w:noProof/>
        </w:rPr>
        <w:t xml:space="preserve"> w</w:t>
      </w:r>
      <w:r w:rsidR="00A10903">
        <w:rPr>
          <w:noProof/>
        </w:rPr>
        <w:t> </w:t>
      </w:r>
      <w:r w:rsidR="00A10903" w:rsidRPr="00A10903">
        <w:rPr>
          <w:noProof/>
        </w:rPr>
        <w:t>swo</w:t>
      </w:r>
      <w:r w:rsidR="000A5D79" w:rsidRPr="00A10903">
        <w:rPr>
          <w:noProof/>
        </w:rPr>
        <w:t>im sprawozdaniu na koniec roku</w:t>
      </w:r>
      <w:r w:rsidR="00A10903" w:rsidRPr="00A10903">
        <w:rPr>
          <w:noProof/>
        </w:rPr>
        <w:t xml:space="preserve"> w</w:t>
      </w:r>
      <w:r w:rsidR="00A10903">
        <w:rPr>
          <w:noProof/>
        </w:rPr>
        <w:t> </w:t>
      </w:r>
      <w:r w:rsidR="00A10903" w:rsidRPr="00A10903">
        <w:rPr>
          <w:noProof/>
        </w:rPr>
        <w:t>ram</w:t>
      </w:r>
      <w:r w:rsidR="000A5D79" w:rsidRPr="00A10903">
        <w:rPr>
          <w:noProof/>
        </w:rPr>
        <w:t>ach filaru III. Globalne instytucje</w:t>
      </w:r>
      <w:r w:rsidR="00A10903" w:rsidRPr="00A10903">
        <w:rPr>
          <w:noProof/>
        </w:rPr>
        <w:t xml:space="preserve"> o</w:t>
      </w:r>
      <w:r w:rsidR="00A10903">
        <w:rPr>
          <w:noProof/>
        </w:rPr>
        <w:t> </w:t>
      </w:r>
      <w:r w:rsidR="00A10903" w:rsidRPr="00A10903">
        <w:rPr>
          <w:noProof/>
        </w:rPr>
        <w:t>zna</w:t>
      </w:r>
      <w:r w:rsidR="000A5D79" w:rsidRPr="00A10903">
        <w:rPr>
          <w:noProof/>
        </w:rPr>
        <w:t>czeniu systemowym ponownie ujawniają informacje,</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ust</w:t>
      </w:r>
      <w:r w:rsidR="000A5D79" w:rsidRPr="00A10903">
        <w:rPr>
          <w:noProof/>
        </w:rPr>
        <w:t>. 1,</w:t>
      </w:r>
      <w:r w:rsidR="00A10903" w:rsidRPr="00A10903">
        <w:rPr>
          <w:noProof/>
        </w:rPr>
        <w:t xml:space="preserve"> w</w:t>
      </w:r>
      <w:r w:rsidR="00A10903">
        <w:rPr>
          <w:noProof/>
        </w:rPr>
        <w:t> </w:t>
      </w:r>
      <w:r w:rsidR="00A10903" w:rsidRPr="00A10903">
        <w:rPr>
          <w:noProof/>
        </w:rPr>
        <w:t>swo</w:t>
      </w:r>
      <w:r w:rsidR="000A5D79" w:rsidRPr="00A10903">
        <w:rPr>
          <w:noProof/>
        </w:rPr>
        <w:t>im pierwszym sprawozdaniu</w:t>
      </w:r>
      <w:r w:rsidR="00A10903" w:rsidRPr="00A10903">
        <w:rPr>
          <w:noProof/>
        </w:rPr>
        <w:t xml:space="preserve"> w</w:t>
      </w:r>
      <w:r w:rsidR="00A10903">
        <w:rPr>
          <w:noProof/>
        </w:rPr>
        <w:t> </w:t>
      </w:r>
      <w:r w:rsidR="00A10903" w:rsidRPr="00A10903">
        <w:rPr>
          <w:noProof/>
        </w:rPr>
        <w:t>ram</w:t>
      </w:r>
      <w:r w:rsidR="000A5D79" w:rsidRPr="00A10903">
        <w:rPr>
          <w:noProof/>
        </w:rPr>
        <w:t>ach filaru III po ostatecznym przekazaniu wartości wskaźników odpowiednim właściwym organom,</w:t>
      </w:r>
      <w:r w:rsidR="00A10903" w:rsidRPr="00A10903">
        <w:rPr>
          <w:noProof/>
        </w:rPr>
        <w:t xml:space="preserve"> w</w:t>
      </w:r>
      <w:r w:rsidR="00A10903">
        <w:rPr>
          <w:noProof/>
        </w:rPr>
        <w:t> </w:t>
      </w:r>
      <w:r w:rsidR="00A10903" w:rsidRPr="00A10903">
        <w:rPr>
          <w:noProof/>
        </w:rPr>
        <w:t>prz</w:t>
      </w:r>
      <w:r w:rsidR="000A5D79" w:rsidRPr="00A10903">
        <w:rPr>
          <w:noProof/>
        </w:rPr>
        <w:t>ypadku gdy przedłożone dane liczbowe różnią się od danych liczbowych ujawnionych</w:t>
      </w:r>
      <w:r w:rsidR="00A10903" w:rsidRPr="00A10903">
        <w:rPr>
          <w:noProof/>
        </w:rPr>
        <w:t xml:space="preserve"> w</w:t>
      </w:r>
      <w:r w:rsidR="00A10903">
        <w:rPr>
          <w:noProof/>
        </w:rPr>
        <w:t> </w:t>
      </w:r>
      <w:r w:rsidR="00A10903" w:rsidRPr="00A10903">
        <w:rPr>
          <w:noProof/>
        </w:rPr>
        <w:t>spr</w:t>
      </w:r>
      <w:r w:rsidR="000A5D79" w:rsidRPr="00A10903">
        <w:rPr>
          <w:noProof/>
        </w:rPr>
        <w:t>awozdaniu na koniec roku</w:t>
      </w:r>
      <w:r w:rsidR="00A10903" w:rsidRPr="00A10903">
        <w:rPr>
          <w:noProof/>
        </w:rPr>
        <w:t xml:space="preserve"> w</w:t>
      </w:r>
      <w:r w:rsidR="00A10903">
        <w:rPr>
          <w:noProof/>
        </w:rPr>
        <w:t> </w:t>
      </w:r>
      <w:r w:rsidR="00A10903" w:rsidRPr="00A10903">
        <w:rPr>
          <w:noProof/>
        </w:rPr>
        <w:t>ram</w:t>
      </w:r>
      <w:r w:rsidR="000A5D79" w:rsidRPr="00A10903">
        <w:rPr>
          <w:noProof/>
        </w:rPr>
        <w:t>ach filaru III.</w:t>
      </w:r>
    </w:p>
    <w:p w:rsidR="000A5D79" w:rsidRPr="00A10903" w:rsidRDefault="000A5D79" w:rsidP="000A5D79">
      <w:pPr>
        <w:pStyle w:val="Titrearticle"/>
        <w:rPr>
          <w:noProof/>
        </w:rPr>
      </w:pPr>
      <w:r w:rsidRPr="00A10903">
        <w:rPr>
          <w:noProof/>
        </w:rPr>
        <w:t>Artykuł 8</w:t>
      </w:r>
    </w:p>
    <w:p w:rsidR="000A5D79" w:rsidRPr="00A10903" w:rsidRDefault="000A5D79" w:rsidP="000A5D79">
      <w:pPr>
        <w:pStyle w:val="Titrearticle"/>
        <w:spacing w:before="120"/>
        <w:rPr>
          <w:b/>
          <w:i w:val="0"/>
          <w:noProof/>
        </w:rPr>
      </w:pPr>
      <w:r w:rsidRPr="00A10903">
        <w:rPr>
          <w:b/>
          <w:i w:val="0"/>
          <w:noProof/>
        </w:rPr>
        <w:t>Ujawnianie informacji na temat wymogów dotyczących płynności</w:t>
      </w:r>
    </w:p>
    <w:p w:rsidR="000A5D79" w:rsidRPr="00A10903" w:rsidRDefault="000A5D79" w:rsidP="000A5D79">
      <w:pPr>
        <w:rPr>
          <w:i/>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435 ust.1 oraz art.</w:t>
      </w:r>
      <w:r w:rsidR="00A10903" w:rsidRPr="00A10903">
        <w:rPr>
          <w:noProof/>
        </w:rPr>
        <w:t> </w:t>
      </w:r>
      <w:r w:rsidRPr="00A10903">
        <w:rPr>
          <w:noProof/>
        </w:rPr>
        <w:t>451a ust.</w:t>
      </w:r>
      <w:r w:rsidR="00A10903" w:rsidRPr="00A10903">
        <w:rPr>
          <w:noProof/>
        </w:rPr>
        <w:t> </w:t>
      </w:r>
      <w:r w:rsidRPr="00A10903">
        <w:rPr>
          <w:noProof/>
        </w:rPr>
        <w:t>2, 3</w:t>
      </w:r>
      <w:r w:rsidR="00A10903" w:rsidRPr="00A10903">
        <w:rPr>
          <w:noProof/>
        </w:rPr>
        <w:t xml:space="preserve"> i</w:t>
      </w:r>
      <w:r w:rsidR="00A10903">
        <w:rPr>
          <w:noProof/>
        </w:rPr>
        <w:t> </w:t>
      </w:r>
      <w:r w:rsidR="00A10903" w:rsidRPr="00A10903">
        <w:rPr>
          <w:noProof/>
        </w:rPr>
        <w:t>4</w:t>
      </w:r>
      <w:r w:rsidRPr="00A10903">
        <w:rPr>
          <w:noProof/>
        </w:rPr>
        <w:t xml:space="preserve">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7 „Ujawnianie informacji na temat wymogów dotyczących płynności”</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Artykuł 9</w:t>
      </w:r>
    </w:p>
    <w:p w:rsidR="000A5D79" w:rsidRPr="00A10903" w:rsidRDefault="000A5D79" w:rsidP="000A5D79">
      <w:pPr>
        <w:pStyle w:val="Titrearticle"/>
        <w:spacing w:before="120"/>
        <w:rPr>
          <w:b/>
          <w:i w:val="0"/>
          <w:noProof/>
        </w:rPr>
      </w:pPr>
      <w:bookmarkStart w:id="3" w:name="_Hlk163217184"/>
      <w:r w:rsidRPr="00A10903">
        <w:rPr>
          <w:b/>
          <w:i w:val="0"/>
          <w:noProof/>
        </w:rPr>
        <w:t>Ujawnianie informacji na temat ekspozycji na ryzyko kredytowe, ryzyko rozmycia oraz na temat jakości kredytowej</w:t>
      </w:r>
      <w:bookmarkEnd w:id="3"/>
    </w:p>
    <w:p w:rsidR="000A5D79" w:rsidRPr="00A10903" w:rsidRDefault="00D26602" w:rsidP="00D26602">
      <w:pPr>
        <w:pStyle w:val="ManualNumPar1"/>
        <w:rPr>
          <w:noProof/>
        </w:rPr>
      </w:pPr>
      <w:r w:rsidRPr="00D26602">
        <w:rPr>
          <w:noProof/>
        </w:rPr>
        <w:t>1.</w:t>
      </w:r>
      <w:r w:rsidRPr="00D26602">
        <w:rPr>
          <w:noProof/>
        </w:rPr>
        <w:tab/>
      </w:r>
      <w:r w:rsidR="000A5D79" w:rsidRPr="00A10903">
        <w:rPr>
          <w:noProof/>
        </w:rPr>
        <w:t>Instytucje ujawniają informacje,</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435 ust.</w:t>
      </w:r>
      <w:r w:rsidR="00A10903" w:rsidRPr="00A10903">
        <w:rPr>
          <w:noProof/>
        </w:rPr>
        <w:t> </w:t>
      </w:r>
      <w:r w:rsidR="000A5D79" w:rsidRPr="00A10903">
        <w:rPr>
          <w:noProof/>
        </w:rPr>
        <w:t>1 lit.</w:t>
      </w:r>
      <w:r w:rsidR="00A10903" w:rsidRPr="00A10903">
        <w:rPr>
          <w:noProof/>
        </w:rPr>
        <w:t> </w:t>
      </w:r>
      <w:r w:rsidR="000A5D79" w:rsidRPr="00A10903">
        <w:rPr>
          <w:noProof/>
        </w:rPr>
        <w:t>a), b), d) i f) oraz art.</w:t>
      </w:r>
      <w:r w:rsidR="00A10903" w:rsidRPr="00A10903">
        <w:rPr>
          <w:noProof/>
        </w:rPr>
        <w:t> </w:t>
      </w:r>
      <w:r w:rsidR="000A5D79" w:rsidRPr="00A10903">
        <w:rPr>
          <w:noProof/>
        </w:rPr>
        <w:t>442 rozporządzenia (UE) nr</w:t>
      </w:r>
      <w:r w:rsidR="00A10903" w:rsidRPr="00A10903">
        <w:rPr>
          <w:noProof/>
        </w:rPr>
        <w:t> </w:t>
      </w:r>
      <w:r w:rsidR="000A5D79" w:rsidRPr="00A10903">
        <w:rPr>
          <w:noProof/>
        </w:rPr>
        <w:t>575/2013, jak określono</w:t>
      </w:r>
      <w:r w:rsidR="00A10903" w:rsidRPr="00A10903">
        <w:rPr>
          <w:noProof/>
        </w:rPr>
        <w:t xml:space="preserve"> w</w:t>
      </w:r>
      <w:r w:rsidR="00A10903">
        <w:rPr>
          <w:noProof/>
        </w:rPr>
        <w:t> </w:t>
      </w:r>
      <w:r w:rsidR="00A10903" w:rsidRPr="00A10903">
        <w:rPr>
          <w:noProof/>
        </w:rPr>
        <w:t>sek</w:t>
      </w:r>
      <w:r w:rsidR="000A5D79" w:rsidRPr="00A10903">
        <w:rPr>
          <w:noProof/>
        </w:rPr>
        <w:t>cji 8 „Ujawnianie informacji na temat jakości ryzyka kredytowego”</w:t>
      </w:r>
      <w:r w:rsidR="00A10903" w:rsidRPr="00A10903">
        <w:rPr>
          <w:noProof/>
        </w:rPr>
        <w:t xml:space="preserve"> w</w:t>
      </w:r>
      <w:r w:rsidR="00A10903">
        <w:rPr>
          <w:noProof/>
        </w:rPr>
        <w:t> </w:t>
      </w:r>
      <w:r w:rsidR="00A10903" w:rsidRPr="00A10903">
        <w:rPr>
          <w:noProof/>
        </w:rPr>
        <w:t>zał</w:t>
      </w:r>
      <w:r w:rsidR="000A5D79" w:rsidRPr="00A10903">
        <w:rPr>
          <w:noProof/>
        </w:rPr>
        <w:t>ączniku I.</w:t>
      </w:r>
    </w:p>
    <w:p w:rsidR="000A5D79" w:rsidRPr="00A10903" w:rsidRDefault="00D26602" w:rsidP="00D26602">
      <w:pPr>
        <w:pStyle w:val="ManualNumPar1"/>
        <w:rPr>
          <w:noProof/>
        </w:rPr>
      </w:pPr>
      <w:r w:rsidRPr="00D26602">
        <w:rPr>
          <w:noProof/>
        </w:rPr>
        <w:t>2.</w:t>
      </w:r>
      <w:r w:rsidRPr="00D26602">
        <w:rPr>
          <w:noProof/>
        </w:rPr>
        <w:tab/>
      </w:r>
      <w:r w:rsidR="000A5D79" w:rsidRPr="00A10903">
        <w:rPr>
          <w:noProof/>
        </w:rPr>
        <w:t>Duże instytucje, których wskaźnik określający stosunek między wartością bilansową brutto kredytów</w:t>
      </w:r>
      <w:r w:rsidR="00A10903" w:rsidRPr="00A10903">
        <w:rPr>
          <w:noProof/>
        </w:rPr>
        <w:t xml:space="preserve"> i</w:t>
      </w:r>
      <w:r w:rsidR="00A10903">
        <w:rPr>
          <w:noProof/>
        </w:rPr>
        <w:t> </w:t>
      </w:r>
      <w:r w:rsidR="00A10903" w:rsidRPr="00A10903">
        <w:rPr>
          <w:noProof/>
        </w:rPr>
        <w:t>zal</w:t>
      </w:r>
      <w:r w:rsidR="000A5D79" w:rsidRPr="00A10903">
        <w:rPr>
          <w:noProof/>
        </w:rPr>
        <w:t>iczek objętych przepisami art.</w:t>
      </w:r>
      <w:r w:rsidR="00A10903" w:rsidRPr="00A10903">
        <w:rPr>
          <w:noProof/>
        </w:rPr>
        <w:t> </w:t>
      </w:r>
      <w:r w:rsidR="000A5D79" w:rsidRPr="00A10903">
        <w:rPr>
          <w:noProof/>
        </w:rPr>
        <w:t>47a ust.</w:t>
      </w:r>
      <w:r w:rsidR="00A10903" w:rsidRPr="00A10903">
        <w:rPr>
          <w:noProof/>
        </w:rPr>
        <w:t> </w:t>
      </w:r>
      <w:r w:rsidR="000A5D79" w:rsidRPr="00A10903">
        <w:rPr>
          <w:noProof/>
        </w:rPr>
        <w:t>3 rozporządzenia (UE) nr</w:t>
      </w:r>
      <w:r w:rsidR="00A10903" w:rsidRPr="00A10903">
        <w:rPr>
          <w:noProof/>
        </w:rPr>
        <w:t> </w:t>
      </w:r>
      <w:r w:rsidR="000A5D79" w:rsidRPr="00A10903">
        <w:rPr>
          <w:noProof/>
        </w:rPr>
        <w:t>575/2013</w:t>
      </w:r>
      <w:r w:rsidR="00A10903" w:rsidRPr="00A10903">
        <w:rPr>
          <w:noProof/>
        </w:rPr>
        <w:t xml:space="preserve"> a</w:t>
      </w:r>
      <w:r w:rsidR="00A10903">
        <w:rPr>
          <w:noProof/>
        </w:rPr>
        <w:t> </w:t>
      </w:r>
      <w:r w:rsidR="00A10903" w:rsidRPr="00A10903">
        <w:rPr>
          <w:noProof/>
        </w:rPr>
        <w:t>łąc</w:t>
      </w:r>
      <w:r w:rsidR="000A5D79" w:rsidRPr="00A10903">
        <w:rPr>
          <w:noProof/>
        </w:rPr>
        <w:t>zną wartością bilansową brutto kredytów</w:t>
      </w:r>
      <w:r w:rsidR="00A10903" w:rsidRPr="00A10903">
        <w:rPr>
          <w:noProof/>
        </w:rPr>
        <w:t xml:space="preserve"> i</w:t>
      </w:r>
      <w:r w:rsidR="00A10903">
        <w:rPr>
          <w:noProof/>
        </w:rPr>
        <w:t> </w:t>
      </w:r>
      <w:r w:rsidR="00A10903" w:rsidRPr="00A10903">
        <w:rPr>
          <w:noProof/>
        </w:rPr>
        <w:t>zal</w:t>
      </w:r>
      <w:r w:rsidR="000A5D79" w:rsidRPr="00A10903">
        <w:rPr>
          <w:noProof/>
        </w:rPr>
        <w:t>iczek objętych przepisami art.</w:t>
      </w:r>
      <w:r w:rsidR="00A10903" w:rsidRPr="00A10903">
        <w:rPr>
          <w:noProof/>
        </w:rPr>
        <w:t> </w:t>
      </w:r>
      <w:r w:rsidR="000A5D79" w:rsidRPr="00A10903">
        <w:rPr>
          <w:noProof/>
        </w:rPr>
        <w:t>47a ust.</w:t>
      </w:r>
      <w:r w:rsidR="00A10903" w:rsidRPr="00A10903">
        <w:rPr>
          <w:noProof/>
        </w:rPr>
        <w:t> </w:t>
      </w:r>
      <w:r w:rsidR="000A5D79" w:rsidRPr="00A10903">
        <w:rPr>
          <w:noProof/>
        </w:rPr>
        <w:t>1 tego rozporządzenia wynosi co najmniej 5 %, oprócz informacji,</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ust</w:t>
      </w:r>
      <w:r w:rsidR="000A5D79" w:rsidRPr="00A10903">
        <w:rPr>
          <w:noProof/>
        </w:rPr>
        <w:t>.</w:t>
      </w:r>
      <w:r w:rsidR="00A10903" w:rsidRPr="00A10903">
        <w:rPr>
          <w:noProof/>
        </w:rPr>
        <w:t> </w:t>
      </w:r>
      <w:r w:rsidR="000A5D79" w:rsidRPr="00A10903">
        <w:rPr>
          <w:noProof/>
        </w:rPr>
        <w:t>1, ujawniają dodatkowe informacje</w:t>
      </w:r>
      <w:r w:rsidR="00A10903" w:rsidRPr="00A10903">
        <w:rPr>
          <w:noProof/>
        </w:rPr>
        <w:t xml:space="preserve"> w</w:t>
      </w:r>
      <w:r w:rsidR="00A10903">
        <w:rPr>
          <w:noProof/>
        </w:rPr>
        <w:t> </w:t>
      </w:r>
      <w:r w:rsidR="00A10903" w:rsidRPr="00A10903">
        <w:rPr>
          <w:noProof/>
        </w:rPr>
        <w:t>cel</w:t>
      </w:r>
      <w:r w:rsidR="000A5D79" w:rsidRPr="00A10903">
        <w:rPr>
          <w:noProof/>
        </w:rPr>
        <w:t>u zapewnienia zgodności</w:t>
      </w:r>
      <w:r w:rsidR="00A10903" w:rsidRPr="00A10903">
        <w:rPr>
          <w:noProof/>
        </w:rPr>
        <w:t xml:space="preserve"> z</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442 lit.</w:t>
      </w:r>
      <w:r w:rsidR="00A10903" w:rsidRPr="00A10903">
        <w:rPr>
          <w:noProof/>
        </w:rPr>
        <w:t> </w:t>
      </w:r>
      <w:r w:rsidR="000A5D79" w:rsidRPr="00A10903">
        <w:rPr>
          <w:noProof/>
        </w:rPr>
        <w:t xml:space="preserve">c) i f) tego rozporządzenia. Instytucje te ujawniają przedmiotowe informacje co roku. </w:t>
      </w:r>
    </w:p>
    <w:p w:rsidR="000A5D79" w:rsidRPr="00A10903" w:rsidRDefault="00D26602" w:rsidP="00D26602">
      <w:pPr>
        <w:pStyle w:val="ManualNumPar1"/>
        <w:rPr>
          <w:noProof/>
        </w:rPr>
      </w:pPr>
      <w:r w:rsidRPr="00D26602">
        <w:rPr>
          <w:noProof/>
        </w:rPr>
        <w:t>3.</w:t>
      </w:r>
      <w:r w:rsidRPr="00D26602">
        <w:rPr>
          <w:noProof/>
        </w:rPr>
        <w:tab/>
      </w:r>
      <w:r w:rsidR="000A5D79" w:rsidRPr="00A10903">
        <w:rPr>
          <w:noProof/>
        </w:rPr>
        <w:t>Do celów ust.</w:t>
      </w:r>
      <w:r w:rsidR="00A10903" w:rsidRPr="00A10903">
        <w:rPr>
          <w:noProof/>
        </w:rPr>
        <w:t> </w:t>
      </w:r>
      <w:r w:rsidR="000A5D79" w:rsidRPr="00A10903">
        <w:rPr>
          <w:noProof/>
        </w:rPr>
        <w:t>2 instytucje wyłączają kredyty</w:t>
      </w:r>
      <w:r w:rsidR="00A10903" w:rsidRPr="00A10903">
        <w:rPr>
          <w:noProof/>
        </w:rPr>
        <w:t xml:space="preserve"> i</w:t>
      </w:r>
      <w:r w:rsidR="00A10903">
        <w:rPr>
          <w:noProof/>
        </w:rPr>
        <w:t> </w:t>
      </w:r>
      <w:r w:rsidR="00A10903" w:rsidRPr="00A10903">
        <w:rPr>
          <w:noProof/>
        </w:rPr>
        <w:t>zal</w:t>
      </w:r>
      <w:r w:rsidR="000A5D79" w:rsidRPr="00A10903">
        <w:rPr>
          <w:noProof/>
        </w:rPr>
        <w:t>iczki zaklasyfikowane jako przeznaczone do sprzedaży, salda pieniężne</w:t>
      </w:r>
      <w:r w:rsidR="00A10903" w:rsidRPr="00A10903">
        <w:rPr>
          <w:noProof/>
        </w:rPr>
        <w:t xml:space="preserve"> w</w:t>
      </w:r>
      <w:r w:rsidR="00A10903">
        <w:rPr>
          <w:noProof/>
        </w:rPr>
        <w:t> </w:t>
      </w:r>
      <w:r w:rsidR="00A10903" w:rsidRPr="00A10903">
        <w:rPr>
          <w:noProof/>
        </w:rPr>
        <w:t>ban</w:t>
      </w:r>
      <w:r w:rsidR="000A5D79" w:rsidRPr="00A10903">
        <w:rPr>
          <w:noProof/>
        </w:rPr>
        <w:t>kach centralnych</w:t>
      </w:r>
      <w:r w:rsidR="00A10903" w:rsidRPr="00A10903">
        <w:rPr>
          <w:noProof/>
        </w:rPr>
        <w:t xml:space="preserve"> i</w:t>
      </w:r>
      <w:r w:rsidR="00A10903">
        <w:rPr>
          <w:noProof/>
        </w:rPr>
        <w:t> </w:t>
      </w:r>
      <w:r w:rsidR="00A10903" w:rsidRPr="00A10903">
        <w:rPr>
          <w:noProof/>
        </w:rPr>
        <w:t>inn</w:t>
      </w:r>
      <w:r w:rsidR="000A5D79" w:rsidRPr="00A10903">
        <w:rPr>
          <w:noProof/>
        </w:rPr>
        <w:t>e depozyty płatne na żądanie zarówno</w:t>
      </w:r>
      <w:r w:rsidR="00A10903" w:rsidRPr="00A10903">
        <w:rPr>
          <w:noProof/>
        </w:rPr>
        <w:t xml:space="preserve"> z</w:t>
      </w:r>
      <w:r w:rsidR="00A10903">
        <w:rPr>
          <w:noProof/>
        </w:rPr>
        <w:t> </w:t>
      </w:r>
      <w:r w:rsidR="00A10903" w:rsidRPr="00A10903">
        <w:rPr>
          <w:noProof/>
        </w:rPr>
        <w:t>mia</w:t>
      </w:r>
      <w:r w:rsidR="000A5D79" w:rsidRPr="00A10903">
        <w:rPr>
          <w:noProof/>
        </w:rPr>
        <w:t>nownika, jak</w:t>
      </w:r>
      <w:r w:rsidR="00A10903" w:rsidRPr="00A10903">
        <w:rPr>
          <w:noProof/>
        </w:rPr>
        <w:t xml:space="preserve"> i</w:t>
      </w:r>
      <w:r w:rsidR="00A10903">
        <w:rPr>
          <w:noProof/>
        </w:rPr>
        <w:t> </w:t>
      </w:r>
      <w:r w:rsidR="00A10903" w:rsidRPr="00A10903">
        <w:rPr>
          <w:noProof/>
        </w:rPr>
        <w:t>z</w:t>
      </w:r>
      <w:r w:rsidR="00A10903">
        <w:rPr>
          <w:noProof/>
        </w:rPr>
        <w:t> </w:t>
      </w:r>
      <w:r w:rsidR="00A10903" w:rsidRPr="00A10903">
        <w:rPr>
          <w:noProof/>
        </w:rPr>
        <w:t>lic</w:t>
      </w:r>
      <w:r w:rsidR="000A5D79" w:rsidRPr="00A10903">
        <w:rPr>
          <w:noProof/>
        </w:rPr>
        <w:t>znika wspomnianego wskaźnika.</w:t>
      </w:r>
    </w:p>
    <w:p w:rsidR="000A5D79" w:rsidRPr="00A10903" w:rsidRDefault="00D26602" w:rsidP="00D26602">
      <w:pPr>
        <w:pStyle w:val="ManualNumPar1"/>
        <w:rPr>
          <w:noProof/>
        </w:rPr>
      </w:pPr>
      <w:r w:rsidRPr="00D26602">
        <w:rPr>
          <w:noProof/>
        </w:rPr>
        <w:t>4.</w:t>
      </w:r>
      <w:r w:rsidRPr="00D26602">
        <w:rPr>
          <w:noProof/>
        </w:rPr>
        <w:tab/>
      </w:r>
      <w:r w:rsidR="000A5D79" w:rsidRPr="00A10903">
        <w:rPr>
          <w:noProof/>
        </w:rPr>
        <w:t>Instytucje rozpoczynają ujawnianie informacji zgodnie</w:t>
      </w:r>
      <w:r w:rsidR="00A10903" w:rsidRPr="00A10903">
        <w:rPr>
          <w:noProof/>
        </w:rPr>
        <w:t xml:space="preserve"> z</w:t>
      </w:r>
      <w:r w:rsidR="00A10903">
        <w:rPr>
          <w:noProof/>
        </w:rPr>
        <w:t> </w:t>
      </w:r>
      <w:r w:rsidR="00A10903" w:rsidRPr="00A10903">
        <w:rPr>
          <w:noProof/>
        </w:rPr>
        <w:t>ust</w:t>
      </w:r>
      <w:r w:rsidR="000A5D79" w:rsidRPr="00A10903">
        <w:rPr>
          <w:noProof/>
        </w:rPr>
        <w:t>. 2, jeżeli osiągnęły lub przekroczyły próg 5 %,</w:t>
      </w:r>
      <w:r w:rsidR="00A10903" w:rsidRPr="00A10903">
        <w:rPr>
          <w:noProof/>
        </w:rPr>
        <w:t xml:space="preserve"> o</w:t>
      </w:r>
      <w:r w:rsidR="00A10903">
        <w:rPr>
          <w:noProof/>
        </w:rPr>
        <w:t> </w:t>
      </w:r>
      <w:r w:rsidR="00A10903" w:rsidRPr="00A10903">
        <w:rPr>
          <w:noProof/>
        </w:rPr>
        <w:t>któ</w:t>
      </w:r>
      <w:r w:rsidR="000A5D79" w:rsidRPr="00A10903">
        <w:rPr>
          <w:noProof/>
        </w:rPr>
        <w:t>rym mowa</w:t>
      </w:r>
      <w:r w:rsidR="00A10903" w:rsidRPr="00A10903">
        <w:rPr>
          <w:noProof/>
        </w:rPr>
        <w:t xml:space="preserve"> w</w:t>
      </w:r>
      <w:r w:rsidR="00A10903">
        <w:rPr>
          <w:noProof/>
        </w:rPr>
        <w:t> </w:t>
      </w:r>
      <w:r w:rsidR="00A10903" w:rsidRPr="00A10903">
        <w:rPr>
          <w:noProof/>
        </w:rPr>
        <w:t>tym</w:t>
      </w:r>
      <w:r w:rsidR="000A5D79" w:rsidRPr="00A10903">
        <w:rPr>
          <w:noProof/>
        </w:rPr>
        <w:t xml:space="preserve"> ustępie,</w:t>
      </w:r>
      <w:r w:rsidR="00A10903" w:rsidRPr="00A10903">
        <w:rPr>
          <w:noProof/>
        </w:rPr>
        <w:t xml:space="preserve"> w</w:t>
      </w:r>
      <w:r w:rsidR="00A10903">
        <w:rPr>
          <w:noProof/>
        </w:rPr>
        <w:t> </w:t>
      </w:r>
      <w:r w:rsidR="00A10903" w:rsidRPr="00A10903">
        <w:rPr>
          <w:noProof/>
        </w:rPr>
        <w:t>dwó</w:t>
      </w:r>
      <w:r w:rsidR="000A5D79" w:rsidRPr="00A10903">
        <w:rPr>
          <w:noProof/>
        </w:rPr>
        <w:t>ch kolejnych kwartałach</w:t>
      </w:r>
      <w:r w:rsidR="00A10903" w:rsidRPr="00A10903">
        <w:rPr>
          <w:noProof/>
        </w:rPr>
        <w:t xml:space="preserve"> w</w:t>
      </w:r>
      <w:r w:rsidR="00A10903">
        <w:rPr>
          <w:noProof/>
        </w:rPr>
        <w:t> </w:t>
      </w:r>
      <w:r w:rsidR="00A10903" w:rsidRPr="00A10903">
        <w:rPr>
          <w:noProof/>
        </w:rPr>
        <w:t>cią</w:t>
      </w:r>
      <w:r w:rsidR="000A5D79" w:rsidRPr="00A10903">
        <w:rPr>
          <w:noProof/>
        </w:rPr>
        <w:t>gu czterech kwartałów poprzedzających dzień odniesienia do celów ujawniania informacji. Jeżeli chodzi</w:t>
      </w:r>
      <w:r w:rsidR="00A10903" w:rsidRPr="00A10903">
        <w:rPr>
          <w:noProof/>
        </w:rPr>
        <w:t xml:space="preserve"> o</w:t>
      </w:r>
      <w:r w:rsidR="00A10903">
        <w:rPr>
          <w:noProof/>
        </w:rPr>
        <w:t> </w:t>
      </w:r>
      <w:r w:rsidR="00A10903" w:rsidRPr="00A10903">
        <w:rPr>
          <w:noProof/>
        </w:rPr>
        <w:t>dzi</w:t>
      </w:r>
      <w:r w:rsidR="000A5D79" w:rsidRPr="00A10903">
        <w:rPr>
          <w:noProof/>
        </w:rPr>
        <w:t>eń odniesienia do celów pierwszego ujawnienia informacji, instytucje ujawniają odnośne informacje, korzystając ze wzorów,</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tym</w:t>
      </w:r>
      <w:r w:rsidR="000A5D79" w:rsidRPr="00A10903">
        <w:rPr>
          <w:noProof/>
        </w:rPr>
        <w:t xml:space="preserve"> ustępie, jeżeli</w:t>
      </w:r>
      <w:r w:rsidR="00A10903" w:rsidRPr="00A10903">
        <w:rPr>
          <w:noProof/>
        </w:rPr>
        <w:t xml:space="preserve"> w</w:t>
      </w:r>
      <w:r w:rsidR="00A10903">
        <w:rPr>
          <w:noProof/>
        </w:rPr>
        <w:t> </w:t>
      </w:r>
      <w:r w:rsidR="00A10903" w:rsidRPr="00A10903">
        <w:rPr>
          <w:noProof/>
        </w:rPr>
        <w:t>tym</w:t>
      </w:r>
      <w:r w:rsidR="000A5D79" w:rsidRPr="00A10903">
        <w:rPr>
          <w:noProof/>
        </w:rPr>
        <w:t xml:space="preserve"> dniu odniesienia do celów ujawniania informacji przekroczą próg 5 %.</w:t>
      </w:r>
    </w:p>
    <w:p w:rsidR="000A5D79" w:rsidRPr="00A10903" w:rsidRDefault="00D26602" w:rsidP="00D26602">
      <w:pPr>
        <w:pStyle w:val="ManualNumPar1"/>
        <w:rPr>
          <w:noProof/>
        </w:rPr>
      </w:pPr>
      <w:r w:rsidRPr="00D26602">
        <w:rPr>
          <w:noProof/>
        </w:rPr>
        <w:t>5.</w:t>
      </w:r>
      <w:r w:rsidRPr="00D26602">
        <w:rPr>
          <w:noProof/>
        </w:rPr>
        <w:tab/>
      </w:r>
      <w:r w:rsidR="000A5D79" w:rsidRPr="00A10903">
        <w:rPr>
          <w:noProof/>
        </w:rPr>
        <w:t>Instytucje nie są dłużej zobowiązane do ujawniania informacji zgodnie</w:t>
      </w:r>
      <w:r w:rsidR="00A10903" w:rsidRPr="00A10903">
        <w:rPr>
          <w:noProof/>
        </w:rPr>
        <w:t xml:space="preserve"> z</w:t>
      </w:r>
      <w:r w:rsidR="00A10903">
        <w:rPr>
          <w:noProof/>
        </w:rPr>
        <w:t> </w:t>
      </w:r>
      <w:r w:rsidR="00A10903" w:rsidRPr="00A10903">
        <w:rPr>
          <w:noProof/>
        </w:rPr>
        <w:t>ust</w:t>
      </w:r>
      <w:r w:rsidR="000A5D79" w:rsidRPr="00A10903">
        <w:rPr>
          <w:noProof/>
        </w:rPr>
        <w:t>. 2, jeżeli wspomniany wskaźnik spadł poniżej progu 5 % przez trzy kolejne kwartały</w:t>
      </w:r>
      <w:r w:rsidR="00A10903" w:rsidRPr="00A10903">
        <w:rPr>
          <w:noProof/>
        </w:rPr>
        <w:t xml:space="preserve"> w</w:t>
      </w:r>
      <w:r w:rsidR="00A10903">
        <w:rPr>
          <w:noProof/>
        </w:rPr>
        <w:t> </w:t>
      </w:r>
      <w:r w:rsidR="00A10903" w:rsidRPr="00A10903">
        <w:rPr>
          <w:noProof/>
        </w:rPr>
        <w:t>cią</w:t>
      </w:r>
      <w:r w:rsidR="000A5D79" w:rsidRPr="00A10903">
        <w:rPr>
          <w:noProof/>
        </w:rPr>
        <w:t>gu czterech kwartałów poprzedzających dzień odniesienia do celów ujawniania informacji.</w:t>
      </w:r>
    </w:p>
    <w:p w:rsidR="000A5D79" w:rsidRPr="00A10903" w:rsidRDefault="000A5D79" w:rsidP="000A5D79">
      <w:pPr>
        <w:pStyle w:val="Titrearticle"/>
        <w:rPr>
          <w:noProof/>
        </w:rPr>
      </w:pPr>
      <w:r w:rsidRPr="00A10903">
        <w:rPr>
          <w:noProof/>
        </w:rPr>
        <w:t>Artykuł 10</w:t>
      </w:r>
    </w:p>
    <w:p w:rsidR="000A5D79" w:rsidRPr="00A10903" w:rsidRDefault="000A5D79" w:rsidP="000A5D79">
      <w:pPr>
        <w:pStyle w:val="Titrearticle"/>
        <w:spacing w:before="120"/>
        <w:rPr>
          <w:b/>
          <w:i w:val="0"/>
          <w:noProof/>
        </w:rPr>
      </w:pPr>
      <w:r w:rsidRPr="00A10903">
        <w:rPr>
          <w:b/>
          <w:i w:val="0"/>
          <w:noProof/>
        </w:rPr>
        <w:t xml:space="preserve">Ujawnianie informacji na temat stosowania technik ograniczania ryzyka kredytowego </w:t>
      </w:r>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453 lit.</w:t>
      </w:r>
      <w:r w:rsidR="00A10903" w:rsidRPr="00A10903">
        <w:rPr>
          <w:noProof/>
        </w:rPr>
        <w:t> </w:t>
      </w:r>
      <w:r w:rsidRPr="00A10903">
        <w:rPr>
          <w:noProof/>
        </w:rPr>
        <w:t>a)–f)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9 „Ujawnianie informacji na temat technik ograniczania ryzyka kredytowego”</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 xml:space="preserve">Artykuł 11 </w:t>
      </w:r>
    </w:p>
    <w:p w:rsidR="000A5D79" w:rsidRPr="00A10903" w:rsidRDefault="000A5D79" w:rsidP="000A5D79">
      <w:pPr>
        <w:pStyle w:val="Titrearticle"/>
        <w:spacing w:before="120"/>
        <w:rPr>
          <w:b/>
          <w:i w:val="0"/>
          <w:noProof/>
        </w:rPr>
      </w:pPr>
      <w:r w:rsidRPr="00A10903">
        <w:rPr>
          <w:b/>
          <w:i w:val="0"/>
          <w:noProof/>
        </w:rPr>
        <w:t>Ujawnianie informacji na temat stosowania metody standardowej</w:t>
      </w:r>
    </w:p>
    <w:p w:rsidR="000A5D79" w:rsidRPr="00A10903" w:rsidRDefault="000A5D79" w:rsidP="000A5D79">
      <w:pPr>
        <w:rPr>
          <w:noProof/>
        </w:rPr>
      </w:pPr>
      <w:r w:rsidRPr="00A10903">
        <w:rPr>
          <w:noProof/>
        </w:rPr>
        <w:t>Instytucje obliczające kwoty ekspozycji ważonych ryzykiem według metody standardowej ujawniają następujące informacje</w:t>
      </w:r>
      <w:r w:rsidRPr="00A10903">
        <w:rPr>
          <w:b/>
          <w:noProof/>
        </w:rPr>
        <w:t xml:space="preserve"> </w:t>
      </w:r>
      <w:r w:rsidRPr="00A10903">
        <w:rPr>
          <w:noProof/>
        </w:rPr>
        <w:t>na temat stosowania metody standardowej:</w:t>
      </w:r>
    </w:p>
    <w:p w:rsidR="000A5D79" w:rsidRPr="00A10903" w:rsidRDefault="00A10903" w:rsidP="00A10903">
      <w:pPr>
        <w:pStyle w:val="Point0"/>
        <w:rPr>
          <w:noProof/>
        </w:rPr>
      </w:pPr>
      <w:r>
        <w:rPr>
          <w:noProof/>
        </w:rPr>
        <w:t>a)</w:t>
      </w:r>
      <w:r>
        <w:rPr>
          <w:noProof/>
        </w:rPr>
        <w:tab/>
      </w:r>
      <w:r w:rsidR="000A5D79" w:rsidRPr="00A10903">
        <w:rPr>
          <w:noProof/>
        </w:rPr>
        <w:t>informacje,</w:t>
      </w:r>
      <w:r w:rsidRPr="00A10903">
        <w:rPr>
          <w:noProof/>
        </w:rPr>
        <w:t xml:space="preserve"> o</w:t>
      </w:r>
      <w:r>
        <w:rPr>
          <w:noProof/>
        </w:rPr>
        <w:t> </w:t>
      </w:r>
      <w:r w:rsidRPr="00A10903">
        <w:rPr>
          <w:noProof/>
        </w:rPr>
        <w:t>któ</w:t>
      </w:r>
      <w:r w:rsidR="000A5D79" w:rsidRPr="00A10903">
        <w:rPr>
          <w:noProof/>
        </w:rPr>
        <w:t>rych mowa</w:t>
      </w:r>
      <w:r w:rsidRPr="00A10903">
        <w:rPr>
          <w:noProof/>
        </w:rPr>
        <w:t xml:space="preserve"> w</w:t>
      </w:r>
      <w:r>
        <w:rPr>
          <w:noProof/>
        </w:rPr>
        <w:t> </w:t>
      </w:r>
      <w:r w:rsidRPr="00A10903">
        <w:rPr>
          <w:noProof/>
        </w:rPr>
        <w:t>art</w:t>
      </w:r>
      <w:r w:rsidR="000A5D79" w:rsidRPr="00A10903">
        <w:rPr>
          <w:noProof/>
        </w:rPr>
        <w:t>.</w:t>
      </w:r>
      <w:r w:rsidRPr="00A10903">
        <w:rPr>
          <w:noProof/>
        </w:rPr>
        <w:t> </w:t>
      </w:r>
      <w:r w:rsidR="000A5D79" w:rsidRPr="00A10903">
        <w:rPr>
          <w:noProof/>
        </w:rPr>
        <w:t>444 lit.</w:t>
      </w:r>
      <w:r w:rsidRPr="00A10903">
        <w:rPr>
          <w:noProof/>
        </w:rPr>
        <w:t> </w:t>
      </w:r>
      <w:r w:rsidR="000A5D79" w:rsidRPr="00A10903">
        <w:rPr>
          <w:noProof/>
        </w:rPr>
        <w:t>a)–e) oraz informacje,</w:t>
      </w:r>
      <w:r w:rsidRPr="00A10903">
        <w:rPr>
          <w:noProof/>
        </w:rPr>
        <w:t xml:space="preserve"> o</w:t>
      </w:r>
      <w:r>
        <w:rPr>
          <w:noProof/>
        </w:rPr>
        <w:t> </w:t>
      </w:r>
      <w:r w:rsidRPr="00A10903">
        <w:rPr>
          <w:noProof/>
        </w:rPr>
        <w:t>któ</w:t>
      </w:r>
      <w:r w:rsidR="000A5D79" w:rsidRPr="00A10903">
        <w:rPr>
          <w:noProof/>
        </w:rPr>
        <w:t>rych mowa</w:t>
      </w:r>
      <w:r w:rsidRPr="00A10903">
        <w:rPr>
          <w:noProof/>
        </w:rPr>
        <w:t xml:space="preserve"> w</w:t>
      </w:r>
      <w:r>
        <w:rPr>
          <w:noProof/>
        </w:rPr>
        <w:t> </w:t>
      </w:r>
      <w:r w:rsidRPr="00A10903">
        <w:rPr>
          <w:noProof/>
        </w:rPr>
        <w:t>art</w:t>
      </w:r>
      <w:r w:rsidR="000A5D79" w:rsidRPr="00A10903">
        <w:rPr>
          <w:noProof/>
        </w:rPr>
        <w:t>.</w:t>
      </w:r>
      <w:r w:rsidRPr="00A10903">
        <w:rPr>
          <w:noProof/>
        </w:rPr>
        <w:t> </w:t>
      </w:r>
      <w:r w:rsidR="000A5D79" w:rsidRPr="00A10903">
        <w:rPr>
          <w:noProof/>
        </w:rPr>
        <w:t>453 lit.</w:t>
      </w:r>
      <w:r w:rsidRPr="00A10903">
        <w:rPr>
          <w:noProof/>
        </w:rPr>
        <w:t> </w:t>
      </w:r>
      <w:r w:rsidR="000A5D79" w:rsidRPr="00A10903">
        <w:rPr>
          <w:noProof/>
        </w:rPr>
        <w:t>g), h) oraz i) rozporządzenia (UE) nr</w:t>
      </w:r>
      <w:r w:rsidRPr="00A10903">
        <w:rPr>
          <w:noProof/>
        </w:rPr>
        <w:t> </w:t>
      </w:r>
      <w:r w:rsidR="000A5D79" w:rsidRPr="00A10903">
        <w:rPr>
          <w:noProof/>
        </w:rPr>
        <w:t>575/2013, jak określono</w:t>
      </w:r>
      <w:r w:rsidRPr="00A10903">
        <w:rPr>
          <w:noProof/>
        </w:rPr>
        <w:t xml:space="preserve"> w</w:t>
      </w:r>
      <w:r>
        <w:rPr>
          <w:noProof/>
        </w:rPr>
        <w:t> </w:t>
      </w:r>
      <w:r w:rsidRPr="00A10903">
        <w:rPr>
          <w:noProof/>
        </w:rPr>
        <w:t>sek</w:t>
      </w:r>
      <w:r w:rsidR="000A5D79" w:rsidRPr="00A10903">
        <w:rPr>
          <w:noProof/>
        </w:rPr>
        <w:t>cji 10 „Ujawnianie informacji na temat standardowej metody obliczania ryzyka kredytowego”</w:t>
      </w:r>
      <w:r w:rsidRPr="00A10903">
        <w:rPr>
          <w:noProof/>
        </w:rPr>
        <w:t xml:space="preserve"> w</w:t>
      </w:r>
      <w:r>
        <w:rPr>
          <w:noProof/>
        </w:rPr>
        <w:t> </w:t>
      </w:r>
      <w:r w:rsidRPr="00A10903">
        <w:rPr>
          <w:noProof/>
        </w:rPr>
        <w:t>zał</w:t>
      </w:r>
      <w:r w:rsidR="000A5D79" w:rsidRPr="00A10903">
        <w:rPr>
          <w:noProof/>
        </w:rPr>
        <w:t>ączniku I;</w:t>
      </w:r>
    </w:p>
    <w:p w:rsidR="000A5D79" w:rsidRPr="00A10903" w:rsidRDefault="00A10903" w:rsidP="00A10903">
      <w:pPr>
        <w:pStyle w:val="Point0"/>
        <w:rPr>
          <w:noProof/>
        </w:rPr>
      </w:pPr>
      <w:r>
        <w:rPr>
          <w:noProof/>
        </w:rPr>
        <w:t>b)</w:t>
      </w:r>
      <w:r>
        <w:rPr>
          <w:noProof/>
        </w:rPr>
        <w:tab/>
      </w:r>
      <w:r w:rsidR="000A5D79" w:rsidRPr="00A10903">
        <w:rPr>
          <w:noProof/>
        </w:rPr>
        <w:t>informacje na temat wartości ekspozycji odliczonych od funduszy własnych,</w:t>
      </w:r>
      <w:r w:rsidRPr="00A10903">
        <w:rPr>
          <w:noProof/>
        </w:rPr>
        <w:t xml:space="preserve"> o</w:t>
      </w:r>
      <w:r>
        <w:rPr>
          <w:noProof/>
        </w:rPr>
        <w:t> </w:t>
      </w:r>
      <w:r w:rsidRPr="00A10903">
        <w:rPr>
          <w:noProof/>
        </w:rPr>
        <w:t>któ</w:t>
      </w:r>
      <w:r w:rsidR="000A5D79" w:rsidRPr="00A10903">
        <w:rPr>
          <w:noProof/>
        </w:rPr>
        <w:t>rych mowa</w:t>
      </w:r>
      <w:r w:rsidRPr="00A10903">
        <w:rPr>
          <w:noProof/>
        </w:rPr>
        <w:t xml:space="preserve"> w</w:t>
      </w:r>
      <w:r>
        <w:rPr>
          <w:noProof/>
        </w:rPr>
        <w:t> </w:t>
      </w:r>
      <w:r w:rsidRPr="00A10903">
        <w:rPr>
          <w:noProof/>
        </w:rPr>
        <w:t>art</w:t>
      </w:r>
      <w:r w:rsidR="000A5D79" w:rsidRPr="00A10903">
        <w:rPr>
          <w:noProof/>
        </w:rPr>
        <w:t>.</w:t>
      </w:r>
      <w:r w:rsidRPr="00A10903">
        <w:rPr>
          <w:noProof/>
        </w:rPr>
        <w:t> </w:t>
      </w:r>
      <w:r w:rsidR="000A5D79" w:rsidRPr="00A10903">
        <w:rPr>
          <w:noProof/>
        </w:rPr>
        <w:t>444 lit.</w:t>
      </w:r>
      <w:r w:rsidRPr="00A10903">
        <w:rPr>
          <w:noProof/>
        </w:rPr>
        <w:t> </w:t>
      </w:r>
      <w:r w:rsidR="000A5D79" w:rsidRPr="00A10903">
        <w:rPr>
          <w:noProof/>
        </w:rPr>
        <w:t>e) rozporządzenia (UE) nr</w:t>
      </w:r>
      <w:r w:rsidRPr="00A10903">
        <w:rPr>
          <w:noProof/>
        </w:rPr>
        <w:t> </w:t>
      </w:r>
      <w:r w:rsidR="000A5D79" w:rsidRPr="00A10903">
        <w:rPr>
          <w:noProof/>
        </w:rPr>
        <w:t>575/2013, jak określono</w:t>
      </w:r>
      <w:r w:rsidRPr="00A10903">
        <w:rPr>
          <w:noProof/>
        </w:rPr>
        <w:t xml:space="preserve"> w</w:t>
      </w:r>
      <w:r>
        <w:rPr>
          <w:noProof/>
        </w:rPr>
        <w:t> </w:t>
      </w:r>
      <w:r w:rsidRPr="00A10903">
        <w:rPr>
          <w:noProof/>
        </w:rPr>
        <w:t>sek</w:t>
      </w:r>
      <w:r w:rsidR="000A5D79" w:rsidRPr="00A10903">
        <w:rPr>
          <w:noProof/>
        </w:rPr>
        <w:t>cji 4 „Ujawnianie informacji na temat funduszy własnych”</w:t>
      </w:r>
      <w:r w:rsidRPr="00A10903">
        <w:rPr>
          <w:noProof/>
        </w:rPr>
        <w:t xml:space="preserve"> w</w:t>
      </w:r>
      <w:r>
        <w:rPr>
          <w:noProof/>
        </w:rPr>
        <w:t> </w:t>
      </w:r>
      <w:r w:rsidRPr="00A10903">
        <w:rPr>
          <w:noProof/>
        </w:rPr>
        <w:t>zał</w:t>
      </w:r>
      <w:r w:rsidR="000A5D79" w:rsidRPr="00A10903">
        <w:rPr>
          <w:noProof/>
        </w:rPr>
        <w:t xml:space="preserve">ączniku I. </w:t>
      </w:r>
    </w:p>
    <w:p w:rsidR="000A5D79" w:rsidRPr="00A10903" w:rsidRDefault="000A5D79" w:rsidP="000A5D79">
      <w:pPr>
        <w:pStyle w:val="Titrearticle"/>
        <w:rPr>
          <w:noProof/>
        </w:rPr>
      </w:pPr>
      <w:r w:rsidRPr="00A10903">
        <w:rPr>
          <w:noProof/>
        </w:rPr>
        <w:t>Artykuł 12</w:t>
      </w:r>
    </w:p>
    <w:p w:rsidR="000A5D79" w:rsidRPr="00A10903" w:rsidRDefault="000A5D79" w:rsidP="000A5D79">
      <w:pPr>
        <w:pStyle w:val="Titrearticle"/>
        <w:spacing w:before="120"/>
        <w:rPr>
          <w:b/>
          <w:i w:val="0"/>
          <w:noProof/>
        </w:rPr>
      </w:pPr>
      <w:r w:rsidRPr="00A10903">
        <w:rPr>
          <w:b/>
          <w:i w:val="0"/>
          <w:noProof/>
        </w:rPr>
        <w:t>Ujawnianie informacji na temat stosowania metody IRB</w:t>
      </w:r>
      <w:r w:rsidR="00A10903" w:rsidRPr="00A10903">
        <w:rPr>
          <w:b/>
          <w:i w:val="0"/>
          <w:noProof/>
        </w:rPr>
        <w:t xml:space="preserve"> w</w:t>
      </w:r>
      <w:r w:rsidR="00A10903">
        <w:rPr>
          <w:b/>
          <w:i w:val="0"/>
          <w:noProof/>
        </w:rPr>
        <w:t> </w:t>
      </w:r>
      <w:r w:rsidR="00A10903" w:rsidRPr="00A10903">
        <w:rPr>
          <w:b/>
          <w:i w:val="0"/>
          <w:noProof/>
        </w:rPr>
        <w:t>odn</w:t>
      </w:r>
      <w:r w:rsidRPr="00A10903">
        <w:rPr>
          <w:b/>
          <w:i w:val="0"/>
          <w:noProof/>
        </w:rPr>
        <w:t>iesieniu do ryzyka kredytowego</w:t>
      </w:r>
    </w:p>
    <w:p w:rsidR="000A5D79" w:rsidRPr="00A10903" w:rsidRDefault="000A5D79" w:rsidP="000A5D79">
      <w:pPr>
        <w:rPr>
          <w:noProof/>
        </w:rPr>
      </w:pPr>
      <w:r w:rsidRPr="00A10903">
        <w:rPr>
          <w:noProof/>
        </w:rPr>
        <w:t>Instytucje obliczające kwoty ekspozycji ważonych ryzykiem według metody IRB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438 lit.</w:t>
      </w:r>
      <w:r w:rsidR="00A10903" w:rsidRPr="00A10903">
        <w:rPr>
          <w:noProof/>
        </w:rPr>
        <w:t> </w:t>
      </w:r>
      <w:r w:rsidRPr="00A10903">
        <w:rPr>
          <w:noProof/>
        </w:rPr>
        <w:t>h), art.</w:t>
      </w:r>
      <w:r w:rsidR="00A10903" w:rsidRPr="00A10903">
        <w:rPr>
          <w:noProof/>
        </w:rPr>
        <w:t> </w:t>
      </w:r>
      <w:r w:rsidRPr="00A10903">
        <w:rPr>
          <w:noProof/>
        </w:rPr>
        <w:t>452 lit.</w:t>
      </w:r>
      <w:r w:rsidR="00A10903" w:rsidRPr="00A10903">
        <w:rPr>
          <w:noProof/>
        </w:rPr>
        <w:t> </w:t>
      </w:r>
      <w:r w:rsidRPr="00A10903">
        <w:rPr>
          <w:noProof/>
        </w:rPr>
        <w:t>a)–h) oraz art.</w:t>
      </w:r>
      <w:r w:rsidR="00A10903" w:rsidRPr="00A10903">
        <w:rPr>
          <w:noProof/>
        </w:rPr>
        <w:t> </w:t>
      </w:r>
      <w:r w:rsidRPr="00A10903">
        <w:rPr>
          <w:noProof/>
        </w:rPr>
        <w:t>453 lit.</w:t>
      </w:r>
      <w:r w:rsidR="00A10903" w:rsidRPr="00A10903">
        <w:rPr>
          <w:noProof/>
        </w:rPr>
        <w:t> </w:t>
      </w:r>
      <w:r w:rsidRPr="00A10903">
        <w:rPr>
          <w:noProof/>
        </w:rPr>
        <w:t>g) i j) rozporządzenia (UE) nr</w:t>
      </w:r>
      <w:r w:rsidR="00A10903" w:rsidRPr="00A10903">
        <w:rPr>
          <w:noProof/>
        </w:rPr>
        <w:t> </w:t>
      </w:r>
      <w:r w:rsidRPr="00A10903">
        <w:rPr>
          <w:noProof/>
        </w:rPr>
        <w:t xml:space="preserve">575/2013, </w:t>
      </w:r>
      <w:bookmarkStart w:id="4" w:name="_Hlk168654209"/>
      <w:r w:rsidRPr="00A10903">
        <w:rPr>
          <w:noProof/>
        </w:rPr>
        <w:t>jak określono</w:t>
      </w:r>
      <w:r w:rsidR="00A10903" w:rsidRPr="00A10903">
        <w:rPr>
          <w:noProof/>
        </w:rPr>
        <w:t xml:space="preserve"> w</w:t>
      </w:r>
      <w:r w:rsidR="00A10903">
        <w:rPr>
          <w:noProof/>
        </w:rPr>
        <w:t> </w:t>
      </w:r>
      <w:r w:rsidR="00A10903" w:rsidRPr="00A10903">
        <w:rPr>
          <w:noProof/>
        </w:rPr>
        <w:t>sek</w:t>
      </w:r>
      <w:r w:rsidRPr="00A10903">
        <w:rPr>
          <w:noProof/>
        </w:rPr>
        <w:t>cji 11 „Ujawnianie informacji na temat metody IRB dotyczącej ryzyka kredytowego”</w:t>
      </w:r>
      <w:r w:rsidR="00A10903" w:rsidRPr="00A10903">
        <w:rPr>
          <w:noProof/>
        </w:rPr>
        <w:t xml:space="preserve"> w</w:t>
      </w:r>
      <w:r w:rsidR="00A10903">
        <w:rPr>
          <w:noProof/>
        </w:rPr>
        <w:t> </w:t>
      </w:r>
      <w:r w:rsidR="00A10903" w:rsidRPr="00A10903">
        <w:rPr>
          <w:noProof/>
        </w:rPr>
        <w:t>zał</w:t>
      </w:r>
      <w:r w:rsidRPr="00A10903">
        <w:rPr>
          <w:noProof/>
        </w:rPr>
        <w:t>ączniku I.</w:t>
      </w:r>
    </w:p>
    <w:bookmarkEnd w:id="4"/>
    <w:p w:rsidR="000A5D79" w:rsidRPr="00A10903" w:rsidRDefault="000A5D79" w:rsidP="000A5D79">
      <w:pPr>
        <w:pStyle w:val="Titrearticle"/>
        <w:rPr>
          <w:noProof/>
        </w:rPr>
      </w:pPr>
      <w:r w:rsidRPr="00A10903">
        <w:rPr>
          <w:noProof/>
        </w:rPr>
        <w:t>Artykuł 13</w:t>
      </w:r>
    </w:p>
    <w:p w:rsidR="000A5D79" w:rsidRPr="00A10903" w:rsidRDefault="000A5D79" w:rsidP="000A5D79">
      <w:pPr>
        <w:pStyle w:val="Titrearticle"/>
        <w:spacing w:before="120"/>
        <w:rPr>
          <w:b/>
          <w:i w:val="0"/>
          <w:noProof/>
        </w:rPr>
      </w:pPr>
      <w:r w:rsidRPr="00A10903">
        <w:rPr>
          <w:b/>
          <w:i w:val="0"/>
          <w:noProof/>
        </w:rPr>
        <w:t>Ujawnianie informacji na temat ekspozycji</w:t>
      </w:r>
      <w:r w:rsidR="00A10903" w:rsidRPr="00A10903">
        <w:rPr>
          <w:b/>
          <w:i w:val="0"/>
          <w:noProof/>
        </w:rPr>
        <w:t xml:space="preserve"> z</w:t>
      </w:r>
      <w:r w:rsidR="00A10903">
        <w:rPr>
          <w:b/>
          <w:i w:val="0"/>
          <w:noProof/>
        </w:rPr>
        <w:t> </w:t>
      </w:r>
      <w:r w:rsidR="00A10903" w:rsidRPr="00A10903">
        <w:rPr>
          <w:b/>
          <w:i w:val="0"/>
          <w:noProof/>
        </w:rPr>
        <w:t>tyt</w:t>
      </w:r>
      <w:r w:rsidRPr="00A10903">
        <w:rPr>
          <w:b/>
          <w:i w:val="0"/>
          <w:noProof/>
        </w:rPr>
        <w:t>ułu kredytowania specjalistycznego oraz ekspozycji kapitałowych</w:t>
      </w:r>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438 lit.</w:t>
      </w:r>
      <w:r w:rsidR="00A10903" w:rsidRPr="00A10903">
        <w:rPr>
          <w:noProof/>
        </w:rPr>
        <w:t> </w:t>
      </w:r>
      <w:r w:rsidRPr="00A10903">
        <w:rPr>
          <w:noProof/>
        </w:rPr>
        <w:t>e)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12 „Ujawnianie informacji na temat ekspozycji</w:t>
      </w:r>
      <w:r w:rsidR="00A10903" w:rsidRPr="00A10903">
        <w:rPr>
          <w:noProof/>
        </w:rPr>
        <w:t xml:space="preserve"> z</w:t>
      </w:r>
      <w:r w:rsidR="00A10903">
        <w:rPr>
          <w:noProof/>
        </w:rPr>
        <w:t> </w:t>
      </w:r>
      <w:r w:rsidR="00A10903" w:rsidRPr="00A10903">
        <w:rPr>
          <w:noProof/>
        </w:rPr>
        <w:t>tyt</w:t>
      </w:r>
      <w:r w:rsidRPr="00A10903">
        <w:rPr>
          <w:noProof/>
        </w:rPr>
        <w:t>ułu kredytowania specjalistycznego oraz ekspozycji kapitałowych”</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Artykuł 14</w:t>
      </w:r>
    </w:p>
    <w:p w:rsidR="000A5D79" w:rsidRPr="00A10903" w:rsidRDefault="000A5D79" w:rsidP="000A5D79">
      <w:pPr>
        <w:pStyle w:val="Titrearticle"/>
        <w:spacing w:before="120"/>
        <w:rPr>
          <w:b/>
          <w:i w:val="0"/>
          <w:noProof/>
        </w:rPr>
      </w:pPr>
      <w:r w:rsidRPr="00A10903">
        <w:rPr>
          <w:b/>
          <w:i w:val="0"/>
          <w:noProof/>
        </w:rPr>
        <w:t>Ujawnianie informacji na temat ekspozycji na ryzyko kredytowe kontrahenta</w:t>
      </w:r>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438 lit.</w:t>
      </w:r>
      <w:r w:rsidR="00A10903" w:rsidRPr="00A10903">
        <w:rPr>
          <w:noProof/>
        </w:rPr>
        <w:t> </w:t>
      </w:r>
      <w:r w:rsidRPr="00A10903">
        <w:rPr>
          <w:noProof/>
        </w:rPr>
        <w:t>h) oraz art.</w:t>
      </w:r>
      <w:r w:rsidR="00A10903" w:rsidRPr="00A10903">
        <w:rPr>
          <w:noProof/>
        </w:rPr>
        <w:t> </w:t>
      </w:r>
      <w:r w:rsidRPr="00A10903">
        <w:rPr>
          <w:noProof/>
        </w:rPr>
        <w:t>439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13 „Ujawnianie informacji na temat ryzyka kredytowego kontrahenta”</w:t>
      </w:r>
      <w:r w:rsidR="00A10903" w:rsidRPr="00A10903">
        <w:rPr>
          <w:noProof/>
        </w:rPr>
        <w:t xml:space="preserve"> w</w:t>
      </w:r>
      <w:r w:rsidR="00A10903">
        <w:rPr>
          <w:noProof/>
        </w:rPr>
        <w:t> </w:t>
      </w:r>
      <w:r w:rsidR="00A10903" w:rsidRPr="00A10903">
        <w:rPr>
          <w:noProof/>
        </w:rPr>
        <w:t>zał</w:t>
      </w:r>
      <w:r w:rsidRPr="00A10903">
        <w:rPr>
          <w:noProof/>
        </w:rPr>
        <w:t xml:space="preserve">ączniku I. </w:t>
      </w:r>
    </w:p>
    <w:p w:rsidR="000A5D79" w:rsidRPr="00A10903" w:rsidRDefault="000A5D79" w:rsidP="000A5D79">
      <w:pPr>
        <w:pStyle w:val="Titrearticle"/>
        <w:rPr>
          <w:noProof/>
        </w:rPr>
      </w:pPr>
      <w:r w:rsidRPr="00A10903">
        <w:rPr>
          <w:noProof/>
        </w:rPr>
        <w:t>Artykuł 15</w:t>
      </w:r>
    </w:p>
    <w:p w:rsidR="000A5D79" w:rsidRPr="00A10903" w:rsidRDefault="000A5D79" w:rsidP="000A5D79">
      <w:pPr>
        <w:pStyle w:val="Titrearticle"/>
        <w:spacing w:before="120"/>
        <w:rPr>
          <w:b/>
          <w:i w:val="0"/>
          <w:noProof/>
        </w:rPr>
      </w:pPr>
      <w:bookmarkStart w:id="5" w:name="_Hlk163217793"/>
      <w:r w:rsidRPr="00A10903">
        <w:rPr>
          <w:b/>
          <w:i w:val="0"/>
          <w:noProof/>
        </w:rPr>
        <w:t xml:space="preserve">Ujawnianie informacji na temat ekspozycji na pozycje sekurytyzacyjne </w:t>
      </w:r>
      <w:bookmarkEnd w:id="5"/>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449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14 „Ujawnianie informacji na temat ekspozycji na pozycje sekurytyzacyjne”</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Artykuł 16</w:t>
      </w:r>
    </w:p>
    <w:p w:rsidR="000A5D79" w:rsidRPr="00A10903" w:rsidRDefault="000A5D79" w:rsidP="000A5D79">
      <w:pPr>
        <w:pStyle w:val="Titrearticle"/>
        <w:spacing w:before="120"/>
        <w:rPr>
          <w:b/>
          <w:i w:val="0"/>
          <w:noProof/>
        </w:rPr>
      </w:pPr>
      <w:r w:rsidRPr="00A10903">
        <w:rPr>
          <w:b/>
          <w:i w:val="0"/>
          <w:noProof/>
        </w:rPr>
        <w:t>Ujawnianie informacji na temat stosowania metody standardowej</w:t>
      </w:r>
      <w:r w:rsidR="00A10903" w:rsidRPr="00A10903">
        <w:rPr>
          <w:b/>
          <w:i w:val="0"/>
          <w:noProof/>
        </w:rPr>
        <w:t xml:space="preserve"> i</w:t>
      </w:r>
      <w:r w:rsidR="00A10903">
        <w:rPr>
          <w:b/>
          <w:i w:val="0"/>
          <w:noProof/>
        </w:rPr>
        <w:t> </w:t>
      </w:r>
      <w:r w:rsidR="00A10903" w:rsidRPr="00A10903">
        <w:rPr>
          <w:b/>
          <w:i w:val="0"/>
          <w:noProof/>
        </w:rPr>
        <w:t>alt</w:t>
      </w:r>
      <w:r w:rsidRPr="00A10903">
        <w:rPr>
          <w:b/>
          <w:i w:val="0"/>
          <w:noProof/>
        </w:rPr>
        <w:t>ernatywnych modeli wewnętrznych</w:t>
      </w:r>
      <w:r w:rsidR="00A10903" w:rsidRPr="00A10903">
        <w:rPr>
          <w:b/>
          <w:i w:val="0"/>
          <w:noProof/>
        </w:rPr>
        <w:t xml:space="preserve"> w</w:t>
      </w:r>
      <w:r w:rsidR="00A10903">
        <w:rPr>
          <w:b/>
          <w:i w:val="0"/>
          <w:noProof/>
        </w:rPr>
        <w:t> </w:t>
      </w:r>
      <w:r w:rsidR="00A10903" w:rsidRPr="00A10903">
        <w:rPr>
          <w:b/>
          <w:i w:val="0"/>
          <w:noProof/>
        </w:rPr>
        <w:t>odn</w:t>
      </w:r>
      <w:r w:rsidRPr="00A10903">
        <w:rPr>
          <w:b/>
          <w:i w:val="0"/>
          <w:noProof/>
        </w:rPr>
        <w:t>iesieniu do ryzyka rynkowego</w:t>
      </w:r>
    </w:p>
    <w:p w:rsidR="000A5D79" w:rsidRPr="00A10903" w:rsidRDefault="00D26602" w:rsidP="00D26602">
      <w:pPr>
        <w:pStyle w:val="ManualNumPar1"/>
        <w:rPr>
          <w:noProof/>
        </w:rPr>
      </w:pPr>
      <w:r w:rsidRPr="00D26602">
        <w:rPr>
          <w:noProof/>
        </w:rPr>
        <w:t>1.</w:t>
      </w:r>
      <w:r w:rsidRPr="00D26602">
        <w:rPr>
          <w:noProof/>
        </w:rPr>
        <w:tab/>
      </w:r>
      <w:r w:rsidR="000A5D79" w:rsidRPr="00A10903">
        <w:rPr>
          <w:noProof/>
        </w:rPr>
        <w:t>Instytucje ujawniają informacje,</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435 ust.1 lit.</w:t>
      </w:r>
      <w:r w:rsidR="00A10903" w:rsidRPr="00A10903">
        <w:rPr>
          <w:noProof/>
        </w:rPr>
        <w:t> </w:t>
      </w:r>
      <w:r w:rsidR="000A5D79" w:rsidRPr="00A10903">
        <w:rPr>
          <w:noProof/>
        </w:rPr>
        <w:t>a)–d), art.</w:t>
      </w:r>
      <w:r w:rsidR="00A10903" w:rsidRPr="00A10903">
        <w:rPr>
          <w:noProof/>
        </w:rPr>
        <w:t> </w:t>
      </w:r>
      <w:r w:rsidR="000A5D79" w:rsidRPr="00A10903">
        <w:rPr>
          <w:noProof/>
        </w:rPr>
        <w:t>438, art.</w:t>
      </w:r>
      <w:r w:rsidR="00A10903" w:rsidRPr="00A10903">
        <w:rPr>
          <w:noProof/>
        </w:rPr>
        <w:t> </w:t>
      </w:r>
      <w:r w:rsidR="000A5D79" w:rsidRPr="00A10903">
        <w:rPr>
          <w:noProof/>
        </w:rPr>
        <w:t>445 ust.</w:t>
      </w:r>
      <w:r w:rsidR="00A10903" w:rsidRPr="00A10903">
        <w:rPr>
          <w:noProof/>
        </w:rPr>
        <w:t> </w:t>
      </w:r>
      <w:r w:rsidR="000A5D79" w:rsidRPr="00A10903">
        <w:rPr>
          <w:noProof/>
        </w:rPr>
        <w:t>1</w:t>
      </w:r>
      <w:r w:rsidR="00A10903" w:rsidRPr="00A10903">
        <w:rPr>
          <w:noProof/>
        </w:rPr>
        <w:t xml:space="preserve"> i</w:t>
      </w:r>
      <w:r w:rsidR="00A10903">
        <w:rPr>
          <w:noProof/>
        </w:rPr>
        <w:t> </w:t>
      </w:r>
      <w:r w:rsidR="00A10903" w:rsidRPr="00A10903">
        <w:rPr>
          <w:noProof/>
        </w:rPr>
        <w:t>2</w:t>
      </w:r>
      <w:r w:rsidR="000A5D79" w:rsidRPr="00A10903">
        <w:rPr>
          <w:noProof/>
        </w:rPr>
        <w:t>, art.</w:t>
      </w:r>
      <w:r w:rsidR="00A10903" w:rsidRPr="00A10903">
        <w:rPr>
          <w:noProof/>
        </w:rPr>
        <w:t> </w:t>
      </w:r>
      <w:r w:rsidR="000A5D79" w:rsidRPr="00A10903">
        <w:rPr>
          <w:noProof/>
        </w:rPr>
        <w:t>455 ust.</w:t>
      </w:r>
      <w:r w:rsidR="00A10903" w:rsidRPr="00A10903">
        <w:rPr>
          <w:noProof/>
        </w:rPr>
        <w:t> </w:t>
      </w:r>
      <w:r w:rsidR="000A5D79" w:rsidRPr="00A10903">
        <w:rPr>
          <w:noProof/>
        </w:rPr>
        <w:t>1 lit.</w:t>
      </w:r>
      <w:r w:rsidR="00A10903" w:rsidRPr="00A10903">
        <w:rPr>
          <w:noProof/>
        </w:rPr>
        <w:t> </w:t>
      </w:r>
      <w:r w:rsidR="000A5D79" w:rsidRPr="00A10903">
        <w:rPr>
          <w:noProof/>
        </w:rPr>
        <w:t>a)–f) oraz art.</w:t>
      </w:r>
      <w:r w:rsidR="00A10903" w:rsidRPr="00A10903">
        <w:rPr>
          <w:noProof/>
        </w:rPr>
        <w:t> </w:t>
      </w:r>
      <w:r w:rsidR="000A5D79" w:rsidRPr="00A10903">
        <w:rPr>
          <w:noProof/>
        </w:rPr>
        <w:t>455 ust.</w:t>
      </w:r>
      <w:r w:rsidR="00A10903" w:rsidRPr="00A10903">
        <w:rPr>
          <w:noProof/>
        </w:rPr>
        <w:t> </w:t>
      </w:r>
      <w:r w:rsidR="000A5D79" w:rsidRPr="00A10903">
        <w:rPr>
          <w:noProof/>
        </w:rPr>
        <w:t>2</w:t>
      </w:r>
      <w:r w:rsidR="00A10903" w:rsidRPr="00A10903">
        <w:rPr>
          <w:noProof/>
        </w:rPr>
        <w:t xml:space="preserve"> i</w:t>
      </w:r>
      <w:r w:rsidR="00A10903">
        <w:rPr>
          <w:noProof/>
        </w:rPr>
        <w:t> </w:t>
      </w:r>
      <w:r w:rsidR="00A10903" w:rsidRPr="00A10903">
        <w:rPr>
          <w:noProof/>
        </w:rPr>
        <w:t>3</w:t>
      </w:r>
      <w:r w:rsidR="000A5D79" w:rsidRPr="00A10903">
        <w:rPr>
          <w:noProof/>
        </w:rPr>
        <w:t xml:space="preserve"> rozporządzenia (UE) nr</w:t>
      </w:r>
      <w:r w:rsidR="00A10903" w:rsidRPr="00A10903">
        <w:rPr>
          <w:noProof/>
        </w:rPr>
        <w:t> </w:t>
      </w:r>
      <w:r w:rsidR="000A5D79" w:rsidRPr="00A10903">
        <w:rPr>
          <w:noProof/>
        </w:rPr>
        <w:t>575/2013, jak określono</w:t>
      </w:r>
      <w:r w:rsidR="00A10903" w:rsidRPr="00A10903">
        <w:rPr>
          <w:noProof/>
        </w:rPr>
        <w:t xml:space="preserve"> w</w:t>
      </w:r>
      <w:r w:rsidR="00A10903">
        <w:rPr>
          <w:noProof/>
        </w:rPr>
        <w:t> </w:t>
      </w:r>
      <w:r w:rsidR="00A10903" w:rsidRPr="00A10903">
        <w:rPr>
          <w:noProof/>
        </w:rPr>
        <w:t>sek</w:t>
      </w:r>
      <w:r w:rsidR="000A5D79" w:rsidRPr="00A10903">
        <w:rPr>
          <w:noProof/>
        </w:rPr>
        <w:t>cji 15 „Ujawnianie informacji na temat ryzyka rynkowego”</w:t>
      </w:r>
      <w:r w:rsidR="00A10903" w:rsidRPr="00A10903">
        <w:rPr>
          <w:noProof/>
        </w:rPr>
        <w:t xml:space="preserve"> w</w:t>
      </w:r>
      <w:r w:rsidR="00A10903">
        <w:rPr>
          <w:noProof/>
        </w:rPr>
        <w:t> </w:t>
      </w:r>
      <w:r w:rsidR="00A10903" w:rsidRPr="00A10903">
        <w:rPr>
          <w:noProof/>
        </w:rPr>
        <w:t>zał</w:t>
      </w:r>
      <w:r w:rsidR="000A5D79" w:rsidRPr="00A10903">
        <w:rPr>
          <w:noProof/>
        </w:rPr>
        <w:t>ączniku I.</w:t>
      </w:r>
    </w:p>
    <w:p w:rsidR="000A5D79" w:rsidRPr="00A10903" w:rsidRDefault="00D26602" w:rsidP="00D26602">
      <w:pPr>
        <w:pStyle w:val="ManualNumPar1"/>
        <w:rPr>
          <w:noProof/>
        </w:rPr>
      </w:pPr>
      <w:r w:rsidRPr="00D26602">
        <w:rPr>
          <w:noProof/>
        </w:rPr>
        <w:t>2.</w:t>
      </w:r>
      <w:r w:rsidRPr="00D26602">
        <w:rPr>
          <w:noProof/>
        </w:rPr>
        <w:tab/>
      </w:r>
      <w:r w:rsidR="000A5D79" w:rsidRPr="00A10903">
        <w:rPr>
          <w:noProof/>
        </w:rPr>
        <w:t>Do dnia 31 grudnia 2025 r. instytucje ujawniają informacje zgodnie</w:t>
      </w:r>
      <w:r w:rsidR="00A10903" w:rsidRPr="00A10903">
        <w:rPr>
          <w:noProof/>
        </w:rPr>
        <w:t xml:space="preserve"> z</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15 rozporządzenia wykonawczego Komisji (UE) 2021/637</w:t>
      </w:r>
      <w:r w:rsidR="000A5D79" w:rsidRPr="00A10903">
        <w:rPr>
          <w:rStyle w:val="FootnoteReference"/>
          <w:rFonts w:eastAsia="Times New Roman"/>
          <w:noProof/>
          <w:lang w:eastAsia="en-GB" w:bidi="en-GB"/>
        </w:rPr>
        <w:footnoteReference w:id="12"/>
      </w:r>
      <w:r w:rsidR="000A5D79" w:rsidRPr="00A10903">
        <w:rPr>
          <w:noProof/>
        </w:rPr>
        <w:t>.</w:t>
      </w:r>
    </w:p>
    <w:p w:rsidR="000A5D79" w:rsidRPr="00A10903" w:rsidRDefault="00D26602" w:rsidP="00D26602">
      <w:pPr>
        <w:pStyle w:val="ManualNumPar1"/>
        <w:rPr>
          <w:noProof/>
        </w:rPr>
      </w:pPr>
      <w:r w:rsidRPr="00D26602">
        <w:rPr>
          <w:noProof/>
        </w:rPr>
        <w:t>3.</w:t>
      </w:r>
      <w:r w:rsidRPr="00D26602">
        <w:rPr>
          <w:noProof/>
        </w:rPr>
        <w:tab/>
      </w:r>
      <w:r w:rsidR="000A5D79" w:rsidRPr="00A10903">
        <w:rPr>
          <w:noProof/>
        </w:rPr>
        <w:t>W pierwszym dniu stosowania metod alternatywnych,</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325az rozporządzenia (UE) nr</w:t>
      </w:r>
      <w:r w:rsidR="00A10903" w:rsidRPr="00A10903">
        <w:rPr>
          <w:noProof/>
        </w:rPr>
        <w:t> </w:t>
      </w:r>
      <w:r w:rsidR="000A5D79" w:rsidRPr="00A10903">
        <w:rPr>
          <w:noProof/>
        </w:rPr>
        <w:t>575/2013, instytucje stosujące alternatywną metodę modeli wewnętrznych</w:t>
      </w:r>
      <w:r w:rsidR="00A10903" w:rsidRPr="00A10903">
        <w:rPr>
          <w:noProof/>
        </w:rPr>
        <w:t xml:space="preserve"> w</w:t>
      </w:r>
      <w:r w:rsidR="00A10903">
        <w:rPr>
          <w:noProof/>
        </w:rPr>
        <w:t> </w:t>
      </w:r>
      <w:r w:rsidR="00A10903" w:rsidRPr="00A10903">
        <w:rPr>
          <w:noProof/>
        </w:rPr>
        <w:t>odn</w:t>
      </w:r>
      <w:r w:rsidR="000A5D79" w:rsidRPr="00A10903">
        <w:rPr>
          <w:noProof/>
        </w:rPr>
        <w:t>iesieniu do ryzyka rynkowego ujawniają informacje jakościowe,</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455 ust.</w:t>
      </w:r>
      <w:r w:rsidR="00A10903" w:rsidRPr="00A10903">
        <w:rPr>
          <w:noProof/>
        </w:rPr>
        <w:t> </w:t>
      </w:r>
      <w:r w:rsidR="000A5D79" w:rsidRPr="00A10903">
        <w:rPr>
          <w:noProof/>
        </w:rPr>
        <w:t>1 lit.</w:t>
      </w:r>
      <w:r w:rsidR="00A10903" w:rsidRPr="00A10903">
        <w:rPr>
          <w:noProof/>
        </w:rPr>
        <w:t> </w:t>
      </w:r>
      <w:r w:rsidR="000A5D79" w:rsidRPr="00A10903">
        <w:rPr>
          <w:noProof/>
        </w:rPr>
        <w:t>a)–f) rozporządzenia (UE) nr</w:t>
      </w:r>
      <w:r w:rsidR="00A10903" w:rsidRPr="00A10903">
        <w:rPr>
          <w:noProof/>
        </w:rPr>
        <w:t> </w:t>
      </w:r>
      <w:r w:rsidR="000A5D79" w:rsidRPr="00A10903">
        <w:rPr>
          <w:noProof/>
        </w:rPr>
        <w:t>575/2013, wraz</w:t>
      </w:r>
      <w:r w:rsidR="00A10903" w:rsidRPr="00A10903">
        <w:rPr>
          <w:noProof/>
        </w:rPr>
        <w:t xml:space="preserve"> z</w:t>
      </w:r>
      <w:r w:rsidR="00A10903">
        <w:rPr>
          <w:noProof/>
        </w:rPr>
        <w:t> </w:t>
      </w:r>
      <w:r w:rsidR="00A10903" w:rsidRPr="00A10903">
        <w:rPr>
          <w:noProof/>
        </w:rPr>
        <w:t>inf</w:t>
      </w:r>
      <w:r w:rsidR="000A5D79" w:rsidRPr="00A10903">
        <w:rPr>
          <w:noProof/>
        </w:rPr>
        <w:t>ormacjami ilościowymi,</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455 ust.</w:t>
      </w:r>
      <w:r w:rsidR="00A10903" w:rsidRPr="00A10903">
        <w:rPr>
          <w:noProof/>
        </w:rPr>
        <w:t> </w:t>
      </w:r>
      <w:r w:rsidR="000A5D79" w:rsidRPr="00A10903">
        <w:rPr>
          <w:noProof/>
        </w:rPr>
        <w:t xml:space="preserve">2 tego rozporządzenia. </w:t>
      </w:r>
    </w:p>
    <w:p w:rsidR="000A5D79" w:rsidRPr="00A10903" w:rsidRDefault="000A5D79" w:rsidP="00813A48">
      <w:pPr>
        <w:pStyle w:val="Titrearticle"/>
        <w:spacing w:before="120"/>
        <w:rPr>
          <w:noProof/>
        </w:rPr>
      </w:pPr>
      <w:r w:rsidRPr="00A10903">
        <w:rPr>
          <w:noProof/>
        </w:rPr>
        <w:t>Artykuł 17</w:t>
      </w:r>
    </w:p>
    <w:p w:rsidR="000A5D79" w:rsidRPr="00A10903" w:rsidRDefault="000A5D79" w:rsidP="00813A48">
      <w:pPr>
        <w:pStyle w:val="Titrearticle"/>
        <w:spacing w:before="120"/>
        <w:rPr>
          <w:b/>
          <w:i w:val="0"/>
          <w:noProof/>
        </w:rPr>
      </w:pPr>
      <w:r w:rsidRPr="00A10903">
        <w:rPr>
          <w:b/>
          <w:i w:val="0"/>
          <w:noProof/>
        </w:rPr>
        <w:t>Ujawnianie informacji na temat ryzyka związanego</w:t>
      </w:r>
      <w:r w:rsidR="00A10903" w:rsidRPr="00A10903">
        <w:rPr>
          <w:b/>
          <w:i w:val="0"/>
          <w:noProof/>
        </w:rPr>
        <w:t xml:space="preserve"> z</w:t>
      </w:r>
      <w:r w:rsidR="00A10903">
        <w:rPr>
          <w:b/>
          <w:i w:val="0"/>
          <w:noProof/>
        </w:rPr>
        <w:t> </w:t>
      </w:r>
      <w:r w:rsidR="00A10903" w:rsidRPr="00A10903">
        <w:rPr>
          <w:b/>
          <w:i w:val="0"/>
          <w:noProof/>
        </w:rPr>
        <w:t>kor</w:t>
      </w:r>
      <w:r w:rsidRPr="00A10903">
        <w:rPr>
          <w:b/>
          <w:i w:val="0"/>
          <w:noProof/>
        </w:rPr>
        <w:t>ektą wyceny kredytowej</w:t>
      </w:r>
    </w:p>
    <w:p w:rsidR="000A5D79" w:rsidRPr="00A10903" w:rsidRDefault="000A5D79" w:rsidP="00905855">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438 lit.</w:t>
      </w:r>
      <w:r w:rsidR="00A10903" w:rsidRPr="00A10903">
        <w:rPr>
          <w:noProof/>
        </w:rPr>
        <w:t> </w:t>
      </w:r>
      <w:r w:rsidRPr="00A10903">
        <w:rPr>
          <w:noProof/>
        </w:rPr>
        <w:t>d) i h), art.</w:t>
      </w:r>
      <w:r w:rsidR="00A10903" w:rsidRPr="00A10903">
        <w:rPr>
          <w:noProof/>
        </w:rPr>
        <w:t> </w:t>
      </w:r>
      <w:r w:rsidRPr="00A10903">
        <w:rPr>
          <w:noProof/>
        </w:rPr>
        <w:t>439 lit.</w:t>
      </w:r>
      <w:r w:rsidR="00A10903" w:rsidRPr="00A10903">
        <w:rPr>
          <w:noProof/>
        </w:rPr>
        <w:t> </w:t>
      </w:r>
      <w:r w:rsidRPr="00A10903">
        <w:rPr>
          <w:noProof/>
        </w:rPr>
        <w:t>h) oraz art.</w:t>
      </w:r>
      <w:r w:rsidR="00A10903" w:rsidRPr="00A10903">
        <w:rPr>
          <w:noProof/>
        </w:rPr>
        <w:t> </w:t>
      </w:r>
      <w:r w:rsidRPr="00A10903">
        <w:rPr>
          <w:noProof/>
        </w:rPr>
        <w:t>445a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16 „Ujawnianie informacji na temat korekty wyceny kredytowej”</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Artykuł 18</w:t>
      </w:r>
    </w:p>
    <w:p w:rsidR="000A5D79" w:rsidRPr="00A10903" w:rsidRDefault="000A5D79" w:rsidP="000A5D79">
      <w:pPr>
        <w:pStyle w:val="Titrearticle"/>
        <w:spacing w:before="120"/>
        <w:rPr>
          <w:b/>
          <w:i w:val="0"/>
          <w:noProof/>
        </w:rPr>
      </w:pPr>
      <w:r w:rsidRPr="00A10903">
        <w:rPr>
          <w:b/>
          <w:i w:val="0"/>
          <w:noProof/>
        </w:rPr>
        <w:t xml:space="preserve">Ujawnianie informacji na temat ryzyka operacyjnego </w:t>
      </w:r>
    </w:p>
    <w:p w:rsidR="000A5D79" w:rsidRPr="00A10903" w:rsidRDefault="000A5D79" w:rsidP="000A5D79">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435, art.</w:t>
      </w:r>
      <w:r w:rsidR="00A10903" w:rsidRPr="00A10903">
        <w:rPr>
          <w:noProof/>
        </w:rPr>
        <w:t> </w:t>
      </w:r>
      <w:r w:rsidRPr="00A10903">
        <w:rPr>
          <w:noProof/>
        </w:rPr>
        <w:t>438 lit.</w:t>
      </w:r>
      <w:r w:rsidR="00A10903" w:rsidRPr="00A10903">
        <w:rPr>
          <w:noProof/>
        </w:rPr>
        <w:t> </w:t>
      </w:r>
      <w:r w:rsidRPr="00A10903">
        <w:rPr>
          <w:noProof/>
        </w:rPr>
        <w:t>d) oraz art.</w:t>
      </w:r>
      <w:r w:rsidR="00A10903" w:rsidRPr="00A10903">
        <w:rPr>
          <w:noProof/>
        </w:rPr>
        <w:t> </w:t>
      </w:r>
      <w:r w:rsidRPr="00A10903">
        <w:rPr>
          <w:noProof/>
        </w:rPr>
        <w:t>446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17 „Ujawnianie informacji na temat ryzyka operacyjnego”</w:t>
      </w:r>
      <w:r w:rsidR="00A10903" w:rsidRPr="00A10903">
        <w:rPr>
          <w:noProof/>
        </w:rPr>
        <w:t xml:space="preserve"> w</w:t>
      </w:r>
      <w:r w:rsidR="00A10903">
        <w:rPr>
          <w:noProof/>
        </w:rPr>
        <w:t> </w:t>
      </w:r>
      <w:r w:rsidR="00A10903" w:rsidRPr="00A10903">
        <w:rPr>
          <w:noProof/>
        </w:rPr>
        <w:t>zał</w:t>
      </w:r>
      <w:r w:rsidRPr="00A10903">
        <w:rPr>
          <w:noProof/>
        </w:rPr>
        <w:t>ączniku I.</w:t>
      </w:r>
    </w:p>
    <w:p w:rsidR="000A5D79" w:rsidRPr="00A10903" w:rsidRDefault="000A5D79" w:rsidP="000A5D79">
      <w:pPr>
        <w:pStyle w:val="Titrearticle"/>
        <w:rPr>
          <w:noProof/>
        </w:rPr>
      </w:pPr>
      <w:r w:rsidRPr="00A10903">
        <w:rPr>
          <w:noProof/>
        </w:rPr>
        <w:t xml:space="preserve">Artykuł 19 </w:t>
      </w:r>
    </w:p>
    <w:p w:rsidR="000A5D79" w:rsidRPr="00A10903" w:rsidRDefault="000A5D79" w:rsidP="000A5D79">
      <w:pPr>
        <w:pStyle w:val="Titrearticle"/>
        <w:spacing w:before="120"/>
        <w:rPr>
          <w:b/>
          <w:i w:val="0"/>
          <w:noProof/>
        </w:rPr>
      </w:pPr>
      <w:r w:rsidRPr="00A10903">
        <w:rPr>
          <w:b/>
          <w:i w:val="0"/>
          <w:noProof/>
        </w:rPr>
        <w:t>Ujawnianie informacji na temat ekspozycji na ryzyko stopy procentowej</w:t>
      </w:r>
      <w:r w:rsidR="00A10903" w:rsidRPr="00A10903">
        <w:rPr>
          <w:b/>
          <w:i w:val="0"/>
          <w:noProof/>
        </w:rPr>
        <w:t xml:space="preserve"> w</w:t>
      </w:r>
      <w:r w:rsidR="00A10903">
        <w:rPr>
          <w:b/>
          <w:i w:val="0"/>
          <w:noProof/>
        </w:rPr>
        <w:t> </w:t>
      </w:r>
      <w:r w:rsidR="00A10903" w:rsidRPr="00A10903">
        <w:rPr>
          <w:b/>
          <w:i w:val="0"/>
          <w:noProof/>
        </w:rPr>
        <w:t>odn</w:t>
      </w:r>
      <w:r w:rsidRPr="00A10903">
        <w:rPr>
          <w:b/>
          <w:i w:val="0"/>
          <w:noProof/>
        </w:rPr>
        <w:t>iesieniu do pozycji nieuwzględnionych</w:t>
      </w:r>
      <w:r w:rsidR="00A10903" w:rsidRPr="00A10903">
        <w:rPr>
          <w:b/>
          <w:i w:val="0"/>
          <w:noProof/>
        </w:rPr>
        <w:t xml:space="preserve"> w</w:t>
      </w:r>
      <w:r w:rsidR="00A10903">
        <w:rPr>
          <w:b/>
          <w:i w:val="0"/>
          <w:noProof/>
        </w:rPr>
        <w:t> </w:t>
      </w:r>
      <w:r w:rsidR="00A10903" w:rsidRPr="00A10903">
        <w:rPr>
          <w:b/>
          <w:i w:val="0"/>
          <w:noProof/>
        </w:rPr>
        <w:t>por</w:t>
      </w:r>
      <w:r w:rsidRPr="00A10903">
        <w:rPr>
          <w:b/>
          <w:i w:val="0"/>
          <w:noProof/>
        </w:rPr>
        <w:t>tfelu handlowym</w:t>
      </w:r>
    </w:p>
    <w:p w:rsidR="000A5D79" w:rsidRPr="00A10903" w:rsidRDefault="00D26602" w:rsidP="00D26602">
      <w:pPr>
        <w:pStyle w:val="ManualNumPar1"/>
        <w:rPr>
          <w:noProof/>
        </w:rPr>
      </w:pPr>
      <w:r w:rsidRPr="00D26602">
        <w:rPr>
          <w:noProof/>
        </w:rPr>
        <w:t>1.</w:t>
      </w:r>
      <w:r w:rsidRPr="00D26602">
        <w:rPr>
          <w:noProof/>
        </w:rPr>
        <w:tab/>
      </w:r>
      <w:r w:rsidR="000A5D79" w:rsidRPr="00A10903">
        <w:rPr>
          <w:noProof/>
        </w:rPr>
        <w:t>Instytucje ujawniają informacje,</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448 ust.</w:t>
      </w:r>
      <w:r w:rsidR="00A10903" w:rsidRPr="00A10903">
        <w:rPr>
          <w:noProof/>
        </w:rPr>
        <w:t> </w:t>
      </w:r>
      <w:r w:rsidR="000A5D79" w:rsidRPr="00A10903">
        <w:rPr>
          <w:noProof/>
        </w:rPr>
        <w:t>1 lit.</w:t>
      </w:r>
      <w:r w:rsidR="00A10903" w:rsidRPr="00A10903">
        <w:rPr>
          <w:noProof/>
        </w:rPr>
        <w:t> </w:t>
      </w:r>
      <w:r w:rsidR="000A5D79" w:rsidRPr="00A10903">
        <w:rPr>
          <w:noProof/>
        </w:rPr>
        <w:t>a)–g) rozporządzenia (UE) nr</w:t>
      </w:r>
      <w:r w:rsidR="00A10903" w:rsidRPr="00A10903">
        <w:rPr>
          <w:noProof/>
        </w:rPr>
        <w:t> </w:t>
      </w:r>
      <w:r w:rsidR="000A5D79" w:rsidRPr="00A10903">
        <w:rPr>
          <w:noProof/>
        </w:rPr>
        <w:t>575/2013, jak określono</w:t>
      </w:r>
      <w:r w:rsidR="00A10903" w:rsidRPr="00A10903">
        <w:rPr>
          <w:noProof/>
        </w:rPr>
        <w:t xml:space="preserve"> w</w:t>
      </w:r>
      <w:r w:rsidR="00A10903">
        <w:rPr>
          <w:noProof/>
        </w:rPr>
        <w:t> </w:t>
      </w:r>
      <w:r w:rsidR="00A10903" w:rsidRPr="00A10903">
        <w:rPr>
          <w:noProof/>
        </w:rPr>
        <w:t>sek</w:t>
      </w:r>
      <w:r w:rsidR="000A5D79" w:rsidRPr="00A10903">
        <w:rPr>
          <w:noProof/>
        </w:rPr>
        <w:t>cji 18 „Ujawnianie informacji na temat ryzyka stopy procentowej</w:t>
      </w:r>
      <w:r w:rsidR="00A10903" w:rsidRPr="00A10903">
        <w:rPr>
          <w:noProof/>
        </w:rPr>
        <w:t xml:space="preserve"> z</w:t>
      </w:r>
      <w:r w:rsidR="00A10903">
        <w:rPr>
          <w:noProof/>
        </w:rPr>
        <w:t> </w:t>
      </w:r>
      <w:r w:rsidR="00A10903" w:rsidRPr="00A10903">
        <w:rPr>
          <w:noProof/>
        </w:rPr>
        <w:t>tyt</w:t>
      </w:r>
      <w:r w:rsidR="000A5D79" w:rsidRPr="00A10903">
        <w:rPr>
          <w:noProof/>
        </w:rPr>
        <w:t>ułu działalności</w:t>
      </w:r>
      <w:r w:rsidR="00A10903" w:rsidRPr="00A10903">
        <w:rPr>
          <w:noProof/>
        </w:rPr>
        <w:t xml:space="preserve"> w</w:t>
      </w:r>
      <w:r w:rsidR="00A10903">
        <w:rPr>
          <w:noProof/>
        </w:rPr>
        <w:t> </w:t>
      </w:r>
      <w:r w:rsidR="00A10903" w:rsidRPr="00A10903">
        <w:rPr>
          <w:noProof/>
        </w:rPr>
        <w:t>ram</w:t>
      </w:r>
      <w:r w:rsidR="000A5D79" w:rsidRPr="00A10903">
        <w:rPr>
          <w:noProof/>
        </w:rPr>
        <w:t>ach portfela bankowego”</w:t>
      </w:r>
      <w:r w:rsidR="00A10903" w:rsidRPr="00A10903">
        <w:rPr>
          <w:noProof/>
        </w:rPr>
        <w:t xml:space="preserve"> w</w:t>
      </w:r>
      <w:r w:rsidR="00A10903">
        <w:rPr>
          <w:noProof/>
        </w:rPr>
        <w:t> </w:t>
      </w:r>
      <w:r w:rsidR="00A10903" w:rsidRPr="00A10903">
        <w:rPr>
          <w:noProof/>
        </w:rPr>
        <w:t>zał</w:t>
      </w:r>
      <w:r w:rsidR="000A5D79" w:rsidRPr="00A10903">
        <w:rPr>
          <w:noProof/>
        </w:rPr>
        <w:t xml:space="preserve">ączniku I. </w:t>
      </w:r>
    </w:p>
    <w:p w:rsidR="000A5D79" w:rsidRPr="00A10903" w:rsidRDefault="00D26602" w:rsidP="00D26602">
      <w:pPr>
        <w:pStyle w:val="ManualNumPar1"/>
        <w:rPr>
          <w:noProof/>
        </w:rPr>
      </w:pPr>
      <w:r w:rsidRPr="00D26602">
        <w:rPr>
          <w:noProof/>
        </w:rPr>
        <w:t>2.</w:t>
      </w:r>
      <w:r w:rsidRPr="00D26602">
        <w:rPr>
          <w:noProof/>
        </w:rPr>
        <w:tab/>
      </w:r>
      <w:r w:rsidR="00725C62" w:rsidRPr="00A10903">
        <w:rPr>
          <w:noProof/>
        </w:rPr>
        <w:t>Instytucje ujawniające informacje zgodnie</w:t>
      </w:r>
      <w:r w:rsidR="00A10903" w:rsidRPr="00A10903">
        <w:rPr>
          <w:noProof/>
        </w:rPr>
        <w:t xml:space="preserve"> z</w:t>
      </w:r>
      <w:r w:rsidR="00A10903">
        <w:rPr>
          <w:noProof/>
        </w:rPr>
        <w:t> </w:t>
      </w:r>
      <w:r w:rsidR="00A10903" w:rsidRPr="00A10903">
        <w:rPr>
          <w:noProof/>
        </w:rPr>
        <w:t>ust</w:t>
      </w:r>
      <w:r w:rsidR="00725C62" w:rsidRPr="00A10903">
        <w:rPr>
          <w:noProof/>
        </w:rPr>
        <w:t>.</w:t>
      </w:r>
      <w:r w:rsidR="00A10903" w:rsidRPr="00A10903">
        <w:rPr>
          <w:noProof/>
        </w:rPr>
        <w:t> </w:t>
      </w:r>
      <w:r w:rsidR="00725C62" w:rsidRPr="00A10903">
        <w:rPr>
          <w:noProof/>
        </w:rPr>
        <w:t>1 po raz pierwszy nie są zobowiązane do ujawnienia tych informacji dotyczących poprzedniego dnia odniesienia.</w:t>
      </w:r>
    </w:p>
    <w:p w:rsidR="000A5D79" w:rsidRPr="00A10903" w:rsidRDefault="000A5D79" w:rsidP="00813A48">
      <w:pPr>
        <w:pStyle w:val="Titrearticle"/>
        <w:rPr>
          <w:noProof/>
        </w:rPr>
      </w:pPr>
      <w:r w:rsidRPr="00A10903">
        <w:rPr>
          <w:noProof/>
        </w:rPr>
        <w:t>Artykuł 20</w:t>
      </w:r>
    </w:p>
    <w:p w:rsidR="000A5D79" w:rsidRPr="00A10903" w:rsidRDefault="000A5D79" w:rsidP="000A5D79">
      <w:pPr>
        <w:pStyle w:val="Titrearticle"/>
        <w:spacing w:before="120"/>
        <w:rPr>
          <w:b/>
          <w:i w:val="0"/>
          <w:noProof/>
        </w:rPr>
      </w:pPr>
      <w:r w:rsidRPr="00A10903">
        <w:rPr>
          <w:b/>
          <w:i w:val="0"/>
          <w:noProof/>
        </w:rPr>
        <w:t>Ujawnianie informacji na temat polityki wynagrodzeń</w:t>
      </w:r>
    </w:p>
    <w:p w:rsidR="000A5D79" w:rsidRPr="00A10903" w:rsidRDefault="000A5D79" w:rsidP="00905855">
      <w:pPr>
        <w:rPr>
          <w:i/>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450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19 „Ujawnianie informacji na temat polityki wynagrodzeń”</w:t>
      </w:r>
      <w:r w:rsidR="00A10903" w:rsidRPr="00A10903">
        <w:rPr>
          <w:noProof/>
        </w:rPr>
        <w:t xml:space="preserve"> w</w:t>
      </w:r>
      <w:r w:rsidR="00A10903">
        <w:rPr>
          <w:noProof/>
        </w:rPr>
        <w:t> </w:t>
      </w:r>
      <w:r w:rsidR="00A10903" w:rsidRPr="00A10903">
        <w:rPr>
          <w:noProof/>
        </w:rPr>
        <w:t>zał</w:t>
      </w:r>
      <w:r w:rsidRPr="00A10903">
        <w:rPr>
          <w:noProof/>
        </w:rPr>
        <w:t xml:space="preserve">ączniku I. </w:t>
      </w:r>
    </w:p>
    <w:p w:rsidR="000A5D79" w:rsidRPr="00A10903" w:rsidRDefault="000A5D79" w:rsidP="00115B95">
      <w:pPr>
        <w:pStyle w:val="Titrearticle"/>
        <w:rPr>
          <w:noProof/>
        </w:rPr>
      </w:pPr>
      <w:r w:rsidRPr="00A10903">
        <w:rPr>
          <w:noProof/>
        </w:rPr>
        <w:t>Artykuł 21</w:t>
      </w:r>
    </w:p>
    <w:p w:rsidR="000A5D79" w:rsidRPr="00A10903" w:rsidRDefault="000A5D79" w:rsidP="000A5D79">
      <w:pPr>
        <w:pStyle w:val="Titrearticle"/>
        <w:spacing w:before="120"/>
        <w:rPr>
          <w:b/>
          <w:i w:val="0"/>
          <w:noProof/>
        </w:rPr>
      </w:pPr>
      <w:r w:rsidRPr="00A10903">
        <w:rPr>
          <w:b/>
          <w:i w:val="0"/>
          <w:noProof/>
        </w:rPr>
        <w:t>Ujawnianie informacji na temat aktywów obciążonych</w:t>
      </w:r>
      <w:r w:rsidR="00A10903" w:rsidRPr="00A10903">
        <w:rPr>
          <w:b/>
          <w:i w:val="0"/>
          <w:noProof/>
        </w:rPr>
        <w:t xml:space="preserve"> i</w:t>
      </w:r>
      <w:r w:rsidR="00A10903">
        <w:rPr>
          <w:b/>
          <w:i w:val="0"/>
          <w:noProof/>
        </w:rPr>
        <w:t> </w:t>
      </w:r>
      <w:r w:rsidR="00A10903" w:rsidRPr="00A10903">
        <w:rPr>
          <w:b/>
          <w:i w:val="0"/>
          <w:noProof/>
        </w:rPr>
        <w:t>akt</w:t>
      </w:r>
      <w:r w:rsidRPr="00A10903">
        <w:rPr>
          <w:b/>
          <w:i w:val="0"/>
          <w:noProof/>
        </w:rPr>
        <w:t xml:space="preserve">ywów wolnych od obciążeń </w:t>
      </w:r>
    </w:p>
    <w:p w:rsidR="000A5D79" w:rsidRPr="00A10903" w:rsidRDefault="000A5D79" w:rsidP="00905855">
      <w:pPr>
        <w:rPr>
          <w:noProof/>
        </w:rPr>
      </w:pPr>
      <w:r w:rsidRPr="00A10903">
        <w:rPr>
          <w:noProof/>
        </w:rPr>
        <w:t>Instytucje ujawniają informacje,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443 rozporządzenia (UE) nr</w:t>
      </w:r>
      <w:r w:rsidR="00A10903" w:rsidRPr="00A10903">
        <w:rPr>
          <w:noProof/>
        </w:rPr>
        <w:t> </w:t>
      </w:r>
      <w:r w:rsidRPr="00A10903">
        <w:rPr>
          <w:noProof/>
        </w:rPr>
        <w:t>575/2013, jak określono</w:t>
      </w:r>
      <w:r w:rsidR="00A10903" w:rsidRPr="00A10903">
        <w:rPr>
          <w:noProof/>
        </w:rPr>
        <w:t xml:space="preserve"> w</w:t>
      </w:r>
      <w:r w:rsidR="00A10903">
        <w:rPr>
          <w:noProof/>
        </w:rPr>
        <w:t> </w:t>
      </w:r>
      <w:r w:rsidR="00A10903" w:rsidRPr="00A10903">
        <w:rPr>
          <w:noProof/>
        </w:rPr>
        <w:t>sek</w:t>
      </w:r>
      <w:r w:rsidRPr="00A10903">
        <w:rPr>
          <w:noProof/>
        </w:rPr>
        <w:t>cji 20 „Ujawnianie informacji na temat aktywów obciążonych</w:t>
      </w:r>
      <w:r w:rsidR="00A10903" w:rsidRPr="00A10903">
        <w:rPr>
          <w:noProof/>
        </w:rPr>
        <w:t xml:space="preserve"> i</w:t>
      </w:r>
      <w:r w:rsidR="00A10903">
        <w:rPr>
          <w:noProof/>
        </w:rPr>
        <w:t> </w:t>
      </w:r>
      <w:r w:rsidR="00A10903" w:rsidRPr="00A10903">
        <w:rPr>
          <w:noProof/>
        </w:rPr>
        <w:t>akt</w:t>
      </w:r>
      <w:r w:rsidRPr="00A10903">
        <w:rPr>
          <w:noProof/>
        </w:rPr>
        <w:t>ywów wolnych od obciążeń”</w:t>
      </w:r>
      <w:r w:rsidR="00A10903" w:rsidRPr="00A10903">
        <w:rPr>
          <w:noProof/>
        </w:rPr>
        <w:t xml:space="preserve"> w</w:t>
      </w:r>
      <w:r w:rsidR="00A10903">
        <w:rPr>
          <w:noProof/>
        </w:rPr>
        <w:t> </w:t>
      </w:r>
      <w:r w:rsidR="00A10903" w:rsidRPr="00A10903">
        <w:rPr>
          <w:noProof/>
        </w:rPr>
        <w:t>zał</w:t>
      </w:r>
      <w:r w:rsidRPr="00A10903">
        <w:rPr>
          <w:noProof/>
        </w:rPr>
        <w:t xml:space="preserve">ączniku I. </w:t>
      </w:r>
    </w:p>
    <w:p w:rsidR="000A5D79" w:rsidRPr="00A10903" w:rsidRDefault="000A5D79" w:rsidP="00115B95">
      <w:pPr>
        <w:pStyle w:val="Titrearticle"/>
        <w:rPr>
          <w:noProof/>
        </w:rPr>
      </w:pPr>
      <w:r w:rsidRPr="00A10903">
        <w:rPr>
          <w:noProof/>
        </w:rPr>
        <w:t xml:space="preserve">Artykuł 22 </w:t>
      </w:r>
    </w:p>
    <w:p w:rsidR="000A5D79" w:rsidRPr="00A10903" w:rsidRDefault="000A5D79" w:rsidP="000A5D79">
      <w:pPr>
        <w:pStyle w:val="Titrearticle"/>
        <w:spacing w:before="120"/>
        <w:rPr>
          <w:b/>
          <w:i w:val="0"/>
          <w:noProof/>
        </w:rPr>
      </w:pPr>
      <w:bookmarkStart w:id="6" w:name="_Hlk163229421"/>
      <w:r w:rsidRPr="00A10903">
        <w:rPr>
          <w:b/>
          <w:i w:val="0"/>
          <w:noProof/>
        </w:rPr>
        <w:t>Ujawnianie informacji na temat ryzyk</w:t>
      </w:r>
      <w:r w:rsidR="00A10903" w:rsidRPr="00A10903">
        <w:rPr>
          <w:b/>
          <w:i w:val="0"/>
          <w:noProof/>
        </w:rPr>
        <w:t xml:space="preserve"> z</w:t>
      </w:r>
      <w:r w:rsidR="00A10903">
        <w:rPr>
          <w:b/>
          <w:i w:val="0"/>
          <w:noProof/>
        </w:rPr>
        <w:t> </w:t>
      </w:r>
      <w:r w:rsidR="00A10903" w:rsidRPr="00A10903">
        <w:rPr>
          <w:b/>
          <w:i w:val="0"/>
          <w:noProof/>
        </w:rPr>
        <w:t>zak</w:t>
      </w:r>
      <w:r w:rsidRPr="00A10903">
        <w:rPr>
          <w:b/>
          <w:i w:val="0"/>
          <w:noProof/>
        </w:rPr>
        <w:t>resu ochrony środowiska, polityki społecznej</w:t>
      </w:r>
      <w:r w:rsidR="00A10903" w:rsidRPr="00A10903">
        <w:rPr>
          <w:b/>
          <w:i w:val="0"/>
          <w:noProof/>
        </w:rPr>
        <w:t xml:space="preserve"> i</w:t>
      </w:r>
      <w:r w:rsidR="00A10903">
        <w:rPr>
          <w:b/>
          <w:i w:val="0"/>
          <w:noProof/>
        </w:rPr>
        <w:t> </w:t>
      </w:r>
      <w:r w:rsidR="00A10903" w:rsidRPr="00A10903">
        <w:rPr>
          <w:b/>
          <w:i w:val="0"/>
          <w:noProof/>
        </w:rPr>
        <w:t>ład</w:t>
      </w:r>
      <w:r w:rsidRPr="00A10903">
        <w:rPr>
          <w:b/>
          <w:i w:val="0"/>
          <w:noProof/>
        </w:rPr>
        <w:t>u korporacyjnego (ryzyk ESG)</w:t>
      </w:r>
      <w:bookmarkEnd w:id="6"/>
    </w:p>
    <w:p w:rsidR="000A5D79" w:rsidRPr="00A10903" w:rsidRDefault="00D26602" w:rsidP="00D26602">
      <w:pPr>
        <w:pStyle w:val="ManualNumPar1"/>
        <w:rPr>
          <w:noProof/>
        </w:rPr>
      </w:pPr>
      <w:r w:rsidRPr="00D26602">
        <w:rPr>
          <w:noProof/>
        </w:rPr>
        <w:t>1.</w:t>
      </w:r>
      <w:r w:rsidRPr="00D26602">
        <w:rPr>
          <w:noProof/>
        </w:rPr>
        <w:tab/>
      </w:r>
      <w:r w:rsidR="000A5D79" w:rsidRPr="00A10903">
        <w:rPr>
          <w:noProof/>
        </w:rPr>
        <w:t>Instytucje ujawniają informacje,</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449a rozporządzenia (UE) nr</w:t>
      </w:r>
      <w:r w:rsidR="00A10903" w:rsidRPr="00A10903">
        <w:rPr>
          <w:noProof/>
        </w:rPr>
        <w:t> </w:t>
      </w:r>
      <w:r w:rsidR="000A5D79" w:rsidRPr="00A10903">
        <w:rPr>
          <w:noProof/>
        </w:rPr>
        <w:t>575/2013, jak określono</w:t>
      </w:r>
      <w:r w:rsidR="00A10903" w:rsidRPr="00A10903">
        <w:rPr>
          <w:noProof/>
        </w:rPr>
        <w:t xml:space="preserve"> w</w:t>
      </w:r>
      <w:r w:rsidR="00A10903">
        <w:rPr>
          <w:noProof/>
        </w:rPr>
        <w:t> </w:t>
      </w:r>
      <w:r w:rsidR="00A10903" w:rsidRPr="00A10903">
        <w:rPr>
          <w:noProof/>
        </w:rPr>
        <w:t>sek</w:t>
      </w:r>
      <w:r w:rsidR="000A5D79" w:rsidRPr="00A10903">
        <w:rPr>
          <w:noProof/>
        </w:rPr>
        <w:t>cji 21 „Ujawnianie informacji ostrożnościowych na temat ryzyk ESG”</w:t>
      </w:r>
      <w:r w:rsidR="00A10903" w:rsidRPr="00A10903">
        <w:rPr>
          <w:noProof/>
        </w:rPr>
        <w:t xml:space="preserve"> w</w:t>
      </w:r>
      <w:r w:rsidR="00A10903">
        <w:rPr>
          <w:noProof/>
        </w:rPr>
        <w:t> </w:t>
      </w:r>
      <w:r w:rsidR="00A10903" w:rsidRPr="00A10903">
        <w:rPr>
          <w:noProof/>
        </w:rPr>
        <w:t>zał</w:t>
      </w:r>
      <w:r w:rsidR="000A5D79" w:rsidRPr="00A10903">
        <w:rPr>
          <w:noProof/>
        </w:rPr>
        <w:t>ączniku I. Informacje te obejmują wszystkie następujące elementy:</w:t>
      </w:r>
    </w:p>
    <w:p w:rsidR="000A5D79" w:rsidRPr="00A10903" w:rsidRDefault="00A10903" w:rsidP="00A10903">
      <w:pPr>
        <w:pStyle w:val="Point1"/>
        <w:rPr>
          <w:noProof/>
        </w:rPr>
      </w:pPr>
      <w:r>
        <w:rPr>
          <w:noProof/>
        </w:rPr>
        <w:t>a)</w:t>
      </w:r>
      <w:r>
        <w:rPr>
          <w:noProof/>
        </w:rPr>
        <w:tab/>
      </w:r>
      <w:r w:rsidR="000A5D79" w:rsidRPr="00A10903">
        <w:rPr>
          <w:noProof/>
        </w:rPr>
        <w:t>informacje jakościowe na temat ryzyk</w:t>
      </w:r>
      <w:r w:rsidRPr="00A10903">
        <w:rPr>
          <w:noProof/>
        </w:rPr>
        <w:t xml:space="preserve"> z</w:t>
      </w:r>
      <w:r>
        <w:rPr>
          <w:noProof/>
        </w:rPr>
        <w:t> </w:t>
      </w:r>
      <w:r w:rsidRPr="00A10903">
        <w:rPr>
          <w:noProof/>
        </w:rPr>
        <w:t>zak</w:t>
      </w:r>
      <w:r w:rsidR="000A5D79" w:rsidRPr="00A10903">
        <w:rPr>
          <w:noProof/>
        </w:rPr>
        <w:t>resu ochrony środowiska, polityki społecznej</w:t>
      </w:r>
      <w:r w:rsidRPr="00A10903">
        <w:rPr>
          <w:noProof/>
        </w:rPr>
        <w:t xml:space="preserve"> i</w:t>
      </w:r>
      <w:r>
        <w:rPr>
          <w:noProof/>
        </w:rPr>
        <w:t> </w:t>
      </w:r>
      <w:r w:rsidRPr="00A10903">
        <w:rPr>
          <w:noProof/>
        </w:rPr>
        <w:t>ład</w:t>
      </w:r>
      <w:r w:rsidR="000A5D79" w:rsidRPr="00A10903">
        <w:rPr>
          <w:noProof/>
        </w:rPr>
        <w:t xml:space="preserve">u korporacyjnego; </w:t>
      </w:r>
    </w:p>
    <w:p w:rsidR="000A5D79" w:rsidRPr="00A10903" w:rsidRDefault="00A10903" w:rsidP="00A10903">
      <w:pPr>
        <w:pStyle w:val="Point1"/>
        <w:rPr>
          <w:noProof/>
        </w:rPr>
      </w:pPr>
      <w:r>
        <w:rPr>
          <w:noProof/>
        </w:rPr>
        <w:t>b)</w:t>
      </w:r>
      <w:r>
        <w:rPr>
          <w:noProof/>
        </w:rPr>
        <w:tab/>
      </w:r>
      <w:r w:rsidR="000A5D79" w:rsidRPr="00A10903">
        <w:rPr>
          <w:noProof/>
        </w:rPr>
        <w:t xml:space="preserve">informacje ilościowe na temat ryzyka przejścia związanego ze zmianami klimatu; </w:t>
      </w:r>
    </w:p>
    <w:p w:rsidR="000A5D79" w:rsidRPr="00A10903" w:rsidRDefault="00A10903" w:rsidP="00A10903">
      <w:pPr>
        <w:pStyle w:val="Point1"/>
        <w:rPr>
          <w:noProof/>
        </w:rPr>
      </w:pPr>
      <w:r>
        <w:rPr>
          <w:noProof/>
        </w:rPr>
        <w:t>c)</w:t>
      </w:r>
      <w:r>
        <w:rPr>
          <w:noProof/>
        </w:rPr>
        <w:tab/>
      </w:r>
      <w:r w:rsidR="000A5D79" w:rsidRPr="00A10903">
        <w:rPr>
          <w:noProof/>
        </w:rPr>
        <w:t xml:space="preserve">informacje ilościowe na temat ryzyka fizycznego związanego ze zmianami klimatu; </w:t>
      </w:r>
    </w:p>
    <w:p w:rsidR="000A5D79" w:rsidRPr="00A10903" w:rsidRDefault="00A10903" w:rsidP="00A10903">
      <w:pPr>
        <w:pStyle w:val="Point1"/>
        <w:rPr>
          <w:noProof/>
        </w:rPr>
      </w:pPr>
      <w:r>
        <w:rPr>
          <w:noProof/>
        </w:rPr>
        <w:t>d)</w:t>
      </w:r>
      <w:r>
        <w:rPr>
          <w:noProof/>
        </w:rPr>
        <w:tab/>
      </w:r>
      <w:r w:rsidR="000A5D79" w:rsidRPr="00A10903">
        <w:rPr>
          <w:noProof/>
        </w:rPr>
        <w:t>informacje ilościowe na temat działań łagodzących powiązanych</w:t>
      </w:r>
      <w:r w:rsidRPr="00A10903">
        <w:rPr>
          <w:noProof/>
        </w:rPr>
        <w:t xml:space="preserve"> z</w:t>
      </w:r>
      <w:r>
        <w:rPr>
          <w:noProof/>
        </w:rPr>
        <w:t> </w:t>
      </w:r>
      <w:r w:rsidRPr="00A10903">
        <w:rPr>
          <w:noProof/>
        </w:rPr>
        <w:t>dzi</w:t>
      </w:r>
      <w:r w:rsidR="000A5D79" w:rsidRPr="00A10903">
        <w:rPr>
          <w:noProof/>
        </w:rPr>
        <w:t>ałalnością gospodarczą, która kwalifikuje się jako zrównoważona środowiskowo zgodnie</w:t>
      </w:r>
      <w:r w:rsidRPr="00A10903">
        <w:rPr>
          <w:noProof/>
        </w:rPr>
        <w:t xml:space="preserve"> z</w:t>
      </w:r>
      <w:r>
        <w:rPr>
          <w:noProof/>
        </w:rPr>
        <w:t> </w:t>
      </w:r>
      <w:r w:rsidRPr="00A10903">
        <w:rPr>
          <w:noProof/>
        </w:rPr>
        <w:t>art</w:t>
      </w:r>
      <w:r w:rsidR="000A5D79" w:rsidRPr="00A10903">
        <w:rPr>
          <w:noProof/>
        </w:rPr>
        <w:t>.</w:t>
      </w:r>
      <w:r w:rsidRPr="00A10903">
        <w:rPr>
          <w:noProof/>
        </w:rPr>
        <w:t> </w:t>
      </w:r>
      <w:r w:rsidR="000A5D79" w:rsidRPr="00A10903">
        <w:rPr>
          <w:noProof/>
        </w:rPr>
        <w:t>3 rozporządzenia (UE) 2020/852,</w:t>
      </w:r>
      <w:r w:rsidRPr="00A10903">
        <w:rPr>
          <w:noProof/>
        </w:rPr>
        <w:t xml:space="preserve"> w</w:t>
      </w:r>
      <w:r>
        <w:rPr>
          <w:noProof/>
        </w:rPr>
        <w:t> </w:t>
      </w:r>
      <w:r w:rsidRPr="00A10903">
        <w:rPr>
          <w:noProof/>
        </w:rPr>
        <w:t>sto</w:t>
      </w:r>
      <w:r w:rsidR="000A5D79" w:rsidRPr="00A10903">
        <w:rPr>
          <w:noProof/>
        </w:rPr>
        <w:t>sunku do tych kontrahentów, którzy podlegają art.</w:t>
      </w:r>
      <w:r w:rsidRPr="00A10903">
        <w:rPr>
          <w:noProof/>
        </w:rPr>
        <w:t> </w:t>
      </w:r>
      <w:r w:rsidR="000A5D79" w:rsidRPr="00A10903">
        <w:rPr>
          <w:noProof/>
        </w:rPr>
        <w:t>19a lub</w:t>
      </w:r>
      <w:r w:rsidRPr="00A10903">
        <w:rPr>
          <w:noProof/>
        </w:rPr>
        <w:t> </w:t>
      </w:r>
      <w:r w:rsidR="000A5D79" w:rsidRPr="00A10903">
        <w:rPr>
          <w:noProof/>
        </w:rPr>
        <w:t>29a dyrektywy 2013/34/UE,</w:t>
      </w:r>
      <w:r w:rsidRPr="00A10903">
        <w:rPr>
          <w:noProof/>
        </w:rPr>
        <w:t xml:space="preserve"> w</w:t>
      </w:r>
      <w:r>
        <w:rPr>
          <w:noProof/>
        </w:rPr>
        <w:t> </w:t>
      </w:r>
      <w:r w:rsidRPr="00A10903">
        <w:rPr>
          <w:noProof/>
        </w:rPr>
        <w:t>sto</w:t>
      </w:r>
      <w:r w:rsidR="000A5D79" w:rsidRPr="00A10903">
        <w:rPr>
          <w:noProof/>
        </w:rPr>
        <w:t>sunku do gospodarstw domowych oraz</w:t>
      </w:r>
      <w:r w:rsidRPr="00A10903">
        <w:rPr>
          <w:noProof/>
        </w:rPr>
        <w:t xml:space="preserve"> w</w:t>
      </w:r>
      <w:r>
        <w:rPr>
          <w:noProof/>
        </w:rPr>
        <w:t> </w:t>
      </w:r>
      <w:r w:rsidRPr="00A10903">
        <w:rPr>
          <w:noProof/>
        </w:rPr>
        <w:t>sto</w:t>
      </w:r>
      <w:r w:rsidR="000A5D79" w:rsidRPr="00A10903">
        <w:rPr>
          <w:noProof/>
        </w:rPr>
        <w:t>sunku do instytucji samorządowych,</w:t>
      </w:r>
      <w:r w:rsidRPr="00A10903">
        <w:rPr>
          <w:noProof/>
        </w:rPr>
        <w:t xml:space="preserve"> o</w:t>
      </w:r>
      <w:r>
        <w:rPr>
          <w:noProof/>
        </w:rPr>
        <w:t> </w:t>
      </w:r>
      <w:r w:rsidRPr="00A10903">
        <w:rPr>
          <w:noProof/>
        </w:rPr>
        <w:t>któ</w:t>
      </w:r>
      <w:r w:rsidR="000A5D79" w:rsidRPr="00A10903">
        <w:rPr>
          <w:noProof/>
        </w:rPr>
        <w:t>rych mowa</w:t>
      </w:r>
      <w:r w:rsidRPr="00A10903">
        <w:rPr>
          <w:noProof/>
        </w:rPr>
        <w:t xml:space="preserve"> w</w:t>
      </w:r>
      <w:r>
        <w:rPr>
          <w:noProof/>
        </w:rPr>
        <w:t> </w:t>
      </w:r>
      <w:r w:rsidRPr="00A10903">
        <w:rPr>
          <w:noProof/>
        </w:rPr>
        <w:t>czę</w:t>
      </w:r>
      <w:r w:rsidR="000A5D79" w:rsidRPr="00A10903">
        <w:rPr>
          <w:noProof/>
        </w:rPr>
        <w:t>ści 1 pkt</w:t>
      </w:r>
      <w:r w:rsidRPr="00A10903">
        <w:rPr>
          <w:noProof/>
        </w:rPr>
        <w:t> </w:t>
      </w:r>
      <w:r w:rsidR="000A5D79" w:rsidRPr="00A10903">
        <w:rPr>
          <w:noProof/>
        </w:rPr>
        <w:t>42 lit.</w:t>
      </w:r>
      <w:r w:rsidRPr="00A10903">
        <w:rPr>
          <w:noProof/>
        </w:rPr>
        <w:t> </w:t>
      </w:r>
      <w:r w:rsidR="000A5D79" w:rsidRPr="00A10903">
        <w:rPr>
          <w:noProof/>
        </w:rPr>
        <w:t>b) załącznika V do rozporządzenia wykonawczego Komisji (UE) 2021/451</w:t>
      </w:r>
      <w:r w:rsidR="000A5D79" w:rsidRPr="00A10903">
        <w:rPr>
          <w:rStyle w:val="FootnoteReference"/>
          <w:noProof/>
        </w:rPr>
        <w:footnoteReference w:id="13"/>
      </w:r>
      <w:r w:rsidR="000A5D79" w:rsidRPr="00A10903">
        <w:rPr>
          <w:noProof/>
        </w:rPr>
        <w:t xml:space="preserve">; </w:t>
      </w:r>
    </w:p>
    <w:p w:rsidR="000A5D79" w:rsidRPr="00A10903" w:rsidRDefault="00A10903" w:rsidP="00A10903">
      <w:pPr>
        <w:pStyle w:val="Point1"/>
        <w:rPr>
          <w:noProof/>
        </w:rPr>
      </w:pPr>
      <w:r>
        <w:rPr>
          <w:noProof/>
        </w:rPr>
        <w:t>e)</w:t>
      </w:r>
      <w:r>
        <w:rPr>
          <w:noProof/>
        </w:rPr>
        <w:tab/>
      </w:r>
      <w:r w:rsidR="000A5D79" w:rsidRPr="00A10903">
        <w:rPr>
          <w:noProof/>
        </w:rPr>
        <w:t>informacje ilościowe na temat innych działań łagodzących</w:t>
      </w:r>
      <w:r w:rsidRPr="00A10903">
        <w:rPr>
          <w:noProof/>
        </w:rPr>
        <w:t xml:space="preserve"> i</w:t>
      </w:r>
      <w:r>
        <w:rPr>
          <w:noProof/>
        </w:rPr>
        <w:t> </w:t>
      </w:r>
      <w:r w:rsidRPr="00A10903">
        <w:rPr>
          <w:noProof/>
        </w:rPr>
        <w:t>eks</w:t>
      </w:r>
      <w:r w:rsidR="000A5D79" w:rsidRPr="00A10903">
        <w:rPr>
          <w:noProof/>
        </w:rPr>
        <w:t>pozycji na ryzyko związane ze zmianami klimatu, które nie kwalifikują się jako zrównoważona środowiskowo działalność gospodarcza zgodnie</w:t>
      </w:r>
      <w:r w:rsidRPr="00A10903">
        <w:rPr>
          <w:noProof/>
        </w:rPr>
        <w:t xml:space="preserve"> z</w:t>
      </w:r>
      <w:r>
        <w:rPr>
          <w:noProof/>
        </w:rPr>
        <w:t> </w:t>
      </w:r>
      <w:r w:rsidRPr="00A10903">
        <w:rPr>
          <w:noProof/>
        </w:rPr>
        <w:t>art</w:t>
      </w:r>
      <w:r w:rsidR="000A5D79" w:rsidRPr="00A10903">
        <w:rPr>
          <w:noProof/>
        </w:rPr>
        <w:t>.</w:t>
      </w:r>
      <w:r w:rsidRPr="00A10903">
        <w:rPr>
          <w:noProof/>
        </w:rPr>
        <w:t> </w:t>
      </w:r>
      <w:r w:rsidR="000A5D79" w:rsidRPr="00A10903">
        <w:rPr>
          <w:noProof/>
        </w:rPr>
        <w:t>3 rozporządzenia (UE) 2020/852, ale służą wsparciu kontrahentów</w:t>
      </w:r>
      <w:r w:rsidRPr="00A10903">
        <w:rPr>
          <w:noProof/>
        </w:rPr>
        <w:t xml:space="preserve"> w</w:t>
      </w:r>
      <w:r>
        <w:rPr>
          <w:noProof/>
        </w:rPr>
        <w:t> </w:t>
      </w:r>
      <w:r w:rsidRPr="00A10903">
        <w:rPr>
          <w:noProof/>
        </w:rPr>
        <w:t>pro</w:t>
      </w:r>
      <w:r w:rsidR="000A5D79" w:rsidRPr="00A10903">
        <w:rPr>
          <w:noProof/>
        </w:rPr>
        <w:t>cesie przejścia lub adaptacji</w:t>
      </w:r>
      <w:r w:rsidRPr="00A10903">
        <w:rPr>
          <w:noProof/>
        </w:rPr>
        <w:t xml:space="preserve"> w</w:t>
      </w:r>
      <w:r>
        <w:rPr>
          <w:noProof/>
        </w:rPr>
        <w:t> </w:t>
      </w:r>
      <w:r w:rsidRPr="00A10903">
        <w:rPr>
          <w:noProof/>
        </w:rPr>
        <w:t>zwi</w:t>
      </w:r>
      <w:r w:rsidR="000A5D79" w:rsidRPr="00A10903">
        <w:rPr>
          <w:noProof/>
        </w:rPr>
        <w:t>ązku</w:t>
      </w:r>
      <w:r w:rsidRPr="00A10903">
        <w:rPr>
          <w:noProof/>
        </w:rPr>
        <w:t xml:space="preserve"> z</w:t>
      </w:r>
      <w:r>
        <w:rPr>
          <w:noProof/>
        </w:rPr>
        <w:t> </w:t>
      </w:r>
      <w:r w:rsidRPr="00A10903">
        <w:rPr>
          <w:noProof/>
        </w:rPr>
        <w:t>cel</w:t>
      </w:r>
      <w:r w:rsidR="000A5D79" w:rsidRPr="00A10903">
        <w:rPr>
          <w:noProof/>
        </w:rPr>
        <w:t>ami</w:t>
      </w:r>
      <w:r w:rsidRPr="00A10903">
        <w:rPr>
          <w:noProof/>
        </w:rPr>
        <w:t xml:space="preserve"> w</w:t>
      </w:r>
      <w:r>
        <w:rPr>
          <w:noProof/>
        </w:rPr>
        <w:t> </w:t>
      </w:r>
      <w:r w:rsidRPr="00A10903">
        <w:rPr>
          <w:noProof/>
        </w:rPr>
        <w:t>zak</w:t>
      </w:r>
      <w:r w:rsidR="000A5D79" w:rsidRPr="00A10903">
        <w:rPr>
          <w:noProof/>
        </w:rPr>
        <w:t>resie łagodzenia zmian klimatu</w:t>
      </w:r>
      <w:r w:rsidRPr="00A10903">
        <w:rPr>
          <w:noProof/>
        </w:rPr>
        <w:t xml:space="preserve"> i</w:t>
      </w:r>
      <w:r>
        <w:rPr>
          <w:noProof/>
        </w:rPr>
        <w:t> </w:t>
      </w:r>
      <w:r w:rsidRPr="00A10903">
        <w:rPr>
          <w:noProof/>
        </w:rPr>
        <w:t>ada</w:t>
      </w:r>
      <w:r w:rsidR="000A5D79" w:rsidRPr="00A10903">
        <w:rPr>
          <w:noProof/>
        </w:rPr>
        <w:t xml:space="preserve">ptacji do zmian klimatu. </w:t>
      </w:r>
    </w:p>
    <w:p w:rsidR="000A5D79" w:rsidRPr="00A10903" w:rsidRDefault="00D26602" w:rsidP="00D26602">
      <w:pPr>
        <w:pStyle w:val="ManualNumPar1"/>
        <w:rPr>
          <w:noProof/>
        </w:rPr>
      </w:pPr>
      <w:r w:rsidRPr="00D26602">
        <w:rPr>
          <w:noProof/>
        </w:rPr>
        <w:t>2.</w:t>
      </w:r>
      <w:r w:rsidRPr="00D26602">
        <w:rPr>
          <w:noProof/>
        </w:rPr>
        <w:tab/>
      </w:r>
      <w:r w:rsidR="000A5D79" w:rsidRPr="00A10903">
        <w:rPr>
          <w:noProof/>
        </w:rPr>
        <w:t>Instytucje mogą zdecydować</w:t>
      </w:r>
      <w:r w:rsidR="00A10903" w:rsidRPr="00A10903">
        <w:rPr>
          <w:noProof/>
        </w:rPr>
        <w:t xml:space="preserve"> o</w:t>
      </w:r>
      <w:r w:rsidR="00A10903">
        <w:rPr>
          <w:noProof/>
        </w:rPr>
        <w:t> </w:t>
      </w:r>
      <w:r w:rsidR="00A10903" w:rsidRPr="00A10903">
        <w:rPr>
          <w:noProof/>
        </w:rPr>
        <w:t>uja</w:t>
      </w:r>
      <w:r w:rsidR="000A5D79" w:rsidRPr="00A10903">
        <w:rPr>
          <w:noProof/>
        </w:rPr>
        <w:t>wnianiu informacji ilościowych na temat działań łagodzących</w:t>
      </w:r>
      <w:r w:rsidR="00A10903" w:rsidRPr="00A10903">
        <w:rPr>
          <w:noProof/>
        </w:rPr>
        <w:t xml:space="preserve"> i</w:t>
      </w:r>
      <w:r w:rsidR="00A10903">
        <w:rPr>
          <w:noProof/>
        </w:rPr>
        <w:t> </w:t>
      </w:r>
      <w:r w:rsidR="00A10903" w:rsidRPr="00A10903">
        <w:rPr>
          <w:noProof/>
        </w:rPr>
        <w:t>eks</w:t>
      </w:r>
      <w:r w:rsidR="000A5D79" w:rsidRPr="00A10903">
        <w:rPr>
          <w:noProof/>
        </w:rPr>
        <w:t>pozycji na ryzyko związane ze zmianami klimatu powiązanych</w:t>
      </w:r>
      <w:r w:rsidR="00A10903" w:rsidRPr="00A10903">
        <w:rPr>
          <w:noProof/>
        </w:rPr>
        <w:t xml:space="preserve"> z</w:t>
      </w:r>
      <w:r w:rsidR="00A10903">
        <w:rPr>
          <w:noProof/>
        </w:rPr>
        <w:t> </w:t>
      </w:r>
      <w:r w:rsidR="00A10903" w:rsidRPr="00A10903">
        <w:rPr>
          <w:noProof/>
        </w:rPr>
        <w:t>dzi</w:t>
      </w:r>
      <w:r w:rsidR="000A5D79" w:rsidRPr="00A10903">
        <w:rPr>
          <w:noProof/>
        </w:rPr>
        <w:t>ałalnością gospodarczą, która kwalifikuje się jako zrównoważona środowiskowo zgodnie</w:t>
      </w:r>
      <w:r w:rsidR="00A10903" w:rsidRPr="00A10903">
        <w:rPr>
          <w:noProof/>
        </w:rPr>
        <w:t xml:space="preserve"> z</w:t>
      </w:r>
      <w:r w:rsidR="00A10903">
        <w:rPr>
          <w:noProof/>
        </w:rPr>
        <w:t> </w:t>
      </w:r>
      <w:r w:rsidR="00A10903" w:rsidRPr="00A10903">
        <w:rPr>
          <w:noProof/>
        </w:rPr>
        <w:t>art</w:t>
      </w:r>
      <w:r w:rsidR="000A5D79" w:rsidRPr="00A10903">
        <w:rPr>
          <w:noProof/>
        </w:rPr>
        <w:t>. 3 rozporządzenia (UE) 2020/852,</w:t>
      </w:r>
      <w:r w:rsidR="00A10903" w:rsidRPr="00A10903">
        <w:rPr>
          <w:noProof/>
        </w:rPr>
        <w:t xml:space="preserve"> w</w:t>
      </w:r>
      <w:r w:rsidR="00A10903">
        <w:rPr>
          <w:noProof/>
        </w:rPr>
        <w:t> </w:t>
      </w:r>
      <w:r w:rsidR="00A10903" w:rsidRPr="00A10903">
        <w:rPr>
          <w:noProof/>
        </w:rPr>
        <w:t>sto</w:t>
      </w:r>
      <w:r w:rsidR="000A5D79" w:rsidRPr="00A10903">
        <w:rPr>
          <w:noProof/>
        </w:rPr>
        <w:t>sunku do kontrahentów będących przedsiębiorstwami niefinansowymi, które nie podlegają obowiązkom ujawniania informacji określonym</w:t>
      </w:r>
      <w:r w:rsidR="00A10903" w:rsidRPr="00A10903">
        <w:rPr>
          <w:noProof/>
        </w:rPr>
        <w:t xml:space="preserve"> w</w:t>
      </w:r>
      <w:r w:rsidR="00A10903">
        <w:rPr>
          <w:noProof/>
        </w:rPr>
        <w:t> </w:t>
      </w:r>
      <w:r w:rsidR="00A10903" w:rsidRPr="00A10903">
        <w:rPr>
          <w:noProof/>
        </w:rPr>
        <w:t>art</w:t>
      </w:r>
      <w:r w:rsidR="000A5D79" w:rsidRPr="00A10903">
        <w:rPr>
          <w:noProof/>
        </w:rPr>
        <w:t>. 19a lub</w:t>
      </w:r>
      <w:r w:rsidR="00A10903" w:rsidRPr="00A10903">
        <w:rPr>
          <w:noProof/>
        </w:rPr>
        <w:t> </w:t>
      </w:r>
      <w:r w:rsidR="000A5D79" w:rsidRPr="00A10903">
        <w:rPr>
          <w:noProof/>
        </w:rPr>
        <w:t>29a dyrektywy 2013/34/UE</w:t>
      </w:r>
      <w:r w:rsidR="00A10903" w:rsidRPr="00A10903">
        <w:rPr>
          <w:noProof/>
        </w:rPr>
        <w:t xml:space="preserve"> i</w:t>
      </w:r>
      <w:r w:rsidR="00A10903">
        <w:rPr>
          <w:noProof/>
        </w:rPr>
        <w:t> </w:t>
      </w:r>
      <w:r w:rsidR="00A10903" w:rsidRPr="00A10903">
        <w:rPr>
          <w:noProof/>
        </w:rPr>
        <w:t>któ</w:t>
      </w:r>
      <w:r w:rsidR="000A5D79" w:rsidRPr="00A10903">
        <w:rPr>
          <w:noProof/>
        </w:rPr>
        <w:t>re nie podlegają obowiązkom ujawniania informacji określonym</w:t>
      </w:r>
      <w:r w:rsidR="00A10903" w:rsidRPr="00A10903">
        <w:rPr>
          <w:noProof/>
        </w:rPr>
        <w:t xml:space="preserve"> w</w:t>
      </w:r>
      <w:r w:rsidR="00A10903">
        <w:rPr>
          <w:noProof/>
        </w:rPr>
        <w:t> </w:t>
      </w:r>
      <w:r w:rsidR="00A10903" w:rsidRPr="00A10903">
        <w:rPr>
          <w:noProof/>
        </w:rPr>
        <w:t>roz</w:t>
      </w:r>
      <w:r w:rsidR="000A5D79" w:rsidRPr="00A10903">
        <w:rPr>
          <w:noProof/>
        </w:rPr>
        <w:t>porządzeniu wykonawczym Komisji (UE) 2021/2178</w:t>
      </w:r>
      <w:r w:rsidR="000A5D79" w:rsidRPr="00A10903">
        <w:rPr>
          <w:rStyle w:val="FootnoteReference"/>
          <w:noProof/>
        </w:rPr>
        <w:footnoteReference w:id="14"/>
      </w:r>
      <w:r w:rsidR="000A5D79" w:rsidRPr="00A10903">
        <w:rPr>
          <w:noProof/>
        </w:rPr>
        <w:t>.</w:t>
      </w:r>
    </w:p>
    <w:p w:rsidR="000A5D79" w:rsidRPr="00A10903" w:rsidRDefault="000A5D79" w:rsidP="00204A69">
      <w:pPr>
        <w:pStyle w:val="Text1"/>
        <w:rPr>
          <w:noProof/>
        </w:rPr>
      </w:pPr>
      <w:r w:rsidRPr="00A10903">
        <w:rPr>
          <w:noProof/>
        </w:rPr>
        <w:t>Aby obliczyć odsetek ekspozycji na działalność spełniającą wymogi określone</w:t>
      </w:r>
      <w:r w:rsidR="00A10903" w:rsidRPr="00A10903">
        <w:rPr>
          <w:noProof/>
        </w:rPr>
        <w:t xml:space="preserve"> w</w:t>
      </w:r>
      <w:r w:rsidR="00A10903">
        <w:rPr>
          <w:noProof/>
        </w:rPr>
        <w:t> </w:t>
      </w:r>
      <w:r w:rsidR="00A10903" w:rsidRPr="00A10903">
        <w:rPr>
          <w:noProof/>
        </w:rPr>
        <w:t>art</w:t>
      </w:r>
      <w:r w:rsidRPr="00A10903">
        <w:rPr>
          <w:noProof/>
        </w:rPr>
        <w:t>.</w:t>
      </w:r>
      <w:r w:rsidR="00A10903" w:rsidRPr="00A10903">
        <w:rPr>
          <w:noProof/>
        </w:rPr>
        <w:t> </w:t>
      </w:r>
      <w:r w:rsidRPr="00A10903">
        <w:rPr>
          <w:noProof/>
        </w:rPr>
        <w:t>3 rozporządzenia (UE) 2020/852 (ekspozycje na działalność zgodną</w:t>
      </w:r>
      <w:r w:rsidR="00A10903" w:rsidRPr="00A10903">
        <w:rPr>
          <w:noProof/>
        </w:rPr>
        <w:t xml:space="preserve"> z</w:t>
      </w:r>
      <w:r w:rsidR="00A10903">
        <w:rPr>
          <w:noProof/>
        </w:rPr>
        <w:t> </w:t>
      </w:r>
      <w:r w:rsidR="00A10903" w:rsidRPr="00A10903">
        <w:rPr>
          <w:noProof/>
        </w:rPr>
        <w:t>sys</w:t>
      </w:r>
      <w:r w:rsidRPr="00A10903">
        <w:rPr>
          <w:noProof/>
        </w:rPr>
        <w:t>tematyką)</w:t>
      </w:r>
      <w:r w:rsidR="00A10903" w:rsidRPr="00A10903">
        <w:rPr>
          <w:noProof/>
        </w:rPr>
        <w:t xml:space="preserve"> w</w:t>
      </w:r>
      <w:r w:rsidR="00A10903">
        <w:rPr>
          <w:noProof/>
        </w:rPr>
        <w:t> </w:t>
      </w:r>
      <w:r w:rsidR="00A10903" w:rsidRPr="00A10903">
        <w:rPr>
          <w:noProof/>
        </w:rPr>
        <w:t>sto</w:t>
      </w:r>
      <w:r w:rsidRPr="00A10903">
        <w:rPr>
          <w:noProof/>
        </w:rPr>
        <w:t xml:space="preserve">sunku do tych kontrahentów, instytucje: </w:t>
      </w:r>
    </w:p>
    <w:p w:rsidR="000A5D79" w:rsidRPr="00A10903" w:rsidRDefault="00A10903" w:rsidP="00A10903">
      <w:pPr>
        <w:pStyle w:val="Point1"/>
        <w:rPr>
          <w:noProof/>
        </w:rPr>
      </w:pPr>
      <w:r>
        <w:rPr>
          <w:noProof/>
        </w:rPr>
        <w:t>a)</w:t>
      </w:r>
      <w:r>
        <w:rPr>
          <w:noProof/>
        </w:rPr>
        <w:tab/>
      </w:r>
      <w:r w:rsidR="000A5D79" w:rsidRPr="00A10903">
        <w:rPr>
          <w:noProof/>
        </w:rPr>
        <w:t>mogą,</w:t>
      </w:r>
      <w:r w:rsidRPr="00A10903">
        <w:rPr>
          <w:noProof/>
        </w:rPr>
        <w:t xml:space="preserve"> o</w:t>
      </w:r>
      <w:r>
        <w:rPr>
          <w:noProof/>
        </w:rPr>
        <w:t> </w:t>
      </w:r>
      <w:r w:rsidRPr="00A10903">
        <w:rPr>
          <w:noProof/>
        </w:rPr>
        <w:t>ile</w:t>
      </w:r>
      <w:r w:rsidR="000A5D79" w:rsidRPr="00A10903">
        <w:rPr>
          <w:noProof/>
        </w:rPr>
        <w:t xml:space="preserve"> są one dostępne, wykorzystywać informacje, które otrzymały od swoich kontrahentów na zasadzie dobrowolności</w:t>
      </w:r>
      <w:r w:rsidRPr="00A10903">
        <w:rPr>
          <w:noProof/>
        </w:rPr>
        <w:t xml:space="preserve"> i</w:t>
      </w:r>
      <w:r>
        <w:rPr>
          <w:noProof/>
        </w:rPr>
        <w:t> </w:t>
      </w:r>
      <w:r w:rsidRPr="00A10903">
        <w:rPr>
          <w:noProof/>
        </w:rPr>
        <w:t>w</w:t>
      </w:r>
      <w:r>
        <w:rPr>
          <w:noProof/>
        </w:rPr>
        <w:t> </w:t>
      </w:r>
      <w:r w:rsidRPr="00A10903">
        <w:rPr>
          <w:noProof/>
        </w:rPr>
        <w:t>try</w:t>
      </w:r>
      <w:r w:rsidR="000A5D79" w:rsidRPr="00A10903">
        <w:rPr>
          <w:noProof/>
        </w:rPr>
        <w:t>bie dwustronnym</w:t>
      </w:r>
      <w:r w:rsidRPr="00A10903">
        <w:rPr>
          <w:noProof/>
        </w:rPr>
        <w:t xml:space="preserve"> w</w:t>
      </w:r>
      <w:r>
        <w:rPr>
          <w:noProof/>
        </w:rPr>
        <w:t> </w:t>
      </w:r>
      <w:r w:rsidRPr="00A10903">
        <w:rPr>
          <w:noProof/>
        </w:rPr>
        <w:t>ram</w:t>
      </w:r>
      <w:r w:rsidR="000A5D79" w:rsidRPr="00A10903">
        <w:rPr>
          <w:noProof/>
        </w:rPr>
        <w:t>ach procesu udzielania kredytu oraz regularnego przeglądu</w:t>
      </w:r>
      <w:r w:rsidRPr="00A10903">
        <w:rPr>
          <w:noProof/>
        </w:rPr>
        <w:t xml:space="preserve"> i</w:t>
      </w:r>
      <w:r>
        <w:rPr>
          <w:noProof/>
        </w:rPr>
        <w:t> </w:t>
      </w:r>
      <w:r w:rsidRPr="00A10903">
        <w:rPr>
          <w:noProof/>
        </w:rPr>
        <w:t>mon</w:t>
      </w:r>
      <w:r w:rsidR="000A5D79" w:rsidRPr="00A10903">
        <w:rPr>
          <w:noProof/>
        </w:rPr>
        <w:t xml:space="preserve">itorowania kredytu; </w:t>
      </w:r>
    </w:p>
    <w:p w:rsidR="000A5D79" w:rsidRPr="00A10903" w:rsidRDefault="00A10903" w:rsidP="00A10903">
      <w:pPr>
        <w:pStyle w:val="Point1"/>
        <w:rPr>
          <w:noProof/>
        </w:rPr>
      </w:pPr>
      <w:r>
        <w:rPr>
          <w:noProof/>
        </w:rPr>
        <w:t>b)</w:t>
      </w:r>
      <w:r>
        <w:rPr>
          <w:noProof/>
        </w:rPr>
        <w:tab/>
      </w:r>
      <w:r w:rsidR="000A5D79" w:rsidRPr="00A10903">
        <w:rPr>
          <w:noProof/>
        </w:rPr>
        <w:t>w przypadku gdy kontrahent nie jest</w:t>
      </w:r>
      <w:r w:rsidRPr="00A10903">
        <w:rPr>
          <w:noProof/>
        </w:rPr>
        <w:t xml:space="preserve"> w</w:t>
      </w:r>
      <w:r>
        <w:rPr>
          <w:noProof/>
        </w:rPr>
        <w:t> </w:t>
      </w:r>
      <w:r w:rsidRPr="00A10903">
        <w:rPr>
          <w:noProof/>
        </w:rPr>
        <w:t>sta</w:t>
      </w:r>
      <w:r w:rsidR="000A5D79" w:rsidRPr="00A10903">
        <w:rPr>
          <w:noProof/>
        </w:rPr>
        <w:t>nie lub nie chce przekazać odnośnych informacji</w:t>
      </w:r>
      <w:r w:rsidRPr="00A10903">
        <w:rPr>
          <w:noProof/>
        </w:rPr>
        <w:t xml:space="preserve"> w</w:t>
      </w:r>
      <w:r>
        <w:rPr>
          <w:noProof/>
        </w:rPr>
        <w:t> </w:t>
      </w:r>
      <w:r w:rsidRPr="00A10903">
        <w:rPr>
          <w:noProof/>
        </w:rPr>
        <w:t>try</w:t>
      </w:r>
      <w:r w:rsidR="000A5D79" w:rsidRPr="00A10903">
        <w:rPr>
          <w:noProof/>
        </w:rPr>
        <w:t>bie dwustronnym – mogą stosować wewnętrzne oszacowania</w:t>
      </w:r>
      <w:r w:rsidRPr="00A10903">
        <w:rPr>
          <w:noProof/>
        </w:rPr>
        <w:t xml:space="preserve"> i</w:t>
      </w:r>
      <w:r>
        <w:rPr>
          <w:noProof/>
        </w:rPr>
        <w:t> </w:t>
      </w:r>
      <w:r w:rsidRPr="00A10903">
        <w:rPr>
          <w:noProof/>
        </w:rPr>
        <w:t>prz</w:t>
      </w:r>
      <w:r w:rsidR="000A5D79" w:rsidRPr="00A10903">
        <w:rPr>
          <w:noProof/>
        </w:rPr>
        <w:t>ybliżenia oraz wyjaśnić</w:t>
      </w:r>
      <w:r w:rsidRPr="00A10903">
        <w:rPr>
          <w:noProof/>
        </w:rPr>
        <w:t xml:space="preserve"> w</w:t>
      </w:r>
      <w:r>
        <w:rPr>
          <w:noProof/>
        </w:rPr>
        <w:t> </w:t>
      </w:r>
      <w:r w:rsidRPr="00A10903">
        <w:rPr>
          <w:noProof/>
        </w:rPr>
        <w:t>opi</w:t>
      </w:r>
      <w:r w:rsidR="000A5D79" w:rsidRPr="00A10903">
        <w:rPr>
          <w:noProof/>
        </w:rPr>
        <w:t>sie towarzyszącym wzorowi,</w:t>
      </w:r>
      <w:r w:rsidRPr="00A10903">
        <w:rPr>
          <w:noProof/>
        </w:rPr>
        <w:t xml:space="preserve"> w</w:t>
      </w:r>
      <w:r>
        <w:rPr>
          <w:noProof/>
        </w:rPr>
        <w:t> </w:t>
      </w:r>
      <w:r w:rsidRPr="00A10903">
        <w:rPr>
          <w:noProof/>
        </w:rPr>
        <w:t>jak</w:t>
      </w:r>
      <w:r w:rsidR="000A5D79" w:rsidRPr="00A10903">
        <w:rPr>
          <w:noProof/>
        </w:rPr>
        <w:t>im zakresie wykorzystano te wewnętrzne oszacowania</w:t>
      </w:r>
      <w:r w:rsidRPr="00A10903">
        <w:rPr>
          <w:noProof/>
        </w:rPr>
        <w:t xml:space="preserve"> i</w:t>
      </w:r>
      <w:r>
        <w:rPr>
          <w:noProof/>
        </w:rPr>
        <w:t> </w:t>
      </w:r>
      <w:r w:rsidRPr="00A10903">
        <w:rPr>
          <w:noProof/>
        </w:rPr>
        <w:t>prz</w:t>
      </w:r>
      <w:r w:rsidR="000A5D79" w:rsidRPr="00A10903">
        <w:rPr>
          <w:noProof/>
        </w:rPr>
        <w:t>ybliżenia oraz jakie wewnętrzne oszacowania</w:t>
      </w:r>
      <w:r w:rsidRPr="00A10903">
        <w:rPr>
          <w:noProof/>
        </w:rPr>
        <w:t xml:space="preserve"> i</w:t>
      </w:r>
      <w:r>
        <w:rPr>
          <w:noProof/>
        </w:rPr>
        <w:t> </w:t>
      </w:r>
      <w:r w:rsidRPr="00A10903">
        <w:rPr>
          <w:noProof/>
        </w:rPr>
        <w:t>prz</w:t>
      </w:r>
      <w:r w:rsidR="000A5D79" w:rsidRPr="00A10903">
        <w:rPr>
          <w:noProof/>
        </w:rPr>
        <w:t>ybliżenia zastosowano;</w:t>
      </w:r>
    </w:p>
    <w:p w:rsidR="000A5D79" w:rsidRPr="00A10903" w:rsidRDefault="00A10903" w:rsidP="00A10903">
      <w:pPr>
        <w:pStyle w:val="Point1"/>
        <w:rPr>
          <w:noProof/>
        </w:rPr>
      </w:pPr>
      <w:r>
        <w:rPr>
          <w:noProof/>
        </w:rPr>
        <w:t>c)</w:t>
      </w:r>
      <w:r>
        <w:rPr>
          <w:noProof/>
        </w:rPr>
        <w:tab/>
      </w:r>
      <w:r w:rsidR="000A5D79" w:rsidRPr="00A10903">
        <w:rPr>
          <w:noProof/>
        </w:rPr>
        <w:t>w przypadku gdy nie są</w:t>
      </w:r>
      <w:r w:rsidRPr="00A10903">
        <w:rPr>
          <w:noProof/>
        </w:rPr>
        <w:t xml:space="preserve"> w</w:t>
      </w:r>
      <w:r>
        <w:rPr>
          <w:noProof/>
        </w:rPr>
        <w:t> </w:t>
      </w:r>
      <w:r w:rsidRPr="00A10903">
        <w:rPr>
          <w:noProof/>
        </w:rPr>
        <w:t>sta</w:t>
      </w:r>
      <w:r w:rsidR="000A5D79" w:rsidRPr="00A10903">
        <w:rPr>
          <w:noProof/>
        </w:rPr>
        <w:t>nie gromadzić</w:t>
      </w:r>
      <w:r w:rsidRPr="00A10903">
        <w:rPr>
          <w:noProof/>
        </w:rPr>
        <w:t xml:space="preserve"> w</w:t>
      </w:r>
      <w:r>
        <w:rPr>
          <w:noProof/>
        </w:rPr>
        <w:t> </w:t>
      </w:r>
      <w:r w:rsidRPr="00A10903">
        <w:rPr>
          <w:noProof/>
        </w:rPr>
        <w:t>try</w:t>
      </w:r>
      <w:r w:rsidR="000A5D79" w:rsidRPr="00A10903">
        <w:rPr>
          <w:noProof/>
        </w:rPr>
        <w:t>bie dwustronnym odnośnych informacji lub nie mogą stosować wewnętrznych oszacowań</w:t>
      </w:r>
      <w:r w:rsidRPr="00A10903">
        <w:rPr>
          <w:noProof/>
        </w:rPr>
        <w:t xml:space="preserve"> i</w:t>
      </w:r>
      <w:r>
        <w:rPr>
          <w:noProof/>
        </w:rPr>
        <w:t> </w:t>
      </w:r>
      <w:r w:rsidRPr="00A10903">
        <w:rPr>
          <w:noProof/>
        </w:rPr>
        <w:t>prz</w:t>
      </w:r>
      <w:r w:rsidR="000A5D79" w:rsidRPr="00A10903">
        <w:rPr>
          <w:noProof/>
        </w:rPr>
        <w:t>ybliżeń, lub nie mogą gromadzić tych informacji ani stosować tych oszacowań</w:t>
      </w:r>
      <w:r w:rsidRPr="00A10903">
        <w:rPr>
          <w:noProof/>
        </w:rPr>
        <w:t xml:space="preserve"> i</w:t>
      </w:r>
      <w:r>
        <w:rPr>
          <w:noProof/>
        </w:rPr>
        <w:t> </w:t>
      </w:r>
      <w:r w:rsidRPr="00A10903">
        <w:rPr>
          <w:noProof/>
        </w:rPr>
        <w:t>prz</w:t>
      </w:r>
      <w:r w:rsidR="000A5D79" w:rsidRPr="00A10903">
        <w:rPr>
          <w:noProof/>
        </w:rPr>
        <w:t>ybliżeń</w:t>
      </w:r>
      <w:r w:rsidRPr="00A10903">
        <w:rPr>
          <w:noProof/>
        </w:rPr>
        <w:t xml:space="preserve"> w</w:t>
      </w:r>
      <w:r>
        <w:rPr>
          <w:noProof/>
        </w:rPr>
        <w:t> </w:t>
      </w:r>
      <w:r w:rsidRPr="00A10903">
        <w:rPr>
          <w:noProof/>
        </w:rPr>
        <w:t>spo</w:t>
      </w:r>
      <w:r w:rsidR="000A5D79" w:rsidRPr="00A10903">
        <w:rPr>
          <w:noProof/>
        </w:rPr>
        <w:t>sób, który nie jest nadmiernie uciążliwy dla nich samych lub ich kontrahentów – mogą wyjaśnić ten brak możliwości</w:t>
      </w:r>
      <w:r w:rsidRPr="00A10903">
        <w:rPr>
          <w:noProof/>
        </w:rPr>
        <w:t xml:space="preserve"> w</w:t>
      </w:r>
      <w:r>
        <w:rPr>
          <w:noProof/>
        </w:rPr>
        <w:t> </w:t>
      </w:r>
      <w:r w:rsidRPr="00A10903">
        <w:rPr>
          <w:noProof/>
        </w:rPr>
        <w:t>opi</w:t>
      </w:r>
      <w:r w:rsidR="000A5D79" w:rsidRPr="00A10903">
        <w:rPr>
          <w:noProof/>
        </w:rPr>
        <w:t xml:space="preserve">sie towarzyszącym wzorowi. </w:t>
      </w:r>
    </w:p>
    <w:p w:rsidR="000A5D79" w:rsidRPr="00A10903" w:rsidRDefault="000A5D79" w:rsidP="00204A69">
      <w:pPr>
        <w:pStyle w:val="Text1"/>
        <w:rPr>
          <w:noProof/>
        </w:rPr>
      </w:pPr>
      <w:r w:rsidRPr="00A10903">
        <w:rPr>
          <w:noProof/>
        </w:rPr>
        <w:t>Do celów lit.</w:t>
      </w:r>
      <w:r w:rsidR="00A10903" w:rsidRPr="00A10903">
        <w:rPr>
          <w:noProof/>
        </w:rPr>
        <w:t> </w:t>
      </w:r>
      <w:r w:rsidRPr="00A10903">
        <w:rPr>
          <w:noProof/>
        </w:rPr>
        <w:t xml:space="preserve">a) instytucje informują swoich kontrahentów, że przekazanie takich informacji jest dobrowolne. </w:t>
      </w:r>
    </w:p>
    <w:p w:rsidR="000A5D79" w:rsidRPr="00A10903" w:rsidRDefault="000A5D79" w:rsidP="00813A48">
      <w:pPr>
        <w:pStyle w:val="Titrearticle"/>
        <w:spacing w:before="120"/>
        <w:rPr>
          <w:noProof/>
        </w:rPr>
      </w:pPr>
      <w:r w:rsidRPr="00A10903">
        <w:rPr>
          <w:noProof/>
        </w:rPr>
        <w:t>Artykuł 23</w:t>
      </w:r>
    </w:p>
    <w:p w:rsidR="000A5D79" w:rsidRPr="00A10903" w:rsidRDefault="00AB6551" w:rsidP="00813A48">
      <w:pPr>
        <w:pStyle w:val="Titrearticle"/>
        <w:spacing w:before="120"/>
        <w:rPr>
          <w:b/>
          <w:i w:val="0"/>
          <w:noProof/>
        </w:rPr>
      </w:pPr>
      <w:r w:rsidRPr="00A10903">
        <w:rPr>
          <w:b/>
          <w:i w:val="0"/>
          <w:noProof/>
        </w:rPr>
        <w:t>Ujawnianie informacji na temat kryptoaktywów</w:t>
      </w:r>
    </w:p>
    <w:p w:rsidR="000A5D79" w:rsidRPr="00A10903" w:rsidRDefault="000A5D79" w:rsidP="00905855">
      <w:pPr>
        <w:rPr>
          <w:noProof/>
        </w:rPr>
      </w:pPr>
      <w:r w:rsidRPr="00A10903">
        <w:rPr>
          <w:noProof/>
        </w:rPr>
        <w:t>Instytucje ujawniają informacje na potrzeby obliczania wymogów</w:t>
      </w:r>
      <w:r w:rsidR="00A10903" w:rsidRPr="00A10903">
        <w:rPr>
          <w:noProof/>
        </w:rPr>
        <w:t xml:space="preserve"> w</w:t>
      </w:r>
      <w:r w:rsidR="00A10903">
        <w:rPr>
          <w:noProof/>
        </w:rPr>
        <w:t> </w:t>
      </w:r>
      <w:r w:rsidR="00A10903" w:rsidRPr="00A10903">
        <w:rPr>
          <w:noProof/>
        </w:rPr>
        <w:t>zak</w:t>
      </w:r>
      <w:r w:rsidRPr="00A10903">
        <w:rPr>
          <w:noProof/>
        </w:rPr>
        <w:t>resie funduszy własnych</w:t>
      </w:r>
      <w:r w:rsidR="00A10903" w:rsidRPr="00A10903">
        <w:rPr>
          <w:noProof/>
        </w:rPr>
        <w:t xml:space="preserve"> z</w:t>
      </w:r>
      <w:r w:rsidR="00A10903">
        <w:rPr>
          <w:noProof/>
        </w:rPr>
        <w:t> </w:t>
      </w:r>
      <w:r w:rsidR="00A10903" w:rsidRPr="00A10903">
        <w:rPr>
          <w:noProof/>
        </w:rPr>
        <w:t>tyt</w:t>
      </w:r>
      <w:r w:rsidRPr="00A10903">
        <w:rPr>
          <w:noProof/>
        </w:rPr>
        <w:t xml:space="preserve">ułu ekspozycji na kryptoaktywa </w:t>
      </w:r>
      <w:bookmarkStart w:id="7" w:name="_Hlk163582169"/>
      <w:r w:rsidRPr="00A10903">
        <w:rPr>
          <w:noProof/>
        </w:rPr>
        <w:t>zgodnie</w:t>
      </w:r>
      <w:r w:rsidR="00A10903" w:rsidRPr="00A10903">
        <w:rPr>
          <w:noProof/>
        </w:rPr>
        <w:t xml:space="preserve"> z</w:t>
      </w:r>
      <w:r w:rsidR="00A10903">
        <w:rPr>
          <w:noProof/>
        </w:rPr>
        <w:t> </w:t>
      </w:r>
      <w:r w:rsidR="00A10903" w:rsidRPr="00A10903">
        <w:rPr>
          <w:noProof/>
        </w:rPr>
        <w:t>art</w:t>
      </w:r>
      <w:r w:rsidRPr="00A10903">
        <w:rPr>
          <w:noProof/>
        </w:rPr>
        <w:t>.</w:t>
      </w:r>
      <w:r w:rsidR="00A10903" w:rsidRPr="00A10903">
        <w:rPr>
          <w:noProof/>
        </w:rPr>
        <w:t> </w:t>
      </w:r>
      <w:r w:rsidRPr="00A10903">
        <w:rPr>
          <w:noProof/>
        </w:rPr>
        <w:t>501d ust.</w:t>
      </w:r>
      <w:r w:rsidR="00A10903" w:rsidRPr="00A10903">
        <w:rPr>
          <w:noProof/>
        </w:rPr>
        <w:t> </w:t>
      </w:r>
      <w:r w:rsidRPr="00A10903">
        <w:rPr>
          <w:noProof/>
        </w:rPr>
        <w:t>2 rozporządzenia (UE) nr</w:t>
      </w:r>
      <w:r w:rsidR="00A10903" w:rsidRPr="00A10903">
        <w:rPr>
          <w:noProof/>
        </w:rPr>
        <w:t> </w:t>
      </w:r>
      <w:r w:rsidRPr="00A10903">
        <w:rPr>
          <w:noProof/>
        </w:rPr>
        <w:t>575/2013</w:t>
      </w:r>
      <w:bookmarkEnd w:id="7"/>
      <w:r w:rsidRPr="00A10903">
        <w:rPr>
          <w:noProof/>
        </w:rPr>
        <w:t>, jak określono</w:t>
      </w:r>
      <w:r w:rsidR="00A10903" w:rsidRPr="00A10903">
        <w:rPr>
          <w:noProof/>
        </w:rPr>
        <w:t xml:space="preserve"> w</w:t>
      </w:r>
      <w:r w:rsidR="00A10903">
        <w:rPr>
          <w:noProof/>
        </w:rPr>
        <w:t> </w:t>
      </w:r>
      <w:r w:rsidR="00A10903" w:rsidRPr="00A10903">
        <w:rPr>
          <w:noProof/>
        </w:rPr>
        <w:t>sek</w:t>
      </w:r>
      <w:r w:rsidRPr="00A10903">
        <w:rPr>
          <w:noProof/>
        </w:rPr>
        <w:t>cji 22 „Ujawnianie informacji na temat ekspozycji na kryptoaktywa”</w:t>
      </w:r>
      <w:r w:rsidR="00A10903" w:rsidRPr="00A10903">
        <w:rPr>
          <w:noProof/>
        </w:rPr>
        <w:t xml:space="preserve"> w</w:t>
      </w:r>
      <w:r w:rsidR="00A10903">
        <w:rPr>
          <w:noProof/>
        </w:rPr>
        <w:t> </w:t>
      </w:r>
      <w:r w:rsidR="00A10903" w:rsidRPr="00A10903">
        <w:rPr>
          <w:noProof/>
        </w:rPr>
        <w:t>zał</w:t>
      </w:r>
      <w:r w:rsidRPr="00A10903">
        <w:rPr>
          <w:noProof/>
        </w:rPr>
        <w:t>ączniku I.</w:t>
      </w:r>
    </w:p>
    <w:p w:rsidR="0066214E" w:rsidRPr="00A10903" w:rsidRDefault="0066214E" w:rsidP="0066214E">
      <w:pPr>
        <w:spacing w:before="360"/>
        <w:jc w:val="center"/>
        <w:rPr>
          <w:i/>
          <w:iCs/>
          <w:noProof/>
        </w:rPr>
      </w:pPr>
      <w:r w:rsidRPr="00A10903">
        <w:rPr>
          <w:i/>
          <w:noProof/>
        </w:rPr>
        <w:t>Artykuł 24</w:t>
      </w:r>
    </w:p>
    <w:p w:rsidR="0066214E" w:rsidRPr="00A10903" w:rsidRDefault="0066214E" w:rsidP="0066214E">
      <w:pPr>
        <w:jc w:val="center"/>
        <w:rPr>
          <w:b/>
          <w:bCs/>
          <w:noProof/>
        </w:rPr>
      </w:pPr>
      <w:r w:rsidRPr="00A10903">
        <w:rPr>
          <w:b/>
          <w:noProof/>
        </w:rPr>
        <w:t xml:space="preserve">Rozwiązania informatyczne </w:t>
      </w:r>
    </w:p>
    <w:p w:rsidR="00344DF8" w:rsidRPr="00A10903" w:rsidRDefault="006C550D" w:rsidP="00BB0B33">
      <w:pPr>
        <w:rPr>
          <w:noProof/>
        </w:rPr>
      </w:pPr>
      <w:r w:rsidRPr="00A10903">
        <w:rPr>
          <w:noProof/>
        </w:rPr>
        <w:t>EUNB zapewnia, aby rozwiązania informatyczne,</w:t>
      </w:r>
      <w:r w:rsidR="00A10903" w:rsidRPr="00A10903">
        <w:rPr>
          <w:noProof/>
        </w:rPr>
        <w:t xml:space="preserve"> w</w:t>
      </w:r>
      <w:r w:rsidR="00A10903">
        <w:rPr>
          <w:noProof/>
        </w:rPr>
        <w:t> </w:t>
      </w:r>
      <w:r w:rsidR="00A10903" w:rsidRPr="00A10903">
        <w:rPr>
          <w:noProof/>
        </w:rPr>
        <w:t>tym</w:t>
      </w:r>
      <w:r w:rsidRPr="00A10903">
        <w:rPr>
          <w:noProof/>
        </w:rPr>
        <w:t xml:space="preserve"> instrukcje, opracowane na potrzeby ujawniania informacji wymaganych na mocy tytułów II i III rozporządzenia (UE) nr</w:t>
      </w:r>
      <w:r w:rsidR="00A10903" w:rsidRPr="00A10903">
        <w:rPr>
          <w:noProof/>
        </w:rPr>
        <w:t> </w:t>
      </w:r>
      <w:r w:rsidRPr="00A10903">
        <w:rPr>
          <w:noProof/>
        </w:rPr>
        <w:t>575/2013 były zawsze zgodne</w:t>
      </w:r>
      <w:r w:rsidR="00A10903" w:rsidRPr="00A10903">
        <w:rPr>
          <w:noProof/>
        </w:rPr>
        <w:t xml:space="preserve"> z</w:t>
      </w:r>
      <w:r w:rsidR="00A10903">
        <w:rPr>
          <w:noProof/>
        </w:rPr>
        <w:t> </w:t>
      </w:r>
      <w:r w:rsidR="00A10903" w:rsidRPr="00A10903">
        <w:rPr>
          <w:noProof/>
        </w:rPr>
        <w:t>jed</w:t>
      </w:r>
      <w:r w:rsidRPr="00A10903">
        <w:rPr>
          <w:noProof/>
        </w:rPr>
        <w:t>nolitymi formatami ujawniania informacji określonymi</w:t>
      </w:r>
      <w:r w:rsidR="00A10903" w:rsidRPr="00A10903">
        <w:rPr>
          <w:noProof/>
        </w:rPr>
        <w:t xml:space="preserve"> w</w:t>
      </w:r>
      <w:r w:rsidR="00A10903">
        <w:rPr>
          <w:noProof/>
        </w:rPr>
        <w:t> </w:t>
      </w:r>
      <w:r w:rsidR="00A10903" w:rsidRPr="00A10903">
        <w:rPr>
          <w:noProof/>
        </w:rPr>
        <w:t>nin</w:t>
      </w:r>
      <w:r w:rsidRPr="00A10903">
        <w:rPr>
          <w:noProof/>
        </w:rPr>
        <w:t>iejszym rozporządzeniu</w:t>
      </w:r>
      <w:r w:rsidR="00A10903" w:rsidRPr="00A10903">
        <w:rPr>
          <w:noProof/>
        </w:rPr>
        <w:t xml:space="preserve"> i</w:t>
      </w:r>
      <w:r w:rsidR="00A10903">
        <w:rPr>
          <w:noProof/>
        </w:rPr>
        <w:t> </w:t>
      </w:r>
      <w:r w:rsidR="00A10903" w:rsidRPr="00A10903">
        <w:rPr>
          <w:noProof/>
        </w:rPr>
        <w:t>obe</w:t>
      </w:r>
      <w:r w:rsidRPr="00A10903">
        <w:rPr>
          <w:noProof/>
        </w:rPr>
        <w:t>jmowały wszystkie punkty danych</w:t>
      </w:r>
      <w:r w:rsidR="00A10903" w:rsidRPr="00A10903">
        <w:rPr>
          <w:noProof/>
        </w:rPr>
        <w:t xml:space="preserve"> i</w:t>
      </w:r>
      <w:r w:rsidR="00A10903">
        <w:rPr>
          <w:noProof/>
        </w:rPr>
        <w:t> </w:t>
      </w:r>
      <w:r w:rsidR="00A10903" w:rsidRPr="00A10903">
        <w:rPr>
          <w:noProof/>
        </w:rPr>
        <w:t>inf</w:t>
      </w:r>
      <w:r w:rsidRPr="00A10903">
        <w:rPr>
          <w:noProof/>
        </w:rPr>
        <w:t xml:space="preserve">ormacje wymienione we wzorach do celów ujawniania informacji. </w:t>
      </w:r>
    </w:p>
    <w:p w:rsidR="00344DF8" w:rsidRPr="00A10903" w:rsidRDefault="00344DF8" w:rsidP="00BB0B33">
      <w:pPr>
        <w:rPr>
          <w:noProof/>
        </w:rPr>
      </w:pPr>
      <w:r w:rsidRPr="00A10903">
        <w:rPr>
          <w:noProof/>
        </w:rPr>
        <w:t>EUNB udostępnia na swojej stronie internetowej rozwiązania informatyczne,</w:t>
      </w:r>
      <w:r w:rsidR="00A10903" w:rsidRPr="00A10903">
        <w:rPr>
          <w:noProof/>
        </w:rPr>
        <w:t xml:space="preserve"> o</w:t>
      </w:r>
      <w:r w:rsidR="00A10903">
        <w:rPr>
          <w:noProof/>
        </w:rPr>
        <w:t> </w:t>
      </w:r>
      <w:r w:rsidR="00A10903" w:rsidRPr="00A10903">
        <w:rPr>
          <w:noProof/>
        </w:rPr>
        <w:t>któ</w:t>
      </w:r>
      <w:r w:rsidRPr="00A10903">
        <w:rPr>
          <w:noProof/>
        </w:rPr>
        <w:t>rych mowa</w:t>
      </w:r>
      <w:r w:rsidR="00A10903" w:rsidRPr="00A10903">
        <w:rPr>
          <w:noProof/>
        </w:rPr>
        <w:t xml:space="preserve"> w</w:t>
      </w:r>
      <w:r w:rsidR="00A10903">
        <w:rPr>
          <w:noProof/>
        </w:rPr>
        <w:t> </w:t>
      </w:r>
      <w:r w:rsidR="00A10903" w:rsidRPr="00A10903">
        <w:rPr>
          <w:noProof/>
        </w:rPr>
        <w:t>aka</w:t>
      </w:r>
      <w:r w:rsidRPr="00A10903">
        <w:rPr>
          <w:noProof/>
        </w:rPr>
        <w:t>picie pierwszym, oraz wszelkie związane</w:t>
      </w:r>
      <w:r w:rsidR="00A10903" w:rsidRPr="00A10903">
        <w:rPr>
          <w:noProof/>
        </w:rPr>
        <w:t xml:space="preserve"> z</w:t>
      </w:r>
      <w:r w:rsidR="00A10903">
        <w:rPr>
          <w:noProof/>
        </w:rPr>
        <w:t> </w:t>
      </w:r>
      <w:r w:rsidR="00A10903" w:rsidRPr="00A10903">
        <w:rPr>
          <w:noProof/>
        </w:rPr>
        <w:t>nim</w:t>
      </w:r>
      <w:r w:rsidRPr="00A10903">
        <w:rPr>
          <w:noProof/>
        </w:rPr>
        <w:t>i instrukcje. EUNB aktualizuje te rozwiązania informatyczne</w:t>
      </w:r>
      <w:r w:rsidR="00A10903" w:rsidRPr="00A10903">
        <w:rPr>
          <w:noProof/>
        </w:rPr>
        <w:t xml:space="preserve"> i</w:t>
      </w:r>
      <w:r w:rsidR="00A10903">
        <w:rPr>
          <w:noProof/>
        </w:rPr>
        <w:t> </w:t>
      </w:r>
      <w:r w:rsidR="00A10903" w:rsidRPr="00A10903">
        <w:rPr>
          <w:noProof/>
        </w:rPr>
        <w:t>ins</w:t>
      </w:r>
      <w:r w:rsidRPr="00A10903">
        <w:rPr>
          <w:noProof/>
        </w:rPr>
        <w:t>trukcje</w:t>
      </w:r>
      <w:r w:rsidR="00A10903" w:rsidRPr="00A10903">
        <w:rPr>
          <w:noProof/>
        </w:rPr>
        <w:t xml:space="preserve"> i</w:t>
      </w:r>
      <w:r w:rsidR="00A10903">
        <w:rPr>
          <w:noProof/>
        </w:rPr>
        <w:t> </w:t>
      </w:r>
      <w:r w:rsidR="00A10903" w:rsidRPr="00A10903">
        <w:rPr>
          <w:noProof/>
        </w:rPr>
        <w:t>udo</w:t>
      </w:r>
      <w:r w:rsidRPr="00A10903">
        <w:rPr>
          <w:noProof/>
        </w:rPr>
        <w:t>stępnia je we wszystkich językach urzędowych.</w:t>
      </w:r>
    </w:p>
    <w:p w:rsidR="000A5D79" w:rsidRPr="00A10903" w:rsidRDefault="000A5D79" w:rsidP="000A5D79">
      <w:pPr>
        <w:pStyle w:val="Titrearticle"/>
        <w:rPr>
          <w:noProof/>
        </w:rPr>
      </w:pPr>
      <w:r w:rsidRPr="00A10903">
        <w:rPr>
          <w:noProof/>
        </w:rPr>
        <w:t>Artykuł 25</w:t>
      </w:r>
    </w:p>
    <w:p w:rsidR="000A5D79" w:rsidRPr="00A10903" w:rsidRDefault="000A5D79" w:rsidP="000A5D79">
      <w:pPr>
        <w:pStyle w:val="Titrearticle"/>
        <w:spacing w:before="120"/>
        <w:rPr>
          <w:b/>
          <w:i w:val="0"/>
          <w:noProof/>
        </w:rPr>
      </w:pPr>
      <w:r w:rsidRPr="00A10903">
        <w:rPr>
          <w:b/>
          <w:i w:val="0"/>
          <w:noProof/>
        </w:rPr>
        <w:t>Przepisy ogólne dotyczące jednolitych formatów ujawniania informacji</w:t>
      </w:r>
    </w:p>
    <w:p w:rsidR="000A5D79" w:rsidRPr="00A10903" w:rsidRDefault="00D26602" w:rsidP="00D26602">
      <w:pPr>
        <w:pStyle w:val="ManualNumPar1"/>
        <w:rPr>
          <w:noProof/>
        </w:rPr>
      </w:pPr>
      <w:r w:rsidRPr="00D26602">
        <w:rPr>
          <w:noProof/>
        </w:rPr>
        <w:t>1.</w:t>
      </w:r>
      <w:r w:rsidRPr="00D26602">
        <w:rPr>
          <w:noProof/>
        </w:rPr>
        <w:tab/>
      </w:r>
      <w:r w:rsidR="000A5D79" w:rsidRPr="00A10903">
        <w:rPr>
          <w:noProof/>
        </w:rPr>
        <w:t>Numeracja wierszy lub kolumn</w:t>
      </w:r>
      <w:r w:rsidR="00A10903" w:rsidRPr="00A10903">
        <w:rPr>
          <w:noProof/>
        </w:rPr>
        <w:t xml:space="preserve"> w</w:t>
      </w:r>
      <w:r w:rsidR="00A10903">
        <w:rPr>
          <w:noProof/>
        </w:rPr>
        <w:t> </w:t>
      </w:r>
      <w:r w:rsidR="00A10903" w:rsidRPr="00A10903">
        <w:rPr>
          <w:noProof/>
        </w:rPr>
        <w:t>jed</w:t>
      </w:r>
      <w:r w:rsidR="000A5D79" w:rsidRPr="00A10903">
        <w:rPr>
          <w:noProof/>
        </w:rPr>
        <w:t>nolitych formatach ujawniania informacji,</w:t>
      </w:r>
      <w:r w:rsidR="00A10903" w:rsidRPr="00A10903">
        <w:rPr>
          <w:noProof/>
        </w:rPr>
        <w:t xml:space="preserve"> o</w:t>
      </w:r>
      <w:r w:rsidR="00A10903">
        <w:rPr>
          <w:noProof/>
        </w:rPr>
        <w:t> </w:t>
      </w:r>
      <w:r w:rsidR="00A10903" w:rsidRPr="00A10903">
        <w:rPr>
          <w:noProof/>
        </w:rPr>
        <w:t>któ</w:t>
      </w:r>
      <w:r w:rsidR="000A5D79" w:rsidRPr="00A10903">
        <w:rPr>
          <w:noProof/>
        </w:rPr>
        <w:t>rych mowa</w:t>
      </w:r>
      <w:r w:rsidR="00A10903" w:rsidRPr="00A10903">
        <w:rPr>
          <w:noProof/>
        </w:rPr>
        <w:t xml:space="preserve"> w</w:t>
      </w:r>
      <w:r w:rsidR="00A10903">
        <w:rPr>
          <w:noProof/>
        </w:rPr>
        <w:t> </w:t>
      </w:r>
      <w:r w:rsidR="00A10903" w:rsidRPr="00A10903">
        <w:rPr>
          <w:noProof/>
        </w:rPr>
        <w:t>zał</w:t>
      </w:r>
      <w:r w:rsidR="000A5D79" w:rsidRPr="00A10903">
        <w:rPr>
          <w:noProof/>
        </w:rPr>
        <w:t>ączniku I, uwzględnionych</w:t>
      </w:r>
      <w:r w:rsidR="00A10903" w:rsidRPr="00A10903">
        <w:rPr>
          <w:noProof/>
        </w:rPr>
        <w:t xml:space="preserve"> w</w:t>
      </w:r>
      <w:r w:rsidR="00A10903">
        <w:rPr>
          <w:noProof/>
        </w:rPr>
        <w:t> </w:t>
      </w:r>
      <w:r w:rsidR="00A10903" w:rsidRPr="00A10903">
        <w:rPr>
          <w:noProof/>
        </w:rPr>
        <w:t>roz</w:t>
      </w:r>
      <w:r w:rsidR="000A5D79" w:rsidRPr="00A10903">
        <w:rPr>
          <w:noProof/>
        </w:rPr>
        <w:t>wiązaniach informatycznych opracowanych przez EUNB, nie ulega zmianie, jeżeli instytucja pominie przynajmniej jedną informację ujawnianą zgodnie</w:t>
      </w:r>
      <w:r w:rsidR="00A10903" w:rsidRPr="00A10903">
        <w:rPr>
          <w:noProof/>
        </w:rPr>
        <w:t xml:space="preserve"> z</w:t>
      </w:r>
      <w:r w:rsidR="00A10903">
        <w:rPr>
          <w:noProof/>
        </w:rPr>
        <w:t> </w:t>
      </w:r>
      <w:r w:rsidR="00A10903" w:rsidRPr="00A10903">
        <w:rPr>
          <w:noProof/>
        </w:rPr>
        <w:t>art</w:t>
      </w:r>
      <w:r w:rsidR="000A5D79" w:rsidRPr="00A10903">
        <w:rPr>
          <w:noProof/>
        </w:rPr>
        <w:t>.</w:t>
      </w:r>
      <w:r w:rsidR="00A10903" w:rsidRPr="00A10903">
        <w:rPr>
          <w:noProof/>
        </w:rPr>
        <w:t> </w:t>
      </w:r>
      <w:r w:rsidR="000A5D79" w:rsidRPr="00A10903">
        <w:rPr>
          <w:noProof/>
        </w:rPr>
        <w:t>432 rozporządzenia (UE) nr</w:t>
      </w:r>
      <w:r w:rsidR="00A10903" w:rsidRPr="00A10903">
        <w:rPr>
          <w:noProof/>
        </w:rPr>
        <w:t> </w:t>
      </w:r>
      <w:r w:rsidR="000A5D79" w:rsidRPr="00A10903">
        <w:rPr>
          <w:noProof/>
        </w:rPr>
        <w:t>575/2013.</w:t>
      </w:r>
    </w:p>
    <w:p w:rsidR="000A5D79" w:rsidRPr="00A10903" w:rsidRDefault="00D26602" w:rsidP="00D26602">
      <w:pPr>
        <w:pStyle w:val="ManualNumPar1"/>
        <w:rPr>
          <w:noProof/>
        </w:rPr>
      </w:pPr>
      <w:r w:rsidRPr="00D26602">
        <w:rPr>
          <w:noProof/>
        </w:rPr>
        <w:t>2.</w:t>
      </w:r>
      <w:r w:rsidRPr="00D26602">
        <w:rPr>
          <w:noProof/>
        </w:rPr>
        <w:tab/>
      </w:r>
      <w:r w:rsidR="000A5D79" w:rsidRPr="00A10903">
        <w:rPr>
          <w:noProof/>
        </w:rPr>
        <w:t>Instytucje zamieszczają</w:t>
      </w:r>
      <w:r w:rsidR="00A10903" w:rsidRPr="00A10903">
        <w:rPr>
          <w:noProof/>
        </w:rPr>
        <w:t xml:space="preserve"> w</w:t>
      </w:r>
      <w:r w:rsidR="00A10903">
        <w:rPr>
          <w:noProof/>
        </w:rPr>
        <w:t> </w:t>
      </w:r>
      <w:r w:rsidR="00A10903" w:rsidRPr="00A10903">
        <w:rPr>
          <w:noProof/>
        </w:rPr>
        <w:t>opi</w:t>
      </w:r>
      <w:r w:rsidR="000A5D79" w:rsidRPr="00A10903">
        <w:rPr>
          <w:noProof/>
        </w:rPr>
        <w:t>sie towarzyszącym danemu wzorowi lub danej tabeli, które są oparte na rozwiązaniach informatycznych, wyraźną uwagę wskazującą, które wiersze lub kolumny nie zostały wypełnione, podając powód pominięcia informacji.</w:t>
      </w:r>
    </w:p>
    <w:p w:rsidR="000A5D79" w:rsidRPr="00A10903" w:rsidRDefault="00D26602" w:rsidP="00D26602">
      <w:pPr>
        <w:pStyle w:val="ManualNumPar1"/>
        <w:rPr>
          <w:noProof/>
        </w:rPr>
      </w:pPr>
      <w:r w:rsidRPr="00D26602">
        <w:rPr>
          <w:noProof/>
        </w:rPr>
        <w:t>3.</w:t>
      </w:r>
      <w:r w:rsidRPr="00D26602">
        <w:rPr>
          <w:noProof/>
        </w:rPr>
        <w:tab/>
      </w:r>
      <w:r w:rsidR="000A5D79" w:rsidRPr="00A10903">
        <w:rPr>
          <w:noProof/>
        </w:rPr>
        <w:t>Informacje wymagane na mocy art.</w:t>
      </w:r>
      <w:r w:rsidR="00A10903" w:rsidRPr="00A10903">
        <w:rPr>
          <w:noProof/>
        </w:rPr>
        <w:t> </w:t>
      </w:r>
      <w:r w:rsidR="000A5D79" w:rsidRPr="00A10903">
        <w:rPr>
          <w:noProof/>
        </w:rPr>
        <w:t>431 rozporządzenia (UE) nr</w:t>
      </w:r>
      <w:r w:rsidR="00A10903" w:rsidRPr="00A10903">
        <w:rPr>
          <w:noProof/>
        </w:rPr>
        <w:t> </w:t>
      </w:r>
      <w:r w:rsidR="000A5D79" w:rsidRPr="00A10903">
        <w:rPr>
          <w:noProof/>
        </w:rPr>
        <w:t>575/2013 muszą być jasne</w:t>
      </w:r>
      <w:r w:rsidR="00A10903" w:rsidRPr="00A10903">
        <w:rPr>
          <w:noProof/>
        </w:rPr>
        <w:t xml:space="preserve"> i</w:t>
      </w:r>
      <w:r w:rsidR="00A10903">
        <w:rPr>
          <w:noProof/>
        </w:rPr>
        <w:t> </w:t>
      </w:r>
      <w:r w:rsidR="00A10903" w:rsidRPr="00A10903">
        <w:rPr>
          <w:noProof/>
        </w:rPr>
        <w:t>obs</w:t>
      </w:r>
      <w:r w:rsidR="000A5D79" w:rsidRPr="00A10903">
        <w:rPr>
          <w:noProof/>
        </w:rPr>
        <w:t>zerne, tak aby użytkownicy tych informacji mogli zrozumieć ujawnione informacje ilościowe,</w:t>
      </w:r>
      <w:r w:rsidR="00A10903" w:rsidRPr="00A10903">
        <w:rPr>
          <w:noProof/>
        </w:rPr>
        <w:t xml:space="preserve"> i</w:t>
      </w:r>
      <w:r w:rsidR="00A10903">
        <w:rPr>
          <w:noProof/>
        </w:rPr>
        <w:t> </w:t>
      </w:r>
      <w:r w:rsidR="00A10903" w:rsidRPr="00A10903">
        <w:rPr>
          <w:noProof/>
        </w:rPr>
        <w:t>mus</w:t>
      </w:r>
      <w:r w:rsidR="000A5D79" w:rsidRPr="00A10903">
        <w:rPr>
          <w:noProof/>
        </w:rPr>
        <w:t>zą znajdować się obok wzorów, do których się odnoszą.</w:t>
      </w:r>
    </w:p>
    <w:p w:rsidR="000A5D79" w:rsidRPr="00A10903" w:rsidRDefault="00D26602" w:rsidP="00D26602">
      <w:pPr>
        <w:pStyle w:val="ManualNumPar1"/>
        <w:rPr>
          <w:noProof/>
        </w:rPr>
      </w:pPr>
      <w:r w:rsidRPr="00D26602">
        <w:rPr>
          <w:noProof/>
        </w:rPr>
        <w:t>4.</w:t>
      </w:r>
      <w:r w:rsidRPr="00D26602">
        <w:rPr>
          <w:noProof/>
        </w:rPr>
        <w:tab/>
      </w:r>
      <w:r w:rsidR="000A5D79" w:rsidRPr="00A10903">
        <w:rPr>
          <w:noProof/>
        </w:rPr>
        <w:t>Wartości liczbowe podaje się</w:t>
      </w:r>
      <w:r w:rsidR="00A10903" w:rsidRPr="00A10903">
        <w:rPr>
          <w:noProof/>
        </w:rPr>
        <w:t xml:space="preserve"> w</w:t>
      </w:r>
      <w:r w:rsidR="00A10903">
        <w:rPr>
          <w:noProof/>
        </w:rPr>
        <w:t> </w:t>
      </w:r>
      <w:r w:rsidR="00A10903" w:rsidRPr="00A10903">
        <w:rPr>
          <w:noProof/>
        </w:rPr>
        <w:t>nas</w:t>
      </w:r>
      <w:r w:rsidR="000A5D79" w:rsidRPr="00A10903">
        <w:rPr>
          <w:noProof/>
        </w:rPr>
        <w:t>tępujący sposób:</w:t>
      </w:r>
    </w:p>
    <w:p w:rsidR="000A5D79" w:rsidRPr="00A10903" w:rsidRDefault="00A10903" w:rsidP="00A10903">
      <w:pPr>
        <w:pStyle w:val="Point1"/>
        <w:rPr>
          <w:noProof/>
        </w:rPr>
      </w:pPr>
      <w:r>
        <w:rPr>
          <w:noProof/>
        </w:rPr>
        <w:t>a)</w:t>
      </w:r>
      <w:r>
        <w:rPr>
          <w:noProof/>
        </w:rPr>
        <w:tab/>
      </w:r>
      <w:r w:rsidR="000A5D79" w:rsidRPr="00A10903">
        <w:rPr>
          <w:noProof/>
        </w:rPr>
        <w:t>ilościowe dane pieniężne ujawnia się</w:t>
      </w:r>
      <w:r w:rsidRPr="00A10903">
        <w:rPr>
          <w:noProof/>
        </w:rPr>
        <w:t xml:space="preserve"> z</w:t>
      </w:r>
      <w:r>
        <w:rPr>
          <w:noProof/>
        </w:rPr>
        <w:t> </w:t>
      </w:r>
      <w:r w:rsidRPr="00A10903">
        <w:rPr>
          <w:noProof/>
        </w:rPr>
        <w:t>zas</w:t>
      </w:r>
      <w:r w:rsidR="000A5D79" w:rsidRPr="00A10903">
        <w:rPr>
          <w:noProof/>
        </w:rPr>
        <w:t>tosowaniem minimalnej dokładności odpowiadającej milionom jednostek;</w:t>
      </w:r>
    </w:p>
    <w:p w:rsidR="000A5D79" w:rsidRPr="00A10903" w:rsidRDefault="00A10903" w:rsidP="00A10903">
      <w:pPr>
        <w:pStyle w:val="Point1"/>
        <w:rPr>
          <w:noProof/>
        </w:rPr>
      </w:pPr>
      <w:r>
        <w:rPr>
          <w:noProof/>
        </w:rPr>
        <w:t>a)</w:t>
      </w:r>
      <w:r>
        <w:rPr>
          <w:noProof/>
        </w:rPr>
        <w:tab/>
      </w:r>
      <w:r w:rsidR="000A5D79" w:rsidRPr="00A10903">
        <w:rPr>
          <w:noProof/>
        </w:rPr>
        <w:t>dane ilościowe ujawniane jako wartości procentowe wyraża się zgodnie</w:t>
      </w:r>
      <w:r w:rsidRPr="00A10903">
        <w:rPr>
          <w:noProof/>
        </w:rPr>
        <w:t xml:space="preserve"> z</w:t>
      </w:r>
      <w:r>
        <w:rPr>
          <w:noProof/>
        </w:rPr>
        <w:t> </w:t>
      </w:r>
      <w:r w:rsidRPr="00A10903">
        <w:rPr>
          <w:noProof/>
        </w:rPr>
        <w:t>jed</w:t>
      </w:r>
      <w:r w:rsidR="000A5D79" w:rsidRPr="00A10903">
        <w:rPr>
          <w:noProof/>
        </w:rPr>
        <w:t>nostką,</w:t>
      </w:r>
      <w:r w:rsidRPr="00A10903">
        <w:rPr>
          <w:noProof/>
        </w:rPr>
        <w:t xml:space="preserve"> z</w:t>
      </w:r>
      <w:r>
        <w:rPr>
          <w:noProof/>
        </w:rPr>
        <w:t> </w:t>
      </w:r>
      <w:r w:rsidRPr="00A10903">
        <w:rPr>
          <w:noProof/>
        </w:rPr>
        <w:t>dok</w:t>
      </w:r>
      <w:r w:rsidR="000A5D79" w:rsidRPr="00A10903">
        <w:rPr>
          <w:noProof/>
        </w:rPr>
        <w:t>ładnością do czterech miejsc po przecinku.</w:t>
      </w:r>
    </w:p>
    <w:p w:rsidR="000A5D79" w:rsidRPr="00A10903" w:rsidRDefault="00757AA2" w:rsidP="00396A89">
      <w:pPr>
        <w:tabs>
          <w:tab w:val="left" w:pos="567"/>
        </w:tabs>
        <w:rPr>
          <w:noProof/>
        </w:rPr>
      </w:pPr>
      <w:r w:rsidRPr="00A10903">
        <w:rPr>
          <w:noProof/>
        </w:rPr>
        <w:t>5.</w:t>
      </w:r>
      <w:r w:rsidRPr="00A10903">
        <w:rPr>
          <w:noProof/>
        </w:rPr>
        <w:tab/>
        <w:t>Instytucje ujawniają także następujące informacje:</w:t>
      </w:r>
    </w:p>
    <w:p w:rsidR="000A5D79" w:rsidRPr="00A10903" w:rsidRDefault="00A10903" w:rsidP="00A10903">
      <w:pPr>
        <w:pStyle w:val="Point1"/>
        <w:rPr>
          <w:noProof/>
        </w:rPr>
      </w:pPr>
      <w:r>
        <w:rPr>
          <w:noProof/>
        </w:rPr>
        <w:t>a)</w:t>
      </w:r>
      <w:r>
        <w:rPr>
          <w:noProof/>
        </w:rPr>
        <w:tab/>
      </w:r>
      <w:r w:rsidR="000A5D79" w:rsidRPr="00A10903">
        <w:rPr>
          <w:noProof/>
        </w:rPr>
        <w:t xml:space="preserve">dzień odniesienia do celów ujawniania informacji oraz okres sprawozdawczy; </w:t>
      </w:r>
    </w:p>
    <w:p w:rsidR="000A5D79" w:rsidRPr="00A10903" w:rsidRDefault="00A10903" w:rsidP="00A10903">
      <w:pPr>
        <w:pStyle w:val="Point1"/>
        <w:rPr>
          <w:noProof/>
        </w:rPr>
      </w:pPr>
      <w:r>
        <w:rPr>
          <w:noProof/>
        </w:rPr>
        <w:t>b)</w:t>
      </w:r>
      <w:r>
        <w:rPr>
          <w:noProof/>
        </w:rPr>
        <w:tab/>
      </w:r>
      <w:r w:rsidR="000A5D79" w:rsidRPr="00A10903">
        <w:rPr>
          <w:noProof/>
        </w:rPr>
        <w:t xml:space="preserve">walutę sprawozdawczą; </w:t>
      </w:r>
    </w:p>
    <w:p w:rsidR="000A5D79" w:rsidRPr="00A10903" w:rsidRDefault="00A10903" w:rsidP="00A10903">
      <w:pPr>
        <w:pStyle w:val="Point1"/>
        <w:rPr>
          <w:noProof/>
        </w:rPr>
      </w:pPr>
      <w:r>
        <w:rPr>
          <w:noProof/>
        </w:rPr>
        <w:t>c)</w:t>
      </w:r>
      <w:r>
        <w:rPr>
          <w:noProof/>
        </w:rPr>
        <w:tab/>
      </w:r>
      <w:r w:rsidR="000A5D79" w:rsidRPr="00A10903">
        <w:rPr>
          <w:noProof/>
        </w:rPr>
        <w:t>nazwę i,</w:t>
      </w:r>
      <w:r w:rsidRPr="00A10903">
        <w:rPr>
          <w:noProof/>
        </w:rPr>
        <w:t xml:space="preserve"> w</w:t>
      </w:r>
      <w:r>
        <w:rPr>
          <w:noProof/>
        </w:rPr>
        <w:t> </w:t>
      </w:r>
      <w:r w:rsidRPr="00A10903">
        <w:rPr>
          <w:noProof/>
        </w:rPr>
        <w:t>sto</w:t>
      </w:r>
      <w:r w:rsidR="000A5D79" w:rsidRPr="00A10903">
        <w:rPr>
          <w:noProof/>
        </w:rPr>
        <w:t>sownych przypadkach, identyfikator podmiotu prawnego (LEI) instytucji ujawniającej informacje;</w:t>
      </w:r>
    </w:p>
    <w:p w:rsidR="000A5D79" w:rsidRPr="00A10903" w:rsidRDefault="00A10903" w:rsidP="00A10903">
      <w:pPr>
        <w:pStyle w:val="Point1"/>
        <w:rPr>
          <w:noProof/>
        </w:rPr>
      </w:pPr>
      <w:r>
        <w:rPr>
          <w:noProof/>
        </w:rPr>
        <w:t>d)</w:t>
      </w:r>
      <w:r>
        <w:rPr>
          <w:noProof/>
        </w:rPr>
        <w:tab/>
      </w:r>
      <w:r w:rsidR="000A5D79" w:rsidRPr="00A10903">
        <w:rPr>
          <w:noProof/>
        </w:rPr>
        <w:t>w stosownych przypadkach – zastosowany standard rachunkowości;</w:t>
      </w:r>
    </w:p>
    <w:p w:rsidR="000A5D79" w:rsidRPr="00A10903" w:rsidRDefault="00A10903" w:rsidP="00A10903">
      <w:pPr>
        <w:pStyle w:val="Point1"/>
        <w:rPr>
          <w:noProof/>
        </w:rPr>
      </w:pPr>
      <w:r>
        <w:rPr>
          <w:noProof/>
        </w:rPr>
        <w:t>e)</w:t>
      </w:r>
      <w:r>
        <w:rPr>
          <w:noProof/>
        </w:rPr>
        <w:tab/>
      </w:r>
      <w:r w:rsidR="000A5D79" w:rsidRPr="00A10903">
        <w:rPr>
          <w:noProof/>
        </w:rPr>
        <w:t>w stosownych przypadkach – zakres konsolidacji.</w:t>
      </w:r>
    </w:p>
    <w:p w:rsidR="007B2B7C" w:rsidRPr="00A10903" w:rsidRDefault="007B2B7C" w:rsidP="007B2B7C">
      <w:pPr>
        <w:pStyle w:val="Titrearticle"/>
        <w:rPr>
          <w:noProof/>
        </w:rPr>
      </w:pPr>
      <w:r w:rsidRPr="00A10903">
        <w:rPr>
          <w:noProof/>
        </w:rPr>
        <w:t>Artykuł 26</w:t>
      </w:r>
    </w:p>
    <w:p w:rsidR="00AC044E" w:rsidRPr="00A10903" w:rsidRDefault="00AC044E" w:rsidP="00CA4079">
      <w:pPr>
        <w:pStyle w:val="Titrearticle"/>
        <w:spacing w:before="120"/>
        <w:rPr>
          <w:b/>
          <w:noProof/>
        </w:rPr>
      </w:pPr>
      <w:r w:rsidRPr="00A10903">
        <w:rPr>
          <w:b/>
          <w:i w:val="0"/>
          <w:noProof/>
        </w:rPr>
        <w:t>Okres, za który informacje podlegają ujawnieniu,</w:t>
      </w:r>
      <w:r w:rsidR="00A10903" w:rsidRPr="00A10903">
        <w:rPr>
          <w:b/>
          <w:i w:val="0"/>
          <w:noProof/>
        </w:rPr>
        <w:t xml:space="preserve"> i</w:t>
      </w:r>
      <w:r w:rsidR="00A10903">
        <w:rPr>
          <w:b/>
          <w:i w:val="0"/>
          <w:noProof/>
        </w:rPr>
        <w:t> </w:t>
      </w:r>
      <w:r w:rsidR="00A10903" w:rsidRPr="00A10903">
        <w:rPr>
          <w:b/>
          <w:i w:val="0"/>
          <w:noProof/>
        </w:rPr>
        <w:t>czę</w:t>
      </w:r>
      <w:r w:rsidRPr="00A10903">
        <w:rPr>
          <w:b/>
          <w:i w:val="0"/>
          <w:noProof/>
        </w:rPr>
        <w:t>stotliwość ujawniania informacji</w:t>
      </w:r>
    </w:p>
    <w:p w:rsidR="00970F90" w:rsidRPr="00A10903" w:rsidRDefault="00D26602" w:rsidP="00D26602">
      <w:pPr>
        <w:pStyle w:val="ManualNumPar1"/>
        <w:rPr>
          <w:noProof/>
        </w:rPr>
      </w:pPr>
      <w:r w:rsidRPr="00D26602">
        <w:rPr>
          <w:noProof/>
        </w:rPr>
        <w:t>1.</w:t>
      </w:r>
      <w:r w:rsidRPr="00D26602">
        <w:rPr>
          <w:noProof/>
        </w:rPr>
        <w:tab/>
      </w:r>
      <w:r w:rsidR="00AC044E" w:rsidRPr="00A10903">
        <w:rPr>
          <w:noProof/>
        </w:rPr>
        <w:t xml:space="preserve">Okresy, za które informacje podlegają ujawnieniu – T, T-1, T-2, T-3 i T-4 – oznaczają okresy kwartalne. </w:t>
      </w:r>
    </w:p>
    <w:p w:rsidR="00AC044E" w:rsidRPr="00A10903" w:rsidRDefault="00D26602" w:rsidP="00D26602">
      <w:pPr>
        <w:pStyle w:val="ManualNumPar1"/>
        <w:rPr>
          <w:noProof/>
        </w:rPr>
      </w:pPr>
      <w:r w:rsidRPr="00D26602">
        <w:rPr>
          <w:noProof/>
        </w:rPr>
        <w:t>2.</w:t>
      </w:r>
      <w:r w:rsidRPr="00D26602">
        <w:rPr>
          <w:noProof/>
        </w:rPr>
        <w:tab/>
      </w:r>
      <w:r w:rsidR="00D234F9" w:rsidRPr="00A10903">
        <w:rPr>
          <w:noProof/>
        </w:rPr>
        <w:t>Wiersze lub kolumny</w:t>
      </w:r>
      <w:r w:rsidR="00A10903" w:rsidRPr="00A10903">
        <w:rPr>
          <w:noProof/>
        </w:rPr>
        <w:t xml:space="preserve"> w</w:t>
      </w:r>
      <w:r w:rsidR="00A10903">
        <w:rPr>
          <w:noProof/>
        </w:rPr>
        <w:t> </w:t>
      </w:r>
      <w:r w:rsidR="00A10903" w:rsidRPr="00A10903">
        <w:rPr>
          <w:noProof/>
        </w:rPr>
        <w:t>jed</w:t>
      </w:r>
      <w:r w:rsidR="00D234F9" w:rsidRPr="00A10903">
        <w:rPr>
          <w:noProof/>
        </w:rPr>
        <w:t>nolitych formatach ujawniania informacji,</w:t>
      </w:r>
      <w:r w:rsidR="00A10903" w:rsidRPr="00A10903">
        <w:rPr>
          <w:noProof/>
        </w:rPr>
        <w:t xml:space="preserve"> o</w:t>
      </w:r>
      <w:r w:rsidR="00A10903">
        <w:rPr>
          <w:noProof/>
        </w:rPr>
        <w:t> </w:t>
      </w:r>
      <w:r w:rsidR="00A10903" w:rsidRPr="00A10903">
        <w:rPr>
          <w:noProof/>
        </w:rPr>
        <w:t>któ</w:t>
      </w:r>
      <w:r w:rsidR="00D234F9" w:rsidRPr="00A10903">
        <w:rPr>
          <w:noProof/>
        </w:rPr>
        <w:t>rych mowa</w:t>
      </w:r>
      <w:r w:rsidR="00A10903" w:rsidRPr="00A10903">
        <w:rPr>
          <w:noProof/>
        </w:rPr>
        <w:t xml:space="preserve"> w</w:t>
      </w:r>
      <w:r w:rsidR="00A10903">
        <w:rPr>
          <w:noProof/>
        </w:rPr>
        <w:t> </w:t>
      </w:r>
      <w:r w:rsidR="00A10903" w:rsidRPr="00A10903">
        <w:rPr>
          <w:noProof/>
        </w:rPr>
        <w:t>zał</w:t>
      </w:r>
      <w:r w:rsidR="00D234F9" w:rsidRPr="00A10903">
        <w:rPr>
          <w:noProof/>
        </w:rPr>
        <w:t>ączniku I, zawartych</w:t>
      </w:r>
      <w:r w:rsidR="00A10903" w:rsidRPr="00A10903">
        <w:rPr>
          <w:noProof/>
        </w:rPr>
        <w:t xml:space="preserve"> w</w:t>
      </w:r>
      <w:r w:rsidR="00A10903">
        <w:rPr>
          <w:noProof/>
        </w:rPr>
        <w:t> </w:t>
      </w:r>
      <w:r w:rsidR="00A10903" w:rsidRPr="00A10903">
        <w:rPr>
          <w:noProof/>
        </w:rPr>
        <w:t>roz</w:t>
      </w:r>
      <w:r w:rsidR="00D234F9" w:rsidRPr="00A10903">
        <w:rPr>
          <w:noProof/>
        </w:rPr>
        <w:t>wiązaniach informatycznych opracowanych przez EUNB, wypełnia się zgodnie</w:t>
      </w:r>
      <w:r w:rsidR="00A10903" w:rsidRPr="00A10903">
        <w:rPr>
          <w:noProof/>
        </w:rPr>
        <w:t xml:space="preserve"> z</w:t>
      </w:r>
      <w:r w:rsidR="00A10903">
        <w:rPr>
          <w:noProof/>
        </w:rPr>
        <w:t> </w:t>
      </w:r>
      <w:r w:rsidR="00A10903" w:rsidRPr="00A10903">
        <w:rPr>
          <w:noProof/>
        </w:rPr>
        <w:t>czę</w:t>
      </w:r>
      <w:r w:rsidR="00D234F9" w:rsidRPr="00A10903">
        <w:rPr>
          <w:noProof/>
        </w:rPr>
        <w:t>stotliwością ujawniania informacji określoną</w:t>
      </w:r>
      <w:r w:rsidR="00A10903" w:rsidRPr="00A10903">
        <w:rPr>
          <w:noProof/>
        </w:rPr>
        <w:t xml:space="preserve"> w</w:t>
      </w:r>
      <w:r w:rsidR="00A10903">
        <w:rPr>
          <w:noProof/>
        </w:rPr>
        <w:t> </w:t>
      </w:r>
      <w:r w:rsidR="00A10903" w:rsidRPr="00A10903">
        <w:rPr>
          <w:noProof/>
        </w:rPr>
        <w:t>art</w:t>
      </w:r>
      <w:r w:rsidR="00D234F9" w:rsidRPr="00A10903">
        <w:rPr>
          <w:noProof/>
        </w:rPr>
        <w:t>.</w:t>
      </w:r>
      <w:r w:rsidR="00A10903" w:rsidRPr="00A10903">
        <w:rPr>
          <w:noProof/>
        </w:rPr>
        <w:t> </w:t>
      </w:r>
      <w:r w:rsidR="00D234F9" w:rsidRPr="00A10903">
        <w:rPr>
          <w:noProof/>
        </w:rPr>
        <w:t>433a, 433b</w:t>
      </w:r>
      <w:r w:rsidR="00A10903" w:rsidRPr="00A10903">
        <w:rPr>
          <w:noProof/>
        </w:rPr>
        <w:t xml:space="preserve"> i</w:t>
      </w:r>
      <w:r w:rsidR="00A10903">
        <w:rPr>
          <w:noProof/>
        </w:rPr>
        <w:t> </w:t>
      </w:r>
      <w:r w:rsidR="00A10903" w:rsidRPr="00A10903">
        <w:rPr>
          <w:noProof/>
        </w:rPr>
        <w:t>4</w:t>
      </w:r>
      <w:r w:rsidR="00D234F9" w:rsidRPr="00A10903">
        <w:rPr>
          <w:noProof/>
        </w:rPr>
        <w:t>33c rozporządzenia (UE) nr</w:t>
      </w:r>
      <w:r w:rsidR="00A10903" w:rsidRPr="00A10903">
        <w:rPr>
          <w:noProof/>
        </w:rPr>
        <w:t> </w:t>
      </w:r>
      <w:r w:rsidR="00D234F9" w:rsidRPr="00A10903">
        <w:rPr>
          <w:noProof/>
        </w:rPr>
        <w:t xml:space="preserve">575/2013. </w:t>
      </w:r>
    </w:p>
    <w:p w:rsidR="00AC044E" w:rsidRPr="00A10903" w:rsidRDefault="00D26602" w:rsidP="00D26602">
      <w:pPr>
        <w:pStyle w:val="ManualNumPar1"/>
        <w:rPr>
          <w:noProof/>
        </w:rPr>
      </w:pPr>
      <w:r w:rsidRPr="00D26602">
        <w:rPr>
          <w:noProof/>
        </w:rPr>
        <w:t>3.</w:t>
      </w:r>
      <w:r w:rsidRPr="00D26602">
        <w:rPr>
          <w:noProof/>
        </w:rPr>
        <w:tab/>
      </w:r>
      <w:r w:rsidR="00AC044E" w:rsidRPr="00A10903">
        <w:rPr>
          <w:noProof/>
        </w:rPr>
        <w:t>Instytucje podlegające obowiązkowi ujawniania informacji ujawniają informacje</w:t>
      </w:r>
      <w:r w:rsidR="00A10903" w:rsidRPr="00A10903">
        <w:rPr>
          <w:noProof/>
        </w:rPr>
        <w:t xml:space="preserve"> z</w:t>
      </w:r>
      <w:r w:rsidR="00A10903">
        <w:rPr>
          <w:noProof/>
        </w:rPr>
        <w:t> </w:t>
      </w:r>
      <w:r w:rsidR="00A10903" w:rsidRPr="00A10903">
        <w:rPr>
          <w:noProof/>
        </w:rPr>
        <w:t>nas</w:t>
      </w:r>
      <w:r w:rsidR="00AC044E" w:rsidRPr="00A10903">
        <w:rPr>
          <w:noProof/>
        </w:rPr>
        <w:t xml:space="preserve">tępującą częstotliwością: </w:t>
      </w:r>
    </w:p>
    <w:p w:rsidR="00AC044E" w:rsidRPr="00A10903" w:rsidRDefault="00A10903" w:rsidP="00A10903">
      <w:pPr>
        <w:pStyle w:val="Point1"/>
        <w:rPr>
          <w:noProof/>
        </w:rPr>
      </w:pPr>
      <w:r>
        <w:rPr>
          <w:noProof/>
        </w:rPr>
        <w:t>a)</w:t>
      </w:r>
      <w:r>
        <w:rPr>
          <w:noProof/>
        </w:rPr>
        <w:tab/>
      </w:r>
      <w:r w:rsidR="00AC044E" w:rsidRPr="00A10903">
        <w:rPr>
          <w:noProof/>
        </w:rPr>
        <w:t>instytucje, które ujawniają informacje uwzględnione</w:t>
      </w:r>
      <w:r w:rsidRPr="00A10903">
        <w:rPr>
          <w:noProof/>
        </w:rPr>
        <w:t xml:space="preserve"> w</w:t>
      </w:r>
      <w:r>
        <w:rPr>
          <w:noProof/>
        </w:rPr>
        <w:t> </w:t>
      </w:r>
      <w:r w:rsidRPr="00A10903">
        <w:rPr>
          <w:noProof/>
        </w:rPr>
        <w:t>zał</w:t>
      </w:r>
      <w:r w:rsidR="00AC044E" w:rsidRPr="00A10903">
        <w:rPr>
          <w:noProof/>
        </w:rPr>
        <w:t xml:space="preserve">ączniku I raz na kwartał, przedstawiają dane za okresy T, T-1, T-2, T-3 i T-4; </w:t>
      </w:r>
    </w:p>
    <w:p w:rsidR="00AC044E" w:rsidRPr="00A10903" w:rsidRDefault="00A10903" w:rsidP="00A10903">
      <w:pPr>
        <w:pStyle w:val="Point1"/>
        <w:rPr>
          <w:noProof/>
        </w:rPr>
      </w:pPr>
      <w:r>
        <w:rPr>
          <w:noProof/>
        </w:rPr>
        <w:t>b)</w:t>
      </w:r>
      <w:r>
        <w:rPr>
          <w:noProof/>
        </w:rPr>
        <w:tab/>
      </w:r>
      <w:r w:rsidR="00AC044E" w:rsidRPr="00A10903">
        <w:rPr>
          <w:noProof/>
        </w:rPr>
        <w:t>instytucje, które ujawniają informacje uwzględnione</w:t>
      </w:r>
      <w:r w:rsidRPr="00A10903">
        <w:rPr>
          <w:noProof/>
        </w:rPr>
        <w:t xml:space="preserve"> w</w:t>
      </w:r>
      <w:r>
        <w:rPr>
          <w:noProof/>
        </w:rPr>
        <w:t> </w:t>
      </w:r>
      <w:r w:rsidRPr="00A10903">
        <w:rPr>
          <w:noProof/>
        </w:rPr>
        <w:t>zał</w:t>
      </w:r>
      <w:r w:rsidR="00AC044E" w:rsidRPr="00A10903">
        <w:rPr>
          <w:noProof/>
        </w:rPr>
        <w:t xml:space="preserve">ączniku I raz na pół roku, przedstawiają dane za okresy T, T-2 i T-4; </w:t>
      </w:r>
    </w:p>
    <w:p w:rsidR="00AC044E" w:rsidRPr="00A10903" w:rsidRDefault="00A10903" w:rsidP="00A10903">
      <w:pPr>
        <w:pStyle w:val="Point1"/>
        <w:rPr>
          <w:noProof/>
        </w:rPr>
      </w:pPr>
      <w:r>
        <w:rPr>
          <w:noProof/>
        </w:rPr>
        <w:t>c)</w:t>
      </w:r>
      <w:r>
        <w:rPr>
          <w:noProof/>
        </w:rPr>
        <w:tab/>
      </w:r>
      <w:r w:rsidR="00AC044E" w:rsidRPr="00A10903">
        <w:rPr>
          <w:noProof/>
        </w:rPr>
        <w:t>instytucje, które ujawniają informacje uwzględnione</w:t>
      </w:r>
      <w:r w:rsidRPr="00A10903">
        <w:rPr>
          <w:noProof/>
        </w:rPr>
        <w:t xml:space="preserve"> w</w:t>
      </w:r>
      <w:r>
        <w:rPr>
          <w:noProof/>
        </w:rPr>
        <w:t> </w:t>
      </w:r>
      <w:r w:rsidRPr="00A10903">
        <w:rPr>
          <w:noProof/>
        </w:rPr>
        <w:t>zał</w:t>
      </w:r>
      <w:r w:rsidR="00AC044E" w:rsidRPr="00A10903">
        <w:rPr>
          <w:noProof/>
        </w:rPr>
        <w:t>ączniku I raz na rok, przedstawiają dane za okresy T i T-4.</w:t>
      </w:r>
    </w:p>
    <w:p w:rsidR="00AC044E" w:rsidRPr="00A10903" w:rsidRDefault="00D26602" w:rsidP="00D26602">
      <w:pPr>
        <w:pStyle w:val="ManualNumPar1"/>
        <w:rPr>
          <w:noProof/>
        </w:rPr>
      </w:pPr>
      <w:r w:rsidRPr="00D26602">
        <w:rPr>
          <w:noProof/>
        </w:rPr>
        <w:t>4.</w:t>
      </w:r>
      <w:r w:rsidRPr="00D26602">
        <w:rPr>
          <w:noProof/>
        </w:rPr>
        <w:tab/>
      </w:r>
      <w:r w:rsidR="00AC044E" w:rsidRPr="00A10903">
        <w:rPr>
          <w:noProof/>
        </w:rPr>
        <w:t>Instytucje ujawniają daty odpowiadające okresom, za które informacje podlegają ujawnieniu.</w:t>
      </w:r>
    </w:p>
    <w:p w:rsidR="00AC044E" w:rsidRPr="00A10903" w:rsidRDefault="00D26602" w:rsidP="00D26602">
      <w:pPr>
        <w:pStyle w:val="ManualNumPar1"/>
        <w:rPr>
          <w:noProof/>
        </w:rPr>
      </w:pPr>
      <w:r w:rsidRPr="00D26602">
        <w:rPr>
          <w:noProof/>
        </w:rPr>
        <w:t>5.</w:t>
      </w:r>
      <w:r w:rsidRPr="00D26602">
        <w:rPr>
          <w:noProof/>
        </w:rPr>
        <w:tab/>
      </w:r>
      <w:r w:rsidR="00AC044E" w:rsidRPr="00A10903">
        <w:rPr>
          <w:noProof/>
        </w:rPr>
        <w:t>Ujawnienie danych</w:t>
      </w:r>
      <w:r w:rsidR="00A10903" w:rsidRPr="00A10903">
        <w:rPr>
          <w:noProof/>
        </w:rPr>
        <w:t xml:space="preserve"> w</w:t>
      </w:r>
      <w:r w:rsidR="00A10903">
        <w:rPr>
          <w:noProof/>
        </w:rPr>
        <w:t> </w:t>
      </w:r>
      <w:r w:rsidR="00A10903" w:rsidRPr="00A10903">
        <w:rPr>
          <w:noProof/>
        </w:rPr>
        <w:t>odn</w:t>
      </w:r>
      <w:r w:rsidR="00AC044E" w:rsidRPr="00A10903">
        <w:rPr>
          <w:noProof/>
        </w:rPr>
        <w:t>iesieniu do poprzednich okresów nie jest wymagane, jeżeli dane ujawnia się po raz pierwszy.</w:t>
      </w:r>
    </w:p>
    <w:p w:rsidR="000A5D79" w:rsidRPr="00A10903" w:rsidRDefault="000A5D79" w:rsidP="000A5D79">
      <w:pPr>
        <w:pStyle w:val="Titrearticle"/>
        <w:rPr>
          <w:noProof/>
        </w:rPr>
      </w:pPr>
      <w:r w:rsidRPr="00A10903">
        <w:rPr>
          <w:noProof/>
        </w:rPr>
        <w:t>Artykuł 27</w:t>
      </w:r>
    </w:p>
    <w:p w:rsidR="000A5D79" w:rsidRPr="00A10903" w:rsidRDefault="000A5D79" w:rsidP="000A5D79">
      <w:pPr>
        <w:pStyle w:val="Titrearticle"/>
        <w:spacing w:before="120"/>
        <w:rPr>
          <w:b/>
          <w:i w:val="0"/>
          <w:noProof/>
        </w:rPr>
      </w:pPr>
      <w:r w:rsidRPr="00A10903">
        <w:rPr>
          <w:b/>
          <w:i w:val="0"/>
          <w:noProof/>
        </w:rPr>
        <w:t>Uchylenie</w:t>
      </w:r>
    </w:p>
    <w:p w:rsidR="00B00045" w:rsidRPr="00A10903" w:rsidRDefault="00D26602" w:rsidP="00D26602">
      <w:pPr>
        <w:pStyle w:val="ManualNumPar1"/>
        <w:rPr>
          <w:noProof/>
        </w:rPr>
      </w:pPr>
      <w:r w:rsidRPr="00D26602">
        <w:rPr>
          <w:noProof/>
        </w:rPr>
        <w:t>1.</w:t>
      </w:r>
      <w:r w:rsidRPr="00D26602">
        <w:rPr>
          <w:noProof/>
        </w:rPr>
        <w:tab/>
      </w:r>
      <w:r w:rsidR="000A5D79" w:rsidRPr="00A10903">
        <w:rPr>
          <w:noProof/>
        </w:rPr>
        <w:t>Rozporządzenie wykonawcze (UE) 2021/637 przestaje obowiązywać</w:t>
      </w:r>
      <w:r w:rsidR="00A10903" w:rsidRPr="00A10903">
        <w:rPr>
          <w:noProof/>
        </w:rPr>
        <w:t xml:space="preserve"> z</w:t>
      </w:r>
      <w:r w:rsidR="00A10903">
        <w:rPr>
          <w:noProof/>
        </w:rPr>
        <w:t> </w:t>
      </w:r>
      <w:r w:rsidR="00A10903" w:rsidRPr="00A10903">
        <w:rPr>
          <w:noProof/>
        </w:rPr>
        <w:t>dni</w:t>
      </w:r>
      <w:r w:rsidR="000A5D79" w:rsidRPr="00A10903">
        <w:rPr>
          <w:noProof/>
        </w:rPr>
        <w:t>em 1 stycznia 2025</w:t>
      </w:r>
      <w:r w:rsidR="00A10903" w:rsidRPr="00A10903">
        <w:rPr>
          <w:noProof/>
        </w:rPr>
        <w:t> </w:t>
      </w:r>
      <w:r w:rsidR="000A5D79" w:rsidRPr="00A10903">
        <w:rPr>
          <w:noProof/>
        </w:rPr>
        <w:t>r.,</w:t>
      </w:r>
      <w:r w:rsidR="00A10903" w:rsidRPr="00A10903">
        <w:rPr>
          <w:noProof/>
        </w:rPr>
        <w:t xml:space="preserve"> z</w:t>
      </w:r>
      <w:r w:rsidR="00A10903">
        <w:rPr>
          <w:noProof/>
        </w:rPr>
        <w:t> </w:t>
      </w:r>
      <w:r w:rsidR="00A10903" w:rsidRPr="00A10903">
        <w:rPr>
          <w:noProof/>
        </w:rPr>
        <w:t>wyj</w:t>
      </w:r>
      <w:r w:rsidR="000A5D79" w:rsidRPr="00A10903">
        <w:rPr>
          <w:noProof/>
        </w:rPr>
        <w:t>ątkiem art.</w:t>
      </w:r>
      <w:r w:rsidR="00A10903" w:rsidRPr="00A10903">
        <w:rPr>
          <w:noProof/>
        </w:rPr>
        <w:t> </w:t>
      </w:r>
      <w:r w:rsidR="000A5D79" w:rsidRPr="00A10903">
        <w:rPr>
          <w:noProof/>
        </w:rPr>
        <w:t>15 oraz załączników XXIX i XXX. Art. 15 rozporządzenia wykonawczego (UE) 2021/637 oraz załączniki XXIX i XXX do tego rozporządzenia stosuje się nadal do dnia 31 grudnia 2025</w:t>
      </w:r>
      <w:r w:rsidR="00A10903" w:rsidRPr="00A10903">
        <w:rPr>
          <w:noProof/>
        </w:rPr>
        <w:t> </w:t>
      </w:r>
      <w:r w:rsidR="000A5D79" w:rsidRPr="00A10903">
        <w:rPr>
          <w:noProof/>
        </w:rPr>
        <w:t>r. wyłącznie do celów art.</w:t>
      </w:r>
      <w:r w:rsidR="00A10903" w:rsidRPr="00A10903">
        <w:rPr>
          <w:noProof/>
        </w:rPr>
        <w:t> </w:t>
      </w:r>
      <w:r w:rsidR="000A5D79" w:rsidRPr="00A10903">
        <w:rPr>
          <w:noProof/>
        </w:rPr>
        <w:t xml:space="preserve">16 niniejszego rozporządzenia. </w:t>
      </w:r>
    </w:p>
    <w:p w:rsidR="00B00045" w:rsidRPr="00A10903" w:rsidRDefault="00D26602" w:rsidP="00D26602">
      <w:pPr>
        <w:pStyle w:val="ManualNumPar1"/>
        <w:rPr>
          <w:noProof/>
        </w:rPr>
      </w:pPr>
      <w:r w:rsidRPr="00D26602">
        <w:rPr>
          <w:noProof/>
        </w:rPr>
        <w:t>2.</w:t>
      </w:r>
      <w:r w:rsidRPr="00D26602">
        <w:rPr>
          <w:noProof/>
        </w:rPr>
        <w:tab/>
      </w:r>
      <w:r w:rsidR="00D87C7D" w:rsidRPr="00A10903">
        <w:rPr>
          <w:noProof/>
        </w:rPr>
        <w:t xml:space="preserve">Rozporządzenie wykonawcze (UE) 2021/637 traci moc ze skutkiem od dnia 31 grudnia 2025 r. </w:t>
      </w:r>
    </w:p>
    <w:p w:rsidR="000A5D79" w:rsidRPr="00A10903" w:rsidRDefault="00D26602" w:rsidP="00D26602">
      <w:pPr>
        <w:pStyle w:val="ManualNumPar1"/>
        <w:rPr>
          <w:noProof/>
        </w:rPr>
      </w:pPr>
      <w:r w:rsidRPr="00D26602">
        <w:rPr>
          <w:noProof/>
        </w:rPr>
        <w:t>3.</w:t>
      </w:r>
      <w:r w:rsidRPr="00D26602">
        <w:rPr>
          <w:noProof/>
        </w:rPr>
        <w:tab/>
      </w:r>
      <w:r w:rsidR="00056FFD" w:rsidRPr="00A10903">
        <w:rPr>
          <w:noProof/>
        </w:rPr>
        <w:t>Odesłania do uchylonego rozporządzenia traktuje się jako odesłania do niniejszego rozporządzenia zgodnie</w:t>
      </w:r>
      <w:r w:rsidR="00A10903" w:rsidRPr="00A10903">
        <w:rPr>
          <w:noProof/>
        </w:rPr>
        <w:t xml:space="preserve"> z</w:t>
      </w:r>
      <w:r w:rsidR="00A10903">
        <w:rPr>
          <w:noProof/>
        </w:rPr>
        <w:t> </w:t>
      </w:r>
      <w:r w:rsidR="00A10903" w:rsidRPr="00A10903">
        <w:rPr>
          <w:noProof/>
        </w:rPr>
        <w:t>tab</w:t>
      </w:r>
      <w:r w:rsidR="00056FFD" w:rsidRPr="00A10903">
        <w:rPr>
          <w:noProof/>
        </w:rPr>
        <w:t>elą korelacji znajdującą się</w:t>
      </w:r>
      <w:r w:rsidR="00A10903" w:rsidRPr="00A10903">
        <w:rPr>
          <w:noProof/>
        </w:rPr>
        <w:t xml:space="preserve"> w</w:t>
      </w:r>
      <w:r w:rsidR="00A10903">
        <w:rPr>
          <w:noProof/>
        </w:rPr>
        <w:t> </w:t>
      </w:r>
      <w:r w:rsidR="00A10903" w:rsidRPr="00A10903">
        <w:rPr>
          <w:noProof/>
        </w:rPr>
        <w:t>zał</w:t>
      </w:r>
      <w:r w:rsidR="00056FFD" w:rsidRPr="00A10903">
        <w:rPr>
          <w:noProof/>
        </w:rPr>
        <w:t>ączniku II.</w:t>
      </w:r>
    </w:p>
    <w:p w:rsidR="000A5D79" w:rsidRPr="00A10903" w:rsidRDefault="000A5D79" w:rsidP="001F6539">
      <w:pPr>
        <w:pStyle w:val="Titrearticle"/>
        <w:rPr>
          <w:noProof/>
        </w:rPr>
      </w:pPr>
      <w:r w:rsidRPr="00A10903">
        <w:rPr>
          <w:noProof/>
        </w:rPr>
        <w:t>Artykuł 28</w:t>
      </w:r>
    </w:p>
    <w:p w:rsidR="000A5D79" w:rsidRPr="00A10903" w:rsidRDefault="000A5D79" w:rsidP="000A5D79">
      <w:pPr>
        <w:pStyle w:val="Titrearticle"/>
        <w:spacing w:before="120"/>
        <w:rPr>
          <w:b/>
          <w:i w:val="0"/>
          <w:noProof/>
        </w:rPr>
      </w:pPr>
      <w:r w:rsidRPr="00A10903">
        <w:rPr>
          <w:b/>
          <w:i w:val="0"/>
          <w:noProof/>
        </w:rPr>
        <w:t>Wejście</w:t>
      </w:r>
      <w:r w:rsidR="00A10903" w:rsidRPr="00A10903">
        <w:rPr>
          <w:b/>
          <w:i w:val="0"/>
          <w:noProof/>
        </w:rPr>
        <w:t xml:space="preserve"> w</w:t>
      </w:r>
      <w:r w:rsidR="00A10903">
        <w:rPr>
          <w:b/>
          <w:i w:val="0"/>
          <w:noProof/>
        </w:rPr>
        <w:t> </w:t>
      </w:r>
      <w:r w:rsidR="00A10903" w:rsidRPr="00A10903">
        <w:rPr>
          <w:b/>
          <w:i w:val="0"/>
          <w:noProof/>
        </w:rPr>
        <w:t>życ</w:t>
      </w:r>
      <w:r w:rsidRPr="00A10903">
        <w:rPr>
          <w:b/>
          <w:i w:val="0"/>
          <w:noProof/>
        </w:rPr>
        <w:t>ie</w:t>
      </w:r>
      <w:r w:rsidR="00A10903" w:rsidRPr="00A10903">
        <w:rPr>
          <w:b/>
          <w:i w:val="0"/>
          <w:noProof/>
        </w:rPr>
        <w:t xml:space="preserve"> i</w:t>
      </w:r>
      <w:r w:rsidR="00A10903">
        <w:rPr>
          <w:b/>
          <w:i w:val="0"/>
          <w:noProof/>
        </w:rPr>
        <w:t> </w:t>
      </w:r>
      <w:r w:rsidR="00A10903" w:rsidRPr="00A10903">
        <w:rPr>
          <w:b/>
          <w:i w:val="0"/>
          <w:noProof/>
        </w:rPr>
        <w:t>roz</w:t>
      </w:r>
      <w:r w:rsidRPr="00A10903">
        <w:rPr>
          <w:b/>
          <w:i w:val="0"/>
          <w:noProof/>
        </w:rPr>
        <w:t>poczęcie stosowania</w:t>
      </w:r>
    </w:p>
    <w:p w:rsidR="000A5D79" w:rsidRPr="00A10903" w:rsidRDefault="000A5D79" w:rsidP="000A5D79">
      <w:pPr>
        <w:rPr>
          <w:noProof/>
        </w:rPr>
      </w:pPr>
      <w:r w:rsidRPr="00A10903">
        <w:rPr>
          <w:noProof/>
        </w:rPr>
        <w:t>Niniejsze rozporządzenie wchodzi</w:t>
      </w:r>
      <w:r w:rsidR="00A10903" w:rsidRPr="00A10903">
        <w:rPr>
          <w:noProof/>
        </w:rPr>
        <w:t xml:space="preserve"> w</w:t>
      </w:r>
      <w:r w:rsidR="00A10903">
        <w:rPr>
          <w:noProof/>
        </w:rPr>
        <w:t> </w:t>
      </w:r>
      <w:r w:rsidR="00A10903" w:rsidRPr="00A10903">
        <w:rPr>
          <w:noProof/>
        </w:rPr>
        <w:t>życ</w:t>
      </w:r>
      <w:r w:rsidRPr="00A10903">
        <w:rPr>
          <w:noProof/>
        </w:rPr>
        <w:t>ie dwudziestego dnia po jego opublikowaniu</w:t>
      </w:r>
      <w:r w:rsidR="00A10903" w:rsidRPr="00A10903">
        <w:rPr>
          <w:noProof/>
        </w:rPr>
        <w:t xml:space="preserve"> w</w:t>
      </w:r>
      <w:r w:rsidR="00A10903">
        <w:rPr>
          <w:noProof/>
        </w:rPr>
        <w:t> </w:t>
      </w:r>
      <w:r w:rsidR="00A10903" w:rsidRPr="00A10903">
        <w:rPr>
          <w:i/>
          <w:noProof/>
        </w:rPr>
        <w:t>Dzi</w:t>
      </w:r>
      <w:r w:rsidRPr="00A10903">
        <w:rPr>
          <w:i/>
          <w:noProof/>
        </w:rPr>
        <w:t>enniku Urzędowym Unii Europejskiej</w:t>
      </w:r>
      <w:r w:rsidRPr="00A10903">
        <w:rPr>
          <w:noProof/>
        </w:rPr>
        <w:t>.</w:t>
      </w:r>
    </w:p>
    <w:p w:rsidR="000A5D79" w:rsidRPr="00A10903" w:rsidRDefault="000A5D79" w:rsidP="000A5D79">
      <w:pPr>
        <w:rPr>
          <w:noProof/>
        </w:rPr>
      </w:pPr>
      <w:r w:rsidRPr="00A10903">
        <w:rPr>
          <w:noProof/>
        </w:rPr>
        <w:t>Niniejsze rozporządzenie stosuje się od dnia 1 stycznia 2025</w:t>
      </w:r>
      <w:r w:rsidR="00A10903" w:rsidRPr="00A10903">
        <w:rPr>
          <w:noProof/>
        </w:rPr>
        <w:t> </w:t>
      </w:r>
      <w:r w:rsidRPr="00A10903">
        <w:rPr>
          <w:noProof/>
        </w:rPr>
        <w:t xml:space="preserve">r. </w:t>
      </w:r>
    </w:p>
    <w:p w:rsidR="0050796F" w:rsidRPr="00A10903" w:rsidRDefault="0050796F">
      <w:pPr>
        <w:pStyle w:val="Applicationdirecte"/>
        <w:rPr>
          <w:noProof/>
        </w:rPr>
      </w:pPr>
      <w:r w:rsidRPr="00A10903">
        <w:rPr>
          <w:noProof/>
        </w:rPr>
        <w:t>Niniejsze rozporządzenie wiąże</w:t>
      </w:r>
      <w:r w:rsidR="00A10903" w:rsidRPr="00A10903">
        <w:rPr>
          <w:noProof/>
        </w:rPr>
        <w:t xml:space="preserve"> w</w:t>
      </w:r>
      <w:r w:rsidR="00A10903">
        <w:rPr>
          <w:noProof/>
        </w:rPr>
        <w:t> </w:t>
      </w:r>
      <w:r w:rsidR="00A10903" w:rsidRPr="00A10903">
        <w:rPr>
          <w:noProof/>
        </w:rPr>
        <w:t>cał</w:t>
      </w:r>
      <w:r w:rsidRPr="00A10903">
        <w:rPr>
          <w:noProof/>
        </w:rPr>
        <w:t>ości</w:t>
      </w:r>
      <w:r w:rsidR="00A10903" w:rsidRPr="00A10903">
        <w:rPr>
          <w:noProof/>
        </w:rPr>
        <w:t xml:space="preserve"> i</w:t>
      </w:r>
      <w:r w:rsidR="00A10903">
        <w:rPr>
          <w:noProof/>
        </w:rPr>
        <w:t> </w:t>
      </w:r>
      <w:r w:rsidR="00A10903" w:rsidRPr="00A10903">
        <w:rPr>
          <w:noProof/>
        </w:rPr>
        <w:t>jes</w:t>
      </w:r>
      <w:r w:rsidRPr="00A10903">
        <w:rPr>
          <w:noProof/>
        </w:rPr>
        <w:t>t bezpośrednio stosowane we wszystkich państwach członkowskich.</w:t>
      </w:r>
    </w:p>
    <w:p w:rsidR="0050796F" w:rsidRPr="00A10903" w:rsidRDefault="0005134E" w:rsidP="00DC797D">
      <w:pPr>
        <w:pStyle w:val="Fait"/>
        <w:rPr>
          <w:noProof/>
        </w:rPr>
      </w:pPr>
      <w:r>
        <w:rPr>
          <w:noProof/>
        </w:rPr>
        <w:t>Sporządzono w Brukseli dnia 29.11.2024 r.</w:t>
      </w:r>
    </w:p>
    <w:p w:rsidR="0050796F" w:rsidRPr="00A10903" w:rsidRDefault="0050796F" w:rsidP="00DC797D">
      <w:pPr>
        <w:pStyle w:val="Institutionquisigne"/>
        <w:rPr>
          <w:noProof/>
        </w:rPr>
      </w:pPr>
      <w:r w:rsidRPr="00A10903">
        <w:rPr>
          <w:noProof/>
        </w:rPr>
        <w:tab/>
        <w:t>W imieniu Komisji</w:t>
      </w:r>
    </w:p>
    <w:p w:rsidR="0050796F" w:rsidRPr="00A10903" w:rsidRDefault="005E6C6C" w:rsidP="0050796F">
      <w:pPr>
        <w:pStyle w:val="Personnequisigne"/>
        <w:rPr>
          <w:noProof/>
        </w:rPr>
      </w:pPr>
      <w:r>
        <w:rPr>
          <w:noProof/>
        </w:rPr>
        <w:tab/>
        <w:t>Przewodnicząca</w:t>
      </w:r>
      <w:r>
        <w:rPr>
          <w:noProof/>
        </w:rPr>
        <w:br/>
      </w:r>
      <w:r>
        <w:rPr>
          <w:noProof/>
        </w:rPr>
        <w:tab/>
        <w:t>Ursula VON DER LEYEN</w:t>
      </w:r>
    </w:p>
    <w:sectPr w:rsidR="0050796F" w:rsidRPr="00A10903" w:rsidSect="0001206B">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Pr="00A10903" w:rsidRDefault="00153F15" w:rsidP="0050796F">
      <w:pPr>
        <w:spacing w:before="0" w:after="0"/>
      </w:pPr>
      <w:r w:rsidRPr="00A10903">
        <w:separator/>
      </w:r>
    </w:p>
  </w:endnote>
  <w:endnote w:type="continuationSeparator" w:id="0">
    <w:p w:rsidR="00153F15" w:rsidRPr="00A10903" w:rsidRDefault="00153F15" w:rsidP="0050796F">
      <w:pPr>
        <w:spacing w:before="0" w:after="0"/>
      </w:pPr>
      <w:r w:rsidRPr="00A10903">
        <w:continuationSeparator/>
      </w:r>
    </w:p>
  </w:endnote>
  <w:endnote w:type="continuationNotice" w:id="1">
    <w:p w:rsidR="00153F15" w:rsidRPr="00A10903"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6B" w:rsidRPr="0001206B" w:rsidRDefault="0001206B" w:rsidP="0001206B">
    <w:pPr>
      <w:pStyle w:val="Footer"/>
      <w:rPr>
        <w:rFonts w:ascii="Arial" w:hAnsi="Arial" w:cs="Arial"/>
        <w:b/>
        <w:sz w:val="48"/>
      </w:rPr>
    </w:pPr>
    <w:r w:rsidRPr="0001206B">
      <w:rPr>
        <w:rFonts w:ascii="Arial" w:hAnsi="Arial" w:cs="Arial"/>
        <w:b/>
        <w:sz w:val="48"/>
      </w:rPr>
      <w:t>PL</w:t>
    </w:r>
    <w:r w:rsidRPr="0001206B">
      <w:rPr>
        <w:rFonts w:ascii="Arial" w:hAnsi="Arial" w:cs="Arial"/>
        <w:b/>
        <w:sz w:val="48"/>
      </w:rPr>
      <w:tab/>
    </w:r>
    <w:r w:rsidRPr="0001206B">
      <w:rPr>
        <w:rFonts w:ascii="Arial" w:hAnsi="Arial" w:cs="Arial"/>
        <w:b/>
        <w:sz w:val="48"/>
      </w:rPr>
      <w:tab/>
    </w:r>
    <w:r w:rsidRPr="0001206B">
      <w:tab/>
    </w:r>
    <w:r w:rsidRPr="0001206B">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6B" w:rsidRPr="0001206B" w:rsidRDefault="0001206B" w:rsidP="0001206B">
    <w:pPr>
      <w:pStyle w:val="Footer"/>
      <w:rPr>
        <w:rFonts w:ascii="Arial" w:hAnsi="Arial" w:cs="Arial"/>
        <w:b/>
        <w:sz w:val="48"/>
      </w:rPr>
    </w:pPr>
    <w:r w:rsidRPr="0001206B">
      <w:rPr>
        <w:rFonts w:ascii="Arial" w:hAnsi="Arial" w:cs="Arial"/>
        <w:b/>
        <w:sz w:val="48"/>
      </w:rPr>
      <w:t>PL</w:t>
    </w:r>
    <w:r w:rsidRPr="0001206B">
      <w:rPr>
        <w:rFonts w:ascii="Arial" w:hAnsi="Arial" w:cs="Arial"/>
        <w:b/>
        <w:sz w:val="48"/>
      </w:rPr>
      <w:tab/>
    </w:r>
    <w:r w:rsidRPr="0001206B">
      <w:rPr>
        <w:rFonts w:ascii="Arial" w:hAnsi="Arial" w:cs="Arial"/>
        <w:b/>
        <w:sz w:val="48"/>
      </w:rPr>
      <w:tab/>
    </w:r>
    <w:r w:rsidRPr="0001206B">
      <w:tab/>
    </w:r>
    <w:r w:rsidRPr="0001206B">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6B" w:rsidRDefault="000120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6B" w:rsidRPr="0001206B" w:rsidRDefault="0001206B" w:rsidP="0001206B">
    <w:pPr>
      <w:pStyle w:val="Footer"/>
      <w:rPr>
        <w:rFonts w:ascii="Arial" w:hAnsi="Arial" w:cs="Arial"/>
        <w:b/>
        <w:sz w:val="48"/>
      </w:rPr>
    </w:pPr>
    <w:r w:rsidRPr="0001206B">
      <w:rPr>
        <w:rFonts w:ascii="Arial" w:hAnsi="Arial" w:cs="Arial"/>
        <w:b/>
        <w:sz w:val="48"/>
      </w:rPr>
      <w:t>PL</w:t>
    </w:r>
    <w:r w:rsidRPr="0001206B">
      <w:rPr>
        <w:rFonts w:ascii="Arial" w:hAnsi="Arial" w:cs="Arial"/>
        <w:b/>
        <w:sz w:val="48"/>
      </w:rPr>
      <w:tab/>
    </w:r>
    <w:r>
      <w:fldChar w:fldCharType="begin"/>
    </w:r>
    <w:r>
      <w:instrText xml:space="preserve"> PAGE  \* MERGEFORMAT </w:instrText>
    </w:r>
    <w:r>
      <w:fldChar w:fldCharType="separate"/>
    </w:r>
    <w:r w:rsidR="00DC797D">
      <w:rPr>
        <w:noProof/>
      </w:rPr>
      <w:t>14</w:t>
    </w:r>
    <w:r>
      <w:fldChar w:fldCharType="end"/>
    </w:r>
    <w:r>
      <w:tab/>
    </w:r>
    <w:r w:rsidRPr="0001206B">
      <w:tab/>
    </w:r>
    <w:r w:rsidRPr="0001206B">
      <w:rPr>
        <w:rFonts w:ascii="Arial" w:hAnsi="Arial" w:cs="Arial"/>
        <w:b/>
        <w:sz w:val="48"/>
      </w:rPr>
      <w:t>PL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6B" w:rsidRDefault="0001206B" w:rsidP="00012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Pr="00A10903" w:rsidRDefault="00153F15" w:rsidP="0050796F">
      <w:pPr>
        <w:spacing w:before="0" w:after="0"/>
      </w:pPr>
      <w:r w:rsidRPr="00A10903">
        <w:separator/>
      </w:r>
    </w:p>
  </w:footnote>
  <w:footnote w:type="continuationSeparator" w:id="0">
    <w:p w:rsidR="00153F15" w:rsidRPr="00A10903" w:rsidRDefault="00153F15" w:rsidP="0050796F">
      <w:pPr>
        <w:spacing w:before="0" w:after="0"/>
      </w:pPr>
      <w:r w:rsidRPr="00A10903">
        <w:continuationSeparator/>
      </w:r>
    </w:p>
  </w:footnote>
  <w:footnote w:type="continuationNotice" w:id="1">
    <w:p w:rsidR="00153F15" w:rsidRPr="00A10903" w:rsidRDefault="00153F15">
      <w:pPr>
        <w:spacing w:before="0" w:after="0"/>
      </w:pPr>
    </w:p>
  </w:footnote>
  <w:footnote w:id="2">
    <w:p w:rsidR="000A5D79" w:rsidRPr="00A10903" w:rsidRDefault="000A5D79" w:rsidP="00115B95">
      <w:pPr>
        <w:pStyle w:val="FootnoteText"/>
      </w:pPr>
      <w:r w:rsidRPr="00A10903">
        <w:rPr>
          <w:rStyle w:val="FootnoteReference"/>
        </w:rPr>
        <w:footnoteRef/>
      </w:r>
      <w:r w:rsidRPr="00A10903">
        <w:tab/>
        <w:t>Dz.U. L 176</w:t>
      </w:r>
      <w:r w:rsidR="00A10903" w:rsidRPr="00A10903">
        <w:t xml:space="preserve"> z</w:t>
      </w:r>
      <w:r w:rsidR="00A10903">
        <w:t> </w:t>
      </w:r>
      <w:r w:rsidR="00A10903" w:rsidRPr="00A10903">
        <w:t>2</w:t>
      </w:r>
      <w:r w:rsidRPr="00A10903">
        <w:t xml:space="preserve">7.6.2013, s. 1, ELI: </w:t>
      </w:r>
      <w:hyperlink r:id="rId1" w:tooltip="Dostęp do dokumentu poprzez identyfikator URI w systemie ELI." w:history="1">
        <w:r w:rsidRPr="00A10903">
          <w:t>http://data.europa.eu/eli/reg/2013/575/oj</w:t>
        </w:r>
      </w:hyperlink>
      <w:r w:rsidRPr="00A10903">
        <w:t>.</w:t>
      </w:r>
    </w:p>
  </w:footnote>
  <w:footnote w:id="3">
    <w:p w:rsidR="00021AB3" w:rsidRPr="00A10903" w:rsidRDefault="00021AB3" w:rsidP="00021AB3">
      <w:pPr>
        <w:pStyle w:val="FootnoteText"/>
      </w:pPr>
      <w:r w:rsidRPr="00A10903">
        <w:rPr>
          <w:rStyle w:val="FootnoteReference"/>
        </w:rPr>
        <w:footnoteRef/>
      </w:r>
      <w:r w:rsidRPr="00A10903">
        <w:tab/>
        <w:t>Rozporządzenie wykonawcze Komisji (UE) 2021/637</w:t>
      </w:r>
      <w:r w:rsidR="00A10903" w:rsidRPr="00A10903">
        <w:t xml:space="preserve"> z</w:t>
      </w:r>
      <w:r w:rsidR="00A10903">
        <w:t> </w:t>
      </w:r>
      <w:r w:rsidR="00A10903" w:rsidRPr="00A10903">
        <w:t>dni</w:t>
      </w:r>
      <w:r w:rsidRPr="00A10903">
        <w:t>a 15 marca 2021</w:t>
      </w:r>
      <w:r w:rsidR="00A10903" w:rsidRPr="00A10903">
        <w:t> </w:t>
      </w:r>
      <w:r w:rsidRPr="00A10903">
        <w:t>r. ustanawiające wykonawcze standardy techniczne</w:t>
      </w:r>
      <w:r w:rsidR="00A10903" w:rsidRPr="00A10903">
        <w:t xml:space="preserve"> w</w:t>
      </w:r>
      <w:r w:rsidR="00A10903">
        <w:t> </w:t>
      </w:r>
      <w:r w:rsidR="00A10903" w:rsidRPr="00A10903">
        <w:t>odn</w:t>
      </w:r>
      <w:r w:rsidRPr="00A10903">
        <w:t>iesieniu do publicznego ujawniania przez instytucje informacji,</w:t>
      </w:r>
      <w:r w:rsidR="00A10903" w:rsidRPr="00A10903">
        <w:t xml:space="preserve"> o</w:t>
      </w:r>
      <w:r w:rsidR="00A10903">
        <w:t> </w:t>
      </w:r>
      <w:r w:rsidR="00A10903" w:rsidRPr="00A10903">
        <w:t>któ</w:t>
      </w:r>
      <w:r w:rsidRPr="00A10903">
        <w:t>rych mowa</w:t>
      </w:r>
      <w:r w:rsidR="00A10903" w:rsidRPr="00A10903">
        <w:t xml:space="preserve"> w</w:t>
      </w:r>
      <w:r w:rsidR="00A10903">
        <w:t> </w:t>
      </w:r>
      <w:r w:rsidR="00A10903" w:rsidRPr="00A10903">
        <w:t>czę</w:t>
      </w:r>
      <w:r w:rsidRPr="00A10903">
        <w:t>ści ósmej tytuły II i III rozporządzenia Parlamentu Europejskiego</w:t>
      </w:r>
      <w:r w:rsidR="00A10903" w:rsidRPr="00A10903">
        <w:t xml:space="preserve"> i</w:t>
      </w:r>
      <w:r w:rsidR="00A10903">
        <w:t> </w:t>
      </w:r>
      <w:r w:rsidR="00A10903" w:rsidRPr="00A10903">
        <w:t>Rad</w:t>
      </w:r>
      <w:r w:rsidRPr="00A10903">
        <w:t>y (UE) nr</w:t>
      </w:r>
      <w:r w:rsidR="00A10903" w:rsidRPr="00A10903">
        <w:t> </w:t>
      </w:r>
      <w:r w:rsidRPr="00A10903">
        <w:t>575/2013, oraz uchylające rozporządzenie wykonawcze Komisji (UE) nr</w:t>
      </w:r>
      <w:r w:rsidR="00A10903" w:rsidRPr="00A10903">
        <w:t> </w:t>
      </w:r>
      <w:r w:rsidRPr="00A10903">
        <w:t>1423/2013, rozporządzenie delegowane Komisji (UE) 2015/1555, rozporządzenie wykonawcze Komisji (UE) 2016/200</w:t>
      </w:r>
      <w:r w:rsidR="00A10903" w:rsidRPr="00A10903">
        <w:t xml:space="preserve"> i</w:t>
      </w:r>
      <w:r w:rsidR="00A10903">
        <w:t> </w:t>
      </w:r>
      <w:r w:rsidR="00A10903" w:rsidRPr="00A10903">
        <w:t>roz</w:t>
      </w:r>
      <w:r w:rsidRPr="00A10903">
        <w:t>porządzenie delegowane Komisji (UE) 2017/2295 (Dz.U. L 136</w:t>
      </w:r>
      <w:r w:rsidR="00A10903" w:rsidRPr="00A10903">
        <w:t xml:space="preserve"> z</w:t>
      </w:r>
      <w:r w:rsidR="00A10903">
        <w:t> </w:t>
      </w:r>
      <w:r w:rsidR="00A10903" w:rsidRPr="00A10903">
        <w:t>2</w:t>
      </w:r>
      <w:r w:rsidRPr="00A10903">
        <w:t xml:space="preserve">1.4.2021, s. 1, ELI: </w:t>
      </w:r>
      <w:hyperlink r:id="rId2" w:history="1">
        <w:r w:rsidRPr="00A10903">
          <w:rPr>
            <w:rStyle w:val="Hyperlink"/>
          </w:rPr>
          <w:t>http://data.europa.eu/eli/reg_impl/2021/637/oj</w:t>
        </w:r>
      </w:hyperlink>
      <w:r w:rsidRPr="00A10903">
        <w:t>).</w:t>
      </w:r>
    </w:p>
  </w:footnote>
  <w:footnote w:id="4">
    <w:p w:rsidR="00021AB3" w:rsidRPr="00A10903" w:rsidRDefault="00021AB3" w:rsidP="00021AB3">
      <w:pPr>
        <w:pStyle w:val="FootnoteText"/>
      </w:pPr>
      <w:r w:rsidRPr="00A10903">
        <w:rPr>
          <w:rStyle w:val="FootnoteReference"/>
        </w:rPr>
        <w:footnoteRef/>
      </w:r>
      <w:r w:rsidRPr="00A10903">
        <w:tab/>
        <w:t>Rozporządzenie Parlamentu Europejskiego</w:t>
      </w:r>
      <w:r w:rsidR="00A10903" w:rsidRPr="00A10903">
        <w:t xml:space="preserve"> i</w:t>
      </w:r>
      <w:r w:rsidR="00A10903">
        <w:t> </w:t>
      </w:r>
      <w:r w:rsidR="00A10903" w:rsidRPr="00A10903">
        <w:t>Rad</w:t>
      </w:r>
      <w:r w:rsidRPr="00A10903">
        <w:t>y (UE) 2024/1623</w:t>
      </w:r>
      <w:r w:rsidR="00A10903" w:rsidRPr="00A10903">
        <w:t xml:space="preserve"> z</w:t>
      </w:r>
      <w:r w:rsidR="00A10903">
        <w:t> </w:t>
      </w:r>
      <w:r w:rsidR="00A10903" w:rsidRPr="00A10903">
        <w:t>dni</w:t>
      </w:r>
      <w:r w:rsidRPr="00A10903">
        <w:t>a 31 maja 2024</w:t>
      </w:r>
      <w:r w:rsidR="00A10903" w:rsidRPr="00A10903">
        <w:t> </w:t>
      </w:r>
      <w:r w:rsidRPr="00A10903">
        <w:t>r.</w:t>
      </w:r>
      <w:r w:rsidR="00A10903" w:rsidRPr="00A10903">
        <w:t xml:space="preserve"> w</w:t>
      </w:r>
      <w:r w:rsidR="00A10903">
        <w:t> </w:t>
      </w:r>
      <w:r w:rsidR="00A10903" w:rsidRPr="00A10903">
        <w:t>spr</w:t>
      </w:r>
      <w:r w:rsidRPr="00A10903">
        <w:t>awie zmiany rozporządzenia (UE) nr</w:t>
      </w:r>
      <w:r w:rsidR="00A10903" w:rsidRPr="00A10903">
        <w:t> </w:t>
      </w:r>
      <w:r w:rsidRPr="00A10903">
        <w:t>575/2013</w:t>
      </w:r>
      <w:r w:rsidR="00A10903" w:rsidRPr="00A10903">
        <w:t xml:space="preserve"> w</w:t>
      </w:r>
      <w:r w:rsidR="00A10903">
        <w:t> </w:t>
      </w:r>
      <w:r w:rsidR="00A10903" w:rsidRPr="00A10903">
        <w:t>odn</w:t>
      </w:r>
      <w:r w:rsidRPr="00A10903">
        <w:t>iesieniu do wymogów dotyczących ryzyka kredytowego, ryzyka związanego</w:t>
      </w:r>
      <w:r w:rsidR="00A10903" w:rsidRPr="00A10903">
        <w:t xml:space="preserve"> z</w:t>
      </w:r>
      <w:r w:rsidR="00A10903">
        <w:t> </w:t>
      </w:r>
      <w:r w:rsidR="00A10903" w:rsidRPr="00A10903">
        <w:t>kor</w:t>
      </w:r>
      <w:r w:rsidRPr="00A10903">
        <w:t xml:space="preserve">ektą wyceny kredytowej, ryzyka operacyjnego, ryzyka rynkowego oraz minimalnego progu kapitałowego (Dz.U. L, 2024/1623, 19.6.2024, ELI: </w:t>
      </w:r>
      <w:hyperlink r:id="rId3" w:history="1">
        <w:r w:rsidRPr="00A10903">
          <w:rPr>
            <w:rStyle w:val="Hyperlink"/>
          </w:rPr>
          <w:t>http://data.europa.eu/eli/reg/2024/1623/oj</w:t>
        </w:r>
      </w:hyperlink>
      <w:r w:rsidRPr="00A10903">
        <w:t>).</w:t>
      </w:r>
    </w:p>
  </w:footnote>
  <w:footnote w:id="5">
    <w:p w:rsidR="008B3F27" w:rsidRPr="00A10903" w:rsidRDefault="00BB0B33" w:rsidP="005269C8">
      <w:pPr>
        <w:pStyle w:val="FootnoteText"/>
      </w:pPr>
      <w:r w:rsidRPr="00A10903">
        <w:rPr>
          <w:rStyle w:val="FootnoteReference"/>
        </w:rPr>
        <w:footnoteRef/>
      </w:r>
      <w:r w:rsidRPr="00A10903">
        <w:tab/>
        <w:t>Dyrektywa Parlamentu Europejskiego</w:t>
      </w:r>
      <w:r w:rsidR="00A10903" w:rsidRPr="00A10903">
        <w:t xml:space="preserve"> i</w:t>
      </w:r>
      <w:r w:rsidR="00A10903">
        <w:t> </w:t>
      </w:r>
      <w:r w:rsidR="00A10903" w:rsidRPr="00A10903">
        <w:t>Rad</w:t>
      </w:r>
      <w:r w:rsidRPr="00A10903">
        <w:t>y 2013/36/UE</w:t>
      </w:r>
      <w:r w:rsidR="00A10903" w:rsidRPr="00A10903">
        <w:t xml:space="preserve"> z</w:t>
      </w:r>
      <w:r w:rsidR="00A10903">
        <w:t> </w:t>
      </w:r>
      <w:r w:rsidR="00A10903" w:rsidRPr="00A10903">
        <w:t>dni</w:t>
      </w:r>
      <w:r w:rsidRPr="00A10903">
        <w:t>a 26 czerwca 2013</w:t>
      </w:r>
      <w:r w:rsidR="00A10903" w:rsidRPr="00A10903">
        <w:t> </w:t>
      </w:r>
      <w:r w:rsidRPr="00A10903">
        <w:t>r.</w:t>
      </w:r>
      <w:r w:rsidR="00A10903" w:rsidRPr="00A10903">
        <w:t xml:space="preserve"> w</w:t>
      </w:r>
      <w:r w:rsidR="00A10903">
        <w:t> </w:t>
      </w:r>
      <w:r w:rsidR="00A10903" w:rsidRPr="00A10903">
        <w:t>spr</w:t>
      </w:r>
      <w:r w:rsidRPr="00A10903">
        <w:t>awie warunków dopuszczenia instytucji kredytowych do działalności oraz nadzoru ostrożnościowego nad instytucjami kredytowymi</w:t>
      </w:r>
      <w:r w:rsidR="00A10903" w:rsidRPr="00A10903">
        <w:t xml:space="preserve"> i</w:t>
      </w:r>
      <w:r w:rsidR="00A10903">
        <w:t> </w:t>
      </w:r>
      <w:r w:rsidR="00A10903" w:rsidRPr="00A10903">
        <w:t>fir</w:t>
      </w:r>
      <w:r w:rsidRPr="00A10903">
        <w:t>mami inwestycyjnymi, zmieniająca dyrektywę 2002/87/WE</w:t>
      </w:r>
      <w:r w:rsidR="00A10903" w:rsidRPr="00A10903">
        <w:t xml:space="preserve"> i</w:t>
      </w:r>
      <w:r w:rsidR="00A10903">
        <w:t> </w:t>
      </w:r>
      <w:r w:rsidR="00A10903" w:rsidRPr="00A10903">
        <w:t>uch</w:t>
      </w:r>
      <w:r w:rsidRPr="00A10903">
        <w:t>ylająca dyrektywy 2006/48/WE oraz 2006/49/WE Tekst mający znaczenie dla EOG (Dz.U. L 176</w:t>
      </w:r>
      <w:r w:rsidR="00A10903" w:rsidRPr="00A10903">
        <w:t xml:space="preserve"> z</w:t>
      </w:r>
      <w:r w:rsidR="00A10903">
        <w:t> </w:t>
      </w:r>
      <w:r w:rsidR="00A10903" w:rsidRPr="00A10903">
        <w:t>2</w:t>
      </w:r>
      <w:r w:rsidRPr="00A10903">
        <w:t xml:space="preserve">7.6.2013, s. 338, ELI: http://data.europa.eu/eli/dir/2013/36/oj). </w:t>
      </w:r>
    </w:p>
  </w:footnote>
  <w:footnote w:id="6">
    <w:p w:rsidR="008E7046" w:rsidRPr="00A10903" w:rsidRDefault="008E7046">
      <w:pPr>
        <w:pStyle w:val="FootnoteText"/>
      </w:pPr>
      <w:r w:rsidRPr="00A10903">
        <w:rPr>
          <w:rStyle w:val="FootnoteReference"/>
        </w:rPr>
        <w:footnoteRef/>
      </w:r>
      <w:r w:rsidRPr="00A10903">
        <w:tab/>
        <w:t>Rozporządzenie Parlamentu Europejskiego</w:t>
      </w:r>
      <w:r w:rsidR="00A10903" w:rsidRPr="00A10903">
        <w:t xml:space="preserve"> i</w:t>
      </w:r>
      <w:r w:rsidR="00A10903">
        <w:t> </w:t>
      </w:r>
      <w:r w:rsidR="00A10903" w:rsidRPr="00A10903">
        <w:t>Rad</w:t>
      </w:r>
      <w:r w:rsidRPr="00A10903">
        <w:t>y (UE) 2020/852</w:t>
      </w:r>
      <w:r w:rsidR="00A10903" w:rsidRPr="00A10903">
        <w:t xml:space="preserve"> z</w:t>
      </w:r>
      <w:r w:rsidR="00A10903">
        <w:t> </w:t>
      </w:r>
      <w:r w:rsidR="00A10903" w:rsidRPr="00A10903">
        <w:t>dni</w:t>
      </w:r>
      <w:r w:rsidRPr="00A10903">
        <w:t>a 18 czerwca 2020 r.</w:t>
      </w:r>
      <w:r w:rsidR="00A10903" w:rsidRPr="00A10903">
        <w:t xml:space="preserve"> w</w:t>
      </w:r>
      <w:r w:rsidR="00A10903">
        <w:t> </w:t>
      </w:r>
      <w:r w:rsidR="00A10903" w:rsidRPr="00A10903">
        <w:t>spr</w:t>
      </w:r>
      <w:r w:rsidRPr="00A10903">
        <w:t>awie ustanowienia ram ułatwiających zrównoważone inwestycje, zmieniające rozporządzenie (UE) 2019/2088 (Dz.U. L 198</w:t>
      </w:r>
      <w:r w:rsidR="00A10903" w:rsidRPr="00A10903">
        <w:t xml:space="preserve"> z</w:t>
      </w:r>
      <w:r w:rsidR="00A10903">
        <w:t> </w:t>
      </w:r>
      <w:r w:rsidR="00A10903" w:rsidRPr="00A10903">
        <w:t>2</w:t>
      </w:r>
      <w:r w:rsidRPr="00A10903">
        <w:t>2.6.2020, s. 13, ELI: http://data.europa.eu/eli/reg/2020/852/oj).</w:t>
      </w:r>
    </w:p>
  </w:footnote>
  <w:footnote w:id="7">
    <w:p w:rsidR="000A5D79" w:rsidRPr="00A10903" w:rsidRDefault="000A5D79" w:rsidP="00115B95">
      <w:pPr>
        <w:pStyle w:val="FootnoteText"/>
      </w:pPr>
      <w:r w:rsidRPr="00A10903">
        <w:rPr>
          <w:rStyle w:val="FootnoteReference"/>
        </w:rPr>
        <w:footnoteRef/>
      </w:r>
      <w:r w:rsidRPr="00A10903">
        <w:tab/>
        <w:t>Rozporządzenie delegowane Komisji (UE) 2020/1818</w:t>
      </w:r>
      <w:r w:rsidR="00A10903" w:rsidRPr="00A10903">
        <w:t xml:space="preserve"> z</w:t>
      </w:r>
      <w:r w:rsidR="00A10903">
        <w:t> </w:t>
      </w:r>
      <w:r w:rsidR="00A10903" w:rsidRPr="00A10903">
        <w:t>dni</w:t>
      </w:r>
      <w:r w:rsidRPr="00A10903">
        <w:t>a 17 lipca 2020</w:t>
      </w:r>
      <w:r w:rsidR="00A10903" w:rsidRPr="00A10903">
        <w:t> </w:t>
      </w:r>
      <w:r w:rsidRPr="00A10903">
        <w:t>r. uzupełniające rozporządzenie Parlamentu Europejskiego</w:t>
      </w:r>
      <w:r w:rsidR="00A10903" w:rsidRPr="00A10903">
        <w:t xml:space="preserve"> i</w:t>
      </w:r>
      <w:r w:rsidR="00A10903">
        <w:t> </w:t>
      </w:r>
      <w:r w:rsidR="00A10903" w:rsidRPr="00A10903">
        <w:t>Rad</w:t>
      </w:r>
      <w:r w:rsidRPr="00A10903">
        <w:t>y (UE) 2016/1011</w:t>
      </w:r>
      <w:r w:rsidR="00A10903" w:rsidRPr="00A10903">
        <w:t xml:space="preserve"> w</w:t>
      </w:r>
      <w:r w:rsidR="00A10903">
        <w:t> </w:t>
      </w:r>
      <w:r w:rsidR="00A10903" w:rsidRPr="00A10903">
        <w:t>odn</w:t>
      </w:r>
      <w:r w:rsidRPr="00A10903">
        <w:t>iesieniu do minimalnych norm dotyczących unijnych wskaźników referencyjnych transformacji klimatycznej</w:t>
      </w:r>
      <w:r w:rsidR="00A10903" w:rsidRPr="00A10903">
        <w:t xml:space="preserve"> i</w:t>
      </w:r>
      <w:r w:rsidR="00A10903">
        <w:t> </w:t>
      </w:r>
      <w:r w:rsidR="00A10903" w:rsidRPr="00A10903">
        <w:t>uni</w:t>
      </w:r>
      <w:r w:rsidRPr="00A10903">
        <w:t>jnych wskaźników referencyjnych dostosowanych do porozumienia paryskiego (Dz.U. L 406</w:t>
      </w:r>
      <w:r w:rsidR="00A10903" w:rsidRPr="00A10903">
        <w:t xml:space="preserve"> z</w:t>
      </w:r>
      <w:r w:rsidR="00A10903">
        <w:t> </w:t>
      </w:r>
      <w:r w:rsidR="00A10903" w:rsidRPr="00A10903">
        <w:t>3</w:t>
      </w:r>
      <w:r w:rsidRPr="00A10903">
        <w:t>.12.2020, s. 17, ELI: http://data.europa.eu/eli/reg_del/2020/1818/oj).</w:t>
      </w:r>
    </w:p>
  </w:footnote>
  <w:footnote w:id="8">
    <w:p w:rsidR="000A5D79" w:rsidRPr="00A10903" w:rsidRDefault="000A5D79" w:rsidP="00115B95">
      <w:pPr>
        <w:pStyle w:val="FootnoteText"/>
      </w:pPr>
      <w:r w:rsidRPr="00A10903">
        <w:rPr>
          <w:rStyle w:val="FootnoteReference"/>
        </w:rPr>
        <w:footnoteRef/>
      </w:r>
      <w:r w:rsidRPr="00A10903">
        <w:tab/>
        <w:t>Dyrektywa Parlamentu Europejskiego</w:t>
      </w:r>
      <w:r w:rsidR="00A10903" w:rsidRPr="00A10903">
        <w:t xml:space="preserve"> i</w:t>
      </w:r>
      <w:r w:rsidR="00A10903">
        <w:t> </w:t>
      </w:r>
      <w:r w:rsidR="00A10903" w:rsidRPr="00A10903">
        <w:t>Rad</w:t>
      </w:r>
      <w:r w:rsidRPr="00A10903">
        <w:t>y 2010/31/UE</w:t>
      </w:r>
      <w:r w:rsidR="00A10903" w:rsidRPr="00A10903">
        <w:t xml:space="preserve"> z</w:t>
      </w:r>
      <w:r w:rsidR="00A10903">
        <w:t> </w:t>
      </w:r>
      <w:r w:rsidR="00A10903" w:rsidRPr="00A10903">
        <w:t>dni</w:t>
      </w:r>
      <w:r w:rsidRPr="00A10903">
        <w:t>a 19 maja 2010</w:t>
      </w:r>
      <w:r w:rsidR="00A10903" w:rsidRPr="00A10903">
        <w:t> </w:t>
      </w:r>
      <w:r w:rsidRPr="00A10903">
        <w:t>r.</w:t>
      </w:r>
      <w:r w:rsidR="00A10903" w:rsidRPr="00A10903">
        <w:t xml:space="preserve"> w</w:t>
      </w:r>
      <w:r w:rsidR="00A10903">
        <w:t> </w:t>
      </w:r>
      <w:r w:rsidR="00A10903" w:rsidRPr="00A10903">
        <w:t>spr</w:t>
      </w:r>
      <w:r w:rsidRPr="00A10903">
        <w:t>awie charakterystyki energetycznej budynków (wersja przekształcona) (Dz.U. L 153</w:t>
      </w:r>
      <w:r w:rsidR="00A10903" w:rsidRPr="00A10903">
        <w:t xml:space="preserve"> z</w:t>
      </w:r>
      <w:r w:rsidR="00A10903">
        <w:t> </w:t>
      </w:r>
      <w:r w:rsidR="00A10903" w:rsidRPr="00A10903">
        <w:t>1</w:t>
      </w:r>
      <w:r w:rsidRPr="00A10903">
        <w:t>8.6.2010, s. 13, ELI: http://data.europa.eu/eli/dir/2010/31/oj).</w:t>
      </w:r>
    </w:p>
  </w:footnote>
  <w:footnote w:id="9">
    <w:p w:rsidR="000A5D79" w:rsidRPr="00A10903" w:rsidRDefault="000A5D79" w:rsidP="00115B95">
      <w:pPr>
        <w:pStyle w:val="FootnoteText"/>
      </w:pPr>
      <w:r w:rsidRPr="00A10903">
        <w:rPr>
          <w:rStyle w:val="FootnoteReference"/>
        </w:rPr>
        <w:footnoteRef/>
      </w:r>
      <w:r w:rsidRPr="00A10903">
        <w:tab/>
        <w:t>Dyrektywa Parlamentu Europejskiego</w:t>
      </w:r>
      <w:r w:rsidR="00A10903" w:rsidRPr="00A10903">
        <w:t xml:space="preserve"> i</w:t>
      </w:r>
      <w:r w:rsidR="00A10903">
        <w:t> </w:t>
      </w:r>
      <w:r w:rsidR="00A10903" w:rsidRPr="00A10903">
        <w:t>Rad</w:t>
      </w:r>
      <w:r w:rsidRPr="00A10903">
        <w:t>y 2013/34/UE</w:t>
      </w:r>
      <w:r w:rsidR="00A10903" w:rsidRPr="00A10903">
        <w:t xml:space="preserve"> z</w:t>
      </w:r>
      <w:r w:rsidR="00A10903">
        <w:t> </w:t>
      </w:r>
      <w:r w:rsidR="00A10903" w:rsidRPr="00A10903">
        <w:t>dni</w:t>
      </w:r>
      <w:r w:rsidRPr="00A10903">
        <w:t>a 26 czerwca 2013</w:t>
      </w:r>
      <w:r w:rsidR="00A10903" w:rsidRPr="00A10903">
        <w:t> </w:t>
      </w:r>
      <w:r w:rsidRPr="00A10903">
        <w:t>r.</w:t>
      </w:r>
      <w:r w:rsidR="00A10903" w:rsidRPr="00A10903">
        <w:t xml:space="preserve"> w</w:t>
      </w:r>
      <w:r w:rsidR="00A10903">
        <w:t> </w:t>
      </w:r>
      <w:r w:rsidR="00A10903" w:rsidRPr="00A10903">
        <w:t>spr</w:t>
      </w:r>
      <w:r w:rsidRPr="00A10903">
        <w:t>awie rocznych sprawozdań finansowych, skonsolidowanych sprawozdań finansowych</w:t>
      </w:r>
      <w:r w:rsidR="00A10903" w:rsidRPr="00A10903">
        <w:t xml:space="preserve"> i</w:t>
      </w:r>
      <w:r w:rsidR="00A10903">
        <w:t> </w:t>
      </w:r>
      <w:r w:rsidR="00A10903" w:rsidRPr="00A10903">
        <w:t>pow</w:t>
      </w:r>
      <w:r w:rsidRPr="00A10903">
        <w:t>iązanych sprawozdań niektórych rodzajów jednostek, zmieniająca dyrektywę Parlamentu Europejskiego</w:t>
      </w:r>
      <w:r w:rsidR="00A10903" w:rsidRPr="00A10903">
        <w:t xml:space="preserve"> i</w:t>
      </w:r>
      <w:r w:rsidR="00A10903">
        <w:t> </w:t>
      </w:r>
      <w:r w:rsidR="00A10903" w:rsidRPr="00A10903">
        <w:t>Rad</w:t>
      </w:r>
      <w:r w:rsidRPr="00A10903">
        <w:t>y 2006/43/WE oraz uchylająca dyrektywy Rady 78/660/EWG</w:t>
      </w:r>
      <w:r w:rsidR="00A10903" w:rsidRPr="00A10903">
        <w:t xml:space="preserve"> i</w:t>
      </w:r>
      <w:r w:rsidR="00A10903">
        <w:t> </w:t>
      </w:r>
      <w:r w:rsidR="00A10903" w:rsidRPr="00A10903">
        <w:t>8</w:t>
      </w:r>
      <w:r w:rsidRPr="00A10903">
        <w:t>3/349/EWG (Dz.U. L 182</w:t>
      </w:r>
      <w:r w:rsidR="00A10903" w:rsidRPr="00A10903">
        <w:t xml:space="preserve"> z</w:t>
      </w:r>
      <w:r w:rsidR="00A10903">
        <w:t> </w:t>
      </w:r>
      <w:r w:rsidR="00A10903" w:rsidRPr="00A10903">
        <w:t>2</w:t>
      </w:r>
      <w:r w:rsidRPr="00A10903">
        <w:t>9.6.2013, s. 19, ELI: http://data.europa.eu/eli/dir/2013/34/oj).</w:t>
      </w:r>
    </w:p>
  </w:footnote>
  <w:footnote w:id="10">
    <w:p w:rsidR="000A5D79" w:rsidRPr="00A10903" w:rsidRDefault="000A5D79" w:rsidP="00115B95">
      <w:pPr>
        <w:pStyle w:val="FootnoteText"/>
      </w:pPr>
      <w:r w:rsidRPr="00A10903">
        <w:rPr>
          <w:rStyle w:val="FootnoteReference"/>
        </w:rPr>
        <w:footnoteRef/>
      </w:r>
      <w:r w:rsidRPr="00A10903">
        <w:tab/>
        <w:t>Rozporządzenie Parlamentu Europejskiego</w:t>
      </w:r>
      <w:r w:rsidR="00A10903" w:rsidRPr="00A10903">
        <w:t xml:space="preserve"> i</w:t>
      </w:r>
      <w:r w:rsidR="00A10903">
        <w:t> </w:t>
      </w:r>
      <w:r w:rsidR="00A10903" w:rsidRPr="00A10903">
        <w:t>Rad</w:t>
      </w:r>
      <w:r w:rsidRPr="00A10903">
        <w:t>y (UE) nr</w:t>
      </w:r>
      <w:r w:rsidR="00A10903" w:rsidRPr="00A10903">
        <w:t> </w:t>
      </w:r>
      <w:r w:rsidRPr="00A10903">
        <w:t>1093/2010</w:t>
      </w:r>
      <w:r w:rsidR="00A10903" w:rsidRPr="00A10903">
        <w:t xml:space="preserve"> z</w:t>
      </w:r>
      <w:r w:rsidR="00A10903">
        <w:t> </w:t>
      </w:r>
      <w:r w:rsidR="00A10903" w:rsidRPr="00A10903">
        <w:t>dni</w:t>
      </w:r>
      <w:r w:rsidRPr="00A10903">
        <w:t>a 24 listopada 2010</w:t>
      </w:r>
      <w:r w:rsidR="00A10903" w:rsidRPr="00A10903">
        <w:t> </w:t>
      </w:r>
      <w:r w:rsidRPr="00A10903">
        <w:t>r.</w:t>
      </w:r>
      <w:r w:rsidR="00A10903" w:rsidRPr="00A10903">
        <w:t xml:space="preserve"> w</w:t>
      </w:r>
      <w:r w:rsidR="00A10903">
        <w:t> </w:t>
      </w:r>
      <w:r w:rsidR="00A10903" w:rsidRPr="00A10903">
        <w:t>spr</w:t>
      </w:r>
      <w:r w:rsidRPr="00A10903">
        <w:t>awie ustanowienia Europejskiego Urzędu Nadzoru (Europejskiego Urzędu Nadzoru Bankowego), zmiany decyzji nr</w:t>
      </w:r>
      <w:r w:rsidR="00A10903" w:rsidRPr="00A10903">
        <w:t> </w:t>
      </w:r>
      <w:r w:rsidRPr="00A10903">
        <w:t>716/2009/WE oraz uchylenia decyzji Komisji 2009/78/WE (Dz.U. L 331</w:t>
      </w:r>
      <w:r w:rsidR="00A10903" w:rsidRPr="00A10903">
        <w:t xml:space="preserve"> z</w:t>
      </w:r>
      <w:r w:rsidR="00A10903">
        <w:t> </w:t>
      </w:r>
      <w:r w:rsidR="00A10903" w:rsidRPr="00A10903">
        <w:t>1</w:t>
      </w:r>
      <w:r w:rsidRPr="00A10903">
        <w:t>5.12.2010, s. 12, ELI: http://data.europa.eu/eli/reg/2010/1093/oj).</w:t>
      </w:r>
    </w:p>
  </w:footnote>
  <w:footnote w:id="11">
    <w:p w:rsidR="004076A2" w:rsidRPr="00A10903" w:rsidRDefault="004076A2" w:rsidP="009A75BF">
      <w:pPr>
        <w:pStyle w:val="FootnoteText"/>
      </w:pPr>
      <w:r w:rsidRPr="00A10903">
        <w:rPr>
          <w:rStyle w:val="FootnoteReference"/>
        </w:rPr>
        <w:footnoteRef/>
      </w:r>
      <w:r w:rsidRPr="00A10903">
        <w:tab/>
        <w:t>Rozporządzenie delegowane Komisji (UE) nr</w:t>
      </w:r>
      <w:r w:rsidR="00A10903" w:rsidRPr="00A10903">
        <w:t> </w:t>
      </w:r>
      <w:r w:rsidRPr="00A10903">
        <w:t>1222/2014</w:t>
      </w:r>
      <w:r w:rsidR="00A10903" w:rsidRPr="00A10903">
        <w:t xml:space="preserve"> z</w:t>
      </w:r>
      <w:r w:rsidR="00A10903">
        <w:t> </w:t>
      </w:r>
      <w:r w:rsidR="00A10903" w:rsidRPr="00A10903">
        <w:t>dni</w:t>
      </w:r>
      <w:r w:rsidRPr="00A10903">
        <w:t>a 8 października 2014</w:t>
      </w:r>
      <w:r w:rsidR="00A10903" w:rsidRPr="00A10903">
        <w:t> </w:t>
      </w:r>
      <w:r w:rsidRPr="00A10903">
        <w:t>r. uzupełniające dyrektywę Parlamentu Europejskiego</w:t>
      </w:r>
      <w:r w:rsidR="00A10903" w:rsidRPr="00A10903">
        <w:t xml:space="preserve"> i</w:t>
      </w:r>
      <w:r w:rsidR="00A10903">
        <w:t> </w:t>
      </w:r>
      <w:r w:rsidR="00A10903" w:rsidRPr="00A10903">
        <w:t>Rad</w:t>
      </w:r>
      <w:r w:rsidRPr="00A10903">
        <w:t>y 2013/36/UE</w:t>
      </w:r>
      <w:r w:rsidR="00A10903" w:rsidRPr="00A10903">
        <w:t xml:space="preserve"> w</w:t>
      </w:r>
      <w:r w:rsidR="00A10903">
        <w:t> </w:t>
      </w:r>
      <w:r w:rsidR="00A10903" w:rsidRPr="00A10903">
        <w:t>odn</w:t>
      </w:r>
      <w:r w:rsidRPr="00A10903">
        <w:t>iesieniu do regulacyjnych standardów technicznych dotyczących określenia metody identyfikacji globalnych instytucji</w:t>
      </w:r>
      <w:r w:rsidR="00A10903" w:rsidRPr="00A10903">
        <w:t xml:space="preserve"> o</w:t>
      </w:r>
      <w:r w:rsidR="00A10903">
        <w:t> </w:t>
      </w:r>
      <w:r w:rsidR="00A10903" w:rsidRPr="00A10903">
        <w:t>zna</w:t>
      </w:r>
      <w:r w:rsidRPr="00A10903">
        <w:t>czeniu systemowym oraz definiowania podkategorii globalnych instytucji</w:t>
      </w:r>
      <w:r w:rsidR="00A10903" w:rsidRPr="00A10903">
        <w:t xml:space="preserve"> o</w:t>
      </w:r>
      <w:r w:rsidR="00A10903">
        <w:t> </w:t>
      </w:r>
      <w:r w:rsidR="00A10903" w:rsidRPr="00A10903">
        <w:t>zna</w:t>
      </w:r>
      <w:r w:rsidRPr="00A10903">
        <w:t>czeniu systemowym (Dz.U. L 330</w:t>
      </w:r>
      <w:r w:rsidR="00A10903" w:rsidRPr="00A10903">
        <w:t xml:space="preserve"> z</w:t>
      </w:r>
      <w:r w:rsidR="00A10903">
        <w:t> </w:t>
      </w:r>
      <w:r w:rsidR="00A10903" w:rsidRPr="00A10903">
        <w:t>1</w:t>
      </w:r>
      <w:r w:rsidRPr="00A10903">
        <w:t>5.11.2014, s. 27, ELI: http://data.europa.eu/eli/reg_del/2014/1222/oj).</w:t>
      </w:r>
    </w:p>
  </w:footnote>
  <w:footnote w:id="12">
    <w:p w:rsidR="000A5D79" w:rsidRPr="00A10903" w:rsidRDefault="000A5D79" w:rsidP="000A5D79">
      <w:pPr>
        <w:pStyle w:val="FootnoteText"/>
      </w:pPr>
      <w:r w:rsidRPr="00A10903">
        <w:rPr>
          <w:rStyle w:val="FootnoteReference"/>
        </w:rPr>
        <w:footnoteRef/>
      </w:r>
      <w:r w:rsidRPr="00A10903">
        <w:tab/>
      </w:r>
      <w:r w:rsidRPr="00A10903">
        <w:rPr>
          <w:color w:val="333333"/>
          <w:shd w:val="clear" w:color="auto" w:fill="FFFFFF"/>
        </w:rPr>
        <w:t>Rozporządzenie wykonawcze Komisji</w:t>
      </w:r>
      <w:r w:rsidRPr="00A10903">
        <w:t xml:space="preserve"> (UE) 2022/2453</w:t>
      </w:r>
      <w:r w:rsidR="00A10903" w:rsidRPr="00A10903">
        <w:t xml:space="preserve"> z</w:t>
      </w:r>
      <w:r w:rsidR="00A10903">
        <w:t> </w:t>
      </w:r>
      <w:r w:rsidR="00A10903" w:rsidRPr="00A10903">
        <w:t>dni</w:t>
      </w:r>
      <w:r w:rsidRPr="00A10903">
        <w:t>a 30 listopada 2022 r. zmieniające wykonawcze standardy techniczne określone</w:t>
      </w:r>
      <w:r w:rsidR="00A10903" w:rsidRPr="00A10903">
        <w:t xml:space="preserve"> w</w:t>
      </w:r>
      <w:r w:rsidR="00A10903">
        <w:t> </w:t>
      </w:r>
      <w:r w:rsidR="00A10903" w:rsidRPr="00A10903">
        <w:t>roz</w:t>
      </w:r>
      <w:r w:rsidRPr="00A10903">
        <w:t>porządzeniu wykonawczym (UE) 2021/637</w:t>
      </w:r>
      <w:r w:rsidR="00A10903" w:rsidRPr="00A10903">
        <w:t xml:space="preserve"> w</w:t>
      </w:r>
      <w:r w:rsidR="00A10903">
        <w:t> </w:t>
      </w:r>
      <w:r w:rsidR="00A10903" w:rsidRPr="00A10903">
        <w:t>odn</w:t>
      </w:r>
      <w:r w:rsidRPr="00A10903">
        <w:t>iesieniu do ujawniania informacji na temat ryzyk</w:t>
      </w:r>
      <w:r w:rsidR="00A10903" w:rsidRPr="00A10903">
        <w:t xml:space="preserve"> z</w:t>
      </w:r>
      <w:r w:rsidR="00A10903">
        <w:t> </w:t>
      </w:r>
      <w:r w:rsidR="00A10903" w:rsidRPr="00A10903">
        <w:t>zak</w:t>
      </w:r>
      <w:r w:rsidRPr="00A10903">
        <w:t>resu ochrony środowiska, polityki społecznej</w:t>
      </w:r>
      <w:r w:rsidR="00A10903" w:rsidRPr="00A10903">
        <w:t xml:space="preserve"> i</w:t>
      </w:r>
      <w:r w:rsidR="00A10903">
        <w:t> </w:t>
      </w:r>
      <w:r w:rsidR="00A10903" w:rsidRPr="00A10903">
        <w:t>ład</w:t>
      </w:r>
      <w:r w:rsidRPr="00A10903">
        <w:t>u korporacyjnego (Dz.U. L 324</w:t>
      </w:r>
      <w:r w:rsidR="00A10903" w:rsidRPr="00A10903">
        <w:t xml:space="preserve"> z</w:t>
      </w:r>
      <w:r w:rsidR="00A10903">
        <w:t> </w:t>
      </w:r>
      <w:r w:rsidR="00A10903" w:rsidRPr="00A10903">
        <w:t>1</w:t>
      </w:r>
      <w:r w:rsidRPr="00A10903">
        <w:t>9.12.2022, s. 1, ELI: </w:t>
      </w:r>
      <w:hyperlink r:id="rId4" w:tooltip="Dostęp do dokumentu poprzez identyfikator URI w systemie ELI." w:history="1">
        <w:r w:rsidRPr="00A10903">
          <w:t>http://data.europa.eu/eli/reg_impl/2022/2453/oj</w:t>
        </w:r>
      </w:hyperlink>
      <w:r w:rsidRPr="00A10903">
        <w:t>).</w:t>
      </w:r>
    </w:p>
  </w:footnote>
  <w:footnote w:id="13">
    <w:p w:rsidR="000A5D79" w:rsidRPr="00A10903" w:rsidRDefault="000A5D79" w:rsidP="00115B95">
      <w:pPr>
        <w:pStyle w:val="FootnoteText"/>
      </w:pPr>
      <w:r w:rsidRPr="00A10903">
        <w:rPr>
          <w:rStyle w:val="FootnoteReference"/>
        </w:rPr>
        <w:footnoteRef/>
      </w:r>
      <w:r w:rsidRPr="00A10903">
        <w:tab/>
        <w:t>Rozporządzenie wykonawcze Komisji (UE) 2021/451</w:t>
      </w:r>
      <w:r w:rsidR="00A10903" w:rsidRPr="00A10903">
        <w:t xml:space="preserve"> z</w:t>
      </w:r>
      <w:r w:rsidR="00A10903">
        <w:t> </w:t>
      </w:r>
      <w:r w:rsidR="00A10903" w:rsidRPr="00A10903">
        <w:t>dni</w:t>
      </w:r>
      <w:r w:rsidRPr="00A10903">
        <w:t>a 17 grudnia 2020 r. ustanawiające wykonawcze standardy techniczne do celów stosowania rozporządzenia Parlamentu Europejskiego</w:t>
      </w:r>
      <w:r w:rsidR="00A10903" w:rsidRPr="00A10903">
        <w:t xml:space="preserve"> i</w:t>
      </w:r>
      <w:r w:rsidR="00A10903">
        <w:t> </w:t>
      </w:r>
      <w:r w:rsidR="00A10903" w:rsidRPr="00A10903">
        <w:t>Rad</w:t>
      </w:r>
      <w:r w:rsidRPr="00A10903">
        <w:t>y (UE) nr 575/2013</w:t>
      </w:r>
      <w:r w:rsidR="00A10903" w:rsidRPr="00A10903">
        <w:t xml:space="preserve"> w</w:t>
      </w:r>
      <w:r w:rsidR="00A10903">
        <w:t> </w:t>
      </w:r>
      <w:r w:rsidR="00A10903" w:rsidRPr="00A10903">
        <w:t>odn</w:t>
      </w:r>
      <w:r w:rsidRPr="00A10903">
        <w:t>iesieniu do sprawozdań nadzorczych instytucji oraz uchylające rozporządzenie wykonawcze (UE) nr 680/2014 (Dz.U. L 97</w:t>
      </w:r>
      <w:r w:rsidR="00A10903" w:rsidRPr="00A10903">
        <w:t xml:space="preserve"> z</w:t>
      </w:r>
      <w:r w:rsidR="00A10903">
        <w:t> </w:t>
      </w:r>
      <w:r w:rsidR="00A10903" w:rsidRPr="00A10903">
        <w:t>1</w:t>
      </w:r>
      <w:r w:rsidRPr="00A10903">
        <w:t>9.3.2021, s. 1, ELI: http://data.europa.eu/eli/reg_impl/2021/451/oj).</w:t>
      </w:r>
    </w:p>
  </w:footnote>
  <w:footnote w:id="14">
    <w:p w:rsidR="000A5D79" w:rsidRPr="00A10903" w:rsidRDefault="000A5D79" w:rsidP="009A75BF">
      <w:pPr>
        <w:pStyle w:val="FootnoteText"/>
      </w:pPr>
      <w:r w:rsidRPr="00A10903">
        <w:rPr>
          <w:rStyle w:val="FootnoteReference"/>
        </w:rPr>
        <w:footnoteRef/>
      </w:r>
      <w:r w:rsidRPr="00A10903">
        <w:tab/>
        <w:t>Rozporządzenie delegowane Komisji (UE) 2021/2178</w:t>
      </w:r>
      <w:r w:rsidR="00A10903" w:rsidRPr="00A10903">
        <w:t xml:space="preserve"> z</w:t>
      </w:r>
      <w:r w:rsidR="00A10903">
        <w:t> </w:t>
      </w:r>
      <w:r w:rsidR="00A10903" w:rsidRPr="00A10903">
        <w:t>dni</w:t>
      </w:r>
      <w:r w:rsidRPr="00A10903">
        <w:t>a 6 lipca 2021 r. uzupełniające rozporządzenie Parlamentu Europejskiego</w:t>
      </w:r>
      <w:r w:rsidR="00A10903" w:rsidRPr="00A10903">
        <w:t xml:space="preserve"> i</w:t>
      </w:r>
      <w:r w:rsidR="00A10903">
        <w:t> </w:t>
      </w:r>
      <w:r w:rsidR="00A10903" w:rsidRPr="00A10903">
        <w:t>Rad</w:t>
      </w:r>
      <w:r w:rsidRPr="00A10903">
        <w:t>y (UE) 2020/852 przez sprecyzowanie treści</w:t>
      </w:r>
      <w:r w:rsidR="00A10903" w:rsidRPr="00A10903">
        <w:t xml:space="preserve"> i</w:t>
      </w:r>
      <w:r w:rsidR="00A10903">
        <w:t> </w:t>
      </w:r>
      <w:r w:rsidR="00A10903" w:rsidRPr="00A10903">
        <w:t>pre</w:t>
      </w:r>
      <w:r w:rsidRPr="00A10903">
        <w:t>zentacji informacji dotyczących zrównoważonej środowiskowo działalności gospodarczej, które mają być ujawniane przez przedsiębiorstwa podlegające art. 19a lub</w:t>
      </w:r>
      <w:r w:rsidR="00A10903" w:rsidRPr="00A10903">
        <w:t> </w:t>
      </w:r>
      <w:r w:rsidRPr="00A10903">
        <w:t>29a dyrektywy 2013/34/UE, oraz określenie metody spełnienia tego obowiązku ujawniania informacji (Dz.U. L 443</w:t>
      </w:r>
      <w:r w:rsidR="00A10903" w:rsidRPr="00A10903">
        <w:t xml:space="preserve"> z</w:t>
      </w:r>
      <w:r w:rsidR="00A10903">
        <w:t> </w:t>
      </w:r>
      <w:r w:rsidR="00A10903" w:rsidRPr="00A10903">
        <w:t>1</w:t>
      </w:r>
      <w:r w:rsidRPr="00A10903">
        <w:t>0.12.2021, s.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6B" w:rsidRDefault="000120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6B" w:rsidRDefault="00012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A636825-78F9-43D0-8666-2E170DDFF5B9"/>
    <w:docVar w:name="LW_COVERPAGE_TYPE" w:val="1"/>
    <w:docVar w:name="LW_CROSSREFERENCE" w:val="&lt;UNUSED&gt;"/>
    <w:docVar w:name="LW_DATE.ADOPT.CP" w:val="z dnia 29.11.2024 r."/>
    <w:docVar w:name="LW_DATE.ADOPT.CP_DATEFORMAT" w:val="z dnia %DATE% r."/>
    <w:docVar w:name="LW_DATE.ADOPT.CP_ISODATE" w:val="2024-11-29"/>
    <w:docVar w:name="LW_DocType" w:val="COM"/>
    <w:docVar w:name="LW_EMISSION" w:val="29.11.2024"/>
    <w:docVar w:name="LW_EMISSION_ISODATE" w:val="2024-11-29"/>
    <w:docVar w:name="LW_EMISSION_LOCATION" w:val="BRX"/>
    <w:docVar w:name="LW_EMISSION_PREFIX" w:val="Bruksela, dnia "/>
    <w:docVar w:name="LW_EMISSION_SUFFIX" w:val=" r."/>
    <w:docVar w:name="LW_ID_DOCMODEL" w:val="SJ-004"/>
    <w:docVar w:name="LW_ID_DOCSIGNATURE" w:val="SJ-004"/>
    <w:docVar w:name="LW_ID_DOCSTRUCTURE" w:val="COM/AA"/>
    <w:docVar w:name="LW_ID_DOCTYPE" w:val="SJ-004"/>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stanawiaj\u261?ce wykonawcze standardy techniczne do celów stosowania rozporz\u261?dzenia Parlamentu Europejskiego i Rady (UE) nr 575/2013 w odniesieniu do publicznego ujawniania przez instytucje informacji, o których mowa w cz\u281?\u347?ci ósmej tytu\u322?y II i III tego rozporz\u261?dzenia, oraz uchylaj\u261?ce rozporz\u261?dzenie wykonawcze Komisji (UE) 2021/637"/>
    <w:docVar w:name="LW_TYPE.DOC.CP" w:val="ROZPORZ\u260?DZENIE WYKONAWCZE KOMISJI (UE) \u8230?/\u8230?"/>
    <w:docVar w:name="LwApiVersions" w:val="LW4CoDe 1.24.5.0; LW 9.0, Build 20240221"/>
  </w:docVars>
  <w:rsids>
    <w:rsidRoot w:val="0050796F"/>
    <w:rsid w:val="00000FB0"/>
    <w:rsid w:val="000069F5"/>
    <w:rsid w:val="00007267"/>
    <w:rsid w:val="000077D6"/>
    <w:rsid w:val="000112A9"/>
    <w:rsid w:val="0001206B"/>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34E"/>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3C76"/>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17D78"/>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16E9D"/>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800BC"/>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E6506"/>
    <w:rsid w:val="004F6E1D"/>
    <w:rsid w:val="004F7590"/>
    <w:rsid w:val="005004D2"/>
    <w:rsid w:val="00501F11"/>
    <w:rsid w:val="00502328"/>
    <w:rsid w:val="00504089"/>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2AAE"/>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E6C6C"/>
    <w:rsid w:val="005F01D8"/>
    <w:rsid w:val="005F25C7"/>
    <w:rsid w:val="005F3DE6"/>
    <w:rsid w:val="005F4989"/>
    <w:rsid w:val="005F630E"/>
    <w:rsid w:val="005F6CA2"/>
    <w:rsid w:val="00600299"/>
    <w:rsid w:val="006028C7"/>
    <w:rsid w:val="00604051"/>
    <w:rsid w:val="00604A22"/>
    <w:rsid w:val="00605CF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47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877"/>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036B"/>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903"/>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1B"/>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873CC"/>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602"/>
    <w:rsid w:val="00D2697C"/>
    <w:rsid w:val="00D269D3"/>
    <w:rsid w:val="00D303FF"/>
    <w:rsid w:val="00D305B3"/>
    <w:rsid w:val="00D35231"/>
    <w:rsid w:val="00D4425A"/>
    <w:rsid w:val="00D44EBA"/>
    <w:rsid w:val="00D47B67"/>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C797D"/>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19D1"/>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0BE5"/>
    <w:rsid w:val="00F715CE"/>
    <w:rsid w:val="00F721E8"/>
    <w:rsid w:val="00F749E4"/>
    <w:rsid w:val="00F770BC"/>
    <w:rsid w:val="00F772E0"/>
    <w:rsid w:val="00F82617"/>
    <w:rsid w:val="00F85696"/>
    <w:rsid w:val="00F86C80"/>
    <w:rsid w:val="00F90F9C"/>
    <w:rsid w:val="00F928E9"/>
    <w:rsid w:val="00F929E0"/>
    <w:rsid w:val="00F97ECE"/>
    <w:rsid w:val="00FA266C"/>
    <w:rsid w:val="00FA5CB0"/>
    <w:rsid w:val="00FA6956"/>
    <w:rsid w:val="00FA6BA6"/>
    <w:rsid w:val="00FA6E22"/>
    <w:rsid w:val="00FB3164"/>
    <w:rsid w:val="00FB4ACB"/>
    <w:rsid w:val="00FC2396"/>
    <w:rsid w:val="00FC5493"/>
    <w:rsid w:val="00FC64BE"/>
    <w:rsid w:val="00FD1F6F"/>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pPr>
      <w:keepNext/>
      <w:numPr>
        <w:numId w:val="2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pl-PL"/>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pl-PL"/>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pl-PL"/>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01206B"/>
    <w:rPr>
      <w:rFonts w:ascii="Times New Roman" w:hAnsi="Times New Roman" w:cs="Times New Roman"/>
      <w:sz w:val="24"/>
      <w:lang w:val="pl-PL"/>
    </w:rPr>
  </w:style>
  <w:style w:type="character" w:customStyle="1" w:styleId="FooterChar">
    <w:name w:val="Footer Char"/>
    <w:basedOn w:val="DefaultParagraphFont"/>
    <w:link w:val="Footer"/>
    <w:uiPriority w:val="99"/>
    <w:rsid w:val="0001206B"/>
    <w:rPr>
      <w:rFonts w:ascii="Times New Roman" w:hAnsi="Times New Roman" w:cs="Times New Roman"/>
      <w:sz w:val="24"/>
      <w:lang w:val="pl-P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pl-P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pl-P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pl-P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pl-P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pl-P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pl-P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pl-P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1206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1206B"/>
    <w:pPr>
      <w:spacing w:before="0"/>
      <w:jc w:val="right"/>
    </w:pPr>
    <w:rPr>
      <w:sz w:val="28"/>
    </w:rPr>
  </w:style>
  <w:style w:type="paragraph" w:customStyle="1" w:styleId="FooterSensitivity">
    <w:name w:val="Footer Sensitivity"/>
    <w:basedOn w:val="Normal"/>
    <w:rsid w:val="0001206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8"/>
      </w:numPr>
    </w:pPr>
  </w:style>
  <w:style w:type="paragraph" w:customStyle="1" w:styleId="Tiret1">
    <w:name w:val="Tiret 1"/>
    <w:basedOn w:val="Point1"/>
    <w:pPr>
      <w:numPr>
        <w:numId w:val="19"/>
      </w:numPr>
    </w:pPr>
  </w:style>
  <w:style w:type="paragraph" w:customStyle="1" w:styleId="Tiret2">
    <w:name w:val="Tiret 2"/>
    <w:basedOn w:val="Point2"/>
    <w:pPr>
      <w:numPr>
        <w:numId w:val="20"/>
      </w:numPr>
    </w:pPr>
  </w:style>
  <w:style w:type="paragraph" w:customStyle="1" w:styleId="Tiret3">
    <w:name w:val="Tiret 3"/>
    <w:basedOn w:val="Point3"/>
    <w:pPr>
      <w:numPr>
        <w:numId w:val="21"/>
      </w:numPr>
    </w:pPr>
  </w:style>
  <w:style w:type="paragraph" w:customStyle="1" w:styleId="Tiret4">
    <w:name w:val="Tiret 4"/>
    <w:basedOn w:val="Point4"/>
    <w:pPr>
      <w:numPr>
        <w:numId w:val="22"/>
      </w:numPr>
    </w:pPr>
  </w:style>
  <w:style w:type="paragraph" w:customStyle="1" w:styleId="Tiret5">
    <w:name w:val="Tiret 5"/>
    <w:basedOn w:val="Point5"/>
    <w:pPr>
      <w:numPr>
        <w:numId w:val="2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4"/>
      </w:numPr>
    </w:pPr>
  </w:style>
  <w:style w:type="paragraph" w:customStyle="1" w:styleId="NumPar2">
    <w:name w:val="NumPar 2"/>
    <w:basedOn w:val="Normal"/>
    <w:next w:val="Text1"/>
    <w:pPr>
      <w:numPr>
        <w:ilvl w:val="1"/>
        <w:numId w:val="24"/>
      </w:numPr>
    </w:pPr>
  </w:style>
  <w:style w:type="paragraph" w:customStyle="1" w:styleId="NumPar3">
    <w:name w:val="NumPar 3"/>
    <w:basedOn w:val="Normal"/>
    <w:next w:val="Text1"/>
    <w:pPr>
      <w:numPr>
        <w:ilvl w:val="2"/>
        <w:numId w:val="24"/>
      </w:numPr>
    </w:pPr>
  </w:style>
  <w:style w:type="paragraph" w:customStyle="1" w:styleId="NumPar4">
    <w:name w:val="NumPar 4"/>
    <w:basedOn w:val="Normal"/>
    <w:next w:val="Text1"/>
    <w:pPr>
      <w:numPr>
        <w:ilvl w:val="3"/>
        <w:numId w:val="24"/>
      </w:numPr>
    </w:pPr>
  </w:style>
  <w:style w:type="paragraph" w:customStyle="1" w:styleId="NumPar5">
    <w:name w:val="NumPar 5"/>
    <w:basedOn w:val="Normal"/>
    <w:next w:val="Text2"/>
    <w:pPr>
      <w:numPr>
        <w:ilvl w:val="4"/>
        <w:numId w:val="24"/>
      </w:numPr>
    </w:pPr>
  </w:style>
  <w:style w:type="paragraph" w:customStyle="1" w:styleId="NumPar6">
    <w:name w:val="NumPar 6"/>
    <w:basedOn w:val="Normal"/>
    <w:next w:val="Text2"/>
    <w:pPr>
      <w:numPr>
        <w:ilvl w:val="5"/>
        <w:numId w:val="24"/>
      </w:numPr>
    </w:pPr>
  </w:style>
  <w:style w:type="paragraph" w:customStyle="1" w:styleId="NumPar7">
    <w:name w:val="NumPar 7"/>
    <w:basedOn w:val="Normal"/>
    <w:next w:val="Text2"/>
    <w:pPr>
      <w:numPr>
        <w:ilvl w:val="6"/>
        <w:numId w:val="2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6"/>
      </w:numPr>
    </w:pPr>
  </w:style>
  <w:style w:type="paragraph" w:customStyle="1" w:styleId="Point1number">
    <w:name w:val="Point 1 (number)"/>
    <w:basedOn w:val="Normal"/>
    <w:pPr>
      <w:numPr>
        <w:ilvl w:val="2"/>
        <w:numId w:val="26"/>
      </w:numPr>
    </w:pPr>
  </w:style>
  <w:style w:type="paragraph" w:customStyle="1" w:styleId="Point2number">
    <w:name w:val="Point 2 (number)"/>
    <w:basedOn w:val="Normal"/>
    <w:pPr>
      <w:numPr>
        <w:ilvl w:val="4"/>
        <w:numId w:val="26"/>
      </w:numPr>
    </w:pPr>
  </w:style>
  <w:style w:type="paragraph" w:customStyle="1" w:styleId="Point3number">
    <w:name w:val="Point 3 (number)"/>
    <w:basedOn w:val="Normal"/>
    <w:pPr>
      <w:numPr>
        <w:ilvl w:val="6"/>
        <w:numId w:val="26"/>
      </w:numPr>
    </w:pPr>
  </w:style>
  <w:style w:type="paragraph" w:customStyle="1" w:styleId="Point0letter">
    <w:name w:val="Point 0 (letter)"/>
    <w:basedOn w:val="Normal"/>
    <w:pPr>
      <w:numPr>
        <w:ilvl w:val="1"/>
        <w:numId w:val="26"/>
      </w:numPr>
    </w:pPr>
  </w:style>
  <w:style w:type="paragraph" w:customStyle="1" w:styleId="Point1letter">
    <w:name w:val="Point 1 (letter)"/>
    <w:basedOn w:val="Normal"/>
    <w:pPr>
      <w:numPr>
        <w:ilvl w:val="3"/>
        <w:numId w:val="26"/>
      </w:numPr>
    </w:pPr>
  </w:style>
  <w:style w:type="paragraph" w:customStyle="1" w:styleId="Point2letter">
    <w:name w:val="Point 2 (letter)"/>
    <w:basedOn w:val="Normal"/>
    <w:pPr>
      <w:numPr>
        <w:ilvl w:val="5"/>
        <w:numId w:val="26"/>
      </w:numPr>
    </w:pPr>
  </w:style>
  <w:style w:type="paragraph" w:customStyle="1" w:styleId="Point3letter">
    <w:name w:val="Point 3 (letter)"/>
    <w:basedOn w:val="Normal"/>
    <w:pPr>
      <w:numPr>
        <w:ilvl w:val="7"/>
        <w:numId w:val="26"/>
      </w:numPr>
    </w:pPr>
  </w:style>
  <w:style w:type="paragraph" w:customStyle="1" w:styleId="Point4letter">
    <w:name w:val="Point 4 (letter)"/>
    <w:basedOn w:val="Normal"/>
    <w:pPr>
      <w:numPr>
        <w:ilvl w:val="8"/>
        <w:numId w:val="26"/>
      </w:numPr>
    </w:pPr>
  </w:style>
  <w:style w:type="paragraph" w:customStyle="1" w:styleId="Bullet0">
    <w:name w:val="Bullet 0"/>
    <w:basedOn w:val="Normal"/>
    <w:pPr>
      <w:numPr>
        <w:numId w:val="27"/>
      </w:numPr>
    </w:pPr>
  </w:style>
  <w:style w:type="paragraph" w:customStyle="1" w:styleId="Bullet1">
    <w:name w:val="Bullet 1"/>
    <w:basedOn w:val="Normal"/>
    <w:pPr>
      <w:numPr>
        <w:numId w:val="28"/>
      </w:numPr>
    </w:pPr>
  </w:style>
  <w:style w:type="paragraph" w:customStyle="1" w:styleId="Bullet2">
    <w:name w:val="Bullet 2"/>
    <w:basedOn w:val="Normal"/>
    <w:pPr>
      <w:numPr>
        <w:numId w:val="29"/>
      </w:numPr>
    </w:pPr>
  </w:style>
  <w:style w:type="paragraph" w:customStyle="1" w:styleId="Bullet3">
    <w:name w:val="Bullet 3"/>
    <w:basedOn w:val="Normal"/>
    <w:pPr>
      <w:numPr>
        <w:numId w:val="30"/>
      </w:numPr>
    </w:pPr>
  </w:style>
  <w:style w:type="paragraph" w:customStyle="1" w:styleId="Bullet4">
    <w:name w:val="Bullet 4"/>
    <w:basedOn w:val="Normal"/>
    <w:pPr>
      <w:numPr>
        <w:numId w:val="3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1206B"/>
    <w:pPr>
      <w:tabs>
        <w:tab w:val="center" w:pos="4535"/>
        <w:tab w:val="right" w:pos="9071"/>
      </w:tabs>
      <w:spacing w:before="0"/>
    </w:pPr>
  </w:style>
  <w:style w:type="paragraph" w:customStyle="1" w:styleId="HeaderLandscape">
    <w:name w:val="HeaderLandscape"/>
    <w:basedOn w:val="Normal"/>
    <w:rsid w:val="0001206B"/>
    <w:pPr>
      <w:tabs>
        <w:tab w:val="center" w:pos="7285"/>
        <w:tab w:val="right" w:pos="14003"/>
      </w:tabs>
      <w:spacing w:before="0"/>
    </w:pPr>
  </w:style>
  <w:style w:type="paragraph" w:styleId="Footer">
    <w:name w:val="footer"/>
    <w:basedOn w:val="Normal"/>
    <w:link w:val="FooterChar"/>
    <w:uiPriority w:val="99"/>
    <w:unhideWhenUsed/>
    <w:rsid w:val="0001206B"/>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1206B"/>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A623DDD-C3D4-4F36-A150-CAB9114D6C20}"/>
</file>

<file path=customXml/itemProps4.xml><?xml version="1.0" encoding="utf-8"?>
<ds:datastoreItem xmlns:ds="http://schemas.openxmlformats.org/officeDocument/2006/customXml" ds:itemID="{5C4ACEBB-1AE4-430B-9B08-054BE843EBF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11</TotalTime>
  <Pages>12</Pages>
  <Words>4940</Words>
  <Characters>28164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33038</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41</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