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DC01AA" w:rsidRDefault="000D1665" w:rsidP="000D1665">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B26499B6-AB65-4B65-A0A3-E51CF10F8C60" style="width:455.25pt;height:414pt">
            <v:imagedata r:id="rId11" o:title=""/>
          </v:shape>
        </w:pict>
      </w:r>
    </w:p>
    <w:p w:rsidR="0050796F" w:rsidRPr="00DC01AA" w:rsidRDefault="0050796F">
      <w:pPr>
        <w:rPr>
          <w:noProof/>
        </w:rPr>
        <w:sectPr w:rsidR="0050796F" w:rsidRPr="00DC01AA" w:rsidSect="000D1665">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DC01AA" w:rsidRDefault="00EA72CD" w:rsidP="00EA72CD">
      <w:pPr>
        <w:pStyle w:val="Typedudocument"/>
        <w:rPr>
          <w:noProof/>
        </w:rPr>
      </w:pPr>
      <w:bookmarkStart w:id="0" w:name="_GoBack"/>
      <w:bookmarkEnd w:id="0"/>
      <w:r w:rsidRPr="00EA72CD">
        <w:rPr>
          <w:noProof/>
        </w:rPr>
        <w:lastRenderedPageBreak/>
        <w:t>VYKONÁVACIE NARIADENIE KOMISIE (EÚ) …/...</w:t>
      </w:r>
    </w:p>
    <w:p w:rsidR="0050796F" w:rsidRPr="00DC01AA" w:rsidRDefault="00EF59FE" w:rsidP="00EA72CD">
      <w:pPr>
        <w:pStyle w:val="Datedadoption"/>
        <w:rPr>
          <w:noProof/>
        </w:rPr>
      </w:pPr>
      <w:r>
        <w:rPr>
          <w:noProof/>
        </w:rPr>
        <w:t>z 29. 11. 2024</w:t>
      </w:r>
    </w:p>
    <w:p w:rsidR="0050796F" w:rsidRPr="00DC01AA" w:rsidRDefault="00EA72CD" w:rsidP="00EA72CD">
      <w:pPr>
        <w:pStyle w:val="Titreobjet"/>
        <w:rPr>
          <w:noProof/>
        </w:rPr>
      </w:pPr>
      <w:r w:rsidRPr="00EA72CD">
        <w:rPr>
          <w:noProof/>
        </w:rPr>
        <w:t>ktorým sa stanovujú vykonávacie technické predpisy na účely uplatňovania nariadenia Európskeho parlamentu a Rady (EÚ) č. 575/2013, pokiaľ ide o zverejňovanie informácií uvedených v ôsmej časti hlavách II a III uvedeného nariadenia inštitúciami, a ktorým sa zrušuje vykonávacie nariadenie Komisie (EÚ) 2021/637</w:t>
      </w:r>
    </w:p>
    <w:p w:rsidR="0050796F" w:rsidRPr="00DC01AA" w:rsidRDefault="00EA72CD" w:rsidP="00EA72CD">
      <w:pPr>
        <w:pStyle w:val="IntrtEEE"/>
        <w:rPr>
          <w:noProof/>
        </w:rPr>
      </w:pPr>
      <w:r w:rsidRPr="00EA72CD">
        <w:rPr>
          <w:noProof/>
        </w:rPr>
        <w:t>(Text s významom pre EHP)</w:t>
      </w:r>
    </w:p>
    <w:p w:rsidR="0050796F" w:rsidRPr="00DC01AA" w:rsidRDefault="0050796F">
      <w:pPr>
        <w:pStyle w:val="Institutionquiagit"/>
        <w:rPr>
          <w:noProof/>
        </w:rPr>
      </w:pPr>
      <w:r w:rsidRPr="00DC01AA">
        <w:rPr>
          <w:noProof/>
        </w:rPr>
        <w:t>EURÓPSKA KOMISIA,</w:t>
      </w:r>
    </w:p>
    <w:p w:rsidR="0050796F" w:rsidRPr="00DC01AA" w:rsidRDefault="0050796F">
      <w:pPr>
        <w:rPr>
          <w:noProof/>
        </w:rPr>
      </w:pPr>
      <w:r w:rsidRPr="00DC01AA">
        <w:rPr>
          <w:noProof/>
          <w:color w:val="000000"/>
        </w:rPr>
        <w:t>so zreteľom na Zmluvu</w:t>
      </w:r>
      <w:r w:rsidR="00DC01AA">
        <w:rPr>
          <w:noProof/>
          <w:color w:val="000000"/>
        </w:rPr>
        <w:t xml:space="preserve"> o </w:t>
      </w:r>
      <w:r w:rsidRPr="00DC01AA">
        <w:rPr>
          <w:noProof/>
          <w:color w:val="000000"/>
        </w:rPr>
        <w:t>fungovaní Európskej únie</w:t>
      </w:r>
      <w:r w:rsidRPr="00DC01AA">
        <w:rPr>
          <w:noProof/>
        </w:rPr>
        <w:t>,</w:t>
      </w:r>
    </w:p>
    <w:p w:rsidR="000A5D79" w:rsidRPr="00DC01AA" w:rsidRDefault="000A5D79" w:rsidP="000A5D79">
      <w:pPr>
        <w:rPr>
          <w:noProof/>
        </w:rPr>
      </w:pPr>
      <w:r w:rsidRPr="00DC01AA">
        <w:rPr>
          <w:noProof/>
        </w:rPr>
        <w:t>so zreteľom na nariadenie Európskeho parlamentu</w:t>
      </w:r>
      <w:r w:rsidR="00DC01AA">
        <w:rPr>
          <w:noProof/>
        </w:rPr>
        <w:t xml:space="preserve"> a </w:t>
      </w:r>
      <w:r w:rsidRPr="00DC01AA">
        <w:rPr>
          <w:noProof/>
        </w:rPr>
        <w:t xml:space="preserve">Rady (EÚ) </w:t>
      </w:r>
      <w:r w:rsidR="00DC01AA">
        <w:rPr>
          <w:noProof/>
        </w:rPr>
        <w:t>č. </w:t>
      </w:r>
      <w:r w:rsidRPr="00DC01AA">
        <w:rPr>
          <w:noProof/>
        </w:rPr>
        <w:t>575/2013</w:t>
      </w:r>
      <w:r w:rsidR="00DC01AA">
        <w:rPr>
          <w:noProof/>
        </w:rPr>
        <w:t xml:space="preserve"> z </w:t>
      </w:r>
      <w:r w:rsidRPr="00DC01AA">
        <w:rPr>
          <w:noProof/>
        </w:rPr>
        <w:t>26</w:t>
      </w:r>
      <w:r w:rsidR="00DC01AA">
        <w:rPr>
          <w:noProof/>
        </w:rPr>
        <w:t>. júna</w:t>
      </w:r>
      <w:r w:rsidRPr="00DC01AA">
        <w:rPr>
          <w:noProof/>
        </w:rPr>
        <w:t xml:space="preserve"> 2013</w:t>
      </w:r>
      <w:r w:rsidR="00DC01AA">
        <w:rPr>
          <w:noProof/>
        </w:rPr>
        <w:t xml:space="preserve"> o </w:t>
      </w:r>
      <w:r w:rsidRPr="00DC01AA">
        <w:rPr>
          <w:noProof/>
        </w:rPr>
        <w:t>prudenciálnych požiadavkách na úverové inštitúcie</w:t>
      </w:r>
      <w:r w:rsidR="00DC01AA">
        <w:rPr>
          <w:noProof/>
        </w:rPr>
        <w:t xml:space="preserve"> a o </w:t>
      </w:r>
      <w:r w:rsidRPr="00DC01AA">
        <w:rPr>
          <w:noProof/>
        </w:rPr>
        <w:t xml:space="preserve">zmene nariadenia (EÚ) </w:t>
      </w:r>
      <w:r w:rsidR="00DC01AA">
        <w:rPr>
          <w:noProof/>
        </w:rPr>
        <w:t>č. </w:t>
      </w:r>
      <w:r w:rsidRPr="00DC01AA">
        <w:rPr>
          <w:noProof/>
        </w:rPr>
        <w:t>648/2012</w:t>
      </w:r>
      <w:r w:rsidRPr="00DC01AA">
        <w:rPr>
          <w:rStyle w:val="FootnoteReference"/>
          <w:noProof/>
        </w:rPr>
        <w:footnoteReference w:id="2"/>
      </w:r>
      <w:r w:rsidRPr="00DC01AA">
        <w:rPr>
          <w:noProof/>
        </w:rPr>
        <w:t>,</w:t>
      </w:r>
      <w:r w:rsidR="00DC01AA">
        <w:rPr>
          <w:noProof/>
        </w:rPr>
        <w:t xml:space="preserve"> a </w:t>
      </w:r>
      <w:r w:rsidRPr="00DC01AA">
        <w:rPr>
          <w:noProof/>
        </w:rPr>
        <w:t>najmä na jeho článok 434a piaty odsek,</w:t>
      </w:r>
    </w:p>
    <w:p w:rsidR="0050796F" w:rsidRPr="00DC01AA" w:rsidRDefault="0050796F">
      <w:pPr>
        <w:rPr>
          <w:noProof/>
        </w:rPr>
      </w:pPr>
      <w:r w:rsidRPr="00DC01AA">
        <w:rPr>
          <w:noProof/>
        </w:rPr>
        <w:t>keďže:</w:t>
      </w:r>
    </w:p>
    <w:p w:rsidR="00DC01AA" w:rsidRDefault="00FC030A" w:rsidP="00FC030A">
      <w:pPr>
        <w:pStyle w:val="ManualConsidrant"/>
        <w:rPr>
          <w:noProof/>
        </w:rPr>
      </w:pPr>
      <w:r w:rsidRPr="00FC030A">
        <w:rPr>
          <w:noProof/>
        </w:rPr>
        <w:t>(1)</w:t>
      </w:r>
      <w:r w:rsidRPr="00FC030A">
        <w:rPr>
          <w:noProof/>
        </w:rPr>
        <w:tab/>
      </w:r>
      <w:r w:rsidR="00021AB3" w:rsidRPr="00DC01AA">
        <w:rPr>
          <w:noProof/>
        </w:rPr>
        <w:t>Vykonávacím nariadením Komisie (EÚ) 2021/637</w:t>
      </w:r>
      <w:r w:rsidR="00021AB3" w:rsidRPr="00DC01AA">
        <w:rPr>
          <w:rStyle w:val="FootnoteReference"/>
          <w:noProof/>
        </w:rPr>
        <w:footnoteReference w:id="3"/>
      </w:r>
      <w:r w:rsidR="00021AB3" w:rsidRPr="00DC01AA">
        <w:rPr>
          <w:noProof/>
        </w:rPr>
        <w:t xml:space="preserve"> sa stanovili jednotné formáty zverejňovania informácií</w:t>
      </w:r>
      <w:r w:rsidR="00DC01AA">
        <w:rPr>
          <w:noProof/>
        </w:rPr>
        <w:t xml:space="preserve"> s </w:t>
      </w:r>
      <w:r w:rsidR="00021AB3" w:rsidRPr="00DC01AA">
        <w:rPr>
          <w:noProof/>
        </w:rPr>
        <w:t xml:space="preserve">cieľom zabezpečiť jednotné uplatňovanie nariadenia (EÚ) </w:t>
      </w:r>
      <w:r w:rsidR="00DC01AA">
        <w:rPr>
          <w:noProof/>
        </w:rPr>
        <w:t>č. </w:t>
      </w:r>
      <w:r w:rsidR="00021AB3" w:rsidRPr="00DC01AA">
        <w:rPr>
          <w:noProof/>
        </w:rPr>
        <w:t>575/2013. Nariadením Európskeho parlamentu</w:t>
      </w:r>
      <w:r w:rsidR="00DC01AA">
        <w:rPr>
          <w:noProof/>
        </w:rPr>
        <w:t xml:space="preserve"> a </w:t>
      </w:r>
      <w:r w:rsidR="00021AB3" w:rsidRPr="00DC01AA">
        <w:rPr>
          <w:noProof/>
        </w:rPr>
        <w:t>Rady (EÚ) 2024/1623</w:t>
      </w:r>
      <w:r w:rsidR="00021AB3" w:rsidRPr="00DC01AA">
        <w:rPr>
          <w:rStyle w:val="FootnoteReference"/>
          <w:noProof/>
        </w:rPr>
        <w:footnoteReference w:id="4"/>
      </w:r>
      <w:r w:rsidR="00021AB3" w:rsidRPr="00DC01AA">
        <w:rPr>
          <w:noProof/>
        </w:rPr>
        <w:t xml:space="preserve"> sa zmenilo nariadenie (EÚ) </w:t>
      </w:r>
      <w:r w:rsidR="00DC01AA">
        <w:rPr>
          <w:noProof/>
        </w:rPr>
        <w:t>č. </w:t>
      </w:r>
      <w:r w:rsidR="00021AB3" w:rsidRPr="00DC01AA">
        <w:rPr>
          <w:noProof/>
        </w:rPr>
        <w:t>575/2013, pričom cieľom bolo začleniť do uvedeného nariadenia medzinárodné normy tretieho medzinárodného regulačného rámca pre banky Bazilejského výboru pre bankový dohľad (ďalej len „Bazilej III“). Tieto medzinárodné normy obsahujú normy pre prudenciálne zverejňovanie informácií, ktorých cieľom je zlepšiť transparentnosť</w:t>
      </w:r>
      <w:r w:rsidR="00DC01AA">
        <w:rPr>
          <w:noProof/>
        </w:rPr>
        <w:t xml:space="preserve"> a </w:t>
      </w:r>
      <w:r w:rsidR="00021AB3" w:rsidRPr="00DC01AA">
        <w:rPr>
          <w:noProof/>
        </w:rPr>
        <w:t>konzistentnosť</w:t>
      </w:r>
      <w:r w:rsidR="00DC01AA">
        <w:rPr>
          <w:noProof/>
        </w:rPr>
        <w:t xml:space="preserve"> v </w:t>
      </w:r>
      <w:r w:rsidR="00021AB3" w:rsidRPr="00DC01AA">
        <w:rPr>
          <w:noProof/>
        </w:rPr>
        <w:t>oblasti prudenciálnych požiadaviek na úverové inštitúcie.</w:t>
      </w:r>
      <w:r w:rsidR="00DC01AA">
        <w:rPr>
          <w:noProof/>
        </w:rPr>
        <w:t xml:space="preserve"> V </w:t>
      </w:r>
      <w:r w:rsidR="00021AB3" w:rsidRPr="00DC01AA">
        <w:rPr>
          <w:noProof/>
        </w:rPr>
        <w:t>snahe zohľadniť tieto zmeny</w:t>
      </w:r>
      <w:r w:rsidR="00DC01AA">
        <w:rPr>
          <w:noProof/>
        </w:rPr>
        <w:t xml:space="preserve"> v </w:t>
      </w:r>
      <w:r w:rsidR="00021AB3" w:rsidRPr="00DC01AA">
        <w:rPr>
          <w:noProof/>
        </w:rPr>
        <w:t>špecifikáciách týkajúcich sa povinností</w:t>
      </w:r>
      <w:r w:rsidR="00DC01AA">
        <w:rPr>
          <w:noProof/>
        </w:rPr>
        <w:t xml:space="preserve"> v </w:t>
      </w:r>
      <w:r w:rsidR="00021AB3" w:rsidRPr="00DC01AA">
        <w:rPr>
          <w:noProof/>
        </w:rPr>
        <w:t>oblasti zverejňovania preto treba zmeniť pravidlá, ktoré sa týkajú jednotných formátov zverejňovania informácií</w:t>
      </w:r>
      <w:r w:rsidR="00DC01AA">
        <w:rPr>
          <w:noProof/>
        </w:rPr>
        <w:t>.</w:t>
      </w:r>
    </w:p>
    <w:p w:rsidR="00DC01AA" w:rsidRDefault="00FC030A" w:rsidP="00FC030A">
      <w:pPr>
        <w:pStyle w:val="ManualConsidrant"/>
        <w:rPr>
          <w:noProof/>
        </w:rPr>
      </w:pPr>
      <w:r w:rsidRPr="00FC030A">
        <w:rPr>
          <w:noProof/>
        </w:rPr>
        <w:t>(2)</w:t>
      </w:r>
      <w:r w:rsidRPr="00FC030A">
        <w:rPr>
          <w:noProof/>
        </w:rPr>
        <w:tab/>
      </w:r>
      <w:r w:rsidR="00374932" w:rsidRPr="00DC01AA">
        <w:rPr>
          <w:noProof/>
        </w:rPr>
        <w:t>Zverejňovanie informácií inštitúciami</w:t>
      </w:r>
      <w:r w:rsidR="00DC01AA">
        <w:rPr>
          <w:noProof/>
        </w:rPr>
        <w:t xml:space="preserve"> o </w:t>
      </w:r>
      <w:r w:rsidR="00374932" w:rsidRPr="00DC01AA">
        <w:rPr>
          <w:noProof/>
        </w:rPr>
        <w:t>ich kľúčových regulačných parametroch by malo zahŕňať zverejňovanie dostupného kapitálu inštitúcie, jej rizikovo vážených aktív, jej ukazovateľa finančnej páky, ako aj najrelevantnejších ukazovateľov likvidity</w:t>
      </w:r>
      <w:r w:rsidR="00DC01AA">
        <w:rPr>
          <w:noProof/>
        </w:rPr>
        <w:t>.</w:t>
      </w:r>
    </w:p>
    <w:p w:rsidR="00DC01AA" w:rsidRDefault="00FC030A" w:rsidP="00FC030A">
      <w:pPr>
        <w:pStyle w:val="ManualConsidrant"/>
        <w:rPr>
          <w:noProof/>
        </w:rPr>
      </w:pPr>
      <w:r w:rsidRPr="00FC030A">
        <w:rPr>
          <w:noProof/>
        </w:rPr>
        <w:t>(3)</w:t>
      </w:r>
      <w:r w:rsidRPr="00FC030A">
        <w:rPr>
          <w:noProof/>
        </w:rPr>
        <w:tab/>
      </w:r>
      <w:r w:rsidR="0021307C" w:rsidRPr="00DC01AA">
        <w:rPr>
          <w:noProof/>
        </w:rPr>
        <w:t>Aby inštitúcie dokázali absorbovať straty za predpokladu nepretržitého pokračovania činnosti alebo za predpokladu ukončenia činnosti, potrebujú vlastné zdroje</w:t>
      </w:r>
      <w:r w:rsidR="00DC01AA">
        <w:rPr>
          <w:noProof/>
        </w:rPr>
        <w:t xml:space="preserve"> v </w:t>
      </w:r>
      <w:r w:rsidR="0021307C" w:rsidRPr="00DC01AA">
        <w:rPr>
          <w:noProof/>
        </w:rPr>
        <w:t>dostatočnom množstve</w:t>
      </w:r>
      <w:r w:rsidR="00DC01AA">
        <w:rPr>
          <w:noProof/>
        </w:rPr>
        <w:t xml:space="preserve"> i </w:t>
      </w:r>
      <w:r w:rsidR="0021307C" w:rsidRPr="00DC01AA">
        <w:rPr>
          <w:noProof/>
        </w:rPr>
        <w:t>kvalite, ako sa vyžaduje</w:t>
      </w:r>
      <w:r w:rsidR="00DC01AA">
        <w:rPr>
          <w:noProof/>
        </w:rPr>
        <w:t xml:space="preserve"> v </w:t>
      </w:r>
      <w:r w:rsidR="0021307C" w:rsidRPr="00DC01AA">
        <w:rPr>
          <w:noProof/>
        </w:rPr>
        <w:t xml:space="preserve">článku 92 nariadenia (EÚ) </w:t>
      </w:r>
      <w:r w:rsidR="00DC01AA">
        <w:rPr>
          <w:noProof/>
        </w:rPr>
        <w:t>č. </w:t>
      </w:r>
      <w:r w:rsidR="0021307C" w:rsidRPr="00DC01AA">
        <w:rPr>
          <w:noProof/>
        </w:rPr>
        <w:t>575/2013. Inštitúcie by mali zverejňovať informácie</w:t>
      </w:r>
      <w:r w:rsidR="00DC01AA">
        <w:rPr>
          <w:noProof/>
        </w:rPr>
        <w:t xml:space="preserve"> o </w:t>
      </w:r>
      <w:r w:rsidR="0021307C" w:rsidRPr="00DC01AA">
        <w:rPr>
          <w:noProof/>
        </w:rPr>
        <w:t>zložení, množstve</w:t>
      </w:r>
      <w:r w:rsidR="00DC01AA">
        <w:rPr>
          <w:noProof/>
        </w:rPr>
        <w:t xml:space="preserve"> a </w:t>
      </w:r>
      <w:r w:rsidR="0021307C" w:rsidRPr="00DC01AA">
        <w:rPr>
          <w:noProof/>
        </w:rPr>
        <w:t xml:space="preserve">kvalite </w:t>
      </w:r>
      <w:r w:rsidR="0021307C" w:rsidRPr="00DC01AA">
        <w:rPr>
          <w:noProof/>
        </w:rPr>
        <w:lastRenderedPageBreak/>
        <w:t>vlastných zdrojov, aby zainteresované strany mali možnosť posúdiť schopnosť bánk absorbovať straty</w:t>
      </w:r>
      <w:r w:rsidR="00DC01AA">
        <w:rPr>
          <w:noProof/>
        </w:rPr>
        <w:t>.</w:t>
      </w:r>
    </w:p>
    <w:p w:rsidR="00DC01AA" w:rsidRDefault="00FC030A" w:rsidP="00FC030A">
      <w:pPr>
        <w:pStyle w:val="ManualConsidrant"/>
        <w:rPr>
          <w:noProof/>
        </w:rPr>
      </w:pPr>
      <w:r w:rsidRPr="00FC030A">
        <w:rPr>
          <w:noProof/>
        </w:rPr>
        <w:t>(4)</w:t>
      </w:r>
      <w:r w:rsidRPr="00FC030A">
        <w:rPr>
          <w:noProof/>
        </w:rPr>
        <w:tab/>
      </w:r>
      <w:r w:rsidR="001C319D" w:rsidRPr="00DC01AA">
        <w:rPr>
          <w:noProof/>
        </w:rPr>
        <w:t>Zverejnenie súladu</w:t>
      </w:r>
      <w:r w:rsidR="00DC01AA">
        <w:rPr>
          <w:noProof/>
        </w:rPr>
        <w:t xml:space="preserve"> s </w:t>
      </w:r>
      <w:r w:rsidR="001C319D" w:rsidRPr="00DC01AA">
        <w:rPr>
          <w:noProof/>
        </w:rPr>
        <w:t>požiadavkou na proticyklický kapitálový vankúš by malo odzrkadľovať skutočnosť, že cieľom proticyklického kapitálového vankúša uvedeného</w:t>
      </w:r>
      <w:r w:rsidR="00DC01AA">
        <w:rPr>
          <w:noProof/>
        </w:rPr>
        <w:t xml:space="preserve"> v </w:t>
      </w:r>
      <w:r w:rsidR="001C319D" w:rsidRPr="00DC01AA">
        <w:rPr>
          <w:noProof/>
        </w:rPr>
        <w:t>hlave VII kapitole 4 smernice Európskeho parlamentu</w:t>
      </w:r>
      <w:r w:rsidR="00DC01AA">
        <w:rPr>
          <w:noProof/>
        </w:rPr>
        <w:t xml:space="preserve"> a </w:t>
      </w:r>
      <w:r w:rsidR="001C319D" w:rsidRPr="00DC01AA">
        <w:rPr>
          <w:noProof/>
        </w:rPr>
        <w:t>Rady 2013/36/EÚ</w:t>
      </w:r>
      <w:r w:rsidR="001C319D" w:rsidRPr="00DC01AA">
        <w:rPr>
          <w:rStyle w:val="FootnoteReference"/>
          <w:noProof/>
          <w:color w:val="000000"/>
        </w:rPr>
        <w:footnoteReference w:id="5"/>
      </w:r>
      <w:r w:rsidR="001C319D" w:rsidRPr="00DC01AA">
        <w:rPr>
          <w:noProof/>
        </w:rPr>
        <w:t xml:space="preserve"> je zabezpečiť, aby sa</w:t>
      </w:r>
      <w:r w:rsidR="00DC01AA">
        <w:rPr>
          <w:noProof/>
        </w:rPr>
        <w:t xml:space="preserve"> v </w:t>
      </w:r>
      <w:r w:rsidR="001C319D" w:rsidRPr="00DC01AA">
        <w:rPr>
          <w:noProof/>
        </w:rPr>
        <w:t>kapitálových požiadavkách bankového sektora zohľadňovalo makrofinančné prostredie,</w:t>
      </w:r>
      <w:r w:rsidR="00DC01AA">
        <w:rPr>
          <w:noProof/>
        </w:rPr>
        <w:t xml:space="preserve"> v </w:t>
      </w:r>
      <w:r w:rsidR="001C319D" w:rsidRPr="00DC01AA">
        <w:rPr>
          <w:noProof/>
        </w:rPr>
        <w:t>ktorom úverové inštitúcie pôsobia</w:t>
      </w:r>
      <w:r w:rsidR="00DC01AA">
        <w:rPr>
          <w:noProof/>
        </w:rPr>
        <w:t>.</w:t>
      </w:r>
    </w:p>
    <w:p w:rsidR="00DC01AA" w:rsidRDefault="00FC030A" w:rsidP="00FC030A">
      <w:pPr>
        <w:pStyle w:val="ManualConsidrant"/>
        <w:rPr>
          <w:noProof/>
          <w:shd w:val="clear" w:color="auto" w:fill="FFFFFF"/>
        </w:rPr>
      </w:pPr>
      <w:r w:rsidRPr="00FC030A">
        <w:rPr>
          <w:noProof/>
        </w:rPr>
        <w:t>(5)</w:t>
      </w:r>
      <w:r w:rsidRPr="00FC030A">
        <w:rPr>
          <w:noProof/>
        </w:rPr>
        <w:tab/>
      </w:r>
      <w:r w:rsidR="00230BAF" w:rsidRPr="00DC01AA">
        <w:rPr>
          <w:noProof/>
        </w:rPr>
        <w:t>Je mimoriadne dôležité, aby mal trh prístup</w:t>
      </w:r>
      <w:r w:rsidR="00DC01AA">
        <w:rPr>
          <w:noProof/>
        </w:rPr>
        <w:t xml:space="preserve"> k </w:t>
      </w:r>
      <w:r w:rsidR="00230BAF" w:rsidRPr="00DC01AA">
        <w:rPr>
          <w:noProof/>
        </w:rPr>
        <w:t>informáciám</w:t>
      </w:r>
      <w:r w:rsidR="00DC01AA">
        <w:rPr>
          <w:noProof/>
        </w:rPr>
        <w:t xml:space="preserve"> o </w:t>
      </w:r>
      <w:r w:rsidR="00230BAF" w:rsidRPr="00DC01AA">
        <w:rPr>
          <w:noProof/>
        </w:rPr>
        <w:t xml:space="preserve">tom, či by sa inštitúcia mala klasifikovať ako </w:t>
      </w:r>
      <w:r w:rsidR="00230BAF" w:rsidRPr="00DC01AA">
        <w:rPr>
          <w:noProof/>
          <w:shd w:val="clear" w:color="auto" w:fill="FFFFFF"/>
        </w:rPr>
        <w:t>globálne systémovo významná inštitúcia (G-SII)</w:t>
      </w:r>
      <w:r w:rsidR="00230BAF" w:rsidRPr="00DC01AA">
        <w:rPr>
          <w:noProof/>
        </w:rPr>
        <w:t>.</w:t>
      </w:r>
      <w:r w:rsidR="00230BAF" w:rsidRPr="00DC01AA">
        <w:rPr>
          <w:noProof/>
          <w:shd w:val="clear" w:color="auto" w:fill="FFFFFF"/>
        </w:rPr>
        <w:t xml:space="preserve"> Práve preto by inštitúcie mali zverejňovať informácie</w:t>
      </w:r>
      <w:r w:rsidR="00DC01AA">
        <w:rPr>
          <w:noProof/>
          <w:shd w:val="clear" w:color="auto" w:fill="FFFFFF"/>
        </w:rPr>
        <w:t xml:space="preserve"> o </w:t>
      </w:r>
      <w:r w:rsidR="00230BAF" w:rsidRPr="00DC01AA">
        <w:rPr>
          <w:noProof/>
          <w:shd w:val="clear" w:color="auto" w:fill="FFFFFF"/>
        </w:rPr>
        <w:t>tom, či sú alebo nie sú splnené ukazovatele významnosti uvedené</w:t>
      </w:r>
      <w:r w:rsidR="00DC01AA">
        <w:rPr>
          <w:noProof/>
          <w:shd w:val="clear" w:color="auto" w:fill="FFFFFF"/>
        </w:rPr>
        <w:t xml:space="preserve"> v </w:t>
      </w:r>
      <w:r w:rsidR="00230BAF" w:rsidRPr="00DC01AA">
        <w:rPr>
          <w:noProof/>
          <w:shd w:val="clear" w:color="auto" w:fill="FFFFFF"/>
        </w:rPr>
        <w:t>článku 131 smernice 2013/36/EÚ</w:t>
      </w:r>
      <w:r w:rsidR="00DC01AA">
        <w:rPr>
          <w:noProof/>
          <w:shd w:val="clear" w:color="auto" w:fill="FFFFFF"/>
        </w:rPr>
        <w:t>.</w:t>
      </w:r>
    </w:p>
    <w:p w:rsidR="00DC01AA" w:rsidRDefault="00FC030A" w:rsidP="00FC030A">
      <w:pPr>
        <w:pStyle w:val="ManualConsidrant"/>
        <w:rPr>
          <w:noProof/>
        </w:rPr>
      </w:pPr>
      <w:r w:rsidRPr="00FC030A">
        <w:rPr>
          <w:noProof/>
        </w:rPr>
        <w:t>(6)</w:t>
      </w:r>
      <w:r w:rsidRPr="00FC030A">
        <w:rPr>
          <w:noProof/>
        </w:rPr>
        <w:tab/>
      </w:r>
      <w:r w:rsidR="001C319D" w:rsidRPr="00DC01AA">
        <w:rPr>
          <w:noProof/>
        </w:rPr>
        <w:t>V snahe zabezpečiť, aby inštitúcie zverejňovali informácie</w:t>
      </w:r>
      <w:r w:rsidR="00DC01AA">
        <w:rPr>
          <w:noProof/>
        </w:rPr>
        <w:t xml:space="preserve"> o </w:t>
      </w:r>
      <w:r w:rsidR="001C319D" w:rsidRPr="00DC01AA">
        <w:rPr>
          <w:noProof/>
        </w:rPr>
        <w:t>svojom súlade</w:t>
      </w:r>
      <w:r w:rsidR="00DC01AA">
        <w:rPr>
          <w:noProof/>
        </w:rPr>
        <w:t xml:space="preserve"> s </w:t>
      </w:r>
      <w:r w:rsidR="001C319D" w:rsidRPr="00DC01AA">
        <w:rPr>
          <w:noProof/>
        </w:rPr>
        <w:t>požiadavkami na likviditu vrátane ukazovateľa krytia likvidity</w:t>
      </w:r>
      <w:r w:rsidR="00DC01AA">
        <w:rPr>
          <w:noProof/>
        </w:rPr>
        <w:t xml:space="preserve"> a </w:t>
      </w:r>
      <w:r w:rsidR="001C319D" w:rsidRPr="00DC01AA">
        <w:rPr>
          <w:noProof/>
        </w:rPr>
        <w:t>ukazovateľa čistého stabilného financovania jednotným</w:t>
      </w:r>
      <w:r w:rsidR="00DC01AA">
        <w:rPr>
          <w:noProof/>
        </w:rPr>
        <w:t xml:space="preserve"> a </w:t>
      </w:r>
      <w:r w:rsidR="001C319D" w:rsidRPr="00DC01AA">
        <w:rPr>
          <w:noProof/>
        </w:rPr>
        <w:t>porovnateľným spôsobom, by sa mali stanoviť jednotné vzory</w:t>
      </w:r>
      <w:r w:rsidR="00DC01AA">
        <w:rPr>
          <w:noProof/>
        </w:rPr>
        <w:t>.</w:t>
      </w:r>
    </w:p>
    <w:p w:rsidR="00DC01AA" w:rsidRDefault="00FC030A" w:rsidP="00FC030A">
      <w:pPr>
        <w:pStyle w:val="ManualConsidrant"/>
        <w:rPr>
          <w:noProof/>
        </w:rPr>
      </w:pPr>
      <w:r w:rsidRPr="00FC030A">
        <w:rPr>
          <w:noProof/>
        </w:rPr>
        <w:t>(7)</w:t>
      </w:r>
      <w:r w:rsidRPr="00FC030A">
        <w:rPr>
          <w:noProof/>
        </w:rPr>
        <w:tab/>
      </w:r>
      <w:r w:rsidR="00E07BF3" w:rsidRPr="00DC01AA">
        <w:rPr>
          <w:noProof/>
        </w:rPr>
        <w:t>Treba zabezpečiť súdržnosť</w:t>
      </w:r>
      <w:r w:rsidR="00DC01AA">
        <w:rPr>
          <w:noProof/>
        </w:rPr>
        <w:t xml:space="preserve"> a </w:t>
      </w:r>
      <w:r w:rsidR="00E07BF3" w:rsidRPr="00DC01AA">
        <w:rPr>
          <w:noProof/>
        </w:rPr>
        <w:t>konzistentnosť medzi povinnosťami týkajúcimi sa podávania správ stanovenými</w:t>
      </w:r>
      <w:r w:rsidR="00DC01AA">
        <w:rPr>
          <w:noProof/>
        </w:rPr>
        <w:t xml:space="preserve"> v </w:t>
      </w:r>
      <w:r w:rsidR="00E07BF3" w:rsidRPr="00DC01AA">
        <w:rPr>
          <w:noProof/>
        </w:rPr>
        <w:t xml:space="preserve">nariadení (EÚ) </w:t>
      </w:r>
      <w:r w:rsidR="00DC01AA">
        <w:rPr>
          <w:noProof/>
        </w:rPr>
        <w:t>č. </w:t>
      </w:r>
      <w:r w:rsidR="00E07BF3" w:rsidRPr="00DC01AA">
        <w:rPr>
          <w:noProof/>
        </w:rPr>
        <w:t>575/2013</w:t>
      </w:r>
      <w:r w:rsidR="00DC01AA">
        <w:rPr>
          <w:noProof/>
        </w:rPr>
        <w:t xml:space="preserve"> a </w:t>
      </w:r>
      <w:r w:rsidR="00E07BF3" w:rsidRPr="00DC01AA">
        <w:rPr>
          <w:noProof/>
        </w:rPr>
        <w:t>inými právnymi predpismi Únie</w:t>
      </w:r>
      <w:r w:rsidR="00DC01AA">
        <w:rPr>
          <w:noProof/>
        </w:rPr>
        <w:t xml:space="preserve"> v </w:t>
      </w:r>
      <w:r w:rsidR="00E07BF3" w:rsidRPr="00DC01AA">
        <w:rPr>
          <w:noProof/>
        </w:rPr>
        <w:t>oblasti rizík ESG,</w:t>
      </w:r>
      <w:r w:rsidR="00DC01AA">
        <w:rPr>
          <w:noProof/>
        </w:rPr>
        <w:t xml:space="preserve"> a </w:t>
      </w:r>
      <w:r w:rsidR="00E07BF3" w:rsidRPr="00DC01AA">
        <w:rPr>
          <w:noProof/>
        </w:rPr>
        <w:t>najmä</w:t>
      </w:r>
      <w:r w:rsidR="00DC01AA">
        <w:rPr>
          <w:noProof/>
        </w:rPr>
        <w:t xml:space="preserve"> s </w:t>
      </w:r>
      <w:r w:rsidR="00E07BF3" w:rsidRPr="00DC01AA">
        <w:rPr>
          <w:noProof/>
        </w:rPr>
        <w:t>nariadením Európskeho parlamentu</w:t>
      </w:r>
      <w:r w:rsidR="00DC01AA">
        <w:rPr>
          <w:noProof/>
        </w:rPr>
        <w:t xml:space="preserve"> a </w:t>
      </w:r>
      <w:r w:rsidR="00E07BF3" w:rsidRPr="00DC01AA">
        <w:rPr>
          <w:noProof/>
        </w:rPr>
        <w:t>Rady (EÚ) 2020/852</w:t>
      </w:r>
      <w:r w:rsidR="00E07BF3" w:rsidRPr="00DC01AA">
        <w:rPr>
          <w:rStyle w:val="FootnoteReference"/>
          <w:noProof/>
          <w:szCs w:val="24"/>
        </w:rPr>
        <w:footnoteReference w:id="6"/>
      </w:r>
      <w:r w:rsidR="00E07BF3" w:rsidRPr="00DC01AA">
        <w:rPr>
          <w:noProof/>
        </w:rPr>
        <w:t>.</w:t>
      </w:r>
      <w:r w:rsidR="00DC01AA">
        <w:rPr>
          <w:noProof/>
        </w:rPr>
        <w:t xml:space="preserve"> V </w:t>
      </w:r>
      <w:r w:rsidR="00E07BF3" w:rsidRPr="00DC01AA">
        <w:rPr>
          <w:noProof/>
        </w:rPr>
        <w:t>pravidlách zverejňovania informácií</w:t>
      </w:r>
      <w:r w:rsidR="00DC01AA">
        <w:rPr>
          <w:noProof/>
        </w:rPr>
        <w:t xml:space="preserve"> o </w:t>
      </w:r>
      <w:r w:rsidR="00E07BF3" w:rsidRPr="00DC01AA">
        <w:rPr>
          <w:noProof/>
        </w:rPr>
        <w:t>rizikách ESG by sa preto mali zohľadňovať kritériá, klasifikácie</w:t>
      </w:r>
      <w:r w:rsidR="00DC01AA">
        <w:rPr>
          <w:noProof/>
        </w:rPr>
        <w:t xml:space="preserve"> a </w:t>
      </w:r>
      <w:r w:rsidR="00E07BF3" w:rsidRPr="00DC01AA">
        <w:rPr>
          <w:noProof/>
        </w:rPr>
        <w:t>vymedzenie pojmov stanovené</w:t>
      </w:r>
      <w:r w:rsidR="00DC01AA">
        <w:rPr>
          <w:noProof/>
        </w:rPr>
        <w:t xml:space="preserve"> v </w:t>
      </w:r>
      <w:r w:rsidR="00E07BF3" w:rsidRPr="00DC01AA">
        <w:rPr>
          <w:noProof/>
        </w:rPr>
        <w:t>článkoch 2</w:t>
      </w:r>
      <w:r w:rsidR="00DC01AA">
        <w:rPr>
          <w:noProof/>
        </w:rPr>
        <w:t xml:space="preserve"> a </w:t>
      </w:r>
      <w:r w:rsidR="00E07BF3" w:rsidRPr="00DC01AA">
        <w:rPr>
          <w:noProof/>
        </w:rPr>
        <w:t>3 nariadenia (EÚ) 2020/852.</w:t>
      </w:r>
      <w:r w:rsidR="00DC01AA">
        <w:rPr>
          <w:noProof/>
        </w:rPr>
        <w:t xml:space="preserve"> V </w:t>
      </w:r>
      <w:r w:rsidR="00E07BF3" w:rsidRPr="00DC01AA">
        <w:rPr>
          <w:noProof/>
        </w:rPr>
        <w:t>uvedených pravidlách by sa mali zohľadniť najmä kritériá identifikácie</w:t>
      </w:r>
      <w:r w:rsidR="00DC01AA">
        <w:rPr>
          <w:noProof/>
        </w:rPr>
        <w:t xml:space="preserve"> a </w:t>
      </w:r>
      <w:r w:rsidR="00E07BF3" w:rsidRPr="00DC01AA">
        <w:rPr>
          <w:noProof/>
        </w:rPr>
        <w:t>klasifikácie environmentálne udržateľných hospodárskych činností, ako sú stanovené</w:t>
      </w:r>
      <w:r w:rsidR="00DC01AA">
        <w:rPr>
          <w:noProof/>
        </w:rPr>
        <w:t xml:space="preserve"> v </w:t>
      </w:r>
      <w:r w:rsidR="00E07BF3" w:rsidRPr="00DC01AA">
        <w:rPr>
          <w:noProof/>
        </w:rPr>
        <w:t>nariadení (EÚ) 2020/852</w:t>
      </w:r>
      <w:r w:rsidR="00DC01AA">
        <w:rPr>
          <w:noProof/>
        </w:rPr>
        <w:t xml:space="preserve"> a v </w:t>
      </w:r>
      <w:r w:rsidR="00E07BF3" w:rsidRPr="00DC01AA">
        <w:rPr>
          <w:noProof/>
        </w:rPr>
        <w:t>delegovanom nariadení Komisie (EÚ) 2020/1818</w:t>
      </w:r>
      <w:r w:rsidR="00E07BF3" w:rsidRPr="00DC01AA">
        <w:rPr>
          <w:rStyle w:val="FootnoteReference"/>
          <w:noProof/>
          <w:szCs w:val="24"/>
        </w:rPr>
        <w:footnoteReference w:id="7"/>
      </w:r>
      <w:r w:rsidR="00E07BF3" w:rsidRPr="00DC01AA">
        <w:rPr>
          <w:noProof/>
        </w:rPr>
        <w:t>.</w:t>
      </w:r>
      <w:r w:rsidR="00DC01AA">
        <w:rPr>
          <w:noProof/>
        </w:rPr>
        <w:t xml:space="preserve"> Z </w:t>
      </w:r>
      <w:r w:rsidR="00E07BF3" w:rsidRPr="00DC01AA">
        <w:rPr>
          <w:noProof/>
        </w:rPr>
        <w:t>rovnakého dôvodu by inštitúcie pri zverejňovaní informácií</w:t>
      </w:r>
      <w:r w:rsidR="00DC01AA">
        <w:rPr>
          <w:noProof/>
        </w:rPr>
        <w:t xml:space="preserve"> o </w:t>
      </w:r>
      <w:r w:rsidR="00E07BF3" w:rsidRPr="00DC01AA">
        <w:rPr>
          <w:noProof/>
        </w:rPr>
        <w:t>energetickej hospodárnosti svojho portfólia nehnuteľností mali tieto informácie uvádzať vo forme energetického certifikátu</w:t>
      </w:r>
      <w:r w:rsidR="00DC01AA">
        <w:rPr>
          <w:noProof/>
        </w:rPr>
        <w:t xml:space="preserve"> v </w:t>
      </w:r>
      <w:r w:rsidR="00E07BF3" w:rsidRPr="00DC01AA">
        <w:rPr>
          <w:noProof/>
        </w:rPr>
        <w:t>zmysle vymedzenia</w:t>
      </w:r>
      <w:r w:rsidR="00DC01AA">
        <w:rPr>
          <w:noProof/>
        </w:rPr>
        <w:t xml:space="preserve"> v </w:t>
      </w:r>
      <w:r w:rsidR="00E07BF3" w:rsidRPr="00DC01AA">
        <w:rPr>
          <w:noProof/>
        </w:rPr>
        <w:t>článku 2 bode 12 smernice Európskeho parlamentu</w:t>
      </w:r>
      <w:r w:rsidR="00DC01AA">
        <w:rPr>
          <w:noProof/>
        </w:rPr>
        <w:t xml:space="preserve"> a </w:t>
      </w:r>
      <w:r w:rsidR="00E07BF3" w:rsidRPr="00DC01AA">
        <w:rPr>
          <w:noProof/>
        </w:rPr>
        <w:t>Rady 2010/31/EÚ</w:t>
      </w:r>
      <w:r w:rsidR="00E07BF3" w:rsidRPr="00DC01AA">
        <w:rPr>
          <w:rStyle w:val="FootnoteReference"/>
          <w:noProof/>
          <w:szCs w:val="24"/>
        </w:rPr>
        <w:footnoteReference w:id="8"/>
      </w:r>
      <w:r w:rsidR="00DC01AA">
        <w:rPr>
          <w:noProof/>
        </w:rPr>
        <w:t>.</w:t>
      </w:r>
    </w:p>
    <w:p w:rsidR="00DC01AA" w:rsidRDefault="00FC030A" w:rsidP="00FC030A">
      <w:pPr>
        <w:pStyle w:val="ManualConsidrant"/>
        <w:rPr>
          <w:noProof/>
        </w:rPr>
      </w:pPr>
      <w:r w:rsidRPr="00FC030A">
        <w:rPr>
          <w:noProof/>
        </w:rPr>
        <w:t>(8)</w:t>
      </w:r>
      <w:r w:rsidRPr="00FC030A">
        <w:rPr>
          <w:noProof/>
        </w:rPr>
        <w:tab/>
      </w:r>
      <w:r w:rsidR="000A5D79" w:rsidRPr="00DC01AA">
        <w:rPr>
          <w:noProof/>
        </w:rPr>
        <w:t>V článkoch 19a</w:t>
      </w:r>
      <w:r w:rsidR="00DC01AA">
        <w:rPr>
          <w:noProof/>
        </w:rPr>
        <w:t xml:space="preserve"> a </w:t>
      </w:r>
      <w:r w:rsidR="000A5D79" w:rsidRPr="00DC01AA">
        <w:rPr>
          <w:noProof/>
        </w:rPr>
        <w:t>29a smernice Európskeho parlamentu</w:t>
      </w:r>
      <w:r w:rsidR="00DC01AA">
        <w:rPr>
          <w:noProof/>
        </w:rPr>
        <w:t xml:space="preserve"> a </w:t>
      </w:r>
      <w:r w:rsidR="000A5D79" w:rsidRPr="00DC01AA">
        <w:rPr>
          <w:noProof/>
        </w:rPr>
        <w:t>Rady 2013/34/EÚ</w:t>
      </w:r>
      <w:r w:rsidR="000A5D79" w:rsidRPr="00DC01AA">
        <w:rPr>
          <w:rStyle w:val="FootnoteReference"/>
          <w:noProof/>
          <w:szCs w:val="24"/>
        </w:rPr>
        <w:footnoteReference w:id="9"/>
      </w:r>
      <w:r w:rsidR="000A5D79" w:rsidRPr="00DC01AA">
        <w:rPr>
          <w:noProof/>
        </w:rPr>
        <w:t xml:space="preserve"> sa vyžaduje, aby určité veľké podniky, ktoré sú subjektmi verejného záujmu, alebo subjekty verejného záujmu, ktoré sú materskými podnikmi veľkej skupiny, zahrnuli do svojej správy</w:t>
      </w:r>
      <w:r w:rsidR="00DC01AA">
        <w:rPr>
          <w:noProof/>
        </w:rPr>
        <w:t xml:space="preserve"> o </w:t>
      </w:r>
      <w:r w:rsidR="000A5D79" w:rsidRPr="00DC01AA">
        <w:rPr>
          <w:noProof/>
        </w:rPr>
        <w:t>hospodárení alebo do svojej konsolidovanej správy</w:t>
      </w:r>
      <w:r w:rsidR="00DC01AA">
        <w:rPr>
          <w:noProof/>
        </w:rPr>
        <w:t xml:space="preserve"> o </w:t>
      </w:r>
      <w:r w:rsidR="000A5D79" w:rsidRPr="00DC01AA">
        <w:rPr>
          <w:noProof/>
        </w:rPr>
        <w:t>hospodárení informácie</w:t>
      </w:r>
      <w:r w:rsidR="00DC01AA">
        <w:rPr>
          <w:noProof/>
        </w:rPr>
        <w:t xml:space="preserve"> o </w:t>
      </w:r>
      <w:r w:rsidR="000A5D79" w:rsidRPr="00DC01AA">
        <w:rPr>
          <w:noProof/>
        </w:rPr>
        <w:t>vplyve svojej činnosti na environmentálne, sociálne</w:t>
      </w:r>
      <w:r w:rsidR="00DC01AA">
        <w:rPr>
          <w:noProof/>
        </w:rPr>
        <w:t xml:space="preserve"> a </w:t>
      </w:r>
      <w:r w:rsidR="000A5D79" w:rsidRPr="00DC01AA">
        <w:rPr>
          <w:noProof/>
        </w:rPr>
        <w:t>zamestnanecké záležitosti, dodržiavanie ľudských práv</w:t>
      </w:r>
      <w:r w:rsidR="00DC01AA">
        <w:rPr>
          <w:noProof/>
        </w:rPr>
        <w:t xml:space="preserve"> a </w:t>
      </w:r>
      <w:r w:rsidR="000A5D79" w:rsidRPr="00DC01AA">
        <w:rPr>
          <w:noProof/>
        </w:rPr>
        <w:t>boj proti korupcii</w:t>
      </w:r>
      <w:r w:rsidR="00DC01AA">
        <w:rPr>
          <w:noProof/>
        </w:rPr>
        <w:t xml:space="preserve"> a </w:t>
      </w:r>
      <w:r w:rsidR="000A5D79" w:rsidRPr="00DC01AA">
        <w:rPr>
          <w:noProof/>
        </w:rPr>
        <w:t>úplatkárstvu. Táto povinnosť sa však nevzťahuje na ostatné podniky.</w:t>
      </w:r>
      <w:r w:rsidR="00DC01AA">
        <w:rPr>
          <w:noProof/>
        </w:rPr>
        <w:t xml:space="preserve"> V </w:t>
      </w:r>
      <w:r w:rsidR="000A5D79" w:rsidRPr="00DC01AA">
        <w:rPr>
          <w:noProof/>
        </w:rPr>
        <w:t>dôsledku toho sa od podnikov, na ktoré sa nevzťahujú články 19a</w:t>
      </w:r>
      <w:r w:rsidR="00DC01AA">
        <w:rPr>
          <w:noProof/>
        </w:rPr>
        <w:t xml:space="preserve"> a </w:t>
      </w:r>
      <w:r w:rsidR="000A5D79" w:rsidRPr="00DC01AA">
        <w:rPr>
          <w:noProof/>
        </w:rPr>
        <w:t>29a smernice 2013/34/EÚ, nevyžaduje, aby zverejňovali takéto informácie,</w:t>
      </w:r>
      <w:r w:rsidR="00DC01AA">
        <w:rPr>
          <w:noProof/>
        </w:rPr>
        <w:t xml:space="preserve"> a </w:t>
      </w:r>
      <w:r w:rsidR="000A5D79" w:rsidRPr="00DC01AA">
        <w:rPr>
          <w:noProof/>
        </w:rPr>
        <w:t>nemusia byť schopné poskytnúť takéto informácie inštitúciám. Od podnikov, ktoré sú protistranami inštitúcií, teda možno očakávať, že tieto informácie</w:t>
      </w:r>
      <w:r w:rsidR="00DC01AA">
        <w:rPr>
          <w:noProof/>
        </w:rPr>
        <w:t xml:space="preserve"> a </w:t>
      </w:r>
      <w:r w:rsidR="000A5D79" w:rsidRPr="00DC01AA">
        <w:rPr>
          <w:noProof/>
        </w:rPr>
        <w:t>údaje poskytnú len dobrovoľne</w:t>
      </w:r>
      <w:r w:rsidR="00DC01AA">
        <w:rPr>
          <w:noProof/>
        </w:rPr>
        <w:t>.</w:t>
      </w:r>
    </w:p>
    <w:p w:rsidR="00DC01AA" w:rsidRDefault="00FC030A" w:rsidP="00FC030A">
      <w:pPr>
        <w:pStyle w:val="ManualConsidrant"/>
        <w:rPr>
          <w:rStyle w:val="cf11"/>
          <w:rFonts w:ascii="Times New Roman" w:hAnsi="Times New Roman"/>
          <w:noProof/>
          <w:sz w:val="24"/>
        </w:rPr>
      </w:pPr>
      <w:r w:rsidRPr="00FC030A">
        <w:rPr>
          <w:rStyle w:val="cf11"/>
          <w:noProof/>
        </w:rPr>
        <w:t>(9)</w:t>
      </w:r>
      <w:r w:rsidRPr="00FC030A">
        <w:rPr>
          <w:rStyle w:val="cf11"/>
          <w:noProof/>
        </w:rPr>
        <w:tab/>
      </w:r>
      <w:r w:rsidR="003A1487" w:rsidRPr="00DC01AA">
        <w:rPr>
          <w:rStyle w:val="cf01"/>
          <w:rFonts w:ascii="Times New Roman" w:hAnsi="Times New Roman"/>
          <w:noProof/>
          <w:sz w:val="24"/>
        </w:rPr>
        <w:t>V snahe vykonávať štandardy Bazilej III</w:t>
      </w:r>
      <w:r w:rsidR="003A1487" w:rsidRPr="00DC01AA">
        <w:rPr>
          <w:rStyle w:val="cf11"/>
          <w:rFonts w:ascii="Times New Roman" w:hAnsi="Times New Roman"/>
          <w:noProof/>
          <w:sz w:val="24"/>
        </w:rPr>
        <w:t xml:space="preserve"> sa nariadením (EÚ) 2024/1623 do článku 92 ods. 3 nariadenia (EÚ) </w:t>
      </w:r>
      <w:r w:rsidR="00DC01AA">
        <w:rPr>
          <w:rStyle w:val="cf11"/>
          <w:rFonts w:ascii="Times New Roman" w:hAnsi="Times New Roman"/>
          <w:noProof/>
          <w:sz w:val="24"/>
        </w:rPr>
        <w:t>č. </w:t>
      </w:r>
      <w:r w:rsidR="003A1487" w:rsidRPr="00DC01AA">
        <w:rPr>
          <w:rStyle w:val="cf11"/>
          <w:rFonts w:ascii="Times New Roman" w:hAnsi="Times New Roman"/>
          <w:noProof/>
          <w:sz w:val="24"/>
        </w:rPr>
        <w:t>575/2013 zaviedol nižší limit kapitálových požiadaviek založených na riziku vypočítaný pomocou interných modelov („spodná hranica pre výstupné hodnoty“), ktorý sa rovná percentuálnemu podielu kapitálových požiadaviek, ktorý by sa uplatňoval, keby sa použili štandardizované prístupy. Preto je vhodné zohľadniť tieto zmeny</w:t>
      </w:r>
      <w:r w:rsidR="00DC01AA">
        <w:rPr>
          <w:rStyle w:val="cf11"/>
          <w:rFonts w:ascii="Times New Roman" w:hAnsi="Times New Roman"/>
          <w:noProof/>
          <w:sz w:val="24"/>
        </w:rPr>
        <w:t xml:space="preserve"> v </w:t>
      </w:r>
      <w:r w:rsidR="003A1487" w:rsidRPr="00DC01AA">
        <w:rPr>
          <w:rStyle w:val="cf11"/>
          <w:rFonts w:ascii="Times New Roman" w:hAnsi="Times New Roman"/>
          <w:noProof/>
          <w:sz w:val="24"/>
        </w:rPr>
        <w:t>príslušných vzoroch na zverejňovanie informácií.</w:t>
      </w:r>
      <w:r w:rsidR="00DC01AA">
        <w:rPr>
          <w:rStyle w:val="cf11"/>
          <w:rFonts w:ascii="Times New Roman" w:hAnsi="Times New Roman"/>
          <w:noProof/>
          <w:sz w:val="24"/>
        </w:rPr>
        <w:t xml:space="preserve"> V </w:t>
      </w:r>
      <w:r w:rsidR="003A1487" w:rsidRPr="00DC01AA">
        <w:rPr>
          <w:rStyle w:val="cf11"/>
          <w:rFonts w:ascii="Times New Roman" w:hAnsi="Times New Roman"/>
          <w:noProof/>
          <w:sz w:val="24"/>
        </w:rPr>
        <w:t>snahe uviesť porovnanie medzi ukazovateľmi rizikového kapitálu vypočítanými podľa štandardizovaných prístupov</w:t>
      </w:r>
      <w:r w:rsidR="00DC01AA">
        <w:rPr>
          <w:rStyle w:val="cf11"/>
          <w:rFonts w:ascii="Times New Roman" w:hAnsi="Times New Roman"/>
          <w:noProof/>
          <w:sz w:val="24"/>
        </w:rPr>
        <w:t xml:space="preserve"> a </w:t>
      </w:r>
      <w:r w:rsidR="003A1487" w:rsidRPr="00DC01AA">
        <w:rPr>
          <w:rStyle w:val="cf11"/>
          <w:rFonts w:ascii="Times New Roman" w:hAnsi="Times New Roman"/>
          <w:noProof/>
          <w:sz w:val="24"/>
        </w:rPr>
        <w:t>interne modelovaných prístupov na úrovni rizika</w:t>
      </w:r>
      <w:r w:rsidR="00DC01AA">
        <w:rPr>
          <w:rStyle w:val="cf11"/>
          <w:rFonts w:ascii="Times New Roman" w:hAnsi="Times New Roman"/>
          <w:noProof/>
          <w:sz w:val="24"/>
        </w:rPr>
        <w:t xml:space="preserve"> a v </w:t>
      </w:r>
      <w:r w:rsidR="003A1487" w:rsidRPr="00DC01AA">
        <w:rPr>
          <w:rStyle w:val="cf11"/>
          <w:rFonts w:ascii="Times New Roman" w:hAnsi="Times New Roman"/>
          <w:noProof/>
          <w:sz w:val="24"/>
        </w:rPr>
        <w:t>triedach expozícií pre kreditné riziko by sa navyše mali na zverejňovanie informácií zaviesť dva nové vzory</w:t>
      </w:r>
      <w:r w:rsidR="00DC01AA">
        <w:rPr>
          <w:rStyle w:val="cf11"/>
          <w:rFonts w:ascii="Times New Roman" w:hAnsi="Times New Roman"/>
          <w:noProof/>
          <w:sz w:val="24"/>
        </w:rPr>
        <w:t>.</w:t>
      </w:r>
    </w:p>
    <w:p w:rsidR="00DC01AA" w:rsidRDefault="00FC030A" w:rsidP="00FC030A">
      <w:pPr>
        <w:pStyle w:val="ManualConsidrant"/>
        <w:rPr>
          <w:noProof/>
        </w:rPr>
      </w:pPr>
      <w:r w:rsidRPr="00FC030A">
        <w:rPr>
          <w:noProof/>
        </w:rPr>
        <w:t>(10)</w:t>
      </w:r>
      <w:r w:rsidRPr="00FC030A">
        <w:rPr>
          <w:noProof/>
        </w:rPr>
        <w:tab/>
      </w:r>
      <w:r w:rsidR="000A5D79" w:rsidRPr="00DC01AA">
        <w:rPr>
          <w:noProof/>
        </w:rPr>
        <w:t>Pokiaľ ide</w:t>
      </w:r>
      <w:r w:rsidR="00DC01AA">
        <w:rPr>
          <w:noProof/>
        </w:rPr>
        <w:t xml:space="preserve"> o </w:t>
      </w:r>
      <w:r w:rsidR="000A5D79" w:rsidRPr="00DC01AA">
        <w:rPr>
          <w:noProof/>
        </w:rPr>
        <w:t xml:space="preserve">používanie štandardizovaného prístupu (SA) na kreditné riziko, nariadením (EÚ) 2024/1623 sa do hlavy II kapitoly 2 nariadenia (EÚ) </w:t>
      </w:r>
      <w:r w:rsidR="00DC01AA">
        <w:rPr>
          <w:noProof/>
        </w:rPr>
        <w:t>č. </w:t>
      </w:r>
      <w:r w:rsidR="000A5D79" w:rsidRPr="00DC01AA">
        <w:rPr>
          <w:noProof/>
        </w:rPr>
        <w:t>575/2013 zaviedlo podrobnejšie zaobchádzanie</w:t>
      </w:r>
      <w:r w:rsidR="00DC01AA">
        <w:rPr>
          <w:noProof/>
        </w:rPr>
        <w:t xml:space="preserve"> s </w:t>
      </w:r>
      <w:r w:rsidR="000A5D79" w:rsidRPr="00DC01AA">
        <w:rPr>
          <w:noProof/>
        </w:rPr>
        <w:t>rôznymi expozíciami podľa rizikovej váhy vrátane expozícií voči inštitúciám, expozícií voči podnikateľským subjektom, expozícií vo forme špecializovaného financovania, retailových expozícií, expozícií zabezpečených nehnuteľnosťami, expozícií voči podriadenému dlhu, kapitálových expozícií</w:t>
      </w:r>
      <w:r w:rsidR="00DC01AA">
        <w:rPr>
          <w:noProof/>
        </w:rPr>
        <w:t xml:space="preserve"> a </w:t>
      </w:r>
      <w:r w:rsidR="000A5D79" w:rsidRPr="00DC01AA">
        <w:rPr>
          <w:noProof/>
        </w:rPr>
        <w:t>expozícií</w:t>
      </w:r>
      <w:r w:rsidR="00DC01AA">
        <w:rPr>
          <w:noProof/>
        </w:rPr>
        <w:t xml:space="preserve"> v </w:t>
      </w:r>
      <w:r w:rsidR="000A5D79" w:rsidRPr="00DC01AA">
        <w:rPr>
          <w:noProof/>
        </w:rPr>
        <w:t>stave zlyhania. Tieto zmeny treba zohľadniť vo vzoroch na zverejňovanie informácií, pričom treba zosúladiť číslovanie riadkov</w:t>
      </w:r>
      <w:r w:rsidR="00DC01AA">
        <w:rPr>
          <w:noProof/>
        </w:rPr>
        <w:t xml:space="preserve"> v </w:t>
      </w:r>
      <w:r w:rsidR="000A5D79" w:rsidRPr="00DC01AA">
        <w:rPr>
          <w:noProof/>
        </w:rPr>
        <w:t>uvedených vzoroch na zverejňovanie informácií</w:t>
      </w:r>
      <w:r w:rsidR="00DC01AA">
        <w:rPr>
          <w:noProof/>
        </w:rPr>
        <w:t xml:space="preserve"> s </w:t>
      </w:r>
      <w:r w:rsidR="000A5D79" w:rsidRPr="00DC01AA">
        <w:rPr>
          <w:noProof/>
        </w:rPr>
        <w:t>číslovaním použitým</w:t>
      </w:r>
      <w:r w:rsidR="00DC01AA">
        <w:rPr>
          <w:noProof/>
        </w:rPr>
        <w:t xml:space="preserve"> v </w:t>
      </w:r>
      <w:r w:rsidR="000A5D79" w:rsidRPr="00DC01AA">
        <w:rPr>
          <w:noProof/>
        </w:rPr>
        <w:t>zodpovedajúcich vzoroch na zverejňovanie informácií podľa BCBS</w:t>
      </w:r>
      <w:r w:rsidR="00DC01AA">
        <w:rPr>
          <w:noProof/>
        </w:rPr>
        <w:t>.</w:t>
      </w:r>
    </w:p>
    <w:p w:rsidR="00DC01AA" w:rsidRDefault="00FC030A" w:rsidP="00FC030A">
      <w:pPr>
        <w:pStyle w:val="ManualConsidrant"/>
        <w:rPr>
          <w:noProof/>
        </w:rPr>
      </w:pPr>
      <w:r w:rsidRPr="00FC030A">
        <w:rPr>
          <w:noProof/>
        </w:rPr>
        <w:t>(11)</w:t>
      </w:r>
      <w:r w:rsidRPr="00FC030A">
        <w:rPr>
          <w:noProof/>
        </w:rPr>
        <w:tab/>
      </w:r>
      <w:r w:rsidR="009E6EC8" w:rsidRPr="00DC01AA">
        <w:rPr>
          <w:noProof/>
        </w:rPr>
        <w:t xml:space="preserve">Nariadením (EÚ) 2024/1623 sa do hlavy II kapitoly 3 nariadenia (EÚ) </w:t>
      </w:r>
      <w:r w:rsidR="00DC01AA">
        <w:rPr>
          <w:noProof/>
        </w:rPr>
        <w:t>č. </w:t>
      </w:r>
      <w:r w:rsidR="009E6EC8" w:rsidRPr="00DC01AA">
        <w:rPr>
          <w:noProof/>
        </w:rPr>
        <w:t>575/2013</w:t>
      </w:r>
      <w:r w:rsidR="00DC01AA">
        <w:rPr>
          <w:noProof/>
        </w:rPr>
        <w:t xml:space="preserve"> v </w:t>
      </w:r>
      <w:r w:rsidR="009E6EC8" w:rsidRPr="00DC01AA">
        <w:rPr>
          <w:noProof/>
        </w:rPr>
        <w:t>súvislosti</w:t>
      </w:r>
      <w:r w:rsidR="00DC01AA">
        <w:rPr>
          <w:noProof/>
        </w:rPr>
        <w:t xml:space="preserve"> s </w:t>
      </w:r>
      <w:r w:rsidR="009E6EC8" w:rsidRPr="00DC01AA">
        <w:rPr>
          <w:noProof/>
        </w:rPr>
        <w:t>používaním prístupu interných ratingov (IRB) pre expozície voči kreditnému riziku zaviedlo obmedzenie triedy expozícií, pri ktorých sa na výpočet požiadaviek na vlastné zdroje pre kreditné riziko môže uplatniť pokročilý prístup IRB (A-IRB). Konkrétne</w:t>
      </w:r>
      <w:r w:rsidR="00DC01AA">
        <w:rPr>
          <w:noProof/>
        </w:rPr>
        <w:t xml:space="preserve"> v </w:t>
      </w:r>
      <w:r w:rsidR="009E6EC8" w:rsidRPr="00DC01AA">
        <w:rPr>
          <w:noProof/>
        </w:rPr>
        <w:t>prípade expozícií voči inštitúciám sa po novom môže použiť len základný prístup IRB (F-IRB)</w:t>
      </w:r>
      <w:r w:rsidR="00DC01AA">
        <w:rPr>
          <w:noProof/>
        </w:rPr>
        <w:t xml:space="preserve"> a v </w:t>
      </w:r>
      <w:r w:rsidR="009E6EC8" w:rsidRPr="00DC01AA">
        <w:rPr>
          <w:noProof/>
        </w:rPr>
        <w:t>prípade kapitálových expozícií je povolené –</w:t>
      </w:r>
      <w:r w:rsidR="00DC01AA">
        <w:rPr>
          <w:noProof/>
        </w:rPr>
        <w:t xml:space="preserve"> s </w:t>
      </w:r>
      <w:r w:rsidR="009E6EC8" w:rsidRPr="00DC01AA">
        <w:rPr>
          <w:noProof/>
        </w:rPr>
        <w:t>výnimkou prechodného obdobia – používať len štandardizovaný prístup.</w:t>
      </w:r>
      <w:r w:rsidR="00DC01AA">
        <w:rPr>
          <w:noProof/>
        </w:rPr>
        <w:t xml:space="preserve"> S </w:t>
      </w:r>
      <w:r w:rsidR="009E6EC8" w:rsidRPr="00DC01AA">
        <w:rPr>
          <w:noProof/>
        </w:rPr>
        <w:t>cieľom zabezpečiť konzistentné zaobchádzanie</w:t>
      </w:r>
      <w:r w:rsidR="00DC01AA">
        <w:rPr>
          <w:noProof/>
        </w:rPr>
        <w:t xml:space="preserve"> s </w:t>
      </w:r>
      <w:r w:rsidR="009E6EC8" w:rsidRPr="00DC01AA">
        <w:rPr>
          <w:noProof/>
        </w:rPr>
        <w:t>uvedenými expozíciami</w:t>
      </w:r>
      <w:r w:rsidR="00DC01AA">
        <w:rPr>
          <w:noProof/>
        </w:rPr>
        <w:t xml:space="preserve"> a </w:t>
      </w:r>
      <w:r w:rsidR="009E6EC8" w:rsidRPr="00DC01AA">
        <w:rPr>
          <w:noProof/>
        </w:rPr>
        <w:t>zabrániť neúmyselnej variabilite súvisiacich požiadaviek na vlastné zdroje boli navyše vytvorené nové triedy expozícií pre „regionálne vlády alebo miestne orgány“</w:t>
      </w:r>
      <w:r w:rsidR="00DC01AA">
        <w:rPr>
          <w:noProof/>
        </w:rPr>
        <w:t xml:space="preserve"> a </w:t>
      </w:r>
      <w:r w:rsidR="009E6EC8" w:rsidRPr="00DC01AA">
        <w:rPr>
          <w:noProof/>
        </w:rPr>
        <w:t>„subjekty verejného sektora“. Uvedené zmeny by sa mali zohľadniť vo vzoroch na zverejňovanie informácií</w:t>
      </w:r>
      <w:r w:rsidR="00DC01AA">
        <w:rPr>
          <w:noProof/>
        </w:rPr>
        <w:t xml:space="preserve"> o </w:t>
      </w:r>
      <w:r w:rsidR="009E6EC8" w:rsidRPr="00DC01AA">
        <w:rPr>
          <w:noProof/>
        </w:rPr>
        <w:t>používaní prístupu IRB. Zároveň treba zosúladiť štruktúru účinku vzoru na RWEA kreditných derivátov používaných ako postupy na zmierňovanie kreditného rizika (CRM)</w:t>
      </w:r>
      <w:r w:rsidR="00DC01AA">
        <w:rPr>
          <w:noProof/>
        </w:rPr>
        <w:t xml:space="preserve"> s </w:t>
      </w:r>
      <w:r w:rsidR="009E6EC8" w:rsidRPr="00DC01AA">
        <w:rPr>
          <w:noProof/>
        </w:rPr>
        <w:t>číslovaním riadkov používaným</w:t>
      </w:r>
      <w:r w:rsidR="00DC01AA">
        <w:rPr>
          <w:noProof/>
        </w:rPr>
        <w:t xml:space="preserve"> v </w:t>
      </w:r>
      <w:r w:rsidR="009E6EC8" w:rsidRPr="00DC01AA">
        <w:rPr>
          <w:noProof/>
        </w:rPr>
        <w:t>príslušnom vzore na zverejňovanie informácií podľa BCBS</w:t>
      </w:r>
      <w:r w:rsidR="00DC01AA">
        <w:rPr>
          <w:noProof/>
        </w:rPr>
        <w:t>.</w:t>
      </w:r>
    </w:p>
    <w:p w:rsidR="00DC01AA" w:rsidRDefault="00FC030A" w:rsidP="00FC030A">
      <w:pPr>
        <w:pStyle w:val="ManualConsidrant"/>
        <w:rPr>
          <w:noProof/>
        </w:rPr>
      </w:pPr>
      <w:r w:rsidRPr="00FC030A">
        <w:rPr>
          <w:noProof/>
        </w:rPr>
        <w:t>(12)</w:t>
      </w:r>
      <w:r w:rsidRPr="00FC030A">
        <w:rPr>
          <w:noProof/>
        </w:rPr>
        <w:tab/>
      </w:r>
      <w:r w:rsidR="00E365AC" w:rsidRPr="00DC01AA">
        <w:rPr>
          <w:noProof/>
          <w:color w:val="000000"/>
        </w:rPr>
        <w:t>Nariadením (EÚ) 2024/1623 sa do hlavy IV</w:t>
      </w:r>
      <w:r w:rsidR="00E365AC" w:rsidRPr="00DC01AA">
        <w:rPr>
          <w:noProof/>
        </w:rPr>
        <w:t xml:space="preserve"> nariadenia (EÚ) </w:t>
      </w:r>
      <w:r w:rsidR="00DC01AA">
        <w:rPr>
          <w:noProof/>
        </w:rPr>
        <w:t>č. </w:t>
      </w:r>
      <w:r w:rsidR="00E365AC" w:rsidRPr="00DC01AA">
        <w:rPr>
          <w:noProof/>
        </w:rPr>
        <w:t>575/2013 zaviedol nový rámec pre výpočet požiadaviek na vlastné zdroje pre trhové riziko vychádzajúci zo základného preskúmania obchodnej knihy (FRTB), ktoré vykonal BCBS. Uvedená zmena bola potrebná na riešenie nedostatkov zistených</w:t>
      </w:r>
      <w:r w:rsidR="00DC01AA">
        <w:rPr>
          <w:noProof/>
        </w:rPr>
        <w:t xml:space="preserve"> v </w:t>
      </w:r>
      <w:r w:rsidR="00E365AC" w:rsidRPr="00DC01AA">
        <w:rPr>
          <w:noProof/>
        </w:rPr>
        <w:t>súčasnom rámci kapitálových požiadaviek na trhové riziko pre pozície</w:t>
      </w:r>
      <w:r w:rsidR="00DC01AA">
        <w:rPr>
          <w:noProof/>
        </w:rPr>
        <w:t xml:space="preserve"> v </w:t>
      </w:r>
      <w:r w:rsidR="00E365AC" w:rsidRPr="00DC01AA">
        <w:rPr>
          <w:noProof/>
        </w:rPr>
        <w:t>obchodnej knihe. Podľa nového rámca majú inštitúcie pri výpočte požiadaviek na vlastné zdroje pre trhové riziko uplatňovať zjednodušený štandardizovaný, alternatívny štandardizovaný alebo alternatívny prístup interného modelu. Uvedené zmeny by sa mali zohľadniť vo vzoroch na zverejňovanie informácií tak, že sa na zverejňovanie informácií zavedenie komplexný súbor tabuliek</w:t>
      </w:r>
      <w:r w:rsidR="00DC01AA">
        <w:rPr>
          <w:noProof/>
        </w:rPr>
        <w:t xml:space="preserve"> a </w:t>
      </w:r>
      <w:r w:rsidR="00E365AC" w:rsidRPr="00DC01AA">
        <w:rPr>
          <w:noProof/>
        </w:rPr>
        <w:t>vzorov. Tento nový súbor tabuliek</w:t>
      </w:r>
      <w:r w:rsidR="00DC01AA">
        <w:rPr>
          <w:noProof/>
        </w:rPr>
        <w:t xml:space="preserve"> a </w:t>
      </w:r>
      <w:r w:rsidR="00E365AC" w:rsidRPr="00DC01AA">
        <w:rPr>
          <w:noProof/>
        </w:rPr>
        <w:t>vzorov na zverejňovanie informácií by mal nadobudnúť účinnosť vtedy, keď sa</w:t>
      </w:r>
      <w:r w:rsidR="00DC01AA">
        <w:rPr>
          <w:noProof/>
        </w:rPr>
        <w:t xml:space="preserve"> v </w:t>
      </w:r>
      <w:r w:rsidR="00E365AC" w:rsidRPr="00DC01AA">
        <w:rPr>
          <w:noProof/>
        </w:rPr>
        <w:t>Únii začne uplatňovať regulačný rámec pre trhové riziko založený na bazilejských štandardoch FRTB. Medzitým by sa mali naďalej uplatňovať aktuálne platné požiadavky na zverejňovanie informácií.</w:t>
      </w:r>
      <w:r w:rsidR="00DC01AA">
        <w:rPr>
          <w:noProof/>
        </w:rPr>
        <w:t xml:space="preserve"> V </w:t>
      </w:r>
      <w:r w:rsidR="00E365AC" w:rsidRPr="00DC01AA">
        <w:rPr>
          <w:noProof/>
        </w:rPr>
        <w:t>záujme komplexného pochopenia používania tohto nového prístupu by inštitúcie používajúce alternatívny prístup interného modelu mali</w:t>
      </w:r>
      <w:r w:rsidR="00DC01AA">
        <w:rPr>
          <w:noProof/>
        </w:rPr>
        <w:t xml:space="preserve"> k </w:t>
      </w:r>
      <w:r w:rsidR="00E365AC" w:rsidRPr="00DC01AA">
        <w:rPr>
          <w:noProof/>
        </w:rPr>
        <w:t>prvému dátumu uplatnenia nového rámca zverejňovania zverejniť popri kvantitatívnych informáciách aj informácie kvalitatívne</w:t>
      </w:r>
      <w:r w:rsidR="00DC01AA">
        <w:rPr>
          <w:noProof/>
        </w:rPr>
        <w:t>.</w:t>
      </w:r>
    </w:p>
    <w:p w:rsidR="000A5D79" w:rsidRPr="00DC01AA" w:rsidRDefault="00FC030A" w:rsidP="00FC030A">
      <w:pPr>
        <w:pStyle w:val="ManualConsidrant"/>
        <w:rPr>
          <w:noProof/>
        </w:rPr>
      </w:pPr>
      <w:r w:rsidRPr="00FC030A">
        <w:rPr>
          <w:noProof/>
        </w:rPr>
        <w:t>(13)</w:t>
      </w:r>
      <w:r w:rsidRPr="00FC030A">
        <w:rPr>
          <w:noProof/>
        </w:rPr>
        <w:tab/>
      </w:r>
      <w:r w:rsidR="00990CED" w:rsidRPr="00DC01AA">
        <w:rPr>
          <w:noProof/>
        </w:rPr>
        <w:t>Mali by sa stanoviť jednotné formáty zverejňovania</w:t>
      </w:r>
      <w:r w:rsidR="00DC01AA">
        <w:rPr>
          <w:noProof/>
        </w:rPr>
        <w:t xml:space="preserve"> s </w:t>
      </w:r>
      <w:r w:rsidR="00990CED" w:rsidRPr="00DC01AA">
        <w:rPr>
          <w:noProof/>
        </w:rPr>
        <w:t>cieľom zabezpečiť jednotné</w:t>
      </w:r>
      <w:r w:rsidR="00DC01AA">
        <w:rPr>
          <w:noProof/>
        </w:rPr>
        <w:t xml:space="preserve"> a </w:t>
      </w:r>
      <w:r w:rsidR="00990CED" w:rsidRPr="00DC01AA">
        <w:rPr>
          <w:noProof/>
        </w:rPr>
        <w:t>porovnateľné zverejňovanie informácií</w:t>
      </w:r>
      <w:r w:rsidR="00DC01AA">
        <w:rPr>
          <w:noProof/>
        </w:rPr>
        <w:t xml:space="preserve"> o </w:t>
      </w:r>
      <w:r w:rsidR="00990CED" w:rsidRPr="00DC01AA">
        <w:rPr>
          <w:noProof/>
        </w:rPr>
        <w:t>rizikách úprav ocenenia pohľadávok (CVA).</w:t>
      </w:r>
      <w:r w:rsidR="00DC01AA">
        <w:rPr>
          <w:noProof/>
        </w:rPr>
        <w:t xml:space="preserve"> S </w:t>
      </w:r>
      <w:r w:rsidR="00990CED" w:rsidRPr="00DC01AA">
        <w:rPr>
          <w:noProof/>
        </w:rPr>
        <w:t>týmto cieľom preto treba zaviesť nové vzory</w:t>
      </w:r>
      <w:r w:rsidR="00DC01AA">
        <w:rPr>
          <w:noProof/>
        </w:rPr>
        <w:t xml:space="preserve"> a </w:t>
      </w:r>
      <w:r w:rsidR="00990CED" w:rsidRPr="00DC01AA">
        <w:rPr>
          <w:noProof/>
        </w:rPr>
        <w:t>tabuľky na zverejňovanie kvantitatívnych</w:t>
      </w:r>
      <w:r w:rsidR="00DC01AA">
        <w:rPr>
          <w:noProof/>
        </w:rPr>
        <w:t xml:space="preserve"> a </w:t>
      </w:r>
      <w:r w:rsidR="00990CED" w:rsidRPr="00DC01AA">
        <w:rPr>
          <w:noProof/>
        </w:rPr>
        <w:t>kvalitatívnych informácií</w:t>
      </w:r>
      <w:r w:rsidR="00DC01AA">
        <w:rPr>
          <w:noProof/>
        </w:rPr>
        <w:t xml:space="preserve"> o </w:t>
      </w:r>
      <w:r w:rsidR="00990CED" w:rsidRPr="00DC01AA">
        <w:rPr>
          <w:noProof/>
        </w:rPr>
        <w:t>riziku úprav ocenenia pohľadávok.</w:t>
      </w:r>
      <w:r w:rsidR="00DC01AA">
        <w:rPr>
          <w:noProof/>
        </w:rPr>
        <w:t xml:space="preserve"> V </w:t>
      </w:r>
      <w:r w:rsidR="00990CED" w:rsidRPr="00DC01AA">
        <w:rPr>
          <w:noProof/>
        </w:rPr>
        <w:t>uvedených vzoroch by sa malo zohľadniť, že inštitúcie, na ktoré sa vzťahujú požiadavky na vlastné zdroje pre úpravu ocenenia pohľadávok, môžu uplatňovať štandardizovaný, základný alebo zjednodušený prístup alebo kombináciu týchto prístupov</w:t>
      </w:r>
      <w:r w:rsidR="00DC01AA">
        <w:rPr>
          <w:noProof/>
        </w:rPr>
        <w:t xml:space="preserve"> a </w:t>
      </w:r>
      <w:r w:rsidR="00990CED" w:rsidRPr="00DC01AA">
        <w:rPr>
          <w:noProof/>
        </w:rPr>
        <w:t>že riziko úpravy ocenenia pohľadávok by malo zachytávať tak riziko kreditného rozpätia protistrany inštitúcie, ako aj trhové riziko portfólia transakcií,</w:t>
      </w:r>
      <w:r w:rsidR="00DC01AA">
        <w:rPr>
          <w:noProof/>
        </w:rPr>
        <w:t xml:space="preserve"> s </w:t>
      </w:r>
      <w:r w:rsidR="00990CED" w:rsidRPr="00DC01AA">
        <w:rPr>
          <w:noProof/>
        </w:rPr>
        <w:t>ktorými inštitúcia</w:t>
      </w:r>
      <w:r w:rsidR="00DC01AA">
        <w:rPr>
          <w:noProof/>
        </w:rPr>
        <w:t xml:space="preserve"> s </w:t>
      </w:r>
      <w:r w:rsidR="00990CED" w:rsidRPr="00DC01AA">
        <w:rPr>
          <w:noProof/>
        </w:rPr>
        <w:t>takouto protistranou obchoduje.</w:t>
      </w:r>
    </w:p>
    <w:p w:rsidR="000A5D79" w:rsidRPr="00DC01AA" w:rsidRDefault="00FC030A" w:rsidP="00FC030A">
      <w:pPr>
        <w:pStyle w:val="ManualConsidrant"/>
        <w:rPr>
          <w:noProof/>
        </w:rPr>
      </w:pPr>
      <w:r w:rsidRPr="00FC030A">
        <w:rPr>
          <w:noProof/>
        </w:rPr>
        <w:t>(14)</w:t>
      </w:r>
      <w:r w:rsidRPr="00FC030A">
        <w:rPr>
          <w:noProof/>
        </w:rPr>
        <w:tab/>
      </w:r>
      <w:r w:rsidR="000A5D79" w:rsidRPr="00DC01AA">
        <w:rPr>
          <w:noProof/>
        </w:rPr>
        <w:t xml:space="preserve">Nariadením (EÚ) 2024/1623 sa do hlavy III kapitoly 1 </w:t>
      </w:r>
      <w:bookmarkStart w:id="1" w:name="_Hlk174954474"/>
      <w:r w:rsidR="000A5D79" w:rsidRPr="00DC01AA">
        <w:rPr>
          <w:noProof/>
        </w:rPr>
        <w:t xml:space="preserve">nariadenia (EÚ) </w:t>
      </w:r>
      <w:r w:rsidR="00DC01AA">
        <w:rPr>
          <w:noProof/>
        </w:rPr>
        <w:t>č. </w:t>
      </w:r>
      <w:r w:rsidR="000A5D79" w:rsidRPr="00DC01AA">
        <w:rPr>
          <w:noProof/>
        </w:rPr>
        <w:t>575/2013</w:t>
      </w:r>
      <w:bookmarkEnd w:id="1"/>
      <w:r w:rsidR="000A5D79" w:rsidRPr="00DC01AA">
        <w:rPr>
          <w:noProof/>
        </w:rPr>
        <w:t xml:space="preserve"> zaviedol nový jediný prístup nezaložený na modeli na účely výpočtu požiadaviek na vlastné zdroje pre operačné riziko, ktorého cieľom je riešiť nedostatočnú citlivosť na riziká</w:t>
      </w:r>
      <w:r w:rsidR="00DC01AA">
        <w:rPr>
          <w:noProof/>
        </w:rPr>
        <w:t xml:space="preserve"> a </w:t>
      </w:r>
      <w:r w:rsidR="000A5D79" w:rsidRPr="00DC01AA">
        <w:rPr>
          <w:noProof/>
        </w:rPr>
        <w:t>nedostatočnú porovnateľnosť existujúcich prístupov. Na základe diskrečnej právomoci zahrnutej</w:t>
      </w:r>
      <w:r w:rsidR="00DC01AA">
        <w:rPr>
          <w:noProof/>
        </w:rPr>
        <w:t xml:space="preserve"> v </w:t>
      </w:r>
      <w:r w:rsidR="000A5D79" w:rsidRPr="00DC01AA">
        <w:rPr>
          <w:noProof/>
        </w:rPr>
        <w:t>štandardoch Bazilej III sú minimálne požiadavky na vlastné zdroje</w:t>
      </w:r>
      <w:r w:rsidR="00DC01AA">
        <w:rPr>
          <w:noProof/>
        </w:rPr>
        <w:t xml:space="preserve"> v </w:t>
      </w:r>
      <w:r w:rsidR="000A5D79" w:rsidRPr="00DC01AA">
        <w:rPr>
          <w:noProof/>
        </w:rPr>
        <w:t>Únii založené výlučne na výpočte zložky ukazovateľa obchodovania (BIC), zatiaľ čo história strát sa zohľadňuje len na účely zverejňovania informácií. Uvedené zmeny by sa mali zohľadniť vo vzoroch na zverejňovanie informácií, okrem iného tak, že sa stanovia nové vzory na poskytovanie informácií</w:t>
      </w:r>
      <w:r w:rsidR="00DC01AA">
        <w:rPr>
          <w:noProof/>
        </w:rPr>
        <w:t xml:space="preserve"> o </w:t>
      </w:r>
      <w:r w:rsidR="000A5D79" w:rsidRPr="00DC01AA">
        <w:rPr>
          <w:noProof/>
        </w:rPr>
        <w:t>ročných prevádzkových stratách, ku ktorým došlo za posledných 10 rokov, výpočte ukazovateľa, zložiek</w:t>
      </w:r>
      <w:r w:rsidR="00DC01AA">
        <w:rPr>
          <w:noProof/>
        </w:rPr>
        <w:t xml:space="preserve"> a </w:t>
      </w:r>
      <w:r w:rsidR="000A5D79" w:rsidRPr="00DC01AA">
        <w:rPr>
          <w:noProof/>
        </w:rPr>
        <w:t>podzložiek obchodovania</w:t>
      </w:r>
      <w:r w:rsidR="00DC01AA">
        <w:rPr>
          <w:noProof/>
        </w:rPr>
        <w:t xml:space="preserve"> a o </w:t>
      </w:r>
      <w:r w:rsidR="000A5D79" w:rsidRPr="00DC01AA">
        <w:rPr>
          <w:noProof/>
        </w:rPr>
        <w:t>súvisiacich požiadavkách na vlastné zdroje</w:t>
      </w:r>
      <w:r w:rsidR="00DC01AA">
        <w:rPr>
          <w:noProof/>
        </w:rPr>
        <w:t xml:space="preserve"> a </w:t>
      </w:r>
      <w:r w:rsidR="000A5D79" w:rsidRPr="00DC01AA">
        <w:rPr>
          <w:noProof/>
        </w:rPr>
        <w:t>hodnotách rizikových expozícií.</w:t>
      </w:r>
    </w:p>
    <w:p w:rsidR="00A81627" w:rsidRPr="00DC01AA" w:rsidRDefault="00FC030A" w:rsidP="00FC030A">
      <w:pPr>
        <w:pStyle w:val="ManualConsidrant"/>
        <w:rPr>
          <w:noProof/>
        </w:rPr>
      </w:pPr>
      <w:r w:rsidRPr="00FC030A">
        <w:rPr>
          <w:noProof/>
        </w:rPr>
        <w:t>(15)</w:t>
      </w:r>
      <w:r w:rsidRPr="00FC030A">
        <w:rPr>
          <w:noProof/>
        </w:rPr>
        <w:tab/>
      </w:r>
      <w:r w:rsidR="000A5D79" w:rsidRPr="00DC01AA">
        <w:rPr>
          <w:noProof/>
        </w:rPr>
        <w:t xml:space="preserve">V článku 501d ods. 2 nariadenia (EÚ) </w:t>
      </w:r>
      <w:r w:rsidR="00DC01AA">
        <w:rPr>
          <w:noProof/>
        </w:rPr>
        <w:t>č. </w:t>
      </w:r>
      <w:r w:rsidR="000A5D79" w:rsidRPr="00DC01AA">
        <w:rPr>
          <w:noProof/>
        </w:rPr>
        <w:t>575/2013 sa stanovuje, ako majú inštitúcie vypočítavať svoje požiadavky na vlastné zdroje pre kryptoaktívové expozície do dátumu začatia uplatňovania legislatívneho aktu uvedeného</w:t>
      </w:r>
      <w:r w:rsidR="00DC01AA">
        <w:rPr>
          <w:noProof/>
        </w:rPr>
        <w:t xml:space="preserve"> v </w:t>
      </w:r>
      <w:r w:rsidR="000A5D79" w:rsidRPr="00DC01AA">
        <w:rPr>
          <w:noProof/>
        </w:rPr>
        <w:t>článku 501d ods. 1 uvedeného nariadenia. Preto treba stanoviť, ako majú inštitúcie zverejňovať svoje kryptoaktívové expozície počas uvedeného prechodného obdobia.</w:t>
      </w:r>
    </w:p>
    <w:p w:rsidR="0072766F" w:rsidRPr="00DC01AA" w:rsidRDefault="00FC030A" w:rsidP="00FC030A">
      <w:pPr>
        <w:pStyle w:val="ManualConsidrant"/>
        <w:rPr>
          <w:noProof/>
        </w:rPr>
      </w:pPr>
      <w:r w:rsidRPr="00FC030A">
        <w:rPr>
          <w:noProof/>
        </w:rPr>
        <w:t>(16)</w:t>
      </w:r>
      <w:r w:rsidRPr="00FC030A">
        <w:rPr>
          <w:noProof/>
        </w:rPr>
        <w:tab/>
      </w:r>
      <w:r w:rsidR="0072766F" w:rsidRPr="00DC01AA">
        <w:rPr>
          <w:noProof/>
        </w:rPr>
        <w:t xml:space="preserve">Nariadením (EÚ) 2024/1623 sa zmenil článok 434a ods. 1 nariadenia (EÚ) </w:t>
      </w:r>
      <w:r w:rsidR="00DC01AA">
        <w:rPr>
          <w:noProof/>
        </w:rPr>
        <w:t>č. </w:t>
      </w:r>
      <w:r w:rsidR="0072766F" w:rsidRPr="00DC01AA">
        <w:rPr>
          <w:noProof/>
        </w:rPr>
        <w:t>575/2013</w:t>
      </w:r>
      <w:r w:rsidR="00DC01AA">
        <w:rPr>
          <w:noProof/>
        </w:rPr>
        <w:t xml:space="preserve"> a </w:t>
      </w:r>
      <w:r w:rsidR="0072766F" w:rsidRPr="00DC01AA">
        <w:rPr>
          <w:noProof/>
        </w:rPr>
        <w:t>zaviedla sa požiadavka, aby orgán EBA vypracoval IT riešenia vrátane pokynov, ktoré majú inštitúcie používať na zverejňovanie informácií vyžadovaných podľa hláv II</w:t>
      </w:r>
      <w:r w:rsidR="00DC01AA">
        <w:rPr>
          <w:noProof/>
        </w:rPr>
        <w:t xml:space="preserve"> a </w:t>
      </w:r>
      <w:r w:rsidR="0072766F" w:rsidRPr="00DC01AA">
        <w:rPr>
          <w:noProof/>
        </w:rPr>
        <w:t>III uvedeného nariadenia. Vo vzoroch na zverejňovanie informácií by sa preto mali dostatočne jasne uvádzať údajové body</w:t>
      </w:r>
      <w:r w:rsidR="00DC01AA">
        <w:rPr>
          <w:noProof/>
        </w:rPr>
        <w:t xml:space="preserve"> a </w:t>
      </w:r>
      <w:r w:rsidR="0072766F" w:rsidRPr="00DC01AA">
        <w:rPr>
          <w:noProof/>
        </w:rPr>
        <w:t>informácie, ktoré inštitúcie musia zverejňovať, aby sa zabezpečilo, že používatelia budú mať prístup</w:t>
      </w:r>
      <w:r w:rsidR="00DC01AA">
        <w:rPr>
          <w:noProof/>
        </w:rPr>
        <w:t xml:space="preserve"> k </w:t>
      </w:r>
      <w:r w:rsidR="0072766F" w:rsidRPr="00DC01AA">
        <w:rPr>
          <w:noProof/>
        </w:rPr>
        <w:t>dostatočne komplexným</w:t>
      </w:r>
      <w:r w:rsidR="00DC01AA">
        <w:rPr>
          <w:noProof/>
        </w:rPr>
        <w:t xml:space="preserve"> a </w:t>
      </w:r>
      <w:r w:rsidR="0072766F" w:rsidRPr="00DC01AA">
        <w:rPr>
          <w:noProof/>
        </w:rPr>
        <w:t>porovnateľným informáciám</w:t>
      </w:r>
      <w:r w:rsidR="00DC01AA">
        <w:rPr>
          <w:noProof/>
        </w:rPr>
        <w:t xml:space="preserve"> a </w:t>
      </w:r>
      <w:r w:rsidR="0072766F" w:rsidRPr="00DC01AA">
        <w:rPr>
          <w:noProof/>
        </w:rPr>
        <w:t>že sa zachová súlad</w:t>
      </w:r>
      <w:r w:rsidR="00DC01AA">
        <w:rPr>
          <w:noProof/>
        </w:rPr>
        <w:t xml:space="preserve"> s </w:t>
      </w:r>
      <w:r w:rsidR="0072766F" w:rsidRPr="00DC01AA">
        <w:rPr>
          <w:noProof/>
        </w:rPr>
        <w:t>medzinárodnými štandardmi zverejňovania informácií.</w:t>
      </w:r>
      <w:r w:rsidR="00DC01AA">
        <w:rPr>
          <w:noProof/>
        </w:rPr>
        <w:t xml:space="preserve"> V </w:t>
      </w:r>
      <w:r w:rsidR="0072766F" w:rsidRPr="00DC01AA">
        <w:rPr>
          <w:noProof/>
        </w:rPr>
        <w:t>snahe umožniť orgánu EBA, aby vypracoval vhodné IT riešenia, by uvedené jednotné formáty zverejňovania informácií nemali byť záväzné, pokiaľ ide</w:t>
      </w:r>
      <w:r w:rsidR="00DC01AA">
        <w:rPr>
          <w:noProof/>
        </w:rPr>
        <w:t xml:space="preserve"> o </w:t>
      </w:r>
      <w:r w:rsidR="0072766F" w:rsidRPr="00DC01AA">
        <w:rPr>
          <w:noProof/>
        </w:rPr>
        <w:t>ich štruktúru</w:t>
      </w:r>
      <w:r w:rsidR="00DC01AA">
        <w:rPr>
          <w:noProof/>
        </w:rPr>
        <w:t xml:space="preserve"> a </w:t>
      </w:r>
      <w:r w:rsidR="0072766F" w:rsidRPr="00DC01AA">
        <w:rPr>
          <w:noProof/>
        </w:rPr>
        <w:t>prezentáciu. Orgán EBA by mal mať najmä možnosť odchýliť sa od grafickej prezentácie</w:t>
      </w:r>
      <w:r w:rsidR="00DC01AA">
        <w:rPr>
          <w:noProof/>
        </w:rPr>
        <w:t xml:space="preserve"> a </w:t>
      </w:r>
      <w:r w:rsidR="0072766F" w:rsidRPr="00DC01AA">
        <w:rPr>
          <w:noProof/>
        </w:rPr>
        <w:t>tabuľkovej štruktúry vzorov na zverejňovanie informácií, pokiaľ sú do daného IT riešenia zahrnuté všetky požadované údajové body</w:t>
      </w:r>
      <w:r w:rsidR="00DC01AA">
        <w:rPr>
          <w:noProof/>
        </w:rPr>
        <w:t xml:space="preserve"> a </w:t>
      </w:r>
      <w:r w:rsidR="0072766F" w:rsidRPr="00DC01AA">
        <w:rPr>
          <w:noProof/>
        </w:rPr>
        <w:t>informácie.</w:t>
      </w:r>
    </w:p>
    <w:p w:rsidR="005F4989" w:rsidRPr="00DC01AA" w:rsidRDefault="00FC030A" w:rsidP="00FC030A">
      <w:pPr>
        <w:pStyle w:val="ManualConsidrant"/>
        <w:rPr>
          <w:noProof/>
          <w:szCs w:val="24"/>
        </w:rPr>
      </w:pPr>
      <w:r w:rsidRPr="00FC030A">
        <w:rPr>
          <w:noProof/>
        </w:rPr>
        <w:t>(17)</w:t>
      </w:r>
      <w:r w:rsidRPr="00FC030A">
        <w:rPr>
          <w:noProof/>
        </w:rPr>
        <w:tab/>
      </w:r>
      <w:r w:rsidR="005F4989" w:rsidRPr="00DC01AA">
        <w:rPr>
          <w:noProof/>
        </w:rPr>
        <w:t>Aby mali inštitúcie</w:t>
      </w:r>
      <w:r w:rsidR="00DC01AA">
        <w:rPr>
          <w:noProof/>
        </w:rPr>
        <w:t xml:space="preserve"> k </w:t>
      </w:r>
      <w:r w:rsidR="005F4989" w:rsidRPr="00DC01AA">
        <w:rPr>
          <w:noProof/>
        </w:rPr>
        <w:t>dispozícii komplexný integrovaný súbor jednotných formátov zverejňovania informácií</w:t>
      </w:r>
      <w:r w:rsidR="00DC01AA">
        <w:rPr>
          <w:noProof/>
        </w:rPr>
        <w:t xml:space="preserve"> a </w:t>
      </w:r>
      <w:r w:rsidR="005F4989" w:rsidRPr="00DC01AA">
        <w:rPr>
          <w:noProof/>
        </w:rPr>
        <w:t xml:space="preserve">aby sa zabezpečila vysoká kvalita zverejňovaných informácií pri súčasnom zohľadnení prístupu podľa revidovaného článku 434a ods. 1 nariadenia (EÚ) </w:t>
      </w:r>
      <w:r w:rsidR="00DC01AA">
        <w:rPr>
          <w:noProof/>
        </w:rPr>
        <w:t>č. </w:t>
      </w:r>
      <w:r w:rsidR="005F4989" w:rsidRPr="00DC01AA">
        <w:rPr>
          <w:noProof/>
        </w:rPr>
        <w:t>575/2013, treba zrušiť vykonávacie nariadenie Komisie (EÚ) 2021/637</w:t>
      </w:r>
      <w:r w:rsidR="00DC01AA">
        <w:rPr>
          <w:noProof/>
        </w:rPr>
        <w:t xml:space="preserve"> a </w:t>
      </w:r>
      <w:r w:rsidR="005F4989" w:rsidRPr="00DC01AA">
        <w:rPr>
          <w:noProof/>
        </w:rPr>
        <w:t>nahradiť ho týmto nariadením.</w:t>
      </w:r>
    </w:p>
    <w:p w:rsidR="000A5D79" w:rsidRPr="00DC01AA" w:rsidRDefault="00FC030A" w:rsidP="00FC030A">
      <w:pPr>
        <w:pStyle w:val="ManualConsidrant"/>
        <w:rPr>
          <w:noProof/>
          <w:sz w:val="22"/>
        </w:rPr>
      </w:pPr>
      <w:r w:rsidRPr="00FC030A">
        <w:rPr>
          <w:noProof/>
        </w:rPr>
        <w:t>(18)</w:t>
      </w:r>
      <w:r w:rsidRPr="00FC030A">
        <w:rPr>
          <w:noProof/>
        </w:rPr>
        <w:tab/>
      </w:r>
      <w:r w:rsidR="00DF17AE" w:rsidRPr="00DC01AA">
        <w:rPr>
          <w:noProof/>
        </w:rPr>
        <w:t>V snahe zabezpečiť včasné</w:t>
      </w:r>
      <w:r w:rsidR="00DC01AA">
        <w:rPr>
          <w:noProof/>
        </w:rPr>
        <w:t xml:space="preserve"> a </w:t>
      </w:r>
      <w:r w:rsidR="00DF17AE" w:rsidRPr="00DC01AA">
        <w:rPr>
          <w:noProof/>
        </w:rPr>
        <w:t>kvalitné zverejňovanie inštitúciami by sa im mal poskytnúť dostatočný čas na to, aby svoje interné systémy prispôsobili vzhľadom na zmeny, ktoré sa do existujúceho rámca zverejňovania informácií zavádzajú týmto nariadením.</w:t>
      </w:r>
    </w:p>
    <w:p w:rsidR="000A5D79" w:rsidRPr="00DC01AA" w:rsidRDefault="00FC030A" w:rsidP="00FC030A">
      <w:pPr>
        <w:pStyle w:val="ManualConsidrant"/>
        <w:rPr>
          <w:noProof/>
        </w:rPr>
      </w:pPr>
      <w:r w:rsidRPr="00FC030A">
        <w:rPr>
          <w:noProof/>
        </w:rPr>
        <w:t>(19)</w:t>
      </w:r>
      <w:r w:rsidRPr="00FC030A">
        <w:rPr>
          <w:noProof/>
        </w:rPr>
        <w:tab/>
      </w:r>
      <w:r w:rsidR="000A5D79" w:rsidRPr="00DC01AA">
        <w:rPr>
          <w:noProof/>
        </w:rPr>
        <w:t>Toto nariadenie vychádza</w:t>
      </w:r>
      <w:r w:rsidR="00DC01AA">
        <w:rPr>
          <w:noProof/>
        </w:rPr>
        <w:t xml:space="preserve"> z </w:t>
      </w:r>
      <w:r w:rsidR="000A5D79" w:rsidRPr="00DC01AA">
        <w:rPr>
          <w:noProof/>
        </w:rPr>
        <w:t>návrhu vykonávacích technických predpisov, ktorý Komisii predložil Európsky orgán pre bankovníctvo.</w:t>
      </w:r>
    </w:p>
    <w:p w:rsidR="00DC01AA" w:rsidRDefault="00FC030A" w:rsidP="00FC030A">
      <w:pPr>
        <w:pStyle w:val="ManualConsidrant"/>
        <w:rPr>
          <w:noProof/>
        </w:rPr>
      </w:pPr>
      <w:r w:rsidRPr="00FC030A">
        <w:rPr>
          <w:noProof/>
        </w:rPr>
        <w:t>(20)</w:t>
      </w:r>
      <w:r w:rsidRPr="00FC030A">
        <w:rPr>
          <w:noProof/>
        </w:rPr>
        <w:tab/>
      </w:r>
      <w:r w:rsidR="000A5D79" w:rsidRPr="00DC01AA">
        <w:rPr>
          <w:noProof/>
        </w:rPr>
        <w:t>Európsky orgán pre bankovníctvo vykonal otvorené verejné konzultácie</w:t>
      </w:r>
      <w:r w:rsidR="00DC01AA">
        <w:rPr>
          <w:noProof/>
        </w:rPr>
        <w:t xml:space="preserve"> k </w:t>
      </w:r>
      <w:r w:rsidR="000A5D79" w:rsidRPr="00DC01AA">
        <w:rPr>
          <w:noProof/>
        </w:rPr>
        <w:t>návrhu vykonávacích technických predpisov,</w:t>
      </w:r>
      <w:r w:rsidR="00DC01AA">
        <w:rPr>
          <w:noProof/>
        </w:rPr>
        <w:t xml:space="preserve"> z </w:t>
      </w:r>
      <w:r w:rsidR="000A5D79" w:rsidRPr="00DC01AA">
        <w:rPr>
          <w:noProof/>
        </w:rPr>
        <w:t>ktorého vychádza toto nariadenie, analyzoval možné súvisiace náklady</w:t>
      </w:r>
      <w:r w:rsidR="00DC01AA">
        <w:rPr>
          <w:noProof/>
        </w:rPr>
        <w:t xml:space="preserve"> a </w:t>
      </w:r>
      <w:r w:rsidR="000A5D79" w:rsidRPr="00DC01AA">
        <w:rPr>
          <w:noProof/>
        </w:rPr>
        <w:t>prínosy</w:t>
      </w:r>
      <w:r w:rsidR="00DC01AA">
        <w:rPr>
          <w:noProof/>
        </w:rPr>
        <w:t xml:space="preserve"> a </w:t>
      </w:r>
      <w:r w:rsidR="000A5D79" w:rsidRPr="00DC01AA">
        <w:rPr>
          <w:noProof/>
        </w:rPr>
        <w:t>požiadal</w:t>
      </w:r>
      <w:r w:rsidR="00DC01AA">
        <w:rPr>
          <w:noProof/>
        </w:rPr>
        <w:t xml:space="preserve"> o </w:t>
      </w:r>
      <w:r w:rsidR="000A5D79" w:rsidRPr="00DC01AA">
        <w:rPr>
          <w:noProof/>
        </w:rPr>
        <w:t>poradenstvo Skupinu zainteresovaných strán</w:t>
      </w:r>
      <w:r w:rsidR="00DC01AA">
        <w:rPr>
          <w:noProof/>
        </w:rPr>
        <w:t xml:space="preserve"> v </w:t>
      </w:r>
      <w:r w:rsidR="000A5D79" w:rsidRPr="00DC01AA">
        <w:rPr>
          <w:noProof/>
        </w:rPr>
        <w:t>bankovníctve vytvorenú</w:t>
      </w:r>
      <w:r w:rsidR="00DC01AA">
        <w:rPr>
          <w:noProof/>
        </w:rPr>
        <w:t xml:space="preserve"> v </w:t>
      </w:r>
      <w:r w:rsidR="000A5D79" w:rsidRPr="00DC01AA">
        <w:rPr>
          <w:noProof/>
        </w:rPr>
        <w:t>súlade</w:t>
      </w:r>
      <w:r w:rsidR="00DC01AA">
        <w:rPr>
          <w:noProof/>
        </w:rPr>
        <w:t xml:space="preserve"> s </w:t>
      </w:r>
      <w:r w:rsidR="000A5D79" w:rsidRPr="00DC01AA">
        <w:rPr>
          <w:noProof/>
        </w:rPr>
        <w:t>článkom 37 nariadenia Európskeho parlamentu</w:t>
      </w:r>
      <w:r w:rsidR="00DC01AA">
        <w:rPr>
          <w:noProof/>
        </w:rPr>
        <w:t xml:space="preserve"> a </w:t>
      </w:r>
      <w:r w:rsidR="000A5D79" w:rsidRPr="00DC01AA">
        <w:rPr>
          <w:noProof/>
        </w:rPr>
        <w:t xml:space="preserve">Rady (EÚ) </w:t>
      </w:r>
      <w:r w:rsidR="00DC01AA">
        <w:rPr>
          <w:noProof/>
        </w:rPr>
        <w:t>č. </w:t>
      </w:r>
      <w:r w:rsidR="000A5D79" w:rsidRPr="00DC01AA">
        <w:rPr>
          <w:noProof/>
        </w:rPr>
        <w:t>1093/2010</w:t>
      </w:r>
      <w:r w:rsidR="000A5D79" w:rsidRPr="00DC01AA">
        <w:rPr>
          <w:rStyle w:val="FootnoteReference"/>
          <w:noProof/>
        </w:rPr>
        <w:footnoteReference w:id="10"/>
      </w:r>
      <w:r w:rsidR="000A5D79" w:rsidRPr="00DC01AA">
        <w:rPr>
          <w:noProof/>
        </w:rPr>
        <w:t>,</w:t>
      </w:r>
    </w:p>
    <w:p w:rsidR="0050796F" w:rsidRPr="00DC01AA" w:rsidRDefault="0050796F">
      <w:pPr>
        <w:pStyle w:val="Formuledadoption"/>
        <w:rPr>
          <w:noProof/>
        </w:rPr>
      </w:pPr>
      <w:r w:rsidRPr="00DC01AA">
        <w:rPr>
          <w:noProof/>
        </w:rPr>
        <w:t>PRIJALA TOTO NARIADENIE:</w:t>
      </w:r>
    </w:p>
    <w:p w:rsidR="00905855" w:rsidRPr="00DC01AA" w:rsidRDefault="00905855" w:rsidP="00905855">
      <w:pPr>
        <w:pStyle w:val="Titrearticle"/>
        <w:rPr>
          <w:noProof/>
        </w:rPr>
      </w:pPr>
      <w:r w:rsidRPr="00DC01AA">
        <w:rPr>
          <w:noProof/>
        </w:rPr>
        <w:t>Článok 1</w:t>
      </w:r>
    </w:p>
    <w:p w:rsidR="000A5D79" w:rsidRPr="00DC01AA" w:rsidRDefault="000A5D79" w:rsidP="000A5D79">
      <w:pPr>
        <w:pStyle w:val="Titrearticle"/>
        <w:spacing w:before="120"/>
        <w:rPr>
          <w:b/>
          <w:i w:val="0"/>
          <w:noProof/>
        </w:rPr>
      </w:pPr>
      <w:r w:rsidRPr="00DC01AA">
        <w:rPr>
          <w:b/>
          <w:i w:val="0"/>
          <w:noProof/>
        </w:rPr>
        <w:t>Zverejňovanie kľúčových parametrov</w:t>
      </w:r>
      <w:r w:rsidR="00DC01AA">
        <w:rPr>
          <w:b/>
          <w:i w:val="0"/>
          <w:noProof/>
        </w:rPr>
        <w:t xml:space="preserve"> a </w:t>
      </w:r>
      <w:r w:rsidRPr="00DC01AA">
        <w:rPr>
          <w:b/>
          <w:i w:val="0"/>
          <w:noProof/>
        </w:rPr>
        <w:t>prehľad hodnôt rizikovo vážených expozícií</w:t>
      </w:r>
    </w:p>
    <w:p w:rsidR="000A5D79" w:rsidRPr="00DC01AA" w:rsidRDefault="000A5D79" w:rsidP="00905855">
      <w:pPr>
        <w:rPr>
          <w:noProof/>
        </w:rPr>
      </w:pPr>
      <w:r w:rsidRPr="00DC01AA">
        <w:rPr>
          <w:noProof/>
        </w:rPr>
        <w:t>Inštitúcie zverejňujú informácie uvedené</w:t>
      </w:r>
      <w:r w:rsidR="00DC01AA">
        <w:rPr>
          <w:noProof/>
        </w:rPr>
        <w:t xml:space="preserve"> v </w:t>
      </w:r>
      <w:r w:rsidRPr="00DC01AA">
        <w:rPr>
          <w:noProof/>
        </w:rPr>
        <w:t>článku 438 písm. a) až d), f)</w:t>
      </w:r>
      <w:r w:rsidR="00DC01AA">
        <w:rPr>
          <w:noProof/>
        </w:rPr>
        <w:t xml:space="preserve"> a </w:t>
      </w:r>
      <w:r w:rsidRPr="00DC01AA">
        <w:rPr>
          <w:noProof/>
        </w:rPr>
        <w:t>g)</w:t>
      </w:r>
      <w:r w:rsidR="00DC01AA">
        <w:rPr>
          <w:noProof/>
        </w:rPr>
        <w:t xml:space="preserve"> a </w:t>
      </w:r>
      <w:r w:rsidRPr="00DC01AA">
        <w:rPr>
          <w:noProof/>
        </w:rPr>
        <w:t xml:space="preserve">článku 447 písm. a) až g) nariadenia (EÚ) </w:t>
      </w:r>
      <w:r w:rsidR="00DC01AA">
        <w:rPr>
          <w:noProof/>
        </w:rPr>
        <w:t>č. </w:t>
      </w:r>
      <w:r w:rsidRPr="00DC01AA">
        <w:rPr>
          <w:noProof/>
        </w:rPr>
        <w:t>575/2013, ako sa uvádza</w:t>
      </w:r>
      <w:r w:rsidR="00DC01AA">
        <w:rPr>
          <w:noProof/>
        </w:rPr>
        <w:t xml:space="preserve"> v </w:t>
      </w:r>
      <w:r w:rsidRPr="00DC01AA">
        <w:rPr>
          <w:noProof/>
        </w:rPr>
        <w:t>oddiele 1 „Zverejňovanie prehľadu riadenia rizík, kľúčových prudenciálnych parametrov</w:t>
      </w:r>
      <w:r w:rsidR="00DC01AA">
        <w:rPr>
          <w:noProof/>
        </w:rPr>
        <w:t xml:space="preserve"> a </w:t>
      </w:r>
      <w:r w:rsidRPr="00DC01AA">
        <w:rPr>
          <w:noProof/>
        </w:rPr>
        <w:t>rizikovo vážených aktív“</w:t>
      </w:r>
      <w:r w:rsidR="00DC01AA">
        <w:rPr>
          <w:noProof/>
        </w:rPr>
        <w:t xml:space="preserve"> v </w:t>
      </w:r>
      <w:r w:rsidRPr="00DC01AA">
        <w:rPr>
          <w:noProof/>
        </w:rPr>
        <w:t>prílohe I.</w:t>
      </w:r>
    </w:p>
    <w:p w:rsidR="000A5D79" w:rsidRPr="00DC01AA" w:rsidRDefault="000A5D79" w:rsidP="000A5D79">
      <w:pPr>
        <w:pStyle w:val="Titrearticle"/>
        <w:rPr>
          <w:noProof/>
        </w:rPr>
      </w:pPr>
      <w:r w:rsidRPr="00DC01AA">
        <w:rPr>
          <w:noProof/>
        </w:rPr>
        <w:t>Článok 2</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cieľoch</w:t>
      </w:r>
      <w:r w:rsidR="00DC01AA">
        <w:rPr>
          <w:b/>
          <w:i w:val="0"/>
          <w:noProof/>
        </w:rPr>
        <w:t xml:space="preserve"> a </w:t>
      </w:r>
      <w:r w:rsidRPr="00DC01AA">
        <w:rPr>
          <w:b/>
          <w:i w:val="0"/>
          <w:noProof/>
        </w:rPr>
        <w:t>politikách riadenia rizík</w:t>
      </w:r>
    </w:p>
    <w:p w:rsidR="000A5D79" w:rsidRPr="00DC01AA" w:rsidRDefault="000A5D79" w:rsidP="00905855">
      <w:pPr>
        <w:rPr>
          <w:noProof/>
        </w:rPr>
      </w:pPr>
      <w:r w:rsidRPr="00DC01AA">
        <w:rPr>
          <w:noProof/>
        </w:rPr>
        <w:t>Inštitúcie zverejňujú informácie uvedené</w:t>
      </w:r>
      <w:r w:rsidR="00DC01AA">
        <w:rPr>
          <w:noProof/>
        </w:rPr>
        <w:t xml:space="preserve"> v </w:t>
      </w:r>
      <w:r w:rsidRPr="00DC01AA">
        <w:rPr>
          <w:noProof/>
        </w:rPr>
        <w:t xml:space="preserve">článku 435 nariadenia (EÚ) </w:t>
      </w:r>
      <w:r w:rsidR="00DC01AA">
        <w:rPr>
          <w:noProof/>
        </w:rPr>
        <w:t>č. </w:t>
      </w:r>
      <w:r w:rsidRPr="00DC01AA">
        <w:rPr>
          <w:noProof/>
        </w:rPr>
        <w:t>575/2013, ako sa uvádza</w:t>
      </w:r>
      <w:r w:rsidR="00DC01AA">
        <w:rPr>
          <w:noProof/>
        </w:rPr>
        <w:t xml:space="preserve"> v </w:t>
      </w:r>
      <w:r w:rsidRPr="00DC01AA">
        <w:rPr>
          <w:noProof/>
        </w:rPr>
        <w:t>oddiele 2 „Zverejňovanie informácií</w:t>
      </w:r>
      <w:r w:rsidR="00DC01AA">
        <w:rPr>
          <w:noProof/>
        </w:rPr>
        <w:t xml:space="preserve"> o </w:t>
      </w:r>
      <w:r w:rsidRPr="00DC01AA">
        <w:rPr>
          <w:noProof/>
        </w:rPr>
        <w:t>cieľoch</w:t>
      </w:r>
      <w:r w:rsidR="00DC01AA">
        <w:rPr>
          <w:noProof/>
        </w:rPr>
        <w:t xml:space="preserve"> a </w:t>
      </w:r>
      <w:r w:rsidRPr="00DC01AA">
        <w:rPr>
          <w:noProof/>
        </w:rPr>
        <w:t>politikách riadenia rizík“</w:t>
      </w:r>
      <w:r w:rsidR="00DC01AA">
        <w:rPr>
          <w:noProof/>
        </w:rPr>
        <w:t xml:space="preserve"> v </w:t>
      </w:r>
      <w:r w:rsidRPr="00DC01AA">
        <w:rPr>
          <w:noProof/>
        </w:rPr>
        <w:t>prílohe I.</w:t>
      </w:r>
    </w:p>
    <w:p w:rsidR="000A5D79" w:rsidRPr="00DC01AA" w:rsidRDefault="000A5D79" w:rsidP="000A5D79">
      <w:pPr>
        <w:pStyle w:val="Titrearticle"/>
        <w:rPr>
          <w:noProof/>
        </w:rPr>
      </w:pPr>
      <w:r w:rsidRPr="00DC01AA">
        <w:rPr>
          <w:noProof/>
        </w:rPr>
        <w:t>Článok 3</w:t>
      </w:r>
    </w:p>
    <w:p w:rsidR="00DC01AA" w:rsidRDefault="000A5D79" w:rsidP="000A5D79">
      <w:pPr>
        <w:pStyle w:val="Titrearticle"/>
        <w:tabs>
          <w:tab w:val="left" w:pos="567"/>
        </w:tabs>
        <w:spacing w:before="120"/>
        <w:rPr>
          <w:b/>
          <w:i w:val="0"/>
          <w:noProof/>
        </w:rPr>
      </w:pPr>
      <w:r w:rsidRPr="00DC01AA">
        <w:rPr>
          <w:b/>
          <w:i w:val="0"/>
          <w:noProof/>
        </w:rPr>
        <w:t>Zverejňovanie informácií</w:t>
      </w:r>
      <w:r w:rsidR="00DC01AA">
        <w:rPr>
          <w:b/>
          <w:i w:val="0"/>
          <w:noProof/>
        </w:rPr>
        <w:t xml:space="preserve"> o </w:t>
      </w:r>
      <w:r w:rsidRPr="00DC01AA">
        <w:rPr>
          <w:b/>
          <w:i w:val="0"/>
          <w:noProof/>
        </w:rPr>
        <w:t>rozsahu uplatňovania</w:t>
      </w:r>
    </w:p>
    <w:p w:rsidR="00DC01AA" w:rsidRDefault="000A5D79" w:rsidP="00905855">
      <w:pPr>
        <w:rPr>
          <w:noProof/>
        </w:rPr>
      </w:pPr>
      <w:r w:rsidRPr="00DC01AA">
        <w:rPr>
          <w:noProof/>
        </w:rPr>
        <w:t>Inštitúcie zverejňujú informácie uvedené</w:t>
      </w:r>
      <w:r w:rsidR="00DC01AA">
        <w:rPr>
          <w:noProof/>
        </w:rPr>
        <w:t xml:space="preserve"> v </w:t>
      </w:r>
      <w:r w:rsidRPr="00DC01AA">
        <w:rPr>
          <w:noProof/>
        </w:rPr>
        <w:t xml:space="preserve">článku 436 písm. b) až h) nariadenia (EÚ) </w:t>
      </w:r>
      <w:r w:rsidR="00DC01AA">
        <w:rPr>
          <w:noProof/>
        </w:rPr>
        <w:t>č. </w:t>
      </w:r>
      <w:r w:rsidRPr="00DC01AA">
        <w:rPr>
          <w:noProof/>
        </w:rPr>
        <w:t>575/2013, ako sa uvádza</w:t>
      </w:r>
      <w:r w:rsidR="00DC01AA">
        <w:rPr>
          <w:noProof/>
        </w:rPr>
        <w:t xml:space="preserve"> v </w:t>
      </w:r>
      <w:r w:rsidRPr="00DC01AA">
        <w:rPr>
          <w:noProof/>
        </w:rPr>
        <w:t>oddiele 3 „Zverejňovanie informácií</w:t>
      </w:r>
      <w:r w:rsidR="00DC01AA">
        <w:rPr>
          <w:noProof/>
        </w:rPr>
        <w:t xml:space="preserve"> o </w:t>
      </w:r>
      <w:r w:rsidRPr="00DC01AA">
        <w:rPr>
          <w:noProof/>
        </w:rPr>
        <w:t>rozsahu uplatňovania“</w:t>
      </w:r>
      <w:r w:rsidR="00DC01AA">
        <w:rPr>
          <w:noProof/>
        </w:rPr>
        <w:t xml:space="preserve"> v </w:t>
      </w:r>
      <w:r w:rsidRPr="00DC01AA">
        <w:rPr>
          <w:noProof/>
        </w:rPr>
        <w:t>prílohe I</w:t>
      </w:r>
      <w:r w:rsidR="00DC01AA">
        <w:rPr>
          <w:noProof/>
        </w:rPr>
        <w:t>.</w:t>
      </w:r>
    </w:p>
    <w:p w:rsidR="000A5D79" w:rsidRPr="00DC01AA" w:rsidRDefault="000A5D79" w:rsidP="000A5D79">
      <w:pPr>
        <w:pStyle w:val="Titrearticle"/>
        <w:rPr>
          <w:noProof/>
        </w:rPr>
      </w:pPr>
      <w:r w:rsidRPr="00DC01AA">
        <w:rPr>
          <w:noProof/>
        </w:rPr>
        <w:t>Článok 4</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vlastných zdrojoch</w:t>
      </w:r>
    </w:p>
    <w:p w:rsidR="000A5D79" w:rsidRPr="00DC01AA" w:rsidRDefault="000A5D79" w:rsidP="000A5D79">
      <w:pPr>
        <w:rPr>
          <w:noProof/>
        </w:rPr>
      </w:pPr>
      <w:r w:rsidRPr="00DC01AA">
        <w:rPr>
          <w:noProof/>
        </w:rPr>
        <w:t>Inštitúcie zverejňujú informácie uvedené</w:t>
      </w:r>
      <w:r w:rsidR="00DC01AA">
        <w:rPr>
          <w:noProof/>
        </w:rPr>
        <w:t xml:space="preserve"> v </w:t>
      </w:r>
      <w:r w:rsidRPr="00DC01AA">
        <w:rPr>
          <w:noProof/>
        </w:rPr>
        <w:t xml:space="preserve">článku 437 písm. a) až f) nariadenia (EÚ) </w:t>
      </w:r>
      <w:r w:rsidR="00DC01AA">
        <w:rPr>
          <w:noProof/>
        </w:rPr>
        <w:t>č. </w:t>
      </w:r>
      <w:r w:rsidRPr="00DC01AA">
        <w:rPr>
          <w:noProof/>
        </w:rPr>
        <w:t>575/2013, ako sa uvádza</w:t>
      </w:r>
      <w:r w:rsidR="00DC01AA">
        <w:rPr>
          <w:noProof/>
        </w:rPr>
        <w:t xml:space="preserve"> v </w:t>
      </w:r>
      <w:r w:rsidRPr="00DC01AA">
        <w:rPr>
          <w:noProof/>
        </w:rPr>
        <w:t>oddiele 4 „Zverejňovanie informácií</w:t>
      </w:r>
      <w:r w:rsidR="00DC01AA">
        <w:rPr>
          <w:noProof/>
        </w:rPr>
        <w:t xml:space="preserve"> o </w:t>
      </w:r>
      <w:r w:rsidRPr="00DC01AA">
        <w:rPr>
          <w:noProof/>
        </w:rPr>
        <w:t>vlastných zdrojoch“</w:t>
      </w:r>
      <w:r w:rsidR="00DC01AA">
        <w:rPr>
          <w:noProof/>
        </w:rPr>
        <w:t xml:space="preserve"> v </w:t>
      </w:r>
      <w:r w:rsidRPr="00DC01AA">
        <w:rPr>
          <w:noProof/>
        </w:rPr>
        <w:t>prílohe I.</w:t>
      </w:r>
    </w:p>
    <w:p w:rsidR="00DC01AA" w:rsidRDefault="000A5D79" w:rsidP="000A5D79">
      <w:pPr>
        <w:pStyle w:val="Titrearticle"/>
        <w:rPr>
          <w:noProof/>
        </w:rPr>
      </w:pPr>
      <w:r w:rsidRPr="00DC01AA">
        <w:rPr>
          <w:noProof/>
        </w:rPr>
        <w:t>Článok 5</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proticyklických kapitálových vankúšoch</w:t>
      </w:r>
    </w:p>
    <w:p w:rsidR="00DC01AA" w:rsidRDefault="000A5D79" w:rsidP="000A5D79">
      <w:pPr>
        <w:rPr>
          <w:noProof/>
        </w:rPr>
      </w:pPr>
      <w:r w:rsidRPr="00DC01AA">
        <w:rPr>
          <w:noProof/>
        </w:rPr>
        <w:t>Inštitúcie zverejňujú informácie uvedené</w:t>
      </w:r>
      <w:r w:rsidR="00DC01AA">
        <w:rPr>
          <w:noProof/>
        </w:rPr>
        <w:t xml:space="preserve"> v </w:t>
      </w:r>
      <w:r w:rsidRPr="00DC01AA">
        <w:rPr>
          <w:noProof/>
        </w:rPr>
        <w:t>článku 440 písm. a)</w:t>
      </w:r>
      <w:r w:rsidR="00DC01AA">
        <w:rPr>
          <w:noProof/>
        </w:rPr>
        <w:t xml:space="preserve"> a </w:t>
      </w:r>
      <w:r w:rsidRPr="00DC01AA">
        <w:rPr>
          <w:noProof/>
        </w:rPr>
        <w:t xml:space="preserve">b) nariadenia (EÚ) </w:t>
      </w:r>
      <w:r w:rsidR="00DC01AA">
        <w:rPr>
          <w:noProof/>
        </w:rPr>
        <w:t>č. </w:t>
      </w:r>
      <w:r w:rsidRPr="00DC01AA">
        <w:rPr>
          <w:noProof/>
        </w:rPr>
        <w:t>575/2013, ako sa uvádza</w:t>
      </w:r>
      <w:r w:rsidR="00DC01AA">
        <w:rPr>
          <w:noProof/>
        </w:rPr>
        <w:t xml:space="preserve"> v </w:t>
      </w:r>
      <w:r w:rsidRPr="00DC01AA">
        <w:rPr>
          <w:noProof/>
        </w:rPr>
        <w:t>oddiele 5 „Zverejňovanie informácií</w:t>
      </w:r>
      <w:r w:rsidR="00DC01AA">
        <w:rPr>
          <w:noProof/>
        </w:rPr>
        <w:t xml:space="preserve"> o </w:t>
      </w:r>
      <w:r w:rsidRPr="00DC01AA">
        <w:rPr>
          <w:noProof/>
        </w:rPr>
        <w:t>proticyklických kapitálových vankúšoch“</w:t>
      </w:r>
      <w:r w:rsidR="00DC01AA">
        <w:rPr>
          <w:noProof/>
        </w:rPr>
        <w:t xml:space="preserve"> v </w:t>
      </w:r>
      <w:r w:rsidRPr="00DC01AA">
        <w:rPr>
          <w:noProof/>
        </w:rPr>
        <w:t>prílohe I</w:t>
      </w:r>
      <w:r w:rsidR="00DC01AA">
        <w:rPr>
          <w:noProof/>
        </w:rPr>
        <w:t>.</w:t>
      </w:r>
    </w:p>
    <w:p w:rsidR="000A5D79" w:rsidRPr="00DC01AA" w:rsidRDefault="000A5D79" w:rsidP="000A5D79">
      <w:pPr>
        <w:pStyle w:val="Titrearticle"/>
        <w:rPr>
          <w:noProof/>
        </w:rPr>
      </w:pPr>
      <w:r w:rsidRPr="00DC01AA">
        <w:rPr>
          <w:noProof/>
        </w:rPr>
        <w:t>Článok 6</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ukazovateli finančnej páky</w:t>
      </w:r>
    </w:p>
    <w:p w:rsidR="000A5D79" w:rsidRPr="00DC01AA" w:rsidRDefault="000A5D79" w:rsidP="000A5D79">
      <w:pPr>
        <w:rPr>
          <w:noProof/>
        </w:rPr>
      </w:pPr>
      <w:r w:rsidRPr="00DC01AA">
        <w:rPr>
          <w:noProof/>
        </w:rPr>
        <w:t>Inštitúcie zverejňujú informácie uvedené</w:t>
      </w:r>
      <w:r w:rsidR="00DC01AA">
        <w:rPr>
          <w:noProof/>
        </w:rPr>
        <w:t xml:space="preserve"> v </w:t>
      </w:r>
      <w:r w:rsidRPr="00DC01AA">
        <w:rPr>
          <w:noProof/>
        </w:rPr>
        <w:t>článku 451 ods. 1 písm. a) až e)</w:t>
      </w:r>
      <w:r w:rsidR="00DC01AA">
        <w:rPr>
          <w:noProof/>
        </w:rPr>
        <w:t xml:space="preserve"> a </w:t>
      </w:r>
      <w:r w:rsidRPr="00DC01AA">
        <w:rPr>
          <w:noProof/>
        </w:rPr>
        <w:t>článku 451 ods. 2</w:t>
      </w:r>
      <w:r w:rsidR="00DC01AA">
        <w:rPr>
          <w:noProof/>
        </w:rPr>
        <w:t xml:space="preserve"> a </w:t>
      </w:r>
      <w:r w:rsidRPr="00DC01AA">
        <w:rPr>
          <w:noProof/>
        </w:rPr>
        <w:t xml:space="preserve">3 nariadenia (EÚ) </w:t>
      </w:r>
      <w:r w:rsidR="00DC01AA">
        <w:rPr>
          <w:noProof/>
        </w:rPr>
        <w:t>č. </w:t>
      </w:r>
      <w:r w:rsidRPr="00DC01AA">
        <w:rPr>
          <w:noProof/>
        </w:rPr>
        <w:t>575/2013</w:t>
      </w:r>
      <w:bookmarkStart w:id="2" w:name="_Hlk168653610"/>
      <w:r w:rsidRPr="00DC01AA">
        <w:rPr>
          <w:noProof/>
        </w:rPr>
        <w:t>, ako sa uvádza</w:t>
      </w:r>
      <w:r w:rsidR="00DC01AA">
        <w:rPr>
          <w:noProof/>
        </w:rPr>
        <w:t xml:space="preserve"> v </w:t>
      </w:r>
      <w:r w:rsidRPr="00DC01AA">
        <w:rPr>
          <w:noProof/>
        </w:rPr>
        <w:t>oddiele 6 „Zverejňovanie informácií</w:t>
      </w:r>
      <w:r w:rsidR="00DC01AA">
        <w:rPr>
          <w:noProof/>
        </w:rPr>
        <w:t xml:space="preserve"> o </w:t>
      </w:r>
      <w:r w:rsidRPr="00DC01AA">
        <w:rPr>
          <w:noProof/>
        </w:rPr>
        <w:t>ukazovateli finančnej páky“</w:t>
      </w:r>
      <w:r w:rsidR="00DC01AA">
        <w:rPr>
          <w:noProof/>
        </w:rPr>
        <w:t xml:space="preserve"> v </w:t>
      </w:r>
      <w:r w:rsidRPr="00DC01AA">
        <w:rPr>
          <w:noProof/>
        </w:rPr>
        <w:t>prílohe I.</w:t>
      </w:r>
    </w:p>
    <w:bookmarkEnd w:id="2"/>
    <w:p w:rsidR="00DC01AA" w:rsidRDefault="000A5D79" w:rsidP="000A5D79">
      <w:pPr>
        <w:pStyle w:val="Titrearticle"/>
        <w:rPr>
          <w:noProof/>
        </w:rPr>
      </w:pPr>
      <w:r w:rsidRPr="00DC01AA">
        <w:rPr>
          <w:noProof/>
        </w:rPr>
        <w:t>Článok 7</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ukazovateľoch globálneho systémového významu</w:t>
      </w:r>
    </w:p>
    <w:p w:rsidR="00DC01AA" w:rsidRDefault="00FC030A" w:rsidP="00FC030A">
      <w:pPr>
        <w:pStyle w:val="ManualNumPar1"/>
        <w:rPr>
          <w:noProof/>
        </w:rPr>
      </w:pPr>
      <w:r w:rsidRPr="00FC030A">
        <w:rPr>
          <w:noProof/>
        </w:rPr>
        <w:t>1.</w:t>
      </w:r>
      <w:r w:rsidRPr="00FC030A">
        <w:rPr>
          <w:noProof/>
        </w:rPr>
        <w:tab/>
      </w:r>
      <w:r w:rsidR="00FA266C" w:rsidRPr="00DC01AA">
        <w:rPr>
          <w:noProof/>
        </w:rPr>
        <w:t>Globálne systémovo významné inštitúcie (G-SII) zverejňujú informácie</w:t>
      </w:r>
      <w:r w:rsidR="00DC01AA">
        <w:rPr>
          <w:noProof/>
        </w:rPr>
        <w:t xml:space="preserve"> o </w:t>
      </w:r>
      <w:r w:rsidR="00FA266C" w:rsidRPr="00DC01AA">
        <w:rPr>
          <w:noProof/>
        </w:rPr>
        <w:t xml:space="preserve">hodnotách ukazovateľov použitých na určenie ich skóre podľa článku 441 nariadenia (EÚ) </w:t>
      </w:r>
      <w:r w:rsidR="00DC01AA">
        <w:rPr>
          <w:noProof/>
        </w:rPr>
        <w:t>č. </w:t>
      </w:r>
      <w:r w:rsidR="00FA266C" w:rsidRPr="00DC01AA">
        <w:rPr>
          <w:noProof/>
        </w:rPr>
        <w:t>575/2013 použitím jednotného formátu zverejňovania informácií uvedeného</w:t>
      </w:r>
      <w:r w:rsidR="00DC01AA">
        <w:rPr>
          <w:noProof/>
        </w:rPr>
        <w:t xml:space="preserve"> v </w:t>
      </w:r>
      <w:r w:rsidR="00FA266C" w:rsidRPr="00DC01AA">
        <w:rPr>
          <w:noProof/>
        </w:rPr>
        <w:t>článku 434a uvedeného nariadenia. G-SII používajú tento formát zverejňovania informácií na zber hodnôt ukazovateľov príslušnými orgánmi, ako sa stanovuje</w:t>
      </w:r>
      <w:r w:rsidR="00DC01AA">
        <w:rPr>
          <w:noProof/>
        </w:rPr>
        <w:t xml:space="preserve"> v </w:t>
      </w:r>
      <w:r w:rsidR="00FA266C" w:rsidRPr="00DC01AA">
        <w:rPr>
          <w:noProof/>
        </w:rPr>
        <w:t xml:space="preserve">článku 3 ods. 2 delegovaného nariadenia Komisie (EÚ) </w:t>
      </w:r>
      <w:r w:rsidR="00DC01AA">
        <w:rPr>
          <w:noProof/>
        </w:rPr>
        <w:t>č. </w:t>
      </w:r>
      <w:r w:rsidR="00FA266C" w:rsidRPr="00DC01AA">
        <w:rPr>
          <w:noProof/>
        </w:rPr>
        <w:t>1222/2014</w:t>
      </w:r>
      <w:r w:rsidR="00FA266C" w:rsidRPr="00DC01AA">
        <w:rPr>
          <w:rStyle w:val="FootnoteReference"/>
          <w:noProof/>
        </w:rPr>
        <w:footnoteReference w:id="11"/>
      </w:r>
      <w:r w:rsidR="00FA266C" w:rsidRPr="00DC01AA">
        <w:rPr>
          <w:noProof/>
        </w:rPr>
        <w:t>,</w:t>
      </w:r>
      <w:r w:rsidR="00DC01AA">
        <w:rPr>
          <w:noProof/>
        </w:rPr>
        <w:t xml:space="preserve"> s </w:t>
      </w:r>
      <w:r w:rsidR="00FA266C" w:rsidRPr="00DC01AA">
        <w:rPr>
          <w:noProof/>
        </w:rPr>
        <w:t>výnimkou akýchkoľvek pomocných údajov</w:t>
      </w:r>
      <w:r w:rsidR="00DC01AA">
        <w:rPr>
          <w:noProof/>
        </w:rPr>
        <w:t xml:space="preserve"> a </w:t>
      </w:r>
      <w:r w:rsidR="00FA266C" w:rsidRPr="00DC01AA">
        <w:rPr>
          <w:noProof/>
        </w:rPr>
        <w:t>doplňujúcich položiek zozbieraných</w:t>
      </w:r>
      <w:r w:rsidR="00DC01AA">
        <w:rPr>
          <w:noProof/>
        </w:rPr>
        <w:t xml:space="preserve"> v </w:t>
      </w:r>
      <w:r w:rsidR="00FA266C" w:rsidRPr="00DC01AA">
        <w:rPr>
          <w:noProof/>
        </w:rPr>
        <w:t>súlade</w:t>
      </w:r>
      <w:r w:rsidR="00DC01AA">
        <w:rPr>
          <w:noProof/>
        </w:rPr>
        <w:t xml:space="preserve"> s </w:t>
      </w:r>
      <w:r w:rsidR="00FA266C" w:rsidRPr="00DC01AA">
        <w:rPr>
          <w:noProof/>
        </w:rPr>
        <w:t>článkom 3 ods. 2 uvedeného delegovaného nariadenia</w:t>
      </w:r>
      <w:r w:rsidR="00DC01AA">
        <w:rPr>
          <w:noProof/>
        </w:rPr>
        <w:t>.</w:t>
      </w:r>
    </w:p>
    <w:p w:rsidR="000A5D79" w:rsidRPr="00DC01AA" w:rsidRDefault="00FC030A" w:rsidP="00FC030A">
      <w:pPr>
        <w:pStyle w:val="ManualNumPar1"/>
        <w:rPr>
          <w:noProof/>
        </w:rPr>
      </w:pPr>
      <w:r w:rsidRPr="00FC030A">
        <w:rPr>
          <w:noProof/>
        </w:rPr>
        <w:t>2.</w:t>
      </w:r>
      <w:r w:rsidRPr="00FC030A">
        <w:rPr>
          <w:noProof/>
        </w:rPr>
        <w:tab/>
      </w:r>
      <w:r w:rsidR="000A5D79" w:rsidRPr="00DC01AA">
        <w:rPr>
          <w:noProof/>
        </w:rPr>
        <w:t>G-SII zverejňujú informácie uvedené</w:t>
      </w:r>
      <w:r w:rsidR="00DC01AA">
        <w:rPr>
          <w:noProof/>
        </w:rPr>
        <w:t xml:space="preserve"> v </w:t>
      </w:r>
      <w:r w:rsidR="000A5D79" w:rsidRPr="00DC01AA">
        <w:rPr>
          <w:noProof/>
        </w:rPr>
        <w:t>odseku 1 vo svojej koncoročnej správe</w:t>
      </w:r>
      <w:r w:rsidR="00DC01AA">
        <w:rPr>
          <w:noProof/>
        </w:rPr>
        <w:t xml:space="preserve"> o </w:t>
      </w:r>
      <w:r w:rsidR="000A5D79" w:rsidRPr="00DC01AA">
        <w:rPr>
          <w:noProof/>
        </w:rPr>
        <w:t>pilieri 3. G-SII opätovne zverejnia informácie uvedené</w:t>
      </w:r>
      <w:r w:rsidR="00DC01AA">
        <w:rPr>
          <w:noProof/>
        </w:rPr>
        <w:t xml:space="preserve"> v </w:t>
      </w:r>
      <w:r w:rsidR="000A5D79" w:rsidRPr="00DC01AA">
        <w:rPr>
          <w:noProof/>
        </w:rPr>
        <w:t>odseku 1 vo svojej prvej správe</w:t>
      </w:r>
      <w:r w:rsidR="00DC01AA">
        <w:rPr>
          <w:noProof/>
        </w:rPr>
        <w:t xml:space="preserve"> o </w:t>
      </w:r>
      <w:r w:rsidR="000A5D79" w:rsidRPr="00DC01AA">
        <w:rPr>
          <w:noProof/>
        </w:rPr>
        <w:t>pilieri 3 po konečnom predložení hodnôt ukazovateľov relevantným príslušným orgánom, ak sa predložené údaje líšia od údajov zverejnených</w:t>
      </w:r>
      <w:r w:rsidR="00DC01AA">
        <w:rPr>
          <w:noProof/>
        </w:rPr>
        <w:t xml:space="preserve"> v </w:t>
      </w:r>
      <w:r w:rsidR="000A5D79" w:rsidRPr="00DC01AA">
        <w:rPr>
          <w:noProof/>
        </w:rPr>
        <w:t>koncoročnej správe</w:t>
      </w:r>
      <w:r w:rsidR="00DC01AA">
        <w:rPr>
          <w:noProof/>
        </w:rPr>
        <w:t xml:space="preserve"> o </w:t>
      </w:r>
      <w:r w:rsidR="000A5D79" w:rsidRPr="00DC01AA">
        <w:rPr>
          <w:noProof/>
        </w:rPr>
        <w:t>pilieri 3.</w:t>
      </w:r>
    </w:p>
    <w:p w:rsidR="000A5D79" w:rsidRPr="00DC01AA" w:rsidRDefault="000A5D79" w:rsidP="000A5D79">
      <w:pPr>
        <w:pStyle w:val="Titrearticle"/>
        <w:rPr>
          <w:noProof/>
        </w:rPr>
      </w:pPr>
      <w:r w:rsidRPr="00DC01AA">
        <w:rPr>
          <w:noProof/>
        </w:rPr>
        <w:t>Článok 8</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požiadavkách na likviditu</w:t>
      </w:r>
    </w:p>
    <w:p w:rsidR="000A5D79" w:rsidRPr="00DC01AA" w:rsidRDefault="000A5D79" w:rsidP="000A5D79">
      <w:pPr>
        <w:rPr>
          <w:i/>
          <w:noProof/>
        </w:rPr>
      </w:pPr>
      <w:r w:rsidRPr="00DC01AA">
        <w:rPr>
          <w:noProof/>
        </w:rPr>
        <w:t>Inštitúcie zverejňujú informácie uvedené</w:t>
      </w:r>
      <w:r w:rsidR="00DC01AA">
        <w:rPr>
          <w:noProof/>
        </w:rPr>
        <w:t xml:space="preserve"> v </w:t>
      </w:r>
      <w:r w:rsidRPr="00DC01AA">
        <w:rPr>
          <w:noProof/>
        </w:rPr>
        <w:t>článku 435 ods. 1</w:t>
      </w:r>
      <w:r w:rsidR="00DC01AA">
        <w:rPr>
          <w:noProof/>
        </w:rPr>
        <w:t xml:space="preserve"> a </w:t>
      </w:r>
      <w:r w:rsidRPr="00DC01AA">
        <w:rPr>
          <w:noProof/>
        </w:rPr>
        <w:t>článku 451a ods. 2, 3</w:t>
      </w:r>
      <w:r w:rsidR="00DC01AA">
        <w:rPr>
          <w:noProof/>
        </w:rPr>
        <w:t xml:space="preserve"> a </w:t>
      </w:r>
      <w:r w:rsidRPr="00DC01AA">
        <w:rPr>
          <w:noProof/>
        </w:rPr>
        <w:t xml:space="preserve">4 nariadenia (EÚ) </w:t>
      </w:r>
      <w:r w:rsidR="00DC01AA">
        <w:rPr>
          <w:noProof/>
        </w:rPr>
        <w:t>č. </w:t>
      </w:r>
      <w:r w:rsidRPr="00DC01AA">
        <w:rPr>
          <w:noProof/>
        </w:rPr>
        <w:t>575/2013, ako sa uvádza</w:t>
      </w:r>
      <w:r w:rsidR="00DC01AA">
        <w:rPr>
          <w:noProof/>
        </w:rPr>
        <w:t xml:space="preserve"> v </w:t>
      </w:r>
      <w:r w:rsidRPr="00DC01AA">
        <w:rPr>
          <w:noProof/>
        </w:rPr>
        <w:t>oddiele 7 „Zverejňovanie informácií</w:t>
      </w:r>
      <w:r w:rsidR="00DC01AA">
        <w:rPr>
          <w:noProof/>
        </w:rPr>
        <w:t xml:space="preserve"> o </w:t>
      </w:r>
      <w:r w:rsidRPr="00DC01AA">
        <w:rPr>
          <w:noProof/>
        </w:rPr>
        <w:t>požiadavkách na likviditu“</w:t>
      </w:r>
      <w:r w:rsidR="00DC01AA">
        <w:rPr>
          <w:noProof/>
        </w:rPr>
        <w:t xml:space="preserve"> v </w:t>
      </w:r>
      <w:r w:rsidRPr="00DC01AA">
        <w:rPr>
          <w:noProof/>
        </w:rPr>
        <w:t>prílohe I.</w:t>
      </w:r>
    </w:p>
    <w:p w:rsidR="000A5D79" w:rsidRPr="00DC01AA" w:rsidRDefault="000A5D79" w:rsidP="000A5D79">
      <w:pPr>
        <w:pStyle w:val="Titrearticle"/>
        <w:rPr>
          <w:noProof/>
        </w:rPr>
      </w:pPr>
      <w:r w:rsidRPr="00DC01AA">
        <w:rPr>
          <w:noProof/>
        </w:rPr>
        <w:t>Článok 9</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bookmarkStart w:id="3" w:name="_Hlk163217184"/>
      <w:r w:rsidRPr="00DC01AA">
        <w:rPr>
          <w:b/>
          <w:i w:val="0"/>
          <w:noProof/>
        </w:rPr>
        <w:t>expozíciách voči kreditnému riziku</w:t>
      </w:r>
      <w:r w:rsidR="00DC01AA">
        <w:rPr>
          <w:b/>
          <w:i w:val="0"/>
          <w:noProof/>
        </w:rPr>
        <w:t xml:space="preserve"> a </w:t>
      </w:r>
      <w:r w:rsidRPr="00DC01AA">
        <w:rPr>
          <w:b/>
          <w:i w:val="0"/>
          <w:noProof/>
        </w:rPr>
        <w:t>riziku zníženia kvality pohľadávok</w:t>
      </w:r>
      <w:r w:rsidR="00DC01AA">
        <w:rPr>
          <w:b/>
          <w:i w:val="0"/>
          <w:noProof/>
        </w:rPr>
        <w:t xml:space="preserve"> z </w:t>
      </w:r>
      <w:r w:rsidRPr="00DC01AA">
        <w:rPr>
          <w:b/>
          <w:i w:val="0"/>
          <w:noProof/>
        </w:rPr>
        <w:t>iných ako kreditných dôvodov</w:t>
      </w:r>
      <w:r w:rsidR="00DC01AA">
        <w:rPr>
          <w:b/>
          <w:i w:val="0"/>
          <w:noProof/>
        </w:rPr>
        <w:t xml:space="preserve"> a o </w:t>
      </w:r>
      <w:r w:rsidRPr="00DC01AA">
        <w:rPr>
          <w:b/>
          <w:i w:val="0"/>
          <w:noProof/>
        </w:rPr>
        <w:t>kreditnej kvalite</w:t>
      </w:r>
      <w:bookmarkEnd w:id="3"/>
    </w:p>
    <w:p w:rsidR="000A5D79" w:rsidRPr="00DC01AA" w:rsidRDefault="00FC030A" w:rsidP="00FC030A">
      <w:pPr>
        <w:pStyle w:val="ManualNumPar1"/>
        <w:rPr>
          <w:noProof/>
        </w:rPr>
      </w:pPr>
      <w:r w:rsidRPr="00FC030A">
        <w:rPr>
          <w:noProof/>
        </w:rPr>
        <w:t>1.</w:t>
      </w:r>
      <w:r w:rsidRPr="00FC030A">
        <w:rPr>
          <w:noProof/>
        </w:rPr>
        <w:tab/>
      </w:r>
      <w:r w:rsidR="000A5D79" w:rsidRPr="00DC01AA">
        <w:rPr>
          <w:noProof/>
        </w:rPr>
        <w:t>Inštitúcie zverejňujú informácie uvedené</w:t>
      </w:r>
      <w:r w:rsidR="00DC01AA">
        <w:rPr>
          <w:noProof/>
        </w:rPr>
        <w:t xml:space="preserve"> v </w:t>
      </w:r>
      <w:r w:rsidR="000A5D79" w:rsidRPr="00DC01AA">
        <w:rPr>
          <w:noProof/>
        </w:rPr>
        <w:t>článku 435 ods. 1 písm. a), b), d)</w:t>
      </w:r>
      <w:r w:rsidR="00DC01AA">
        <w:rPr>
          <w:noProof/>
        </w:rPr>
        <w:t xml:space="preserve"> a </w:t>
      </w:r>
      <w:r w:rsidR="000A5D79" w:rsidRPr="00DC01AA">
        <w:rPr>
          <w:noProof/>
        </w:rPr>
        <w:t>f)</w:t>
      </w:r>
      <w:r w:rsidR="00DC01AA">
        <w:rPr>
          <w:noProof/>
        </w:rPr>
        <w:t xml:space="preserve"> a </w:t>
      </w:r>
      <w:r w:rsidR="000A5D79" w:rsidRPr="00DC01AA">
        <w:rPr>
          <w:noProof/>
        </w:rPr>
        <w:t xml:space="preserve">článku 442 nariadenia (EÚ) </w:t>
      </w:r>
      <w:r w:rsidR="00DC01AA">
        <w:rPr>
          <w:noProof/>
        </w:rPr>
        <w:t>č. </w:t>
      </w:r>
      <w:r w:rsidR="000A5D79" w:rsidRPr="00DC01AA">
        <w:rPr>
          <w:noProof/>
        </w:rPr>
        <w:t>575/2013, ako sa uvádza</w:t>
      </w:r>
      <w:r w:rsidR="00DC01AA">
        <w:rPr>
          <w:noProof/>
        </w:rPr>
        <w:t xml:space="preserve"> v </w:t>
      </w:r>
      <w:r w:rsidR="000A5D79" w:rsidRPr="00DC01AA">
        <w:rPr>
          <w:noProof/>
        </w:rPr>
        <w:t>oddiele 8 „Zverejňovanie informácií</w:t>
      </w:r>
      <w:r w:rsidR="00DC01AA">
        <w:rPr>
          <w:noProof/>
        </w:rPr>
        <w:t xml:space="preserve"> o </w:t>
      </w:r>
      <w:r w:rsidR="000A5D79" w:rsidRPr="00DC01AA">
        <w:rPr>
          <w:noProof/>
        </w:rPr>
        <w:t>kvalite kreditného rizika“</w:t>
      </w:r>
      <w:r w:rsidR="00DC01AA">
        <w:rPr>
          <w:noProof/>
        </w:rPr>
        <w:t xml:space="preserve"> v </w:t>
      </w:r>
      <w:r w:rsidR="000A5D79" w:rsidRPr="00DC01AA">
        <w:rPr>
          <w:noProof/>
        </w:rPr>
        <w:t>prílohe I.</w:t>
      </w:r>
    </w:p>
    <w:p w:rsidR="00DC01AA" w:rsidRDefault="00FC030A" w:rsidP="00FC030A">
      <w:pPr>
        <w:pStyle w:val="ManualNumPar1"/>
        <w:rPr>
          <w:noProof/>
        </w:rPr>
      </w:pPr>
      <w:r w:rsidRPr="00FC030A">
        <w:rPr>
          <w:noProof/>
        </w:rPr>
        <w:t>2.</w:t>
      </w:r>
      <w:r w:rsidRPr="00FC030A">
        <w:rPr>
          <w:noProof/>
        </w:rPr>
        <w:tab/>
      </w:r>
      <w:r w:rsidR="000A5D79" w:rsidRPr="00DC01AA">
        <w:rPr>
          <w:noProof/>
        </w:rPr>
        <w:t>Veľké inštitúcie, ktorých pomer medzi hrubou účtovnou hodnotou úverov</w:t>
      </w:r>
      <w:r w:rsidR="00DC01AA">
        <w:rPr>
          <w:noProof/>
        </w:rPr>
        <w:t xml:space="preserve"> a </w:t>
      </w:r>
      <w:r w:rsidR="000A5D79" w:rsidRPr="00DC01AA">
        <w:rPr>
          <w:noProof/>
        </w:rPr>
        <w:t xml:space="preserve">preddavkov, na ktoré sa vzťahuje článok 47a ods. 3 nariadenia (EÚ) </w:t>
      </w:r>
      <w:r w:rsidR="00DC01AA">
        <w:rPr>
          <w:noProof/>
        </w:rPr>
        <w:t>č. </w:t>
      </w:r>
      <w:r w:rsidR="000A5D79" w:rsidRPr="00DC01AA">
        <w:rPr>
          <w:noProof/>
        </w:rPr>
        <w:t>575/2013,</w:t>
      </w:r>
      <w:r w:rsidR="00DC01AA">
        <w:rPr>
          <w:noProof/>
        </w:rPr>
        <w:t xml:space="preserve"> a </w:t>
      </w:r>
      <w:r w:rsidR="000A5D79" w:rsidRPr="00DC01AA">
        <w:rPr>
          <w:noProof/>
        </w:rPr>
        <w:t>celkovou hrubou účtovnou hodnotou úverov</w:t>
      </w:r>
      <w:r w:rsidR="00DC01AA">
        <w:rPr>
          <w:noProof/>
        </w:rPr>
        <w:t xml:space="preserve"> a </w:t>
      </w:r>
      <w:r w:rsidR="000A5D79" w:rsidRPr="00DC01AA">
        <w:rPr>
          <w:noProof/>
        </w:rPr>
        <w:t>preddavkov, na ktoré sa vzťahuje článok 47a ods. 1 uvedeného nariadenia, sa rovná alebo je vyšší ako 5</w:t>
      </w:r>
      <w:r w:rsidR="00DC01AA">
        <w:rPr>
          <w:noProof/>
        </w:rPr>
        <w:t> %</w:t>
      </w:r>
      <w:r w:rsidR="000A5D79" w:rsidRPr="00DC01AA">
        <w:rPr>
          <w:noProof/>
        </w:rPr>
        <w:t>, zverejňujú popri informáciách uvedených</w:t>
      </w:r>
      <w:r w:rsidR="00DC01AA">
        <w:rPr>
          <w:noProof/>
        </w:rPr>
        <w:t xml:space="preserve"> v </w:t>
      </w:r>
      <w:r w:rsidR="000A5D79" w:rsidRPr="00DC01AA">
        <w:rPr>
          <w:noProof/>
        </w:rPr>
        <w:t>odseku 1 aj dodatočné informácie</w:t>
      </w:r>
      <w:r w:rsidR="00DC01AA">
        <w:rPr>
          <w:noProof/>
        </w:rPr>
        <w:t xml:space="preserve"> s </w:t>
      </w:r>
      <w:r w:rsidR="000A5D79" w:rsidRPr="00DC01AA">
        <w:rPr>
          <w:noProof/>
        </w:rPr>
        <w:t>cieľom dosiahnuť súlad</w:t>
      </w:r>
      <w:r w:rsidR="00DC01AA">
        <w:rPr>
          <w:noProof/>
        </w:rPr>
        <w:t xml:space="preserve"> s </w:t>
      </w:r>
      <w:r w:rsidR="000A5D79" w:rsidRPr="00DC01AA">
        <w:rPr>
          <w:noProof/>
        </w:rPr>
        <w:t>článkom 442 písm. c)</w:t>
      </w:r>
      <w:r w:rsidR="00DC01AA">
        <w:rPr>
          <w:noProof/>
        </w:rPr>
        <w:t xml:space="preserve"> a </w:t>
      </w:r>
      <w:r w:rsidR="000A5D79" w:rsidRPr="00DC01AA">
        <w:rPr>
          <w:noProof/>
        </w:rPr>
        <w:t>f) uvedeného nariadenia. Uvedené inštitúcie takéto informácie zverejňujú raz ročne</w:t>
      </w:r>
      <w:r w:rsidR="00DC01AA">
        <w:rPr>
          <w:noProof/>
        </w:rPr>
        <w:t>.</w:t>
      </w:r>
    </w:p>
    <w:p w:rsidR="000A5D79" w:rsidRPr="00DC01AA" w:rsidRDefault="00FC030A" w:rsidP="00FC030A">
      <w:pPr>
        <w:pStyle w:val="ManualNumPar1"/>
        <w:rPr>
          <w:noProof/>
        </w:rPr>
      </w:pPr>
      <w:r w:rsidRPr="00FC030A">
        <w:rPr>
          <w:noProof/>
        </w:rPr>
        <w:t>3.</w:t>
      </w:r>
      <w:r w:rsidRPr="00FC030A">
        <w:rPr>
          <w:noProof/>
        </w:rPr>
        <w:tab/>
      </w:r>
      <w:r w:rsidR="000A5D79" w:rsidRPr="00DC01AA">
        <w:rPr>
          <w:noProof/>
        </w:rPr>
        <w:t>Na účely odseku 2 inštitúcie do menovateľa ani čitateľa daného pomeru nezahŕňajú úvery</w:t>
      </w:r>
      <w:r w:rsidR="00DC01AA">
        <w:rPr>
          <w:noProof/>
        </w:rPr>
        <w:t xml:space="preserve"> a </w:t>
      </w:r>
      <w:r w:rsidR="000A5D79" w:rsidRPr="00DC01AA">
        <w:rPr>
          <w:noProof/>
        </w:rPr>
        <w:t>preddavky klasifikované ako držané na predaj, pokladničné zostatky</w:t>
      </w:r>
      <w:r w:rsidR="00DC01AA">
        <w:rPr>
          <w:noProof/>
        </w:rPr>
        <w:t xml:space="preserve"> v </w:t>
      </w:r>
      <w:r w:rsidR="000A5D79" w:rsidRPr="00DC01AA">
        <w:rPr>
          <w:noProof/>
        </w:rPr>
        <w:t>centrálnych bankách</w:t>
      </w:r>
      <w:r w:rsidR="00DC01AA">
        <w:rPr>
          <w:noProof/>
        </w:rPr>
        <w:t xml:space="preserve"> a </w:t>
      </w:r>
      <w:r w:rsidR="000A5D79" w:rsidRPr="00DC01AA">
        <w:rPr>
          <w:noProof/>
        </w:rPr>
        <w:t>ostatné vklady splatné na požiadanie.</w:t>
      </w:r>
    </w:p>
    <w:p w:rsidR="000A5D79" w:rsidRPr="00DC01AA" w:rsidRDefault="00FC030A" w:rsidP="00FC030A">
      <w:pPr>
        <w:pStyle w:val="ManualNumPar1"/>
        <w:rPr>
          <w:noProof/>
        </w:rPr>
      </w:pPr>
      <w:r w:rsidRPr="00FC030A">
        <w:rPr>
          <w:noProof/>
        </w:rPr>
        <w:t>4.</w:t>
      </w:r>
      <w:r w:rsidRPr="00FC030A">
        <w:rPr>
          <w:noProof/>
        </w:rPr>
        <w:tab/>
      </w:r>
      <w:r w:rsidR="000A5D79" w:rsidRPr="00DC01AA">
        <w:rPr>
          <w:noProof/>
        </w:rPr>
        <w:t>Inštitúcie začnú zverejňovať informácie podľa odseku 2, ak dosiahli alebo prekročili prahovú hodnotu 5</w:t>
      </w:r>
      <w:r w:rsidR="00DC01AA">
        <w:rPr>
          <w:noProof/>
        </w:rPr>
        <w:t> %</w:t>
      </w:r>
      <w:r w:rsidR="000A5D79" w:rsidRPr="00DC01AA">
        <w:rPr>
          <w:noProof/>
        </w:rPr>
        <w:t xml:space="preserve"> stanovenú</w:t>
      </w:r>
      <w:r w:rsidR="00DC01AA">
        <w:rPr>
          <w:noProof/>
        </w:rPr>
        <w:t xml:space="preserve"> v </w:t>
      </w:r>
      <w:r w:rsidR="000A5D79" w:rsidRPr="00DC01AA">
        <w:rPr>
          <w:noProof/>
        </w:rPr>
        <w:t>uvedenom odseku</w:t>
      </w:r>
      <w:r w:rsidR="00DC01AA">
        <w:rPr>
          <w:noProof/>
        </w:rPr>
        <w:t xml:space="preserve"> v </w:t>
      </w:r>
      <w:r w:rsidR="000A5D79" w:rsidRPr="00DC01AA">
        <w:rPr>
          <w:noProof/>
        </w:rPr>
        <w:t>dvoch po sebe nasledujúcich štvrťrokoch počas štyroch štvrťrokov pred referenčným dátumom zverejnenia.</w:t>
      </w:r>
      <w:r w:rsidR="00DC01AA">
        <w:rPr>
          <w:noProof/>
        </w:rPr>
        <w:t xml:space="preserve"> K </w:t>
      </w:r>
      <w:r w:rsidR="000A5D79" w:rsidRPr="00DC01AA">
        <w:rPr>
          <w:noProof/>
        </w:rPr>
        <w:t>referenčnému dátumu prvého zverejnenia inštitúcie zverejňujú príslušné informácie použitím vzorov stanovených</w:t>
      </w:r>
      <w:r w:rsidR="00DC01AA">
        <w:rPr>
          <w:noProof/>
        </w:rPr>
        <w:t xml:space="preserve"> v </w:t>
      </w:r>
      <w:r w:rsidR="000A5D79" w:rsidRPr="00DC01AA">
        <w:rPr>
          <w:noProof/>
        </w:rPr>
        <w:t>uvedenom odseku, ak</w:t>
      </w:r>
      <w:r w:rsidR="00DC01AA">
        <w:rPr>
          <w:noProof/>
        </w:rPr>
        <w:t xml:space="preserve"> k </w:t>
      </w:r>
      <w:r w:rsidR="000A5D79" w:rsidRPr="00DC01AA">
        <w:rPr>
          <w:noProof/>
        </w:rPr>
        <w:t>uvedenému referenčnému dátumu zverejnenia presahujú prahovú hodnotu 5</w:t>
      </w:r>
      <w:r w:rsidR="00DC01AA">
        <w:rPr>
          <w:noProof/>
        </w:rPr>
        <w:t> %</w:t>
      </w:r>
      <w:r w:rsidR="000A5D79" w:rsidRPr="00DC01AA">
        <w:rPr>
          <w:noProof/>
        </w:rPr>
        <w:t>.</w:t>
      </w:r>
    </w:p>
    <w:p w:rsidR="000A5D79" w:rsidRPr="00DC01AA" w:rsidRDefault="00FC030A" w:rsidP="00FC030A">
      <w:pPr>
        <w:pStyle w:val="ManualNumPar1"/>
        <w:rPr>
          <w:noProof/>
        </w:rPr>
      </w:pPr>
      <w:r w:rsidRPr="00FC030A">
        <w:rPr>
          <w:noProof/>
        </w:rPr>
        <w:t>5.</w:t>
      </w:r>
      <w:r w:rsidRPr="00FC030A">
        <w:rPr>
          <w:noProof/>
        </w:rPr>
        <w:tab/>
      </w:r>
      <w:r w:rsidR="000A5D79" w:rsidRPr="00DC01AA">
        <w:rPr>
          <w:noProof/>
        </w:rPr>
        <w:t>Inštitúcie prestávajú byť povinné zverejňovať informácie podľa odseku 2, ak počas troch po sebe nasledujúcich štvrťrokov počas štyroch štvrťrokov pred referenčným dátumom zverejnenia klesli pod prahovú hodnotu 5</w:t>
      </w:r>
      <w:r w:rsidR="00DC01AA">
        <w:rPr>
          <w:noProof/>
        </w:rPr>
        <w:t> %</w:t>
      </w:r>
      <w:r w:rsidR="000A5D79" w:rsidRPr="00DC01AA">
        <w:rPr>
          <w:noProof/>
        </w:rPr>
        <w:t>.</w:t>
      </w:r>
    </w:p>
    <w:p w:rsidR="000A5D79" w:rsidRPr="00DC01AA" w:rsidRDefault="000A5D79" w:rsidP="000A5D79">
      <w:pPr>
        <w:pStyle w:val="Titrearticle"/>
        <w:rPr>
          <w:noProof/>
        </w:rPr>
      </w:pPr>
      <w:r w:rsidRPr="00DC01AA">
        <w:rPr>
          <w:noProof/>
        </w:rPr>
        <w:t>Článok 10</w:t>
      </w:r>
    </w:p>
    <w:p w:rsid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používaní postupov na zmierňovanie kreditného rizika</w:t>
      </w:r>
    </w:p>
    <w:p w:rsidR="000A5D79" w:rsidRPr="00DC01AA" w:rsidRDefault="000A5D79" w:rsidP="000A5D79">
      <w:pPr>
        <w:rPr>
          <w:noProof/>
        </w:rPr>
      </w:pPr>
      <w:r w:rsidRPr="00DC01AA">
        <w:rPr>
          <w:noProof/>
        </w:rPr>
        <w:t>Inštitúcie zverejňujú informácie uvedené</w:t>
      </w:r>
      <w:r w:rsidR="00DC01AA">
        <w:rPr>
          <w:noProof/>
        </w:rPr>
        <w:t xml:space="preserve"> v </w:t>
      </w:r>
      <w:r w:rsidRPr="00DC01AA">
        <w:rPr>
          <w:noProof/>
        </w:rPr>
        <w:t xml:space="preserve">článku 453 písm. a) až f) nariadenia (EÚ) </w:t>
      </w:r>
      <w:r w:rsidR="00DC01AA">
        <w:rPr>
          <w:noProof/>
        </w:rPr>
        <w:t>č. </w:t>
      </w:r>
      <w:r w:rsidRPr="00DC01AA">
        <w:rPr>
          <w:noProof/>
        </w:rPr>
        <w:t>575/2013, ako sa uvádza</w:t>
      </w:r>
      <w:r w:rsidR="00DC01AA">
        <w:rPr>
          <w:noProof/>
        </w:rPr>
        <w:t xml:space="preserve"> v </w:t>
      </w:r>
      <w:r w:rsidRPr="00DC01AA">
        <w:rPr>
          <w:noProof/>
        </w:rPr>
        <w:t>oddiele 9 „Zverejňovanie informácií</w:t>
      </w:r>
      <w:r w:rsidR="00DC01AA">
        <w:rPr>
          <w:noProof/>
        </w:rPr>
        <w:t xml:space="preserve"> o </w:t>
      </w:r>
      <w:r w:rsidRPr="00DC01AA">
        <w:rPr>
          <w:noProof/>
        </w:rPr>
        <w:t>postupoch na zmierňovanie kreditného rizika“</w:t>
      </w:r>
      <w:r w:rsidR="00DC01AA">
        <w:rPr>
          <w:noProof/>
        </w:rPr>
        <w:t xml:space="preserve"> v </w:t>
      </w:r>
      <w:r w:rsidRPr="00DC01AA">
        <w:rPr>
          <w:noProof/>
        </w:rPr>
        <w:t>prílohe I.</w:t>
      </w:r>
    </w:p>
    <w:p w:rsidR="00DC01AA" w:rsidRDefault="000A5D79" w:rsidP="000A5D79">
      <w:pPr>
        <w:pStyle w:val="Titrearticle"/>
        <w:rPr>
          <w:noProof/>
        </w:rPr>
      </w:pPr>
      <w:r w:rsidRPr="00DC01AA">
        <w:rPr>
          <w:noProof/>
        </w:rPr>
        <w:t>Článok 11</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používaní štandardizovaného prístupu</w:t>
      </w:r>
    </w:p>
    <w:p w:rsidR="000A5D79" w:rsidRPr="00DC01AA" w:rsidRDefault="000A5D79" w:rsidP="000A5D79">
      <w:pPr>
        <w:rPr>
          <w:noProof/>
        </w:rPr>
      </w:pPr>
      <w:r w:rsidRPr="00DC01AA">
        <w:rPr>
          <w:noProof/>
        </w:rPr>
        <w:t>Inštitúcie, ktoré vypočítavajú hodnoty rizikovo vážených expozícií podľa štandardizovaného prístupu, zverejňujú</w:t>
      </w:r>
      <w:r w:rsidR="00DC01AA">
        <w:rPr>
          <w:noProof/>
        </w:rPr>
        <w:t xml:space="preserve"> o </w:t>
      </w:r>
      <w:r w:rsidRPr="00DC01AA">
        <w:rPr>
          <w:noProof/>
        </w:rPr>
        <w:t>používaní štandardizovaného prístupu tieto informácie:</w:t>
      </w:r>
    </w:p>
    <w:p w:rsidR="000A5D79" w:rsidRPr="00DC01AA" w:rsidRDefault="00413EE5" w:rsidP="00413EE5">
      <w:pPr>
        <w:pStyle w:val="Point0"/>
        <w:rPr>
          <w:noProof/>
        </w:rPr>
      </w:pPr>
      <w:r>
        <w:rPr>
          <w:noProof/>
        </w:rPr>
        <w:t>a)</w:t>
      </w:r>
      <w:r>
        <w:rPr>
          <w:noProof/>
        </w:rPr>
        <w:tab/>
      </w:r>
      <w:r w:rsidR="000A5D79" w:rsidRPr="00DC01AA">
        <w:rPr>
          <w:noProof/>
        </w:rPr>
        <w:t>informácie uvedené</w:t>
      </w:r>
      <w:r w:rsidR="00DC01AA">
        <w:rPr>
          <w:noProof/>
        </w:rPr>
        <w:t xml:space="preserve"> v </w:t>
      </w:r>
      <w:r w:rsidR="000A5D79" w:rsidRPr="00DC01AA">
        <w:rPr>
          <w:noProof/>
        </w:rPr>
        <w:t>článku 444 písm. a) až e)</w:t>
      </w:r>
      <w:r w:rsidR="00DC01AA">
        <w:rPr>
          <w:noProof/>
        </w:rPr>
        <w:t xml:space="preserve"> a </w:t>
      </w:r>
      <w:r w:rsidR="000A5D79" w:rsidRPr="00DC01AA">
        <w:rPr>
          <w:noProof/>
        </w:rPr>
        <w:t>informácie uvedené</w:t>
      </w:r>
      <w:r w:rsidR="00DC01AA">
        <w:rPr>
          <w:noProof/>
        </w:rPr>
        <w:t xml:space="preserve"> v </w:t>
      </w:r>
      <w:r w:rsidR="000A5D79" w:rsidRPr="00DC01AA">
        <w:rPr>
          <w:noProof/>
        </w:rPr>
        <w:t>článku 453 písm. g), h)</w:t>
      </w:r>
      <w:r w:rsidR="00DC01AA">
        <w:rPr>
          <w:noProof/>
        </w:rPr>
        <w:t xml:space="preserve"> a </w:t>
      </w:r>
      <w:r w:rsidR="000A5D79" w:rsidRPr="00DC01AA">
        <w:rPr>
          <w:noProof/>
        </w:rPr>
        <w:t xml:space="preserve">i) nariadenia (EÚ) </w:t>
      </w:r>
      <w:r w:rsidR="00DC01AA">
        <w:rPr>
          <w:noProof/>
        </w:rPr>
        <w:t>č. </w:t>
      </w:r>
      <w:r w:rsidR="000A5D79" w:rsidRPr="00DC01AA">
        <w:rPr>
          <w:noProof/>
        </w:rPr>
        <w:t>575/2013, ako sa uvádza</w:t>
      </w:r>
      <w:r w:rsidR="00DC01AA">
        <w:rPr>
          <w:noProof/>
        </w:rPr>
        <w:t xml:space="preserve"> v </w:t>
      </w:r>
      <w:r w:rsidR="000A5D79" w:rsidRPr="00DC01AA">
        <w:rPr>
          <w:noProof/>
        </w:rPr>
        <w:t>oddiele 10 „Zverejňovanie informácií</w:t>
      </w:r>
      <w:r w:rsidR="00DC01AA">
        <w:rPr>
          <w:noProof/>
        </w:rPr>
        <w:t xml:space="preserve"> o </w:t>
      </w:r>
      <w:r w:rsidR="000A5D79" w:rsidRPr="00DC01AA">
        <w:rPr>
          <w:noProof/>
        </w:rPr>
        <w:t>kreditnom riziku podľa štandardizovaného prístupu“</w:t>
      </w:r>
      <w:r w:rsidR="00DC01AA">
        <w:rPr>
          <w:noProof/>
        </w:rPr>
        <w:t xml:space="preserve"> v </w:t>
      </w:r>
      <w:r w:rsidR="000A5D79" w:rsidRPr="00DC01AA">
        <w:rPr>
          <w:noProof/>
        </w:rPr>
        <w:t>prílohe I;</w:t>
      </w:r>
    </w:p>
    <w:p w:rsidR="00DC01AA" w:rsidRDefault="00413EE5" w:rsidP="00413EE5">
      <w:pPr>
        <w:pStyle w:val="Point0"/>
        <w:rPr>
          <w:noProof/>
        </w:rPr>
      </w:pPr>
      <w:r>
        <w:rPr>
          <w:noProof/>
        </w:rPr>
        <w:t>b)</w:t>
      </w:r>
      <w:r>
        <w:rPr>
          <w:noProof/>
        </w:rPr>
        <w:tab/>
      </w:r>
      <w:r w:rsidR="000A5D79" w:rsidRPr="00DC01AA">
        <w:rPr>
          <w:noProof/>
        </w:rPr>
        <w:t>informácie</w:t>
      </w:r>
      <w:r w:rsidR="00DC01AA">
        <w:rPr>
          <w:noProof/>
        </w:rPr>
        <w:t xml:space="preserve"> o </w:t>
      </w:r>
      <w:r w:rsidR="000A5D79" w:rsidRPr="00DC01AA">
        <w:rPr>
          <w:noProof/>
        </w:rPr>
        <w:t xml:space="preserve">hodnotách expozícií odpočítaných od vlastných zdrojov podľa článku 444 písm. e) nariadenia (EÚ) </w:t>
      </w:r>
      <w:r w:rsidR="00DC01AA">
        <w:rPr>
          <w:noProof/>
        </w:rPr>
        <w:t>č. </w:t>
      </w:r>
      <w:r w:rsidR="000A5D79" w:rsidRPr="00DC01AA">
        <w:rPr>
          <w:noProof/>
        </w:rPr>
        <w:t>575/2013, ako sa uvádza</w:t>
      </w:r>
      <w:r w:rsidR="00DC01AA">
        <w:rPr>
          <w:noProof/>
        </w:rPr>
        <w:t xml:space="preserve"> v </w:t>
      </w:r>
      <w:r w:rsidR="000A5D79" w:rsidRPr="00DC01AA">
        <w:rPr>
          <w:noProof/>
        </w:rPr>
        <w:t>oddiele 4 „Zverejňovanie informácií</w:t>
      </w:r>
      <w:r w:rsidR="00DC01AA">
        <w:rPr>
          <w:noProof/>
        </w:rPr>
        <w:t xml:space="preserve"> o </w:t>
      </w:r>
      <w:r w:rsidR="000A5D79" w:rsidRPr="00DC01AA">
        <w:rPr>
          <w:noProof/>
        </w:rPr>
        <w:t>vlastných zdrojoch“</w:t>
      </w:r>
      <w:r w:rsidR="00DC01AA">
        <w:rPr>
          <w:noProof/>
        </w:rPr>
        <w:t xml:space="preserve"> v </w:t>
      </w:r>
      <w:r w:rsidR="000A5D79" w:rsidRPr="00DC01AA">
        <w:rPr>
          <w:noProof/>
        </w:rPr>
        <w:t>prílohe I</w:t>
      </w:r>
      <w:r w:rsidR="00DC01AA">
        <w:rPr>
          <w:noProof/>
        </w:rPr>
        <w:t>.</w:t>
      </w:r>
    </w:p>
    <w:p w:rsidR="000A5D79" w:rsidRPr="00DC01AA" w:rsidRDefault="000A5D79" w:rsidP="000A5D79">
      <w:pPr>
        <w:pStyle w:val="Titrearticle"/>
        <w:rPr>
          <w:noProof/>
        </w:rPr>
      </w:pPr>
      <w:r w:rsidRPr="00DC01AA">
        <w:rPr>
          <w:noProof/>
        </w:rPr>
        <w:t>Článok 12</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používaní prístupu IRB na kreditné riziko</w:t>
      </w:r>
    </w:p>
    <w:p w:rsidR="000A5D79" w:rsidRPr="00DC01AA" w:rsidRDefault="000A5D79" w:rsidP="000A5D79">
      <w:pPr>
        <w:rPr>
          <w:noProof/>
        </w:rPr>
      </w:pPr>
      <w:r w:rsidRPr="00DC01AA">
        <w:rPr>
          <w:noProof/>
        </w:rPr>
        <w:t>Inštitúcie, ktoré vypočítavajú hodnoty rizikovo vážených expozícií podľa prístupu IRB, zverejňujú informácie uvedené</w:t>
      </w:r>
      <w:r w:rsidR="00DC01AA">
        <w:rPr>
          <w:noProof/>
        </w:rPr>
        <w:t xml:space="preserve"> v </w:t>
      </w:r>
      <w:r w:rsidRPr="00DC01AA">
        <w:rPr>
          <w:noProof/>
        </w:rPr>
        <w:t>článku 438 písm. h), článku 452 písm. a) až h)</w:t>
      </w:r>
      <w:r w:rsidR="00DC01AA">
        <w:rPr>
          <w:noProof/>
        </w:rPr>
        <w:t xml:space="preserve"> a </w:t>
      </w:r>
      <w:r w:rsidRPr="00DC01AA">
        <w:rPr>
          <w:noProof/>
        </w:rPr>
        <w:t>článku 453 písm. g)</w:t>
      </w:r>
      <w:r w:rsidR="00DC01AA">
        <w:rPr>
          <w:noProof/>
        </w:rPr>
        <w:t xml:space="preserve"> a </w:t>
      </w:r>
      <w:r w:rsidRPr="00DC01AA">
        <w:rPr>
          <w:noProof/>
        </w:rPr>
        <w:t xml:space="preserve">j) nariadenia (EÚ) </w:t>
      </w:r>
      <w:r w:rsidR="00DC01AA">
        <w:rPr>
          <w:noProof/>
        </w:rPr>
        <w:t>č. </w:t>
      </w:r>
      <w:r w:rsidRPr="00DC01AA">
        <w:rPr>
          <w:noProof/>
        </w:rPr>
        <w:t>575/2013</w:t>
      </w:r>
      <w:bookmarkStart w:id="4" w:name="_Hlk168654209"/>
      <w:r w:rsidRPr="00DC01AA">
        <w:rPr>
          <w:noProof/>
        </w:rPr>
        <w:t>, ako sa uvádza</w:t>
      </w:r>
      <w:r w:rsidR="00DC01AA">
        <w:rPr>
          <w:noProof/>
        </w:rPr>
        <w:t xml:space="preserve"> v </w:t>
      </w:r>
      <w:r w:rsidRPr="00DC01AA">
        <w:rPr>
          <w:noProof/>
        </w:rPr>
        <w:t>oddiele 11 „Zverejňovanie informácií</w:t>
      </w:r>
      <w:r w:rsidR="00DC01AA">
        <w:rPr>
          <w:noProof/>
        </w:rPr>
        <w:t xml:space="preserve"> o </w:t>
      </w:r>
      <w:r w:rsidRPr="00DC01AA">
        <w:rPr>
          <w:noProof/>
        </w:rPr>
        <w:t>kreditnom riziku podľa prístupu IRB“</w:t>
      </w:r>
      <w:r w:rsidR="00DC01AA">
        <w:rPr>
          <w:noProof/>
        </w:rPr>
        <w:t xml:space="preserve"> v </w:t>
      </w:r>
      <w:r w:rsidRPr="00DC01AA">
        <w:rPr>
          <w:noProof/>
        </w:rPr>
        <w:t>prílohe I.</w:t>
      </w:r>
    </w:p>
    <w:bookmarkEnd w:id="4"/>
    <w:p w:rsidR="000A5D79" w:rsidRPr="00DC01AA" w:rsidRDefault="000A5D79" w:rsidP="000A5D79">
      <w:pPr>
        <w:pStyle w:val="Titrearticle"/>
        <w:rPr>
          <w:noProof/>
        </w:rPr>
      </w:pPr>
      <w:r w:rsidRPr="00DC01AA">
        <w:rPr>
          <w:noProof/>
        </w:rPr>
        <w:t>Článok 13</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expozíciách vo forme špecializovaného financovania</w:t>
      </w:r>
      <w:r w:rsidR="00DC01AA">
        <w:rPr>
          <w:b/>
          <w:i w:val="0"/>
          <w:noProof/>
        </w:rPr>
        <w:t xml:space="preserve"> a </w:t>
      </w:r>
      <w:r w:rsidRPr="00DC01AA">
        <w:rPr>
          <w:b/>
          <w:i w:val="0"/>
          <w:noProof/>
        </w:rPr>
        <w:t>kapitálových expozíciách</w:t>
      </w:r>
    </w:p>
    <w:p w:rsidR="000A5D79" w:rsidRPr="00DC01AA" w:rsidRDefault="000A5D79" w:rsidP="000A5D79">
      <w:pPr>
        <w:rPr>
          <w:noProof/>
        </w:rPr>
      </w:pPr>
      <w:r w:rsidRPr="00DC01AA">
        <w:rPr>
          <w:noProof/>
        </w:rPr>
        <w:t>Inštitúcie zverejňujú informácie uvedené</w:t>
      </w:r>
      <w:r w:rsidR="00DC01AA">
        <w:rPr>
          <w:noProof/>
        </w:rPr>
        <w:t xml:space="preserve"> v </w:t>
      </w:r>
      <w:r w:rsidRPr="00DC01AA">
        <w:rPr>
          <w:noProof/>
        </w:rPr>
        <w:t xml:space="preserve">článku 438 písm. e) nariadenia (EÚ) </w:t>
      </w:r>
      <w:r w:rsidR="00DC01AA">
        <w:rPr>
          <w:noProof/>
        </w:rPr>
        <w:t>č. </w:t>
      </w:r>
      <w:r w:rsidRPr="00DC01AA">
        <w:rPr>
          <w:noProof/>
        </w:rPr>
        <w:t>575/2013, ako sa uvádza</w:t>
      </w:r>
      <w:r w:rsidR="00DC01AA">
        <w:rPr>
          <w:noProof/>
        </w:rPr>
        <w:t xml:space="preserve"> v </w:t>
      </w:r>
      <w:r w:rsidRPr="00DC01AA">
        <w:rPr>
          <w:noProof/>
        </w:rPr>
        <w:t>oddiele 12 „Zverejňovanie informácií</w:t>
      </w:r>
      <w:r w:rsidR="00DC01AA">
        <w:rPr>
          <w:noProof/>
        </w:rPr>
        <w:t xml:space="preserve"> o </w:t>
      </w:r>
      <w:r w:rsidRPr="00DC01AA">
        <w:rPr>
          <w:noProof/>
        </w:rPr>
        <w:t>expozíciách vo forme špecializovaného financovania</w:t>
      </w:r>
      <w:r w:rsidR="00DC01AA">
        <w:rPr>
          <w:noProof/>
        </w:rPr>
        <w:t xml:space="preserve"> a </w:t>
      </w:r>
      <w:r w:rsidRPr="00DC01AA">
        <w:rPr>
          <w:noProof/>
        </w:rPr>
        <w:t>kapitálových expozíciách“</w:t>
      </w:r>
      <w:r w:rsidR="00DC01AA">
        <w:rPr>
          <w:noProof/>
        </w:rPr>
        <w:t xml:space="preserve"> v </w:t>
      </w:r>
      <w:r w:rsidRPr="00DC01AA">
        <w:rPr>
          <w:noProof/>
        </w:rPr>
        <w:t>prílohe I.</w:t>
      </w:r>
    </w:p>
    <w:p w:rsidR="000A5D79" w:rsidRPr="00DC01AA" w:rsidRDefault="000A5D79" w:rsidP="000A5D79">
      <w:pPr>
        <w:pStyle w:val="Titrearticle"/>
        <w:rPr>
          <w:noProof/>
        </w:rPr>
      </w:pPr>
      <w:r w:rsidRPr="00DC01AA">
        <w:rPr>
          <w:noProof/>
        </w:rPr>
        <w:t>Článok 14</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expozíciách voči kreditnému riziku protistrany</w:t>
      </w:r>
    </w:p>
    <w:p w:rsidR="00DC01AA" w:rsidRDefault="000A5D79" w:rsidP="000A5D79">
      <w:pPr>
        <w:rPr>
          <w:noProof/>
        </w:rPr>
      </w:pPr>
      <w:r w:rsidRPr="00DC01AA">
        <w:rPr>
          <w:noProof/>
        </w:rPr>
        <w:t>Inštitúcie zverejňujú informácie uvedené</w:t>
      </w:r>
      <w:r w:rsidR="00DC01AA">
        <w:rPr>
          <w:noProof/>
        </w:rPr>
        <w:t xml:space="preserve"> v </w:t>
      </w:r>
      <w:r w:rsidRPr="00DC01AA">
        <w:rPr>
          <w:noProof/>
        </w:rPr>
        <w:t>článku 438 písm. h)</w:t>
      </w:r>
      <w:r w:rsidR="00DC01AA">
        <w:rPr>
          <w:noProof/>
        </w:rPr>
        <w:t xml:space="preserve"> a </w:t>
      </w:r>
      <w:r w:rsidRPr="00DC01AA">
        <w:rPr>
          <w:noProof/>
        </w:rPr>
        <w:t xml:space="preserve">článku 439 nariadenia (EÚ) </w:t>
      </w:r>
      <w:r w:rsidR="00DC01AA">
        <w:rPr>
          <w:noProof/>
        </w:rPr>
        <w:t>č. </w:t>
      </w:r>
      <w:r w:rsidRPr="00DC01AA">
        <w:rPr>
          <w:noProof/>
        </w:rPr>
        <w:t>575/2013, ako sa uvádza</w:t>
      </w:r>
      <w:r w:rsidR="00DC01AA">
        <w:rPr>
          <w:noProof/>
        </w:rPr>
        <w:t xml:space="preserve"> v </w:t>
      </w:r>
      <w:r w:rsidRPr="00DC01AA">
        <w:rPr>
          <w:noProof/>
        </w:rPr>
        <w:t>oddiele 13 „Zverejňovanie informácií</w:t>
      </w:r>
      <w:r w:rsidR="00DC01AA">
        <w:rPr>
          <w:noProof/>
        </w:rPr>
        <w:t xml:space="preserve"> o </w:t>
      </w:r>
      <w:r w:rsidRPr="00DC01AA">
        <w:rPr>
          <w:noProof/>
        </w:rPr>
        <w:t>kreditnom riziku protistrany“</w:t>
      </w:r>
      <w:r w:rsidR="00DC01AA">
        <w:rPr>
          <w:noProof/>
        </w:rPr>
        <w:t xml:space="preserve"> v </w:t>
      </w:r>
      <w:r w:rsidRPr="00DC01AA">
        <w:rPr>
          <w:noProof/>
        </w:rPr>
        <w:t>prílohe I</w:t>
      </w:r>
      <w:r w:rsidR="00DC01AA">
        <w:rPr>
          <w:noProof/>
        </w:rPr>
        <w:t>.</w:t>
      </w:r>
    </w:p>
    <w:p w:rsidR="000A5D79" w:rsidRPr="00DC01AA" w:rsidRDefault="000A5D79" w:rsidP="000A5D79">
      <w:pPr>
        <w:pStyle w:val="Titrearticle"/>
        <w:rPr>
          <w:noProof/>
        </w:rPr>
      </w:pPr>
      <w:r w:rsidRPr="00DC01AA">
        <w:rPr>
          <w:noProof/>
        </w:rPr>
        <w:t>Článok 15</w:t>
      </w:r>
    </w:p>
    <w:p w:rsidR="00DC01AA" w:rsidRDefault="000A5D79" w:rsidP="000A5D79">
      <w:pPr>
        <w:pStyle w:val="Titrearticle"/>
        <w:spacing w:before="120"/>
        <w:rPr>
          <w:b/>
          <w:i w:val="0"/>
          <w:noProof/>
        </w:rPr>
      </w:pPr>
      <w:r w:rsidRPr="00DC01AA">
        <w:rPr>
          <w:b/>
          <w:i w:val="0"/>
          <w:noProof/>
        </w:rPr>
        <w:t xml:space="preserve">Zverejňovanie </w:t>
      </w:r>
      <w:bookmarkStart w:id="5" w:name="_Hlk163217793"/>
      <w:r w:rsidRPr="00DC01AA">
        <w:rPr>
          <w:b/>
          <w:i w:val="0"/>
          <w:noProof/>
        </w:rPr>
        <w:t>informácií</w:t>
      </w:r>
      <w:r w:rsidR="00DC01AA">
        <w:rPr>
          <w:b/>
          <w:i w:val="0"/>
          <w:noProof/>
        </w:rPr>
        <w:t xml:space="preserve"> o </w:t>
      </w:r>
      <w:r w:rsidRPr="00DC01AA">
        <w:rPr>
          <w:b/>
          <w:i w:val="0"/>
          <w:noProof/>
        </w:rPr>
        <w:t>expozíciách voči sekuritizačným pozíciám</w:t>
      </w:r>
      <w:bookmarkEnd w:id="5"/>
    </w:p>
    <w:p w:rsidR="000A5D79" w:rsidRPr="00DC01AA" w:rsidRDefault="000A5D79" w:rsidP="000A5D79">
      <w:pPr>
        <w:rPr>
          <w:noProof/>
        </w:rPr>
      </w:pPr>
      <w:r w:rsidRPr="00DC01AA">
        <w:rPr>
          <w:noProof/>
        </w:rPr>
        <w:t>Inštitúcie zverejňujú informácie uvedené</w:t>
      </w:r>
      <w:r w:rsidR="00DC01AA">
        <w:rPr>
          <w:noProof/>
        </w:rPr>
        <w:t xml:space="preserve"> v </w:t>
      </w:r>
      <w:r w:rsidRPr="00DC01AA">
        <w:rPr>
          <w:noProof/>
        </w:rPr>
        <w:t xml:space="preserve">článku 449 nariadenia (EÚ) </w:t>
      </w:r>
      <w:r w:rsidR="00DC01AA">
        <w:rPr>
          <w:noProof/>
        </w:rPr>
        <w:t>č. </w:t>
      </w:r>
      <w:r w:rsidRPr="00DC01AA">
        <w:rPr>
          <w:noProof/>
        </w:rPr>
        <w:t>575/2013, ako sa uvádza</w:t>
      </w:r>
      <w:r w:rsidR="00DC01AA">
        <w:rPr>
          <w:noProof/>
        </w:rPr>
        <w:t xml:space="preserve"> v </w:t>
      </w:r>
      <w:r w:rsidRPr="00DC01AA">
        <w:rPr>
          <w:noProof/>
        </w:rPr>
        <w:t>oddiele 14 „Zverejňovanie informácií</w:t>
      </w:r>
      <w:r w:rsidR="00DC01AA">
        <w:rPr>
          <w:noProof/>
        </w:rPr>
        <w:t xml:space="preserve"> o </w:t>
      </w:r>
      <w:r w:rsidRPr="00DC01AA">
        <w:rPr>
          <w:noProof/>
        </w:rPr>
        <w:t>expozíciách voči sekuritizačným pozíciám“</w:t>
      </w:r>
      <w:r w:rsidR="00DC01AA">
        <w:rPr>
          <w:noProof/>
        </w:rPr>
        <w:t xml:space="preserve"> v </w:t>
      </w:r>
      <w:r w:rsidRPr="00DC01AA">
        <w:rPr>
          <w:noProof/>
        </w:rPr>
        <w:t>prílohe I.</w:t>
      </w:r>
    </w:p>
    <w:p w:rsidR="000A5D79" w:rsidRPr="00DC01AA" w:rsidRDefault="000A5D79" w:rsidP="000A5D79">
      <w:pPr>
        <w:pStyle w:val="Titrearticle"/>
        <w:rPr>
          <w:noProof/>
        </w:rPr>
      </w:pPr>
      <w:r w:rsidRPr="00DC01AA">
        <w:rPr>
          <w:noProof/>
        </w:rPr>
        <w:t>Článok 16</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používaní štandardizovaného prístupu</w:t>
      </w:r>
      <w:r w:rsidR="00DC01AA">
        <w:rPr>
          <w:b/>
          <w:i w:val="0"/>
          <w:noProof/>
        </w:rPr>
        <w:t xml:space="preserve"> a </w:t>
      </w:r>
      <w:r w:rsidRPr="00DC01AA">
        <w:rPr>
          <w:b/>
          <w:i w:val="0"/>
          <w:noProof/>
        </w:rPr>
        <w:t>alternatívnych interných modelov pre trhové riziko</w:t>
      </w:r>
    </w:p>
    <w:p w:rsidR="000A5D79" w:rsidRPr="00DC01AA" w:rsidRDefault="00FC030A" w:rsidP="00FC030A">
      <w:pPr>
        <w:pStyle w:val="ManualNumPar1"/>
        <w:rPr>
          <w:noProof/>
        </w:rPr>
      </w:pPr>
      <w:r w:rsidRPr="00FC030A">
        <w:rPr>
          <w:noProof/>
        </w:rPr>
        <w:t>1.</w:t>
      </w:r>
      <w:r w:rsidRPr="00FC030A">
        <w:rPr>
          <w:noProof/>
        </w:rPr>
        <w:tab/>
      </w:r>
      <w:r w:rsidR="000A5D79" w:rsidRPr="00DC01AA">
        <w:rPr>
          <w:noProof/>
        </w:rPr>
        <w:t>Inštitúcie zverejňujú informácie uvedené</w:t>
      </w:r>
      <w:r w:rsidR="00DC01AA">
        <w:rPr>
          <w:noProof/>
        </w:rPr>
        <w:t xml:space="preserve"> v </w:t>
      </w:r>
      <w:r w:rsidR="000A5D79" w:rsidRPr="00DC01AA">
        <w:rPr>
          <w:noProof/>
        </w:rPr>
        <w:t>článku 435 ods. 1 písm. a) až d), článku 438, článku 445 ods. 1</w:t>
      </w:r>
      <w:r w:rsidR="00DC01AA">
        <w:rPr>
          <w:noProof/>
        </w:rPr>
        <w:t xml:space="preserve"> a </w:t>
      </w:r>
      <w:r w:rsidR="000A5D79" w:rsidRPr="00DC01AA">
        <w:rPr>
          <w:noProof/>
        </w:rPr>
        <w:t>2, článku 455 ods. 1 písm. a) až f)</w:t>
      </w:r>
      <w:r w:rsidR="00DC01AA">
        <w:rPr>
          <w:noProof/>
        </w:rPr>
        <w:t xml:space="preserve"> a </w:t>
      </w:r>
      <w:r w:rsidR="000A5D79" w:rsidRPr="00DC01AA">
        <w:rPr>
          <w:noProof/>
        </w:rPr>
        <w:t>článku 455 ods. 2</w:t>
      </w:r>
      <w:r w:rsidR="00DC01AA">
        <w:rPr>
          <w:noProof/>
        </w:rPr>
        <w:t xml:space="preserve"> a </w:t>
      </w:r>
      <w:r w:rsidR="000A5D79" w:rsidRPr="00DC01AA">
        <w:rPr>
          <w:noProof/>
        </w:rPr>
        <w:t xml:space="preserve">3 nariadenia (EÚ) </w:t>
      </w:r>
      <w:r w:rsidR="00DC01AA">
        <w:rPr>
          <w:noProof/>
        </w:rPr>
        <w:t>č. </w:t>
      </w:r>
      <w:r w:rsidR="000A5D79" w:rsidRPr="00DC01AA">
        <w:rPr>
          <w:noProof/>
        </w:rPr>
        <w:t>575/2013, ako sa uvádza</w:t>
      </w:r>
      <w:r w:rsidR="00DC01AA">
        <w:rPr>
          <w:noProof/>
        </w:rPr>
        <w:t xml:space="preserve"> v </w:t>
      </w:r>
      <w:r w:rsidR="000A5D79" w:rsidRPr="00DC01AA">
        <w:rPr>
          <w:noProof/>
        </w:rPr>
        <w:t>oddiele 15 „Zverejňovanie informácií</w:t>
      </w:r>
      <w:r w:rsidR="00DC01AA">
        <w:rPr>
          <w:noProof/>
        </w:rPr>
        <w:t xml:space="preserve"> o </w:t>
      </w:r>
      <w:r w:rsidR="000A5D79" w:rsidRPr="00DC01AA">
        <w:rPr>
          <w:noProof/>
        </w:rPr>
        <w:t>trhovom riziku“</w:t>
      </w:r>
      <w:r w:rsidR="00DC01AA">
        <w:rPr>
          <w:noProof/>
        </w:rPr>
        <w:t xml:space="preserve"> v </w:t>
      </w:r>
      <w:r w:rsidR="000A5D79" w:rsidRPr="00DC01AA">
        <w:rPr>
          <w:noProof/>
        </w:rPr>
        <w:t>prílohe I.</w:t>
      </w:r>
    </w:p>
    <w:p w:rsidR="000A5D79" w:rsidRPr="00DC01AA" w:rsidRDefault="00FC030A" w:rsidP="00FC030A">
      <w:pPr>
        <w:pStyle w:val="ManualNumPar1"/>
        <w:rPr>
          <w:noProof/>
        </w:rPr>
      </w:pPr>
      <w:r w:rsidRPr="00FC030A">
        <w:rPr>
          <w:noProof/>
        </w:rPr>
        <w:t>2.</w:t>
      </w:r>
      <w:r w:rsidRPr="00FC030A">
        <w:rPr>
          <w:noProof/>
        </w:rPr>
        <w:tab/>
      </w:r>
      <w:r w:rsidR="000A5D79" w:rsidRPr="00DC01AA">
        <w:rPr>
          <w:noProof/>
        </w:rPr>
        <w:t>Inštitúcie do 31</w:t>
      </w:r>
      <w:r w:rsidR="00DC01AA">
        <w:rPr>
          <w:noProof/>
        </w:rPr>
        <w:t>. decembra</w:t>
      </w:r>
      <w:r w:rsidR="000A5D79" w:rsidRPr="00DC01AA">
        <w:rPr>
          <w:noProof/>
        </w:rPr>
        <w:t xml:space="preserve"> 2025 zverejňujú informácie</w:t>
      </w:r>
      <w:r w:rsidR="00DC01AA">
        <w:rPr>
          <w:noProof/>
        </w:rPr>
        <w:t xml:space="preserve"> v </w:t>
      </w:r>
      <w:r w:rsidR="000A5D79" w:rsidRPr="00DC01AA">
        <w:rPr>
          <w:noProof/>
        </w:rPr>
        <w:t>súlade</w:t>
      </w:r>
      <w:r w:rsidR="00DC01AA">
        <w:rPr>
          <w:noProof/>
        </w:rPr>
        <w:t xml:space="preserve"> s </w:t>
      </w:r>
      <w:r w:rsidR="000A5D79" w:rsidRPr="00DC01AA">
        <w:rPr>
          <w:noProof/>
        </w:rPr>
        <w:t>článkom 15 vykonávacieho nariadenia Komisie (EÚ) 2021/637</w:t>
      </w:r>
      <w:r w:rsidR="000A5D79" w:rsidRPr="00DC01AA">
        <w:rPr>
          <w:rStyle w:val="FootnoteReference"/>
          <w:rFonts w:eastAsia="Times New Roman"/>
          <w:noProof/>
          <w:lang w:eastAsia="en-GB" w:bidi="en-GB"/>
        </w:rPr>
        <w:footnoteReference w:id="12"/>
      </w:r>
      <w:r w:rsidR="000A5D79" w:rsidRPr="00DC01AA">
        <w:rPr>
          <w:noProof/>
        </w:rPr>
        <w:t>.</w:t>
      </w:r>
    </w:p>
    <w:p w:rsidR="00DC01AA" w:rsidRDefault="00FC030A" w:rsidP="00FC030A">
      <w:pPr>
        <w:pStyle w:val="ManualNumPar1"/>
        <w:rPr>
          <w:noProof/>
        </w:rPr>
      </w:pPr>
      <w:r w:rsidRPr="00FC030A">
        <w:rPr>
          <w:noProof/>
        </w:rPr>
        <w:t>3.</w:t>
      </w:r>
      <w:r w:rsidRPr="00FC030A">
        <w:rPr>
          <w:noProof/>
        </w:rPr>
        <w:tab/>
      </w:r>
      <w:r w:rsidR="000A5D79" w:rsidRPr="00DC01AA">
        <w:rPr>
          <w:noProof/>
        </w:rPr>
        <w:t>K prvému dátumu uplatnenia alternatívnych prístupov uvedených</w:t>
      </w:r>
      <w:r w:rsidR="00DC01AA">
        <w:rPr>
          <w:noProof/>
        </w:rPr>
        <w:t xml:space="preserve"> v </w:t>
      </w:r>
      <w:r w:rsidR="000A5D79" w:rsidRPr="00DC01AA">
        <w:rPr>
          <w:noProof/>
        </w:rPr>
        <w:t xml:space="preserve">článku 325az nariadenia (EÚ) </w:t>
      </w:r>
      <w:r w:rsidR="00DC01AA">
        <w:rPr>
          <w:noProof/>
        </w:rPr>
        <w:t>č. </w:t>
      </w:r>
      <w:r w:rsidR="000A5D79" w:rsidRPr="00DC01AA">
        <w:rPr>
          <w:noProof/>
        </w:rPr>
        <w:t>575/2013 inštitúcie používajúce alternatívny prístup interného modelu pre trhové riziko zverejňujú kvalitatívne informácie uvedené</w:t>
      </w:r>
      <w:r w:rsidR="00DC01AA">
        <w:rPr>
          <w:noProof/>
        </w:rPr>
        <w:t xml:space="preserve"> v </w:t>
      </w:r>
      <w:r w:rsidR="000A5D79" w:rsidRPr="00DC01AA">
        <w:rPr>
          <w:noProof/>
        </w:rPr>
        <w:t xml:space="preserve">článku 455 ods. 1 písm. a) až f) nariadenia (EÚ) </w:t>
      </w:r>
      <w:r w:rsidR="00DC01AA">
        <w:rPr>
          <w:noProof/>
        </w:rPr>
        <w:t>č. </w:t>
      </w:r>
      <w:r w:rsidR="000A5D79" w:rsidRPr="00DC01AA">
        <w:rPr>
          <w:noProof/>
        </w:rPr>
        <w:t>575/2013 spolu</w:t>
      </w:r>
      <w:r w:rsidR="00DC01AA">
        <w:rPr>
          <w:noProof/>
        </w:rPr>
        <w:t xml:space="preserve"> s </w:t>
      </w:r>
      <w:r w:rsidR="000A5D79" w:rsidRPr="00DC01AA">
        <w:rPr>
          <w:noProof/>
        </w:rPr>
        <w:t>kvantitatívnymi informáciami uvedenými</w:t>
      </w:r>
      <w:r w:rsidR="00DC01AA">
        <w:rPr>
          <w:noProof/>
        </w:rPr>
        <w:t xml:space="preserve"> v </w:t>
      </w:r>
      <w:r w:rsidR="000A5D79" w:rsidRPr="00DC01AA">
        <w:rPr>
          <w:noProof/>
        </w:rPr>
        <w:t>článku 455 ods. 2 uvedeného nariadenia</w:t>
      </w:r>
      <w:r w:rsidR="00DC01AA">
        <w:rPr>
          <w:noProof/>
        </w:rPr>
        <w:t>.</w:t>
      </w:r>
    </w:p>
    <w:p w:rsidR="000A5D79" w:rsidRPr="00DC01AA" w:rsidRDefault="000A5D79" w:rsidP="00813A48">
      <w:pPr>
        <w:pStyle w:val="Titrearticle"/>
        <w:spacing w:before="120"/>
        <w:rPr>
          <w:noProof/>
        </w:rPr>
      </w:pPr>
      <w:r w:rsidRPr="00DC01AA">
        <w:rPr>
          <w:noProof/>
        </w:rPr>
        <w:t>Článok 17</w:t>
      </w:r>
    </w:p>
    <w:p w:rsidR="000A5D79" w:rsidRPr="00DC01AA" w:rsidRDefault="000A5D79" w:rsidP="00813A48">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riziku úpravy ocenenia pohľadávok</w:t>
      </w:r>
    </w:p>
    <w:p w:rsidR="000A5D79" w:rsidRPr="00DC01AA" w:rsidRDefault="000A5D79" w:rsidP="00905855">
      <w:pPr>
        <w:rPr>
          <w:noProof/>
        </w:rPr>
      </w:pPr>
      <w:r w:rsidRPr="00DC01AA">
        <w:rPr>
          <w:noProof/>
        </w:rPr>
        <w:t>Inštitúcie zverejňujú informácie uvedené</w:t>
      </w:r>
      <w:r w:rsidR="00DC01AA">
        <w:rPr>
          <w:noProof/>
        </w:rPr>
        <w:t xml:space="preserve"> v </w:t>
      </w:r>
      <w:r w:rsidRPr="00DC01AA">
        <w:rPr>
          <w:noProof/>
        </w:rPr>
        <w:t>článku 438 písm. d)</w:t>
      </w:r>
      <w:r w:rsidR="00DC01AA">
        <w:rPr>
          <w:noProof/>
        </w:rPr>
        <w:t xml:space="preserve"> a </w:t>
      </w:r>
      <w:r w:rsidRPr="00DC01AA">
        <w:rPr>
          <w:noProof/>
        </w:rPr>
        <w:t>h), článku 439 písm. h)</w:t>
      </w:r>
      <w:r w:rsidR="00DC01AA">
        <w:rPr>
          <w:noProof/>
        </w:rPr>
        <w:t xml:space="preserve"> a </w:t>
      </w:r>
      <w:r w:rsidRPr="00DC01AA">
        <w:rPr>
          <w:noProof/>
        </w:rPr>
        <w:t xml:space="preserve">článok 445a nariadenia (EÚ) </w:t>
      </w:r>
      <w:r w:rsidR="00DC01AA">
        <w:rPr>
          <w:noProof/>
        </w:rPr>
        <w:t>č. </w:t>
      </w:r>
      <w:r w:rsidRPr="00DC01AA">
        <w:rPr>
          <w:noProof/>
        </w:rPr>
        <w:t>575/2013, ako sa uvádza</w:t>
      </w:r>
      <w:r w:rsidR="00DC01AA">
        <w:rPr>
          <w:noProof/>
        </w:rPr>
        <w:t xml:space="preserve"> v </w:t>
      </w:r>
      <w:r w:rsidRPr="00DC01AA">
        <w:rPr>
          <w:noProof/>
        </w:rPr>
        <w:t>oddiele 16 „Zverejňovanie informácií</w:t>
      </w:r>
      <w:r w:rsidR="00DC01AA">
        <w:rPr>
          <w:noProof/>
        </w:rPr>
        <w:t xml:space="preserve"> o </w:t>
      </w:r>
      <w:r w:rsidRPr="00DC01AA">
        <w:rPr>
          <w:noProof/>
        </w:rPr>
        <w:t>úprave ocenenia pohľadávok“</w:t>
      </w:r>
      <w:r w:rsidR="00DC01AA">
        <w:rPr>
          <w:noProof/>
        </w:rPr>
        <w:t xml:space="preserve"> v </w:t>
      </w:r>
      <w:r w:rsidRPr="00DC01AA">
        <w:rPr>
          <w:noProof/>
        </w:rPr>
        <w:t>prílohe I.</w:t>
      </w:r>
    </w:p>
    <w:p w:rsidR="000A5D79" w:rsidRPr="00DC01AA" w:rsidRDefault="000A5D79" w:rsidP="000A5D79">
      <w:pPr>
        <w:pStyle w:val="Titrearticle"/>
        <w:rPr>
          <w:noProof/>
        </w:rPr>
      </w:pPr>
      <w:r w:rsidRPr="00DC01AA">
        <w:rPr>
          <w:noProof/>
        </w:rPr>
        <w:t>Článok 18</w:t>
      </w:r>
    </w:p>
    <w:p w:rsid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operačnom riziku</w:t>
      </w:r>
    </w:p>
    <w:p w:rsidR="000A5D79" w:rsidRPr="00DC01AA" w:rsidRDefault="000A5D79" w:rsidP="000A5D79">
      <w:pPr>
        <w:rPr>
          <w:noProof/>
        </w:rPr>
      </w:pPr>
      <w:r w:rsidRPr="00DC01AA">
        <w:rPr>
          <w:noProof/>
        </w:rPr>
        <w:t>Inštitúcie zverejňujú informácie uvedené</w:t>
      </w:r>
      <w:r w:rsidR="00DC01AA">
        <w:rPr>
          <w:noProof/>
        </w:rPr>
        <w:t xml:space="preserve"> v </w:t>
      </w:r>
      <w:r w:rsidRPr="00DC01AA">
        <w:rPr>
          <w:noProof/>
        </w:rPr>
        <w:t>článku 435, článku 438 písm. d)</w:t>
      </w:r>
      <w:r w:rsidR="00DC01AA">
        <w:rPr>
          <w:noProof/>
        </w:rPr>
        <w:t xml:space="preserve"> a </w:t>
      </w:r>
      <w:r w:rsidRPr="00DC01AA">
        <w:rPr>
          <w:noProof/>
        </w:rPr>
        <w:t xml:space="preserve">článku 446 nariadenia (EÚ) </w:t>
      </w:r>
      <w:r w:rsidR="00DC01AA">
        <w:rPr>
          <w:noProof/>
        </w:rPr>
        <w:t>č. </w:t>
      </w:r>
      <w:r w:rsidRPr="00DC01AA">
        <w:rPr>
          <w:noProof/>
        </w:rPr>
        <w:t>575/2013, ako sa uvádza</w:t>
      </w:r>
      <w:r w:rsidR="00DC01AA">
        <w:rPr>
          <w:noProof/>
        </w:rPr>
        <w:t xml:space="preserve"> v </w:t>
      </w:r>
      <w:r w:rsidRPr="00DC01AA">
        <w:rPr>
          <w:noProof/>
        </w:rPr>
        <w:t>oddiele 17 „Zverejňovanie informácií</w:t>
      </w:r>
      <w:r w:rsidR="00DC01AA">
        <w:rPr>
          <w:noProof/>
        </w:rPr>
        <w:t xml:space="preserve"> o </w:t>
      </w:r>
      <w:r w:rsidRPr="00DC01AA">
        <w:rPr>
          <w:noProof/>
        </w:rPr>
        <w:t>operačnom riziku“</w:t>
      </w:r>
      <w:r w:rsidR="00DC01AA">
        <w:rPr>
          <w:noProof/>
        </w:rPr>
        <w:t xml:space="preserve"> v </w:t>
      </w:r>
      <w:r w:rsidRPr="00DC01AA">
        <w:rPr>
          <w:noProof/>
        </w:rPr>
        <w:t>prílohe I.</w:t>
      </w:r>
    </w:p>
    <w:p w:rsidR="00DC01AA" w:rsidRDefault="000A5D79" w:rsidP="000A5D79">
      <w:pPr>
        <w:pStyle w:val="Titrearticle"/>
        <w:rPr>
          <w:noProof/>
        </w:rPr>
      </w:pPr>
      <w:r w:rsidRPr="00DC01AA">
        <w:rPr>
          <w:noProof/>
        </w:rPr>
        <w:t>Článok 19</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expozíciách voči úrokovému riziku pozícií, ktoré nie sú držané</w:t>
      </w:r>
      <w:r w:rsidR="00DC01AA">
        <w:rPr>
          <w:b/>
          <w:i w:val="0"/>
          <w:noProof/>
        </w:rPr>
        <w:t xml:space="preserve"> v </w:t>
      </w:r>
      <w:r w:rsidRPr="00DC01AA">
        <w:rPr>
          <w:b/>
          <w:i w:val="0"/>
          <w:noProof/>
        </w:rPr>
        <w:t>obchodnej knihe</w:t>
      </w:r>
    </w:p>
    <w:p w:rsidR="00DC01AA" w:rsidRDefault="00FC030A" w:rsidP="00FC030A">
      <w:pPr>
        <w:pStyle w:val="ManualNumPar1"/>
        <w:rPr>
          <w:noProof/>
        </w:rPr>
      </w:pPr>
      <w:r w:rsidRPr="00FC030A">
        <w:rPr>
          <w:noProof/>
        </w:rPr>
        <w:t>1.</w:t>
      </w:r>
      <w:r w:rsidRPr="00FC030A">
        <w:rPr>
          <w:noProof/>
        </w:rPr>
        <w:tab/>
      </w:r>
      <w:r w:rsidR="000A5D79" w:rsidRPr="00DC01AA">
        <w:rPr>
          <w:noProof/>
        </w:rPr>
        <w:t>Inštitúcie zverejňujú informácie uvedené</w:t>
      </w:r>
      <w:r w:rsidR="00DC01AA">
        <w:rPr>
          <w:noProof/>
        </w:rPr>
        <w:t xml:space="preserve"> v </w:t>
      </w:r>
      <w:r w:rsidR="000A5D79" w:rsidRPr="00DC01AA">
        <w:rPr>
          <w:noProof/>
        </w:rPr>
        <w:t xml:space="preserve">článku 448 ods. 1 písm. a) až g) nariadenia (EÚ) </w:t>
      </w:r>
      <w:r w:rsidR="00DC01AA">
        <w:rPr>
          <w:noProof/>
        </w:rPr>
        <w:t>č. </w:t>
      </w:r>
      <w:r w:rsidR="000A5D79" w:rsidRPr="00DC01AA">
        <w:rPr>
          <w:noProof/>
        </w:rPr>
        <w:t>575/2013, ako sa uvádza</w:t>
      </w:r>
      <w:r w:rsidR="00DC01AA">
        <w:rPr>
          <w:noProof/>
        </w:rPr>
        <w:t xml:space="preserve"> v </w:t>
      </w:r>
      <w:r w:rsidR="000A5D79" w:rsidRPr="00DC01AA">
        <w:rPr>
          <w:noProof/>
        </w:rPr>
        <w:t>oddiele 18 „Zverejňovanie informácií</w:t>
      </w:r>
      <w:r w:rsidR="00DC01AA">
        <w:rPr>
          <w:noProof/>
        </w:rPr>
        <w:t xml:space="preserve"> o </w:t>
      </w:r>
      <w:r w:rsidR="000A5D79" w:rsidRPr="00DC01AA">
        <w:rPr>
          <w:noProof/>
        </w:rPr>
        <w:t>úrokovom riziku činností</w:t>
      </w:r>
      <w:r w:rsidR="00DC01AA">
        <w:rPr>
          <w:noProof/>
        </w:rPr>
        <w:t xml:space="preserve"> v </w:t>
      </w:r>
      <w:r w:rsidR="000A5D79" w:rsidRPr="00DC01AA">
        <w:rPr>
          <w:noProof/>
        </w:rPr>
        <w:t>neobchodnej knihe“</w:t>
      </w:r>
      <w:r w:rsidR="00DC01AA">
        <w:rPr>
          <w:noProof/>
        </w:rPr>
        <w:t xml:space="preserve"> v </w:t>
      </w:r>
      <w:r w:rsidR="000A5D79" w:rsidRPr="00DC01AA">
        <w:rPr>
          <w:noProof/>
        </w:rPr>
        <w:t>prílohe I</w:t>
      </w:r>
      <w:r w:rsidR="00DC01AA">
        <w:rPr>
          <w:noProof/>
        </w:rPr>
        <w:t>.</w:t>
      </w:r>
    </w:p>
    <w:p w:rsidR="000A5D79" w:rsidRPr="00DC01AA" w:rsidRDefault="00FC030A" w:rsidP="00FC030A">
      <w:pPr>
        <w:pStyle w:val="ManualNumPar1"/>
        <w:rPr>
          <w:noProof/>
        </w:rPr>
      </w:pPr>
      <w:r w:rsidRPr="00FC030A">
        <w:rPr>
          <w:noProof/>
        </w:rPr>
        <w:t>2.</w:t>
      </w:r>
      <w:r w:rsidRPr="00FC030A">
        <w:rPr>
          <w:noProof/>
        </w:rPr>
        <w:tab/>
      </w:r>
      <w:r w:rsidR="00725C62" w:rsidRPr="00DC01AA">
        <w:rPr>
          <w:noProof/>
        </w:rPr>
        <w:t>Inštitúcie, ktoré zverejňujú informácie</w:t>
      </w:r>
      <w:r w:rsidR="00DC01AA">
        <w:rPr>
          <w:noProof/>
        </w:rPr>
        <w:t xml:space="preserve"> v </w:t>
      </w:r>
      <w:r w:rsidR="00725C62" w:rsidRPr="00DC01AA">
        <w:rPr>
          <w:noProof/>
        </w:rPr>
        <w:t>súlade</w:t>
      </w:r>
      <w:r w:rsidR="00DC01AA">
        <w:rPr>
          <w:noProof/>
        </w:rPr>
        <w:t xml:space="preserve"> s </w:t>
      </w:r>
      <w:r w:rsidR="00725C62" w:rsidRPr="00DC01AA">
        <w:rPr>
          <w:noProof/>
        </w:rPr>
        <w:t>odsekom 1 prvýkrát, nie sú povinné zverejňovať uvedené informácie týkajúce sa predchádzajúceho referenčného dátumu.</w:t>
      </w:r>
    </w:p>
    <w:p w:rsidR="000A5D79" w:rsidRPr="00DC01AA" w:rsidRDefault="000A5D79" w:rsidP="00813A48">
      <w:pPr>
        <w:pStyle w:val="Titrearticle"/>
        <w:rPr>
          <w:noProof/>
        </w:rPr>
      </w:pPr>
      <w:r w:rsidRPr="00DC01AA">
        <w:rPr>
          <w:noProof/>
        </w:rPr>
        <w:t>Článok 20</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politike odmeňovania</w:t>
      </w:r>
    </w:p>
    <w:p w:rsidR="00DC01AA" w:rsidRDefault="000A5D79" w:rsidP="00905855">
      <w:pPr>
        <w:rPr>
          <w:noProof/>
        </w:rPr>
      </w:pPr>
      <w:r w:rsidRPr="00DC01AA">
        <w:rPr>
          <w:noProof/>
        </w:rPr>
        <w:t>Inštitúcie zverejňujú informácie uvedené</w:t>
      </w:r>
      <w:r w:rsidR="00DC01AA">
        <w:rPr>
          <w:noProof/>
        </w:rPr>
        <w:t xml:space="preserve"> v </w:t>
      </w:r>
      <w:r w:rsidRPr="00DC01AA">
        <w:rPr>
          <w:noProof/>
        </w:rPr>
        <w:t xml:space="preserve">článku 450 nariadenia (EÚ) </w:t>
      </w:r>
      <w:r w:rsidR="00DC01AA">
        <w:rPr>
          <w:noProof/>
        </w:rPr>
        <w:t>č. </w:t>
      </w:r>
      <w:r w:rsidRPr="00DC01AA">
        <w:rPr>
          <w:noProof/>
        </w:rPr>
        <w:t>575/2013, ako sa uvádza</w:t>
      </w:r>
      <w:r w:rsidR="00DC01AA">
        <w:rPr>
          <w:noProof/>
        </w:rPr>
        <w:t xml:space="preserve"> v </w:t>
      </w:r>
      <w:r w:rsidRPr="00DC01AA">
        <w:rPr>
          <w:noProof/>
        </w:rPr>
        <w:t>oddiele 19 „Zverejňovanie informácií</w:t>
      </w:r>
      <w:r w:rsidR="00DC01AA">
        <w:rPr>
          <w:noProof/>
        </w:rPr>
        <w:t xml:space="preserve"> o </w:t>
      </w:r>
      <w:r w:rsidRPr="00DC01AA">
        <w:rPr>
          <w:noProof/>
        </w:rPr>
        <w:t>politike odmeňovania“</w:t>
      </w:r>
      <w:r w:rsidR="00DC01AA">
        <w:rPr>
          <w:noProof/>
        </w:rPr>
        <w:t xml:space="preserve"> v </w:t>
      </w:r>
      <w:r w:rsidRPr="00DC01AA">
        <w:rPr>
          <w:noProof/>
        </w:rPr>
        <w:t>prílohe I</w:t>
      </w:r>
      <w:r w:rsidR="00DC01AA">
        <w:rPr>
          <w:noProof/>
        </w:rPr>
        <w:t>.</w:t>
      </w:r>
    </w:p>
    <w:p w:rsidR="000A5D79" w:rsidRPr="00DC01AA" w:rsidRDefault="000A5D79" w:rsidP="00115B95">
      <w:pPr>
        <w:pStyle w:val="Titrearticle"/>
        <w:rPr>
          <w:noProof/>
        </w:rPr>
      </w:pPr>
      <w:r w:rsidRPr="00DC01AA">
        <w:rPr>
          <w:noProof/>
        </w:rPr>
        <w:t>Článok 21</w:t>
      </w:r>
    </w:p>
    <w:p w:rsid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zaťažených</w:t>
      </w:r>
      <w:r w:rsidR="00DC01AA">
        <w:rPr>
          <w:b/>
          <w:i w:val="0"/>
          <w:noProof/>
        </w:rPr>
        <w:t xml:space="preserve"> a </w:t>
      </w:r>
      <w:r w:rsidRPr="00DC01AA">
        <w:rPr>
          <w:b/>
          <w:i w:val="0"/>
          <w:noProof/>
        </w:rPr>
        <w:t>nezaťažených aktívach</w:t>
      </w:r>
    </w:p>
    <w:p w:rsidR="00DC01AA" w:rsidRDefault="000A5D79" w:rsidP="00905855">
      <w:pPr>
        <w:rPr>
          <w:noProof/>
        </w:rPr>
      </w:pPr>
      <w:r w:rsidRPr="00DC01AA">
        <w:rPr>
          <w:noProof/>
        </w:rPr>
        <w:t>Inštitúcie zverejňujú informácie uvedené</w:t>
      </w:r>
      <w:r w:rsidR="00DC01AA">
        <w:rPr>
          <w:noProof/>
        </w:rPr>
        <w:t xml:space="preserve"> v </w:t>
      </w:r>
      <w:r w:rsidRPr="00DC01AA">
        <w:rPr>
          <w:noProof/>
        </w:rPr>
        <w:t xml:space="preserve">článku 443 nariadenia (EÚ) </w:t>
      </w:r>
      <w:r w:rsidR="00DC01AA">
        <w:rPr>
          <w:noProof/>
        </w:rPr>
        <w:t>č. </w:t>
      </w:r>
      <w:r w:rsidRPr="00DC01AA">
        <w:rPr>
          <w:noProof/>
        </w:rPr>
        <w:t>575/2013, ako sa uvádza</w:t>
      </w:r>
      <w:r w:rsidR="00DC01AA">
        <w:rPr>
          <w:noProof/>
        </w:rPr>
        <w:t xml:space="preserve"> v </w:t>
      </w:r>
      <w:r w:rsidRPr="00DC01AA">
        <w:rPr>
          <w:noProof/>
        </w:rPr>
        <w:t>oddiele 20 „Zverejňovanie informácií</w:t>
      </w:r>
      <w:r w:rsidR="00DC01AA">
        <w:rPr>
          <w:noProof/>
        </w:rPr>
        <w:t xml:space="preserve"> o </w:t>
      </w:r>
      <w:r w:rsidRPr="00DC01AA">
        <w:rPr>
          <w:noProof/>
        </w:rPr>
        <w:t>zaťažených</w:t>
      </w:r>
      <w:r w:rsidR="00DC01AA">
        <w:rPr>
          <w:noProof/>
        </w:rPr>
        <w:t xml:space="preserve"> a </w:t>
      </w:r>
      <w:r w:rsidRPr="00DC01AA">
        <w:rPr>
          <w:noProof/>
        </w:rPr>
        <w:t>nezaťažených aktívach“</w:t>
      </w:r>
      <w:r w:rsidR="00DC01AA">
        <w:rPr>
          <w:noProof/>
        </w:rPr>
        <w:t xml:space="preserve"> v </w:t>
      </w:r>
      <w:r w:rsidRPr="00DC01AA">
        <w:rPr>
          <w:noProof/>
        </w:rPr>
        <w:t>prílohe I</w:t>
      </w:r>
      <w:r w:rsidR="00DC01AA">
        <w:rPr>
          <w:noProof/>
        </w:rPr>
        <w:t>.</w:t>
      </w:r>
    </w:p>
    <w:p w:rsidR="00DC01AA" w:rsidRDefault="000A5D79" w:rsidP="00115B95">
      <w:pPr>
        <w:pStyle w:val="Titrearticle"/>
        <w:rPr>
          <w:noProof/>
        </w:rPr>
      </w:pPr>
      <w:r w:rsidRPr="00DC01AA">
        <w:rPr>
          <w:noProof/>
        </w:rPr>
        <w:t>Článok 22</w:t>
      </w:r>
    </w:p>
    <w:p w:rsidR="000A5D79" w:rsidRPr="00DC01AA" w:rsidRDefault="000A5D79" w:rsidP="000A5D79">
      <w:pPr>
        <w:pStyle w:val="Titrearticle"/>
        <w:spacing w:before="120"/>
        <w:rPr>
          <w:b/>
          <w:i w:val="0"/>
          <w:noProof/>
        </w:rPr>
      </w:pPr>
      <w:r w:rsidRPr="00DC01AA">
        <w:rPr>
          <w:b/>
          <w:i w:val="0"/>
          <w:noProof/>
        </w:rPr>
        <w:t>Zverejňovanie informácií</w:t>
      </w:r>
      <w:r w:rsidR="00DC01AA">
        <w:rPr>
          <w:b/>
          <w:i w:val="0"/>
          <w:noProof/>
        </w:rPr>
        <w:t xml:space="preserve"> o </w:t>
      </w:r>
      <w:bookmarkStart w:id="6" w:name="_Hlk163229421"/>
      <w:r w:rsidRPr="00DC01AA">
        <w:rPr>
          <w:b/>
          <w:i w:val="0"/>
          <w:noProof/>
        </w:rPr>
        <w:t>rizikách environmentálneho, sociálneho</w:t>
      </w:r>
      <w:r w:rsidR="00DC01AA">
        <w:rPr>
          <w:b/>
          <w:i w:val="0"/>
          <w:noProof/>
        </w:rPr>
        <w:t xml:space="preserve"> a </w:t>
      </w:r>
      <w:r w:rsidRPr="00DC01AA">
        <w:rPr>
          <w:b/>
          <w:i w:val="0"/>
          <w:noProof/>
        </w:rPr>
        <w:t xml:space="preserve">správneho dosahu </w:t>
      </w:r>
      <w:bookmarkEnd w:id="6"/>
      <w:r w:rsidRPr="00DC01AA">
        <w:rPr>
          <w:b/>
          <w:i w:val="0"/>
          <w:noProof/>
        </w:rPr>
        <w:t>(riziká ESG)</w:t>
      </w:r>
    </w:p>
    <w:p w:rsidR="000A5D79" w:rsidRPr="00DC01AA" w:rsidRDefault="00FC030A" w:rsidP="00FC030A">
      <w:pPr>
        <w:pStyle w:val="ManualNumPar1"/>
        <w:rPr>
          <w:noProof/>
        </w:rPr>
      </w:pPr>
      <w:r w:rsidRPr="00FC030A">
        <w:rPr>
          <w:noProof/>
        </w:rPr>
        <w:t>1.</w:t>
      </w:r>
      <w:r w:rsidRPr="00FC030A">
        <w:rPr>
          <w:noProof/>
        </w:rPr>
        <w:tab/>
      </w:r>
      <w:r w:rsidR="000A5D79" w:rsidRPr="00DC01AA">
        <w:rPr>
          <w:noProof/>
        </w:rPr>
        <w:t>Inštitúcie zverejňujú informácie uvedené</w:t>
      </w:r>
      <w:r w:rsidR="00DC01AA">
        <w:rPr>
          <w:noProof/>
        </w:rPr>
        <w:t xml:space="preserve"> v </w:t>
      </w:r>
      <w:r w:rsidR="000A5D79" w:rsidRPr="00DC01AA">
        <w:rPr>
          <w:noProof/>
        </w:rPr>
        <w:t xml:space="preserve">článku 449a nariadenia (EÚ) </w:t>
      </w:r>
      <w:r w:rsidR="00DC01AA">
        <w:rPr>
          <w:noProof/>
        </w:rPr>
        <w:t>č. </w:t>
      </w:r>
      <w:r w:rsidR="000A5D79" w:rsidRPr="00DC01AA">
        <w:rPr>
          <w:noProof/>
        </w:rPr>
        <w:t>575/2013, ako sa uvádza</w:t>
      </w:r>
      <w:r w:rsidR="00DC01AA">
        <w:rPr>
          <w:noProof/>
        </w:rPr>
        <w:t xml:space="preserve"> v </w:t>
      </w:r>
      <w:r w:rsidR="000A5D79" w:rsidRPr="00DC01AA">
        <w:rPr>
          <w:noProof/>
        </w:rPr>
        <w:t>oddiele 21 „Zverejňovanie prudenciálnych informácií</w:t>
      </w:r>
      <w:r w:rsidR="00DC01AA">
        <w:rPr>
          <w:noProof/>
        </w:rPr>
        <w:t xml:space="preserve"> o </w:t>
      </w:r>
      <w:r w:rsidR="000A5D79" w:rsidRPr="00DC01AA">
        <w:rPr>
          <w:noProof/>
        </w:rPr>
        <w:t>rizikách ESG“</w:t>
      </w:r>
      <w:r w:rsidR="00DC01AA">
        <w:rPr>
          <w:noProof/>
        </w:rPr>
        <w:t xml:space="preserve"> v </w:t>
      </w:r>
      <w:r w:rsidR="000A5D79" w:rsidRPr="00DC01AA">
        <w:rPr>
          <w:noProof/>
        </w:rPr>
        <w:t>prílohe I. Uvedené informácie sa vzťahujú na všetky tieto prvky:</w:t>
      </w:r>
    </w:p>
    <w:p w:rsidR="00DC01AA" w:rsidRDefault="00413EE5" w:rsidP="00413EE5">
      <w:pPr>
        <w:pStyle w:val="Point1"/>
        <w:rPr>
          <w:noProof/>
        </w:rPr>
      </w:pPr>
      <w:r>
        <w:rPr>
          <w:noProof/>
        </w:rPr>
        <w:t>a)</w:t>
      </w:r>
      <w:r>
        <w:rPr>
          <w:noProof/>
        </w:rPr>
        <w:tab/>
      </w:r>
      <w:r w:rsidR="000A5D79" w:rsidRPr="00DC01AA">
        <w:rPr>
          <w:noProof/>
        </w:rPr>
        <w:t>kvalitatívne informácie</w:t>
      </w:r>
      <w:r w:rsidR="00DC01AA">
        <w:rPr>
          <w:noProof/>
        </w:rPr>
        <w:t xml:space="preserve"> o </w:t>
      </w:r>
      <w:r w:rsidR="000A5D79" w:rsidRPr="00DC01AA">
        <w:rPr>
          <w:noProof/>
        </w:rPr>
        <w:t>rizikách environmentálneho, sociálneho</w:t>
      </w:r>
      <w:r w:rsidR="00DC01AA">
        <w:rPr>
          <w:noProof/>
        </w:rPr>
        <w:t xml:space="preserve"> a </w:t>
      </w:r>
      <w:r w:rsidR="000A5D79" w:rsidRPr="00DC01AA">
        <w:rPr>
          <w:noProof/>
        </w:rPr>
        <w:t>správneho dosahu</w:t>
      </w:r>
      <w:r w:rsidR="00DC01AA">
        <w:rPr>
          <w:noProof/>
        </w:rPr>
        <w:t>;</w:t>
      </w:r>
    </w:p>
    <w:p w:rsidR="00DC01AA" w:rsidRDefault="00413EE5" w:rsidP="00413EE5">
      <w:pPr>
        <w:pStyle w:val="Point1"/>
        <w:rPr>
          <w:noProof/>
        </w:rPr>
      </w:pPr>
      <w:r>
        <w:rPr>
          <w:noProof/>
        </w:rPr>
        <w:t>b)</w:t>
      </w:r>
      <w:r>
        <w:rPr>
          <w:noProof/>
        </w:rPr>
        <w:tab/>
      </w:r>
      <w:r w:rsidR="000A5D79" w:rsidRPr="00DC01AA">
        <w:rPr>
          <w:noProof/>
        </w:rPr>
        <w:t>kvantitatívne informácie</w:t>
      </w:r>
      <w:r w:rsidR="00DC01AA">
        <w:rPr>
          <w:noProof/>
        </w:rPr>
        <w:t xml:space="preserve"> o </w:t>
      </w:r>
      <w:r w:rsidR="000A5D79" w:rsidRPr="00DC01AA">
        <w:rPr>
          <w:noProof/>
        </w:rPr>
        <w:t>riziku transformácie súvisiacom so zmenou klímy</w:t>
      </w:r>
      <w:r w:rsidR="00DC01AA">
        <w:rPr>
          <w:noProof/>
        </w:rPr>
        <w:t>;</w:t>
      </w:r>
    </w:p>
    <w:p w:rsidR="00DC01AA" w:rsidRDefault="00413EE5" w:rsidP="00413EE5">
      <w:pPr>
        <w:pStyle w:val="Point1"/>
        <w:rPr>
          <w:noProof/>
        </w:rPr>
      </w:pPr>
      <w:r>
        <w:rPr>
          <w:noProof/>
        </w:rPr>
        <w:t>c)</w:t>
      </w:r>
      <w:r>
        <w:rPr>
          <w:noProof/>
        </w:rPr>
        <w:tab/>
      </w:r>
      <w:r w:rsidR="000A5D79" w:rsidRPr="00DC01AA">
        <w:rPr>
          <w:noProof/>
        </w:rPr>
        <w:t>kvantitatívne informácie</w:t>
      </w:r>
      <w:r w:rsidR="00DC01AA">
        <w:rPr>
          <w:noProof/>
        </w:rPr>
        <w:t xml:space="preserve"> o </w:t>
      </w:r>
      <w:r w:rsidR="000A5D79" w:rsidRPr="00DC01AA">
        <w:rPr>
          <w:noProof/>
        </w:rPr>
        <w:t>fyzickom riziku súvisiacom so zmenou klímy</w:t>
      </w:r>
      <w:r w:rsidR="00DC01AA">
        <w:rPr>
          <w:noProof/>
        </w:rPr>
        <w:t>;</w:t>
      </w:r>
    </w:p>
    <w:p w:rsidR="00DC01AA" w:rsidRDefault="00413EE5" w:rsidP="00413EE5">
      <w:pPr>
        <w:pStyle w:val="Point1"/>
        <w:rPr>
          <w:noProof/>
        </w:rPr>
      </w:pPr>
      <w:r>
        <w:rPr>
          <w:noProof/>
        </w:rPr>
        <w:t>d)</w:t>
      </w:r>
      <w:r>
        <w:rPr>
          <w:noProof/>
        </w:rPr>
        <w:tab/>
      </w:r>
      <w:r w:rsidR="000A5D79" w:rsidRPr="00DC01AA">
        <w:rPr>
          <w:noProof/>
        </w:rPr>
        <w:t>kvantitatívne informácie</w:t>
      </w:r>
      <w:r w:rsidR="00DC01AA">
        <w:rPr>
          <w:noProof/>
        </w:rPr>
        <w:t xml:space="preserve"> o </w:t>
      </w:r>
      <w:r w:rsidR="000A5D79" w:rsidRPr="00DC01AA">
        <w:rPr>
          <w:noProof/>
        </w:rPr>
        <w:t>zmierňujúcich opatreniach súvisiacich</w:t>
      </w:r>
      <w:r w:rsidR="00DC01AA">
        <w:rPr>
          <w:noProof/>
        </w:rPr>
        <w:t xml:space="preserve"> s </w:t>
      </w:r>
      <w:r w:rsidR="000A5D79" w:rsidRPr="00DC01AA">
        <w:rPr>
          <w:noProof/>
        </w:rPr>
        <w:t>hospodárskymi činnosťami, ktoré sa podľa článku 3 nariadenia (EÚ) 2020/852 označujú ako environmentálne udržateľné, voči protistranám, na ktoré sa vzťahujú články 19a alebo 29a smernice 2013/34/EÚ, voči domácnostiam</w:t>
      </w:r>
      <w:r w:rsidR="00DC01AA">
        <w:rPr>
          <w:noProof/>
        </w:rPr>
        <w:t xml:space="preserve"> a </w:t>
      </w:r>
      <w:r w:rsidR="000A5D79" w:rsidRPr="00DC01AA">
        <w:rPr>
          <w:noProof/>
        </w:rPr>
        <w:t>miestnym samosprávam, ako sa uvádza</w:t>
      </w:r>
      <w:r w:rsidR="00DC01AA">
        <w:rPr>
          <w:noProof/>
        </w:rPr>
        <w:t xml:space="preserve"> v </w:t>
      </w:r>
      <w:r w:rsidR="000A5D79" w:rsidRPr="00DC01AA">
        <w:rPr>
          <w:noProof/>
        </w:rPr>
        <w:t>časti 1 bode 42 písm. b) prílohy</w:t>
      </w:r>
      <w:r w:rsidR="00DC01AA">
        <w:rPr>
          <w:noProof/>
        </w:rPr>
        <w:t xml:space="preserve"> V k </w:t>
      </w:r>
      <w:r w:rsidR="000A5D79" w:rsidRPr="00DC01AA">
        <w:rPr>
          <w:noProof/>
        </w:rPr>
        <w:t>vykonávaciemu nariadeniu Komisie (EÚ) 2021/451</w:t>
      </w:r>
      <w:r w:rsidR="000A5D79" w:rsidRPr="00DC01AA">
        <w:rPr>
          <w:rStyle w:val="FootnoteReference"/>
          <w:noProof/>
        </w:rPr>
        <w:footnoteReference w:id="13"/>
      </w:r>
      <w:r w:rsidR="00DC01AA">
        <w:rPr>
          <w:noProof/>
        </w:rPr>
        <w:t>;</w:t>
      </w:r>
    </w:p>
    <w:p w:rsidR="00DC01AA" w:rsidRDefault="00413EE5" w:rsidP="00413EE5">
      <w:pPr>
        <w:pStyle w:val="Point1"/>
        <w:rPr>
          <w:noProof/>
        </w:rPr>
      </w:pPr>
      <w:r>
        <w:rPr>
          <w:noProof/>
        </w:rPr>
        <w:t>e)</w:t>
      </w:r>
      <w:r>
        <w:rPr>
          <w:noProof/>
        </w:rPr>
        <w:tab/>
      </w:r>
      <w:r w:rsidR="000A5D79" w:rsidRPr="00DC01AA">
        <w:rPr>
          <w:noProof/>
        </w:rPr>
        <w:t>kvantitatívne informácie</w:t>
      </w:r>
      <w:r w:rsidR="00DC01AA">
        <w:rPr>
          <w:noProof/>
        </w:rPr>
        <w:t xml:space="preserve"> o </w:t>
      </w:r>
      <w:r w:rsidR="000A5D79" w:rsidRPr="00DC01AA">
        <w:rPr>
          <w:noProof/>
        </w:rPr>
        <w:t>iných zmierňujúcich opatreniach</w:t>
      </w:r>
      <w:r w:rsidR="00DC01AA">
        <w:rPr>
          <w:noProof/>
        </w:rPr>
        <w:t xml:space="preserve"> a </w:t>
      </w:r>
      <w:r w:rsidR="000A5D79" w:rsidRPr="00DC01AA">
        <w:rPr>
          <w:noProof/>
        </w:rPr>
        <w:t>expozíciách voči rizikám súvisiacim so zmenou klímy, ktoré sa neoznačujú za environmentálne udržateľné hospodárske činnosti podľa článku 3 nariadenia (EÚ) 2020/852, ale podporujú protistrany</w:t>
      </w:r>
      <w:r w:rsidR="00DC01AA">
        <w:rPr>
          <w:noProof/>
        </w:rPr>
        <w:t xml:space="preserve"> v </w:t>
      </w:r>
      <w:r w:rsidR="000A5D79" w:rsidRPr="00DC01AA">
        <w:rPr>
          <w:noProof/>
        </w:rPr>
        <w:t>procese prechodu alebo adaptácie</w:t>
      </w:r>
      <w:r w:rsidR="00DC01AA">
        <w:rPr>
          <w:noProof/>
        </w:rPr>
        <w:t xml:space="preserve"> v </w:t>
      </w:r>
      <w:r w:rsidR="000A5D79" w:rsidRPr="00DC01AA">
        <w:rPr>
          <w:noProof/>
        </w:rPr>
        <w:t>záujme cieľov zmierňovania zmeny klímy</w:t>
      </w:r>
      <w:r w:rsidR="00DC01AA">
        <w:rPr>
          <w:noProof/>
        </w:rPr>
        <w:t xml:space="preserve"> a </w:t>
      </w:r>
      <w:r w:rsidR="000A5D79" w:rsidRPr="00DC01AA">
        <w:rPr>
          <w:noProof/>
        </w:rPr>
        <w:t>adaptácie na zmenu klímy</w:t>
      </w:r>
      <w:r w:rsidR="00DC01AA">
        <w:rPr>
          <w:noProof/>
        </w:rPr>
        <w:t>.</w:t>
      </w:r>
    </w:p>
    <w:p w:rsidR="000A5D79" w:rsidRPr="00DC01AA" w:rsidRDefault="00FC030A" w:rsidP="00FC030A">
      <w:pPr>
        <w:pStyle w:val="ManualNumPar1"/>
        <w:rPr>
          <w:noProof/>
        </w:rPr>
      </w:pPr>
      <w:r w:rsidRPr="00FC030A">
        <w:rPr>
          <w:noProof/>
        </w:rPr>
        <w:t>2.</w:t>
      </w:r>
      <w:r w:rsidRPr="00FC030A">
        <w:rPr>
          <w:noProof/>
        </w:rPr>
        <w:tab/>
      </w:r>
      <w:r w:rsidR="000A5D79" w:rsidRPr="00DC01AA">
        <w:rPr>
          <w:noProof/>
        </w:rPr>
        <w:t>Inštitúcie sa môžu rozhodnúť, že budú zverejňovať kvantitatívne informácie</w:t>
      </w:r>
      <w:r w:rsidR="00DC01AA">
        <w:rPr>
          <w:noProof/>
        </w:rPr>
        <w:t xml:space="preserve"> o </w:t>
      </w:r>
      <w:r w:rsidR="000A5D79" w:rsidRPr="00DC01AA">
        <w:rPr>
          <w:noProof/>
        </w:rPr>
        <w:t>zmierňujúcich opatreniach</w:t>
      </w:r>
      <w:r w:rsidR="00DC01AA">
        <w:rPr>
          <w:noProof/>
        </w:rPr>
        <w:t xml:space="preserve"> a </w:t>
      </w:r>
      <w:r w:rsidR="000A5D79" w:rsidRPr="00DC01AA">
        <w:rPr>
          <w:noProof/>
        </w:rPr>
        <w:t>expozíciách týkajúcich sa rizík súvisiacich so zmenou klímy spojených</w:t>
      </w:r>
      <w:r w:rsidR="00DC01AA">
        <w:rPr>
          <w:noProof/>
        </w:rPr>
        <w:t xml:space="preserve"> s </w:t>
      </w:r>
      <w:r w:rsidR="000A5D79" w:rsidRPr="00DC01AA">
        <w:rPr>
          <w:noProof/>
        </w:rPr>
        <w:t>hospodárskymi činnosťami, ktoré sa podľa článku 3 nariadenia (EÚ) 2020/852 označujú za environmentálne udržateľné, voči protistranám, ktoré sú nefinančnými korporáciami, na ktoré sa nevzťahujú povinnosti zverejňovania informácií stanovené</w:t>
      </w:r>
      <w:r w:rsidR="00DC01AA">
        <w:rPr>
          <w:noProof/>
        </w:rPr>
        <w:t xml:space="preserve"> v </w:t>
      </w:r>
      <w:r w:rsidR="000A5D79" w:rsidRPr="00DC01AA">
        <w:rPr>
          <w:noProof/>
        </w:rPr>
        <w:t>článkoch 19a alebo 29a smernice 2013/34/EÚ</w:t>
      </w:r>
      <w:r w:rsidR="00DC01AA">
        <w:rPr>
          <w:noProof/>
        </w:rPr>
        <w:t xml:space="preserve"> a </w:t>
      </w:r>
      <w:r w:rsidR="000A5D79" w:rsidRPr="00DC01AA">
        <w:rPr>
          <w:noProof/>
        </w:rPr>
        <w:t>na ktoré sa nevzťahujú povinnosti zverejňovania informácií stanovené vo vykonávacom nariadení Komisie (EÚ) 2021/2178</w:t>
      </w:r>
      <w:r w:rsidR="000A5D79" w:rsidRPr="00DC01AA">
        <w:rPr>
          <w:rStyle w:val="FootnoteReference"/>
          <w:noProof/>
        </w:rPr>
        <w:footnoteReference w:id="14"/>
      </w:r>
      <w:r w:rsidR="000A5D79" w:rsidRPr="00DC01AA">
        <w:rPr>
          <w:noProof/>
        </w:rPr>
        <w:t>.</w:t>
      </w:r>
    </w:p>
    <w:p w:rsidR="00DC01AA" w:rsidRDefault="000A5D79" w:rsidP="00204A69">
      <w:pPr>
        <w:pStyle w:val="Text1"/>
        <w:rPr>
          <w:noProof/>
        </w:rPr>
      </w:pPr>
      <w:r w:rsidRPr="00DC01AA">
        <w:rPr>
          <w:noProof/>
        </w:rPr>
        <w:t>Na výpočet percentuálneho podielu expozícií voči činnostiam, ktoré spĺňajú požiadavky stanovené</w:t>
      </w:r>
      <w:r w:rsidR="00DC01AA">
        <w:rPr>
          <w:noProof/>
        </w:rPr>
        <w:t xml:space="preserve"> v </w:t>
      </w:r>
      <w:r w:rsidRPr="00DC01AA">
        <w:rPr>
          <w:noProof/>
        </w:rPr>
        <w:t>článku 3 nariadenia (EÚ) 2020/852 (expozície zosúladené</w:t>
      </w:r>
      <w:r w:rsidR="00DC01AA">
        <w:rPr>
          <w:noProof/>
        </w:rPr>
        <w:t xml:space="preserve"> s </w:t>
      </w:r>
      <w:r w:rsidRPr="00DC01AA">
        <w:rPr>
          <w:noProof/>
        </w:rPr>
        <w:t>taxonómiou) voči uvedeným protistranám, inštitúcie</w:t>
      </w:r>
      <w:r w:rsidR="00DC01AA">
        <w:rPr>
          <w:noProof/>
        </w:rPr>
        <w:t>:</w:t>
      </w:r>
    </w:p>
    <w:p w:rsidR="00DC01AA" w:rsidRDefault="00413EE5" w:rsidP="00413EE5">
      <w:pPr>
        <w:pStyle w:val="Point1"/>
        <w:rPr>
          <w:noProof/>
        </w:rPr>
      </w:pPr>
      <w:r>
        <w:rPr>
          <w:noProof/>
        </w:rPr>
        <w:t>a)</w:t>
      </w:r>
      <w:r>
        <w:rPr>
          <w:noProof/>
        </w:rPr>
        <w:tab/>
      </w:r>
      <w:r w:rsidR="000A5D79" w:rsidRPr="00DC01AA">
        <w:rPr>
          <w:noProof/>
        </w:rPr>
        <w:t>môžu, ak sú</w:t>
      </w:r>
      <w:r w:rsidR="00DC01AA">
        <w:rPr>
          <w:noProof/>
        </w:rPr>
        <w:t xml:space="preserve"> k </w:t>
      </w:r>
      <w:r w:rsidR="000A5D79" w:rsidRPr="00DC01AA">
        <w:rPr>
          <w:noProof/>
        </w:rPr>
        <w:t>dispozícii, využívať informácie získané na dobrovoľnom</w:t>
      </w:r>
      <w:r w:rsidR="00DC01AA">
        <w:rPr>
          <w:noProof/>
        </w:rPr>
        <w:t xml:space="preserve"> a </w:t>
      </w:r>
      <w:r w:rsidR="000A5D79" w:rsidRPr="00DC01AA">
        <w:rPr>
          <w:noProof/>
        </w:rPr>
        <w:t>bilaterálnom základe od svojich protistrán prostredníctvom vzniku úveru</w:t>
      </w:r>
      <w:r w:rsidR="00DC01AA">
        <w:rPr>
          <w:noProof/>
        </w:rPr>
        <w:t xml:space="preserve"> a </w:t>
      </w:r>
      <w:r w:rsidR="000A5D79" w:rsidRPr="00DC01AA">
        <w:rPr>
          <w:noProof/>
        </w:rPr>
        <w:t>prostredníctvom pravidelných procesov kreditného preskúmania</w:t>
      </w:r>
      <w:r w:rsidR="00DC01AA">
        <w:rPr>
          <w:noProof/>
        </w:rPr>
        <w:t xml:space="preserve"> a </w:t>
      </w:r>
      <w:r w:rsidR="000A5D79" w:rsidRPr="00DC01AA">
        <w:rPr>
          <w:noProof/>
        </w:rPr>
        <w:t>monitorovania</w:t>
      </w:r>
      <w:r w:rsidR="00DC01AA">
        <w:rPr>
          <w:noProof/>
        </w:rPr>
        <w:t>;</w:t>
      </w:r>
    </w:p>
    <w:p w:rsidR="000A5D79" w:rsidRPr="00DC01AA" w:rsidRDefault="00413EE5" w:rsidP="00413EE5">
      <w:pPr>
        <w:pStyle w:val="Point1"/>
        <w:rPr>
          <w:noProof/>
        </w:rPr>
      </w:pPr>
      <w:r>
        <w:rPr>
          <w:noProof/>
        </w:rPr>
        <w:t>b)</w:t>
      </w:r>
      <w:r>
        <w:rPr>
          <w:noProof/>
        </w:rPr>
        <w:tab/>
      </w:r>
      <w:r w:rsidR="000A5D79" w:rsidRPr="00DC01AA">
        <w:rPr>
          <w:noProof/>
        </w:rPr>
        <w:t>môžu, ak protistrana nie je schopná alebo ochotná poskytnúť dotknuté údaje na bilaterálnom základe, použiť interné odhady</w:t>
      </w:r>
      <w:r w:rsidR="00DC01AA">
        <w:rPr>
          <w:noProof/>
        </w:rPr>
        <w:t xml:space="preserve"> a </w:t>
      </w:r>
      <w:r w:rsidR="000A5D79" w:rsidRPr="00DC01AA">
        <w:rPr>
          <w:noProof/>
        </w:rPr>
        <w:t>zástupné údaje</w:t>
      </w:r>
      <w:r w:rsidR="00DC01AA">
        <w:rPr>
          <w:noProof/>
        </w:rPr>
        <w:t xml:space="preserve"> a </w:t>
      </w:r>
      <w:r w:rsidR="000A5D79" w:rsidRPr="00DC01AA">
        <w:rPr>
          <w:noProof/>
        </w:rPr>
        <w:t>vysvetliť</w:t>
      </w:r>
      <w:r w:rsidR="00DC01AA">
        <w:rPr>
          <w:noProof/>
        </w:rPr>
        <w:t xml:space="preserve"> v </w:t>
      </w:r>
      <w:r w:rsidR="000A5D79" w:rsidRPr="00DC01AA">
        <w:rPr>
          <w:noProof/>
        </w:rPr>
        <w:t>opise sprevádzajúcom vzor, do akej miery boli tieto interné odhady</w:t>
      </w:r>
      <w:r w:rsidR="00DC01AA">
        <w:rPr>
          <w:noProof/>
        </w:rPr>
        <w:t xml:space="preserve"> a </w:t>
      </w:r>
      <w:r w:rsidR="000A5D79" w:rsidRPr="00DC01AA">
        <w:rPr>
          <w:noProof/>
        </w:rPr>
        <w:t>zástupné údaje použité</w:t>
      </w:r>
      <w:r w:rsidR="00DC01AA">
        <w:rPr>
          <w:noProof/>
        </w:rPr>
        <w:t xml:space="preserve"> a </w:t>
      </w:r>
      <w:r w:rsidR="000A5D79" w:rsidRPr="00DC01AA">
        <w:rPr>
          <w:noProof/>
        </w:rPr>
        <w:t>ktoré interné odhady</w:t>
      </w:r>
      <w:r w:rsidR="00DC01AA">
        <w:rPr>
          <w:noProof/>
        </w:rPr>
        <w:t xml:space="preserve"> a </w:t>
      </w:r>
      <w:r w:rsidR="000A5D79" w:rsidRPr="00DC01AA">
        <w:rPr>
          <w:noProof/>
        </w:rPr>
        <w:t>zástupné údaje boli použité;</w:t>
      </w:r>
    </w:p>
    <w:p w:rsidR="00DC01AA" w:rsidRDefault="00413EE5" w:rsidP="00413EE5">
      <w:pPr>
        <w:pStyle w:val="Point1"/>
        <w:rPr>
          <w:noProof/>
        </w:rPr>
      </w:pPr>
      <w:r>
        <w:rPr>
          <w:noProof/>
        </w:rPr>
        <w:t>c)</w:t>
      </w:r>
      <w:r>
        <w:rPr>
          <w:noProof/>
        </w:rPr>
        <w:tab/>
      </w:r>
      <w:r w:rsidR="000A5D79" w:rsidRPr="00DC01AA">
        <w:rPr>
          <w:noProof/>
        </w:rPr>
        <w:t>ak nedokážu zhromaždiť dotknuté informácie na bilaterálnom základe alebo nemôžu použiť interné odhady</w:t>
      </w:r>
      <w:r w:rsidR="00DC01AA">
        <w:rPr>
          <w:noProof/>
        </w:rPr>
        <w:t xml:space="preserve"> a </w:t>
      </w:r>
      <w:r w:rsidR="000A5D79" w:rsidRPr="00DC01AA">
        <w:rPr>
          <w:noProof/>
        </w:rPr>
        <w:t>zástupné údaje, alebo tieto informácie nemôžu zozbierať alebo použiť tieto odhady</w:t>
      </w:r>
      <w:r w:rsidR="00DC01AA">
        <w:rPr>
          <w:noProof/>
        </w:rPr>
        <w:t xml:space="preserve"> a </w:t>
      </w:r>
      <w:r w:rsidR="000A5D79" w:rsidRPr="00DC01AA">
        <w:rPr>
          <w:noProof/>
        </w:rPr>
        <w:t>zástupné údaje spôsobom, ktorý nie je pre ne alebo pre ich protistrany nadmerne zaťažujúci, môžu túto skutočnosť vysvetliť</w:t>
      </w:r>
      <w:r w:rsidR="00DC01AA">
        <w:rPr>
          <w:noProof/>
        </w:rPr>
        <w:t xml:space="preserve"> v </w:t>
      </w:r>
      <w:r w:rsidR="000A5D79" w:rsidRPr="00DC01AA">
        <w:rPr>
          <w:noProof/>
        </w:rPr>
        <w:t>opise sprevádzajúcom vzor</w:t>
      </w:r>
      <w:r w:rsidR="00DC01AA">
        <w:rPr>
          <w:noProof/>
        </w:rPr>
        <w:t>.</w:t>
      </w:r>
    </w:p>
    <w:p w:rsidR="00DC01AA" w:rsidRDefault="000A5D79" w:rsidP="00204A69">
      <w:pPr>
        <w:pStyle w:val="Text1"/>
        <w:rPr>
          <w:noProof/>
        </w:rPr>
      </w:pPr>
      <w:r w:rsidRPr="00DC01AA">
        <w:rPr>
          <w:noProof/>
        </w:rPr>
        <w:t>Na účely písmena a) inštitúcie informujú svoje protistrany</w:t>
      </w:r>
      <w:r w:rsidR="00DC01AA">
        <w:rPr>
          <w:noProof/>
        </w:rPr>
        <w:t xml:space="preserve"> o </w:t>
      </w:r>
      <w:r w:rsidRPr="00DC01AA">
        <w:rPr>
          <w:noProof/>
        </w:rPr>
        <w:t>tom, že poskytovanie takýchto informácií je dobrovoľné</w:t>
      </w:r>
      <w:r w:rsidR="00DC01AA">
        <w:rPr>
          <w:noProof/>
        </w:rPr>
        <w:t>.</w:t>
      </w:r>
    </w:p>
    <w:p w:rsidR="000A5D79" w:rsidRPr="00DC01AA" w:rsidRDefault="000A5D79" w:rsidP="00813A48">
      <w:pPr>
        <w:pStyle w:val="Titrearticle"/>
        <w:spacing w:before="120"/>
        <w:rPr>
          <w:noProof/>
        </w:rPr>
      </w:pPr>
      <w:r w:rsidRPr="00DC01AA">
        <w:rPr>
          <w:noProof/>
        </w:rPr>
        <w:t>Článok 23</w:t>
      </w:r>
    </w:p>
    <w:p w:rsidR="000A5D79" w:rsidRPr="00DC01AA" w:rsidRDefault="00AB6551" w:rsidP="00813A48">
      <w:pPr>
        <w:pStyle w:val="Titrearticle"/>
        <w:spacing w:before="120"/>
        <w:rPr>
          <w:b/>
          <w:i w:val="0"/>
          <w:noProof/>
        </w:rPr>
      </w:pPr>
      <w:r w:rsidRPr="00DC01AA">
        <w:rPr>
          <w:b/>
          <w:i w:val="0"/>
          <w:noProof/>
        </w:rPr>
        <w:t>Zverejňovanie informácií</w:t>
      </w:r>
      <w:r w:rsidR="00DC01AA">
        <w:rPr>
          <w:b/>
          <w:i w:val="0"/>
          <w:noProof/>
        </w:rPr>
        <w:t xml:space="preserve"> o </w:t>
      </w:r>
      <w:r w:rsidRPr="00DC01AA">
        <w:rPr>
          <w:b/>
          <w:i w:val="0"/>
          <w:noProof/>
        </w:rPr>
        <w:t>kryptoaktívach</w:t>
      </w:r>
    </w:p>
    <w:p w:rsidR="000A5D79" w:rsidRPr="00DC01AA" w:rsidRDefault="000A5D79" w:rsidP="00905855">
      <w:pPr>
        <w:rPr>
          <w:noProof/>
        </w:rPr>
      </w:pPr>
      <w:r w:rsidRPr="00DC01AA">
        <w:rPr>
          <w:noProof/>
        </w:rPr>
        <w:t>Inštitúcie zverejňujú informácie na výpočet požiadaviek na vlastné zdroje pre kryptoaktívové expozície</w:t>
      </w:r>
      <w:r w:rsidR="00DC01AA">
        <w:rPr>
          <w:noProof/>
        </w:rPr>
        <w:t xml:space="preserve"> v </w:t>
      </w:r>
      <w:bookmarkStart w:id="7" w:name="_Hlk163582169"/>
      <w:r w:rsidRPr="00DC01AA">
        <w:rPr>
          <w:noProof/>
        </w:rPr>
        <w:t>súlade</w:t>
      </w:r>
      <w:r w:rsidR="00DC01AA">
        <w:rPr>
          <w:noProof/>
        </w:rPr>
        <w:t xml:space="preserve"> s </w:t>
      </w:r>
      <w:r w:rsidRPr="00DC01AA">
        <w:rPr>
          <w:noProof/>
        </w:rPr>
        <w:t>článkom 501d ods. 2</w:t>
      </w:r>
      <w:bookmarkEnd w:id="7"/>
      <w:r w:rsidRPr="00DC01AA">
        <w:rPr>
          <w:noProof/>
        </w:rPr>
        <w:t xml:space="preserve"> nariadenia (EÚ) </w:t>
      </w:r>
      <w:r w:rsidR="00DC01AA">
        <w:rPr>
          <w:noProof/>
        </w:rPr>
        <w:t>č. </w:t>
      </w:r>
      <w:r w:rsidRPr="00DC01AA">
        <w:rPr>
          <w:noProof/>
        </w:rPr>
        <w:t>575/2013, ako sa uvádza</w:t>
      </w:r>
      <w:r w:rsidR="00DC01AA">
        <w:rPr>
          <w:noProof/>
        </w:rPr>
        <w:t xml:space="preserve"> v </w:t>
      </w:r>
      <w:r w:rsidRPr="00DC01AA">
        <w:rPr>
          <w:noProof/>
        </w:rPr>
        <w:t>oddiele 22 „Zverejňovanie informácií</w:t>
      </w:r>
      <w:r w:rsidR="00DC01AA">
        <w:rPr>
          <w:noProof/>
        </w:rPr>
        <w:t xml:space="preserve"> o </w:t>
      </w:r>
      <w:r w:rsidRPr="00DC01AA">
        <w:rPr>
          <w:noProof/>
        </w:rPr>
        <w:t>kryptoaktívových expozíciách“</w:t>
      </w:r>
      <w:r w:rsidR="00DC01AA">
        <w:rPr>
          <w:noProof/>
        </w:rPr>
        <w:t xml:space="preserve"> v </w:t>
      </w:r>
      <w:r w:rsidRPr="00DC01AA">
        <w:rPr>
          <w:noProof/>
        </w:rPr>
        <w:t>prílohe I.</w:t>
      </w:r>
    </w:p>
    <w:p w:rsidR="0066214E" w:rsidRPr="00DC01AA" w:rsidRDefault="0066214E" w:rsidP="0066214E">
      <w:pPr>
        <w:spacing w:before="360"/>
        <w:jc w:val="center"/>
        <w:rPr>
          <w:i/>
          <w:iCs/>
          <w:noProof/>
        </w:rPr>
      </w:pPr>
      <w:r w:rsidRPr="00DC01AA">
        <w:rPr>
          <w:i/>
          <w:noProof/>
        </w:rPr>
        <w:t>Článok 24</w:t>
      </w:r>
    </w:p>
    <w:p w:rsidR="00DC01AA" w:rsidRDefault="0066214E" w:rsidP="0066214E">
      <w:pPr>
        <w:jc w:val="center"/>
        <w:rPr>
          <w:b/>
          <w:noProof/>
        </w:rPr>
      </w:pPr>
      <w:r w:rsidRPr="00DC01AA">
        <w:rPr>
          <w:b/>
          <w:noProof/>
        </w:rPr>
        <w:t>IT riešenia</w:t>
      </w:r>
    </w:p>
    <w:p w:rsidR="00DC01AA" w:rsidRDefault="006C550D" w:rsidP="00BB0B33">
      <w:pPr>
        <w:rPr>
          <w:noProof/>
        </w:rPr>
      </w:pPr>
      <w:r w:rsidRPr="00DC01AA">
        <w:rPr>
          <w:noProof/>
        </w:rPr>
        <w:t>Orgán EBA zabezpečuje, aby IT riešenia – vrátane pokynov – vypracované na účely zverejňovania informácií požadovaných podľa hláv II</w:t>
      </w:r>
      <w:r w:rsidR="00DC01AA">
        <w:rPr>
          <w:noProof/>
        </w:rPr>
        <w:t xml:space="preserve"> a </w:t>
      </w:r>
      <w:r w:rsidRPr="00DC01AA">
        <w:rPr>
          <w:noProof/>
        </w:rPr>
        <w:t xml:space="preserve">III nariadenia (EÚ) </w:t>
      </w:r>
      <w:r w:rsidR="00DC01AA">
        <w:rPr>
          <w:noProof/>
        </w:rPr>
        <w:t>č. </w:t>
      </w:r>
      <w:r w:rsidRPr="00DC01AA">
        <w:rPr>
          <w:noProof/>
        </w:rPr>
        <w:t>575/2013 boli nepretržite</w:t>
      </w:r>
      <w:r w:rsidR="00DC01AA">
        <w:rPr>
          <w:noProof/>
        </w:rPr>
        <w:t xml:space="preserve"> v </w:t>
      </w:r>
      <w:r w:rsidRPr="00DC01AA">
        <w:rPr>
          <w:noProof/>
        </w:rPr>
        <w:t>súlade</w:t>
      </w:r>
      <w:r w:rsidR="00DC01AA">
        <w:rPr>
          <w:noProof/>
        </w:rPr>
        <w:t xml:space="preserve"> s </w:t>
      </w:r>
      <w:r w:rsidRPr="00DC01AA">
        <w:rPr>
          <w:noProof/>
        </w:rPr>
        <w:t>jednotnými formátmi zverejňovania informácií stanovenými</w:t>
      </w:r>
      <w:r w:rsidR="00DC01AA">
        <w:rPr>
          <w:noProof/>
        </w:rPr>
        <w:t xml:space="preserve"> v </w:t>
      </w:r>
      <w:r w:rsidRPr="00DC01AA">
        <w:rPr>
          <w:noProof/>
        </w:rPr>
        <w:t>tomto nariadení</w:t>
      </w:r>
      <w:r w:rsidR="00DC01AA">
        <w:rPr>
          <w:noProof/>
        </w:rPr>
        <w:t xml:space="preserve"> a </w:t>
      </w:r>
      <w:r w:rsidRPr="00DC01AA">
        <w:rPr>
          <w:noProof/>
        </w:rPr>
        <w:t>zahŕňali všetky údajové body</w:t>
      </w:r>
      <w:r w:rsidR="00DC01AA">
        <w:rPr>
          <w:noProof/>
        </w:rPr>
        <w:t xml:space="preserve"> a </w:t>
      </w:r>
      <w:r w:rsidRPr="00DC01AA">
        <w:rPr>
          <w:noProof/>
        </w:rPr>
        <w:t>informácie uvedené vo vzoroch na zverejňovanie informácií</w:t>
      </w:r>
      <w:r w:rsidR="00DC01AA">
        <w:rPr>
          <w:noProof/>
        </w:rPr>
        <w:t>.</w:t>
      </w:r>
    </w:p>
    <w:p w:rsidR="00344DF8" w:rsidRPr="00DC01AA" w:rsidRDefault="00344DF8" w:rsidP="00BB0B33">
      <w:pPr>
        <w:rPr>
          <w:noProof/>
        </w:rPr>
      </w:pPr>
      <w:r w:rsidRPr="00DC01AA">
        <w:rPr>
          <w:noProof/>
        </w:rPr>
        <w:t>Orgán EBA sprístupňuje IT riešenia uvedené</w:t>
      </w:r>
      <w:r w:rsidR="00DC01AA">
        <w:rPr>
          <w:noProof/>
        </w:rPr>
        <w:t xml:space="preserve"> v </w:t>
      </w:r>
      <w:r w:rsidRPr="00DC01AA">
        <w:rPr>
          <w:noProof/>
        </w:rPr>
        <w:t>prvom odseku</w:t>
      </w:r>
      <w:r w:rsidR="00DC01AA">
        <w:rPr>
          <w:noProof/>
        </w:rPr>
        <w:t xml:space="preserve"> a </w:t>
      </w:r>
      <w:r w:rsidRPr="00DC01AA">
        <w:rPr>
          <w:noProof/>
        </w:rPr>
        <w:t>všetky súvisiace pokyny na svojom webovom sídle. Orgán EBA aktualizuje uvedené IT riešenia</w:t>
      </w:r>
      <w:r w:rsidR="00DC01AA">
        <w:rPr>
          <w:noProof/>
        </w:rPr>
        <w:t xml:space="preserve"> a </w:t>
      </w:r>
      <w:r w:rsidRPr="00DC01AA">
        <w:rPr>
          <w:noProof/>
        </w:rPr>
        <w:t>pokyny</w:t>
      </w:r>
      <w:r w:rsidR="00DC01AA">
        <w:rPr>
          <w:noProof/>
        </w:rPr>
        <w:t xml:space="preserve"> a </w:t>
      </w:r>
      <w:r w:rsidRPr="00DC01AA">
        <w:rPr>
          <w:noProof/>
        </w:rPr>
        <w:t>sprístupňuje ich vo všetkých úradných jazykoch.</w:t>
      </w:r>
    </w:p>
    <w:p w:rsidR="000A5D79" w:rsidRPr="00DC01AA" w:rsidRDefault="000A5D79" w:rsidP="000A5D79">
      <w:pPr>
        <w:pStyle w:val="Titrearticle"/>
        <w:rPr>
          <w:noProof/>
        </w:rPr>
      </w:pPr>
      <w:r w:rsidRPr="00DC01AA">
        <w:rPr>
          <w:noProof/>
        </w:rPr>
        <w:t>Článok 25</w:t>
      </w:r>
    </w:p>
    <w:p w:rsidR="000A5D79" w:rsidRPr="00DC01AA" w:rsidRDefault="000A5D79" w:rsidP="000A5D79">
      <w:pPr>
        <w:pStyle w:val="Titrearticle"/>
        <w:spacing w:before="120"/>
        <w:rPr>
          <w:b/>
          <w:i w:val="0"/>
          <w:noProof/>
        </w:rPr>
      </w:pPr>
      <w:r w:rsidRPr="00DC01AA">
        <w:rPr>
          <w:b/>
          <w:i w:val="0"/>
          <w:noProof/>
        </w:rPr>
        <w:t>Všeobecné ustanovenia</w:t>
      </w:r>
      <w:r w:rsidR="00DC01AA">
        <w:rPr>
          <w:b/>
          <w:i w:val="0"/>
          <w:noProof/>
        </w:rPr>
        <w:t xml:space="preserve"> o </w:t>
      </w:r>
      <w:r w:rsidRPr="00DC01AA">
        <w:rPr>
          <w:b/>
          <w:i w:val="0"/>
          <w:noProof/>
        </w:rPr>
        <w:t>jednotných formátoch zverejňovania informácií</w:t>
      </w:r>
    </w:p>
    <w:p w:rsidR="000A5D79" w:rsidRPr="00DC01AA" w:rsidRDefault="00FC030A" w:rsidP="00FC030A">
      <w:pPr>
        <w:pStyle w:val="ManualNumPar1"/>
        <w:rPr>
          <w:noProof/>
        </w:rPr>
      </w:pPr>
      <w:r w:rsidRPr="00FC030A">
        <w:rPr>
          <w:noProof/>
        </w:rPr>
        <w:t>1.</w:t>
      </w:r>
      <w:r w:rsidRPr="00FC030A">
        <w:rPr>
          <w:noProof/>
        </w:rPr>
        <w:tab/>
      </w:r>
      <w:r w:rsidR="000A5D79" w:rsidRPr="00DC01AA">
        <w:rPr>
          <w:noProof/>
        </w:rPr>
        <w:t>Číslovanie riadkov alebo stĺpcov</w:t>
      </w:r>
      <w:r w:rsidR="00DC01AA">
        <w:rPr>
          <w:noProof/>
        </w:rPr>
        <w:t xml:space="preserve"> v </w:t>
      </w:r>
      <w:r w:rsidR="000A5D79" w:rsidRPr="00DC01AA">
        <w:rPr>
          <w:noProof/>
        </w:rPr>
        <w:t>jednotných formátoch zverejňovania informácií uvedených</w:t>
      </w:r>
      <w:r w:rsidR="00DC01AA">
        <w:rPr>
          <w:noProof/>
        </w:rPr>
        <w:t xml:space="preserve"> v </w:t>
      </w:r>
      <w:r w:rsidR="000A5D79" w:rsidRPr="00DC01AA">
        <w:rPr>
          <w:noProof/>
        </w:rPr>
        <w:t>prílohe Ind, ktoré sú súčasťou IT riešení vypracovaných orgánom EBA, sa nesmie meniť, ak inštitúcia</w:t>
      </w:r>
      <w:r w:rsidR="00DC01AA">
        <w:rPr>
          <w:noProof/>
        </w:rPr>
        <w:t xml:space="preserve"> v </w:t>
      </w:r>
      <w:r w:rsidR="000A5D79" w:rsidRPr="00DC01AA">
        <w:rPr>
          <w:noProof/>
        </w:rPr>
        <w:t>súlade</w:t>
      </w:r>
      <w:r w:rsidR="00DC01AA">
        <w:rPr>
          <w:noProof/>
        </w:rPr>
        <w:t xml:space="preserve"> s </w:t>
      </w:r>
      <w:r w:rsidR="000A5D79" w:rsidRPr="00DC01AA">
        <w:rPr>
          <w:noProof/>
        </w:rPr>
        <w:t xml:space="preserve">článkom 432 nariadenia (EÚ) </w:t>
      </w:r>
      <w:r w:rsidR="00DC01AA">
        <w:rPr>
          <w:noProof/>
        </w:rPr>
        <w:t>č. </w:t>
      </w:r>
      <w:r w:rsidR="000A5D79" w:rsidRPr="00DC01AA">
        <w:rPr>
          <w:noProof/>
        </w:rPr>
        <w:t>575/2013 vynechá jedno alebo viaceré zverejňované informácie.</w:t>
      </w:r>
    </w:p>
    <w:p w:rsidR="000A5D79" w:rsidRPr="00DC01AA" w:rsidRDefault="00FC030A" w:rsidP="00FC030A">
      <w:pPr>
        <w:pStyle w:val="ManualNumPar1"/>
        <w:rPr>
          <w:noProof/>
        </w:rPr>
      </w:pPr>
      <w:r w:rsidRPr="00FC030A">
        <w:rPr>
          <w:noProof/>
        </w:rPr>
        <w:t>2.</w:t>
      </w:r>
      <w:r w:rsidRPr="00FC030A">
        <w:rPr>
          <w:noProof/>
        </w:rPr>
        <w:tab/>
      </w:r>
      <w:r w:rsidR="000A5D79" w:rsidRPr="00DC01AA">
        <w:rPr>
          <w:noProof/>
        </w:rPr>
        <w:t>Inštitúcie</w:t>
      </w:r>
      <w:r w:rsidR="00DC01AA">
        <w:rPr>
          <w:noProof/>
        </w:rPr>
        <w:t xml:space="preserve"> v </w:t>
      </w:r>
      <w:r w:rsidR="000A5D79" w:rsidRPr="00DC01AA">
        <w:rPr>
          <w:noProof/>
        </w:rPr>
        <w:t>slovnom opise pripojenom</w:t>
      </w:r>
      <w:r w:rsidR="00DC01AA">
        <w:rPr>
          <w:noProof/>
        </w:rPr>
        <w:t xml:space="preserve"> k </w:t>
      </w:r>
      <w:r w:rsidR="000A5D79" w:rsidRPr="00DC01AA">
        <w:rPr>
          <w:noProof/>
        </w:rPr>
        <w:t>príslušnému vzoru alebo tabuľke týkajúcim sa daného IT riešenia uvedú jasnú poznámku,</w:t>
      </w:r>
      <w:r w:rsidR="00DC01AA">
        <w:rPr>
          <w:noProof/>
        </w:rPr>
        <w:t xml:space="preserve"> v </w:t>
      </w:r>
      <w:r w:rsidR="000A5D79" w:rsidRPr="00DC01AA">
        <w:rPr>
          <w:noProof/>
        </w:rPr>
        <w:t>ktorej vysvetlia, ktoré riadky alebo stĺpce nie sú vyplnené,</w:t>
      </w:r>
      <w:r w:rsidR="00DC01AA">
        <w:rPr>
          <w:noProof/>
        </w:rPr>
        <w:t xml:space="preserve"> a </w:t>
      </w:r>
      <w:r w:rsidR="000A5D79" w:rsidRPr="00DC01AA">
        <w:rPr>
          <w:noProof/>
        </w:rPr>
        <w:t>uvedú dôvod, pre ktorý zverejnenie predmetných informácií vynechávajú.</w:t>
      </w:r>
    </w:p>
    <w:p w:rsidR="000A5D79" w:rsidRPr="00DC01AA" w:rsidRDefault="00FC030A" w:rsidP="00FC030A">
      <w:pPr>
        <w:pStyle w:val="ManualNumPar1"/>
        <w:rPr>
          <w:noProof/>
        </w:rPr>
      </w:pPr>
      <w:r w:rsidRPr="00FC030A">
        <w:rPr>
          <w:noProof/>
        </w:rPr>
        <w:t>3.</w:t>
      </w:r>
      <w:r w:rsidRPr="00FC030A">
        <w:rPr>
          <w:noProof/>
        </w:rPr>
        <w:tab/>
      </w:r>
      <w:r w:rsidR="000A5D79" w:rsidRPr="00DC01AA">
        <w:rPr>
          <w:noProof/>
        </w:rPr>
        <w:t xml:space="preserve">Informácie požadované podľa článku 431 nariadenia (EÚ) </w:t>
      </w:r>
      <w:r w:rsidR="00DC01AA">
        <w:rPr>
          <w:noProof/>
        </w:rPr>
        <w:t>č. </w:t>
      </w:r>
      <w:r w:rsidR="000A5D79" w:rsidRPr="00DC01AA">
        <w:rPr>
          <w:noProof/>
        </w:rPr>
        <w:t>575/2013 musia byť jasné</w:t>
      </w:r>
      <w:r w:rsidR="00DC01AA">
        <w:rPr>
          <w:noProof/>
        </w:rPr>
        <w:t xml:space="preserve"> a </w:t>
      </w:r>
      <w:r w:rsidR="000A5D79" w:rsidRPr="00DC01AA">
        <w:rPr>
          <w:noProof/>
        </w:rPr>
        <w:t>úplné, aby používatelia týchto informácií dokázali porozumieť kvantitatívnym zverejneniam, pričom tieto informácie sa umiestnia vedľa vzorov, ktorých sa týkajú.</w:t>
      </w:r>
    </w:p>
    <w:p w:rsidR="000A5D79" w:rsidRPr="00DC01AA" w:rsidRDefault="00FC030A" w:rsidP="00FC030A">
      <w:pPr>
        <w:pStyle w:val="ManualNumPar1"/>
        <w:rPr>
          <w:noProof/>
        </w:rPr>
      </w:pPr>
      <w:r w:rsidRPr="00FC030A">
        <w:rPr>
          <w:noProof/>
        </w:rPr>
        <w:t>4.</w:t>
      </w:r>
      <w:r w:rsidRPr="00FC030A">
        <w:rPr>
          <w:noProof/>
        </w:rPr>
        <w:tab/>
      </w:r>
      <w:r w:rsidR="000A5D79" w:rsidRPr="00DC01AA">
        <w:rPr>
          <w:noProof/>
        </w:rPr>
        <w:t>Číselné hodnoty sa prezentujú takto:</w:t>
      </w:r>
    </w:p>
    <w:p w:rsidR="000A5D79" w:rsidRPr="00DC01AA" w:rsidRDefault="00413EE5" w:rsidP="00413EE5">
      <w:pPr>
        <w:pStyle w:val="Point1"/>
        <w:rPr>
          <w:noProof/>
        </w:rPr>
      </w:pPr>
      <w:r>
        <w:rPr>
          <w:noProof/>
        </w:rPr>
        <w:t>a)</w:t>
      </w:r>
      <w:r>
        <w:rPr>
          <w:noProof/>
        </w:rPr>
        <w:tab/>
      </w:r>
      <w:r w:rsidR="000A5D79" w:rsidRPr="00DC01AA">
        <w:rPr>
          <w:noProof/>
        </w:rPr>
        <w:t>kvantitatívne peňažné údaje sa zverejňujú</w:t>
      </w:r>
      <w:r w:rsidR="00DC01AA">
        <w:rPr>
          <w:noProof/>
        </w:rPr>
        <w:t xml:space="preserve"> s </w:t>
      </w:r>
      <w:r w:rsidR="000A5D79" w:rsidRPr="00DC01AA">
        <w:rPr>
          <w:noProof/>
        </w:rPr>
        <w:t>minimálnou presnosťou zodpovedajúcou miliónom jednotiek;</w:t>
      </w:r>
    </w:p>
    <w:p w:rsidR="000A5D79" w:rsidRPr="00DC01AA" w:rsidRDefault="00413EE5" w:rsidP="00413EE5">
      <w:pPr>
        <w:pStyle w:val="Point1"/>
        <w:rPr>
          <w:noProof/>
        </w:rPr>
      </w:pPr>
      <w:r>
        <w:rPr>
          <w:noProof/>
        </w:rPr>
        <w:t>a)</w:t>
      </w:r>
      <w:r>
        <w:rPr>
          <w:noProof/>
        </w:rPr>
        <w:tab/>
      </w:r>
      <w:r w:rsidR="000A5D79" w:rsidRPr="00DC01AA">
        <w:rPr>
          <w:noProof/>
        </w:rPr>
        <w:t>kvantitatívne údaje zverejňované ako „percentuálny podiel“ sa vyjadrujú podľa jednotky</w:t>
      </w:r>
      <w:r w:rsidR="00DC01AA">
        <w:rPr>
          <w:noProof/>
        </w:rPr>
        <w:t xml:space="preserve"> s </w:t>
      </w:r>
      <w:r w:rsidR="000A5D79" w:rsidRPr="00DC01AA">
        <w:rPr>
          <w:noProof/>
        </w:rPr>
        <w:t>minimálnou presnosťou zodpovedajúcou štyrom desatinným miestam.</w:t>
      </w:r>
    </w:p>
    <w:p w:rsidR="000A5D79" w:rsidRPr="00DC01AA" w:rsidRDefault="00757AA2" w:rsidP="00396A89">
      <w:pPr>
        <w:tabs>
          <w:tab w:val="left" w:pos="567"/>
        </w:tabs>
        <w:rPr>
          <w:noProof/>
        </w:rPr>
      </w:pPr>
      <w:r w:rsidRPr="00DC01AA">
        <w:rPr>
          <w:noProof/>
        </w:rPr>
        <w:t>5.</w:t>
      </w:r>
      <w:r w:rsidRPr="00DC01AA">
        <w:rPr>
          <w:noProof/>
        </w:rPr>
        <w:tab/>
        <w:t>Inštitúcie uvádzajú aj tieto informácie:</w:t>
      </w:r>
    </w:p>
    <w:p w:rsidR="00DC01AA" w:rsidRDefault="00413EE5" w:rsidP="00413EE5">
      <w:pPr>
        <w:pStyle w:val="Point1"/>
        <w:rPr>
          <w:noProof/>
        </w:rPr>
      </w:pPr>
      <w:r>
        <w:rPr>
          <w:noProof/>
        </w:rPr>
        <w:t>a)</w:t>
      </w:r>
      <w:r>
        <w:rPr>
          <w:noProof/>
        </w:rPr>
        <w:tab/>
      </w:r>
      <w:r w:rsidR="000A5D79" w:rsidRPr="00DC01AA">
        <w:rPr>
          <w:noProof/>
        </w:rPr>
        <w:t>referenčný dátum zverejňovania</w:t>
      </w:r>
      <w:r w:rsidR="00DC01AA">
        <w:rPr>
          <w:noProof/>
        </w:rPr>
        <w:t xml:space="preserve"> a </w:t>
      </w:r>
      <w:r w:rsidR="000A5D79" w:rsidRPr="00DC01AA">
        <w:rPr>
          <w:noProof/>
        </w:rPr>
        <w:t>referenčné obdobie</w:t>
      </w:r>
      <w:r w:rsidR="00DC01AA">
        <w:rPr>
          <w:noProof/>
        </w:rPr>
        <w:t>;</w:t>
      </w:r>
    </w:p>
    <w:p w:rsidR="00DC01AA" w:rsidRDefault="00413EE5" w:rsidP="00413EE5">
      <w:pPr>
        <w:pStyle w:val="Point1"/>
        <w:rPr>
          <w:noProof/>
        </w:rPr>
      </w:pPr>
      <w:r>
        <w:rPr>
          <w:noProof/>
        </w:rPr>
        <w:t>b)</w:t>
      </w:r>
      <w:r>
        <w:rPr>
          <w:noProof/>
        </w:rPr>
        <w:tab/>
      </w:r>
      <w:r w:rsidR="000A5D79" w:rsidRPr="00DC01AA">
        <w:rPr>
          <w:noProof/>
        </w:rPr>
        <w:t>menu vykazovania</w:t>
      </w:r>
      <w:r w:rsidR="00DC01AA">
        <w:rPr>
          <w:noProof/>
        </w:rPr>
        <w:t>;</w:t>
      </w:r>
    </w:p>
    <w:p w:rsidR="000A5D79" w:rsidRPr="00DC01AA" w:rsidRDefault="00413EE5" w:rsidP="00413EE5">
      <w:pPr>
        <w:pStyle w:val="Point1"/>
        <w:rPr>
          <w:noProof/>
        </w:rPr>
      </w:pPr>
      <w:r>
        <w:rPr>
          <w:noProof/>
        </w:rPr>
        <w:t>c)</w:t>
      </w:r>
      <w:r>
        <w:rPr>
          <w:noProof/>
        </w:rPr>
        <w:tab/>
      </w:r>
      <w:r w:rsidR="000A5D79" w:rsidRPr="00DC01AA">
        <w:rPr>
          <w:noProof/>
        </w:rPr>
        <w:t>názov</w:t>
      </w:r>
      <w:r w:rsidR="00DC01AA">
        <w:rPr>
          <w:noProof/>
        </w:rPr>
        <w:t xml:space="preserve"> a </w:t>
      </w:r>
      <w:r w:rsidR="000A5D79" w:rsidRPr="00DC01AA">
        <w:rPr>
          <w:noProof/>
        </w:rPr>
        <w:t>prípadne identifikátor právneho subjektu (LEI) inštitúcie zverejňujúcej informácie;</w:t>
      </w:r>
    </w:p>
    <w:p w:rsidR="000A5D79" w:rsidRPr="00DC01AA" w:rsidRDefault="00413EE5" w:rsidP="00413EE5">
      <w:pPr>
        <w:pStyle w:val="Point1"/>
        <w:rPr>
          <w:noProof/>
        </w:rPr>
      </w:pPr>
      <w:r>
        <w:rPr>
          <w:noProof/>
        </w:rPr>
        <w:t>d)</w:t>
      </w:r>
      <w:r>
        <w:rPr>
          <w:noProof/>
        </w:rPr>
        <w:tab/>
      </w:r>
      <w:r w:rsidR="000A5D79" w:rsidRPr="00DC01AA">
        <w:rPr>
          <w:noProof/>
        </w:rPr>
        <w:t>v relevantných prípadoch použitý účtovný štandard;</w:t>
      </w:r>
    </w:p>
    <w:p w:rsidR="000A5D79" w:rsidRPr="00DC01AA" w:rsidRDefault="00413EE5" w:rsidP="00413EE5">
      <w:pPr>
        <w:pStyle w:val="Point1"/>
        <w:rPr>
          <w:noProof/>
        </w:rPr>
      </w:pPr>
      <w:r>
        <w:rPr>
          <w:noProof/>
        </w:rPr>
        <w:t>e)</w:t>
      </w:r>
      <w:r>
        <w:rPr>
          <w:noProof/>
        </w:rPr>
        <w:tab/>
      </w:r>
      <w:r w:rsidR="000A5D79" w:rsidRPr="00DC01AA">
        <w:rPr>
          <w:noProof/>
        </w:rPr>
        <w:t>v relevantných prípadoch rozsah konsolidácie.</w:t>
      </w:r>
    </w:p>
    <w:p w:rsidR="007B2B7C" w:rsidRPr="00DC01AA" w:rsidRDefault="007B2B7C" w:rsidP="007B2B7C">
      <w:pPr>
        <w:pStyle w:val="Titrearticle"/>
        <w:rPr>
          <w:noProof/>
        </w:rPr>
      </w:pPr>
      <w:r w:rsidRPr="00DC01AA">
        <w:rPr>
          <w:noProof/>
        </w:rPr>
        <w:t>Článok 26</w:t>
      </w:r>
    </w:p>
    <w:p w:rsidR="00AC044E" w:rsidRPr="00DC01AA" w:rsidRDefault="00AC044E" w:rsidP="00CA4079">
      <w:pPr>
        <w:pStyle w:val="Titrearticle"/>
        <w:spacing w:before="120"/>
        <w:rPr>
          <w:b/>
          <w:noProof/>
        </w:rPr>
      </w:pPr>
      <w:r w:rsidRPr="00DC01AA">
        <w:rPr>
          <w:b/>
          <w:i w:val="0"/>
          <w:noProof/>
        </w:rPr>
        <w:t>Obdobie</w:t>
      </w:r>
      <w:r w:rsidR="00DC01AA">
        <w:rPr>
          <w:b/>
          <w:i w:val="0"/>
          <w:noProof/>
        </w:rPr>
        <w:t xml:space="preserve"> a </w:t>
      </w:r>
      <w:r w:rsidRPr="00DC01AA">
        <w:rPr>
          <w:b/>
          <w:i w:val="0"/>
          <w:noProof/>
        </w:rPr>
        <w:t>frekvencia zverejňovania informácií</w:t>
      </w:r>
    </w:p>
    <w:p w:rsidR="00DC01AA" w:rsidRDefault="00FC030A" w:rsidP="00FC030A">
      <w:pPr>
        <w:pStyle w:val="ManualNumPar1"/>
        <w:rPr>
          <w:noProof/>
        </w:rPr>
      </w:pPr>
      <w:r w:rsidRPr="00FC030A">
        <w:rPr>
          <w:noProof/>
        </w:rPr>
        <w:t>1.</w:t>
      </w:r>
      <w:r w:rsidRPr="00FC030A">
        <w:rPr>
          <w:noProof/>
        </w:rPr>
        <w:tab/>
      </w:r>
      <w:r w:rsidR="00AC044E" w:rsidRPr="00DC01AA">
        <w:rPr>
          <w:noProof/>
        </w:rPr>
        <w:t>Obdobia zverejňovania informácií sa vymedzujú ako štvrťročné obdobia T, T-1, T-2, T-3</w:t>
      </w:r>
      <w:r w:rsidR="00DC01AA">
        <w:rPr>
          <w:noProof/>
        </w:rPr>
        <w:t xml:space="preserve"> a </w:t>
      </w:r>
      <w:r w:rsidR="00AC044E" w:rsidRPr="00DC01AA">
        <w:rPr>
          <w:noProof/>
        </w:rPr>
        <w:t>T-4</w:t>
      </w:r>
      <w:r w:rsidR="00DC01AA">
        <w:rPr>
          <w:noProof/>
        </w:rPr>
        <w:t>.</w:t>
      </w:r>
    </w:p>
    <w:p w:rsidR="00DC01AA" w:rsidRDefault="00FC030A" w:rsidP="00FC030A">
      <w:pPr>
        <w:pStyle w:val="ManualNumPar1"/>
        <w:rPr>
          <w:noProof/>
        </w:rPr>
      </w:pPr>
      <w:r w:rsidRPr="00FC030A">
        <w:rPr>
          <w:noProof/>
        </w:rPr>
        <w:t>2.</w:t>
      </w:r>
      <w:r w:rsidRPr="00FC030A">
        <w:rPr>
          <w:noProof/>
        </w:rPr>
        <w:tab/>
      </w:r>
      <w:r w:rsidR="00D234F9" w:rsidRPr="00DC01AA">
        <w:rPr>
          <w:noProof/>
        </w:rPr>
        <w:t>Riadky alebo stĺpce</w:t>
      </w:r>
      <w:r w:rsidR="00DC01AA">
        <w:rPr>
          <w:noProof/>
        </w:rPr>
        <w:t xml:space="preserve"> v </w:t>
      </w:r>
      <w:r w:rsidR="00D234F9" w:rsidRPr="00DC01AA">
        <w:rPr>
          <w:noProof/>
        </w:rPr>
        <w:t>jednotných formátoch zverejňovania informácií uvedených</w:t>
      </w:r>
      <w:r w:rsidR="00DC01AA">
        <w:rPr>
          <w:noProof/>
        </w:rPr>
        <w:t xml:space="preserve"> v </w:t>
      </w:r>
      <w:r w:rsidR="00D234F9" w:rsidRPr="00DC01AA">
        <w:rPr>
          <w:noProof/>
        </w:rPr>
        <w:t>prílohe Ind, ktoré sú súčasťou IT riešení vypracovaných orgánom EBA, sa vypĺňajú</w:t>
      </w:r>
      <w:r w:rsidR="00DC01AA">
        <w:rPr>
          <w:noProof/>
        </w:rPr>
        <w:t xml:space="preserve"> v </w:t>
      </w:r>
      <w:r w:rsidR="00D234F9" w:rsidRPr="00DC01AA">
        <w:rPr>
          <w:noProof/>
        </w:rPr>
        <w:t>súlade</w:t>
      </w:r>
      <w:r w:rsidR="00DC01AA">
        <w:rPr>
          <w:noProof/>
        </w:rPr>
        <w:t xml:space="preserve"> s </w:t>
      </w:r>
      <w:r w:rsidR="00D234F9" w:rsidRPr="00DC01AA">
        <w:rPr>
          <w:noProof/>
        </w:rPr>
        <w:t>príslušnou frekvenciou zverejňovania stanovenou</w:t>
      </w:r>
      <w:r w:rsidR="00DC01AA">
        <w:rPr>
          <w:noProof/>
        </w:rPr>
        <w:t xml:space="preserve"> v </w:t>
      </w:r>
      <w:r w:rsidR="00D234F9" w:rsidRPr="00DC01AA">
        <w:rPr>
          <w:noProof/>
        </w:rPr>
        <w:t>článkoch 433a, 433b</w:t>
      </w:r>
      <w:r w:rsidR="00DC01AA">
        <w:rPr>
          <w:noProof/>
        </w:rPr>
        <w:t xml:space="preserve"> a </w:t>
      </w:r>
      <w:r w:rsidR="00D234F9" w:rsidRPr="00DC01AA">
        <w:rPr>
          <w:noProof/>
        </w:rPr>
        <w:t xml:space="preserve">433c nariadenia (EÚ) </w:t>
      </w:r>
      <w:r w:rsidR="00DC01AA">
        <w:rPr>
          <w:noProof/>
        </w:rPr>
        <w:t>č. </w:t>
      </w:r>
      <w:r w:rsidR="00D234F9" w:rsidRPr="00DC01AA">
        <w:rPr>
          <w:noProof/>
        </w:rPr>
        <w:t>575/2013</w:t>
      </w:r>
      <w:r w:rsidR="00DC01AA">
        <w:rPr>
          <w:noProof/>
        </w:rPr>
        <w:t>.</w:t>
      </w:r>
    </w:p>
    <w:p w:rsidR="00DC01AA" w:rsidRDefault="00FC030A" w:rsidP="00FC030A">
      <w:pPr>
        <w:pStyle w:val="ManualNumPar1"/>
        <w:rPr>
          <w:noProof/>
        </w:rPr>
      </w:pPr>
      <w:r w:rsidRPr="00FC030A">
        <w:rPr>
          <w:noProof/>
        </w:rPr>
        <w:t>3.</w:t>
      </w:r>
      <w:r w:rsidRPr="00FC030A">
        <w:rPr>
          <w:noProof/>
        </w:rPr>
        <w:tab/>
      </w:r>
      <w:r w:rsidR="00AC044E" w:rsidRPr="00DC01AA">
        <w:rPr>
          <w:noProof/>
        </w:rPr>
        <w:t>Inštitúcie, na ktoré sa vzťahuje povinnosť uverejňovať zverejňované informácie, zverejňujú informácie</w:t>
      </w:r>
      <w:r w:rsidR="00DC01AA">
        <w:rPr>
          <w:noProof/>
        </w:rPr>
        <w:t xml:space="preserve"> s </w:t>
      </w:r>
      <w:r w:rsidR="00AC044E" w:rsidRPr="00DC01AA">
        <w:rPr>
          <w:noProof/>
        </w:rPr>
        <w:t>touto frekvenciou</w:t>
      </w:r>
      <w:r w:rsidR="00DC01AA">
        <w:rPr>
          <w:noProof/>
        </w:rPr>
        <w:t>:</w:t>
      </w:r>
    </w:p>
    <w:p w:rsidR="00DC01AA" w:rsidRDefault="00413EE5" w:rsidP="00413EE5">
      <w:pPr>
        <w:pStyle w:val="Point1"/>
        <w:rPr>
          <w:noProof/>
        </w:rPr>
      </w:pPr>
      <w:r>
        <w:rPr>
          <w:noProof/>
        </w:rPr>
        <w:t>a)</w:t>
      </w:r>
      <w:r>
        <w:rPr>
          <w:noProof/>
        </w:rPr>
        <w:tab/>
      </w:r>
      <w:r w:rsidR="00AC044E" w:rsidRPr="00DC01AA">
        <w:rPr>
          <w:noProof/>
        </w:rPr>
        <w:t>inštitúcie, ktoré zverejňujú informácie uvedené</w:t>
      </w:r>
      <w:r w:rsidR="00DC01AA">
        <w:rPr>
          <w:noProof/>
        </w:rPr>
        <w:t xml:space="preserve"> v </w:t>
      </w:r>
      <w:r w:rsidR="00AC044E" w:rsidRPr="00DC01AA">
        <w:rPr>
          <w:noProof/>
        </w:rPr>
        <w:t>prílohe I na štvrťročnom základe, uvádzajú údaje za obdobia T, T-1, T-2, T-3</w:t>
      </w:r>
      <w:r w:rsidR="00DC01AA">
        <w:rPr>
          <w:noProof/>
        </w:rPr>
        <w:t xml:space="preserve"> a </w:t>
      </w:r>
      <w:r w:rsidR="00AC044E" w:rsidRPr="00DC01AA">
        <w:rPr>
          <w:noProof/>
        </w:rPr>
        <w:t>T-4</w:t>
      </w:r>
      <w:r w:rsidR="00DC01AA">
        <w:rPr>
          <w:noProof/>
        </w:rPr>
        <w:t>;</w:t>
      </w:r>
    </w:p>
    <w:p w:rsidR="00DC01AA" w:rsidRDefault="00413EE5" w:rsidP="00413EE5">
      <w:pPr>
        <w:pStyle w:val="Point1"/>
        <w:rPr>
          <w:noProof/>
        </w:rPr>
      </w:pPr>
      <w:r>
        <w:rPr>
          <w:noProof/>
        </w:rPr>
        <w:t>b)</w:t>
      </w:r>
      <w:r>
        <w:rPr>
          <w:noProof/>
        </w:rPr>
        <w:tab/>
      </w:r>
      <w:r w:rsidR="00AC044E" w:rsidRPr="00DC01AA">
        <w:rPr>
          <w:noProof/>
        </w:rPr>
        <w:t>inštitúcie, ktoré zverejňujú informácie uvedené</w:t>
      </w:r>
      <w:r w:rsidR="00DC01AA">
        <w:rPr>
          <w:noProof/>
        </w:rPr>
        <w:t xml:space="preserve"> v </w:t>
      </w:r>
      <w:r w:rsidR="00AC044E" w:rsidRPr="00DC01AA">
        <w:rPr>
          <w:noProof/>
        </w:rPr>
        <w:t>prílohe I na polročnom základe, uvádzajú údaje za obdobia T, T-2</w:t>
      </w:r>
      <w:r w:rsidR="00DC01AA">
        <w:rPr>
          <w:noProof/>
        </w:rPr>
        <w:t xml:space="preserve"> a </w:t>
      </w:r>
      <w:r w:rsidR="00AC044E" w:rsidRPr="00DC01AA">
        <w:rPr>
          <w:noProof/>
        </w:rPr>
        <w:t>T-4</w:t>
      </w:r>
      <w:r w:rsidR="00DC01AA">
        <w:rPr>
          <w:noProof/>
        </w:rPr>
        <w:t>;</w:t>
      </w:r>
    </w:p>
    <w:p w:rsidR="00AC044E" w:rsidRPr="00DC01AA" w:rsidRDefault="00413EE5" w:rsidP="00413EE5">
      <w:pPr>
        <w:pStyle w:val="Point1"/>
        <w:rPr>
          <w:noProof/>
        </w:rPr>
      </w:pPr>
      <w:r>
        <w:rPr>
          <w:noProof/>
        </w:rPr>
        <w:t>c)</w:t>
      </w:r>
      <w:r>
        <w:rPr>
          <w:noProof/>
        </w:rPr>
        <w:tab/>
      </w:r>
      <w:r w:rsidR="00AC044E" w:rsidRPr="00DC01AA">
        <w:rPr>
          <w:noProof/>
        </w:rPr>
        <w:t>inštitúcie, ktoré zverejňujú informácie uvedené</w:t>
      </w:r>
      <w:r w:rsidR="00DC01AA">
        <w:rPr>
          <w:noProof/>
        </w:rPr>
        <w:t xml:space="preserve"> v </w:t>
      </w:r>
      <w:r w:rsidR="00AC044E" w:rsidRPr="00DC01AA">
        <w:rPr>
          <w:noProof/>
        </w:rPr>
        <w:t>prílohe I na ročnom základe, uvádzajú údaje za obdobia T</w:t>
      </w:r>
      <w:r w:rsidR="00DC01AA">
        <w:rPr>
          <w:noProof/>
        </w:rPr>
        <w:t xml:space="preserve"> a </w:t>
      </w:r>
      <w:r w:rsidR="00AC044E" w:rsidRPr="00DC01AA">
        <w:rPr>
          <w:noProof/>
        </w:rPr>
        <w:t>T-4.</w:t>
      </w:r>
    </w:p>
    <w:p w:rsidR="00AC044E" w:rsidRPr="00DC01AA" w:rsidRDefault="00FC030A" w:rsidP="00FC030A">
      <w:pPr>
        <w:pStyle w:val="ManualNumPar1"/>
        <w:rPr>
          <w:noProof/>
        </w:rPr>
      </w:pPr>
      <w:r w:rsidRPr="00FC030A">
        <w:rPr>
          <w:noProof/>
        </w:rPr>
        <w:t>4.</w:t>
      </w:r>
      <w:r w:rsidRPr="00FC030A">
        <w:rPr>
          <w:noProof/>
        </w:rPr>
        <w:tab/>
      </w:r>
      <w:r w:rsidR="00AC044E" w:rsidRPr="00DC01AA">
        <w:rPr>
          <w:noProof/>
        </w:rPr>
        <w:t>Inštitúcie zverejňujú dátumy zodpovedajúce obdobiam zverejňovania informácií.</w:t>
      </w:r>
    </w:p>
    <w:p w:rsidR="00AC044E" w:rsidRPr="00DC01AA" w:rsidRDefault="00FC030A" w:rsidP="00FC030A">
      <w:pPr>
        <w:pStyle w:val="ManualNumPar1"/>
        <w:rPr>
          <w:noProof/>
        </w:rPr>
      </w:pPr>
      <w:r w:rsidRPr="00FC030A">
        <w:rPr>
          <w:noProof/>
        </w:rPr>
        <w:t>5.</w:t>
      </w:r>
      <w:r w:rsidRPr="00FC030A">
        <w:rPr>
          <w:noProof/>
        </w:rPr>
        <w:tab/>
      </w:r>
      <w:r w:rsidR="00AC044E" w:rsidRPr="00DC01AA">
        <w:rPr>
          <w:noProof/>
        </w:rPr>
        <w:t>Zverejňovanie údajov za predchádzajúce obdobia sa nevyžaduje, ak sa údaje zverejňujú po prvýkrát.</w:t>
      </w:r>
    </w:p>
    <w:p w:rsidR="000A5D79" w:rsidRPr="00DC01AA" w:rsidRDefault="000A5D79" w:rsidP="000A5D79">
      <w:pPr>
        <w:pStyle w:val="Titrearticle"/>
        <w:rPr>
          <w:noProof/>
        </w:rPr>
      </w:pPr>
      <w:r w:rsidRPr="00DC01AA">
        <w:rPr>
          <w:noProof/>
        </w:rPr>
        <w:t>Článok 27</w:t>
      </w:r>
    </w:p>
    <w:p w:rsidR="000A5D79" w:rsidRPr="00DC01AA" w:rsidRDefault="000A5D79" w:rsidP="000A5D79">
      <w:pPr>
        <w:pStyle w:val="Titrearticle"/>
        <w:spacing w:before="120"/>
        <w:rPr>
          <w:b/>
          <w:i w:val="0"/>
          <w:noProof/>
        </w:rPr>
      </w:pPr>
      <w:r w:rsidRPr="00DC01AA">
        <w:rPr>
          <w:b/>
          <w:i w:val="0"/>
          <w:noProof/>
        </w:rPr>
        <w:t>Zrušenie</w:t>
      </w:r>
    </w:p>
    <w:p w:rsidR="00DC01AA" w:rsidRDefault="00FC030A" w:rsidP="00FC030A">
      <w:pPr>
        <w:pStyle w:val="ManualNumPar1"/>
        <w:rPr>
          <w:noProof/>
        </w:rPr>
      </w:pPr>
      <w:r w:rsidRPr="00FC030A">
        <w:rPr>
          <w:noProof/>
        </w:rPr>
        <w:t>1.</w:t>
      </w:r>
      <w:r w:rsidRPr="00FC030A">
        <w:rPr>
          <w:noProof/>
        </w:rPr>
        <w:tab/>
      </w:r>
      <w:r w:rsidR="000A5D79" w:rsidRPr="00DC01AA">
        <w:rPr>
          <w:noProof/>
        </w:rPr>
        <w:t>Vykonávacie nariadenie (EÚ) 2021/637 sa prestáva uplatňovať od 1</w:t>
      </w:r>
      <w:r w:rsidR="00DC01AA">
        <w:rPr>
          <w:noProof/>
        </w:rPr>
        <w:t>. januára</w:t>
      </w:r>
      <w:r w:rsidR="000A5D79" w:rsidRPr="00DC01AA">
        <w:rPr>
          <w:noProof/>
        </w:rPr>
        <w:t xml:space="preserve"> 2025</w:t>
      </w:r>
      <w:r w:rsidR="00DC01AA">
        <w:rPr>
          <w:noProof/>
        </w:rPr>
        <w:t xml:space="preserve"> s </w:t>
      </w:r>
      <w:r w:rsidR="000A5D79" w:rsidRPr="00DC01AA">
        <w:rPr>
          <w:noProof/>
        </w:rPr>
        <w:t>výnimkou článku 15</w:t>
      </w:r>
      <w:r w:rsidR="00DC01AA">
        <w:rPr>
          <w:noProof/>
        </w:rPr>
        <w:t xml:space="preserve"> a </w:t>
      </w:r>
      <w:r w:rsidR="000A5D79" w:rsidRPr="00DC01AA">
        <w:rPr>
          <w:noProof/>
        </w:rPr>
        <w:t>príloh XXIX</w:t>
      </w:r>
      <w:r w:rsidR="00DC01AA">
        <w:rPr>
          <w:noProof/>
        </w:rPr>
        <w:t xml:space="preserve"> a </w:t>
      </w:r>
      <w:r w:rsidR="000A5D79" w:rsidRPr="00DC01AA">
        <w:rPr>
          <w:noProof/>
        </w:rPr>
        <w:t>XXX. Článok 15</w:t>
      </w:r>
      <w:r w:rsidR="00DC01AA">
        <w:rPr>
          <w:noProof/>
        </w:rPr>
        <w:t xml:space="preserve"> a </w:t>
      </w:r>
      <w:r w:rsidR="000A5D79" w:rsidRPr="00DC01AA">
        <w:rPr>
          <w:noProof/>
        </w:rPr>
        <w:t>prílohy XXIX</w:t>
      </w:r>
      <w:r w:rsidR="00DC01AA">
        <w:rPr>
          <w:noProof/>
        </w:rPr>
        <w:t xml:space="preserve"> a </w:t>
      </w:r>
      <w:r w:rsidR="000A5D79" w:rsidRPr="00DC01AA">
        <w:rPr>
          <w:noProof/>
        </w:rPr>
        <w:t>XXX</w:t>
      </w:r>
      <w:r w:rsidR="00DC01AA">
        <w:rPr>
          <w:noProof/>
        </w:rPr>
        <w:t xml:space="preserve"> k </w:t>
      </w:r>
      <w:r w:rsidR="000A5D79" w:rsidRPr="00DC01AA">
        <w:rPr>
          <w:noProof/>
        </w:rPr>
        <w:t>vykonávaciemu nariadeniu (EÚ) 2021/637 sa naďalej uplatňujú do 31</w:t>
      </w:r>
      <w:r w:rsidR="00DC01AA">
        <w:rPr>
          <w:noProof/>
        </w:rPr>
        <w:t>. decembra</w:t>
      </w:r>
      <w:r w:rsidR="000A5D79" w:rsidRPr="00DC01AA">
        <w:rPr>
          <w:noProof/>
        </w:rPr>
        <w:t xml:space="preserve"> 2025 len na účely článku 16 tohto nariadenia</w:t>
      </w:r>
      <w:r w:rsidR="00DC01AA">
        <w:rPr>
          <w:noProof/>
        </w:rPr>
        <w:t>.</w:t>
      </w:r>
    </w:p>
    <w:p w:rsidR="00DC01AA" w:rsidRDefault="00FC030A" w:rsidP="00FC030A">
      <w:pPr>
        <w:pStyle w:val="ManualNumPar1"/>
        <w:rPr>
          <w:noProof/>
        </w:rPr>
      </w:pPr>
      <w:r w:rsidRPr="00FC030A">
        <w:rPr>
          <w:noProof/>
        </w:rPr>
        <w:t>2.</w:t>
      </w:r>
      <w:r w:rsidRPr="00FC030A">
        <w:rPr>
          <w:noProof/>
        </w:rPr>
        <w:tab/>
      </w:r>
      <w:r w:rsidR="00D87C7D" w:rsidRPr="00DC01AA">
        <w:rPr>
          <w:noProof/>
        </w:rPr>
        <w:t>Vykonávacie nariadenie (EÚ) 2021/637 sa zrušuje</w:t>
      </w:r>
      <w:r w:rsidR="00DC01AA">
        <w:rPr>
          <w:noProof/>
        </w:rPr>
        <w:t xml:space="preserve"> s </w:t>
      </w:r>
      <w:r w:rsidR="00D87C7D" w:rsidRPr="00DC01AA">
        <w:rPr>
          <w:noProof/>
        </w:rPr>
        <w:t>účinnosťou od 31</w:t>
      </w:r>
      <w:r w:rsidR="00DC01AA">
        <w:rPr>
          <w:noProof/>
        </w:rPr>
        <w:t>. decembra</w:t>
      </w:r>
      <w:r w:rsidR="00D87C7D" w:rsidRPr="00DC01AA">
        <w:rPr>
          <w:noProof/>
        </w:rPr>
        <w:t xml:space="preserve"> 2025</w:t>
      </w:r>
      <w:r w:rsidR="00DC01AA">
        <w:rPr>
          <w:noProof/>
        </w:rPr>
        <w:t>.</w:t>
      </w:r>
    </w:p>
    <w:p w:rsidR="000A5D79" w:rsidRPr="00DC01AA" w:rsidRDefault="00FC030A" w:rsidP="00FC030A">
      <w:pPr>
        <w:pStyle w:val="ManualNumPar1"/>
        <w:rPr>
          <w:noProof/>
        </w:rPr>
      </w:pPr>
      <w:r w:rsidRPr="00FC030A">
        <w:rPr>
          <w:noProof/>
        </w:rPr>
        <w:t>3.</w:t>
      </w:r>
      <w:r w:rsidRPr="00FC030A">
        <w:rPr>
          <w:noProof/>
        </w:rPr>
        <w:tab/>
      </w:r>
      <w:r w:rsidR="00056FFD" w:rsidRPr="00DC01AA">
        <w:rPr>
          <w:noProof/>
        </w:rPr>
        <w:t>Odkazy na zrušené nariadenie sa považujú za odkazy na toto nariadenie</w:t>
      </w:r>
      <w:r w:rsidR="00DC01AA">
        <w:rPr>
          <w:noProof/>
        </w:rPr>
        <w:t xml:space="preserve"> a </w:t>
      </w:r>
      <w:r w:rsidR="00056FFD" w:rsidRPr="00DC01AA">
        <w:rPr>
          <w:noProof/>
        </w:rPr>
        <w:t>znejú</w:t>
      </w:r>
      <w:r w:rsidR="00DC01AA">
        <w:rPr>
          <w:noProof/>
        </w:rPr>
        <w:t xml:space="preserve"> v </w:t>
      </w:r>
      <w:r w:rsidR="00056FFD" w:rsidRPr="00DC01AA">
        <w:rPr>
          <w:noProof/>
        </w:rPr>
        <w:t>súlade</w:t>
      </w:r>
      <w:r w:rsidR="00DC01AA">
        <w:rPr>
          <w:noProof/>
        </w:rPr>
        <w:t xml:space="preserve"> s </w:t>
      </w:r>
      <w:r w:rsidR="00056FFD" w:rsidRPr="00DC01AA">
        <w:rPr>
          <w:noProof/>
        </w:rPr>
        <w:t>tabuľkou zhody uvedenou</w:t>
      </w:r>
      <w:r w:rsidR="00DC01AA">
        <w:rPr>
          <w:noProof/>
        </w:rPr>
        <w:t xml:space="preserve"> v </w:t>
      </w:r>
      <w:r w:rsidR="00056FFD" w:rsidRPr="00DC01AA">
        <w:rPr>
          <w:noProof/>
        </w:rPr>
        <w:t>prílohe II.</w:t>
      </w:r>
    </w:p>
    <w:p w:rsidR="000A5D79" w:rsidRPr="00DC01AA" w:rsidRDefault="000A5D79" w:rsidP="001F6539">
      <w:pPr>
        <w:pStyle w:val="Titrearticle"/>
        <w:rPr>
          <w:noProof/>
        </w:rPr>
      </w:pPr>
      <w:r w:rsidRPr="00DC01AA">
        <w:rPr>
          <w:noProof/>
        </w:rPr>
        <w:t>Článok 28</w:t>
      </w:r>
    </w:p>
    <w:p w:rsidR="000A5D79" w:rsidRPr="00DC01AA" w:rsidRDefault="000A5D79" w:rsidP="000A5D79">
      <w:pPr>
        <w:pStyle w:val="Titrearticle"/>
        <w:spacing w:before="120"/>
        <w:rPr>
          <w:b/>
          <w:i w:val="0"/>
          <w:noProof/>
        </w:rPr>
      </w:pPr>
      <w:r w:rsidRPr="00DC01AA">
        <w:rPr>
          <w:b/>
          <w:i w:val="0"/>
          <w:noProof/>
        </w:rPr>
        <w:t>Nadobudnutie účinnosti</w:t>
      </w:r>
      <w:r w:rsidR="00DC01AA">
        <w:rPr>
          <w:b/>
          <w:i w:val="0"/>
          <w:noProof/>
        </w:rPr>
        <w:t xml:space="preserve"> a </w:t>
      </w:r>
      <w:r w:rsidRPr="00DC01AA">
        <w:rPr>
          <w:b/>
          <w:i w:val="0"/>
          <w:noProof/>
        </w:rPr>
        <w:t>uplatňovanie</w:t>
      </w:r>
    </w:p>
    <w:p w:rsidR="000A5D79" w:rsidRPr="00DC01AA" w:rsidRDefault="000A5D79" w:rsidP="000A5D79">
      <w:pPr>
        <w:rPr>
          <w:noProof/>
        </w:rPr>
      </w:pPr>
      <w:r w:rsidRPr="00DC01AA">
        <w:rPr>
          <w:noProof/>
        </w:rPr>
        <w:t>Toto nariadenie nadobúda účinnosť dvadsiatym dňom nasledujúcim po jeho uverejnení</w:t>
      </w:r>
      <w:r w:rsidR="00DC01AA">
        <w:rPr>
          <w:noProof/>
        </w:rPr>
        <w:t xml:space="preserve"> v </w:t>
      </w:r>
      <w:r w:rsidRPr="00DC01AA">
        <w:rPr>
          <w:i/>
          <w:noProof/>
        </w:rPr>
        <w:t>Úradnom vestníku Európskej únie</w:t>
      </w:r>
      <w:r w:rsidRPr="00DC01AA">
        <w:rPr>
          <w:noProof/>
        </w:rPr>
        <w:t>.</w:t>
      </w:r>
    </w:p>
    <w:p w:rsidR="00DC01AA" w:rsidRDefault="000A5D79" w:rsidP="000A5D79">
      <w:pPr>
        <w:rPr>
          <w:noProof/>
        </w:rPr>
      </w:pPr>
      <w:r w:rsidRPr="00DC01AA">
        <w:rPr>
          <w:noProof/>
        </w:rPr>
        <w:t>Uplatňuje sa od 1</w:t>
      </w:r>
      <w:r w:rsidR="00DC01AA">
        <w:rPr>
          <w:noProof/>
        </w:rPr>
        <w:t>. januára</w:t>
      </w:r>
      <w:r w:rsidRPr="00DC01AA">
        <w:rPr>
          <w:noProof/>
        </w:rPr>
        <w:t xml:space="preserve"> 2025</w:t>
      </w:r>
      <w:r w:rsidR="00DC01AA">
        <w:rPr>
          <w:noProof/>
        </w:rPr>
        <w:t>.</w:t>
      </w:r>
    </w:p>
    <w:p w:rsidR="0050796F" w:rsidRPr="00DC01AA" w:rsidRDefault="0050796F">
      <w:pPr>
        <w:pStyle w:val="Applicationdirecte"/>
        <w:rPr>
          <w:noProof/>
        </w:rPr>
      </w:pPr>
      <w:r w:rsidRPr="00DC01AA">
        <w:rPr>
          <w:noProof/>
        </w:rPr>
        <w:t>Toto nariadenie je záväzné</w:t>
      </w:r>
      <w:r w:rsidR="00DC01AA">
        <w:rPr>
          <w:noProof/>
        </w:rPr>
        <w:t xml:space="preserve"> v </w:t>
      </w:r>
      <w:r w:rsidRPr="00DC01AA">
        <w:rPr>
          <w:noProof/>
        </w:rPr>
        <w:t>celom rozsahu</w:t>
      </w:r>
      <w:r w:rsidR="00DC01AA">
        <w:rPr>
          <w:noProof/>
        </w:rPr>
        <w:t xml:space="preserve"> a </w:t>
      </w:r>
      <w:r w:rsidRPr="00DC01AA">
        <w:rPr>
          <w:noProof/>
        </w:rPr>
        <w:t>priamo uplatniteľné vo všetkých členských štátoch.</w:t>
      </w:r>
    </w:p>
    <w:p w:rsidR="0050796F" w:rsidRPr="00DC01AA" w:rsidRDefault="00EF59FE" w:rsidP="00D7277C">
      <w:pPr>
        <w:pStyle w:val="Fait"/>
        <w:rPr>
          <w:noProof/>
        </w:rPr>
      </w:pPr>
      <w:r>
        <w:rPr>
          <w:noProof/>
        </w:rPr>
        <w:t>V Bruseli 29. 11. 2024</w:t>
      </w:r>
    </w:p>
    <w:p w:rsidR="0050796F" w:rsidRPr="00DC01AA" w:rsidRDefault="0050796F" w:rsidP="00D7277C">
      <w:pPr>
        <w:pStyle w:val="Institutionquisigne"/>
        <w:rPr>
          <w:noProof/>
        </w:rPr>
      </w:pPr>
      <w:r w:rsidRPr="00DC01AA">
        <w:rPr>
          <w:noProof/>
        </w:rPr>
        <w:tab/>
        <w:t>Za Komisiu</w:t>
      </w:r>
    </w:p>
    <w:p w:rsidR="0050796F" w:rsidRPr="00DC01AA" w:rsidRDefault="00332897" w:rsidP="0050796F">
      <w:pPr>
        <w:pStyle w:val="Personnequisigne"/>
        <w:rPr>
          <w:noProof/>
        </w:rPr>
      </w:pPr>
      <w:r>
        <w:rPr>
          <w:noProof/>
        </w:rPr>
        <w:tab/>
        <w:t>predsedníčka</w:t>
      </w:r>
      <w:r>
        <w:rPr>
          <w:noProof/>
        </w:rPr>
        <w:br/>
      </w:r>
      <w:r>
        <w:rPr>
          <w:noProof/>
        </w:rPr>
        <w:tab/>
        <w:t>Ursula VON DER LEYEN</w:t>
      </w:r>
    </w:p>
    <w:sectPr w:rsidR="0050796F" w:rsidRPr="00DC01AA" w:rsidSect="000D1665">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665" w:rsidRPr="000D1665" w:rsidRDefault="000D1665" w:rsidP="000D1665">
    <w:pPr>
      <w:pStyle w:val="Footer"/>
      <w:rPr>
        <w:rFonts w:ascii="Arial" w:hAnsi="Arial" w:cs="Arial"/>
        <w:b/>
        <w:sz w:val="48"/>
      </w:rPr>
    </w:pPr>
    <w:r w:rsidRPr="000D1665">
      <w:rPr>
        <w:rFonts w:ascii="Arial" w:hAnsi="Arial" w:cs="Arial"/>
        <w:b/>
        <w:sz w:val="48"/>
      </w:rPr>
      <w:t>SK</w:t>
    </w:r>
    <w:r w:rsidRPr="000D1665">
      <w:rPr>
        <w:rFonts w:ascii="Arial" w:hAnsi="Arial" w:cs="Arial"/>
        <w:b/>
        <w:sz w:val="48"/>
      </w:rPr>
      <w:tab/>
    </w:r>
    <w:r w:rsidRPr="000D1665">
      <w:rPr>
        <w:rFonts w:ascii="Arial" w:hAnsi="Arial" w:cs="Arial"/>
        <w:b/>
        <w:sz w:val="48"/>
      </w:rPr>
      <w:tab/>
    </w:r>
    <w:r w:rsidRPr="000D1665">
      <w:tab/>
    </w:r>
    <w:r w:rsidRPr="000D1665">
      <w:rPr>
        <w:rFonts w:ascii="Arial" w:hAnsi="Arial" w:cs="Arial"/>
        <w:b/>
        <w:sz w:val="48"/>
      </w:rPr>
      <w:t>SK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665" w:rsidRPr="000D1665" w:rsidRDefault="000D1665" w:rsidP="000D1665">
    <w:pPr>
      <w:pStyle w:val="Footer"/>
      <w:rPr>
        <w:rFonts w:ascii="Arial" w:hAnsi="Arial" w:cs="Arial"/>
        <w:b/>
        <w:sz w:val="48"/>
      </w:rPr>
    </w:pPr>
    <w:r w:rsidRPr="000D1665">
      <w:rPr>
        <w:rFonts w:ascii="Arial" w:hAnsi="Arial" w:cs="Arial"/>
        <w:b/>
        <w:sz w:val="48"/>
      </w:rPr>
      <w:t>SK</w:t>
    </w:r>
    <w:r w:rsidRPr="000D1665">
      <w:rPr>
        <w:rFonts w:ascii="Arial" w:hAnsi="Arial" w:cs="Arial"/>
        <w:b/>
        <w:sz w:val="48"/>
      </w:rPr>
      <w:tab/>
    </w:r>
    <w:r w:rsidRPr="000D1665">
      <w:rPr>
        <w:rFonts w:ascii="Arial" w:hAnsi="Arial" w:cs="Arial"/>
        <w:b/>
        <w:sz w:val="48"/>
      </w:rPr>
      <w:tab/>
    </w:r>
    <w:r w:rsidRPr="000D1665">
      <w:tab/>
    </w:r>
    <w:r w:rsidRPr="000D1665">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665" w:rsidRDefault="000D16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665" w:rsidRPr="000D1665" w:rsidRDefault="000D1665" w:rsidP="000D1665">
    <w:pPr>
      <w:pStyle w:val="Footer"/>
      <w:rPr>
        <w:rFonts w:ascii="Arial" w:hAnsi="Arial" w:cs="Arial"/>
        <w:b/>
        <w:sz w:val="48"/>
      </w:rPr>
    </w:pPr>
    <w:r w:rsidRPr="000D1665">
      <w:rPr>
        <w:rFonts w:ascii="Arial" w:hAnsi="Arial" w:cs="Arial"/>
        <w:b/>
        <w:sz w:val="48"/>
      </w:rPr>
      <w:t>SK</w:t>
    </w:r>
    <w:r w:rsidRPr="000D1665">
      <w:rPr>
        <w:rFonts w:ascii="Arial" w:hAnsi="Arial" w:cs="Arial"/>
        <w:b/>
        <w:sz w:val="48"/>
      </w:rPr>
      <w:tab/>
    </w:r>
    <w:r>
      <w:fldChar w:fldCharType="begin"/>
    </w:r>
    <w:r>
      <w:instrText xml:space="preserve"> PAGE  \* MERGEFORMAT </w:instrText>
    </w:r>
    <w:r>
      <w:fldChar w:fldCharType="separate"/>
    </w:r>
    <w:r w:rsidR="00D7277C">
      <w:rPr>
        <w:noProof/>
      </w:rPr>
      <w:t>13</w:t>
    </w:r>
    <w:r>
      <w:fldChar w:fldCharType="end"/>
    </w:r>
    <w:r>
      <w:tab/>
    </w:r>
    <w:r w:rsidRPr="000D1665">
      <w:tab/>
    </w:r>
    <w:r w:rsidRPr="000D1665">
      <w:rPr>
        <w:rFonts w:ascii="Arial" w:hAnsi="Arial" w:cs="Arial"/>
        <w:b/>
        <w:sz w:val="48"/>
      </w:rPr>
      <w:t>SK</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665" w:rsidRDefault="000D1665" w:rsidP="000D16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DC01AA" w:rsidRDefault="000A5D79" w:rsidP="00115B95">
      <w:pPr>
        <w:pStyle w:val="FootnoteText"/>
      </w:pPr>
      <w:r w:rsidRPr="00DC01AA">
        <w:rPr>
          <w:rStyle w:val="FootnoteReference"/>
        </w:rPr>
        <w:footnoteRef/>
      </w:r>
      <w:r w:rsidRPr="00DC01AA">
        <w:tab/>
        <w:t xml:space="preserve">Ú. v. EÚ L 176, 27.6.2013, s. 1, ELI: </w:t>
      </w:r>
      <w:hyperlink r:id="rId1" w:tooltip="Umožňuje prístup k tomuto dokumentu prostredníctvom identifikátora URI používaného v rámci ELI." w:history="1">
        <w:r w:rsidRPr="00DC01AA">
          <w:t>http://data.europa.eu/eli/reg/2013/575/oj</w:t>
        </w:r>
      </w:hyperlink>
      <w:r w:rsidRPr="00DC01AA">
        <w:t>.</w:t>
      </w:r>
    </w:p>
  </w:footnote>
  <w:footnote w:id="3">
    <w:p w:rsidR="00021AB3" w:rsidRPr="00DC01AA" w:rsidRDefault="00021AB3" w:rsidP="00021AB3">
      <w:pPr>
        <w:pStyle w:val="FootnoteText"/>
      </w:pPr>
      <w:r w:rsidRPr="00DC01AA">
        <w:rPr>
          <w:rStyle w:val="FootnoteReference"/>
        </w:rPr>
        <w:footnoteRef/>
      </w:r>
      <w:r w:rsidRPr="00DC01AA">
        <w:tab/>
        <w:t>Vykonávacie nariadenie Komisie (EÚ) 2021/637</w:t>
      </w:r>
      <w:r w:rsidR="00DC01AA">
        <w:t xml:space="preserve"> z </w:t>
      </w:r>
      <w:r w:rsidRPr="00DC01AA">
        <w:t>15</w:t>
      </w:r>
      <w:r w:rsidR="00DC01AA">
        <w:t>. marca</w:t>
      </w:r>
      <w:r w:rsidRPr="00DC01AA">
        <w:t xml:space="preserve"> 2021, ktorým sa stanovujú vykonávacie technické predpisy, pokiaľ ide</w:t>
      </w:r>
      <w:r w:rsidR="00DC01AA">
        <w:t xml:space="preserve"> o </w:t>
      </w:r>
      <w:r w:rsidRPr="00DC01AA">
        <w:t>zverejňovanie informácií uvedených</w:t>
      </w:r>
      <w:r w:rsidR="00DC01AA">
        <w:t xml:space="preserve"> v </w:t>
      </w:r>
      <w:r w:rsidRPr="00DC01AA">
        <w:t>ôsmej časti hlavách II</w:t>
      </w:r>
      <w:r w:rsidR="00DC01AA">
        <w:t xml:space="preserve"> a </w:t>
      </w:r>
      <w:r w:rsidRPr="00DC01AA">
        <w:t>III nariadenia Európskeho parlamentu</w:t>
      </w:r>
      <w:r w:rsidR="00DC01AA">
        <w:t xml:space="preserve"> a </w:t>
      </w:r>
      <w:r w:rsidRPr="00DC01AA">
        <w:t xml:space="preserve">Rady (EÚ) </w:t>
      </w:r>
      <w:r w:rsidR="00DC01AA">
        <w:t>č. </w:t>
      </w:r>
      <w:r w:rsidRPr="00DC01AA">
        <w:t>575/2013 inštitúciami,</w:t>
      </w:r>
      <w:r w:rsidR="00DC01AA">
        <w:t xml:space="preserve"> a </w:t>
      </w:r>
      <w:r w:rsidRPr="00DC01AA">
        <w:t xml:space="preserve">ktorým sa zrušuje vykonávacie nariadenie Komisie (EÚ) </w:t>
      </w:r>
      <w:r w:rsidR="00DC01AA">
        <w:t>č. </w:t>
      </w:r>
      <w:r w:rsidRPr="00DC01AA">
        <w:t>1423/2013, delegované nariadenie Komisie (EÚ) 2015/1555, vykonávacie nariadenie Komisie (EÚ) 2016/200</w:t>
      </w:r>
      <w:r w:rsidR="00DC01AA">
        <w:t xml:space="preserve"> a </w:t>
      </w:r>
      <w:r w:rsidRPr="00DC01AA">
        <w:t xml:space="preserve">delegované nariadenie Komisie (EÚ) 2017/2295 (Ú. v. EÚ L 136, 21.4.2021, s. 1, ELI: </w:t>
      </w:r>
      <w:hyperlink r:id="rId2" w:history="1">
        <w:r w:rsidRPr="00DC01AA">
          <w:rPr>
            <w:rStyle w:val="Hyperlink"/>
          </w:rPr>
          <w:t>http://data.europa.eu/eli/reg_impl/2021/637/oj</w:t>
        </w:r>
      </w:hyperlink>
      <w:r w:rsidRPr="00DC01AA">
        <w:t>).</w:t>
      </w:r>
    </w:p>
  </w:footnote>
  <w:footnote w:id="4">
    <w:p w:rsidR="00021AB3" w:rsidRPr="00DC01AA" w:rsidRDefault="00021AB3" w:rsidP="00021AB3">
      <w:pPr>
        <w:pStyle w:val="FootnoteText"/>
      </w:pPr>
      <w:r w:rsidRPr="00DC01AA">
        <w:rPr>
          <w:rStyle w:val="FootnoteReference"/>
        </w:rPr>
        <w:footnoteRef/>
      </w:r>
      <w:r w:rsidRPr="00DC01AA">
        <w:tab/>
        <w:t>Nariadenie Európskeho parlamentu</w:t>
      </w:r>
      <w:r w:rsidR="00DC01AA">
        <w:t xml:space="preserve"> a </w:t>
      </w:r>
      <w:r w:rsidRPr="00DC01AA">
        <w:t>Rady (EÚ) 2024/1623</w:t>
      </w:r>
      <w:r w:rsidR="00DC01AA">
        <w:t xml:space="preserve"> z </w:t>
      </w:r>
      <w:r w:rsidRPr="00DC01AA">
        <w:t>31</w:t>
      </w:r>
      <w:r w:rsidR="00DC01AA">
        <w:t>. mája</w:t>
      </w:r>
      <w:r w:rsidRPr="00DC01AA">
        <w:t xml:space="preserve"> 2024, ktorým sa mení nariadenie (EÚ) </w:t>
      </w:r>
      <w:r w:rsidR="00DC01AA">
        <w:t>č. </w:t>
      </w:r>
      <w:r w:rsidRPr="00DC01AA">
        <w:t>575/2013, pokiaľ ide</w:t>
      </w:r>
      <w:r w:rsidR="00DC01AA">
        <w:t xml:space="preserve"> o </w:t>
      </w:r>
      <w:r w:rsidRPr="00DC01AA">
        <w:t>požiadavky na kreditné riziko, riziko úpravy ocenenia pohľadávky, operačné riziko, trhové riziko</w:t>
      </w:r>
      <w:r w:rsidR="00DC01AA">
        <w:t xml:space="preserve"> a </w:t>
      </w:r>
      <w:r w:rsidRPr="00DC01AA">
        <w:t xml:space="preserve">spodnú hranicu pre výstupné hodnoty (Ú. v. EÚ L, 2024/1623, 19.6.2024, ELI: </w:t>
      </w:r>
      <w:hyperlink r:id="rId3" w:history="1">
        <w:r w:rsidRPr="00DC01AA">
          <w:rPr>
            <w:rStyle w:val="Hyperlink"/>
          </w:rPr>
          <w:t>http://data.europa.eu/eli/reg/2024/1623/oj</w:t>
        </w:r>
      </w:hyperlink>
      <w:r w:rsidRPr="00DC01AA">
        <w:t>).</w:t>
      </w:r>
    </w:p>
  </w:footnote>
  <w:footnote w:id="5">
    <w:p w:rsidR="008B3F27" w:rsidRPr="00DC01AA" w:rsidRDefault="00BB0B33" w:rsidP="005269C8">
      <w:pPr>
        <w:pStyle w:val="FootnoteText"/>
      </w:pPr>
      <w:r w:rsidRPr="00DC01AA">
        <w:rPr>
          <w:rStyle w:val="FootnoteReference"/>
        </w:rPr>
        <w:footnoteRef/>
      </w:r>
      <w:r w:rsidRPr="00DC01AA">
        <w:tab/>
        <w:t>Smernica Európskeho parlamentu</w:t>
      </w:r>
      <w:r w:rsidR="00DC01AA">
        <w:t xml:space="preserve"> a </w:t>
      </w:r>
      <w:r w:rsidRPr="00DC01AA">
        <w:t>Rady 2013/36/EÚ</w:t>
      </w:r>
      <w:r w:rsidR="00DC01AA">
        <w:t xml:space="preserve"> z </w:t>
      </w:r>
      <w:r w:rsidRPr="00DC01AA">
        <w:t>26</w:t>
      </w:r>
      <w:r w:rsidR="00DC01AA">
        <w:t>. júna</w:t>
      </w:r>
      <w:r w:rsidRPr="00DC01AA">
        <w:t xml:space="preserve"> 2013</w:t>
      </w:r>
      <w:r w:rsidR="00DC01AA">
        <w:t xml:space="preserve"> o </w:t>
      </w:r>
      <w:r w:rsidRPr="00DC01AA">
        <w:t>prístupe</w:t>
      </w:r>
      <w:r w:rsidR="00DC01AA">
        <w:t xml:space="preserve"> k </w:t>
      </w:r>
      <w:r w:rsidRPr="00DC01AA">
        <w:t>činnosti úverových inštitúcií</w:t>
      </w:r>
      <w:r w:rsidR="00DC01AA">
        <w:t xml:space="preserve"> a </w:t>
      </w:r>
      <w:r w:rsidRPr="00DC01AA">
        <w:t>prudenciálnom dohľade nad úverovými inštitúciami</w:t>
      </w:r>
      <w:r w:rsidR="00DC01AA">
        <w:t xml:space="preserve"> a </w:t>
      </w:r>
      <w:r w:rsidRPr="00DC01AA">
        <w:t>investičnými spoločnosťami,</w:t>
      </w:r>
      <w:r w:rsidR="00DC01AA">
        <w:t xml:space="preserve"> o </w:t>
      </w:r>
      <w:r w:rsidRPr="00DC01AA">
        <w:t>zmene smernice 2002/87/ES</w:t>
      </w:r>
      <w:r w:rsidR="00DC01AA">
        <w:t xml:space="preserve"> a o </w:t>
      </w:r>
      <w:r w:rsidRPr="00DC01AA">
        <w:t>zrušení smerníc 2006/48/ES</w:t>
      </w:r>
      <w:r w:rsidR="00DC01AA">
        <w:t xml:space="preserve"> a </w:t>
      </w:r>
      <w:r w:rsidRPr="00DC01AA">
        <w:t>2006/49/ES (Text</w:t>
      </w:r>
      <w:r w:rsidR="00DC01AA">
        <w:t xml:space="preserve"> s </w:t>
      </w:r>
      <w:r w:rsidRPr="00DC01AA">
        <w:t>významom pre EHP) (Ú. v. EÚ L 176, 27.6.2013, s. 338, ELI: http://data.europa.eu/eli/dir/2013/36/oj)</w:t>
      </w:r>
      <w:r w:rsidR="00DC01AA">
        <w:t>.</w:t>
      </w:r>
      <w:r w:rsidRPr="00DC01AA">
        <w:t xml:space="preserve"> </w:t>
      </w:r>
    </w:p>
  </w:footnote>
  <w:footnote w:id="6">
    <w:p w:rsidR="008E7046" w:rsidRPr="00DC01AA" w:rsidRDefault="008E7046">
      <w:pPr>
        <w:pStyle w:val="FootnoteText"/>
      </w:pPr>
      <w:r w:rsidRPr="00DC01AA">
        <w:rPr>
          <w:rStyle w:val="FootnoteReference"/>
        </w:rPr>
        <w:footnoteRef/>
      </w:r>
      <w:r w:rsidRPr="00DC01AA">
        <w:tab/>
        <w:t>Nariadenie Európskeho parlamentu</w:t>
      </w:r>
      <w:r w:rsidR="00DC01AA">
        <w:t xml:space="preserve"> a </w:t>
      </w:r>
      <w:r w:rsidRPr="00DC01AA">
        <w:t>Rady (EÚ) 2020/852</w:t>
      </w:r>
      <w:r w:rsidR="00DC01AA">
        <w:t xml:space="preserve"> z </w:t>
      </w:r>
      <w:r w:rsidRPr="00DC01AA">
        <w:t>18</w:t>
      </w:r>
      <w:r w:rsidR="00DC01AA">
        <w:t>. júna</w:t>
      </w:r>
      <w:r w:rsidRPr="00DC01AA">
        <w:t xml:space="preserve"> 2020</w:t>
      </w:r>
      <w:r w:rsidR="00DC01AA">
        <w:t xml:space="preserve"> o </w:t>
      </w:r>
      <w:r w:rsidRPr="00DC01AA">
        <w:t>vytvorení rámca na uľahčenie udržateľných investícií</w:t>
      </w:r>
      <w:r w:rsidR="00DC01AA">
        <w:t xml:space="preserve"> a o </w:t>
      </w:r>
      <w:r w:rsidRPr="00DC01AA">
        <w:t>zmene nariadenia (EÚ) 2019/2088 (Ú. v. EÚ L 198, 22.6.2020, s. 13, ELI: http://data.europa.eu/eli/reg/2020/852/oj).</w:t>
      </w:r>
    </w:p>
  </w:footnote>
  <w:footnote w:id="7">
    <w:p w:rsidR="000A5D79" w:rsidRPr="00DC01AA" w:rsidRDefault="000A5D79" w:rsidP="00115B95">
      <w:pPr>
        <w:pStyle w:val="FootnoteText"/>
      </w:pPr>
      <w:r w:rsidRPr="00DC01AA">
        <w:rPr>
          <w:rStyle w:val="FootnoteReference"/>
        </w:rPr>
        <w:footnoteRef/>
      </w:r>
      <w:r w:rsidRPr="00DC01AA">
        <w:tab/>
        <w:t>Delegované nariadenie Komisie (EÚ) 2020/1818 zo 17</w:t>
      </w:r>
      <w:r w:rsidR="00DC01AA">
        <w:t>. júla</w:t>
      </w:r>
      <w:r w:rsidRPr="00DC01AA">
        <w:t xml:space="preserve"> 2020, ktorým sa dopĺňa nariadenie (EÚ) 2016/1011 Európskeho parlamentu</w:t>
      </w:r>
      <w:r w:rsidR="00DC01AA">
        <w:t xml:space="preserve"> a </w:t>
      </w:r>
      <w:r w:rsidRPr="00DC01AA">
        <w:t>Rady, pokiaľ ide</w:t>
      </w:r>
      <w:r w:rsidR="00DC01AA">
        <w:t xml:space="preserve"> o </w:t>
      </w:r>
      <w:r w:rsidRPr="00DC01AA">
        <w:t>minimálne normy pre referenčné hodnoty EÚ pre investície do transformácie hospodárstva</w:t>
      </w:r>
      <w:r w:rsidR="00DC01AA">
        <w:t xml:space="preserve"> v </w:t>
      </w:r>
      <w:r w:rsidRPr="00DC01AA">
        <w:t>súvislosti so zmenou klímy</w:t>
      </w:r>
      <w:r w:rsidR="00DC01AA">
        <w:t xml:space="preserve"> a </w:t>
      </w:r>
      <w:r w:rsidRPr="00DC01AA">
        <w:t>referenčné hodnoty EÚ pre investície</w:t>
      </w:r>
      <w:r w:rsidR="00DC01AA">
        <w:t xml:space="preserve"> v </w:t>
      </w:r>
      <w:r w:rsidRPr="00DC01AA">
        <w:t>súlade</w:t>
      </w:r>
      <w:r w:rsidR="00DC01AA">
        <w:t xml:space="preserve"> s </w:t>
      </w:r>
      <w:r w:rsidRPr="00DC01AA">
        <w:t>Parížskou dohodou (Ú. v. EÚ L 406, 3.12.2020, s. 17, ELI: http://data.europa.eu/eli/reg_del/2020/1818/oj).</w:t>
      </w:r>
    </w:p>
  </w:footnote>
  <w:footnote w:id="8">
    <w:p w:rsidR="000A5D79" w:rsidRPr="00DC01AA" w:rsidRDefault="000A5D79" w:rsidP="00115B95">
      <w:pPr>
        <w:pStyle w:val="FootnoteText"/>
      </w:pPr>
      <w:r w:rsidRPr="00DC01AA">
        <w:rPr>
          <w:rStyle w:val="FootnoteReference"/>
        </w:rPr>
        <w:footnoteRef/>
      </w:r>
      <w:r w:rsidRPr="00DC01AA">
        <w:tab/>
        <w:t>Smernica Európskeho parlamentu</w:t>
      </w:r>
      <w:r w:rsidR="00DC01AA">
        <w:t xml:space="preserve"> a </w:t>
      </w:r>
      <w:r w:rsidRPr="00DC01AA">
        <w:t>Rady 2010/31/EÚ</w:t>
      </w:r>
      <w:r w:rsidR="00DC01AA">
        <w:t xml:space="preserve"> z </w:t>
      </w:r>
      <w:r w:rsidRPr="00DC01AA">
        <w:t>19</w:t>
      </w:r>
      <w:r w:rsidR="00DC01AA">
        <w:t>. mája</w:t>
      </w:r>
      <w:r w:rsidRPr="00DC01AA">
        <w:t xml:space="preserve"> 2010</w:t>
      </w:r>
      <w:r w:rsidR="00DC01AA">
        <w:t xml:space="preserve"> o </w:t>
      </w:r>
      <w:r w:rsidRPr="00DC01AA">
        <w:t>energetickej hospodárnosti budov (prepracované znenie) (Ú. v. EÚ L 153, 18.6.2010, s. 13, ELI: http://data.europa.eu/eli/dir/2010/31/oj).</w:t>
      </w:r>
    </w:p>
  </w:footnote>
  <w:footnote w:id="9">
    <w:p w:rsidR="000A5D79" w:rsidRPr="00DC01AA" w:rsidRDefault="000A5D79" w:rsidP="00115B95">
      <w:pPr>
        <w:pStyle w:val="FootnoteText"/>
      </w:pPr>
      <w:r w:rsidRPr="00DC01AA">
        <w:rPr>
          <w:rStyle w:val="FootnoteReference"/>
        </w:rPr>
        <w:footnoteRef/>
      </w:r>
      <w:r w:rsidRPr="00DC01AA">
        <w:tab/>
        <w:t>Smernica Európskeho parlamentu</w:t>
      </w:r>
      <w:r w:rsidR="00DC01AA">
        <w:t xml:space="preserve"> a </w:t>
      </w:r>
      <w:r w:rsidRPr="00DC01AA">
        <w:t>Rady 2013/34/EÚ</w:t>
      </w:r>
      <w:r w:rsidR="00DC01AA">
        <w:t xml:space="preserve"> z </w:t>
      </w:r>
      <w:r w:rsidRPr="00DC01AA">
        <w:t>26</w:t>
      </w:r>
      <w:r w:rsidR="00DC01AA">
        <w:t>. júna</w:t>
      </w:r>
      <w:r w:rsidRPr="00DC01AA">
        <w:t xml:space="preserve"> 2013</w:t>
      </w:r>
      <w:r w:rsidR="00DC01AA">
        <w:t xml:space="preserve"> o </w:t>
      </w:r>
      <w:r w:rsidRPr="00DC01AA">
        <w:t>ročných účtovných závierkach, konsolidovaných účtovných závierkach</w:t>
      </w:r>
      <w:r w:rsidR="00DC01AA">
        <w:t xml:space="preserve"> a </w:t>
      </w:r>
      <w:r w:rsidRPr="00DC01AA">
        <w:t>súvisiacich správach určitých druhov podnikov, ktorou sa mení smernica Európskeho parlamentu</w:t>
      </w:r>
      <w:r w:rsidR="00DC01AA">
        <w:t xml:space="preserve"> a </w:t>
      </w:r>
      <w:r w:rsidRPr="00DC01AA">
        <w:t>Rady 2006/43/ES</w:t>
      </w:r>
      <w:r w:rsidR="00DC01AA">
        <w:t xml:space="preserve"> a </w:t>
      </w:r>
      <w:r w:rsidRPr="00DC01AA">
        <w:t>zrušujú smernice Rady 78/660/EHS</w:t>
      </w:r>
      <w:r w:rsidR="00DC01AA">
        <w:t xml:space="preserve"> a </w:t>
      </w:r>
      <w:r w:rsidRPr="00DC01AA">
        <w:t>83/349/EHS (Ú. v. EÚ L 182, 29.6.2013, s. 19, ELI: http://data.europa.eu/eli/dir/2013/34/oj).</w:t>
      </w:r>
    </w:p>
  </w:footnote>
  <w:footnote w:id="10">
    <w:p w:rsidR="000A5D79" w:rsidRPr="00DC01AA" w:rsidRDefault="000A5D79" w:rsidP="00115B95">
      <w:pPr>
        <w:pStyle w:val="FootnoteText"/>
      </w:pPr>
      <w:r w:rsidRPr="00DC01AA">
        <w:rPr>
          <w:rStyle w:val="FootnoteReference"/>
        </w:rPr>
        <w:footnoteRef/>
      </w:r>
      <w:r w:rsidRPr="00DC01AA">
        <w:tab/>
        <w:t>Nariadenie Európskeho parlamentu</w:t>
      </w:r>
      <w:r w:rsidR="00DC01AA">
        <w:t xml:space="preserve"> a </w:t>
      </w:r>
      <w:r w:rsidRPr="00DC01AA">
        <w:t xml:space="preserve">Rady (EÚ) </w:t>
      </w:r>
      <w:r w:rsidR="00DC01AA">
        <w:t>č. </w:t>
      </w:r>
      <w:r w:rsidRPr="00DC01AA">
        <w:t>1093/2010</w:t>
      </w:r>
      <w:r w:rsidR="00DC01AA">
        <w:t xml:space="preserve"> z </w:t>
      </w:r>
      <w:r w:rsidRPr="00DC01AA">
        <w:t>24</w:t>
      </w:r>
      <w:r w:rsidR="00DC01AA">
        <w:t>. novembra</w:t>
      </w:r>
      <w:r w:rsidRPr="00DC01AA">
        <w:t xml:space="preserve"> 2010, ktorým sa zriaďuje Európsky orgán dohľadu (Európsky orgán pre bankovníctvo)</w:t>
      </w:r>
      <w:r w:rsidR="00DC01AA">
        <w:t xml:space="preserve"> a </w:t>
      </w:r>
      <w:r w:rsidRPr="00DC01AA">
        <w:t>ktorým sa mení</w:t>
      </w:r>
      <w:r w:rsidR="00DC01AA">
        <w:t xml:space="preserve"> a </w:t>
      </w:r>
      <w:r w:rsidRPr="00DC01AA">
        <w:t xml:space="preserve">dopĺňa rozhodnutie </w:t>
      </w:r>
      <w:r w:rsidR="00DC01AA">
        <w:t>č. </w:t>
      </w:r>
      <w:r w:rsidRPr="00DC01AA">
        <w:t>716/2009/ES</w:t>
      </w:r>
      <w:r w:rsidR="00DC01AA">
        <w:t xml:space="preserve"> a </w:t>
      </w:r>
      <w:r w:rsidRPr="00DC01AA">
        <w:t>zrušuje rozhodnutie Komisie 2009/78/ES (Ú. v. EÚ L 331, 15.12.2010, s. 12, ELI: http://data.europa.eu/eli/reg/2010/1093/oj).</w:t>
      </w:r>
    </w:p>
  </w:footnote>
  <w:footnote w:id="11">
    <w:p w:rsidR="004076A2" w:rsidRPr="00DC01AA" w:rsidRDefault="004076A2" w:rsidP="009A75BF">
      <w:pPr>
        <w:pStyle w:val="FootnoteText"/>
      </w:pPr>
      <w:r w:rsidRPr="00DC01AA">
        <w:rPr>
          <w:rStyle w:val="FootnoteReference"/>
        </w:rPr>
        <w:footnoteRef/>
      </w:r>
      <w:r w:rsidRPr="00DC01AA">
        <w:tab/>
        <w:t xml:space="preserve">Delegované nariadenie Komisie (EÚ) </w:t>
      </w:r>
      <w:r w:rsidR="00DC01AA">
        <w:t>č. </w:t>
      </w:r>
      <w:r w:rsidRPr="00DC01AA">
        <w:t>1222/2014</w:t>
      </w:r>
      <w:r w:rsidR="00DC01AA">
        <w:t xml:space="preserve"> z </w:t>
      </w:r>
      <w:r w:rsidRPr="00DC01AA">
        <w:t>8</w:t>
      </w:r>
      <w:r w:rsidR="00DC01AA">
        <w:t>. októbra</w:t>
      </w:r>
      <w:r w:rsidRPr="00DC01AA">
        <w:t xml:space="preserve"> 2014, ktorým sa dopĺňa smernica Európskeho parlamentu</w:t>
      </w:r>
      <w:r w:rsidR="00DC01AA">
        <w:t xml:space="preserve"> a </w:t>
      </w:r>
      <w:r w:rsidRPr="00DC01AA">
        <w:t>Rady 2013/36/EÚ, pokiaľ ide</w:t>
      </w:r>
      <w:r w:rsidR="00DC01AA">
        <w:t xml:space="preserve"> o </w:t>
      </w:r>
      <w:r w:rsidRPr="00DC01AA">
        <w:t>regulačné technické predpisy na vymedzenie metodiky identifikácie globálnych systémovo dôležitých inštitúcií</w:t>
      </w:r>
      <w:r w:rsidR="00DC01AA">
        <w:t xml:space="preserve"> a </w:t>
      </w:r>
      <w:r w:rsidRPr="00DC01AA">
        <w:t>vymedzenia podkategórií globálnych systémovo dôležitých inštitúcií (Ú. v. EÚ L 330, 15.11.2014, s. 27, ELI: http://data.europa.eu/eli/reg_del/2014/1222/oj).</w:t>
      </w:r>
    </w:p>
  </w:footnote>
  <w:footnote w:id="12">
    <w:p w:rsidR="000A5D79" w:rsidRPr="00DC01AA" w:rsidRDefault="000A5D79" w:rsidP="000A5D79">
      <w:pPr>
        <w:pStyle w:val="FootnoteText"/>
      </w:pPr>
      <w:r w:rsidRPr="00DC01AA">
        <w:rPr>
          <w:rStyle w:val="FootnoteReference"/>
        </w:rPr>
        <w:footnoteRef/>
      </w:r>
      <w:r w:rsidRPr="00DC01AA">
        <w:tab/>
      </w:r>
      <w:r w:rsidRPr="00DC01AA">
        <w:rPr>
          <w:color w:val="333333"/>
          <w:shd w:val="clear" w:color="auto" w:fill="FFFFFF"/>
        </w:rPr>
        <w:t>Vykonávacie nariadenie Komisie (EÚ) 2022/2453</w:t>
      </w:r>
      <w:r w:rsidR="00DC01AA">
        <w:rPr>
          <w:color w:val="333333"/>
          <w:shd w:val="clear" w:color="auto" w:fill="FFFFFF"/>
        </w:rPr>
        <w:t xml:space="preserve"> z </w:t>
      </w:r>
      <w:r w:rsidRPr="00DC01AA">
        <w:rPr>
          <w:color w:val="333333"/>
          <w:shd w:val="clear" w:color="auto" w:fill="FFFFFF"/>
        </w:rPr>
        <w:t>30</w:t>
      </w:r>
      <w:r w:rsidR="00DC01AA">
        <w:rPr>
          <w:color w:val="333333"/>
          <w:shd w:val="clear" w:color="auto" w:fill="FFFFFF"/>
        </w:rPr>
        <w:t>. novembra</w:t>
      </w:r>
      <w:r w:rsidRPr="00DC01AA">
        <w:rPr>
          <w:color w:val="333333"/>
          <w:shd w:val="clear" w:color="auto" w:fill="FFFFFF"/>
        </w:rPr>
        <w:t xml:space="preserve"> 2022, ktorým sa menia vykonávacie technické predpisy stanovené vo vykonávacom nariadení (EÚ) 2021/637, pokiaľ ide</w:t>
      </w:r>
      <w:r w:rsidR="00DC01AA">
        <w:rPr>
          <w:color w:val="333333"/>
          <w:shd w:val="clear" w:color="auto" w:fill="FFFFFF"/>
        </w:rPr>
        <w:t xml:space="preserve"> o </w:t>
      </w:r>
      <w:r w:rsidRPr="00DC01AA">
        <w:rPr>
          <w:color w:val="333333"/>
          <w:shd w:val="clear" w:color="auto" w:fill="FFFFFF"/>
        </w:rPr>
        <w:t>zverejňovanie informácií</w:t>
      </w:r>
      <w:r w:rsidR="00DC01AA">
        <w:rPr>
          <w:color w:val="333333"/>
          <w:shd w:val="clear" w:color="auto" w:fill="FFFFFF"/>
        </w:rPr>
        <w:t xml:space="preserve"> o </w:t>
      </w:r>
      <w:r w:rsidRPr="00DC01AA">
        <w:rPr>
          <w:color w:val="333333"/>
          <w:shd w:val="clear" w:color="auto" w:fill="FFFFFF"/>
        </w:rPr>
        <w:t>rizikách environmentálneho, sociálneho</w:t>
      </w:r>
      <w:r w:rsidR="00DC01AA">
        <w:rPr>
          <w:color w:val="333333"/>
          <w:shd w:val="clear" w:color="auto" w:fill="FFFFFF"/>
        </w:rPr>
        <w:t xml:space="preserve"> a </w:t>
      </w:r>
      <w:r w:rsidRPr="00DC01AA">
        <w:rPr>
          <w:color w:val="333333"/>
          <w:shd w:val="clear" w:color="auto" w:fill="FFFFFF"/>
        </w:rPr>
        <w:t>správneho dosahu (</w:t>
      </w:r>
      <w:r w:rsidRPr="00DC01AA">
        <w:t>Ú. v. EÚ L 324, 19.12.2022, s. 1, ELI: </w:t>
      </w:r>
      <w:hyperlink r:id="rId4" w:tooltip="Umožňuje prístup k tomuto dokumentu prostredníctvom identifikátora URI používaného v rámci ELI." w:history="1">
        <w:r w:rsidRPr="00DC01AA">
          <w:t>http://data.europa.eu/eli/reg_impl/2022/2453/oj</w:t>
        </w:r>
      </w:hyperlink>
      <w:r w:rsidRPr="00DC01AA">
        <w:t>).</w:t>
      </w:r>
    </w:p>
  </w:footnote>
  <w:footnote w:id="13">
    <w:p w:rsidR="000A5D79" w:rsidRPr="00DC01AA" w:rsidRDefault="000A5D79" w:rsidP="00115B95">
      <w:pPr>
        <w:pStyle w:val="FootnoteText"/>
      </w:pPr>
      <w:r w:rsidRPr="00DC01AA">
        <w:rPr>
          <w:rStyle w:val="FootnoteReference"/>
        </w:rPr>
        <w:footnoteRef/>
      </w:r>
      <w:r w:rsidRPr="00DC01AA">
        <w:tab/>
        <w:t>Vykonávacie nariadenie Komisie (EÚ) 2021/451 zo 17</w:t>
      </w:r>
      <w:r w:rsidR="00DC01AA">
        <w:t>. decembra</w:t>
      </w:r>
      <w:r w:rsidRPr="00DC01AA">
        <w:t xml:space="preserve"> 2020, ktorým sa stanovujú vykonávacie technické predpisy na uplatňovanie nariadenia Európskeho parlamentu</w:t>
      </w:r>
      <w:r w:rsidR="00DC01AA">
        <w:t xml:space="preserve"> a </w:t>
      </w:r>
      <w:r w:rsidRPr="00DC01AA">
        <w:t xml:space="preserve">Rady (EÚ) </w:t>
      </w:r>
      <w:r w:rsidR="00DC01AA">
        <w:t>č. </w:t>
      </w:r>
      <w:r w:rsidRPr="00DC01AA">
        <w:t>575/2013, pokiaľ ide</w:t>
      </w:r>
      <w:r w:rsidR="00DC01AA">
        <w:t xml:space="preserve"> o </w:t>
      </w:r>
      <w:r w:rsidRPr="00DC01AA">
        <w:t>vykazovanie inštitúciami na účely dohľadu,</w:t>
      </w:r>
      <w:r w:rsidR="00DC01AA">
        <w:t xml:space="preserve"> a </w:t>
      </w:r>
      <w:r w:rsidRPr="00DC01AA">
        <w:t xml:space="preserve">ktorým sa zrušuje vykonávacie nariadenie (EÚ) </w:t>
      </w:r>
      <w:r w:rsidR="00DC01AA">
        <w:t>č. </w:t>
      </w:r>
      <w:r w:rsidRPr="00DC01AA">
        <w:t>680/2014 (Ú. v. EÚ L 97, 19.3.2021, s. 1, ELI: http://data.europa.eu/eli/reg_impl/2021/451/oj).</w:t>
      </w:r>
    </w:p>
  </w:footnote>
  <w:footnote w:id="14">
    <w:p w:rsidR="000A5D79" w:rsidRPr="00DC01AA" w:rsidRDefault="000A5D79" w:rsidP="009A75BF">
      <w:pPr>
        <w:pStyle w:val="FootnoteText"/>
      </w:pPr>
      <w:r w:rsidRPr="00DC01AA">
        <w:rPr>
          <w:rStyle w:val="FootnoteReference"/>
        </w:rPr>
        <w:footnoteRef/>
      </w:r>
      <w:r w:rsidRPr="00DC01AA">
        <w:tab/>
        <w:t>Delegované nariadenie Komisie (EÚ) 2021/2178 zo 6</w:t>
      </w:r>
      <w:r w:rsidR="00DC01AA">
        <w:t>. júla</w:t>
      </w:r>
      <w:r w:rsidRPr="00DC01AA">
        <w:t xml:space="preserve"> 2021, ktorým sa dopĺňa nariadenie Európskeho parlamentu</w:t>
      </w:r>
      <w:r w:rsidR="00DC01AA">
        <w:t xml:space="preserve"> a </w:t>
      </w:r>
      <w:r w:rsidRPr="00DC01AA">
        <w:t>Rady (EÚ) 2020/852 upresnením obsahu</w:t>
      </w:r>
      <w:r w:rsidR="00DC01AA">
        <w:t xml:space="preserve"> a </w:t>
      </w:r>
      <w:r w:rsidRPr="00DC01AA">
        <w:t>prezentácie informácií, ktoré majú zverejňovať podniky, na ktoré sa vzťahuje článok 19a alebo 29a smernice 2013/34/EÚ, pokiaľ ide</w:t>
      </w:r>
      <w:r w:rsidR="00DC01AA">
        <w:t xml:space="preserve"> o </w:t>
      </w:r>
      <w:r w:rsidRPr="00DC01AA">
        <w:t>environmentálne udržateľné hospodárske činnosti,</w:t>
      </w:r>
      <w:r w:rsidR="00DC01AA">
        <w:t xml:space="preserve"> a </w:t>
      </w:r>
      <w:r w:rsidRPr="00DC01AA">
        <w:t>upresnením metodiky na splnenie uvedenej povinnosti zverejňovania (Ú. v. EÚ L 443, 10.12.2021, s.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665" w:rsidRDefault="000D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665" w:rsidRDefault="000D16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2"/>
    <w:lvlOverride w:ilvl="0">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2"/>
  </w:num>
  <w:num w:numId="20">
    <w:abstractNumId w:val="21"/>
  </w:num>
  <w:num w:numId="21">
    <w:abstractNumId w:val="11"/>
  </w:num>
  <w:num w:numId="22">
    <w:abstractNumId w:val="13"/>
  </w:num>
  <w:num w:numId="23">
    <w:abstractNumId w:val="14"/>
  </w:num>
  <w:num w:numId="24">
    <w:abstractNumId w:val="9"/>
  </w:num>
  <w:num w:numId="25">
    <w:abstractNumId w:val="20"/>
  </w:num>
  <w:num w:numId="26">
    <w:abstractNumId w:val="8"/>
  </w:num>
  <w:num w:numId="27">
    <w:abstractNumId w:val="15"/>
  </w:num>
  <w:num w:numId="28">
    <w:abstractNumId w:val="17"/>
  </w:num>
  <w:num w:numId="29">
    <w:abstractNumId w:val="18"/>
  </w:num>
  <w:num w:numId="30">
    <w:abstractNumId w:val="10"/>
  </w:num>
  <w:num w:numId="31">
    <w:abstractNumId w:val="16"/>
  </w:num>
  <w:num w:numId="32">
    <w:abstractNumId w:val="22"/>
  </w:num>
  <w:num w:numId="33">
    <w:abstractNumId w:val="19"/>
  </w:num>
  <w:num w:numId="34">
    <w:abstractNumId w:val="12"/>
  </w:num>
  <w:num w:numId="35">
    <w:abstractNumId w:val="21"/>
  </w:num>
  <w:num w:numId="36">
    <w:abstractNumId w:val="11"/>
  </w:num>
  <w:num w:numId="37">
    <w:abstractNumId w:val="13"/>
  </w:num>
  <w:num w:numId="38">
    <w:abstractNumId w:val="14"/>
  </w:num>
  <w:num w:numId="39">
    <w:abstractNumId w:val="9"/>
  </w:num>
  <w:num w:numId="40">
    <w:abstractNumId w:val="20"/>
  </w:num>
  <w:num w:numId="41">
    <w:abstractNumId w:val="8"/>
  </w:num>
  <w:num w:numId="42">
    <w:abstractNumId w:val="15"/>
  </w:num>
  <w:num w:numId="43">
    <w:abstractNumId w:val="17"/>
  </w:num>
  <w:num w:numId="44">
    <w:abstractNumId w:val="18"/>
  </w:num>
  <w:num w:numId="45">
    <w:abstractNumId w:val="10"/>
  </w:num>
  <w:num w:numId="46">
    <w:abstractNumId w:val="16"/>
  </w:num>
  <w:num w:numId="47">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3:48"/>
    <w:docVar w:name="DQCResult_Distribution" w:val="0;0"/>
    <w:docVar w:name="DQCResult_DocumentContent" w:val="0;0"/>
    <w:docVar w:name="DQCResult_DocumentSize"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1"/>
    <w:docVar w:name="LW_CORRIGENDUM" w:val="&lt;UNUSED&gt;"/>
    <w:docVar w:name="LW_COVERPAGE_EXISTS" w:val="True"/>
    <w:docVar w:name="LW_COVERPAGE_GUID" w:val="B26499B6-AB65-4B65-A0A3-E51CF10F8C60"/>
    <w:docVar w:name="LW_COVERPAGE_TYPE" w:val="1"/>
    <w:docVar w:name="LW_CROSSREFERENCE" w:val="&lt;UNUSED&gt;"/>
    <w:docVar w:name="LW_DATE.ADOPT.CP" w:val="z 29. 11. 2024"/>
    <w:docVar w:name="LW_DATE.ADOPT.CP_DATEFORMAT" w:val="z %DATE%"/>
    <w:docVar w:name="LW_DATE.ADOPT.CP_ISODATE" w:val="2024-11-29"/>
    <w:docVar w:name="LW_DocType" w:val="COM"/>
    <w:docVar w:name="LW_EMISSION" w:val="29. 11. 2024"/>
    <w:docVar w:name="LW_EMISSION_ISODATE" w:val="2024-11-29"/>
    <w:docVar w:name="LW_EMISSION_LOCATION" w:val="BRX"/>
    <w:docVar w:name="LW_EMISSION_PREFIX" w:val="V Bruseli"/>
    <w:docVar w:name="LW_EMISSION_SUFFIX" w:val=" "/>
    <w:docVar w:name="LW_ID_DOCMODEL" w:val="SJ-004"/>
    <w:docVar w:name="LW_ID_DOCSIGNATURE" w:val="SJ-004"/>
    <w:docVar w:name="LW_ID_DOCSTRUCTURE" w:val="COM/AA"/>
    <w:docVar w:name="LW_ID_DOCTYPE" w:val="SJ-004"/>
    <w:docVar w:name="LW_INTERETEEE" w:val="(Text s významom pre EHP)"/>
    <w:docVar w:name="LW_INTERETEEE.CP" w:val="(Text s významom pre EHP)"/>
    <w:docVar w:name="LW_LANGUE" w:val="SK"/>
    <w:docVar w:name="LW_LANGUESFAISANTFOI.CP" w:val="&lt;UNUSED&gt;"/>
    <w:docVar w:name="LW_LEVEL_OF_SENSITIVITY" w:val="Standard treatment"/>
    <w:docVar w:name="LW_NOM.INST" w:val="EURÓPSKA KOMISIA"/>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ktorým sa stanovujú vykonávacie technické predpisy na ú\u269?ely uplat\u328?ovania nariadenia Európskeho parlamentu a Rady (EÚ) \u269?. 575/2013, pokia\u318? ide o zverej\u328?ovanie informácií uvedených v ôsmej \u269?asti hlavách II a III uvedeného nariadenia in\u353?titúciami, a ktorým sa zru\u353?uje vykonávacie nariadenie Komisie (EÚ) 2021/637"/>
    <w:docVar w:name="LW_TITRE.OBJ.CP" w:val="ktorým sa stanovujú vykonávacie technické predpisy na ú\u269?ely uplat\u328?ovania nariadenia Európskeho parlamentu a Rady (EÚ) \u269?. 575/2013, pokia\u318? ide o zverej\u328?ovanie informácií uvedených v ôsmej \u269?asti hlavách II a III uvedeného nariadenia in\u353?titúciami, a ktorým sa zru\u353?uje vykonávacie nariadenie Komisie (EÚ) 2021/637"/>
    <w:docVar w:name="LW_TYPE.DOC" w:val="VYKONÁVACIE NARIADENIE KOMISIE (EÚ) \u8230?/..."/>
    <w:docVar w:name="LW_TYPE.DOC.CP" w:val="VYKONÁVACIE NARIADENIE KOMISIE (EÚ) \u8230?/..."/>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4278"/>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1665"/>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84F05"/>
    <w:rsid w:val="00187E61"/>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C24"/>
    <w:rsid w:val="001F5E01"/>
    <w:rsid w:val="001F653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0973"/>
    <w:rsid w:val="0028163C"/>
    <w:rsid w:val="00281B06"/>
    <w:rsid w:val="00282C75"/>
    <w:rsid w:val="0028395D"/>
    <w:rsid w:val="00283DFB"/>
    <w:rsid w:val="0028636F"/>
    <w:rsid w:val="00287065"/>
    <w:rsid w:val="00291D4D"/>
    <w:rsid w:val="002930E4"/>
    <w:rsid w:val="0029662F"/>
    <w:rsid w:val="002A01F0"/>
    <w:rsid w:val="002A0CE4"/>
    <w:rsid w:val="002A2739"/>
    <w:rsid w:val="002A2D5F"/>
    <w:rsid w:val="002A3BBF"/>
    <w:rsid w:val="002A6AE8"/>
    <w:rsid w:val="002B04BA"/>
    <w:rsid w:val="002B051B"/>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3E46"/>
    <w:rsid w:val="002E4605"/>
    <w:rsid w:val="002E49AF"/>
    <w:rsid w:val="002E716D"/>
    <w:rsid w:val="002E79F5"/>
    <w:rsid w:val="002F31C7"/>
    <w:rsid w:val="002F785C"/>
    <w:rsid w:val="00301E58"/>
    <w:rsid w:val="00303350"/>
    <w:rsid w:val="003052F8"/>
    <w:rsid w:val="00311F17"/>
    <w:rsid w:val="00312788"/>
    <w:rsid w:val="00314052"/>
    <w:rsid w:val="00314060"/>
    <w:rsid w:val="0031606B"/>
    <w:rsid w:val="00331519"/>
    <w:rsid w:val="00332897"/>
    <w:rsid w:val="0033542F"/>
    <w:rsid w:val="00336386"/>
    <w:rsid w:val="00337D50"/>
    <w:rsid w:val="00340E67"/>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59CF"/>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3EE5"/>
    <w:rsid w:val="00415609"/>
    <w:rsid w:val="00427C49"/>
    <w:rsid w:val="00430665"/>
    <w:rsid w:val="004311CE"/>
    <w:rsid w:val="00433CAF"/>
    <w:rsid w:val="00435120"/>
    <w:rsid w:val="00436C87"/>
    <w:rsid w:val="00437AA5"/>
    <w:rsid w:val="004438BB"/>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4FAB"/>
    <w:rsid w:val="004953EC"/>
    <w:rsid w:val="004A563B"/>
    <w:rsid w:val="004B2B9D"/>
    <w:rsid w:val="004B34BB"/>
    <w:rsid w:val="004B3857"/>
    <w:rsid w:val="004B5BAC"/>
    <w:rsid w:val="004B7689"/>
    <w:rsid w:val="004B76C0"/>
    <w:rsid w:val="004C0825"/>
    <w:rsid w:val="004C1DDA"/>
    <w:rsid w:val="004C601F"/>
    <w:rsid w:val="004D0913"/>
    <w:rsid w:val="004D44FC"/>
    <w:rsid w:val="004D4E26"/>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3FB"/>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95B54"/>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77D05"/>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4118"/>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5B53"/>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82B45"/>
    <w:rsid w:val="00A90F2D"/>
    <w:rsid w:val="00AA15E6"/>
    <w:rsid w:val="00AA2477"/>
    <w:rsid w:val="00AA55AA"/>
    <w:rsid w:val="00AA5E7B"/>
    <w:rsid w:val="00AB5E13"/>
    <w:rsid w:val="00AB6551"/>
    <w:rsid w:val="00AB778C"/>
    <w:rsid w:val="00AC044E"/>
    <w:rsid w:val="00AC1D68"/>
    <w:rsid w:val="00AC56C6"/>
    <w:rsid w:val="00AC7B65"/>
    <w:rsid w:val="00AD2682"/>
    <w:rsid w:val="00AD436A"/>
    <w:rsid w:val="00AD5937"/>
    <w:rsid w:val="00AD6103"/>
    <w:rsid w:val="00AE1046"/>
    <w:rsid w:val="00AE2D1A"/>
    <w:rsid w:val="00AE4E04"/>
    <w:rsid w:val="00AE6FB7"/>
    <w:rsid w:val="00AF01FC"/>
    <w:rsid w:val="00AF14C5"/>
    <w:rsid w:val="00AF28FF"/>
    <w:rsid w:val="00AF44DC"/>
    <w:rsid w:val="00AF6006"/>
    <w:rsid w:val="00AF621E"/>
    <w:rsid w:val="00AF6721"/>
    <w:rsid w:val="00AF6CF8"/>
    <w:rsid w:val="00AF79E9"/>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17CC"/>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BD0"/>
    <w:rsid w:val="00CE1CE2"/>
    <w:rsid w:val="00CE2121"/>
    <w:rsid w:val="00CE21CE"/>
    <w:rsid w:val="00CE3BE4"/>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277C"/>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1AA"/>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79AB"/>
    <w:rsid w:val="00E97BA7"/>
    <w:rsid w:val="00EA5C34"/>
    <w:rsid w:val="00EA72CD"/>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59FE"/>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446D1"/>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030A"/>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k-SK"/>
    </w:rPr>
  </w:style>
  <w:style w:type="paragraph" w:styleId="Heading1">
    <w:name w:val="heading 1"/>
    <w:basedOn w:val="Normal"/>
    <w:next w:val="Text1"/>
    <w:link w:val="Heading1Char"/>
    <w:uiPriority w:val="9"/>
    <w:qFormat/>
    <w:pPr>
      <w:keepNext/>
      <w:numPr>
        <w:numId w:val="4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4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4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4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4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4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4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sk-SK"/>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2"/>
      </w:numPr>
      <w:contextualSpacing/>
    </w:pPr>
  </w:style>
  <w:style w:type="paragraph" w:styleId="ListBullet3">
    <w:name w:val="List Bullet 3"/>
    <w:basedOn w:val="Normal"/>
    <w:uiPriority w:val="99"/>
    <w:semiHidden/>
    <w:unhideWhenUsed/>
    <w:rsid w:val="00C7752D"/>
    <w:pPr>
      <w:numPr>
        <w:numId w:val="3"/>
      </w:numPr>
      <w:contextualSpacing/>
    </w:pPr>
  </w:style>
  <w:style w:type="paragraph" w:styleId="ListBullet4">
    <w:name w:val="List Bullet 4"/>
    <w:basedOn w:val="Normal"/>
    <w:uiPriority w:val="99"/>
    <w:semiHidden/>
    <w:unhideWhenUsed/>
    <w:rsid w:val="00C7752D"/>
    <w:pPr>
      <w:numPr>
        <w:numId w:val="4"/>
      </w:numPr>
      <w:contextualSpacing/>
    </w:pPr>
  </w:style>
  <w:style w:type="paragraph" w:styleId="ListNumber">
    <w:name w:val="List Number"/>
    <w:basedOn w:val="Normal"/>
    <w:uiPriority w:val="99"/>
    <w:semiHidden/>
    <w:unhideWhenUsed/>
    <w:rsid w:val="00C7752D"/>
    <w:pPr>
      <w:numPr>
        <w:numId w:val="5"/>
      </w:numPr>
      <w:contextualSpacing/>
    </w:pPr>
  </w:style>
  <w:style w:type="paragraph" w:styleId="ListNumber2">
    <w:name w:val="List Number 2"/>
    <w:basedOn w:val="Normal"/>
    <w:uiPriority w:val="99"/>
    <w:semiHidden/>
    <w:unhideWhenUsed/>
    <w:rsid w:val="00C7752D"/>
    <w:pPr>
      <w:numPr>
        <w:numId w:val="6"/>
      </w:numPr>
      <w:contextualSpacing/>
    </w:pPr>
  </w:style>
  <w:style w:type="paragraph" w:styleId="ListNumber3">
    <w:name w:val="List Number 3"/>
    <w:basedOn w:val="Normal"/>
    <w:uiPriority w:val="99"/>
    <w:semiHidden/>
    <w:unhideWhenUsed/>
    <w:rsid w:val="00C7752D"/>
    <w:pPr>
      <w:numPr>
        <w:numId w:val="7"/>
      </w:numPr>
      <w:contextualSpacing/>
    </w:pPr>
  </w:style>
  <w:style w:type="paragraph" w:styleId="ListNumber4">
    <w:name w:val="List Number 4"/>
    <w:basedOn w:val="Normal"/>
    <w:uiPriority w:val="99"/>
    <w:semiHidden/>
    <w:unhideWhenUsed/>
    <w:rsid w:val="00C7752D"/>
    <w:pPr>
      <w:numPr>
        <w:numId w:val="8"/>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sk-SK"/>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sk-SK"/>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0D1665"/>
    <w:rPr>
      <w:rFonts w:ascii="Times New Roman" w:hAnsi="Times New Roman" w:cs="Times New Roman"/>
      <w:sz w:val="24"/>
      <w:lang w:val="sk-SK"/>
    </w:rPr>
  </w:style>
  <w:style w:type="character" w:customStyle="1" w:styleId="FooterChar">
    <w:name w:val="Footer Char"/>
    <w:basedOn w:val="DefaultParagraphFont"/>
    <w:link w:val="Footer"/>
    <w:uiPriority w:val="99"/>
    <w:rsid w:val="000D1665"/>
    <w:rPr>
      <w:rFonts w:ascii="Times New Roman" w:hAnsi="Times New Roman" w:cs="Times New Roman"/>
      <w:sz w:val="24"/>
      <w:lang w:val="sk-S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D166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D1665"/>
    <w:pPr>
      <w:spacing w:before="0"/>
      <w:jc w:val="right"/>
    </w:pPr>
    <w:rPr>
      <w:sz w:val="28"/>
    </w:rPr>
  </w:style>
  <w:style w:type="paragraph" w:customStyle="1" w:styleId="FooterSensitivity">
    <w:name w:val="Footer Sensitivity"/>
    <w:basedOn w:val="Normal"/>
    <w:rsid w:val="000D166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3"/>
      </w:numPr>
    </w:pPr>
  </w:style>
  <w:style w:type="paragraph" w:customStyle="1" w:styleId="Tiret1">
    <w:name w:val="Tiret 1"/>
    <w:basedOn w:val="Point1"/>
    <w:pPr>
      <w:numPr>
        <w:numId w:val="34"/>
      </w:numPr>
    </w:pPr>
  </w:style>
  <w:style w:type="paragraph" w:customStyle="1" w:styleId="Tiret2">
    <w:name w:val="Tiret 2"/>
    <w:basedOn w:val="Point2"/>
    <w:pPr>
      <w:numPr>
        <w:numId w:val="35"/>
      </w:numPr>
    </w:pPr>
  </w:style>
  <w:style w:type="paragraph" w:customStyle="1" w:styleId="Tiret3">
    <w:name w:val="Tiret 3"/>
    <w:basedOn w:val="Point3"/>
    <w:pPr>
      <w:numPr>
        <w:numId w:val="36"/>
      </w:numPr>
    </w:pPr>
  </w:style>
  <w:style w:type="paragraph" w:customStyle="1" w:styleId="Tiret4">
    <w:name w:val="Tiret 4"/>
    <w:basedOn w:val="Point4"/>
    <w:pPr>
      <w:numPr>
        <w:numId w:val="37"/>
      </w:numPr>
    </w:pPr>
  </w:style>
  <w:style w:type="paragraph" w:customStyle="1" w:styleId="Tiret5">
    <w:name w:val="Tiret 5"/>
    <w:basedOn w:val="Point5"/>
    <w:pPr>
      <w:numPr>
        <w:numId w:val="3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9"/>
      </w:numPr>
    </w:pPr>
  </w:style>
  <w:style w:type="paragraph" w:customStyle="1" w:styleId="NumPar2">
    <w:name w:val="NumPar 2"/>
    <w:basedOn w:val="Normal"/>
    <w:next w:val="Text1"/>
    <w:pPr>
      <w:numPr>
        <w:ilvl w:val="1"/>
        <w:numId w:val="39"/>
      </w:numPr>
    </w:pPr>
  </w:style>
  <w:style w:type="paragraph" w:customStyle="1" w:styleId="NumPar3">
    <w:name w:val="NumPar 3"/>
    <w:basedOn w:val="Normal"/>
    <w:next w:val="Text1"/>
    <w:pPr>
      <w:numPr>
        <w:ilvl w:val="2"/>
        <w:numId w:val="39"/>
      </w:numPr>
    </w:pPr>
  </w:style>
  <w:style w:type="paragraph" w:customStyle="1" w:styleId="NumPar4">
    <w:name w:val="NumPar 4"/>
    <w:basedOn w:val="Normal"/>
    <w:next w:val="Text1"/>
    <w:pPr>
      <w:numPr>
        <w:ilvl w:val="3"/>
        <w:numId w:val="39"/>
      </w:numPr>
    </w:pPr>
  </w:style>
  <w:style w:type="paragraph" w:customStyle="1" w:styleId="NumPar5">
    <w:name w:val="NumPar 5"/>
    <w:basedOn w:val="Normal"/>
    <w:next w:val="Text2"/>
    <w:pPr>
      <w:numPr>
        <w:ilvl w:val="4"/>
        <w:numId w:val="39"/>
      </w:numPr>
    </w:pPr>
  </w:style>
  <w:style w:type="paragraph" w:customStyle="1" w:styleId="NumPar6">
    <w:name w:val="NumPar 6"/>
    <w:basedOn w:val="Normal"/>
    <w:next w:val="Text2"/>
    <w:pPr>
      <w:numPr>
        <w:ilvl w:val="5"/>
        <w:numId w:val="39"/>
      </w:numPr>
    </w:pPr>
  </w:style>
  <w:style w:type="paragraph" w:customStyle="1" w:styleId="NumPar7">
    <w:name w:val="NumPar 7"/>
    <w:basedOn w:val="Normal"/>
    <w:next w:val="Text2"/>
    <w:pPr>
      <w:numPr>
        <w:ilvl w:val="6"/>
        <w:numId w:val="3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1"/>
      </w:numPr>
    </w:pPr>
  </w:style>
  <w:style w:type="paragraph" w:customStyle="1" w:styleId="Point1number">
    <w:name w:val="Point 1 (number)"/>
    <w:basedOn w:val="Normal"/>
    <w:pPr>
      <w:numPr>
        <w:ilvl w:val="2"/>
        <w:numId w:val="41"/>
      </w:numPr>
    </w:pPr>
  </w:style>
  <w:style w:type="paragraph" w:customStyle="1" w:styleId="Point2number">
    <w:name w:val="Point 2 (number)"/>
    <w:basedOn w:val="Normal"/>
    <w:pPr>
      <w:numPr>
        <w:ilvl w:val="4"/>
        <w:numId w:val="41"/>
      </w:numPr>
    </w:pPr>
  </w:style>
  <w:style w:type="paragraph" w:customStyle="1" w:styleId="Point3number">
    <w:name w:val="Point 3 (number)"/>
    <w:basedOn w:val="Normal"/>
    <w:pPr>
      <w:numPr>
        <w:ilvl w:val="6"/>
        <w:numId w:val="41"/>
      </w:numPr>
    </w:pPr>
  </w:style>
  <w:style w:type="paragraph" w:customStyle="1" w:styleId="Point0letter">
    <w:name w:val="Point 0 (letter)"/>
    <w:basedOn w:val="Normal"/>
    <w:pPr>
      <w:numPr>
        <w:ilvl w:val="1"/>
        <w:numId w:val="41"/>
      </w:numPr>
    </w:pPr>
  </w:style>
  <w:style w:type="paragraph" w:customStyle="1" w:styleId="Point1letter">
    <w:name w:val="Point 1 (letter)"/>
    <w:basedOn w:val="Normal"/>
    <w:pPr>
      <w:numPr>
        <w:ilvl w:val="3"/>
        <w:numId w:val="41"/>
      </w:numPr>
    </w:pPr>
  </w:style>
  <w:style w:type="paragraph" w:customStyle="1" w:styleId="Point2letter">
    <w:name w:val="Point 2 (letter)"/>
    <w:basedOn w:val="Normal"/>
    <w:pPr>
      <w:numPr>
        <w:ilvl w:val="5"/>
        <w:numId w:val="41"/>
      </w:numPr>
    </w:pPr>
  </w:style>
  <w:style w:type="paragraph" w:customStyle="1" w:styleId="Point3letter">
    <w:name w:val="Point 3 (letter)"/>
    <w:basedOn w:val="Normal"/>
    <w:pPr>
      <w:numPr>
        <w:ilvl w:val="7"/>
        <w:numId w:val="41"/>
      </w:numPr>
    </w:pPr>
  </w:style>
  <w:style w:type="paragraph" w:customStyle="1" w:styleId="Point4letter">
    <w:name w:val="Point 4 (letter)"/>
    <w:basedOn w:val="Normal"/>
    <w:pPr>
      <w:numPr>
        <w:ilvl w:val="8"/>
        <w:numId w:val="41"/>
      </w:numPr>
    </w:pPr>
  </w:style>
  <w:style w:type="paragraph" w:customStyle="1" w:styleId="Bullet0">
    <w:name w:val="Bullet 0"/>
    <w:basedOn w:val="Normal"/>
    <w:pPr>
      <w:numPr>
        <w:numId w:val="42"/>
      </w:numPr>
    </w:pPr>
  </w:style>
  <w:style w:type="paragraph" w:customStyle="1" w:styleId="Bullet1">
    <w:name w:val="Bullet 1"/>
    <w:basedOn w:val="Normal"/>
    <w:pPr>
      <w:numPr>
        <w:numId w:val="43"/>
      </w:numPr>
    </w:pPr>
  </w:style>
  <w:style w:type="paragraph" w:customStyle="1" w:styleId="Bullet2">
    <w:name w:val="Bullet 2"/>
    <w:basedOn w:val="Normal"/>
    <w:pPr>
      <w:numPr>
        <w:numId w:val="44"/>
      </w:numPr>
    </w:pPr>
  </w:style>
  <w:style w:type="paragraph" w:customStyle="1" w:styleId="Bullet3">
    <w:name w:val="Bullet 3"/>
    <w:basedOn w:val="Normal"/>
    <w:pPr>
      <w:numPr>
        <w:numId w:val="45"/>
      </w:numPr>
    </w:pPr>
  </w:style>
  <w:style w:type="paragraph" w:customStyle="1" w:styleId="Bullet4">
    <w:name w:val="Bullet 4"/>
    <w:basedOn w:val="Normal"/>
    <w:pPr>
      <w:numPr>
        <w:numId w:val="4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0D1665"/>
    <w:pPr>
      <w:tabs>
        <w:tab w:val="center" w:pos="4535"/>
        <w:tab w:val="right" w:pos="9071"/>
      </w:tabs>
      <w:spacing w:before="0"/>
    </w:pPr>
  </w:style>
  <w:style w:type="paragraph" w:customStyle="1" w:styleId="HeaderLandscape">
    <w:name w:val="HeaderLandscape"/>
    <w:basedOn w:val="Normal"/>
    <w:rsid w:val="000D1665"/>
    <w:pPr>
      <w:tabs>
        <w:tab w:val="center" w:pos="7285"/>
        <w:tab w:val="right" w:pos="14003"/>
      </w:tabs>
      <w:spacing w:before="0"/>
    </w:pPr>
  </w:style>
  <w:style w:type="paragraph" w:styleId="Footer">
    <w:name w:val="footer"/>
    <w:basedOn w:val="Normal"/>
    <w:link w:val="FooterChar"/>
    <w:uiPriority w:val="99"/>
    <w:unhideWhenUsed/>
    <w:rsid w:val="000D1665"/>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0D1665"/>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34726CCB-4477-4591-93A3-CBDA5B718E8E}"/>
</file>

<file path=customXml/itemProps3.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4.xml><?xml version="1.0" encoding="utf-8"?>
<ds:datastoreItem xmlns:ds="http://schemas.openxmlformats.org/officeDocument/2006/customXml" ds:itemID="{2B64B9A1-7B36-4C81-B720-F720080BE9AF}">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33</TotalTime>
  <Pages>14</Pages>
  <Words>4529</Words>
  <Characters>25818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30287</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51</cp:revision>
  <dcterms:created xsi:type="dcterms:W3CDTF">2024-09-12T14:20:00Z</dcterms:created>
  <dcterms:modified xsi:type="dcterms:W3CDTF">2024-11-22T09:33:00Z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