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94" w:rsidRPr="00CE407B" w:rsidRDefault="00CF1A0F" w:rsidP="00CF1A0F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DA5483A3-0ECD-4921-AE17-19C2AC121712" style="width:455.25pt;height:426pt">
            <v:imagedata r:id="rId11" o:title=""/>
          </v:shape>
        </w:pict>
      </w:r>
    </w:p>
    <w:p w:rsidR="0050796F" w:rsidRPr="00CE407B" w:rsidRDefault="0050796F">
      <w:pPr>
        <w:rPr>
          <w:noProof/>
        </w:rPr>
        <w:sectPr w:rsidR="0050796F" w:rsidRPr="00CE407B" w:rsidSect="00CF1A0F">
          <w:footerReference w:type="even" r:id="rId12"/>
          <w:footerReference w:type="defaul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50796F" w:rsidRPr="00CE407B" w:rsidRDefault="00CE407B" w:rsidP="00CE407B">
      <w:pPr>
        <w:pStyle w:val="Typedudocument"/>
        <w:rPr>
          <w:noProof/>
        </w:rPr>
      </w:pPr>
      <w:bookmarkStart w:id="0" w:name="_GoBack"/>
      <w:bookmarkEnd w:id="0"/>
      <w:r w:rsidRPr="00CE407B">
        <w:rPr>
          <w:noProof/>
        </w:rPr>
        <w:lastRenderedPageBreak/>
        <w:t>REGOLAMENT TA’ IMPLIMENTAZZJONI TAL-KUMMISSJONI (UE) .../...</w:t>
      </w:r>
    </w:p>
    <w:p w:rsidR="0050796F" w:rsidRPr="00CE407B" w:rsidRDefault="004E5F9A" w:rsidP="00CE407B">
      <w:pPr>
        <w:pStyle w:val="Datedadoption"/>
        <w:rPr>
          <w:noProof/>
        </w:rPr>
      </w:pPr>
      <w:r>
        <w:rPr>
          <w:noProof/>
        </w:rPr>
        <w:t>ta'29.11.2024</w:t>
      </w:r>
    </w:p>
    <w:p w:rsidR="0050796F" w:rsidRPr="00CE407B" w:rsidRDefault="00CE407B" w:rsidP="00CE407B">
      <w:pPr>
        <w:pStyle w:val="Titreobjet"/>
        <w:rPr>
          <w:noProof/>
        </w:rPr>
      </w:pPr>
      <w:r w:rsidRPr="00CE407B">
        <w:rPr>
          <w:noProof/>
        </w:rPr>
        <w:t>li jistabbilixxi l-istandards tekniċi ta’ implimentazzjoni għall-applikazzjoni tar-Regolament (UE) Nru 575/2013 tal-Parlament Ewropew u tal-Kunsill fir-rigward tad-divulgazzjonijiet pubbliċi mill-istituzzjonijiet tal-informazzjoni msemmija fil-Parti Tmienja, it-Titoli II u III, ta’ dak ir-Regolament u li jħassar ir-Regolament ta’ Implimentazzjoni tal-Kummissjoni (UE) 2021/637</w:t>
      </w:r>
    </w:p>
    <w:p w:rsidR="0050796F" w:rsidRPr="00CE407B" w:rsidRDefault="00CE407B" w:rsidP="00CE407B">
      <w:pPr>
        <w:pStyle w:val="IntrtEEE"/>
        <w:rPr>
          <w:noProof/>
        </w:rPr>
      </w:pPr>
      <w:r w:rsidRPr="00CE407B">
        <w:rPr>
          <w:noProof/>
        </w:rPr>
        <w:t>(Test b’rilevanza għaż-ŻEE)</w:t>
      </w:r>
    </w:p>
    <w:p w:rsidR="0050796F" w:rsidRPr="00CE407B" w:rsidRDefault="0050796F">
      <w:pPr>
        <w:pStyle w:val="Institutionquiagit"/>
        <w:rPr>
          <w:noProof/>
        </w:rPr>
      </w:pPr>
      <w:r w:rsidRPr="00CE407B">
        <w:rPr>
          <w:noProof/>
        </w:rPr>
        <w:t>IL-KUMMISSJONI EWROPEA,</w:t>
      </w:r>
    </w:p>
    <w:p w:rsidR="0050796F" w:rsidRPr="00CE407B" w:rsidRDefault="0050796F">
      <w:pPr>
        <w:rPr>
          <w:noProof/>
        </w:rPr>
      </w:pPr>
      <w:r w:rsidRPr="00CE407B">
        <w:rPr>
          <w:noProof/>
          <w:color w:val="000000"/>
        </w:rPr>
        <w:t>Wara li kkunsidrat it-Trattat dwar il-Funzjonament tal-Unjoni Ewropea</w:t>
      </w:r>
      <w:r w:rsidRPr="00CE407B">
        <w:rPr>
          <w:noProof/>
        </w:rPr>
        <w:t>,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Wara li kkunsidrat ir-Regolament (UE) Nru 575/2013 tal-Parlament Ewropew u tal-Kunsill tas-</w:t>
      </w:r>
      <w:r w:rsidRPr="00CE407B">
        <w:rPr>
          <w:noProof/>
          <w:color w:val="000000"/>
        </w:rPr>
        <w:t>26 ta’ Ġunju 2013</w:t>
      </w:r>
      <w:r w:rsidRPr="00CE407B">
        <w:rPr>
          <w:noProof/>
        </w:rPr>
        <w:t xml:space="preserve"> dwar ir-rekwiżiti prudenzjali għall-istituzzjonijiet ta’ kreditu u li jemenda r-Regolament (UE) Nru 648/2012</w:t>
      </w:r>
      <w:r w:rsidRPr="00CE407B">
        <w:rPr>
          <w:rStyle w:val="FootnoteReference"/>
          <w:noProof/>
        </w:rPr>
        <w:footnoteReference w:id="2"/>
      </w:r>
      <w:r w:rsidRPr="00CE407B">
        <w:rPr>
          <w:noProof/>
        </w:rPr>
        <w:t xml:space="preserve"> u b’mod partikolari l-Artikolu 434a, il-ħames paragrafu, tiegħu,</w:t>
      </w:r>
    </w:p>
    <w:p w:rsidR="0050796F" w:rsidRPr="00CE407B" w:rsidRDefault="0050796F">
      <w:pPr>
        <w:rPr>
          <w:noProof/>
        </w:rPr>
      </w:pPr>
      <w:r w:rsidRPr="00CE407B">
        <w:rPr>
          <w:noProof/>
        </w:rPr>
        <w:t>Billi:</w:t>
      </w:r>
    </w:p>
    <w:p w:rsidR="00021AB3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(1)</w:t>
      </w:r>
      <w:r w:rsidRPr="00860506">
        <w:rPr>
          <w:noProof/>
        </w:rPr>
        <w:tab/>
      </w:r>
      <w:r w:rsidR="00021AB3" w:rsidRPr="00CE407B">
        <w:rPr>
          <w:noProof/>
        </w:rPr>
        <w:t>Ir-Regolament ta’ Implimentazzjoni tal-Kummissjoni (UE) 2021/637</w:t>
      </w:r>
      <w:r w:rsidR="00021AB3" w:rsidRPr="00CE407B">
        <w:rPr>
          <w:rStyle w:val="FootnoteReference"/>
          <w:noProof/>
        </w:rPr>
        <w:footnoteReference w:id="3"/>
      </w:r>
      <w:r w:rsidR="00021AB3" w:rsidRPr="00CE407B">
        <w:rPr>
          <w:noProof/>
        </w:rPr>
        <w:t xml:space="preserve"> stabbilixxa formati uniformi ta’ divulgazzjoni biex tiġi żgurata l-applikazzjoni uniformi tar-Regolament (UE) Nru 575/2013. Ir-Regolament (UE) 2024/1623 tal-Parlament Ewropew u tal-Kunsill </w:t>
      </w:r>
      <w:r w:rsidR="00021AB3" w:rsidRPr="00CE407B">
        <w:rPr>
          <w:rStyle w:val="FootnoteReference"/>
          <w:noProof/>
        </w:rPr>
        <w:footnoteReference w:id="4"/>
      </w:r>
      <w:r w:rsidR="00021AB3" w:rsidRPr="00CE407B">
        <w:rPr>
          <w:noProof/>
        </w:rPr>
        <w:t xml:space="preserve"> emenda r-Regolament (UE) Nru 575/2013 biex f’dak ir-Regolament jinkorpora l-istandards internazzjonali tat-tielet Qafas Regolatorju Internazzjonali għall-banek (li jissejjaħ “Basel III”) tal-Kumitat ta’ Basel dwar is-Superviżjoni Bankarja. Dawk l-istandards internazzjonali fihom standards ta’ divulgazzjoni prudenzjali biex tittejjeb it-trasparenza u l-konsistenza fil-qasam tar-rekwiżiti prudenzjali għall-istituzzjonijiet ta’ kreditu. Għaldaqstant huwa neċessarju li jiġu emendati r-regoli dwar il-formati ta’ divulgazzjoni uniformi sabiex dawk il-bidliet jiġu riflessi fl-ispeċifikazzjonijiet rigward l-obbligi ta’ divulgazzjoni. </w:t>
      </w:r>
    </w:p>
    <w:p w:rsidR="000B02C7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(2)</w:t>
      </w:r>
      <w:r w:rsidRPr="00860506">
        <w:rPr>
          <w:noProof/>
        </w:rPr>
        <w:tab/>
      </w:r>
      <w:r w:rsidR="00374932" w:rsidRPr="00CE407B">
        <w:rPr>
          <w:noProof/>
        </w:rPr>
        <w:t xml:space="preserve">Id-divulgazzjoni ta’ informazzjoni mill-istituzzjonijiet dwar il-metriċi regolatorji ewlenin tagħhom jenħtieġ li tinkludi d-divulgazzjoni tal-kapital disponibbli ta’ istituzzjoni, l-assi ponderati għar-riskju tagħha, l-ingranaġġ tagħha, kif ukoll l-aktar metriċi ta’ likwidità rilevanti. </w:t>
      </w:r>
    </w:p>
    <w:p w:rsidR="009D26D8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(3)</w:t>
      </w:r>
      <w:r w:rsidRPr="00860506">
        <w:rPr>
          <w:noProof/>
        </w:rPr>
        <w:tab/>
      </w:r>
      <w:r w:rsidR="0021307C" w:rsidRPr="00CE407B">
        <w:rPr>
          <w:noProof/>
        </w:rPr>
        <w:t xml:space="preserve">L-istituzzjonijiet, sabiex ikunu jistgħu jassorbu t-telf f’sitwazzjoni ta’ negozju avvjat jew negozju magħluq, għandhom bżonn il-fondi proprji fi kwantità u kwalità suffiċjenti, kif mitlub mill-Artikolu 92 tar-Regolament (UE) Nru 575/2013. Jenħtieġ li l-istituzzjonijiet jiddivulgaw l-informazzjoni dwar il-kompożizzjoni, il-kwantità u l-kwalità tal-fondi proprji, sabiex il-partijiet ikkonċernati jkunu jistgħu jivvalutaw il-kapaċità tal-assorbiment tat-telf tal-banek. </w:t>
      </w:r>
    </w:p>
    <w:p w:rsidR="008E4ACA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(4)</w:t>
      </w:r>
      <w:r w:rsidRPr="00860506">
        <w:rPr>
          <w:noProof/>
        </w:rPr>
        <w:tab/>
      </w:r>
      <w:r w:rsidR="001C319D" w:rsidRPr="00CE407B">
        <w:rPr>
          <w:noProof/>
        </w:rPr>
        <w:t>Id-divulgazzjoni dwar il-konformità mar-rekwiżit għal riżerva ta’ kapital kontroċiklika jenħtieġ li tirrifletti l-fatt li r-riżerva ta’ kapital kontroċiklika msemmija fil-Kapitolu 4 tat-Titolu VII tad-Direttiva 2013/36/UE tal-Parlament Ewropew u tal-Kunsill</w:t>
      </w:r>
      <w:r w:rsidR="008B3F27" w:rsidRPr="00CE407B">
        <w:rPr>
          <w:rStyle w:val="FootnoteReference"/>
          <w:noProof/>
          <w:color w:val="000000"/>
        </w:rPr>
        <w:footnoteReference w:id="5"/>
      </w:r>
      <w:r w:rsidR="001C319D" w:rsidRPr="00CE407B">
        <w:rPr>
          <w:noProof/>
        </w:rPr>
        <w:t xml:space="preserve"> għandha l-għan li taċċerta li r-rekwiżiti ta’ kapital tas-settur bankarju jqisu l-ambjent makrofinanzjarju li fih joperaw l-istituzzjonijiet ta’ kreditu. </w:t>
      </w:r>
    </w:p>
    <w:p w:rsidR="005246AE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(5)</w:t>
      </w:r>
      <w:r w:rsidRPr="00860506">
        <w:rPr>
          <w:noProof/>
        </w:rPr>
        <w:tab/>
      </w:r>
      <w:r w:rsidR="00230BAF" w:rsidRPr="00CE407B">
        <w:rPr>
          <w:noProof/>
        </w:rPr>
        <w:t>Huwa l-kruċjali li s-suq ikollu aċċess għall-informazzjoni dwar jekk istituzzjoni jenħtieġx li tiġi kklassifikata taħt l-</w:t>
      </w:r>
      <w:r w:rsidR="00230BAF" w:rsidRPr="00CE407B">
        <w:rPr>
          <w:noProof/>
          <w:shd w:val="clear" w:color="auto" w:fill="FFFFFF"/>
        </w:rPr>
        <w:t xml:space="preserve">istituzzjonijiet globali sistemikament importanti (G-SIIs, global systemically important institutions). Għal dik ir-raġuni, jenħtieġ li l-istituzzjonijiet jiddivulgaw informazzjoni dwar jekk l-indikaturi ta’ sinifikat imsemmija fl-Artikolu 131 tad-Direttiva 2013/36/UE humiex issodisfati jew le. </w:t>
      </w:r>
    </w:p>
    <w:p w:rsidR="00AD2682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(6)</w:t>
      </w:r>
      <w:r w:rsidRPr="00860506">
        <w:rPr>
          <w:noProof/>
        </w:rPr>
        <w:tab/>
      </w:r>
      <w:r w:rsidR="001C319D" w:rsidRPr="00CE407B">
        <w:rPr>
          <w:noProof/>
        </w:rPr>
        <w:t xml:space="preserve">Jenħtieġ li jiġu stabbiliti mudelli uniformi biex jiġi aċċertat li l-istituzzjonijiet jiddivulgaw informazzjoni dwar il-konformità tagħhom mar-rekwiżiti ta’ likwidità, inklużi l-proporzjon tal-kopertura tal-likwidità u l-proporzjon ta’ ffinanzjar stabbli nett, b’mod uniformi u paragunabbli. </w:t>
      </w:r>
    </w:p>
    <w:p w:rsidR="000A5D79" w:rsidRPr="00CE407B" w:rsidRDefault="00860506" w:rsidP="00860506">
      <w:pPr>
        <w:pStyle w:val="ManualConsidrant"/>
        <w:rPr>
          <w:noProof/>
          <w:szCs w:val="24"/>
        </w:rPr>
      </w:pPr>
      <w:r w:rsidRPr="00860506">
        <w:rPr>
          <w:noProof/>
        </w:rPr>
        <w:t>(7)</w:t>
      </w:r>
      <w:r w:rsidRPr="00860506">
        <w:rPr>
          <w:noProof/>
        </w:rPr>
        <w:tab/>
      </w:r>
      <w:r w:rsidR="00E07BF3" w:rsidRPr="00CE407B">
        <w:rPr>
          <w:noProof/>
        </w:rPr>
        <w:t>Huwa neċessarju li jiġu aċċertati l-koerenza u l-konsistenza bejn l-obbligi ta’ rappurtar stipulati fir-Regolament (UE) 575/2013 u leġiżlazzjoni oħra tal-Unjoni fil-qasam tar-riskji ESG, u b’mod partikolari r-Regolament (UE) 2020/852 tal-Parlament Ewropew u tal-Kunsill</w:t>
      </w:r>
      <w:r w:rsidR="008E7046" w:rsidRPr="00CE407B">
        <w:rPr>
          <w:rStyle w:val="FootnoteReference"/>
          <w:noProof/>
          <w:szCs w:val="24"/>
        </w:rPr>
        <w:footnoteReference w:id="6"/>
      </w:r>
      <w:r w:rsidR="00E07BF3" w:rsidRPr="00CE407B">
        <w:rPr>
          <w:noProof/>
        </w:rPr>
        <w:t>. Ir-regoli dwar id-divulgazzjoni tar-riskji ESG jenħtieġ għalhekk iqisu l-kriterji, il-klassifikazzjonijiet u d-definizzjonijiet stipulati fl-Artikoli 2 u 3 tar-Regolament 2020/852. B’mod partikolari, dawk ir-regoli jenħtieġ li jqisu l-kriterji għall-identifikazzjoni u l-klassifikazzjoni ta’ attivitajiet ekonomiċi ambjentalment sostenibbli, kif stipulat fir-Regolament (UE) 2020/852 u fir-Regolament Delegat tal-Kummissjoni (UE) 2020/1818</w:t>
      </w:r>
      <w:r w:rsidR="000A5D79" w:rsidRPr="00CE407B">
        <w:rPr>
          <w:rStyle w:val="FootnoteReference"/>
          <w:noProof/>
          <w:szCs w:val="24"/>
        </w:rPr>
        <w:footnoteReference w:id="7"/>
      </w:r>
      <w:r w:rsidR="00E07BF3" w:rsidRPr="00CE407B">
        <w:rPr>
          <w:noProof/>
        </w:rPr>
        <w:t>. Għall-istess raġuni, meta tiġi ddivulgata informazzjoni dwar il-prestazzjoni tal-enerġija tal-portafoll tal-proprjetà immobbli tagħhom, jenħtieġ li l-istituzzjonijiet jipprovdu dik l-informazzjoni fl-għamla ta’ ċertifikat dwar ir-rendiment fl-użu tal-enerġija kif definit fl-Artikolu 2, il-punt 12 tad-Direttiva 2010/31/UE tal-Parlament Ewropew u tal-Kunsill</w:t>
      </w:r>
      <w:r w:rsidR="000A5D79" w:rsidRPr="00CE407B">
        <w:rPr>
          <w:rStyle w:val="FootnoteReference"/>
          <w:noProof/>
          <w:szCs w:val="24"/>
        </w:rPr>
        <w:footnoteReference w:id="8"/>
      </w:r>
      <w:r w:rsidR="00E07BF3" w:rsidRPr="00CE407B">
        <w:rPr>
          <w:noProof/>
        </w:rPr>
        <w:t xml:space="preserve">. </w:t>
      </w:r>
    </w:p>
    <w:p w:rsidR="000A5D79" w:rsidRPr="00CE407B" w:rsidRDefault="00860506" w:rsidP="00860506">
      <w:pPr>
        <w:pStyle w:val="ManualConsidrant"/>
        <w:rPr>
          <w:noProof/>
          <w:szCs w:val="24"/>
        </w:rPr>
      </w:pPr>
      <w:r w:rsidRPr="00860506">
        <w:rPr>
          <w:noProof/>
        </w:rPr>
        <w:t>(8)</w:t>
      </w:r>
      <w:r w:rsidRPr="00860506">
        <w:rPr>
          <w:noProof/>
        </w:rPr>
        <w:tab/>
      </w:r>
      <w:r w:rsidR="000A5D79" w:rsidRPr="00CE407B">
        <w:rPr>
          <w:noProof/>
        </w:rPr>
        <w:t>L-Artikoli 19a u 29a tad-Direttiva 2013/34/UE tal-Parlament Ewropew u tal-Kunsill</w:t>
      </w:r>
      <w:r w:rsidR="000A5D79" w:rsidRPr="00CE407B">
        <w:rPr>
          <w:rStyle w:val="FootnoteReference"/>
          <w:noProof/>
          <w:szCs w:val="24"/>
        </w:rPr>
        <w:footnoteReference w:id="9"/>
      </w:r>
      <w:r w:rsidR="000A5D79" w:rsidRPr="00CE407B">
        <w:rPr>
          <w:noProof/>
        </w:rPr>
        <w:t xml:space="preserve"> jirrikjedu li ċerti impriżi kbar li huma entitajiet ta’ interess pubbliku, jew entitajiet ta’ interess pubbliku li huma impriżi prinċipali ta’ grupp kbir, rispettivament, jinkludu fir-rapport ta’ ġestjoni tagħhom jew fir-rapport ta’ ġestjoni kkonsolidat tagħhom informazzjoni dwar l-impatt tal-attività tagħhom fuq kwistjonijiet ambjentali, soċjali u tal-impjegati, ir-rispett għad-drittijiet tal-bniedem, kwistjonijiet kontra l-korruzzjoni u t-tixħim. Madankollu, dan l-obbligu ma japplikax għal impriżi oħra. B’riżultat ta’ dan, l-impriżi li mhumiex soġġetti għall-Artikoli 19a u 29a tad-Direttiva 2013/34/UE mhumiex meħtieġa jiddivulgaw tali informazzjoni u jistgħu ma jkunux jistgħu jipprovdu tali informazzjoni lill-istituzzjonijiet. Dawk l-impriżi li huma kontropartijiet għal istituzzjonijiet jistgħu għalhekk ikunu mistennija biss li jipprovdu dik l-informazzjoni u </w:t>
      </w:r>
      <w:r w:rsidR="000A5D79" w:rsidRPr="00CE407B">
        <w:rPr>
          <w:i/>
          <w:noProof/>
        </w:rPr>
        <w:t>data</w:t>
      </w:r>
      <w:r w:rsidR="000A5D79" w:rsidRPr="00CE407B">
        <w:rPr>
          <w:noProof/>
        </w:rPr>
        <w:t xml:space="preserve"> fuq bażi volontarja. </w:t>
      </w:r>
    </w:p>
    <w:p w:rsidR="003A1487" w:rsidRPr="00CE407B" w:rsidRDefault="00860506" w:rsidP="00860506">
      <w:pPr>
        <w:pStyle w:val="ManualConsidrant"/>
        <w:rPr>
          <w:noProof/>
          <w:color w:val="000000"/>
          <w:szCs w:val="24"/>
        </w:rPr>
      </w:pPr>
      <w:r w:rsidRPr="00860506">
        <w:rPr>
          <w:noProof/>
        </w:rPr>
        <w:t>(9)</w:t>
      </w:r>
      <w:r w:rsidRPr="00860506">
        <w:rPr>
          <w:noProof/>
        </w:rPr>
        <w:tab/>
      </w:r>
      <w:r w:rsidR="003A1487" w:rsidRPr="00CE407B">
        <w:rPr>
          <w:rStyle w:val="cf01"/>
          <w:rFonts w:ascii="Times New Roman" w:hAnsi="Times New Roman"/>
          <w:noProof/>
          <w:sz w:val="24"/>
        </w:rPr>
        <w:t xml:space="preserve">Sabiex jimplimenta l-istandards ta’ Basel III, </w:t>
      </w:r>
      <w:r w:rsidR="003A1487" w:rsidRPr="00CE407B">
        <w:rPr>
          <w:rStyle w:val="cf11"/>
          <w:rFonts w:ascii="Times New Roman" w:hAnsi="Times New Roman"/>
          <w:noProof/>
          <w:sz w:val="24"/>
        </w:rPr>
        <w:t>ir-Regolament (UE) 2024/1623 introduċa fl-Artikolu 92(3) tar-Regolament (UE) Nru 575/2013 limitu iktar baxx għar-rekwiżiti ta’ kapital ibbażat fuq ir-riskju (“il-limitu tal-output”) li huwa ugwali għal perċentwal tar-rekwiżiti ta’ kapital li kieku kienu japplikaw kieku ntużaw l-approċċi standardizzati. Għalhekk huwa xieraq li jiġu riflessi l-bidliet fil-mudelli ta’ divulgazzjoni rilevanti. Barra minn hekk, jenħtieġ li jiddaħħlu żewġ mudelli ġodda ta’ divulgazzjoni sabiex jiġi pprovdut paragun bejn il-proporzjonijiet ta’ kapital ibbażat fuq ir-riskju li jinħadmu skont l-approċċi standardizzati u mmudellati internament fil-livell tar-riskju u fil-klassijiet tal-iskoperturi għar-riskju ta’ kreditu.</w:t>
      </w:r>
      <w:r w:rsidR="003A1487" w:rsidRPr="00CE407B">
        <w:rPr>
          <w:noProof/>
          <w:color w:val="000000"/>
        </w:rPr>
        <w:t xml:space="preserve"> </w:t>
      </w:r>
    </w:p>
    <w:p w:rsidR="000A5D79" w:rsidRPr="00CE407B" w:rsidRDefault="00860506" w:rsidP="00860506">
      <w:pPr>
        <w:pStyle w:val="ManualConsidrant"/>
        <w:rPr>
          <w:noProof/>
          <w:color w:val="000000"/>
        </w:rPr>
      </w:pPr>
      <w:r w:rsidRPr="00860506">
        <w:rPr>
          <w:noProof/>
        </w:rPr>
        <w:t>(10)</w:t>
      </w:r>
      <w:r w:rsidRPr="00860506">
        <w:rPr>
          <w:noProof/>
        </w:rPr>
        <w:tab/>
      </w:r>
      <w:r w:rsidR="000A5D79" w:rsidRPr="00CE407B">
        <w:rPr>
          <w:noProof/>
          <w:color w:val="000000"/>
        </w:rPr>
        <w:t>B’rabta mal-użu tal-</w:t>
      </w:r>
      <w:r w:rsidR="000A5D79" w:rsidRPr="00CE407B">
        <w:rPr>
          <w:noProof/>
        </w:rPr>
        <w:t>Approċċ standardizzat (“AS”) għar-riskju ta’ kreditu</w:t>
      </w:r>
      <w:r w:rsidR="000A5D79" w:rsidRPr="00CE407B">
        <w:rPr>
          <w:noProof/>
          <w:color w:val="000000"/>
        </w:rPr>
        <w:t>, ir-Regolament (UE) 2024/1623 introduċa fil-Kapitolu 2 tat-Titolu II tar-Regolament (UE) Nru 575/2013</w:t>
      </w:r>
      <w:r w:rsidR="000A5D79" w:rsidRPr="00CE407B">
        <w:rPr>
          <w:noProof/>
        </w:rPr>
        <w:t xml:space="preserve"> trattament aktar granulari tal-ponderazzjoni tar-riskju ta’ skoperturi differenti, inkluż għall-iskoperturi għal istituzzjonijiet, skoperturi għal korporattivi, skoperturi fuq self speċjalizzat, skoperturi fil-livell tal-konsumatur, skoperturi garantiti permezz ta’ proprjetà immobbli, skoperturi ta’ dejn subordinat, skoperturi ta’ ekwità u skoperturi inadempjenti. Huwa neċessarju li dawk il-bidliet jiġu riflessi fil-mudelli ta’ divulgazzjoni, u li n-numerazzjoni tar-ringieli f’dawk il-mudelli ta’ divulgazzjoni tiġi allinjata ma’ dik użata fil-mudelli ta’ divulgazzjoni korrispondenti tal-BCBS. </w:t>
      </w:r>
    </w:p>
    <w:p w:rsidR="000A5D79" w:rsidRPr="00CE407B" w:rsidRDefault="00860506" w:rsidP="00860506">
      <w:pPr>
        <w:pStyle w:val="ManualConsidrant"/>
        <w:rPr>
          <w:noProof/>
          <w:color w:val="000000"/>
        </w:rPr>
      </w:pPr>
      <w:r w:rsidRPr="00860506">
        <w:rPr>
          <w:noProof/>
        </w:rPr>
        <w:t>(11)</w:t>
      </w:r>
      <w:r w:rsidRPr="00860506">
        <w:rPr>
          <w:noProof/>
        </w:rPr>
        <w:tab/>
      </w:r>
      <w:r w:rsidR="009E6EC8" w:rsidRPr="00CE407B">
        <w:rPr>
          <w:noProof/>
        </w:rPr>
        <w:t xml:space="preserve">Ir-Regolament (UE) 2024/1623 introduċa fil-Kapitolu 3 tat-Titolu II tar-Regolament (UE) Nru 575/2013, b’rabta mal-użu tal-Approċċ ta’ Klassifikazzjonijiet Interni (“IRB”, Internal Ratings Approach) għall-iskoperturi għar-riskju ta’ kreditu, qiegħed limitu fuq il-klassijiet tal-iskoperturi li għalihom jista’ jiġi applikat l-approċċ IRB avvanzat (A-IRB, advanced IRB) sabiex jiġu kkalkolati r-rekwiżiti ta’ fondi proprji għar-riskju ta’ kreditu. Speċifikament għall-iskoperturi għal istituzzjonijiet, issa jista’ jintuża biss l-approċċ IRB ta’ fondazzjoni (F-IRB, foundation IRB), u għall-iskoperturi ta’ ekwità, huwa permess biss l-użu tal-approċċ standardizzat, ħlief għal perjodu tranżitorju. Barra minn hekk, inħolqu klassijiet tal-iskoperturi ġodda għall-“Gvernijiet reġjonali jew awtoritajiet lokali” u għall-“Entitajiet tas-settur pubbliku” sabiex jiġi aċċertat trattament konsistenti ta’ dawk l-iskoperturi u sabiex tiġi evitata varjabbiltà mhux intenzjonata fir-rekwiżiti ta’ fondi proprji relatati. Jenħtieġ li dawk l-emendi jiġu riflessi fil-mudelli ta’ divulgazzjoni dwar l-użu tal-approċċ IRB. Huwa wkoll neċessarju li tiġi allinjata l-istruttura tal-effett tal-mudelli fuq l-RWEAs tad-derivattivi ta’ kreditu użati bħala tekniki ta’ mitigazzjoni tar-riskju ta’ kreditu (CRM, credit risk mitigation techniques) man-numerazzjoni tar-ringieli użata fil-mudell korrispondenti ta’ divulgazzjoni tal-BCBS. </w:t>
      </w:r>
    </w:p>
    <w:p w:rsidR="000A5D79" w:rsidRPr="00CE407B" w:rsidRDefault="00860506" w:rsidP="00860506">
      <w:pPr>
        <w:pStyle w:val="ManualConsidrant"/>
        <w:rPr>
          <w:noProof/>
          <w:sz w:val="22"/>
        </w:rPr>
      </w:pPr>
      <w:r w:rsidRPr="00860506">
        <w:rPr>
          <w:noProof/>
        </w:rPr>
        <w:t>(12)</w:t>
      </w:r>
      <w:r w:rsidRPr="00860506">
        <w:rPr>
          <w:noProof/>
        </w:rPr>
        <w:tab/>
      </w:r>
      <w:r w:rsidR="00E365AC" w:rsidRPr="00CE407B">
        <w:rPr>
          <w:noProof/>
          <w:color w:val="000000"/>
        </w:rPr>
        <w:t>Ir-Regolament (UE) 2024/1623 introduċa fit-Titolu IV tar-</w:t>
      </w:r>
      <w:r w:rsidR="00E365AC" w:rsidRPr="00CE407B">
        <w:rPr>
          <w:noProof/>
        </w:rPr>
        <w:t xml:space="preserve">Regolament (UE) Nru 575/2013, qafas ġdid għall-ikkalkular tar-rekwiżiti ta’ fondi proprji għar-riskju tas-suq, abbażi tar-rieżami fundamentali tal-portafoll tan-negozjar (FRTB, fundamental review of the trading book) tal-BCBS. Dik l-emenda kienet neċessarja sabiex tindirizza n-nuqqasijiet identifikati fil-qafas attwali tar-rekwiżiti ta’ kapital għar-riskju tas-suq għall-pożizzjonijiet fil-portafoll tan-negozjar. F’konformità mal-qafas il-ġdid, l-istituzzjonijiet għandhom l-obbligu li japplikaw approċċ standardizzat simplifikat, standardizzat alternattiv jew ta’ mudell intern alternattiv sabiex jikkalkulaw ir-rekwiżiti ta’ fondi proprji għar-riskju tas-suq. Jenħtieġ li dawk l-emendi jiġu riflessi fil-mudelli ta’ divulgazzjoni permezz tal-introduzzjoni ta’ sett komprensiv ta’ tabelli u mudelli ta’ divulgazzjoni. Dak is-sett ġdid ta’ tabelli u mudelli ta’ divulgazzjoni jenħtieġ li jkun effettiv meta l-qafas regolatorju għar-riskju tas-suq ibbażat fuq l-istandards FRTB ta’ Basel jibda japplika fl-Unjoni. Sadanittant, jenħtieġ li r-rekwiżiti ta’ divulgazzjoni kif japplikaw bħalissa, jibqgħu japplikaw. Sabiex jifhmu b’mod komprensiv l-użu ta’ dak l-approċċ il-ġdid, jenħtieġ li l-istituzzjonijiet li jużaw l-approċċ ta’ mudell intern alternattiv, fl-ewwel data tal-applikazzjoni tal-qafas il-ġdid tad-divulgazzjoni, jiddivulgaw l-informazzjoni kwantitattiva flimkien mal-informazzjoni kwalitattiva. </w:t>
      </w:r>
    </w:p>
    <w:p w:rsidR="000A5D79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(13)</w:t>
      </w:r>
      <w:r w:rsidRPr="00860506">
        <w:rPr>
          <w:noProof/>
        </w:rPr>
        <w:tab/>
      </w:r>
      <w:r w:rsidR="00990CED" w:rsidRPr="00CE407B">
        <w:rPr>
          <w:noProof/>
        </w:rPr>
        <w:t>Jenħtieġ li jiġu stipulati formati ta’ divulgazzjoni uniformi biex tiġi aċċertata divulgazzjoni uniformi u paragunabbli dwar ir-riskji tal-aġġustamenti tal-valwazzjoni tal-kreditu (“CVA”, credit valuation adjustments). Għalhekk huwa meħtieġ li jiġu introdotti mudelli u tabelli ġodda ta’ divulgazzjoni b’informazzjoni kwantitattiva u kwalitattiva dwar ir-riskju ta’ CVA għal dak l-iskop. Jenħtieġ li dawk il-mudelli jqisu li l-istituzzjonijiet soġġetti għar-rekwiżiti ta’ fondi proprji għas-CVA jistgħu japplikaw l-approċċ standardizzat, bażiku jew simplifikat jew taħlita ta’ dawk l-approċċi u li r-riskju tas-CVA jenħtieġ li jaqbad kemm ir-riskju tal-firxiet tal-kreditu ta’ kontroparti ta’ istituzzjoni kif ukoll ir-riskju tas-suq tal-portafoll tat-tranżazzjonijiet innegozjati mill-istituzzjoni ma’ dik il-kontroparti.</w:t>
      </w:r>
    </w:p>
    <w:p w:rsidR="000A5D79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(14)</w:t>
      </w:r>
      <w:r w:rsidRPr="00860506">
        <w:rPr>
          <w:noProof/>
        </w:rPr>
        <w:tab/>
      </w:r>
      <w:r w:rsidR="000A5D79" w:rsidRPr="00CE407B">
        <w:rPr>
          <w:noProof/>
        </w:rPr>
        <w:t>Ir-Regolament (UE) 2024/1623 introduċa fil-Kapitolu 1 tat-Titolu III tar-</w:t>
      </w:r>
      <w:bookmarkStart w:id="1" w:name="_Hlk174954474"/>
      <w:r w:rsidR="000A5D79" w:rsidRPr="00CE407B">
        <w:rPr>
          <w:noProof/>
        </w:rPr>
        <w:t>Regolament (UE) Nru 575/2013</w:t>
      </w:r>
      <w:bookmarkEnd w:id="1"/>
      <w:r w:rsidR="000A5D79" w:rsidRPr="00CE407B">
        <w:rPr>
          <w:noProof/>
        </w:rPr>
        <w:t xml:space="preserve"> approċċ uniku ġdid mhux ibbażat fuq mudelli għall-kalkolu tar-rekwiżiti ta’ fondi proprji għar-riskju operazzjonali sabiex jiġi indirizzat in-nuqqas ta’ sensittività għar-riskju u ta’ komparabilità tal-approċċi eżistenti. B’segwitu għal diskrezzjoni inkluża fl-istandards ta’ Basel III, ir-rekwiżiti minimi ta’ fondi proprji tal-Unjoni huma bbażati unikament fuq il-kalkolu tal-komponent tal-indikatur tan-negozju (BIC, Business Indicator Component), filwaqt li r-rekords tat-telf jitqiesu għall-finijiet tad-divulgazzjoni biss. Jenħtieġ li dawk l-emendi jiġu riflessi fil-mudelli tad-divulgazzjoni, </w:t>
      </w:r>
      <w:r w:rsidR="000A5D79" w:rsidRPr="00CE407B">
        <w:rPr>
          <w:i/>
          <w:noProof/>
        </w:rPr>
        <w:t>inter alia</w:t>
      </w:r>
      <w:r w:rsidR="000A5D79" w:rsidRPr="00CE407B">
        <w:rPr>
          <w:noProof/>
        </w:rPr>
        <w:t xml:space="preserve"> billi jiġu stipulati mudelli ġodda biex tingħata informazzjoni dwar it-telf operazzjonali annwali mġarrab matul l-10 snin li għaddew, il-kalkolu tal-indikatur, komponenti u subkomponenti tan-negozju, u r-rekwiżiti ta’ fondi proprji relatati u l-ammonti tal-iskoperturi għar-riskju.</w:t>
      </w:r>
    </w:p>
    <w:p w:rsidR="00A81627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(15)</w:t>
      </w:r>
      <w:r w:rsidRPr="00860506">
        <w:rPr>
          <w:noProof/>
        </w:rPr>
        <w:tab/>
      </w:r>
      <w:r w:rsidR="000A5D79" w:rsidRPr="00CE407B">
        <w:rPr>
          <w:noProof/>
        </w:rPr>
        <w:t>L-Artikolu 501d(2) tar-Regolament (UE) Nru 575/2013 jippreskrivi kif l-istituzzjonijiet għandhom l-obbligu li jikkalkulaw ir-rekwiżiti ta’ fondi proprji tagħhom għall-iskoperturi tal-kriptoassi sad-data tal-applikazzjoni tal-att leġiżlattiv imsemmi fl-Artikolu 501d(1) ta’ dak ir-Regolament. Għaldaqstant huwa neċessarju li jiġi stabbilit kif l-istituzzjonijiet se jkollhom l-obbligu li jiddivulgaw l-iskoperturi tal-kriptoassi tagħhom  matul dak il-perjodu tranżitorju.</w:t>
      </w:r>
    </w:p>
    <w:p w:rsidR="0072766F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(16)</w:t>
      </w:r>
      <w:r w:rsidRPr="00860506">
        <w:rPr>
          <w:noProof/>
        </w:rPr>
        <w:tab/>
      </w:r>
      <w:r w:rsidR="0072766F" w:rsidRPr="00CE407B">
        <w:rPr>
          <w:noProof/>
        </w:rPr>
        <w:t xml:space="preserve">Ir-Regolament (UE) 2024/1623 emenda l-Artikolu 434a(1) tar-Regolament (UE) Nru 575/2013 u introduċa rekwiżit biex l-EBA tiżviluppa soluzzjonijiet tal-IT, inklużi </w:t>
      </w:r>
      <w:r w:rsidR="0072766F" w:rsidRPr="00CE407B">
        <w:rPr>
          <w:noProof/>
          <w:color w:val="000000"/>
        </w:rPr>
        <w:t>struzzjonijiet</w:t>
      </w:r>
      <w:r w:rsidR="0072766F" w:rsidRPr="00CE407B">
        <w:rPr>
          <w:noProof/>
        </w:rPr>
        <w:t>, li jintużaw mill-istituzzjonijiet għad-divulgazzjonijiet mitluba skont it-Titoli II u III ta’ dak ir-Regolament. Bl-istess mod, il-mudelli tad-divulgazzjoni jenħtieġ li jindikaw b’biżżejjed ċarezza l-punti tad-</w:t>
      </w:r>
      <w:r w:rsidR="0072766F" w:rsidRPr="00CE407B">
        <w:rPr>
          <w:i/>
          <w:noProof/>
        </w:rPr>
        <w:t>data</w:t>
      </w:r>
      <w:r w:rsidR="0072766F" w:rsidRPr="00CE407B">
        <w:rPr>
          <w:noProof/>
        </w:rPr>
        <w:t xml:space="preserve"> u l-informazzjoni li l-istituzzjonijiet għandhom l-obbligu li jiddivulgaw sabiex jiġi aċċertat li l-utenti jkollhom aċċess għal biżżejjed informazzjoni komprensiva u komparattiva u li tinżamm il-konsistenza mal-istandards internazzjonali dwar id-divulgazzjonijiet. Sabiex l-EBA tkun tista’ tiżviluppa soluzzjonijiet tal-IT adattati, dawk il-formati uniformi tad-divulgazzjoni jenħtieġ li ma jkunux vinkolanti fir-rigward tal-istruttura tagħhom u r-rappreżentazzjoni tagħhom. B’mod partikolari, jenħtieġ li l-EBA tkun tista’ tabbanduna r-rappreżentazzjoni grafika u l-istruttura tabulari tal-mudelli tad-divulgazzjoni dment li</w:t>
      </w:r>
      <w:r w:rsidR="0072766F" w:rsidRPr="00CE407B">
        <w:rPr>
          <w:noProof/>
          <w:color w:val="000000"/>
        </w:rPr>
        <w:t xml:space="preserve"> l-informazzjoni u l-punti tad-</w:t>
      </w:r>
      <w:r w:rsidR="0072766F" w:rsidRPr="00CE407B">
        <w:rPr>
          <w:i/>
          <w:iCs/>
          <w:noProof/>
          <w:color w:val="000000"/>
        </w:rPr>
        <w:t>data</w:t>
      </w:r>
      <w:r w:rsidR="0072766F" w:rsidRPr="00CE407B">
        <w:rPr>
          <w:noProof/>
          <w:color w:val="000000"/>
        </w:rPr>
        <w:t xml:space="preserve"> kollha meħtieġa jkunu inklużi fis-soluzzjoni tal-IT.</w:t>
      </w:r>
    </w:p>
    <w:p w:rsidR="005F4989" w:rsidRPr="00CE407B" w:rsidRDefault="00860506" w:rsidP="00860506">
      <w:pPr>
        <w:pStyle w:val="ManualConsidrant"/>
        <w:rPr>
          <w:noProof/>
          <w:szCs w:val="24"/>
        </w:rPr>
      </w:pPr>
      <w:r w:rsidRPr="00860506">
        <w:rPr>
          <w:noProof/>
        </w:rPr>
        <w:t>(17)</w:t>
      </w:r>
      <w:r w:rsidRPr="00860506">
        <w:rPr>
          <w:noProof/>
        </w:rPr>
        <w:tab/>
      </w:r>
      <w:r w:rsidR="005F4989" w:rsidRPr="00CE407B">
        <w:rPr>
          <w:noProof/>
        </w:rPr>
        <w:t>Sabiex l-istituzzjonijiet jingħataw sett integrat u komprensiv ta’ formati ta’ divulgazzjoni uniformi u sabiex jiġu aċċertati divulgazzjonijiet ta’ kwalità għolja, filwaqt li jiġi wkoll rifless l-approċċ skont l-Artikolu 434a(1) rivedut tar-Regolament (UE) Nru 575/2013, huwa meħtieġ li jitħassar ir-Regolament ta’ Implimentazzjoni tal-Kummissjoni (UE) 2021/637 u li dak ir-Regolament ta’ Implimentazzjoni jiġi sostitwit b’dan ir-Regolament.</w:t>
      </w:r>
    </w:p>
    <w:p w:rsidR="000A5D79" w:rsidRPr="00CE407B" w:rsidRDefault="00860506" w:rsidP="00860506">
      <w:pPr>
        <w:pStyle w:val="ManualConsidrant"/>
        <w:rPr>
          <w:noProof/>
          <w:sz w:val="22"/>
        </w:rPr>
      </w:pPr>
      <w:r w:rsidRPr="00860506">
        <w:rPr>
          <w:noProof/>
        </w:rPr>
        <w:t>(18)</w:t>
      </w:r>
      <w:r w:rsidRPr="00860506">
        <w:rPr>
          <w:noProof/>
        </w:rPr>
        <w:tab/>
      </w:r>
      <w:r w:rsidR="00DF17AE" w:rsidRPr="00CE407B">
        <w:rPr>
          <w:noProof/>
        </w:rPr>
        <w:t>Sabiex jiġu aċċertati divulgazzjonijiet fil-pront u ta’ kwalità mill-istituzzjonijiet, jenħtieġ li dawn jingħataw biżżejjed żmien biex jadattaw is-sistemi interni tagħhom fid-dawl tal-bidliet fil-qafas eżistenti tad-divulgazzjoni riflessi/inkorporati f’dan ir-Regolament.</w:t>
      </w:r>
    </w:p>
    <w:p w:rsidR="000A5D79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(19)</w:t>
      </w:r>
      <w:r w:rsidRPr="00860506">
        <w:rPr>
          <w:noProof/>
        </w:rPr>
        <w:tab/>
      </w:r>
      <w:r w:rsidR="000A5D79" w:rsidRPr="00CE407B">
        <w:rPr>
          <w:noProof/>
        </w:rPr>
        <w:t>Dan ir-Regolament huwa bbażat fuq l-abbozz tal-istandards tekniċi ta’ implimentazzjoni ppreżentat lill-Kummissjoni mill-Awtorità Bankarja Ewropea.</w:t>
      </w:r>
    </w:p>
    <w:p w:rsidR="000A5D79" w:rsidRPr="00CE407B" w:rsidRDefault="00860506" w:rsidP="00860506">
      <w:pPr>
        <w:pStyle w:val="ManualConsidrant"/>
        <w:rPr>
          <w:noProof/>
        </w:rPr>
      </w:pPr>
      <w:r w:rsidRPr="00860506">
        <w:rPr>
          <w:noProof/>
        </w:rPr>
        <w:t>(20)</w:t>
      </w:r>
      <w:r w:rsidRPr="00860506">
        <w:rPr>
          <w:noProof/>
        </w:rPr>
        <w:tab/>
      </w:r>
      <w:r w:rsidR="000A5D79" w:rsidRPr="00CE407B">
        <w:rPr>
          <w:noProof/>
        </w:rPr>
        <w:t>L-Awtorità Bankarja Ewropea wettqet konsultazzjonijiet pubbliċi miftuħa dwar l-abbozz tal-istandards tekniċi ta’ implementazzjoni li dan ir-Regolament huwa bbażat fuqhom, analizzat il-kostijiet u l-benefiċċji potenzjali relatati u talbet l-opinjoni tal-Grupp tal-Partijiet Bankarji Interessati stabbilit f’konformità mal-Artikolu 37 tar-Regolament (UE) Nru 1093/2010 tal-Parlament Ewropew u tal-Kunsill</w:t>
      </w:r>
      <w:r w:rsidR="000A5D79" w:rsidRPr="00CE407B">
        <w:rPr>
          <w:rStyle w:val="FootnoteReference"/>
          <w:noProof/>
        </w:rPr>
        <w:footnoteReference w:id="10"/>
      </w:r>
      <w:r w:rsidR="000A5D79" w:rsidRPr="00CE407B">
        <w:rPr>
          <w:noProof/>
        </w:rPr>
        <w:t xml:space="preserve">, </w:t>
      </w:r>
    </w:p>
    <w:p w:rsidR="0050796F" w:rsidRPr="00CE407B" w:rsidRDefault="0050796F">
      <w:pPr>
        <w:pStyle w:val="Formuledadoption"/>
        <w:rPr>
          <w:noProof/>
        </w:rPr>
      </w:pPr>
      <w:r w:rsidRPr="00CE407B">
        <w:rPr>
          <w:noProof/>
        </w:rPr>
        <w:t>ADOTTAT DAN IR-REGOLAMENT:</w:t>
      </w:r>
    </w:p>
    <w:p w:rsidR="00905855" w:rsidRPr="00CE407B" w:rsidRDefault="00905855" w:rsidP="00905855">
      <w:pPr>
        <w:pStyle w:val="Titrearticle"/>
        <w:rPr>
          <w:noProof/>
        </w:rPr>
      </w:pPr>
      <w:r w:rsidRPr="00CE407B">
        <w:rPr>
          <w:noProof/>
        </w:rPr>
        <w:t>Artikolu 1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tal-metriċi ewlenin u ħarsa ġenerali lejn l-ammonti tal-iskopertura ponderati għar-riskju</w:t>
      </w:r>
    </w:p>
    <w:p w:rsidR="000A5D79" w:rsidRPr="00CE407B" w:rsidRDefault="000A5D79" w:rsidP="00905855">
      <w:pPr>
        <w:rPr>
          <w:noProof/>
        </w:rPr>
      </w:pPr>
      <w:r w:rsidRPr="00CE407B">
        <w:rPr>
          <w:noProof/>
        </w:rPr>
        <w:t>L-istituzzjonijiet għandhom jiddivulgaw l-informazzjoni msemmija fl-Artikolu 438, il-punti (a) sa (d), (f) u (g), u fl-Artikolu 447, il-punti (a) sa (g), tar-Regolament (UE) Nru 575/2013 kif speċifikat fit-Taqsima 1 - “Divulgazzjoni ta’ ħarsa ġenerali ta’ ġestjoni ta’ riskju, metriċi prudenzjali ewlenin u RWA” fl-Anness 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2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tal-objettivi u l-politiki għall-ġestjoni tar-riskju</w:t>
      </w:r>
    </w:p>
    <w:p w:rsidR="000A5D79" w:rsidRPr="00CE407B" w:rsidRDefault="000A5D79" w:rsidP="00905855">
      <w:pPr>
        <w:rPr>
          <w:noProof/>
        </w:rPr>
      </w:pPr>
      <w:r w:rsidRPr="00CE407B">
        <w:rPr>
          <w:noProof/>
        </w:rPr>
        <w:t>L-istituzzjonijiet għandhom jiddivulgaw l-informazzjoni msemmija fl-Artikolu 435 tar-Regolament (UE) Nru 575/2013 kif speċifikat fit-Taqsima 2 – “Divulgazzjoni tal-objettivi u l-politiki għall-ġestjoni tar-riskju” fl-Anness 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3</w:t>
      </w:r>
    </w:p>
    <w:p w:rsidR="000A5D79" w:rsidRPr="00CE407B" w:rsidRDefault="000A5D79" w:rsidP="000A5D79">
      <w:pPr>
        <w:pStyle w:val="Titrearticle"/>
        <w:tabs>
          <w:tab w:val="left" w:pos="567"/>
        </w:tabs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 xml:space="preserve">Divulgazzjoni tal-kamp ta’ applikazzjoni </w:t>
      </w:r>
    </w:p>
    <w:p w:rsidR="000A5D79" w:rsidRPr="00CE407B" w:rsidRDefault="000A5D79" w:rsidP="00905855">
      <w:pPr>
        <w:rPr>
          <w:noProof/>
        </w:rPr>
      </w:pPr>
      <w:r w:rsidRPr="00CE407B">
        <w:rPr>
          <w:noProof/>
        </w:rPr>
        <w:t xml:space="preserve">L-istituzzjonijiet għandhom jiddivulgaw l-informazzjoni msemmija fl-Artikolu 436, il-punti minn (b) sa (h), tar-Regolament (UE) Nru 575/2013 kif speċifikat fit-Taqsima 3 – “Divulgazzjoni tal-kamp ta’ applikazzjoni” fl-Anness I. 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4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tal-fondi proprji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L-istituzzjonijiet għandhom jiddivulgaw l-informazzjoni msemmija fl-Artikolu 437, il-punti minn (a) sa (f), tar-Regolament (UE) Nru 575/2013 kif speċifikat fit-Taqsima 4 – “Divulgazzjoni tal-fondi proprji” fl-Anness 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 xml:space="preserve">Artikolu 5 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ta’ riżervi ta’ kapital kontroċikliċi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 xml:space="preserve">L-istituzzjonijiet għandhom jiddivulgaw l-informazzjoni msemmija fl-Artikolu 440, il-punti (a) u (b), tar-Regolament (UE) Nru 575/2013 kif speċifikat fit-Taqsima 5 – “Divulgazzjoni ta’ riżervi ta’ kapital kontroċikliċi” fl-Anness I. 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6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tal-proporzjon ta’ ingranaġġ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L-istituzzjonijiet għandhom jiddivulgaw l-informazzjoni msemmija fl-Artikolu 451(1), il-punti minn (a) sa (e), u fl-Artikolu 451(2) u (3) tar-Regolament (UE) Nru 575/2013</w:t>
      </w:r>
      <w:bookmarkStart w:id="2" w:name="_Hlk168653610"/>
      <w:r w:rsidRPr="00CE407B">
        <w:rPr>
          <w:noProof/>
        </w:rPr>
        <w:t xml:space="preserve"> kif speċifikat fit-Taqsima 6 – “Divulgazzjoni ta’ proporzjon ta’ ingranaġġ” fl-Anness I.</w:t>
      </w:r>
    </w:p>
    <w:bookmarkEnd w:id="2"/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 xml:space="preserve">Artikolu 7 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tal-indikaturi ta’ importanza sistemika globali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1.</w:t>
      </w:r>
      <w:r w:rsidRPr="00860506">
        <w:rPr>
          <w:noProof/>
        </w:rPr>
        <w:tab/>
      </w:r>
      <w:r w:rsidR="00FA266C" w:rsidRPr="00CE407B">
        <w:rPr>
          <w:noProof/>
        </w:rPr>
        <w:t>L-istituzzjonijiet globali sistemikament importanti (G-SIIs, Global systemically important institutions) għandhom jiddivulgaw l-informazzjoni dwar il-valuri tal-indikaturi użati għad-determinazzjoni tal-punteġġ tagħhom imsemmi fl-Artikolu 441 tar-Regolament (UE) Nru 575/2013 billi jużaw il-format ta’ divulgazzjoni uniformi msemmi fl-Artikolu 434a ta’ dak ir-Regolament. Il-G-SIIs għandhom jużaw dak il-format ta’ divulgazzjoni għall-ġbir tal-valuri tal-indikaturi mill-awtoritajiet rilevanti kif stabbilit fl-Artikolu 3(2) tar-Regolament ta’ Delega tal-Kummissjoni (UE) Nru 1222/2014</w:t>
      </w:r>
      <w:r w:rsidR="004076A2" w:rsidRPr="00CE407B">
        <w:rPr>
          <w:rStyle w:val="FootnoteReference"/>
          <w:noProof/>
        </w:rPr>
        <w:footnoteReference w:id="11"/>
      </w:r>
      <w:r w:rsidR="00FA266C" w:rsidRPr="00CE407B">
        <w:rPr>
          <w:noProof/>
        </w:rPr>
        <w:t xml:space="preserve">, bl-eċċezzjoni ta’ kwalunkwe entrata fil-memorandum u </w:t>
      </w:r>
      <w:r w:rsidR="00FA266C" w:rsidRPr="00CE407B">
        <w:rPr>
          <w:i/>
          <w:iCs/>
          <w:noProof/>
        </w:rPr>
        <w:t>data</w:t>
      </w:r>
      <w:r w:rsidR="00FA266C" w:rsidRPr="00CE407B">
        <w:rPr>
          <w:noProof/>
        </w:rPr>
        <w:t xml:space="preserve"> anċillari miġbura f’konformità mal-Artikolu3(2) ta’ dak ir-Regolament Delegat. 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2.</w:t>
      </w:r>
      <w:r w:rsidRPr="00860506">
        <w:rPr>
          <w:noProof/>
        </w:rPr>
        <w:tab/>
      </w:r>
      <w:r w:rsidR="000A5D79" w:rsidRPr="00CE407B">
        <w:rPr>
          <w:noProof/>
        </w:rPr>
        <w:t>Il-G-SIIs għandhom jiddivulgaw l-informazzjoni msemmija fil-paragrafu 1 fir-rapport tal-Pilastru 3 tagħhom ta’ tmiem is-sena. Il-GSIIs għandhom jiddivulgaw mill-ġdid l-informazzjoni msemmija fil-paragrafu 1 fl-ewwel rapport tal-Pilastru 3 tagħhom b’segwitu għas-sottomissjoni finali tal-valuri tal-indikaturi lill-awtoritajiet kompetenti rilevanti, meta ċ-ċifri sottomessi jkunu differenti miċ-ċifri ddivulgati fir-rapport tal-Pilastru 3 ta’ tmiem is-sena.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8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tar-rekwiżiti ta’ likwidità</w:t>
      </w:r>
    </w:p>
    <w:p w:rsidR="000A5D79" w:rsidRPr="00CE407B" w:rsidRDefault="000A5D79" w:rsidP="000A5D79">
      <w:pPr>
        <w:rPr>
          <w:i/>
          <w:noProof/>
        </w:rPr>
      </w:pPr>
      <w:r w:rsidRPr="00CE407B">
        <w:rPr>
          <w:noProof/>
        </w:rPr>
        <w:t>L-istituzzjonijiet għandhom jiddivulgaw l-informazzjoni msemmija fl-Artikolu 435(1) u fl-Artikolu 451a(2), (3) u (4), tar-Regolament (UE) Nru 575/2013 kif speċifikat fit-Taqsima 7 – “Divulgazzjoni tar-rekwiżiti tal-likwidità” fl-Anness 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9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 xml:space="preserve">Divulgazzjoni ta’ </w:t>
      </w:r>
      <w:bookmarkStart w:id="3" w:name="_Hlk163217184"/>
      <w:r w:rsidRPr="00CE407B">
        <w:rPr>
          <w:b/>
          <w:i w:val="0"/>
          <w:noProof/>
        </w:rPr>
        <w:t>skoperturi għar-riskju ta’ kreditu, ir-riskju ta’ dilwizzjoni u l-kwalità tal-kreditu</w:t>
      </w:r>
      <w:bookmarkEnd w:id="3"/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1.</w:t>
      </w:r>
      <w:r w:rsidRPr="00860506">
        <w:rPr>
          <w:noProof/>
        </w:rPr>
        <w:tab/>
      </w:r>
      <w:r w:rsidR="000A5D79" w:rsidRPr="00CE407B">
        <w:rPr>
          <w:noProof/>
        </w:rPr>
        <w:t>L-istituzzjonijiet għandhom jiddivulgaw l-informazzjoni msemmija fl-Artikolu 435(1), il-punti (a), (b), (d) u (f), u fl-Artikolu 442 tar-Regolament (UE) Nru 575/2013 kif speċifikat fit-Taqsima 8 – “Divulgazzjoni tal-kwalità tar-riskju ta’ kreditu” fl-Anness I.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2.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Istituzzjonijiet kbar li għandhom proporzjon bejn l-ammont riportat gross ta’ self u avvanzi li jaqgħu taħt l-Artikolu 47a(3) tar-Regolament (UE) Nru 575/2013 u l-ammont riportat gross totali ta’ self u avvanzi li jaqgħu taħt l-Artikolu 47a(1) ta’ dak ir-Regolament ugwali għal 5 % jew aktar, għandhom, apparti l-informazzjoni msemmija fil-paragrafu 1, jiddivulgaw informazzjoni addizzjonali biex jikkonformaw mal-Artikolu 442, il-punti (c) u (f), ta’ dak ir-Regolament. Dawk l-istituzzjonijiet għandhom jiddivulgaw dik l-informazzjoni fuq bażi annwali. 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3.</w:t>
      </w:r>
      <w:r w:rsidRPr="00860506">
        <w:rPr>
          <w:noProof/>
        </w:rPr>
        <w:tab/>
      </w:r>
      <w:r w:rsidR="000A5D79" w:rsidRPr="00CE407B">
        <w:rPr>
          <w:noProof/>
        </w:rPr>
        <w:t>Għall-finijiet tal-paragrafu 2, l-istituzzjonijiet għandhom jeskludu s-self u l-avvanzi klassifikati bħala miżmuma għall-bejgħ, bilanċi ta’ flus f’banek ċentrali u depożiti ta’ domanda oħrajn kemm mid-denominatur kif ukoll min-numeratur tal-proporzjon.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4.</w:t>
      </w:r>
      <w:r w:rsidRPr="00860506">
        <w:rPr>
          <w:noProof/>
        </w:rPr>
        <w:tab/>
      </w:r>
      <w:r w:rsidR="000A5D79" w:rsidRPr="00CE407B">
        <w:rPr>
          <w:noProof/>
        </w:rPr>
        <w:t>L-istituzzjonijiet għandhom jibdew id-divulgazzjoni skont il-paragrafu 2 meta jkunu laħqu jew qabżu l-livell limitu ta’ 5 % msemmi f’dak il-paragrafu f’żewġ trimestri konsekuttivi matul l-erba’ trimestri qabel id-data ta’ referenza tad-divulgazzjoni. Għad-data ta’ referenza tal-ewwel divulgazzjoni, l-istituzzjonijiet għandhom jiddivulgaw l-informazzjoni konċernata billi jużaw il-mudelli msemmija f’dan il-paragrafu meta jaqbżu l-livell limitu ta’ 5 % f’dik id-data ta’ referenza tad-divulgazzjoni.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5.</w:t>
      </w:r>
      <w:r w:rsidRPr="00860506">
        <w:rPr>
          <w:noProof/>
        </w:rPr>
        <w:tab/>
      </w:r>
      <w:r w:rsidR="000A5D79" w:rsidRPr="00CE407B">
        <w:rPr>
          <w:noProof/>
        </w:rPr>
        <w:t>L-istituzzjonijiet ma għandhomx ikunu aktar obbligati jiddivulgaw skont il-paragrafu 2 meta jkunu niżlu taħt il-livell limitu ta’ 5 % għal tliet trimestri konsekuttivi matul l-erba’ trimestri qabel id-data ta’ referenza tad-divulgazzjoni.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10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 xml:space="preserve">Divulgazzjoni tal-użu ta’ tekniki ta’ mitigazzjoni tar-riskju tal-kreditu 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L-istituzzjonijiet għandhom jiddivulgaw l-informazzjoni msemmija fl-Artikolu 453, il-punti minn (a) sa (f), tar-Regolament (UE) Nru 575/2013 kif speċifikat fit-Taqsima 9 – “Divulgazzjoni ta’ tekniki ta’ mitigazzjoni tar-riskju ta’ kreditu” fl-Anness 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 xml:space="preserve">Artikolu 11 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tal-użu tal-Approċċ Standardizzat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L-istituzzjonijiet li jikkalkulaw l-ammonti tal-iskopertura ponderati għar-riskju skont l-Approċċ Standardizzat għandhom jiddivulgaw l-informazzjoni li ġejja</w:t>
      </w:r>
      <w:r w:rsidRPr="00CE407B">
        <w:rPr>
          <w:b/>
          <w:noProof/>
        </w:rPr>
        <w:t xml:space="preserve"> </w:t>
      </w:r>
      <w:r w:rsidRPr="00CE407B">
        <w:rPr>
          <w:noProof/>
        </w:rPr>
        <w:t>dwar l-użu tal-Approċċ Standardizzat:</w:t>
      </w:r>
    </w:p>
    <w:p w:rsidR="000A5D79" w:rsidRPr="00CE407B" w:rsidRDefault="00860506" w:rsidP="00860506">
      <w:pPr>
        <w:pStyle w:val="Point0"/>
        <w:rPr>
          <w:noProof/>
        </w:rPr>
      </w:pPr>
      <w:r w:rsidRPr="00860506">
        <w:rPr>
          <w:noProof/>
        </w:rPr>
        <w:t>(a)</w:t>
      </w:r>
      <w:r w:rsidRPr="00860506">
        <w:rPr>
          <w:noProof/>
        </w:rPr>
        <w:tab/>
      </w:r>
      <w:r w:rsidR="000A5D79" w:rsidRPr="00CE407B">
        <w:rPr>
          <w:noProof/>
        </w:rPr>
        <w:t>l-informazzjoni msemmija fl-Artikolu 444, il-punti minn (a) sa (e), u l-informazzjoni msemmija fl-Artikolu 453, il-punti (g), (h) u (i), tar-Regolament (UE) Nru 575/2013 kif speċifikat fit-Taqsima 10 – “Divulgazzjoni tar-riskju ta’ kreditu SA” fl-Anness I;</w:t>
      </w:r>
    </w:p>
    <w:p w:rsidR="000A5D79" w:rsidRPr="00CE407B" w:rsidRDefault="00860506" w:rsidP="00860506">
      <w:pPr>
        <w:pStyle w:val="Point0"/>
        <w:rPr>
          <w:noProof/>
        </w:rPr>
      </w:pPr>
      <w:r w:rsidRPr="00860506">
        <w:rPr>
          <w:noProof/>
        </w:rPr>
        <w:t>(b)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l-informazzjoni dwar il-valuri tal-iskopertura mnaqqsin minn fondi proprji msemmija fl-Artikolu 444, il-punt (e), tar-Regolament (UE) Nru 575/2013 kif speċifikat fit-Taqsima 4 – “Divulgazzjoni tal-fondi proprji” fl-Anness I. 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12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tal-użu tal-Approċċ IRB għar-riskju tal-kreditu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L-istituzzjonijiet li jikkalkulaw l-ammonti tal-iskopertura ponderati għar-riskju skont l-Approċċ IRB għandhom jiddivulgaw l-informazzjoni msemmija fl-Artikolu 438, il-punt (h), l-Artikolu 452, il-punti minn (a) sa (h), u fl-Artikolu 453, il-punti (g) u (j), tar-Regolament (UE) Nru 575/</w:t>
      </w:r>
      <w:bookmarkStart w:id="4" w:name="_Hlk168654209"/>
      <w:r w:rsidRPr="00CE407B">
        <w:rPr>
          <w:noProof/>
        </w:rPr>
        <w:t>2013 kif speċifikat fit-Taqsima 11 – “Divulgazzjoni tar-riskju ta’ kreditu IRB” fl-Anness I.</w:t>
      </w:r>
    </w:p>
    <w:bookmarkEnd w:id="4"/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13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ta’ skoperturi speċjalizzati ta’ self u ta’ ekwità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L-istituzzjonijiet għandhom jiddivulgaw l-informazzjoni msemmija fl-Artikolu 438, il-punt (e), tar-Regolament (UE) Nru 575/2013 kif speċifikat fit-Taqsima 12 – “Divulgazzjoni ta’ skoperturi speċjalizzati ta’ self u ta’ ekwità” fl-Anness 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14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ta’ skoperturi għal riskju ta’ kreditu tal-kontroparti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 xml:space="preserve">L-istituzzjonijiet għandhom jiddivulgaw l-informazzjoni msemmija fl-Artikolu 438, il-punt (h), u l-Artikolu 439 tar-Regolament (UE) Nru 575/2013 kif speċifikat fit-Taqsima 13 – “Divulgazzjoni tar-riskju tal-kreditu tal-kontroparti” fl-Anness I. 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15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 xml:space="preserve">Divulgazzjoni ta’ </w:t>
      </w:r>
      <w:bookmarkStart w:id="5" w:name="_Hlk163217793"/>
      <w:r w:rsidRPr="00CE407B">
        <w:rPr>
          <w:b/>
          <w:i w:val="0"/>
          <w:noProof/>
        </w:rPr>
        <w:t xml:space="preserve">skoperturi għal pożizzjonijiet ta’ titolizzazzjoni </w:t>
      </w:r>
      <w:bookmarkEnd w:id="5"/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L-istituzzjonijiet għandhom jiddivulgaw l-informazzjoni msemmija fl-Artikolu 449 tar-Regolament (UE) Nru 575/2013 kif speċifikat fit-Taqsima 14 – “Divulgazzjoni ta’ skoperturi għal pożizzjonijiet ta’ titolizzazzjoni” fl-Anness 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16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tal-użu tal-approċċ standardizzat u tal-mudelli interni alternattivi għar-riskju tas-suq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1.</w:t>
      </w:r>
      <w:r w:rsidRPr="00860506">
        <w:rPr>
          <w:noProof/>
        </w:rPr>
        <w:tab/>
      </w:r>
      <w:r w:rsidR="000A5D79" w:rsidRPr="00CE407B">
        <w:rPr>
          <w:noProof/>
        </w:rPr>
        <w:t>L-istituzzjonijiet għandhom jiddivulgaw l-informazzjoni msemmija fl-Artikolu 435(1), il-punti minn (a) sa (d), l-Artikolu 438, l-Artikolu 445(1) u (2), l-Artikolu 455(1), il-punti (a) sa (f), u l-Artikolu 455(2) u (3), tar-Regolament (UE) Nru 575/2013 kif speċifikat fit-Taqsima 15 – “Divulgazzjoni tar-riskju tas-suq” fl-Anness I.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2.</w:t>
      </w:r>
      <w:r w:rsidRPr="00860506">
        <w:rPr>
          <w:noProof/>
        </w:rPr>
        <w:tab/>
      </w:r>
      <w:r w:rsidR="000A5D79" w:rsidRPr="00CE407B">
        <w:rPr>
          <w:noProof/>
        </w:rPr>
        <w:t>Sal-31 ta’ Diċembru 2025, l-istituzzjonijiet għandhom jagħmlu d-divulgazzjonijiet f’konformità mal-Artikolu 15 tar-Regolament ta’ Implimentazzjoni tal-Kummissjoni (UE) 2021/637</w:t>
      </w:r>
      <w:r w:rsidR="000A5D79" w:rsidRPr="00CE407B">
        <w:rPr>
          <w:rStyle w:val="FootnoteReference"/>
          <w:rFonts w:eastAsia="Times New Roman"/>
          <w:noProof/>
          <w:lang w:eastAsia="en-GB" w:bidi="en-GB"/>
        </w:rPr>
        <w:footnoteReference w:id="12"/>
      </w:r>
      <w:r w:rsidR="000A5D79" w:rsidRPr="00CE407B">
        <w:rPr>
          <w:noProof/>
        </w:rPr>
        <w:t>.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3.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Fl-ewwel data ta’ applikazzjoni tal-użu tal-approċċi alternattivi msemmija fl-Artikolu 325az tar-Regolament (UE) Nru 575/2013, l-istituzzjonijiet li jużaw l-approċċ ta’ mudell intern alternattiv għar-riskju tas-suq għandhom jiddivulgaw l-informazzjoni kwalitattiva msemmija fl-Artikolu 455(1), il-punti minn (a) sa (f), tar-Regolament (UE) Nru 575/2013 flimkien mal-informazzjoni kwantitattiva msemmija fl-Artikolu 455(2) ta’ dak ir-Regolament. </w:t>
      </w:r>
    </w:p>
    <w:p w:rsidR="000A5D79" w:rsidRPr="00CE407B" w:rsidRDefault="000A5D79" w:rsidP="00813A48">
      <w:pPr>
        <w:pStyle w:val="Titrearticle"/>
        <w:spacing w:before="120"/>
        <w:rPr>
          <w:noProof/>
        </w:rPr>
      </w:pPr>
      <w:r w:rsidRPr="00CE407B">
        <w:rPr>
          <w:noProof/>
        </w:rPr>
        <w:t>Artikolu 17</w:t>
      </w:r>
    </w:p>
    <w:p w:rsidR="000A5D79" w:rsidRPr="00CE407B" w:rsidRDefault="000A5D79" w:rsidP="00813A48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tar-riskju ta’ aġġustament tal-valwazzjoni tal-kreditu</w:t>
      </w:r>
    </w:p>
    <w:p w:rsidR="000A5D79" w:rsidRPr="00CE407B" w:rsidRDefault="000A5D79" w:rsidP="00905855">
      <w:pPr>
        <w:rPr>
          <w:noProof/>
        </w:rPr>
      </w:pPr>
      <w:r w:rsidRPr="00CE407B">
        <w:rPr>
          <w:noProof/>
        </w:rPr>
        <w:t>L-istituzzjonijiet għandhom jiddivulgaw l-informazzjoni msemmija fl-Artikolu 438, il-punti (d) u (h), l-Artikolu 439, il-punt (h), u l-Artikolu 445a tar-Regolament (UE) Nru 575/2013 kif speċifikat fit-Taqsima 16 – “Divulgazzjoni ta’ aġġustament tal-valwazzjoni tal-kreditu” fl-Anness 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18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 xml:space="preserve">Divulgazzjoni tar-riskju operazzjonali 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L-istituzzjonijiet għandhom jiddivulgaw l-informazzjoni msemmija fl-Artikolu 435, l-Artikolu 438, il-punt (d), u l-Artikolu 446 tar-Regolament (UE) Nru 575/2013 kif speċifikat fit-Taqsima 17 – “Divulgazzjoni tar-riskju operazzjonali” fl-Anness I.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 xml:space="preserve">Artikolu 19 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tal-iskoperturi għar-riskju taċ-ċaqliq fir-rata tal-imgħax fuq pożizzjonijiet mhux miżmuma fil-portafoll tan-negozjar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1.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L-istituzzjonijiet għandhom jiddivulgaw l-informazzjoni msemmija fl-Artikolu 448(1), il-punti minn (a) sa (g), tar-Regolament (UE) Nru 575/2013 kif speċifikat fit-Taqsima 18 – “Divulgazzjoni tar-riskju taċ-ċaqliq fir-rata tal-imgħax ta’ attivitajiet tal-portafoll mhux tan-negozjar” fl-Anness I. 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2.</w:t>
      </w:r>
      <w:r w:rsidRPr="00860506">
        <w:rPr>
          <w:noProof/>
        </w:rPr>
        <w:tab/>
      </w:r>
      <w:r w:rsidR="00725C62" w:rsidRPr="00CE407B">
        <w:rPr>
          <w:noProof/>
        </w:rPr>
        <w:t>L-istituzzjonijiet li jiddivulgaw l-informazzjoni f’konformità mal-paragrafu 1 għall-ewwel darba ma għandhomx ikunu obbligati li jiddivulgaw dik l-informazzjoni relatata mad-data ta’ referenza preċedenti.</w:t>
      </w:r>
    </w:p>
    <w:p w:rsidR="000A5D79" w:rsidRPr="00CE407B" w:rsidRDefault="000A5D79" w:rsidP="00813A48">
      <w:pPr>
        <w:pStyle w:val="Titrearticle"/>
        <w:rPr>
          <w:noProof/>
        </w:rPr>
      </w:pPr>
      <w:r w:rsidRPr="00CE407B">
        <w:rPr>
          <w:noProof/>
        </w:rPr>
        <w:t>Artikolu 20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tal-politika ta’ remunerazzjoni</w:t>
      </w:r>
    </w:p>
    <w:p w:rsidR="000A5D79" w:rsidRPr="00CE407B" w:rsidRDefault="000A5D79" w:rsidP="00905855">
      <w:pPr>
        <w:rPr>
          <w:i/>
          <w:noProof/>
        </w:rPr>
      </w:pPr>
      <w:r w:rsidRPr="00CE407B">
        <w:rPr>
          <w:noProof/>
        </w:rPr>
        <w:t xml:space="preserve">L-istituzzjonijiet għandhom jiddivulgaw l-informazzjoni msemmija fl-Artikolu 450 tar-Regolament (UE) Nru 575/2013 kif speċifikat fit-Taqsima 19 – “Divulgazzjoni tal-politika ta’ remunerazzjoni” fl-Anness I. </w:t>
      </w:r>
    </w:p>
    <w:p w:rsidR="000A5D79" w:rsidRPr="00CE407B" w:rsidRDefault="000A5D79" w:rsidP="00115B95">
      <w:pPr>
        <w:pStyle w:val="Titrearticle"/>
        <w:rPr>
          <w:noProof/>
        </w:rPr>
      </w:pPr>
      <w:r w:rsidRPr="00CE407B">
        <w:rPr>
          <w:noProof/>
        </w:rPr>
        <w:t>Artikolu 21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 xml:space="preserve">Divulgazzjoni ta’ assi vinkolati u assi mhux vinkolati </w:t>
      </w:r>
    </w:p>
    <w:p w:rsidR="000A5D79" w:rsidRPr="00CE407B" w:rsidRDefault="000A5D79" w:rsidP="00905855">
      <w:pPr>
        <w:rPr>
          <w:noProof/>
        </w:rPr>
      </w:pPr>
      <w:r w:rsidRPr="00CE407B">
        <w:rPr>
          <w:noProof/>
        </w:rPr>
        <w:t xml:space="preserve">L-istituzzjonijiet għandhom jiddivulgaw l-informazzjoni msemmija fl-Artikolu 443 tar-Regolament (UE) Nru 575/2013 kif speċifikat fit-Taqsima 20 – “Divulgazzjoni ta’ assi vinkolati u assi mhux vinkolati” fl-Anness I. </w:t>
      </w:r>
    </w:p>
    <w:p w:rsidR="000A5D79" w:rsidRPr="00CE407B" w:rsidRDefault="000A5D79" w:rsidP="00115B95">
      <w:pPr>
        <w:pStyle w:val="Titrearticle"/>
        <w:rPr>
          <w:noProof/>
        </w:rPr>
      </w:pPr>
      <w:r w:rsidRPr="00CE407B">
        <w:rPr>
          <w:noProof/>
        </w:rPr>
        <w:t xml:space="preserve">Artikolu 22 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 xml:space="preserve">Divulgazzjoni ta’ </w:t>
      </w:r>
      <w:bookmarkStart w:id="6" w:name="_Hlk163229421"/>
      <w:r w:rsidRPr="00CE407B">
        <w:rPr>
          <w:b/>
          <w:i w:val="0"/>
          <w:noProof/>
        </w:rPr>
        <w:t xml:space="preserve">riskji ambjentali, soċjali u ta’ governanza </w:t>
      </w:r>
      <w:bookmarkEnd w:id="6"/>
      <w:r w:rsidRPr="00CE407B">
        <w:rPr>
          <w:b/>
          <w:i w:val="0"/>
          <w:noProof/>
        </w:rPr>
        <w:t>(riskji ESG)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1.</w:t>
      </w:r>
      <w:r w:rsidRPr="00860506">
        <w:rPr>
          <w:noProof/>
        </w:rPr>
        <w:tab/>
      </w:r>
      <w:r w:rsidR="000A5D79" w:rsidRPr="00CE407B">
        <w:rPr>
          <w:noProof/>
        </w:rPr>
        <w:t>L-istituzzjonijiet għandhom jiddivulgaw l-informazzjoni msemmija fl-Artikolu 449a tar-Regolament (UE) Nru 575/2013 kif speċifikat fit-Taqsima 21 – “Divulgazzjoni ta’ divulgazzjonijiet prudenzjali dwar ir-riskji ESG” fl-Anness I. Dik l-informazzjoni għandha tkopri dan kollu li ġej: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(a)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informazzjoni kwalitattiva dwar ir-riskji ambjentali, soċjali u ta’ governanza; 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(b)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informazzjoni kwalitattiva dwar ir-riskju ta’ tranżizzjoni tat-tibdil fil-klima; 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(c)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informazzjoni kwantitattiva dwar ir-riskji fiżiċi tat-tibdil fil-klima; 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(d)</w:t>
      </w:r>
      <w:r w:rsidRPr="00860506">
        <w:rPr>
          <w:noProof/>
        </w:rPr>
        <w:tab/>
      </w:r>
      <w:r w:rsidR="000A5D79" w:rsidRPr="00CE407B">
        <w:rPr>
          <w:noProof/>
        </w:rPr>
        <w:t>informazzjoni kwantitattiva azzjonijiet ta’ mitigazzjoni assoċjati ma’ attivitajiet ekonomiċi li jikkwalifikaw bħala ambjentalment sostenibbli skont l-Artikolu 3 tar-Regolament (UE) 2020/852 fil-konfront tal-kontropartijiet li huma soġġetti għall-Artikoli 19a jew 29a tad-Direttiva 2013/34/UE, fil-konfront tal-unitajiet domestiċi u fil-konfront tal-gvernijiet lokali kif imsemmi fil-Parti 1, il-punt 42(b), tal-Anness V tar-Regolament ta’ Implimentazzjoni tal-Kummissjoni (UE) 2021/451</w:t>
      </w:r>
      <w:r w:rsidR="000A5D79" w:rsidRPr="00CE407B">
        <w:rPr>
          <w:rStyle w:val="FootnoteReference"/>
          <w:noProof/>
        </w:rPr>
        <w:footnoteReference w:id="13"/>
      </w:r>
      <w:r w:rsidR="000A5D79" w:rsidRPr="00CE407B">
        <w:rPr>
          <w:noProof/>
        </w:rPr>
        <w:t xml:space="preserve">; 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(e)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informazzjoni kwantitattiva dwar azzjonijiet ta’ mitigazzjoni oħra u skoperturi għal riskji relatati mat-tibdil fil-klima li ma jikkwalifikawx bħala attivitajiet ekonomiċi ambjentalment sostenibbli skont l-Artikolu 3 tar-Regolament (UE) 2020/852 iżda jappoġġaw lill-kontropartijiet fil-proċess ta’ tranżizzjoni jew adattament għall-objettivi tal-mitigazzjoni tat-tibdil fil-klima u l-adattament għat-tibdil fil-klima. 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2.</w:t>
      </w:r>
      <w:r w:rsidRPr="00860506">
        <w:rPr>
          <w:noProof/>
        </w:rPr>
        <w:tab/>
      </w:r>
      <w:r w:rsidR="000A5D79" w:rsidRPr="00CE407B">
        <w:rPr>
          <w:noProof/>
        </w:rPr>
        <w:t>L-istituzzjonijiet jistgħu jagħżlu li jiddivulgaw informazzjoni kwantitattiva dwar azzjonijiet ta’ mitigazzjoni u skoperturi dwar riskji relatati mat-tibdil fil-klima assoċjati ma’ attivitajiet ekonomiċi li jikkwalifikaw bħala ambjentalment sostenibbli skont l-Artikolu 3 tar-Regolament (UE) 2020/852, fil-konfront ta’ kontropartijiet li jkunu korporazzjonijiet mhux finanzjarji li mhumiex soġġetti għall-obbligi ta’ divulgazzjoni stabbiliti fl-Artikoli 19a jew 29a tad-Direttiva 2013/34/UE u li mhumiex soġġetti għall-obbligi ta’ divulgazzjoni stabbiliti fir-Regolament ta’ Implimentazzjoni tal-Kummissjoni (UE) 2021/2178</w:t>
      </w:r>
      <w:r w:rsidR="000A5D79" w:rsidRPr="00CE407B">
        <w:rPr>
          <w:rStyle w:val="FootnoteReference"/>
          <w:noProof/>
        </w:rPr>
        <w:footnoteReference w:id="14"/>
      </w:r>
      <w:r w:rsidR="000A5D79" w:rsidRPr="00CE407B">
        <w:rPr>
          <w:noProof/>
        </w:rPr>
        <w:t>.</w:t>
      </w:r>
    </w:p>
    <w:p w:rsidR="000A5D79" w:rsidRPr="00CE407B" w:rsidRDefault="000A5D79" w:rsidP="00204A69">
      <w:pPr>
        <w:pStyle w:val="Text1"/>
        <w:rPr>
          <w:noProof/>
        </w:rPr>
      </w:pPr>
      <w:r w:rsidRPr="00CE407B">
        <w:rPr>
          <w:noProof/>
        </w:rPr>
        <w:t xml:space="preserve">Għall-kalkolu tal-perċentwal tal-iskoperturi għal attivitajiet li jikkonformaw mar-rekwiżiti stipulati fl-Artikolu 3 tar-Regolament (UE) 2020/852 (skoperturi allinjati mat-tassonomija) lejn dawk il-kontropartijiet, l-istituzzjonijiet: 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(a)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jistgħu, meta disponibbli, jużaw l-informazzjoni riċevuta mill-kontropartijiet tagħhom fuq bażi volontarja u bilaterali permezz tal-oriġinazzjoni tas-self, u proċessi regolari ta’ rieżami u monitoraġġ tal-kreditu; 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(b)</w:t>
      </w:r>
      <w:r w:rsidRPr="00860506">
        <w:rPr>
          <w:noProof/>
        </w:rPr>
        <w:tab/>
      </w:r>
      <w:r w:rsidR="000A5D79" w:rsidRPr="00CE407B">
        <w:rPr>
          <w:noProof/>
        </w:rPr>
        <w:t>meta l-kontroparti ma tkunx tista’ jew ma tkunx lesta li tipprovdi d-</w:t>
      </w:r>
      <w:r w:rsidR="000A5D79" w:rsidRPr="00CE407B">
        <w:rPr>
          <w:i/>
          <w:iCs/>
          <w:noProof/>
        </w:rPr>
        <w:t>data</w:t>
      </w:r>
      <w:r w:rsidR="000A5D79" w:rsidRPr="00CE407B">
        <w:rPr>
          <w:noProof/>
        </w:rPr>
        <w:t xml:space="preserve"> kkonċernata fuq bażi bilaterali, tista’ tuża stimi u indikaturi interni u tispjega fin-narrattiva li takkumpanja l-mudell sa liema punt intużaw dawk l-istimi u l-indikaturi interni, u liema stimi u indikaturi interni ġew applikati;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(c)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meta ma jkunux jistgħu jiġbru fuq bażi bilaterali l-informazzjoni kkonċernata, jew ma jkunux jistgħu jużaw stimi u indikaturi interni, jew ma jkunux jistgħu jiġbru dik l-informazzjoni jew jużaw dawk l-istimi u l-indikaturi b’mod li ma jkunx ta’ piż żejjed għalihom jew għall-kontropartijiet tagħhom, jistgħu jispjegaw dik l-inabbiltà fin-narrattiva li takkumpanja l-mudell. </w:t>
      </w:r>
    </w:p>
    <w:p w:rsidR="000A5D79" w:rsidRPr="00CE407B" w:rsidRDefault="000A5D79" w:rsidP="00204A69">
      <w:pPr>
        <w:pStyle w:val="Text1"/>
        <w:rPr>
          <w:noProof/>
        </w:rPr>
      </w:pPr>
      <w:r w:rsidRPr="00CE407B">
        <w:rPr>
          <w:noProof/>
        </w:rPr>
        <w:t xml:space="preserve">Għall-finijiet tal-punt (a), l-istituzzjonijiet għandhom jinfurmaw lill-kontropartijiet tagħhom li l-għoti ta’ tali informazzjoni huwa volontarju. </w:t>
      </w:r>
    </w:p>
    <w:p w:rsidR="000A5D79" w:rsidRPr="00CE407B" w:rsidRDefault="000A5D79" w:rsidP="00813A48">
      <w:pPr>
        <w:pStyle w:val="Titrearticle"/>
        <w:spacing w:before="120"/>
        <w:rPr>
          <w:noProof/>
        </w:rPr>
      </w:pPr>
      <w:r w:rsidRPr="00CE407B">
        <w:rPr>
          <w:noProof/>
        </w:rPr>
        <w:t>Artikolu 23</w:t>
      </w:r>
    </w:p>
    <w:p w:rsidR="000A5D79" w:rsidRPr="00CE407B" w:rsidRDefault="00AB6551" w:rsidP="00813A48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Divulgazzjoni tal-kriptoassi</w:t>
      </w:r>
    </w:p>
    <w:p w:rsidR="000A5D79" w:rsidRPr="00CE407B" w:rsidRDefault="000A5D79" w:rsidP="00905855">
      <w:pPr>
        <w:rPr>
          <w:noProof/>
        </w:rPr>
      </w:pPr>
      <w:r w:rsidRPr="00CE407B">
        <w:rPr>
          <w:noProof/>
        </w:rPr>
        <w:t>L-istituzzjonijiet għandhom jiddivulgaw l-informazzjoni għall-kalkolu tar-rekwiżiti ta’ fondi proprji tagħhom għall-iskoperturi tal-kriptoassi</w:t>
      </w:r>
      <w:bookmarkStart w:id="7" w:name="_Hlk163582169"/>
      <w:r w:rsidRPr="00CE407B">
        <w:rPr>
          <w:noProof/>
        </w:rPr>
        <w:t xml:space="preserve"> f’konformità mal-Artikolu 501d(2) tar-</w:t>
      </w:r>
      <w:bookmarkEnd w:id="7"/>
      <w:r w:rsidRPr="00CE407B">
        <w:rPr>
          <w:noProof/>
        </w:rPr>
        <w:t>Regolament (UE) Nru 575/2013 kif speċifikat fit-Taqsima 22 – “Divulgazzjoni għall-iskoperturi għall-kriptoassi” fl-Anness I.</w:t>
      </w:r>
    </w:p>
    <w:p w:rsidR="0066214E" w:rsidRPr="00CE407B" w:rsidRDefault="0066214E" w:rsidP="0066214E">
      <w:pPr>
        <w:spacing w:before="360"/>
        <w:jc w:val="center"/>
        <w:rPr>
          <w:i/>
          <w:iCs/>
          <w:noProof/>
        </w:rPr>
      </w:pPr>
      <w:r w:rsidRPr="00CE407B">
        <w:rPr>
          <w:i/>
          <w:noProof/>
        </w:rPr>
        <w:t>Artikolu 24</w:t>
      </w:r>
    </w:p>
    <w:p w:rsidR="0066214E" w:rsidRPr="00CE407B" w:rsidRDefault="0066214E" w:rsidP="0066214E">
      <w:pPr>
        <w:jc w:val="center"/>
        <w:rPr>
          <w:b/>
          <w:bCs/>
          <w:noProof/>
        </w:rPr>
      </w:pPr>
      <w:r w:rsidRPr="00CE407B">
        <w:rPr>
          <w:b/>
          <w:noProof/>
        </w:rPr>
        <w:t xml:space="preserve">Soluzzjonijiet tal-IT </w:t>
      </w:r>
    </w:p>
    <w:p w:rsidR="00344DF8" w:rsidRPr="00CE407B" w:rsidRDefault="006C550D" w:rsidP="00BB0B33">
      <w:pPr>
        <w:rPr>
          <w:noProof/>
        </w:rPr>
      </w:pPr>
      <w:r w:rsidRPr="00CE407B">
        <w:rPr>
          <w:noProof/>
        </w:rPr>
        <w:t>L-EBA għandha tiżgura li s-soluzzjonijiet tal-IT, inklużi l-istruzzjonijiet, żviluppati għad-divulgazzjonijiet meħtieġa taħt it-Titoli II u III tar-Regolament (UE) Nru 575/2013 jikkonformaw fi kwalunkwe mument mal-formati ta’ divulgazzjoni uniformi stipulati f’dan ir-Regolament u jinkludu l-informazzjoni u l-punti tad-</w:t>
      </w:r>
      <w:r w:rsidRPr="00CE407B">
        <w:rPr>
          <w:i/>
          <w:iCs/>
          <w:noProof/>
        </w:rPr>
        <w:t>data</w:t>
      </w:r>
      <w:r w:rsidRPr="00CE407B">
        <w:rPr>
          <w:noProof/>
        </w:rPr>
        <w:t xml:space="preserve"> kollha elenkati fil-mudelli tad-divulgazzjoni. </w:t>
      </w:r>
    </w:p>
    <w:p w:rsidR="00344DF8" w:rsidRPr="00CE407B" w:rsidRDefault="00344DF8" w:rsidP="00BB0B33">
      <w:pPr>
        <w:rPr>
          <w:noProof/>
        </w:rPr>
      </w:pPr>
      <w:r w:rsidRPr="00CE407B">
        <w:rPr>
          <w:noProof/>
        </w:rPr>
        <w:t>L-EBA għandha tagħmel disponibbli s-soluzzjonijiet tal-IT li jsir riferiment għalihom fl-ewwel paragrafu u kwalunkwe struzzjoni relatata fuq is-sit web tagħha. L-EBA għandha tara li dawk is-soluzzjonijiet tal-IT u l-istruzzjonijiet jinżammu aġġornati u disponibbli bil-lingwi uffiċjali kollha.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25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Dispożizzjonijiet ġenerali dwar il-formati ta’ divulgazzjoni uniformi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1.</w:t>
      </w:r>
      <w:r w:rsidRPr="00860506">
        <w:rPr>
          <w:noProof/>
        </w:rPr>
        <w:tab/>
      </w:r>
      <w:r w:rsidR="000A5D79" w:rsidRPr="00CE407B">
        <w:rPr>
          <w:noProof/>
        </w:rPr>
        <w:t>In-numerazzjoni tar-ringieli jew tal-kolonni fil-</w:t>
      </w:r>
      <w:r w:rsidR="000A5D79" w:rsidRPr="00CE407B">
        <w:rPr>
          <w:noProof/>
          <w:color w:val="000000"/>
        </w:rPr>
        <w:t>formati ta’ divulgazzjoni uniformi msemmija fl-Anness I inklużi fis-</w:t>
      </w:r>
      <w:r w:rsidR="000A5D79" w:rsidRPr="00CE407B">
        <w:rPr>
          <w:noProof/>
        </w:rPr>
        <w:t>soluzzjonijiet tal-IT żviluppati mill-EBA ma għandhiex tiġi mmodifikata meta istituzzjoni tħalli barra divulgazzjoni waħda jew iktar f’konformità mal-Artikolu 432 tar-Regolament (UE) Nru 575/2013.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2.</w:t>
      </w:r>
      <w:r w:rsidRPr="00860506">
        <w:rPr>
          <w:noProof/>
        </w:rPr>
        <w:tab/>
      </w:r>
      <w:r w:rsidR="000A5D79" w:rsidRPr="00CE407B">
        <w:rPr>
          <w:noProof/>
        </w:rPr>
        <w:t>L-istituzzjonijiet għandhom jagħmlu nota ċara fin-narrattiva li takkumpanja l-mudell jew it-tabella kkonċernati bbażati fuq is-soluzzjonijiet tal-IT billi jindikaw liema ringieli jew kolonni huma vojta u billi jagħtu raġuni għaliex ħallew id-divulgazzjoni barra.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3.</w:t>
      </w:r>
      <w:r w:rsidRPr="00860506">
        <w:rPr>
          <w:noProof/>
        </w:rPr>
        <w:tab/>
      </w:r>
      <w:r w:rsidR="000A5D79" w:rsidRPr="00CE407B">
        <w:rPr>
          <w:noProof/>
        </w:rPr>
        <w:t>L-informazzjoni meħtieġa mill-Artikolu 431 tar-Regolament (UE) Nru 575/2013 għandha tkun ċara u komprensiva, filwaqt li tippermetti lill-utenti ta’ dik l-informazzjoni jifhmu d-divulgazzjonijiet kwantitattivi, u għandha titqiegħed maġenb il-mudelli li magħhom tkun relatata dik l-informazzjoni.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4.</w:t>
      </w:r>
      <w:r w:rsidRPr="00860506">
        <w:rPr>
          <w:noProof/>
        </w:rPr>
        <w:tab/>
      </w:r>
      <w:r w:rsidR="000A5D79" w:rsidRPr="00CE407B">
        <w:rPr>
          <w:noProof/>
        </w:rPr>
        <w:t>Il-valuri numeriċi għandhom jiġu ppreżentati kif ġej: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(a)</w:t>
      </w:r>
      <w:r w:rsidRPr="00860506">
        <w:rPr>
          <w:noProof/>
        </w:rPr>
        <w:tab/>
      </w:r>
      <w:r w:rsidR="000A5D79" w:rsidRPr="00CE407B">
        <w:rPr>
          <w:i/>
          <w:iCs/>
          <w:noProof/>
        </w:rPr>
        <w:t>data</w:t>
      </w:r>
      <w:r w:rsidR="000A5D79" w:rsidRPr="00CE407B">
        <w:rPr>
          <w:noProof/>
        </w:rPr>
        <w:t xml:space="preserve"> monetarja kwantitattiva għandha tiġi ddivulgata permezz ta’ preċiżjoni minima ekwivalenti għal miljuni ta’ unitajiet;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(a)</w:t>
      </w:r>
      <w:r w:rsidRPr="00860506">
        <w:rPr>
          <w:noProof/>
        </w:rPr>
        <w:tab/>
      </w:r>
      <w:r w:rsidR="000A5D79" w:rsidRPr="00CE407B">
        <w:rPr>
          <w:i/>
          <w:iCs/>
          <w:noProof/>
        </w:rPr>
        <w:t>data</w:t>
      </w:r>
      <w:r w:rsidR="000A5D79" w:rsidRPr="00CE407B">
        <w:rPr>
          <w:noProof/>
        </w:rPr>
        <w:t xml:space="preserve"> kwantitattiva ddivulgata bħala “perċentwal” għandha tiġi espressa bħala unità bi preċiżjoni minima ekwivalenti għal erba’ deċimali.</w:t>
      </w:r>
    </w:p>
    <w:p w:rsidR="000A5D79" w:rsidRPr="00CE407B" w:rsidRDefault="00757AA2" w:rsidP="00396A89">
      <w:pPr>
        <w:tabs>
          <w:tab w:val="left" w:pos="567"/>
        </w:tabs>
        <w:rPr>
          <w:noProof/>
        </w:rPr>
      </w:pPr>
      <w:r w:rsidRPr="00CE407B">
        <w:rPr>
          <w:noProof/>
        </w:rPr>
        <w:t>5.</w:t>
      </w:r>
      <w:r w:rsidRPr="00CE407B">
        <w:rPr>
          <w:noProof/>
        </w:rPr>
        <w:tab/>
        <w:t>L-istituzzjonijiet għandhom jipprovdu wkoll l-informazzjoni li ġejja: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(a)</w:t>
      </w:r>
      <w:r w:rsidRPr="00860506">
        <w:rPr>
          <w:noProof/>
        </w:rPr>
        <w:tab/>
      </w:r>
      <w:r w:rsidR="000A5D79" w:rsidRPr="00CE407B">
        <w:rPr>
          <w:noProof/>
        </w:rPr>
        <w:t>id-</w:t>
      </w:r>
      <w:r w:rsidR="000A5D79" w:rsidRPr="00CE407B">
        <w:rPr>
          <w:i/>
          <w:iCs/>
          <w:noProof/>
        </w:rPr>
        <w:t>data</w:t>
      </w:r>
      <w:r w:rsidR="000A5D79" w:rsidRPr="00CE407B">
        <w:rPr>
          <w:noProof/>
        </w:rPr>
        <w:t xml:space="preserve"> ta’ referenza u l-perjodu ta’ referenza tad-divulgazzjoni; 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(b)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il-munita tar-rapportar; 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(c)</w:t>
      </w:r>
      <w:r w:rsidRPr="00860506">
        <w:rPr>
          <w:noProof/>
        </w:rPr>
        <w:tab/>
      </w:r>
      <w:r w:rsidR="000A5D79" w:rsidRPr="00CE407B">
        <w:rPr>
          <w:noProof/>
        </w:rPr>
        <w:t>l-isem u, meta rilevanti, l-identifikatur ta’ entità ġuridika (LEI, legal entity identifier) tal-istituzzjoni li tiddivulga;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(d)</w:t>
      </w:r>
      <w:r w:rsidRPr="00860506">
        <w:rPr>
          <w:noProof/>
        </w:rPr>
        <w:tab/>
      </w:r>
      <w:r w:rsidR="000A5D79" w:rsidRPr="00CE407B">
        <w:rPr>
          <w:noProof/>
        </w:rPr>
        <w:t>meta rilevanti, l-istandard kontabilistiku użat;</w:t>
      </w:r>
    </w:p>
    <w:p w:rsidR="000A5D79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(e)</w:t>
      </w:r>
      <w:r w:rsidRPr="00860506">
        <w:rPr>
          <w:noProof/>
        </w:rPr>
        <w:tab/>
      </w:r>
      <w:r w:rsidR="000A5D79" w:rsidRPr="00CE407B">
        <w:rPr>
          <w:noProof/>
        </w:rPr>
        <w:t>meta rilevanti, il-kamp ta’ applikazzjoni tal-konsolidazzjoni.</w:t>
      </w:r>
    </w:p>
    <w:p w:rsidR="007B2B7C" w:rsidRPr="00CE407B" w:rsidRDefault="007B2B7C" w:rsidP="007B2B7C">
      <w:pPr>
        <w:pStyle w:val="Titrearticle"/>
        <w:rPr>
          <w:noProof/>
        </w:rPr>
      </w:pPr>
      <w:r w:rsidRPr="00CE407B">
        <w:rPr>
          <w:noProof/>
        </w:rPr>
        <w:t>Artikolu 26</w:t>
      </w:r>
    </w:p>
    <w:p w:rsidR="00AC044E" w:rsidRPr="00CE407B" w:rsidRDefault="00AC044E" w:rsidP="00CA4079">
      <w:pPr>
        <w:pStyle w:val="Titrearticle"/>
        <w:spacing w:before="120"/>
        <w:rPr>
          <w:b/>
          <w:noProof/>
        </w:rPr>
      </w:pPr>
      <w:r w:rsidRPr="00CE407B">
        <w:rPr>
          <w:b/>
          <w:i w:val="0"/>
          <w:noProof/>
        </w:rPr>
        <w:t>Perjodi ta’ divulgazzjoni u frekwenza</w:t>
      </w:r>
    </w:p>
    <w:p w:rsidR="00970F90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1.</w:t>
      </w:r>
      <w:r w:rsidRPr="00860506">
        <w:rPr>
          <w:noProof/>
        </w:rPr>
        <w:tab/>
      </w:r>
      <w:r w:rsidR="00AC044E" w:rsidRPr="00CE407B">
        <w:rPr>
          <w:noProof/>
        </w:rPr>
        <w:t xml:space="preserve">Il-perjodi ta’ divulgazzjoni għandhom jiġu ddefiniti bħala perjodi trimestrali T, T-1, T-2, T-3 u T-4. </w:t>
      </w:r>
    </w:p>
    <w:p w:rsidR="00AC044E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2.</w:t>
      </w:r>
      <w:r w:rsidRPr="00860506">
        <w:rPr>
          <w:noProof/>
        </w:rPr>
        <w:tab/>
      </w:r>
      <w:r w:rsidR="00D234F9" w:rsidRPr="00CE407B">
        <w:rPr>
          <w:noProof/>
        </w:rPr>
        <w:t>Ir-ringieli jew il-kolonni fil-</w:t>
      </w:r>
      <w:r w:rsidR="00D234F9" w:rsidRPr="00CE407B">
        <w:rPr>
          <w:noProof/>
          <w:color w:val="000000"/>
        </w:rPr>
        <w:t>formati ta’ divulgazzjoni uniformi msemmija fl-Anness I inklużi fis-</w:t>
      </w:r>
      <w:r w:rsidR="00D234F9" w:rsidRPr="00CE407B">
        <w:rPr>
          <w:noProof/>
        </w:rPr>
        <w:t xml:space="preserve">soluzzjonijiet tal-IT żviluppati mill-EBA għandhom jimtlew f’konformità mal-frekwenza tad-divulgazzjoni stipulata fl-Artikoli 433a, 433b u 433c tar-Regolament (UE) Nru 575/2013. </w:t>
      </w:r>
    </w:p>
    <w:p w:rsidR="00AC044E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3.</w:t>
      </w:r>
      <w:r w:rsidRPr="00860506">
        <w:rPr>
          <w:noProof/>
        </w:rPr>
        <w:tab/>
      </w:r>
      <w:r w:rsidR="00AC044E" w:rsidRPr="00CE407B">
        <w:rPr>
          <w:noProof/>
        </w:rPr>
        <w:t xml:space="preserve">L-istituzzjonijiet soġġetti għall-obbligu li jippubblikaw id-divulgazzjonijiet għandhom jiddivulgaw l-informazzjoni bil-frekwenza li ġejja: </w:t>
      </w:r>
    </w:p>
    <w:p w:rsidR="00AC044E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(a)</w:t>
      </w:r>
      <w:r w:rsidRPr="00860506">
        <w:rPr>
          <w:noProof/>
        </w:rPr>
        <w:tab/>
      </w:r>
      <w:r w:rsidR="00AC044E" w:rsidRPr="00CE407B">
        <w:rPr>
          <w:noProof/>
        </w:rPr>
        <w:t xml:space="preserve">l-istituzzjonijiet li jiddivulgaw l-informazzjoni li tinsab fl-Anness I fuq bażi trimestrali għandhom jipprovdu </w:t>
      </w:r>
      <w:r w:rsidR="00AC044E" w:rsidRPr="00CE407B">
        <w:rPr>
          <w:i/>
          <w:iCs/>
          <w:noProof/>
        </w:rPr>
        <w:t>data</w:t>
      </w:r>
      <w:r w:rsidR="00AC044E" w:rsidRPr="00CE407B">
        <w:rPr>
          <w:noProof/>
        </w:rPr>
        <w:t xml:space="preserve"> għall-perjodi T, T-1, T-2, T-3 u T-4; </w:t>
      </w:r>
    </w:p>
    <w:p w:rsidR="00AC044E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(b)</w:t>
      </w:r>
      <w:r w:rsidRPr="00860506">
        <w:rPr>
          <w:noProof/>
        </w:rPr>
        <w:tab/>
      </w:r>
      <w:r w:rsidR="00AC044E" w:rsidRPr="00CE407B">
        <w:rPr>
          <w:noProof/>
        </w:rPr>
        <w:t xml:space="preserve">l-istituzzjonijiet li jiddivulgaw l-informazzjoni li tinsab fl-Anness I fuq bażi semiannwali għandhom jipprovdu </w:t>
      </w:r>
      <w:r w:rsidR="00AC044E" w:rsidRPr="00CE407B">
        <w:rPr>
          <w:i/>
          <w:iCs/>
          <w:noProof/>
        </w:rPr>
        <w:t>data</w:t>
      </w:r>
      <w:r w:rsidR="00AC044E" w:rsidRPr="00CE407B">
        <w:rPr>
          <w:noProof/>
        </w:rPr>
        <w:t xml:space="preserve"> għall-perjodi T, T-2 u T-4; </w:t>
      </w:r>
    </w:p>
    <w:p w:rsidR="00AC044E" w:rsidRPr="00CE407B" w:rsidRDefault="00860506" w:rsidP="00860506">
      <w:pPr>
        <w:pStyle w:val="Point1"/>
        <w:rPr>
          <w:noProof/>
        </w:rPr>
      </w:pPr>
      <w:r w:rsidRPr="00860506">
        <w:rPr>
          <w:noProof/>
        </w:rPr>
        <w:t>(c)</w:t>
      </w:r>
      <w:r w:rsidRPr="00860506">
        <w:rPr>
          <w:noProof/>
        </w:rPr>
        <w:tab/>
      </w:r>
      <w:r w:rsidR="00AC044E" w:rsidRPr="00CE407B">
        <w:rPr>
          <w:noProof/>
        </w:rPr>
        <w:t xml:space="preserve">l-istituzzjonijiet li jiddivulgaw l-informazzjoni li tinsab fl-Anness I fuq bażi annwali għandhom jipprovdu </w:t>
      </w:r>
      <w:r w:rsidR="00AC044E" w:rsidRPr="00CE407B">
        <w:rPr>
          <w:i/>
          <w:iCs/>
          <w:noProof/>
        </w:rPr>
        <w:t>data</w:t>
      </w:r>
      <w:r w:rsidR="00AC044E" w:rsidRPr="00CE407B">
        <w:rPr>
          <w:noProof/>
        </w:rPr>
        <w:t xml:space="preserve"> għall-perjodi T u T-4.</w:t>
      </w:r>
    </w:p>
    <w:p w:rsidR="00AC044E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4.</w:t>
      </w:r>
      <w:r w:rsidRPr="00860506">
        <w:rPr>
          <w:noProof/>
        </w:rPr>
        <w:tab/>
      </w:r>
      <w:r w:rsidR="00AC044E" w:rsidRPr="00CE407B">
        <w:rPr>
          <w:noProof/>
        </w:rPr>
        <w:t>L-istituzzjonijiet għandhom jiddivulgaw id-dati li jikkorrispondu għall-perjodi ta’ divulgazzjoni.</w:t>
      </w:r>
    </w:p>
    <w:p w:rsidR="00AC044E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5.</w:t>
      </w:r>
      <w:r w:rsidRPr="00860506">
        <w:rPr>
          <w:noProof/>
        </w:rPr>
        <w:tab/>
      </w:r>
      <w:r w:rsidR="00AC044E" w:rsidRPr="00CE407B">
        <w:rPr>
          <w:noProof/>
        </w:rPr>
        <w:t>Id-divulgazzjoni tad-</w:t>
      </w:r>
      <w:r w:rsidR="00AC044E" w:rsidRPr="00CE407B">
        <w:rPr>
          <w:i/>
          <w:iCs/>
          <w:noProof/>
        </w:rPr>
        <w:t>data</w:t>
      </w:r>
      <w:r w:rsidR="00AC044E" w:rsidRPr="00CE407B">
        <w:rPr>
          <w:noProof/>
        </w:rPr>
        <w:t xml:space="preserve"> għal perjodi preċedenti ma għandhiex tkun meħtieġa meta d-</w:t>
      </w:r>
      <w:r w:rsidR="00AC044E" w:rsidRPr="00CE407B">
        <w:rPr>
          <w:i/>
          <w:iCs/>
          <w:noProof/>
        </w:rPr>
        <w:t>data</w:t>
      </w:r>
      <w:r w:rsidR="00AC044E" w:rsidRPr="00CE407B">
        <w:rPr>
          <w:noProof/>
        </w:rPr>
        <w:t xml:space="preserve"> tiġi ddivulgata għall-ewwel darba.</w:t>
      </w:r>
    </w:p>
    <w:p w:rsidR="000A5D79" w:rsidRPr="00CE407B" w:rsidRDefault="000A5D79" w:rsidP="000A5D79">
      <w:pPr>
        <w:pStyle w:val="Titrearticle"/>
        <w:rPr>
          <w:noProof/>
        </w:rPr>
      </w:pPr>
      <w:r w:rsidRPr="00CE407B">
        <w:rPr>
          <w:noProof/>
        </w:rPr>
        <w:t>Artikolu 27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Tħassir</w:t>
      </w:r>
    </w:p>
    <w:p w:rsidR="00B00045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1.</w:t>
      </w:r>
      <w:r w:rsidRPr="00860506">
        <w:rPr>
          <w:noProof/>
        </w:rPr>
        <w:tab/>
      </w:r>
      <w:r w:rsidR="000A5D79" w:rsidRPr="00CE407B">
        <w:rPr>
          <w:noProof/>
        </w:rPr>
        <w:t xml:space="preserve">Ir-Regolament ta’ Implimentazzjoni (UE) 2021/637 għandu jieqaf japplika mill-1 ta’ Jannar 2025, għajr għall-Artikolu 15 u l-Annessi XXIX u XXX. L-Artikolu 15 u l-Annessi XXIX u XXX tar-Regolament ta’ Implimentazzjoni (UE) 2021/637 għandhom jibqgħu japplikaw sal-31 ta’ Diċembru 2025 għall-finijiet biss tal-Artikolu 16 ta’ dan ir-Regolament. </w:t>
      </w:r>
    </w:p>
    <w:p w:rsidR="00B00045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2.</w:t>
      </w:r>
      <w:r w:rsidRPr="00860506">
        <w:rPr>
          <w:noProof/>
        </w:rPr>
        <w:tab/>
      </w:r>
      <w:r w:rsidR="00D87C7D" w:rsidRPr="00CE407B">
        <w:rPr>
          <w:noProof/>
        </w:rPr>
        <w:t xml:space="preserve">Ir-Regolament ta’ Implimentazzjoni (UE) 2021/637 jitħassar b’effett mill-31 ta’ Diċembru 2025. </w:t>
      </w:r>
    </w:p>
    <w:p w:rsidR="000A5D79" w:rsidRPr="00CE407B" w:rsidRDefault="00860506" w:rsidP="00860506">
      <w:pPr>
        <w:pStyle w:val="ManualNumPar1"/>
        <w:rPr>
          <w:noProof/>
        </w:rPr>
      </w:pPr>
      <w:r w:rsidRPr="00860506">
        <w:rPr>
          <w:noProof/>
        </w:rPr>
        <w:t>3.</w:t>
      </w:r>
      <w:r w:rsidRPr="00860506">
        <w:rPr>
          <w:noProof/>
        </w:rPr>
        <w:tab/>
      </w:r>
      <w:r w:rsidR="00056FFD" w:rsidRPr="00CE407B">
        <w:rPr>
          <w:noProof/>
        </w:rPr>
        <w:t>Ir-referenzi għar-Regolament imħassar għandhom jinftiehmu bħala referenzi għal dan ir-Regolament u jinqraw f’konformità mat-tabella ta’ korrelazzjoni fl-Anness II.</w:t>
      </w:r>
    </w:p>
    <w:p w:rsidR="000A5D79" w:rsidRPr="00CE407B" w:rsidRDefault="000A5D79" w:rsidP="001F6539">
      <w:pPr>
        <w:pStyle w:val="Titrearticle"/>
        <w:rPr>
          <w:noProof/>
        </w:rPr>
      </w:pPr>
      <w:r w:rsidRPr="00CE407B">
        <w:rPr>
          <w:noProof/>
        </w:rPr>
        <w:t>Artikolu 28</w:t>
      </w:r>
    </w:p>
    <w:p w:rsidR="000A5D79" w:rsidRPr="00CE407B" w:rsidRDefault="000A5D79" w:rsidP="000A5D79">
      <w:pPr>
        <w:pStyle w:val="Titrearticle"/>
        <w:spacing w:before="120"/>
        <w:rPr>
          <w:b/>
          <w:i w:val="0"/>
          <w:noProof/>
        </w:rPr>
      </w:pPr>
      <w:r w:rsidRPr="00CE407B">
        <w:rPr>
          <w:b/>
          <w:i w:val="0"/>
          <w:noProof/>
        </w:rPr>
        <w:t>Dħul fis-seħħ u applikazzjoni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>Dan ir-Regolament għandu jidħol fis-seħħ fl-għoxrin jum wara dak tal-pubblikazzjoni tiegħu f’</w:t>
      </w:r>
      <w:r w:rsidRPr="00CE407B">
        <w:rPr>
          <w:i/>
          <w:noProof/>
        </w:rPr>
        <w:t>Il-Ġurnal Uffiċjali tal-Unjoni Ewropea</w:t>
      </w:r>
      <w:r w:rsidRPr="00CE407B">
        <w:rPr>
          <w:noProof/>
        </w:rPr>
        <w:t>.</w:t>
      </w:r>
    </w:p>
    <w:p w:rsidR="000A5D79" w:rsidRPr="00CE407B" w:rsidRDefault="000A5D79" w:rsidP="000A5D79">
      <w:pPr>
        <w:rPr>
          <w:noProof/>
        </w:rPr>
      </w:pPr>
      <w:r w:rsidRPr="00CE407B">
        <w:rPr>
          <w:noProof/>
        </w:rPr>
        <w:t xml:space="preserve">Għandu japplika mill-1 ta’ Jannar 2025. </w:t>
      </w:r>
    </w:p>
    <w:p w:rsidR="0050796F" w:rsidRPr="00CE407B" w:rsidRDefault="0050796F">
      <w:pPr>
        <w:pStyle w:val="Applicationdirecte"/>
        <w:rPr>
          <w:noProof/>
        </w:rPr>
      </w:pPr>
      <w:r w:rsidRPr="00CE407B">
        <w:rPr>
          <w:noProof/>
        </w:rPr>
        <w:t>Dan ir-Regolament għandu jorbot fl-intier tiegħu u japplika direttament fl-Istati Membri kollha.</w:t>
      </w:r>
    </w:p>
    <w:p w:rsidR="0050796F" w:rsidRPr="00CE407B" w:rsidRDefault="004E5F9A" w:rsidP="00B80B96">
      <w:pPr>
        <w:pStyle w:val="Fait"/>
        <w:rPr>
          <w:noProof/>
        </w:rPr>
      </w:pPr>
      <w:r>
        <w:rPr>
          <w:noProof/>
        </w:rPr>
        <w:t>Magħmul fi Brussell, 29.11.2024</w:t>
      </w:r>
    </w:p>
    <w:p w:rsidR="0050796F" w:rsidRPr="00CE407B" w:rsidRDefault="0050796F" w:rsidP="00B80B96">
      <w:pPr>
        <w:pStyle w:val="Institutionquisigne"/>
        <w:rPr>
          <w:noProof/>
        </w:rPr>
      </w:pPr>
      <w:r w:rsidRPr="00CE407B">
        <w:rPr>
          <w:noProof/>
        </w:rPr>
        <w:tab/>
        <w:t>Għall-Kummissjoni</w:t>
      </w:r>
    </w:p>
    <w:p w:rsidR="0050796F" w:rsidRPr="00CE407B" w:rsidRDefault="00F45840" w:rsidP="0050796F">
      <w:pPr>
        <w:pStyle w:val="Personnequisigne"/>
        <w:rPr>
          <w:noProof/>
        </w:rPr>
      </w:pPr>
      <w:r>
        <w:rPr>
          <w:noProof/>
        </w:rPr>
        <w:tab/>
        <w:t>Il-President</w:t>
      </w:r>
      <w:r>
        <w:rPr>
          <w:noProof/>
        </w:rPr>
        <w:br/>
      </w:r>
      <w:r>
        <w:rPr>
          <w:noProof/>
        </w:rPr>
        <w:tab/>
        <w:t>Ursula VON DER LEYEN</w:t>
      </w:r>
    </w:p>
    <w:sectPr w:rsidR="0050796F" w:rsidRPr="00CE407B" w:rsidSect="00CF1A0F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15" w:rsidRDefault="00153F15" w:rsidP="0050796F">
      <w:pPr>
        <w:spacing w:before="0" w:after="0"/>
      </w:pPr>
      <w:r>
        <w:separator/>
      </w:r>
    </w:p>
  </w:endnote>
  <w:endnote w:type="continuationSeparator" w:id="0">
    <w:p w:rsidR="00153F15" w:rsidRDefault="00153F15" w:rsidP="0050796F">
      <w:pPr>
        <w:spacing w:before="0" w:after="0"/>
      </w:pPr>
      <w:r>
        <w:continuationSeparator/>
      </w:r>
    </w:p>
  </w:endnote>
  <w:endnote w:type="continuationNotice" w:id="1">
    <w:p w:rsidR="00153F15" w:rsidRDefault="00153F1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A0F" w:rsidRPr="00CF1A0F" w:rsidRDefault="00CF1A0F" w:rsidP="00CF1A0F">
    <w:pPr>
      <w:pStyle w:val="Footer"/>
      <w:rPr>
        <w:rFonts w:ascii="Arial" w:hAnsi="Arial" w:cs="Arial"/>
        <w:b/>
        <w:sz w:val="48"/>
      </w:rPr>
    </w:pPr>
    <w:r w:rsidRPr="00CF1A0F">
      <w:rPr>
        <w:rFonts w:ascii="Arial" w:hAnsi="Arial" w:cs="Arial"/>
        <w:b/>
        <w:sz w:val="48"/>
      </w:rPr>
      <w:t>MT</w:t>
    </w:r>
    <w:r w:rsidRPr="00CF1A0F">
      <w:rPr>
        <w:rFonts w:ascii="Arial" w:hAnsi="Arial" w:cs="Arial"/>
        <w:b/>
        <w:sz w:val="48"/>
      </w:rPr>
      <w:tab/>
    </w:r>
    <w:r w:rsidRPr="00CF1A0F">
      <w:rPr>
        <w:rFonts w:ascii="Arial" w:hAnsi="Arial" w:cs="Arial"/>
        <w:b/>
        <w:sz w:val="48"/>
      </w:rPr>
      <w:tab/>
    </w:r>
    <w:r w:rsidRPr="00CF1A0F">
      <w:tab/>
    </w:r>
    <w:r w:rsidRPr="00CF1A0F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A0F" w:rsidRPr="00CF1A0F" w:rsidRDefault="00CF1A0F" w:rsidP="00CF1A0F">
    <w:pPr>
      <w:pStyle w:val="Footer"/>
      <w:rPr>
        <w:rFonts w:ascii="Arial" w:hAnsi="Arial" w:cs="Arial"/>
        <w:b/>
        <w:sz w:val="48"/>
      </w:rPr>
    </w:pPr>
    <w:r w:rsidRPr="00CF1A0F">
      <w:rPr>
        <w:rFonts w:ascii="Arial" w:hAnsi="Arial" w:cs="Arial"/>
        <w:b/>
        <w:sz w:val="48"/>
      </w:rPr>
      <w:t>MT</w:t>
    </w:r>
    <w:r w:rsidRPr="00CF1A0F">
      <w:rPr>
        <w:rFonts w:ascii="Arial" w:hAnsi="Arial" w:cs="Arial"/>
        <w:b/>
        <w:sz w:val="48"/>
      </w:rPr>
      <w:tab/>
    </w:r>
    <w:r w:rsidRPr="00CF1A0F">
      <w:rPr>
        <w:rFonts w:ascii="Arial" w:hAnsi="Arial" w:cs="Arial"/>
        <w:b/>
        <w:sz w:val="48"/>
      </w:rPr>
      <w:tab/>
    </w:r>
    <w:r w:rsidRPr="00CF1A0F">
      <w:tab/>
    </w:r>
    <w:r w:rsidRPr="00CF1A0F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A0F" w:rsidRDefault="00CF1A0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A0F" w:rsidRPr="00CF1A0F" w:rsidRDefault="00CF1A0F" w:rsidP="00CF1A0F">
    <w:pPr>
      <w:pStyle w:val="Footer"/>
      <w:rPr>
        <w:rFonts w:ascii="Arial" w:hAnsi="Arial" w:cs="Arial"/>
        <w:b/>
        <w:sz w:val="48"/>
      </w:rPr>
    </w:pPr>
    <w:r w:rsidRPr="00CF1A0F">
      <w:rPr>
        <w:rFonts w:ascii="Arial" w:hAnsi="Arial" w:cs="Arial"/>
        <w:b/>
        <w:sz w:val="48"/>
      </w:rPr>
      <w:t>MT</w:t>
    </w:r>
    <w:r w:rsidRPr="00CF1A0F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B80B96">
      <w:rPr>
        <w:noProof/>
      </w:rPr>
      <w:t>14</w:t>
    </w:r>
    <w:r>
      <w:fldChar w:fldCharType="end"/>
    </w:r>
    <w:r>
      <w:tab/>
    </w:r>
    <w:r w:rsidRPr="00CF1A0F">
      <w:tab/>
    </w:r>
    <w:r w:rsidRPr="00CF1A0F">
      <w:rPr>
        <w:rFonts w:ascii="Arial" w:hAnsi="Arial" w:cs="Arial"/>
        <w:b/>
        <w:sz w:val="48"/>
      </w:rPr>
      <w:t>MT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A0F" w:rsidRDefault="00CF1A0F" w:rsidP="00CF1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15" w:rsidRDefault="00153F15" w:rsidP="0050796F">
      <w:pPr>
        <w:spacing w:before="0" w:after="0"/>
      </w:pPr>
      <w:r>
        <w:separator/>
      </w:r>
    </w:p>
  </w:footnote>
  <w:footnote w:type="continuationSeparator" w:id="0">
    <w:p w:rsidR="00153F15" w:rsidRDefault="00153F15" w:rsidP="0050796F">
      <w:pPr>
        <w:spacing w:before="0" w:after="0"/>
      </w:pPr>
      <w:r>
        <w:continuationSeparator/>
      </w:r>
    </w:p>
  </w:footnote>
  <w:footnote w:type="continuationNotice" w:id="1">
    <w:p w:rsidR="00153F15" w:rsidRDefault="00153F15">
      <w:pPr>
        <w:spacing w:before="0" w:after="0"/>
      </w:pPr>
    </w:p>
  </w:footnote>
  <w:footnote w:id="2">
    <w:p w:rsidR="000A5D79" w:rsidRPr="007A31CC" w:rsidRDefault="000A5D79" w:rsidP="00115B95">
      <w:pPr>
        <w:pStyle w:val="FootnoteText"/>
      </w:pPr>
      <w:r>
        <w:rPr>
          <w:rStyle w:val="FootnoteReference"/>
        </w:rPr>
        <w:footnoteRef/>
      </w:r>
      <w:r>
        <w:tab/>
        <w:t xml:space="preserve">ĠU L 176, 27.6.2013, p. 1., ELI: </w:t>
      </w:r>
      <w:hyperlink r:id="rId1" w:tooltip="Jagħti aċċess għal dan id-dokument permezz tal-URI tal-ELI tiegħu." w:history="1">
        <w:r>
          <w:t>http://data.europa.eu/eli/reg/2013/575/oj</w:t>
        </w:r>
      </w:hyperlink>
      <w:r>
        <w:t>.</w:t>
      </w:r>
    </w:p>
  </w:footnote>
  <w:footnote w:id="3">
    <w:p w:rsidR="00021AB3" w:rsidRPr="00DA4EC3" w:rsidRDefault="00021AB3" w:rsidP="00021AB3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ta’ Implimentazzjoni tal-Kummissjoni (UE) 2021/637 tal-15 ta’ Marzu 2021 li jistabbilixxi l-istandards tekniċi ta’ implimentazzjoni fir-rigward tad-divulgazzjonijiet pubbliċi mill-istituzzjonijiet tal-informazzjoni msemmija fit-Titoli II u III tal-Parti Tmienja tar-Regolament (UE) Nru 575/2013 tal-Parlament Ewropew u tal-Kunsill u li jħassar ir-Regolament ta’ Implimentazzjoni tal-Kummissjoni (UE) Nru 1423/2013, ir-Regolament ta’ Delega tal-Kummissjoni (UE) 2015/1555, ir-Regolament ta’ Implimentazzjoni tal-Kummissjoni (UE) 2016/200 u r-Regolament Delegat tal-Kummissjoni (UE) 2017/2295 (ĠU L 136, 21.4.2021, p. 1, ELI: </w:t>
      </w:r>
      <w:hyperlink r:id="rId2" w:history="1">
        <w:r>
          <w:rPr>
            <w:rStyle w:val="Hyperlink"/>
          </w:rPr>
          <w:t>http://data.europa.eu/eli/reg_impl/2021/637/oj</w:t>
        </w:r>
      </w:hyperlink>
      <w:r>
        <w:t>).</w:t>
      </w:r>
    </w:p>
  </w:footnote>
  <w:footnote w:id="4">
    <w:p w:rsidR="00021AB3" w:rsidRPr="00DA4EC3" w:rsidRDefault="00021AB3" w:rsidP="00021AB3">
      <w:pPr>
        <w:pStyle w:val="FootnoteText"/>
      </w:pPr>
      <w:r>
        <w:rPr>
          <w:rStyle w:val="FootnoteReference"/>
        </w:rPr>
        <w:footnoteRef/>
      </w:r>
      <w:r>
        <w:tab/>
        <w:t xml:space="preserve">Ir-Regolament (UE) 2024/1623 tal-Parlament Ewropew u tal-Kunsill tal-31 ta’ Mejju 2024 li jemenda r-Regolament (UE) Nru 575/2013 fir-rigward tar-rekwiżiti għar-riskju ta' kreditu, għar-riskju ta' aġġustament tal-valwazzjoni tal-kreditu, għar-riskju operazzjonali, għar-riskju tas-suq u għall-minimu tal-output. (ĠU L, 2024/1623, 19.6.2024, ELI: </w:t>
      </w:r>
      <w:hyperlink r:id="rId3" w:history="1">
        <w:r>
          <w:rPr>
            <w:rStyle w:val="Hyperlink"/>
          </w:rPr>
          <w:t>http://data.europa.eu/eli/reg/2024/1623/oj</w:t>
        </w:r>
      </w:hyperlink>
      <w:r>
        <w:t>).</w:t>
      </w:r>
    </w:p>
  </w:footnote>
  <w:footnote w:id="5">
    <w:p w:rsidR="008B3F27" w:rsidRPr="009A75BF" w:rsidRDefault="00BB0B33" w:rsidP="005269C8">
      <w:pPr>
        <w:pStyle w:val="FootnoteText"/>
      </w:pPr>
      <w:r>
        <w:rPr>
          <w:rStyle w:val="FootnoteReference"/>
        </w:rPr>
        <w:footnoteRef/>
      </w:r>
      <w:r>
        <w:tab/>
        <w:t xml:space="preserve">Id-Direttiva 2013/36/UE tal-Parlament Ewropew u tal-Kunsill tas-26 ta’ Ġunju 2013 dwar l-aċċess għall-attività tal-istituzzjonijiet ta’ kreditu u s-superviżjoni prudenzjali tal-istituzzjonijiet ta’ kreditu, li temenda d-Direttiva 2002/87/KE u li tħassar id-Direttivi 2006/48/KE u 2006/49/KE Test b’rilevanza għaż-ŻEE (ĠU L 176, 27.6.2013, p. 338, ELI: http://data.europa.eu/eli/dir/2013/36/oj). </w:t>
      </w:r>
    </w:p>
  </w:footnote>
  <w:footnote w:id="6">
    <w:p w:rsidR="008E7046" w:rsidRPr="008E7046" w:rsidRDefault="008E7046">
      <w:pPr>
        <w:pStyle w:val="FootnoteText"/>
      </w:pPr>
      <w:r>
        <w:rPr>
          <w:rStyle w:val="FootnoteReference"/>
        </w:rPr>
        <w:footnoteRef/>
      </w:r>
      <w:r>
        <w:tab/>
        <w:t>Ir-Regolament (UE) 2020/852 tal-Parlament Ewropew u tal-Kunsill tat-18 ta’ Ġunju 2020 dwar l-istabbiliment ta’ qafas biex jiġi ffaċilitat l-investiment sostenibbli, u li jemenda r-Regolament (UE) 2019/2088 (ĠU L 198, 22.6.2020, p. 13, ELI: http://data.europa.eu/eli/reg/2020/852/oj).</w:t>
      </w:r>
    </w:p>
  </w:footnote>
  <w:footnote w:id="7">
    <w:p w:rsidR="000A5D79" w:rsidRDefault="000A5D79" w:rsidP="00115B95">
      <w:pPr>
        <w:pStyle w:val="FootnoteText"/>
      </w:pPr>
      <w:r>
        <w:rPr>
          <w:rStyle w:val="FootnoteReference"/>
        </w:rPr>
        <w:footnoteRef/>
      </w:r>
      <w:r>
        <w:tab/>
        <w:t>Ir-Regolament Delegat tal-Kummissjoni (UE) 2020/1818 tas-17 ta’ Lulju 2020 li jissupplimenta r-Regolament (UE) 2016/1011 tal-Parlament Ewropew u tal-Kunsill fir-rigward tal-istandards minimi għall-Parametri Referenzjarji tat-Tranżizzjoni Klimatika tal-UE u l-Parametri Referenzjarji tal-UE allinjati mal-Ftehim ta’ Pariġi (ĠU L 406, 3.12.2020, p. 17, ELI: http://data.europa.eu/eli/reg_del/2020/1818/oj).</w:t>
      </w:r>
    </w:p>
  </w:footnote>
  <w:footnote w:id="8">
    <w:p w:rsidR="000A5D79" w:rsidRDefault="000A5D79" w:rsidP="00115B95">
      <w:pPr>
        <w:pStyle w:val="FootnoteText"/>
      </w:pPr>
      <w:r>
        <w:rPr>
          <w:rStyle w:val="FootnoteReference"/>
        </w:rPr>
        <w:footnoteRef/>
      </w:r>
      <w:r>
        <w:tab/>
        <w:t>Id-Direttiva 2010/31/UE tal-Parlament Ewropew u tal-Kunsill tad-19 ta’ Mejju 2010 dwar ir-rendiment tal-bini fl-użu tal-enerġija (tfassil mill-ġdid) (ĠU L 153, 18.6.2010, p. 13, ELI: http://data.europa.eu/eli/dir/2010/31/oj).</w:t>
      </w:r>
    </w:p>
  </w:footnote>
  <w:footnote w:id="9">
    <w:p w:rsidR="000A5D79" w:rsidRDefault="000A5D79" w:rsidP="00115B95">
      <w:pPr>
        <w:pStyle w:val="FootnoteText"/>
      </w:pPr>
      <w:r>
        <w:rPr>
          <w:rStyle w:val="FootnoteReference"/>
        </w:rPr>
        <w:footnoteRef/>
      </w:r>
      <w:r>
        <w:tab/>
        <w:t>Id-Direttiva 2013/34/UE tal-Parlament Ewropew u tal-Kunsill tas-26 ta' Ġunju 2013 dwar id-dikjarazzjonijiet finanzjarji annwali, id-dikjarazzjonijiet finanzjarji kkonsolidati u r-rapporti relatati ta’ ċerti tipi ta’ impriżi, u li temenda d-Direttiva 2006/43/KE tal-Parlament Ewropew u tal-Kunsill u li tħassar id-Direttivi tal-Kunsill 78/660/KEE u 83/349/KEE (ĠU L 182, 29.6.2013, p. 19, ELI: http://data.europa.eu/eli/dir/2013/34/oj).</w:t>
      </w:r>
    </w:p>
  </w:footnote>
  <w:footnote w:id="10">
    <w:p w:rsidR="000A5D79" w:rsidRPr="00587191" w:rsidRDefault="000A5D79" w:rsidP="00115B95">
      <w:pPr>
        <w:pStyle w:val="FootnoteText"/>
      </w:pPr>
      <w:r>
        <w:rPr>
          <w:rStyle w:val="FootnoteReference"/>
        </w:rPr>
        <w:footnoteRef/>
      </w:r>
      <w:r>
        <w:tab/>
        <w:t>Ir-Regolament (UE) Nru 1093/2010 tal-Parlament Ewropew u tal-Kunsill tal-24 ta’ Novembru 2010 li jistabbilixxi Awtorità Superviżorja Ewropea (Awtorità Bankarja Ewropea) u li jemenda d-Deċiżjoni Nru 716/2009/KE u jħassar id-Deċiżjoni tal-Kummissjoni 2009/78/KE (ĠU L 331, 15.12.2010, p. 12, ELI: http://data.europa.eu/eli/reg/2010/1093/oj).</w:t>
      </w:r>
    </w:p>
  </w:footnote>
  <w:footnote w:id="11">
    <w:p w:rsidR="004076A2" w:rsidRPr="004076A2" w:rsidRDefault="004076A2" w:rsidP="009A75BF">
      <w:pPr>
        <w:pStyle w:val="FootnoteText"/>
      </w:pPr>
      <w:r>
        <w:rPr>
          <w:rStyle w:val="FootnoteReference"/>
        </w:rPr>
        <w:footnoteRef/>
      </w:r>
      <w:r>
        <w:tab/>
        <w:t>Ir-Regolament ta’ Delega tal-Kummissjoni (UE) Nru 1222/2014 tat-8 ta’ Ottubru 2014 li jissupplimenta d-Direttiva 2013/36/UE tal-Parlament Ewropew u tal-Kunsill fir-rigward ta’ standards tekniċi regolatorji għall-ispeċifikazzjoni tal-metodoloġija għall-identifikazzjoni ta’ istituzzjonijiet globali sistemikament importanti u għad-definizzjoni ta’ subkategoriji ta’ istituzzjonijiet globali sistemikament importanti (ĠU L 330, 15.11.2014, p. 27, ELI: http://data.europa.eu/eli/reg_del/2014/1222/oj).</w:t>
      </w:r>
    </w:p>
  </w:footnote>
  <w:footnote w:id="12">
    <w:p w:rsidR="000A5D79" w:rsidRPr="0010228D" w:rsidRDefault="000A5D79" w:rsidP="000A5D79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333333"/>
          <w:shd w:val="clear" w:color="auto" w:fill="FFFFFF"/>
        </w:rPr>
        <w:t>Ir-Regolament ta’ Implimentazzjoni tal-Kummissjoni (UE) 2022/2453 tat-30 ta’ Novembru 2022 li jemenda l-istandards tekniċi ta’ implimentazzjoni stabbiliti fir-Regolament ta’ Implimentazzjoni (UE) 2021/637 fir-rigward tad-divulgazzjoni tar-riskji ambjentali, soċjali u ta’ governanza (</w:t>
      </w:r>
      <w:r>
        <w:t>ĠU L 324, 19.12.2022, p. 1, ELI: </w:t>
      </w:r>
      <w:hyperlink r:id="rId4" w:tooltip="Jagħti aċċess għal dan id-dokument permezz tal-URI tal-ELI tiegħu." w:history="1">
        <w:r>
          <w:t>http://data.europa.eu/eli/reg_impl/2022/2453/oj</w:t>
        </w:r>
      </w:hyperlink>
      <w:r>
        <w:t>).</w:t>
      </w:r>
    </w:p>
  </w:footnote>
  <w:footnote w:id="13">
    <w:p w:rsidR="000A5D79" w:rsidRDefault="000A5D79" w:rsidP="00115B95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tal-Kummissjoni (UE) 2021/451 tas-17 ta’ Diċembru 2020 li jistabbilixxi standards tekniċi ta’ implimentazzjoni għall-applikazzjoni tar-Regolament (UE) Nru 575/2013 tal-Parlament Ewropew u tal-Kunsill fir-rigward tar-rapportar superviżorju tal-istituzzjonijiet u li jħassar ir-Regolament ta’ Implimentazzjoni (UE) Nru 680/2014 (ĠU L 97, 19.3.2021, p. 1, ELI: http://data.europa.eu/eli/reg_impl/2021/451/oj).</w:t>
      </w:r>
    </w:p>
  </w:footnote>
  <w:footnote w:id="14">
    <w:p w:rsidR="000A5D79" w:rsidRPr="00396A89" w:rsidRDefault="000A5D79" w:rsidP="009A75BF">
      <w:pPr>
        <w:pStyle w:val="FootnoteText"/>
      </w:pPr>
      <w:r>
        <w:rPr>
          <w:rStyle w:val="FootnoteReference"/>
        </w:rPr>
        <w:footnoteRef/>
      </w:r>
      <w:r>
        <w:tab/>
        <w:t>Ir-Regolament Delegat tal-Kummissjoni (UE) 2021/2178 tas-6 ta’ Lulju 2021 li jissupplimenta r-Regolament (UE) 2020/852 tal-Parlament Ewropew u tal-Kunsill billi jispeċifika l-kontenut u l-preżentazzjoni ta’ informazzjoni li għandha tiġi żvelata minn impriżi soġġetti għall-Artikoli 19a jew 29a tad-Direttiva 2013/34/UE dwar attivitajiet ekonomiċi ambjentalment sostenibbli, u li jispeċifika l-metodoloġija biex ikun hemm konformità ma’ dan l-obbligu ta’ żvelar (ĠU L 443, 10.12.2021, p. 9, ELI: http://data.europa.eu/eli/reg_del/2021/2178/oj).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A0F" w:rsidRDefault="00CF1A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A0F" w:rsidRDefault="00CF1A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86BE90D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BD10AE5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CA8AAF2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15E9B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9AFEF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3EE62E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3C1EBCC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2"/>
  </w:num>
  <w:num w:numId="26">
    <w:abstractNumId w:val="21"/>
  </w:num>
  <w:num w:numId="27">
    <w:abstractNumId w:val="11"/>
  </w:num>
  <w:num w:numId="28">
    <w:abstractNumId w:val="13"/>
  </w:num>
  <w:num w:numId="29">
    <w:abstractNumId w:val="14"/>
  </w:num>
  <w:num w:numId="30">
    <w:abstractNumId w:val="9"/>
  </w:num>
  <w:num w:numId="31">
    <w:abstractNumId w:val="20"/>
  </w:num>
  <w:num w:numId="32">
    <w:abstractNumId w:val="8"/>
  </w:num>
  <w:num w:numId="33">
    <w:abstractNumId w:val="15"/>
  </w:num>
  <w:num w:numId="34">
    <w:abstractNumId w:val="17"/>
  </w:num>
  <w:num w:numId="35">
    <w:abstractNumId w:val="18"/>
  </w:num>
  <w:num w:numId="36">
    <w:abstractNumId w:val="10"/>
  </w:num>
  <w:num w:numId="37">
    <w:abstractNumId w:val="16"/>
  </w:num>
  <w:num w:numId="38">
    <w:abstractNumId w:val="2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QCDateTime" w:val="2024-11-22 10:30:47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DA5483A3-0ECD-4921-AE17-19C2AC121712"/>
    <w:docVar w:name="LW_COVERPAGE_TYPE" w:val="1"/>
    <w:docVar w:name="LW_CROSSREFERENCE" w:val="&lt;UNUSED&gt;"/>
    <w:docVar w:name="LW_DATE.ADOPT.CP" w:val="ta'29.11.2024"/>
    <w:docVar w:name="LW_DATE.ADOPT.CP_DATEFORMAT" w:val="ta'%DATE%"/>
    <w:docVar w:name="LW_DATE.ADOPT.CP_ISODATE" w:val="2024-11-29"/>
    <w:docVar w:name="LW_DocType" w:val="COM"/>
    <w:docVar w:name="LW_EMISSION" w:val="29.11.2024"/>
    <w:docVar w:name="LW_EMISSION_ISODATE" w:val="2024-11-29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\u8217?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4) 8373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istabbilixxi l-istandards tekni\u267?i ta\u8217? implimentazzjoni g\u295?all-applikazzjoni tar-Regolament (UE) Nru 575/2013 tal-Parlament Ewropew u tal-Kunsill fir-rigward tad-divulgazzjonijiet pubbli\u267?i mill-istituzzjonijiet tal-informazzjoni msemmija fil-Parti Tmienja, it-Titoli II u III, ta\u8217? dak ir-Regolament u li j\u295?assar ir-Regolament ta\u8217? Implimentazzjoni tal-Kummissjoni (UE) 2021/637"/>
    <w:docVar w:name="LW_TYPE.DOC.CP" w:val="REGOLAMENT TA\u8217? IMPLIMENTAZZJONI TAL-KUMMISSJONI (UE) .../..."/>
    <w:docVar w:name="LwApiVersions" w:val="LW4CoDe 1.24.5.0; LW 9.0, Build 20240221"/>
  </w:docVars>
  <w:rsids>
    <w:rsidRoot w:val="0050796F"/>
    <w:rsid w:val="00000FB0"/>
    <w:rsid w:val="000069F5"/>
    <w:rsid w:val="00007267"/>
    <w:rsid w:val="000077D6"/>
    <w:rsid w:val="000112A9"/>
    <w:rsid w:val="0001301D"/>
    <w:rsid w:val="00015017"/>
    <w:rsid w:val="00015324"/>
    <w:rsid w:val="000179F1"/>
    <w:rsid w:val="000209CD"/>
    <w:rsid w:val="00021AB3"/>
    <w:rsid w:val="00022D42"/>
    <w:rsid w:val="00023135"/>
    <w:rsid w:val="0002377C"/>
    <w:rsid w:val="00024BAD"/>
    <w:rsid w:val="000274F8"/>
    <w:rsid w:val="00027AF6"/>
    <w:rsid w:val="00033349"/>
    <w:rsid w:val="0003339F"/>
    <w:rsid w:val="000362E8"/>
    <w:rsid w:val="00040ACA"/>
    <w:rsid w:val="00041E85"/>
    <w:rsid w:val="0004381D"/>
    <w:rsid w:val="00047A8E"/>
    <w:rsid w:val="00047D7A"/>
    <w:rsid w:val="00047FD5"/>
    <w:rsid w:val="00050BD0"/>
    <w:rsid w:val="00051490"/>
    <w:rsid w:val="00051509"/>
    <w:rsid w:val="00056FFD"/>
    <w:rsid w:val="000576D1"/>
    <w:rsid w:val="00060651"/>
    <w:rsid w:val="00070B46"/>
    <w:rsid w:val="00070FC9"/>
    <w:rsid w:val="00073D27"/>
    <w:rsid w:val="00075B3F"/>
    <w:rsid w:val="00076E33"/>
    <w:rsid w:val="00080DE1"/>
    <w:rsid w:val="000836B2"/>
    <w:rsid w:val="000876ED"/>
    <w:rsid w:val="00091E1F"/>
    <w:rsid w:val="00092E7E"/>
    <w:rsid w:val="000961F5"/>
    <w:rsid w:val="000A0561"/>
    <w:rsid w:val="000A0EBE"/>
    <w:rsid w:val="000A4375"/>
    <w:rsid w:val="000A4D0A"/>
    <w:rsid w:val="000A5D79"/>
    <w:rsid w:val="000A6330"/>
    <w:rsid w:val="000A72C3"/>
    <w:rsid w:val="000B02C7"/>
    <w:rsid w:val="000B0BA3"/>
    <w:rsid w:val="000B104E"/>
    <w:rsid w:val="000B19C9"/>
    <w:rsid w:val="000B246E"/>
    <w:rsid w:val="000B2E2C"/>
    <w:rsid w:val="000B3825"/>
    <w:rsid w:val="000B48E1"/>
    <w:rsid w:val="000B7A7D"/>
    <w:rsid w:val="000C0176"/>
    <w:rsid w:val="000C0E78"/>
    <w:rsid w:val="000C1A66"/>
    <w:rsid w:val="000C1DB7"/>
    <w:rsid w:val="000C2AE8"/>
    <w:rsid w:val="000C32A7"/>
    <w:rsid w:val="000C4361"/>
    <w:rsid w:val="000C665F"/>
    <w:rsid w:val="000C7571"/>
    <w:rsid w:val="000D2D47"/>
    <w:rsid w:val="000D426D"/>
    <w:rsid w:val="000D56AD"/>
    <w:rsid w:val="000D71EF"/>
    <w:rsid w:val="000D7867"/>
    <w:rsid w:val="000E2A21"/>
    <w:rsid w:val="000E4D43"/>
    <w:rsid w:val="000E633D"/>
    <w:rsid w:val="000E76CB"/>
    <w:rsid w:val="000F3681"/>
    <w:rsid w:val="000F3823"/>
    <w:rsid w:val="000F4F0C"/>
    <w:rsid w:val="001007AB"/>
    <w:rsid w:val="00101FC2"/>
    <w:rsid w:val="001031D7"/>
    <w:rsid w:val="001035BA"/>
    <w:rsid w:val="0010608B"/>
    <w:rsid w:val="00106979"/>
    <w:rsid w:val="00106D81"/>
    <w:rsid w:val="00107611"/>
    <w:rsid w:val="00111E32"/>
    <w:rsid w:val="001129D5"/>
    <w:rsid w:val="001157D0"/>
    <w:rsid w:val="00115B95"/>
    <w:rsid w:val="00120290"/>
    <w:rsid w:val="001235B8"/>
    <w:rsid w:val="00125265"/>
    <w:rsid w:val="001264C4"/>
    <w:rsid w:val="00127569"/>
    <w:rsid w:val="00127E0D"/>
    <w:rsid w:val="001301F3"/>
    <w:rsid w:val="001315E0"/>
    <w:rsid w:val="0013240D"/>
    <w:rsid w:val="00134938"/>
    <w:rsid w:val="001359CA"/>
    <w:rsid w:val="0013680B"/>
    <w:rsid w:val="00140865"/>
    <w:rsid w:val="00141D7F"/>
    <w:rsid w:val="0014365C"/>
    <w:rsid w:val="00143EF8"/>
    <w:rsid w:val="00151BBC"/>
    <w:rsid w:val="00152894"/>
    <w:rsid w:val="00153F15"/>
    <w:rsid w:val="001548C4"/>
    <w:rsid w:val="001559A0"/>
    <w:rsid w:val="00155E24"/>
    <w:rsid w:val="00160D06"/>
    <w:rsid w:val="00161353"/>
    <w:rsid w:val="00161AED"/>
    <w:rsid w:val="00162CE7"/>
    <w:rsid w:val="00164225"/>
    <w:rsid w:val="00166668"/>
    <w:rsid w:val="00166A5F"/>
    <w:rsid w:val="00171501"/>
    <w:rsid w:val="00176700"/>
    <w:rsid w:val="001817FC"/>
    <w:rsid w:val="00182A12"/>
    <w:rsid w:val="00182DAE"/>
    <w:rsid w:val="0019475E"/>
    <w:rsid w:val="00194D53"/>
    <w:rsid w:val="0019512F"/>
    <w:rsid w:val="001965F3"/>
    <w:rsid w:val="001A170B"/>
    <w:rsid w:val="001A3EA8"/>
    <w:rsid w:val="001A4786"/>
    <w:rsid w:val="001A60C4"/>
    <w:rsid w:val="001A7790"/>
    <w:rsid w:val="001B0F13"/>
    <w:rsid w:val="001B1DF6"/>
    <w:rsid w:val="001B4620"/>
    <w:rsid w:val="001C15FE"/>
    <w:rsid w:val="001C319D"/>
    <w:rsid w:val="001C5687"/>
    <w:rsid w:val="001C77C7"/>
    <w:rsid w:val="001D0EF7"/>
    <w:rsid w:val="001D1885"/>
    <w:rsid w:val="001D4621"/>
    <w:rsid w:val="001D5F0F"/>
    <w:rsid w:val="001E0EB2"/>
    <w:rsid w:val="001E4487"/>
    <w:rsid w:val="001E4DA7"/>
    <w:rsid w:val="001E5262"/>
    <w:rsid w:val="001E6AAD"/>
    <w:rsid w:val="001F4A6B"/>
    <w:rsid w:val="001F564A"/>
    <w:rsid w:val="001F5E01"/>
    <w:rsid w:val="001F6539"/>
    <w:rsid w:val="00204A69"/>
    <w:rsid w:val="0020657E"/>
    <w:rsid w:val="00210AD7"/>
    <w:rsid w:val="00211141"/>
    <w:rsid w:val="0021307C"/>
    <w:rsid w:val="00214FE8"/>
    <w:rsid w:val="00215B8C"/>
    <w:rsid w:val="002207C4"/>
    <w:rsid w:val="00222119"/>
    <w:rsid w:val="00225DA0"/>
    <w:rsid w:val="00230BAF"/>
    <w:rsid w:val="00232A0E"/>
    <w:rsid w:val="002339D1"/>
    <w:rsid w:val="00234023"/>
    <w:rsid w:val="002344AB"/>
    <w:rsid w:val="00235E29"/>
    <w:rsid w:val="00237F28"/>
    <w:rsid w:val="00241BF0"/>
    <w:rsid w:val="00242BE2"/>
    <w:rsid w:val="00243ADE"/>
    <w:rsid w:val="00250816"/>
    <w:rsid w:val="00251078"/>
    <w:rsid w:val="002526FE"/>
    <w:rsid w:val="00255D7D"/>
    <w:rsid w:val="0025605E"/>
    <w:rsid w:val="00256D6C"/>
    <w:rsid w:val="00257B58"/>
    <w:rsid w:val="00266749"/>
    <w:rsid w:val="00267194"/>
    <w:rsid w:val="0027576C"/>
    <w:rsid w:val="002775F7"/>
    <w:rsid w:val="0028163C"/>
    <w:rsid w:val="00281B06"/>
    <w:rsid w:val="00282C75"/>
    <w:rsid w:val="0028395D"/>
    <w:rsid w:val="0028636F"/>
    <w:rsid w:val="00287065"/>
    <w:rsid w:val="00291D4D"/>
    <w:rsid w:val="002930E4"/>
    <w:rsid w:val="0029662F"/>
    <w:rsid w:val="00296680"/>
    <w:rsid w:val="002A01F0"/>
    <w:rsid w:val="002A0CE4"/>
    <w:rsid w:val="002A2739"/>
    <w:rsid w:val="002A2D5F"/>
    <w:rsid w:val="002A3BBF"/>
    <w:rsid w:val="002A6AE8"/>
    <w:rsid w:val="002B04BA"/>
    <w:rsid w:val="002B2AAC"/>
    <w:rsid w:val="002B53F1"/>
    <w:rsid w:val="002B63D5"/>
    <w:rsid w:val="002B6A4F"/>
    <w:rsid w:val="002C0059"/>
    <w:rsid w:val="002C0A5B"/>
    <w:rsid w:val="002C1819"/>
    <w:rsid w:val="002C40D6"/>
    <w:rsid w:val="002C4EEB"/>
    <w:rsid w:val="002C598A"/>
    <w:rsid w:val="002C6127"/>
    <w:rsid w:val="002C6BBC"/>
    <w:rsid w:val="002D1BF8"/>
    <w:rsid w:val="002D4DC9"/>
    <w:rsid w:val="002D57DD"/>
    <w:rsid w:val="002E0175"/>
    <w:rsid w:val="002E4605"/>
    <w:rsid w:val="002E49AF"/>
    <w:rsid w:val="002E716D"/>
    <w:rsid w:val="002E79F5"/>
    <w:rsid w:val="002F31C7"/>
    <w:rsid w:val="00301E58"/>
    <w:rsid w:val="00303350"/>
    <w:rsid w:val="003052F8"/>
    <w:rsid w:val="00311F17"/>
    <w:rsid w:val="00312788"/>
    <w:rsid w:val="00314052"/>
    <w:rsid w:val="00314060"/>
    <w:rsid w:val="0031606B"/>
    <w:rsid w:val="00317E12"/>
    <w:rsid w:val="00331519"/>
    <w:rsid w:val="0033542F"/>
    <w:rsid w:val="00336386"/>
    <w:rsid w:val="00337D50"/>
    <w:rsid w:val="00343643"/>
    <w:rsid w:val="00343B81"/>
    <w:rsid w:val="00344CD6"/>
    <w:rsid w:val="00344DF8"/>
    <w:rsid w:val="00346326"/>
    <w:rsid w:val="0035198A"/>
    <w:rsid w:val="00352944"/>
    <w:rsid w:val="00352E4C"/>
    <w:rsid w:val="00361346"/>
    <w:rsid w:val="00362CAC"/>
    <w:rsid w:val="00366317"/>
    <w:rsid w:val="003731CE"/>
    <w:rsid w:val="00374932"/>
    <w:rsid w:val="00381856"/>
    <w:rsid w:val="0038199F"/>
    <w:rsid w:val="003846E8"/>
    <w:rsid w:val="00386BC8"/>
    <w:rsid w:val="003878CF"/>
    <w:rsid w:val="00391314"/>
    <w:rsid w:val="00394331"/>
    <w:rsid w:val="00396152"/>
    <w:rsid w:val="00396A89"/>
    <w:rsid w:val="00396ACD"/>
    <w:rsid w:val="00397356"/>
    <w:rsid w:val="00397788"/>
    <w:rsid w:val="00397CD8"/>
    <w:rsid w:val="003A1487"/>
    <w:rsid w:val="003A257C"/>
    <w:rsid w:val="003A46ED"/>
    <w:rsid w:val="003A66BC"/>
    <w:rsid w:val="003A69D8"/>
    <w:rsid w:val="003B31B7"/>
    <w:rsid w:val="003B577A"/>
    <w:rsid w:val="003B5834"/>
    <w:rsid w:val="003B6DFC"/>
    <w:rsid w:val="003C1DDF"/>
    <w:rsid w:val="003C5236"/>
    <w:rsid w:val="003C526A"/>
    <w:rsid w:val="003C5AF2"/>
    <w:rsid w:val="003C7232"/>
    <w:rsid w:val="003D4792"/>
    <w:rsid w:val="003D4D76"/>
    <w:rsid w:val="003D662A"/>
    <w:rsid w:val="003D6852"/>
    <w:rsid w:val="003E0015"/>
    <w:rsid w:val="003E015D"/>
    <w:rsid w:val="003E0228"/>
    <w:rsid w:val="003E34DC"/>
    <w:rsid w:val="003E55A8"/>
    <w:rsid w:val="003E5E00"/>
    <w:rsid w:val="003E7EA9"/>
    <w:rsid w:val="003F775D"/>
    <w:rsid w:val="0040479E"/>
    <w:rsid w:val="004052A7"/>
    <w:rsid w:val="00405A1E"/>
    <w:rsid w:val="0040634B"/>
    <w:rsid w:val="00407308"/>
    <w:rsid w:val="004076A2"/>
    <w:rsid w:val="00412E45"/>
    <w:rsid w:val="00415609"/>
    <w:rsid w:val="00427C49"/>
    <w:rsid w:val="00430665"/>
    <w:rsid w:val="004311CE"/>
    <w:rsid w:val="00433CAF"/>
    <w:rsid w:val="00435120"/>
    <w:rsid w:val="00436C87"/>
    <w:rsid w:val="00437AA5"/>
    <w:rsid w:val="004460EC"/>
    <w:rsid w:val="00446A1A"/>
    <w:rsid w:val="00447444"/>
    <w:rsid w:val="00452C2E"/>
    <w:rsid w:val="00454645"/>
    <w:rsid w:val="00463412"/>
    <w:rsid w:val="00464D4A"/>
    <w:rsid w:val="0046681F"/>
    <w:rsid w:val="00467400"/>
    <w:rsid w:val="00471145"/>
    <w:rsid w:val="004714B8"/>
    <w:rsid w:val="00476361"/>
    <w:rsid w:val="00477271"/>
    <w:rsid w:val="00492396"/>
    <w:rsid w:val="004953EC"/>
    <w:rsid w:val="004A563B"/>
    <w:rsid w:val="004B2B9D"/>
    <w:rsid w:val="004B34BB"/>
    <w:rsid w:val="004B3857"/>
    <w:rsid w:val="004B5BAC"/>
    <w:rsid w:val="004B7689"/>
    <w:rsid w:val="004B76C0"/>
    <w:rsid w:val="004C0825"/>
    <w:rsid w:val="004C1DDA"/>
    <w:rsid w:val="004C601F"/>
    <w:rsid w:val="004D0913"/>
    <w:rsid w:val="004D44FC"/>
    <w:rsid w:val="004D5906"/>
    <w:rsid w:val="004D5A14"/>
    <w:rsid w:val="004E0783"/>
    <w:rsid w:val="004E19F9"/>
    <w:rsid w:val="004E5F9A"/>
    <w:rsid w:val="004F6E1D"/>
    <w:rsid w:val="004F7590"/>
    <w:rsid w:val="005004D2"/>
    <w:rsid w:val="00501F11"/>
    <w:rsid w:val="00502328"/>
    <w:rsid w:val="0050451F"/>
    <w:rsid w:val="0050611A"/>
    <w:rsid w:val="005064EA"/>
    <w:rsid w:val="0050796F"/>
    <w:rsid w:val="00517205"/>
    <w:rsid w:val="00517265"/>
    <w:rsid w:val="00521EF0"/>
    <w:rsid w:val="005246AE"/>
    <w:rsid w:val="00526923"/>
    <w:rsid w:val="005269C8"/>
    <w:rsid w:val="00530FC2"/>
    <w:rsid w:val="00542487"/>
    <w:rsid w:val="00543DBA"/>
    <w:rsid w:val="005454C9"/>
    <w:rsid w:val="005503D2"/>
    <w:rsid w:val="00554E8A"/>
    <w:rsid w:val="005577AE"/>
    <w:rsid w:val="00561E20"/>
    <w:rsid w:val="00562D91"/>
    <w:rsid w:val="00564EFA"/>
    <w:rsid w:val="00566B35"/>
    <w:rsid w:val="00570745"/>
    <w:rsid w:val="00570F4D"/>
    <w:rsid w:val="005769A7"/>
    <w:rsid w:val="005803F8"/>
    <w:rsid w:val="00582810"/>
    <w:rsid w:val="005833F6"/>
    <w:rsid w:val="00583A6D"/>
    <w:rsid w:val="00586EB6"/>
    <w:rsid w:val="00594988"/>
    <w:rsid w:val="0059501E"/>
    <w:rsid w:val="00595540"/>
    <w:rsid w:val="00596995"/>
    <w:rsid w:val="00597BBD"/>
    <w:rsid w:val="005A05A4"/>
    <w:rsid w:val="005A235F"/>
    <w:rsid w:val="005A2E65"/>
    <w:rsid w:val="005A3A85"/>
    <w:rsid w:val="005A3ED4"/>
    <w:rsid w:val="005A4D52"/>
    <w:rsid w:val="005A5735"/>
    <w:rsid w:val="005B02E3"/>
    <w:rsid w:val="005B2185"/>
    <w:rsid w:val="005B38AF"/>
    <w:rsid w:val="005B4BD6"/>
    <w:rsid w:val="005B570B"/>
    <w:rsid w:val="005B59A7"/>
    <w:rsid w:val="005B5FA6"/>
    <w:rsid w:val="005B6FC3"/>
    <w:rsid w:val="005C15D9"/>
    <w:rsid w:val="005C36EA"/>
    <w:rsid w:val="005C5A20"/>
    <w:rsid w:val="005D69A1"/>
    <w:rsid w:val="005F01D8"/>
    <w:rsid w:val="005F25C7"/>
    <w:rsid w:val="005F3DE6"/>
    <w:rsid w:val="005F4989"/>
    <w:rsid w:val="005F630E"/>
    <w:rsid w:val="005F6CA2"/>
    <w:rsid w:val="00600299"/>
    <w:rsid w:val="006028C7"/>
    <w:rsid w:val="00604051"/>
    <w:rsid w:val="0060710B"/>
    <w:rsid w:val="00610944"/>
    <w:rsid w:val="00612DEB"/>
    <w:rsid w:val="006130A2"/>
    <w:rsid w:val="0061386A"/>
    <w:rsid w:val="0061450E"/>
    <w:rsid w:val="00615826"/>
    <w:rsid w:val="00616D7C"/>
    <w:rsid w:val="00624DFA"/>
    <w:rsid w:val="00630666"/>
    <w:rsid w:val="00636098"/>
    <w:rsid w:val="00637F70"/>
    <w:rsid w:val="00640DDD"/>
    <w:rsid w:val="00641099"/>
    <w:rsid w:val="00644792"/>
    <w:rsid w:val="00644BCC"/>
    <w:rsid w:val="00645AFA"/>
    <w:rsid w:val="0065010D"/>
    <w:rsid w:val="00655492"/>
    <w:rsid w:val="00655A55"/>
    <w:rsid w:val="006605A1"/>
    <w:rsid w:val="00660DF2"/>
    <w:rsid w:val="0066214E"/>
    <w:rsid w:val="006647D9"/>
    <w:rsid w:val="006654AB"/>
    <w:rsid w:val="006678C0"/>
    <w:rsid w:val="00667F54"/>
    <w:rsid w:val="00672586"/>
    <w:rsid w:val="0067320C"/>
    <w:rsid w:val="00674F8E"/>
    <w:rsid w:val="006759F5"/>
    <w:rsid w:val="0067631C"/>
    <w:rsid w:val="00686D4D"/>
    <w:rsid w:val="00686EB3"/>
    <w:rsid w:val="00687B1D"/>
    <w:rsid w:val="0069026D"/>
    <w:rsid w:val="00691F15"/>
    <w:rsid w:val="0069343B"/>
    <w:rsid w:val="006946F7"/>
    <w:rsid w:val="00695511"/>
    <w:rsid w:val="006A1178"/>
    <w:rsid w:val="006A1C11"/>
    <w:rsid w:val="006A1FE4"/>
    <w:rsid w:val="006A2955"/>
    <w:rsid w:val="006A7BDF"/>
    <w:rsid w:val="006B0168"/>
    <w:rsid w:val="006B152D"/>
    <w:rsid w:val="006B43EE"/>
    <w:rsid w:val="006B5DBD"/>
    <w:rsid w:val="006B724B"/>
    <w:rsid w:val="006C0519"/>
    <w:rsid w:val="006C4BBF"/>
    <w:rsid w:val="006C550D"/>
    <w:rsid w:val="006C57B1"/>
    <w:rsid w:val="006C661C"/>
    <w:rsid w:val="006D1555"/>
    <w:rsid w:val="006D6269"/>
    <w:rsid w:val="006D682C"/>
    <w:rsid w:val="006E0026"/>
    <w:rsid w:val="006E6917"/>
    <w:rsid w:val="006E6BD4"/>
    <w:rsid w:val="006E749C"/>
    <w:rsid w:val="006E7AEF"/>
    <w:rsid w:val="006E7AF2"/>
    <w:rsid w:val="006E7D85"/>
    <w:rsid w:val="006F14BD"/>
    <w:rsid w:val="006F7645"/>
    <w:rsid w:val="006F7ADB"/>
    <w:rsid w:val="006F7EFE"/>
    <w:rsid w:val="0070079D"/>
    <w:rsid w:val="00700BA6"/>
    <w:rsid w:val="0070180D"/>
    <w:rsid w:val="00703978"/>
    <w:rsid w:val="007075CB"/>
    <w:rsid w:val="00707E4B"/>
    <w:rsid w:val="0071402D"/>
    <w:rsid w:val="007177B7"/>
    <w:rsid w:val="007179FE"/>
    <w:rsid w:val="00722C47"/>
    <w:rsid w:val="00725C62"/>
    <w:rsid w:val="007268CF"/>
    <w:rsid w:val="007268DC"/>
    <w:rsid w:val="0072766F"/>
    <w:rsid w:val="0073240B"/>
    <w:rsid w:val="00732444"/>
    <w:rsid w:val="00735345"/>
    <w:rsid w:val="00735E8E"/>
    <w:rsid w:val="00741362"/>
    <w:rsid w:val="00741DBC"/>
    <w:rsid w:val="007429E5"/>
    <w:rsid w:val="00744B77"/>
    <w:rsid w:val="007457E7"/>
    <w:rsid w:val="00746C9C"/>
    <w:rsid w:val="00746D41"/>
    <w:rsid w:val="0075063E"/>
    <w:rsid w:val="00750D64"/>
    <w:rsid w:val="00751195"/>
    <w:rsid w:val="00751BBF"/>
    <w:rsid w:val="007542EC"/>
    <w:rsid w:val="007554C4"/>
    <w:rsid w:val="00757AA2"/>
    <w:rsid w:val="00757E8E"/>
    <w:rsid w:val="007700F7"/>
    <w:rsid w:val="00771606"/>
    <w:rsid w:val="00772668"/>
    <w:rsid w:val="007737C0"/>
    <w:rsid w:val="007738B7"/>
    <w:rsid w:val="00773B7B"/>
    <w:rsid w:val="0077596D"/>
    <w:rsid w:val="00775CC1"/>
    <w:rsid w:val="0077621D"/>
    <w:rsid w:val="007864D6"/>
    <w:rsid w:val="0079076A"/>
    <w:rsid w:val="00797C7C"/>
    <w:rsid w:val="007A0847"/>
    <w:rsid w:val="007A6A99"/>
    <w:rsid w:val="007B2B7C"/>
    <w:rsid w:val="007B2E5F"/>
    <w:rsid w:val="007B6013"/>
    <w:rsid w:val="007B6C7F"/>
    <w:rsid w:val="007C16FC"/>
    <w:rsid w:val="007C6CED"/>
    <w:rsid w:val="007C755E"/>
    <w:rsid w:val="007C7A6B"/>
    <w:rsid w:val="007D0861"/>
    <w:rsid w:val="007D14DA"/>
    <w:rsid w:val="007E010B"/>
    <w:rsid w:val="007E0167"/>
    <w:rsid w:val="007E0FD4"/>
    <w:rsid w:val="007E2935"/>
    <w:rsid w:val="007E3A81"/>
    <w:rsid w:val="007E59A5"/>
    <w:rsid w:val="007E5DA0"/>
    <w:rsid w:val="007F14CA"/>
    <w:rsid w:val="007F4313"/>
    <w:rsid w:val="00802FC2"/>
    <w:rsid w:val="00804C4A"/>
    <w:rsid w:val="00810BF8"/>
    <w:rsid w:val="008111E3"/>
    <w:rsid w:val="00813A48"/>
    <w:rsid w:val="00815C43"/>
    <w:rsid w:val="00816C93"/>
    <w:rsid w:val="00817D72"/>
    <w:rsid w:val="00826B24"/>
    <w:rsid w:val="00827998"/>
    <w:rsid w:val="00830A1D"/>
    <w:rsid w:val="008325EB"/>
    <w:rsid w:val="00833C90"/>
    <w:rsid w:val="00844D01"/>
    <w:rsid w:val="00852653"/>
    <w:rsid w:val="008540AD"/>
    <w:rsid w:val="008602E5"/>
    <w:rsid w:val="00860506"/>
    <w:rsid w:val="008606E4"/>
    <w:rsid w:val="00860E0C"/>
    <w:rsid w:val="0086165A"/>
    <w:rsid w:val="00861D04"/>
    <w:rsid w:val="0086347E"/>
    <w:rsid w:val="008653BB"/>
    <w:rsid w:val="008728B7"/>
    <w:rsid w:val="00873AA9"/>
    <w:rsid w:val="00873E95"/>
    <w:rsid w:val="00874142"/>
    <w:rsid w:val="00874AB8"/>
    <w:rsid w:val="00876154"/>
    <w:rsid w:val="008769DA"/>
    <w:rsid w:val="00883B30"/>
    <w:rsid w:val="0088645D"/>
    <w:rsid w:val="00887EA9"/>
    <w:rsid w:val="008907B3"/>
    <w:rsid w:val="00891B00"/>
    <w:rsid w:val="00892C00"/>
    <w:rsid w:val="008A04AE"/>
    <w:rsid w:val="008A1AE7"/>
    <w:rsid w:val="008A2837"/>
    <w:rsid w:val="008A3187"/>
    <w:rsid w:val="008A3E28"/>
    <w:rsid w:val="008A65C5"/>
    <w:rsid w:val="008B0A3D"/>
    <w:rsid w:val="008B3F27"/>
    <w:rsid w:val="008B4B17"/>
    <w:rsid w:val="008B76A1"/>
    <w:rsid w:val="008C18A2"/>
    <w:rsid w:val="008C273C"/>
    <w:rsid w:val="008C2A46"/>
    <w:rsid w:val="008D069F"/>
    <w:rsid w:val="008D16DA"/>
    <w:rsid w:val="008D1E9B"/>
    <w:rsid w:val="008D6BC6"/>
    <w:rsid w:val="008E0969"/>
    <w:rsid w:val="008E2694"/>
    <w:rsid w:val="008E403E"/>
    <w:rsid w:val="008E41C5"/>
    <w:rsid w:val="008E4ACA"/>
    <w:rsid w:val="008E5B9F"/>
    <w:rsid w:val="008E6F4C"/>
    <w:rsid w:val="008E7046"/>
    <w:rsid w:val="008F04DA"/>
    <w:rsid w:val="008F3B46"/>
    <w:rsid w:val="008F502C"/>
    <w:rsid w:val="008F7B6C"/>
    <w:rsid w:val="008F7D68"/>
    <w:rsid w:val="009057AF"/>
    <w:rsid w:val="00905855"/>
    <w:rsid w:val="009102DA"/>
    <w:rsid w:val="00917A49"/>
    <w:rsid w:val="0092250D"/>
    <w:rsid w:val="009230BF"/>
    <w:rsid w:val="00930C76"/>
    <w:rsid w:val="009328EE"/>
    <w:rsid w:val="00940731"/>
    <w:rsid w:val="00940879"/>
    <w:rsid w:val="00940DBC"/>
    <w:rsid w:val="0094242F"/>
    <w:rsid w:val="00945861"/>
    <w:rsid w:val="00946EF2"/>
    <w:rsid w:val="009523E9"/>
    <w:rsid w:val="00957AB8"/>
    <w:rsid w:val="00967E39"/>
    <w:rsid w:val="009705F7"/>
    <w:rsid w:val="00970F90"/>
    <w:rsid w:val="009727DA"/>
    <w:rsid w:val="00972D29"/>
    <w:rsid w:val="009733BD"/>
    <w:rsid w:val="00974F9A"/>
    <w:rsid w:val="00983F1B"/>
    <w:rsid w:val="009858DF"/>
    <w:rsid w:val="0098656F"/>
    <w:rsid w:val="009872CE"/>
    <w:rsid w:val="00990CED"/>
    <w:rsid w:val="0099163C"/>
    <w:rsid w:val="0099166A"/>
    <w:rsid w:val="009954BA"/>
    <w:rsid w:val="009957C5"/>
    <w:rsid w:val="00996E1A"/>
    <w:rsid w:val="009975FE"/>
    <w:rsid w:val="009A0704"/>
    <w:rsid w:val="009A4411"/>
    <w:rsid w:val="009A46FE"/>
    <w:rsid w:val="009A537A"/>
    <w:rsid w:val="009A5BB5"/>
    <w:rsid w:val="009A631B"/>
    <w:rsid w:val="009A65D2"/>
    <w:rsid w:val="009A75BF"/>
    <w:rsid w:val="009A79AD"/>
    <w:rsid w:val="009B0D15"/>
    <w:rsid w:val="009B2AC3"/>
    <w:rsid w:val="009B3BA9"/>
    <w:rsid w:val="009B75C6"/>
    <w:rsid w:val="009C1B17"/>
    <w:rsid w:val="009C4E0E"/>
    <w:rsid w:val="009D26D8"/>
    <w:rsid w:val="009D3412"/>
    <w:rsid w:val="009D44A3"/>
    <w:rsid w:val="009D4BF0"/>
    <w:rsid w:val="009D6056"/>
    <w:rsid w:val="009D6DAC"/>
    <w:rsid w:val="009E02EA"/>
    <w:rsid w:val="009E0DB2"/>
    <w:rsid w:val="009E284A"/>
    <w:rsid w:val="009E2FDA"/>
    <w:rsid w:val="009E443B"/>
    <w:rsid w:val="009E6EC8"/>
    <w:rsid w:val="009F03A7"/>
    <w:rsid w:val="009F27B5"/>
    <w:rsid w:val="009F5A97"/>
    <w:rsid w:val="00A0182F"/>
    <w:rsid w:val="00A02EB6"/>
    <w:rsid w:val="00A04FCA"/>
    <w:rsid w:val="00A059E8"/>
    <w:rsid w:val="00A108DF"/>
    <w:rsid w:val="00A10A47"/>
    <w:rsid w:val="00A10EE7"/>
    <w:rsid w:val="00A1287B"/>
    <w:rsid w:val="00A12E73"/>
    <w:rsid w:val="00A1355E"/>
    <w:rsid w:val="00A169BD"/>
    <w:rsid w:val="00A21269"/>
    <w:rsid w:val="00A238A4"/>
    <w:rsid w:val="00A23F09"/>
    <w:rsid w:val="00A2727F"/>
    <w:rsid w:val="00A27EDE"/>
    <w:rsid w:val="00A35F93"/>
    <w:rsid w:val="00A36859"/>
    <w:rsid w:val="00A45012"/>
    <w:rsid w:val="00A4711B"/>
    <w:rsid w:val="00A50AE1"/>
    <w:rsid w:val="00A51BB3"/>
    <w:rsid w:val="00A55D51"/>
    <w:rsid w:val="00A561F6"/>
    <w:rsid w:val="00A565C7"/>
    <w:rsid w:val="00A573B1"/>
    <w:rsid w:val="00A5769E"/>
    <w:rsid w:val="00A60EDB"/>
    <w:rsid w:val="00A64E45"/>
    <w:rsid w:val="00A6793E"/>
    <w:rsid w:val="00A74725"/>
    <w:rsid w:val="00A74B06"/>
    <w:rsid w:val="00A76B27"/>
    <w:rsid w:val="00A81627"/>
    <w:rsid w:val="00A90F2D"/>
    <w:rsid w:val="00AA2477"/>
    <w:rsid w:val="00AA55AA"/>
    <w:rsid w:val="00AA5E7B"/>
    <w:rsid w:val="00AB5E13"/>
    <w:rsid w:val="00AB6551"/>
    <w:rsid w:val="00AB778C"/>
    <w:rsid w:val="00AC044E"/>
    <w:rsid w:val="00AC1D68"/>
    <w:rsid w:val="00AC56C6"/>
    <w:rsid w:val="00AC7B65"/>
    <w:rsid w:val="00AD2682"/>
    <w:rsid w:val="00AD436A"/>
    <w:rsid w:val="00AD5937"/>
    <w:rsid w:val="00AD6103"/>
    <w:rsid w:val="00AE1046"/>
    <w:rsid w:val="00AE2D1A"/>
    <w:rsid w:val="00AE6FB7"/>
    <w:rsid w:val="00AF01FC"/>
    <w:rsid w:val="00AF14C5"/>
    <w:rsid w:val="00AF28FF"/>
    <w:rsid w:val="00AF44DC"/>
    <w:rsid w:val="00AF6006"/>
    <w:rsid w:val="00AF621E"/>
    <w:rsid w:val="00AF6721"/>
    <w:rsid w:val="00AF6CF8"/>
    <w:rsid w:val="00B00045"/>
    <w:rsid w:val="00B01183"/>
    <w:rsid w:val="00B01623"/>
    <w:rsid w:val="00B03407"/>
    <w:rsid w:val="00B05871"/>
    <w:rsid w:val="00B061C2"/>
    <w:rsid w:val="00B11090"/>
    <w:rsid w:val="00B12C81"/>
    <w:rsid w:val="00B13741"/>
    <w:rsid w:val="00B14F90"/>
    <w:rsid w:val="00B177AF"/>
    <w:rsid w:val="00B1788F"/>
    <w:rsid w:val="00B17F93"/>
    <w:rsid w:val="00B22C04"/>
    <w:rsid w:val="00B33B89"/>
    <w:rsid w:val="00B34DB1"/>
    <w:rsid w:val="00B362FE"/>
    <w:rsid w:val="00B37665"/>
    <w:rsid w:val="00B4214D"/>
    <w:rsid w:val="00B42361"/>
    <w:rsid w:val="00B43C2A"/>
    <w:rsid w:val="00B5176F"/>
    <w:rsid w:val="00B523EC"/>
    <w:rsid w:val="00B55C2C"/>
    <w:rsid w:val="00B57CA8"/>
    <w:rsid w:val="00B60E18"/>
    <w:rsid w:val="00B6392E"/>
    <w:rsid w:val="00B707A8"/>
    <w:rsid w:val="00B736C5"/>
    <w:rsid w:val="00B75066"/>
    <w:rsid w:val="00B80B96"/>
    <w:rsid w:val="00B81F7E"/>
    <w:rsid w:val="00B84FE8"/>
    <w:rsid w:val="00B87BF8"/>
    <w:rsid w:val="00B93E7E"/>
    <w:rsid w:val="00B94928"/>
    <w:rsid w:val="00B961CD"/>
    <w:rsid w:val="00BA0A6A"/>
    <w:rsid w:val="00BA1348"/>
    <w:rsid w:val="00BA3705"/>
    <w:rsid w:val="00BA3B0E"/>
    <w:rsid w:val="00BB0B33"/>
    <w:rsid w:val="00BB274A"/>
    <w:rsid w:val="00BB483B"/>
    <w:rsid w:val="00BB4F0C"/>
    <w:rsid w:val="00BB5813"/>
    <w:rsid w:val="00BB6DB9"/>
    <w:rsid w:val="00BC06D8"/>
    <w:rsid w:val="00BC5857"/>
    <w:rsid w:val="00BC6372"/>
    <w:rsid w:val="00BD0EB2"/>
    <w:rsid w:val="00BD2201"/>
    <w:rsid w:val="00BD3FF8"/>
    <w:rsid w:val="00BD56E2"/>
    <w:rsid w:val="00BE6222"/>
    <w:rsid w:val="00BE63C4"/>
    <w:rsid w:val="00BF0F18"/>
    <w:rsid w:val="00BF1D75"/>
    <w:rsid w:val="00BF5738"/>
    <w:rsid w:val="00BF70FB"/>
    <w:rsid w:val="00C00EA1"/>
    <w:rsid w:val="00C02610"/>
    <w:rsid w:val="00C0379C"/>
    <w:rsid w:val="00C058E2"/>
    <w:rsid w:val="00C100FA"/>
    <w:rsid w:val="00C115C8"/>
    <w:rsid w:val="00C14EEB"/>
    <w:rsid w:val="00C17381"/>
    <w:rsid w:val="00C2116E"/>
    <w:rsid w:val="00C224BF"/>
    <w:rsid w:val="00C22EA0"/>
    <w:rsid w:val="00C2311A"/>
    <w:rsid w:val="00C2483D"/>
    <w:rsid w:val="00C26FAE"/>
    <w:rsid w:val="00C27A1C"/>
    <w:rsid w:val="00C27A3E"/>
    <w:rsid w:val="00C32FD4"/>
    <w:rsid w:val="00C34620"/>
    <w:rsid w:val="00C35DB7"/>
    <w:rsid w:val="00C3731F"/>
    <w:rsid w:val="00C50A20"/>
    <w:rsid w:val="00C54B03"/>
    <w:rsid w:val="00C56C89"/>
    <w:rsid w:val="00C61156"/>
    <w:rsid w:val="00C6315E"/>
    <w:rsid w:val="00C63883"/>
    <w:rsid w:val="00C657EC"/>
    <w:rsid w:val="00C71FAA"/>
    <w:rsid w:val="00C74573"/>
    <w:rsid w:val="00C75B7D"/>
    <w:rsid w:val="00C7752D"/>
    <w:rsid w:val="00C77C23"/>
    <w:rsid w:val="00C83D6E"/>
    <w:rsid w:val="00C901AD"/>
    <w:rsid w:val="00C93F85"/>
    <w:rsid w:val="00C941A4"/>
    <w:rsid w:val="00C953DC"/>
    <w:rsid w:val="00C956E2"/>
    <w:rsid w:val="00C96ECC"/>
    <w:rsid w:val="00C97B13"/>
    <w:rsid w:val="00CA0135"/>
    <w:rsid w:val="00CA0E78"/>
    <w:rsid w:val="00CA4079"/>
    <w:rsid w:val="00CC51EB"/>
    <w:rsid w:val="00CC5836"/>
    <w:rsid w:val="00CD5034"/>
    <w:rsid w:val="00CD61A3"/>
    <w:rsid w:val="00CD73C2"/>
    <w:rsid w:val="00CE0FC5"/>
    <w:rsid w:val="00CE1CE2"/>
    <w:rsid w:val="00CE2121"/>
    <w:rsid w:val="00CE21CE"/>
    <w:rsid w:val="00CE407B"/>
    <w:rsid w:val="00CE79CD"/>
    <w:rsid w:val="00CF102C"/>
    <w:rsid w:val="00CF1A0F"/>
    <w:rsid w:val="00CF33E4"/>
    <w:rsid w:val="00CF5E3E"/>
    <w:rsid w:val="00D026BB"/>
    <w:rsid w:val="00D027F4"/>
    <w:rsid w:val="00D04B67"/>
    <w:rsid w:val="00D052F8"/>
    <w:rsid w:val="00D05C00"/>
    <w:rsid w:val="00D11A7C"/>
    <w:rsid w:val="00D13F76"/>
    <w:rsid w:val="00D15E58"/>
    <w:rsid w:val="00D1643B"/>
    <w:rsid w:val="00D16942"/>
    <w:rsid w:val="00D16B46"/>
    <w:rsid w:val="00D234F9"/>
    <w:rsid w:val="00D2543E"/>
    <w:rsid w:val="00D25BAC"/>
    <w:rsid w:val="00D2697C"/>
    <w:rsid w:val="00D269D3"/>
    <w:rsid w:val="00D303FF"/>
    <w:rsid w:val="00D305B3"/>
    <w:rsid w:val="00D35231"/>
    <w:rsid w:val="00D4425A"/>
    <w:rsid w:val="00D44EBA"/>
    <w:rsid w:val="00D500C4"/>
    <w:rsid w:val="00D5020C"/>
    <w:rsid w:val="00D52CFD"/>
    <w:rsid w:val="00D54C66"/>
    <w:rsid w:val="00D54CE7"/>
    <w:rsid w:val="00D54EA4"/>
    <w:rsid w:val="00D561DA"/>
    <w:rsid w:val="00D56210"/>
    <w:rsid w:val="00D57586"/>
    <w:rsid w:val="00D60CCE"/>
    <w:rsid w:val="00D70100"/>
    <w:rsid w:val="00D71014"/>
    <w:rsid w:val="00D73CDC"/>
    <w:rsid w:val="00D75580"/>
    <w:rsid w:val="00D807CF"/>
    <w:rsid w:val="00D80E5A"/>
    <w:rsid w:val="00D82837"/>
    <w:rsid w:val="00D859E2"/>
    <w:rsid w:val="00D87C7D"/>
    <w:rsid w:val="00D94F22"/>
    <w:rsid w:val="00DA08DC"/>
    <w:rsid w:val="00DA2CE5"/>
    <w:rsid w:val="00DB1E67"/>
    <w:rsid w:val="00DB48CC"/>
    <w:rsid w:val="00DB49B6"/>
    <w:rsid w:val="00DB4B20"/>
    <w:rsid w:val="00DC0366"/>
    <w:rsid w:val="00DC15E0"/>
    <w:rsid w:val="00DC674A"/>
    <w:rsid w:val="00DD155F"/>
    <w:rsid w:val="00DD4A05"/>
    <w:rsid w:val="00DD4C35"/>
    <w:rsid w:val="00DD5D5C"/>
    <w:rsid w:val="00DD6FE0"/>
    <w:rsid w:val="00DE2817"/>
    <w:rsid w:val="00DE2959"/>
    <w:rsid w:val="00DE6E03"/>
    <w:rsid w:val="00DF17AE"/>
    <w:rsid w:val="00DF6210"/>
    <w:rsid w:val="00DF6FD4"/>
    <w:rsid w:val="00E039E0"/>
    <w:rsid w:val="00E03BEC"/>
    <w:rsid w:val="00E0509A"/>
    <w:rsid w:val="00E05174"/>
    <w:rsid w:val="00E07235"/>
    <w:rsid w:val="00E07BF3"/>
    <w:rsid w:val="00E10143"/>
    <w:rsid w:val="00E1506E"/>
    <w:rsid w:val="00E24B10"/>
    <w:rsid w:val="00E24F54"/>
    <w:rsid w:val="00E25A89"/>
    <w:rsid w:val="00E27B66"/>
    <w:rsid w:val="00E30314"/>
    <w:rsid w:val="00E33C9F"/>
    <w:rsid w:val="00E365AC"/>
    <w:rsid w:val="00E366F6"/>
    <w:rsid w:val="00E43F05"/>
    <w:rsid w:val="00E43F7B"/>
    <w:rsid w:val="00E448F3"/>
    <w:rsid w:val="00E467E0"/>
    <w:rsid w:val="00E5126D"/>
    <w:rsid w:val="00E54A14"/>
    <w:rsid w:val="00E55E4E"/>
    <w:rsid w:val="00E61444"/>
    <w:rsid w:val="00E615BA"/>
    <w:rsid w:val="00E65E1D"/>
    <w:rsid w:val="00E6703E"/>
    <w:rsid w:val="00E830AF"/>
    <w:rsid w:val="00E83E0E"/>
    <w:rsid w:val="00E905CB"/>
    <w:rsid w:val="00E91918"/>
    <w:rsid w:val="00E92AC7"/>
    <w:rsid w:val="00E979AB"/>
    <w:rsid w:val="00E97BA7"/>
    <w:rsid w:val="00EA4DF6"/>
    <w:rsid w:val="00EA5C34"/>
    <w:rsid w:val="00EB25A5"/>
    <w:rsid w:val="00EB281A"/>
    <w:rsid w:val="00EB5D58"/>
    <w:rsid w:val="00EB7B0E"/>
    <w:rsid w:val="00EB7C82"/>
    <w:rsid w:val="00EC133E"/>
    <w:rsid w:val="00EC39BC"/>
    <w:rsid w:val="00ED4F8C"/>
    <w:rsid w:val="00ED6B6F"/>
    <w:rsid w:val="00ED7228"/>
    <w:rsid w:val="00ED7ED5"/>
    <w:rsid w:val="00EE073D"/>
    <w:rsid w:val="00EE140B"/>
    <w:rsid w:val="00EE2E33"/>
    <w:rsid w:val="00EE38BE"/>
    <w:rsid w:val="00EF3088"/>
    <w:rsid w:val="00EF3A39"/>
    <w:rsid w:val="00EF6921"/>
    <w:rsid w:val="00EF6C67"/>
    <w:rsid w:val="00EF7DCB"/>
    <w:rsid w:val="00F018D8"/>
    <w:rsid w:val="00F037BF"/>
    <w:rsid w:val="00F04D4C"/>
    <w:rsid w:val="00F0762A"/>
    <w:rsid w:val="00F12A48"/>
    <w:rsid w:val="00F14254"/>
    <w:rsid w:val="00F15EAA"/>
    <w:rsid w:val="00F16E27"/>
    <w:rsid w:val="00F21677"/>
    <w:rsid w:val="00F2245D"/>
    <w:rsid w:val="00F2617A"/>
    <w:rsid w:val="00F33A23"/>
    <w:rsid w:val="00F35910"/>
    <w:rsid w:val="00F35F5C"/>
    <w:rsid w:val="00F40C1D"/>
    <w:rsid w:val="00F4144D"/>
    <w:rsid w:val="00F41DB3"/>
    <w:rsid w:val="00F429B8"/>
    <w:rsid w:val="00F45840"/>
    <w:rsid w:val="00F5075A"/>
    <w:rsid w:val="00F55610"/>
    <w:rsid w:val="00F60EF8"/>
    <w:rsid w:val="00F61454"/>
    <w:rsid w:val="00F628E6"/>
    <w:rsid w:val="00F715CE"/>
    <w:rsid w:val="00F721E8"/>
    <w:rsid w:val="00F749E4"/>
    <w:rsid w:val="00F770BC"/>
    <w:rsid w:val="00F772E0"/>
    <w:rsid w:val="00F82617"/>
    <w:rsid w:val="00F85696"/>
    <w:rsid w:val="00F86C80"/>
    <w:rsid w:val="00F90F9C"/>
    <w:rsid w:val="00F928E9"/>
    <w:rsid w:val="00F97ECE"/>
    <w:rsid w:val="00FA266C"/>
    <w:rsid w:val="00FA5CB0"/>
    <w:rsid w:val="00FA6956"/>
    <w:rsid w:val="00FA6BA6"/>
    <w:rsid w:val="00FA6E22"/>
    <w:rsid w:val="00FB3164"/>
    <w:rsid w:val="00FB4ACB"/>
    <w:rsid w:val="00FB5BDD"/>
    <w:rsid w:val="00FC2396"/>
    <w:rsid w:val="00FC5493"/>
    <w:rsid w:val="00FC64BE"/>
    <w:rsid w:val="00FD6C5F"/>
    <w:rsid w:val="00FE1B09"/>
    <w:rsid w:val="00FE605D"/>
    <w:rsid w:val="00FE6936"/>
    <w:rsid w:val="00FF0FCE"/>
    <w:rsid w:val="00FF6D7D"/>
    <w:rsid w:val="2B5BD7A7"/>
    <w:rsid w:val="3E868911"/>
    <w:rsid w:val="4053BD12"/>
    <w:rsid w:val="47157F0A"/>
    <w:rsid w:val="593180F0"/>
    <w:rsid w:val="5B655C3D"/>
    <w:rsid w:val="5BFD343A"/>
    <w:rsid w:val="6EBD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8C4EA100-9620-4B15-8622-FC80857E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1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1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1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50796F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rsid w:val="000A5D7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A5D7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0A5D79"/>
    <w:rPr>
      <w:rFonts w:ascii="Times New Roman" w:hAnsi="Times New Roman" w:cs="Times New Roman"/>
      <w:sz w:val="24"/>
      <w:lang w:val="mt-M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7752D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7752D"/>
    <w:pPr>
      <w:spacing w:after="0"/>
    </w:pPr>
  </w:style>
  <w:style w:type="paragraph" w:styleId="ListBullet2">
    <w:name w:val="List Bullet 2"/>
    <w:basedOn w:val="Normal"/>
    <w:uiPriority w:val="99"/>
    <w:semiHidden/>
    <w:unhideWhenUsed/>
    <w:rsid w:val="00C7752D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7752D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7752D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7752D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7752D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7752D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7752D"/>
    <w:pPr>
      <w:numPr>
        <w:numId w:val="11"/>
      </w:numPr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 w:cs="Times New Roman"/>
      <w:sz w:val="20"/>
      <w:szCs w:val="20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1788F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88F"/>
    <w:rPr>
      <w:rFonts w:ascii="Times New Roman" w:hAnsi="Times New Roman" w:cs="Times New Roman"/>
      <w:b/>
      <w:bCs/>
      <w:sz w:val="20"/>
      <w:szCs w:val="20"/>
      <w:lang w:val="mt-MT"/>
    </w:rPr>
  </w:style>
  <w:style w:type="character" w:styleId="Emphasis">
    <w:name w:val="Emphasis"/>
    <w:basedOn w:val="DefaultParagraphFont"/>
    <w:uiPriority w:val="20"/>
    <w:qFormat/>
    <w:rsid w:val="00115B95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A2E65"/>
    <w:rPr>
      <w:color w:val="605E5C"/>
      <w:shd w:val="clear" w:color="auto" w:fill="E1DFDD"/>
    </w:rPr>
  </w:style>
  <w:style w:type="character" w:customStyle="1" w:styleId="Mention">
    <w:name w:val="Mention"/>
    <w:basedOn w:val="DefaultParagraphFont"/>
    <w:uiPriority w:val="99"/>
    <w:unhideWhenUsed/>
    <w:rsid w:val="00B523EC"/>
    <w:rPr>
      <w:color w:val="2B579A"/>
      <w:shd w:val="clear" w:color="auto" w:fill="E1DFDD"/>
    </w:rPr>
  </w:style>
  <w:style w:type="paragraph" w:customStyle="1" w:styleId="oj-normal">
    <w:name w:val="oj-normal"/>
    <w:basedOn w:val="Normal"/>
    <w:rsid w:val="007A0847"/>
    <w:pPr>
      <w:spacing w:before="100" w:beforeAutospacing="1" w:after="100" w:afterAutospacing="1"/>
      <w:jc w:val="left"/>
    </w:pPr>
    <w:rPr>
      <w:rFonts w:eastAsia="Times New Roman"/>
      <w:szCs w:val="24"/>
      <w:lang w:eastAsia="fr-BE"/>
    </w:rPr>
  </w:style>
  <w:style w:type="character" w:customStyle="1" w:styleId="oj-super">
    <w:name w:val="oj-super"/>
    <w:basedOn w:val="DefaultParagraphFont"/>
    <w:rsid w:val="007A0847"/>
  </w:style>
  <w:style w:type="paragraph" w:customStyle="1" w:styleId="pf0">
    <w:name w:val="pf0"/>
    <w:basedOn w:val="Normal"/>
    <w:rsid w:val="00655A55"/>
    <w:pPr>
      <w:spacing w:before="100" w:beforeAutospacing="1" w:after="100" w:afterAutospacing="1"/>
      <w:jc w:val="left"/>
    </w:pPr>
    <w:rPr>
      <w:rFonts w:eastAsia="Times New Roman"/>
      <w:szCs w:val="24"/>
      <w:lang w:eastAsia="fr-BE"/>
    </w:rPr>
  </w:style>
  <w:style w:type="character" w:customStyle="1" w:styleId="cf01">
    <w:name w:val="cf01"/>
    <w:basedOn w:val="DefaultParagraphFont"/>
    <w:rsid w:val="00655A55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DefaultParagraphFont"/>
    <w:rsid w:val="003A148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3A1487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HeaderChar">
    <w:name w:val="Header Char"/>
    <w:basedOn w:val="DefaultParagraphFont"/>
    <w:link w:val="Header"/>
    <w:uiPriority w:val="99"/>
    <w:rsid w:val="00CF1A0F"/>
    <w:rPr>
      <w:rFonts w:ascii="Times New Roman" w:hAnsi="Times New Roman" w:cs="Times New Roman"/>
      <w:sz w:val="24"/>
      <w:lang w:val="mt-MT"/>
    </w:rPr>
  </w:style>
  <w:style w:type="character" w:customStyle="1" w:styleId="FooterChar">
    <w:name w:val="Footer Char"/>
    <w:basedOn w:val="DefaultParagraphFont"/>
    <w:link w:val="Footer"/>
    <w:uiPriority w:val="99"/>
    <w:rsid w:val="00CF1A0F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mt-M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mt-M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CF1A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CF1A0F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CF1A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4"/>
      </w:numPr>
    </w:pPr>
  </w:style>
  <w:style w:type="paragraph" w:customStyle="1" w:styleId="Tiret1">
    <w:name w:val="Tiret 1"/>
    <w:basedOn w:val="Point1"/>
    <w:pPr>
      <w:numPr>
        <w:numId w:val="25"/>
      </w:numPr>
    </w:pPr>
  </w:style>
  <w:style w:type="paragraph" w:customStyle="1" w:styleId="Tiret2">
    <w:name w:val="Tiret 2"/>
    <w:basedOn w:val="Point2"/>
    <w:pPr>
      <w:numPr>
        <w:numId w:val="26"/>
      </w:numPr>
    </w:pPr>
  </w:style>
  <w:style w:type="paragraph" w:customStyle="1" w:styleId="Tiret3">
    <w:name w:val="Tiret 3"/>
    <w:basedOn w:val="Point3"/>
    <w:pPr>
      <w:numPr>
        <w:numId w:val="27"/>
      </w:numPr>
    </w:pPr>
  </w:style>
  <w:style w:type="paragraph" w:customStyle="1" w:styleId="Tiret4">
    <w:name w:val="Tiret 4"/>
    <w:basedOn w:val="Point4"/>
    <w:pPr>
      <w:numPr>
        <w:numId w:val="28"/>
      </w:numPr>
    </w:pPr>
  </w:style>
  <w:style w:type="paragraph" w:customStyle="1" w:styleId="Tiret5">
    <w:name w:val="Tiret 5"/>
    <w:basedOn w:val="Point5"/>
    <w:pPr>
      <w:numPr>
        <w:numId w:val="29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0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0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0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0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0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2"/>
      </w:numPr>
    </w:pPr>
  </w:style>
  <w:style w:type="paragraph" w:customStyle="1" w:styleId="Point1number">
    <w:name w:val="Point 1 (number)"/>
    <w:basedOn w:val="Normal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pPr>
      <w:numPr>
        <w:ilvl w:val="8"/>
        <w:numId w:val="32"/>
      </w:numPr>
    </w:pPr>
  </w:style>
  <w:style w:type="paragraph" w:customStyle="1" w:styleId="Bullet0">
    <w:name w:val="Bullet 0"/>
    <w:basedOn w:val="Normal"/>
    <w:pPr>
      <w:numPr>
        <w:numId w:val="33"/>
      </w:numPr>
    </w:pPr>
  </w:style>
  <w:style w:type="paragraph" w:customStyle="1" w:styleId="Bullet1">
    <w:name w:val="Bullet 1"/>
    <w:basedOn w:val="Normal"/>
    <w:pPr>
      <w:numPr>
        <w:numId w:val="34"/>
      </w:numPr>
    </w:pPr>
  </w:style>
  <w:style w:type="paragraph" w:customStyle="1" w:styleId="Bullet2">
    <w:name w:val="Bullet 2"/>
    <w:basedOn w:val="Normal"/>
    <w:pPr>
      <w:numPr>
        <w:numId w:val="35"/>
      </w:numPr>
    </w:pPr>
  </w:style>
  <w:style w:type="paragraph" w:customStyle="1" w:styleId="Bullet3">
    <w:name w:val="Bullet 3"/>
    <w:basedOn w:val="Normal"/>
    <w:pPr>
      <w:numPr>
        <w:numId w:val="36"/>
      </w:numPr>
    </w:pPr>
  </w:style>
  <w:style w:type="paragraph" w:customStyle="1" w:styleId="Bullet4">
    <w:name w:val="Bullet 4"/>
    <w:basedOn w:val="Normal"/>
    <w:pPr>
      <w:numPr>
        <w:numId w:val="37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CF1A0F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CF1A0F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CF1A0F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CF1A0F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9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5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9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2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3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4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.europa.eu/eli/reg/2024/1623/oj" TargetMode="External"/><Relationship Id="rId2" Type="http://schemas.openxmlformats.org/officeDocument/2006/relationships/hyperlink" Target="http://data.europa.eu/eli/reg_impl/2021/637/oj" TargetMode="External"/><Relationship Id="rId1" Type="http://schemas.openxmlformats.org/officeDocument/2006/relationships/hyperlink" Target="http://data.europa.eu/eli/reg/2013/575/oj" TargetMode="External"/><Relationship Id="rId4" Type="http://schemas.openxmlformats.org/officeDocument/2006/relationships/hyperlink" Target="http://data.europa.eu/eli/reg_impl/2022/2453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C36D1-9C3A-4143-8F40-65D99F65A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0128E5-F44A-4B3E-A9C4-A2025B712916}"/>
</file>

<file path=customXml/itemProps3.xml><?xml version="1.0" encoding="utf-8"?>
<ds:datastoreItem xmlns:ds="http://schemas.openxmlformats.org/officeDocument/2006/customXml" ds:itemID="{B624952D-607B-4CD9-A920-5D7A3398EAE1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144c03d0-0f03-451f-9d46-5279004462a4"/>
    <ds:schemaRef ds:uri="http://purl.org/dc/dcmitype/"/>
    <ds:schemaRef ds:uri="http://schemas.openxmlformats.org/package/2006/metadata/core-properties"/>
    <ds:schemaRef ds:uri="f7bb8512-91eb-4bfd-be42-d6f021407e9a"/>
    <ds:schemaRef ds:uri="http://schemas.microsoft.com/sharepoint/v3/field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F3E643-3974-44B6-8106-C890FE1A5E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23</TotalTime>
  <Pages>14</Pages>
  <Words>5113</Words>
  <Characters>29147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34192</CharactersWithSpaces>
  <SharedDoc>false</SharedDoc>
  <HLinks>
    <vt:vector size="72" baseType="variant">
      <vt:variant>
        <vt:i4>1769520</vt:i4>
      </vt:variant>
      <vt:variant>
        <vt:i4>72</vt:i4>
      </vt:variant>
      <vt:variant>
        <vt:i4>0</vt:i4>
      </vt:variant>
      <vt:variant>
        <vt:i4>5</vt:i4>
      </vt:variant>
      <vt:variant>
        <vt:lpwstr>http://data.europa.eu/eli/reg_impl/2022/2453/oj</vt:lpwstr>
      </vt:variant>
      <vt:variant>
        <vt:lpwstr/>
      </vt:variant>
      <vt:variant>
        <vt:i4>4259864</vt:i4>
      </vt:variant>
      <vt:variant>
        <vt:i4>0</vt:i4>
      </vt:variant>
      <vt:variant>
        <vt:i4>0</vt:i4>
      </vt:variant>
      <vt:variant>
        <vt:i4>5</vt:i4>
      </vt:variant>
      <vt:variant>
        <vt:lpwstr>http://data.europa.eu/eli/reg/2013/575/oj</vt:lpwstr>
      </vt:variant>
      <vt:variant>
        <vt:lpwstr/>
      </vt:variant>
      <vt:variant>
        <vt:i4>393331</vt:i4>
      </vt:variant>
      <vt:variant>
        <vt:i4>27</vt:i4>
      </vt:variant>
      <vt:variant>
        <vt:i4>0</vt:i4>
      </vt:variant>
      <vt:variant>
        <vt:i4>5</vt:i4>
      </vt:variant>
      <vt:variant>
        <vt:lpwstr>mailto:Georg-Josef.PUNTUS@ec.europa.eu</vt:lpwstr>
      </vt:variant>
      <vt:variant>
        <vt:lpwstr/>
      </vt:variant>
      <vt:variant>
        <vt:i4>5701750</vt:i4>
      </vt:variant>
      <vt:variant>
        <vt:i4>24</vt:i4>
      </vt:variant>
      <vt:variant>
        <vt:i4>0</vt:i4>
      </vt:variant>
      <vt:variant>
        <vt:i4>5</vt:i4>
      </vt:variant>
      <vt:variant>
        <vt:lpwstr>mailto:Edoardo.RULLI@ec.europa.eu</vt:lpwstr>
      </vt:variant>
      <vt:variant>
        <vt:lpwstr/>
      </vt:variant>
      <vt:variant>
        <vt:i4>5701750</vt:i4>
      </vt:variant>
      <vt:variant>
        <vt:i4>21</vt:i4>
      </vt:variant>
      <vt:variant>
        <vt:i4>0</vt:i4>
      </vt:variant>
      <vt:variant>
        <vt:i4>5</vt:i4>
      </vt:variant>
      <vt:variant>
        <vt:lpwstr>mailto:Edoardo.RULLI@ec.europa.eu</vt:lpwstr>
      </vt:variant>
      <vt:variant>
        <vt:lpwstr/>
      </vt:variant>
      <vt:variant>
        <vt:i4>5701750</vt:i4>
      </vt:variant>
      <vt:variant>
        <vt:i4>18</vt:i4>
      </vt:variant>
      <vt:variant>
        <vt:i4>0</vt:i4>
      </vt:variant>
      <vt:variant>
        <vt:i4>5</vt:i4>
      </vt:variant>
      <vt:variant>
        <vt:lpwstr>mailto:Edoardo.RULLI@ec.europa.eu</vt:lpwstr>
      </vt:variant>
      <vt:variant>
        <vt:lpwstr/>
      </vt:variant>
      <vt:variant>
        <vt:i4>5701750</vt:i4>
      </vt:variant>
      <vt:variant>
        <vt:i4>15</vt:i4>
      </vt:variant>
      <vt:variant>
        <vt:i4>0</vt:i4>
      </vt:variant>
      <vt:variant>
        <vt:i4>5</vt:i4>
      </vt:variant>
      <vt:variant>
        <vt:lpwstr>mailto:Edoardo.RULLI@ec.europa.eu</vt:lpwstr>
      </vt:variant>
      <vt:variant>
        <vt:lpwstr/>
      </vt:variant>
      <vt:variant>
        <vt:i4>5701750</vt:i4>
      </vt:variant>
      <vt:variant>
        <vt:i4>12</vt:i4>
      </vt:variant>
      <vt:variant>
        <vt:i4>0</vt:i4>
      </vt:variant>
      <vt:variant>
        <vt:i4>5</vt:i4>
      </vt:variant>
      <vt:variant>
        <vt:lpwstr>mailto:Edoardo.RULLI@ec.europa.eu</vt:lpwstr>
      </vt:variant>
      <vt:variant>
        <vt:lpwstr/>
      </vt:variant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mailto:Edoardo.RULLI@ec.europa.eu</vt:lpwstr>
      </vt:variant>
      <vt:variant>
        <vt:lpwstr/>
      </vt:variant>
      <vt:variant>
        <vt:i4>5701750</vt:i4>
      </vt:variant>
      <vt:variant>
        <vt:i4>6</vt:i4>
      </vt:variant>
      <vt:variant>
        <vt:i4>0</vt:i4>
      </vt:variant>
      <vt:variant>
        <vt:i4>5</vt:i4>
      </vt:variant>
      <vt:variant>
        <vt:lpwstr>mailto:Edoardo.RULLI@ec.europa.eu</vt:lpwstr>
      </vt:variant>
      <vt:variant>
        <vt:lpwstr/>
      </vt:variant>
      <vt:variant>
        <vt:i4>5701750</vt:i4>
      </vt:variant>
      <vt:variant>
        <vt:i4>3</vt:i4>
      </vt:variant>
      <vt:variant>
        <vt:i4>0</vt:i4>
      </vt:variant>
      <vt:variant>
        <vt:i4>5</vt:i4>
      </vt:variant>
      <vt:variant>
        <vt:lpwstr>mailto:Edoardo.RULLI@ec.europa.eu</vt:lpwstr>
      </vt:variant>
      <vt:variant>
        <vt:lpwstr/>
      </vt:variant>
      <vt:variant>
        <vt:i4>6684715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https://webgate.ec.europa.eu/fpfis/wikis/pages/viewpage.action?pageId=343284579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41</cp:revision>
  <dcterms:created xsi:type="dcterms:W3CDTF">2024-09-12T14:20:00Z</dcterms:created>
  <dcterms:modified xsi:type="dcterms:W3CDTF">2024-11-22T09:30:00Z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8.0.19.5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8.1, Build 20220811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ClassificationContentMarkingHeaderShapeIds">
    <vt:lpwstr>5d116b55,4f92f2a,940a748,1ecab066,41bb3f61,65103471</vt:lpwstr>
  </property>
  <property fmtid="{D5CDD505-2E9C-101B-9397-08002B2CF9AE}" pid="11" name="ClassificationContentMarkingHeaderFontProps">
    <vt:lpwstr>#000000,12,Calibri</vt:lpwstr>
  </property>
  <property fmtid="{D5CDD505-2E9C-101B-9397-08002B2CF9AE}" pid="12" name="ClassificationContentMarkingHeaderText">
    <vt:lpwstr>EBA Regular Use</vt:lpwstr>
  </property>
  <property fmtid="{D5CDD505-2E9C-101B-9397-08002B2CF9AE}" pid="13" name="MSIP_Label_6bd9ddd1-4d20-43f6-abfa-fc3c07406f94_Enabled">
    <vt:lpwstr>true</vt:lpwstr>
  </property>
  <property fmtid="{D5CDD505-2E9C-101B-9397-08002B2CF9AE}" pid="14" name="MSIP_Label_6bd9ddd1-4d20-43f6-abfa-fc3c07406f94_SetDate">
    <vt:lpwstr>2024-06-20T16:16:49Z</vt:lpwstr>
  </property>
  <property fmtid="{D5CDD505-2E9C-101B-9397-08002B2CF9AE}" pid="15" name="MSIP_Label_6bd9ddd1-4d20-43f6-abfa-fc3c07406f94_Method">
    <vt:lpwstr>Standard</vt:lpwstr>
  </property>
  <property fmtid="{D5CDD505-2E9C-101B-9397-08002B2CF9AE}" pid="16" name="MSIP_Label_6bd9ddd1-4d20-43f6-abfa-fc3c07406f94_Name">
    <vt:lpwstr>Commission Use</vt:lpwstr>
  </property>
  <property fmtid="{D5CDD505-2E9C-101B-9397-08002B2CF9AE}" pid="17" name="MSIP_Label_6bd9ddd1-4d20-43f6-abfa-fc3c07406f94_SiteId">
    <vt:lpwstr>b24c8b06-522c-46fe-9080-70926f8dddb1</vt:lpwstr>
  </property>
  <property fmtid="{D5CDD505-2E9C-101B-9397-08002B2CF9AE}" pid="18" name="MSIP_Label_6bd9ddd1-4d20-43f6-abfa-fc3c07406f94_ActionId">
    <vt:lpwstr>2b9edaa4-900d-4d40-b6d2-64bd8bcd67af</vt:lpwstr>
  </property>
  <property fmtid="{D5CDD505-2E9C-101B-9397-08002B2CF9AE}" pid="19" name="MSIP_Label_6bd9ddd1-4d20-43f6-abfa-fc3c07406f94_ContentBits">
    <vt:lpwstr>0</vt:lpwstr>
  </property>
  <property fmtid="{D5CDD505-2E9C-101B-9397-08002B2CF9AE}" pid="20" name="ContentTypeId">
    <vt:lpwstr>0x010100A640DC13EB184F4EBE5AA21BE9F247DB</vt:lpwstr>
  </property>
  <property fmtid="{D5CDD505-2E9C-101B-9397-08002B2CF9AE}" pid="21" name="DQCStatus">
    <vt:lpwstr>Green (DQC version 03)</vt:lpwstr>
  </property>
</Properties>
</file>