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3B79A5" w:rsidRDefault="00186FD6" w:rsidP="00186FD6">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0886666-5BA1-4693-A6D1-02E1C77F2FE5" style="width:455.25pt;height:426pt">
            <v:imagedata r:id="rId11" o:title=""/>
          </v:shape>
        </w:pict>
      </w:r>
    </w:p>
    <w:p w:rsidR="0050796F" w:rsidRPr="003B79A5" w:rsidRDefault="0050796F">
      <w:pPr>
        <w:rPr>
          <w:noProof/>
        </w:rPr>
        <w:sectPr w:rsidR="0050796F" w:rsidRPr="003B79A5" w:rsidSect="00186FD6">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3B79A5" w:rsidRDefault="00C7709B" w:rsidP="00C7709B">
      <w:pPr>
        <w:pStyle w:val="Typedudocument"/>
        <w:rPr>
          <w:noProof/>
        </w:rPr>
      </w:pPr>
      <w:bookmarkStart w:id="0" w:name="_GoBack"/>
      <w:bookmarkEnd w:id="0"/>
      <w:r w:rsidRPr="00C7709B">
        <w:rPr>
          <w:noProof/>
        </w:rPr>
        <w:lastRenderedPageBreak/>
        <w:t>KOMMISSIONENS GENNEMFØRELSESFORORDNING (EU) …/…</w:t>
      </w:r>
    </w:p>
    <w:p w:rsidR="0050796F" w:rsidRPr="003B79A5" w:rsidRDefault="00291275" w:rsidP="00C7709B">
      <w:pPr>
        <w:pStyle w:val="Datedadoption"/>
        <w:rPr>
          <w:noProof/>
        </w:rPr>
      </w:pPr>
      <w:r>
        <w:rPr>
          <w:noProof/>
        </w:rPr>
        <w:t>af 29.11.2024</w:t>
      </w:r>
    </w:p>
    <w:p w:rsidR="0050796F" w:rsidRPr="003B79A5" w:rsidRDefault="00C7709B" w:rsidP="00C7709B">
      <w:pPr>
        <w:pStyle w:val="Titreobjet"/>
        <w:rPr>
          <w:noProof/>
        </w:rPr>
      </w:pPr>
      <w:r w:rsidRPr="00C7709B">
        <w:rPr>
          <w:noProof/>
        </w:rPr>
        <w:t>om gennemførelsesmæssige tekniske standarder vedrørende anvendelsen af Europa-Parlamentets og Rådets forordning (EU) nr. 575/2013 for så vidt angår institutters offentliggørelse af de oplysninger, der er omhandlet i ottende del, afsnit II og III, i nævnte forordning, og om ophævelse af Kommissionens gennemførelsesforordning (EU) 2021/637</w:t>
      </w:r>
    </w:p>
    <w:p w:rsidR="0050796F" w:rsidRPr="003B79A5" w:rsidRDefault="00C7709B" w:rsidP="00C7709B">
      <w:pPr>
        <w:pStyle w:val="IntrtEEE"/>
        <w:rPr>
          <w:noProof/>
        </w:rPr>
      </w:pPr>
      <w:r w:rsidRPr="00C7709B">
        <w:rPr>
          <w:noProof/>
        </w:rPr>
        <w:t>(EØS-relevant tekst)</w:t>
      </w:r>
    </w:p>
    <w:p w:rsidR="0050796F" w:rsidRPr="003B79A5" w:rsidRDefault="0050796F">
      <w:pPr>
        <w:pStyle w:val="Institutionquiagit"/>
        <w:rPr>
          <w:noProof/>
        </w:rPr>
      </w:pPr>
      <w:r w:rsidRPr="003B79A5">
        <w:rPr>
          <w:noProof/>
        </w:rPr>
        <w:t>EUROPA-KOMMISSIONEN HAR —</w:t>
      </w:r>
    </w:p>
    <w:p w:rsidR="0050796F" w:rsidRPr="003B79A5" w:rsidRDefault="0050796F">
      <w:pPr>
        <w:rPr>
          <w:noProof/>
        </w:rPr>
      </w:pPr>
      <w:r w:rsidRPr="003B79A5">
        <w:rPr>
          <w:noProof/>
        </w:rPr>
        <w:t>under henvisning til traktaten om Den Europæiske Unions funktionsmåde,</w:t>
      </w:r>
    </w:p>
    <w:p w:rsidR="000A5D79" w:rsidRPr="003B79A5" w:rsidRDefault="000A5D79" w:rsidP="000A5D79">
      <w:pPr>
        <w:rPr>
          <w:noProof/>
        </w:rPr>
      </w:pPr>
      <w:r w:rsidRPr="003B79A5">
        <w:rPr>
          <w:noProof/>
        </w:rPr>
        <w:t>under henvisning til Europa-Parlamentets og Rådets forordning (EU) nr. 575/2013 af 26. juni 2013 om tilsynsmæssige krav til kreditinstitutter og investeringsselskaber og om ændring af forordning (EU) nr. 648/2012</w:t>
      </w:r>
      <w:r w:rsidRPr="003B79A5">
        <w:rPr>
          <w:rStyle w:val="FootnoteReference"/>
          <w:noProof/>
        </w:rPr>
        <w:footnoteReference w:id="2"/>
      </w:r>
      <w:r w:rsidRPr="003B79A5">
        <w:rPr>
          <w:noProof/>
        </w:rPr>
        <w:t>, særlig artikel 434a, stk. 5, og</w:t>
      </w:r>
    </w:p>
    <w:p w:rsidR="0050796F" w:rsidRPr="003B79A5" w:rsidRDefault="0050796F">
      <w:pPr>
        <w:rPr>
          <w:noProof/>
        </w:rPr>
      </w:pPr>
      <w:r w:rsidRPr="003B79A5">
        <w:rPr>
          <w:noProof/>
        </w:rPr>
        <w:t>ud fra følgende betragtninger:</w:t>
      </w:r>
    </w:p>
    <w:p w:rsidR="00021AB3" w:rsidRPr="003B79A5" w:rsidRDefault="00A24257" w:rsidP="00A24257">
      <w:pPr>
        <w:pStyle w:val="ManualConsidrant"/>
        <w:rPr>
          <w:noProof/>
        </w:rPr>
      </w:pPr>
      <w:r w:rsidRPr="00A24257">
        <w:rPr>
          <w:noProof/>
        </w:rPr>
        <w:t>(1)</w:t>
      </w:r>
      <w:r w:rsidRPr="00A24257">
        <w:rPr>
          <w:noProof/>
        </w:rPr>
        <w:tab/>
      </w:r>
      <w:r w:rsidR="00021AB3" w:rsidRPr="003B79A5">
        <w:rPr>
          <w:noProof/>
        </w:rPr>
        <w:t>Ved Kommissionens gennemførelsesforordning (EU) 2021/637</w:t>
      </w:r>
      <w:r w:rsidR="00021AB3" w:rsidRPr="003B79A5">
        <w:rPr>
          <w:rStyle w:val="FootnoteReference"/>
          <w:noProof/>
        </w:rPr>
        <w:footnoteReference w:id="3"/>
      </w:r>
      <w:r w:rsidR="00021AB3" w:rsidRPr="003B79A5">
        <w:rPr>
          <w:noProof/>
        </w:rPr>
        <w:t xml:space="preserve"> blev der fastsat ensartede offentliggørelsesformater for at sikre ensartet anvendelse af forordning (EU) nr. 575/2013. Europa-Parlamentets og Rådets forordning (EU) 2024/1623</w:t>
      </w:r>
      <w:r w:rsidR="00021AB3" w:rsidRPr="003B79A5">
        <w:rPr>
          <w:rStyle w:val="FootnoteReference"/>
          <w:noProof/>
        </w:rPr>
        <w:footnoteReference w:id="4"/>
      </w:r>
      <w:r w:rsidR="00021AB3" w:rsidRPr="003B79A5">
        <w:rPr>
          <w:noProof/>
        </w:rPr>
        <w:t xml:space="preserve"> ændrede forordning (EU) nr. 575/2013 med henblik på at indarbejde de internationale standarder fra Baselkomitéen for Banktilsyns tredje internationale regelsæt for banker (benævnt "Basel III"). Disse internationale standarder indeholder tilsynsmæssige standarder for offentliggørelse for at forbedre gennemsigtigheden og konsekvensen i de tilsynsmæssige krav til kreditinstitutter. Det er derfor nødvendigt at ændre reglerne om ensartede offentliggørelsesformater for at afspejle disse ændringer i specifikationerne vedrørende oplysningsforpligtelser. </w:t>
      </w:r>
    </w:p>
    <w:p w:rsidR="000B02C7" w:rsidRPr="003B79A5" w:rsidRDefault="00A24257" w:rsidP="00A24257">
      <w:pPr>
        <w:pStyle w:val="ManualConsidrant"/>
        <w:rPr>
          <w:noProof/>
        </w:rPr>
      </w:pPr>
      <w:r w:rsidRPr="00A24257">
        <w:rPr>
          <w:noProof/>
        </w:rPr>
        <w:t>(2)</w:t>
      </w:r>
      <w:r w:rsidRPr="00A24257">
        <w:rPr>
          <w:noProof/>
        </w:rPr>
        <w:tab/>
      </w:r>
      <w:r w:rsidR="00374932" w:rsidRPr="003B79A5">
        <w:rPr>
          <w:noProof/>
        </w:rPr>
        <w:t xml:space="preserve">Institutternes offentliggørelse af oplysninger om deres væsentlige reguleringsmæssige målekriterier bør omfatte offentliggørelse af et instituts disponible kapital, dets risikovægtede aktiver, dets gearing samt de mest relevante likviditetsparametre. </w:t>
      </w:r>
    </w:p>
    <w:p w:rsidR="009D26D8" w:rsidRPr="003B79A5" w:rsidRDefault="00A24257" w:rsidP="00A24257">
      <w:pPr>
        <w:pStyle w:val="ManualConsidrant"/>
        <w:rPr>
          <w:noProof/>
        </w:rPr>
      </w:pPr>
      <w:r w:rsidRPr="00A24257">
        <w:rPr>
          <w:noProof/>
        </w:rPr>
        <w:t>(3)</w:t>
      </w:r>
      <w:r w:rsidRPr="00A24257">
        <w:rPr>
          <w:noProof/>
        </w:rPr>
        <w:tab/>
      </w:r>
      <w:r w:rsidR="0021307C" w:rsidRPr="003B79A5">
        <w:rPr>
          <w:noProof/>
        </w:rPr>
        <w:t xml:space="preserve">For at kunne absorbere tab i en going concern- eller i en gone concern-situation har institutterne brug for kapitalgrundlag i tilstrækkelig mængde og kvalitet, jf. artikel 92 i forordning (EU) nr. 575/2013. Institutterne bør offentliggøre oplysninger om deres kapitalgrundlags sammensætning, kvantitet og kvalitet for at give interessenterne mulighed for at vurdere bankernes tabsabsorberingskapacitet. </w:t>
      </w:r>
    </w:p>
    <w:p w:rsidR="008E4ACA" w:rsidRPr="003B79A5" w:rsidRDefault="00A24257" w:rsidP="00A24257">
      <w:pPr>
        <w:pStyle w:val="ManualConsidrant"/>
        <w:rPr>
          <w:noProof/>
        </w:rPr>
      </w:pPr>
      <w:r w:rsidRPr="00A24257">
        <w:rPr>
          <w:noProof/>
        </w:rPr>
        <w:t>(4)</w:t>
      </w:r>
      <w:r w:rsidRPr="00A24257">
        <w:rPr>
          <w:noProof/>
        </w:rPr>
        <w:tab/>
      </w:r>
      <w:r w:rsidR="001C319D" w:rsidRPr="003B79A5">
        <w:rPr>
          <w:noProof/>
        </w:rPr>
        <w:t>Oplysninger om overholdelsen af kravet om en kontracyklisk kapitalbuffer bør afspejle det forhold, at den kontracykliske kapitalbuffer, der er omhandlet i afsnit VII, kapitel 4, i Europa-Parlamentets og Rådets direktiv 2013/36/EU</w:t>
      </w:r>
      <w:r w:rsidR="001C319D" w:rsidRPr="003B79A5">
        <w:rPr>
          <w:rStyle w:val="FootnoteReference"/>
          <w:noProof/>
          <w:color w:val="000000"/>
        </w:rPr>
        <w:footnoteReference w:id="5"/>
      </w:r>
      <w:r w:rsidR="001C319D" w:rsidRPr="003B79A5">
        <w:rPr>
          <w:noProof/>
        </w:rPr>
        <w:t xml:space="preserve">, har til formål at sikre, at der i kapitalkravene i banksektoren tages hensyn til de makrofinansielle vilkår, som kreditinstitutterne opererer i. </w:t>
      </w:r>
    </w:p>
    <w:p w:rsidR="005246AE" w:rsidRPr="003B79A5" w:rsidRDefault="00A24257" w:rsidP="00A24257">
      <w:pPr>
        <w:pStyle w:val="ManualConsidrant"/>
        <w:rPr>
          <w:noProof/>
        </w:rPr>
      </w:pPr>
      <w:r w:rsidRPr="00A24257">
        <w:rPr>
          <w:noProof/>
        </w:rPr>
        <w:t>(5)</w:t>
      </w:r>
      <w:r w:rsidRPr="00A24257">
        <w:rPr>
          <w:noProof/>
        </w:rPr>
        <w:tab/>
      </w:r>
      <w:r w:rsidR="00230BAF" w:rsidRPr="003B79A5">
        <w:rPr>
          <w:noProof/>
        </w:rPr>
        <w:t>Det er afgørende, at markedet har adgang til oplysninger om, hvorvidt et institut bør klassificeres som globale systemisk vigtige institutter (G-SII'er).</w:t>
      </w:r>
      <w:r w:rsidR="00230BAF" w:rsidRPr="003B79A5">
        <w:rPr>
          <w:noProof/>
          <w:color w:val="000000"/>
          <w:shd w:val="clear" w:color="auto" w:fill="FFFFFF"/>
        </w:rPr>
        <w:t xml:space="preserve"> Institutterne bør derfor offentliggøre oplysninger om, hvorvidt de indikatorer for væsentlighed, der er omhandlet i artikel 131 i direktiv 2013/36/EU, er opfyldt eller ej. </w:t>
      </w:r>
    </w:p>
    <w:p w:rsidR="00AD2682" w:rsidRPr="003B79A5" w:rsidRDefault="00A24257" w:rsidP="00A24257">
      <w:pPr>
        <w:pStyle w:val="ManualConsidrant"/>
        <w:rPr>
          <w:noProof/>
        </w:rPr>
      </w:pPr>
      <w:r w:rsidRPr="00A24257">
        <w:rPr>
          <w:noProof/>
        </w:rPr>
        <w:t>(6)</w:t>
      </w:r>
      <w:r w:rsidRPr="00A24257">
        <w:rPr>
          <w:noProof/>
        </w:rPr>
        <w:tab/>
      </w:r>
      <w:r w:rsidR="001C319D" w:rsidRPr="003B79A5">
        <w:rPr>
          <w:noProof/>
        </w:rPr>
        <w:t xml:space="preserve">Der bør fastsættes ensartede skemaer for at sikre, at institutterne offentliggør oplysninger om deres overholdelse af likviditetskravene, herunder likviditetsdækningsgrad og net stable funding ratio, på en ensartet og sammenlignelig måde. </w:t>
      </w:r>
    </w:p>
    <w:p w:rsidR="000A5D79" w:rsidRPr="003B79A5" w:rsidRDefault="00A24257" w:rsidP="00A24257">
      <w:pPr>
        <w:pStyle w:val="ManualConsidrant"/>
        <w:rPr>
          <w:noProof/>
          <w:szCs w:val="24"/>
        </w:rPr>
      </w:pPr>
      <w:r w:rsidRPr="00A24257">
        <w:rPr>
          <w:noProof/>
        </w:rPr>
        <w:t>(7)</w:t>
      </w:r>
      <w:r w:rsidRPr="00A24257">
        <w:rPr>
          <w:noProof/>
        </w:rPr>
        <w:tab/>
      </w:r>
      <w:r w:rsidR="00E07BF3" w:rsidRPr="003B79A5">
        <w:rPr>
          <w:noProof/>
        </w:rPr>
        <w:t>Det er nødvendigt at sikre sammenhæng og konsekvens mellem de indberetningsforpligtelser, der er fastsat i forordning (EU) nr. 575/2013, i forhold til anden EU-lovgivning på området for ESG-risici, navnlig Europa-Parlamentets og Rådets forordning (EU) 2020/852</w:t>
      </w:r>
      <w:r w:rsidR="00E07BF3" w:rsidRPr="003B79A5">
        <w:rPr>
          <w:rStyle w:val="FootnoteReference"/>
          <w:noProof/>
          <w:szCs w:val="24"/>
        </w:rPr>
        <w:footnoteReference w:id="6"/>
      </w:r>
      <w:r w:rsidR="00E07BF3" w:rsidRPr="003B79A5">
        <w:rPr>
          <w:noProof/>
        </w:rPr>
        <w:t>. I regler om offentliggørelse af ESG-risici bør der derfor tages højde for de kriterier, klassifikationer og definitioner, der er fastsat i artikel 2 og 3 i forordning (EU) 2020/852. I disse regler bør der navnlig tages højde for kriterierne for identifikation og klassificering af miljømæssigt bæredygtige økonomiske aktiviteter som fastsat i forordning (EU) 2020/852 og i Kommissionens delegerede forordning (EU) 2020/1818</w:t>
      </w:r>
      <w:r w:rsidR="00E07BF3" w:rsidRPr="003B79A5">
        <w:rPr>
          <w:rStyle w:val="FootnoteReference"/>
          <w:noProof/>
          <w:szCs w:val="24"/>
        </w:rPr>
        <w:footnoteReference w:id="7"/>
      </w:r>
      <w:r w:rsidR="00E07BF3" w:rsidRPr="003B79A5">
        <w:rPr>
          <w:noProof/>
        </w:rPr>
        <w:t>. Ved offentliggørelse af oplysninger om den energimæssige ydeevne af institutternes ejendomsportefølje bør institutterne af samme årsag give oplysningerne i form af energiattesten som defineret i artikel 2, nr. 12), i Europa-Parlamentets og Rådets direktiv 2010/31/EU</w:t>
      </w:r>
      <w:r w:rsidR="00E07BF3" w:rsidRPr="003B79A5">
        <w:rPr>
          <w:rStyle w:val="FootnoteReference"/>
          <w:noProof/>
          <w:szCs w:val="24"/>
        </w:rPr>
        <w:footnoteReference w:id="8"/>
      </w:r>
      <w:r w:rsidR="00E07BF3" w:rsidRPr="003B79A5">
        <w:rPr>
          <w:noProof/>
        </w:rPr>
        <w:t xml:space="preserve">. </w:t>
      </w:r>
    </w:p>
    <w:p w:rsidR="000A5D79" w:rsidRPr="003B79A5" w:rsidRDefault="00A24257" w:rsidP="00A24257">
      <w:pPr>
        <w:pStyle w:val="ManualConsidrant"/>
        <w:rPr>
          <w:noProof/>
          <w:szCs w:val="24"/>
        </w:rPr>
      </w:pPr>
      <w:r w:rsidRPr="00A24257">
        <w:rPr>
          <w:noProof/>
        </w:rPr>
        <w:t>(8)</w:t>
      </w:r>
      <w:r w:rsidRPr="00A24257">
        <w:rPr>
          <w:noProof/>
        </w:rPr>
        <w:tab/>
      </w:r>
      <w:r w:rsidR="000A5D79" w:rsidRPr="003B79A5">
        <w:rPr>
          <w:noProof/>
        </w:rPr>
        <w:t>I henhold til artikel 19a og 29a i Europa-Parlamentets og Rådets direktiv 2013/34/EU</w:t>
      </w:r>
      <w:r w:rsidR="000A5D79" w:rsidRPr="003B79A5">
        <w:rPr>
          <w:rStyle w:val="FootnoteReference"/>
          <w:noProof/>
          <w:szCs w:val="24"/>
        </w:rPr>
        <w:footnoteReference w:id="9"/>
      </w:r>
      <w:r w:rsidR="000A5D79" w:rsidRPr="003B79A5">
        <w:rPr>
          <w:noProof/>
        </w:rPr>
        <w:t xml:space="preserve"> skal visse store virksomheder, som er virksomheder af interesse for offentligheden, eller virksomheder af interesse for offentligheden, som er modervirksomheder i en stor koncern, i deres ledelsesberetning eller i deres konsoliderede ledelsesberetning medtage oplysninger om indvirkningen af deres aktiviteter på miljøspørgsmål, sociale spørgsmål og personalespørgsmål samt spørgsmål vedrørende respekt for menneskerettighederne, bekæmpelse af korruption og bestikkelse. Denne forpligtelse gælder imidlertid ikke for andre virksomheder. Som følge heraf er virksomheder, der ikke er omfattet af artikel 19a og 29a i direktiv 2013/34/EU, ikke forpligtet til at offentliggøre sådanne oplysninger, og de kan muligvis ikke videregive sådanne oplysninger til institutter. Disse virksomheder, der er modparter til institutter, kan således kun forventes at fremlægge disse oplysninger og data frivilligt. </w:t>
      </w:r>
    </w:p>
    <w:p w:rsidR="003A1487" w:rsidRPr="003B79A5" w:rsidRDefault="00A24257" w:rsidP="00A24257">
      <w:pPr>
        <w:pStyle w:val="ManualConsidrant"/>
        <w:rPr>
          <w:noProof/>
          <w:color w:val="000000"/>
          <w:szCs w:val="24"/>
        </w:rPr>
      </w:pPr>
      <w:r w:rsidRPr="00A24257">
        <w:rPr>
          <w:noProof/>
        </w:rPr>
        <w:t>(9)</w:t>
      </w:r>
      <w:r w:rsidRPr="00A24257">
        <w:rPr>
          <w:noProof/>
        </w:rPr>
        <w:tab/>
      </w:r>
      <w:r w:rsidR="003A1487" w:rsidRPr="003B79A5">
        <w:rPr>
          <w:noProof/>
        </w:rPr>
        <w:t>For at gennemføre Basel III-standarderne blev der ved forordning (EU) 2024/1623 i artikel 92, stk. 3, i forordning (EU) nr. 575/2013 indført en nedre grænse for de risikobaserede kapitalkrav beregnet ved hjælp af interne modeller ("outputgulv"), som svarer til en procentdel af de kapitalkrav, der ville finde anvendelse, hvis der blev anvendt standardmetoder.</w:t>
      </w:r>
      <w:r w:rsidR="003A1487" w:rsidRPr="003B79A5">
        <w:rPr>
          <w:rStyle w:val="cf11"/>
          <w:rFonts w:ascii="Times New Roman" w:hAnsi="Times New Roman"/>
          <w:noProof/>
          <w:sz w:val="24"/>
        </w:rPr>
        <w:t xml:space="preserve"> Ændringerne bør derfor afspejles i de relevante oplysningsskemaer. For at sikre en sammenligning mellem de risikobaserede kapitalprocenter, der er beregnet efter standardmetoden, og de internt modelberegnede metoder på risikoniveau og i eksponeringsklasserne for kreditrisiko, bør der desuden indføres to nye oplysningsskemaer.</w:t>
      </w:r>
      <w:r w:rsidR="003A1487" w:rsidRPr="003B79A5">
        <w:rPr>
          <w:noProof/>
          <w:color w:val="000000"/>
        </w:rPr>
        <w:t xml:space="preserve"> </w:t>
      </w:r>
    </w:p>
    <w:p w:rsidR="000A5D79" w:rsidRPr="003B79A5" w:rsidRDefault="00A24257" w:rsidP="00A24257">
      <w:pPr>
        <w:pStyle w:val="ManualConsidrant"/>
        <w:rPr>
          <w:noProof/>
          <w:color w:val="000000"/>
        </w:rPr>
      </w:pPr>
      <w:r w:rsidRPr="00A24257">
        <w:rPr>
          <w:noProof/>
        </w:rPr>
        <w:t>(10)</w:t>
      </w:r>
      <w:r w:rsidRPr="00A24257">
        <w:rPr>
          <w:noProof/>
        </w:rPr>
        <w:tab/>
      </w:r>
      <w:r w:rsidR="000A5D79" w:rsidRPr="003B79A5">
        <w:rPr>
          <w:noProof/>
        </w:rPr>
        <w:t xml:space="preserve">I forbindelse med anvendelsen af standardmetoden for kreditrisiko har forordning (EU) 2024/1623 i afsnit II, kapitel 2, forordning (EU) nr. 575/2013 indført en mere detaljeret risikovægtning af forskellige eksponeringer, herunder eksponeringer mod institutter, erhvervseksponeringer, specialiseret långivning, detaileksponeringer, eksponeringer sikret ved fast ejendom, eksponeringer mod efterstillet gæld, aktieeksponeringer og misligholdte eksponeringer. Det er nødvendigt at afspejle disse ændringer i oplysningsskemaerne og tilpasse rækkenummereringen i disse oplysningsskemaer til den, der anvendes i de tilsvarende BCBS-oplysningsskemaer. </w:t>
      </w:r>
    </w:p>
    <w:p w:rsidR="000A5D79" w:rsidRPr="003B79A5" w:rsidRDefault="00A24257" w:rsidP="00A24257">
      <w:pPr>
        <w:pStyle w:val="ManualConsidrant"/>
        <w:rPr>
          <w:noProof/>
          <w:color w:val="000000"/>
        </w:rPr>
      </w:pPr>
      <w:r w:rsidRPr="00A24257">
        <w:rPr>
          <w:noProof/>
        </w:rPr>
        <w:t>(11)</w:t>
      </w:r>
      <w:r w:rsidRPr="00A24257">
        <w:rPr>
          <w:noProof/>
        </w:rPr>
        <w:tab/>
      </w:r>
      <w:r w:rsidR="009E6EC8" w:rsidRPr="003B79A5">
        <w:rPr>
          <w:noProof/>
        </w:rPr>
        <w:t xml:space="preserve">Ved forordning (EU) 2024/1623 blev der i afsnit II, kapitel 3, i forordning (EU) nr. 575/2013 i forbindelse med anvendelsen af den interne ratingbaserede metode (IRB) for krediteksponeringer indført en begrænsning af de eksponeringsklasser, for hvilke den avancerede IRB-metode (A-IRB) kan anvendes til at beregne kapitalgrundlagskrav vedrørende kreditrisiko. Specifikt er det for eksponeringer mod institutter kun den grundlæggende IRB-metode (F-IRB), der nu kan anvendes, og for aktieeksponeringer er det kun standardmetoden, der er tilladt, undtagen i en overgangsperiode. Desuden er der oprettet nye eksponeringsklasser for "regionale eller lokale myndigheder" og "Offentlige enheder" for at sikre en ensartet behandling af disse eksponeringer og for at undgå utilsigtede udsving i de relaterede kapitalgrundlagskrav. Disse ændringer bør afspejles i oplysningsskemaerne om anvendelsen af IRB-metoden. Det er også nødvendigt at tilpasse strukturen i skemaet om virkning af kreditderivater anvendt som kreditrisikoreduktionsteknikker (CRM-teknikker) på de risikovægtede eksponeringer, til den rækkenummerering, der anvendes i det tilsvarende BCBS-oplysningsskema. </w:t>
      </w:r>
    </w:p>
    <w:p w:rsidR="000A5D79" w:rsidRPr="003B79A5" w:rsidRDefault="00A24257" w:rsidP="00A24257">
      <w:pPr>
        <w:pStyle w:val="ManualConsidrant"/>
        <w:rPr>
          <w:noProof/>
          <w:sz w:val="22"/>
        </w:rPr>
      </w:pPr>
      <w:r w:rsidRPr="00A24257">
        <w:rPr>
          <w:noProof/>
        </w:rPr>
        <w:t>(12)</w:t>
      </w:r>
      <w:r w:rsidRPr="00A24257">
        <w:rPr>
          <w:noProof/>
        </w:rPr>
        <w:tab/>
      </w:r>
      <w:r w:rsidR="00E365AC" w:rsidRPr="003B79A5">
        <w:rPr>
          <w:noProof/>
        </w:rPr>
        <w:t>Ved forordning (EU) 2024/1623 blev der i afsnit IV i forordning (EU) nr. 575/2013 indført en ny ramme for beregning af kapitalgrundlagskravene i relation til markedsrisiko baseret på BCBS' grundlæggende revision af handelsbeholdningen (FRTB).</w:t>
      </w:r>
      <w:r w:rsidR="00E365AC" w:rsidRPr="003B79A5">
        <w:rPr>
          <w:noProof/>
          <w:color w:val="000000" w:themeColor="text1"/>
        </w:rPr>
        <w:t xml:space="preserve"> Denne ændring var nødvendig for at afhjælpe de mangler, der blev konstateret i den nuværende ramme for kapitalkrav til markedsrisiko for positioner i handelsbeholdningen. I overensstemmelse med den nye ramme skal institutterne anvende en forenklet standardmetode, en alternativ standardmetode eller en alternativ metode med interne modeller til beregning af kapitalgrundlagskravene i relation til markedsrisiko. Disse ændringer bør afspejles i oplysningsskemaerne ved at indføre et samlet sæt offentliggørelsestabeller og oplysningsskemaer. Dette nye sæt offentliggørelsestabeller og oplysningsskemaer bør være i taget i brug, når den lovgivningsmæssige ramme for markedsrisiko baseret på Basels FRTB-standarder begynder at finde anvendelse i Unionen. I mellemtiden bør de oplysningskrav, der i øjeblikket gælder, fortsat finde anvendelse. For at give en samlet forståelse af anvendelsen af denne nye metode bør institutter, der anvender den alternative metode med interne modeller, på den første anvendelsesdato for den nye ramme for offentliggørelse offentliggøre de kvantitative oplysninger sammen med de kvalitative oplysninger. </w:t>
      </w:r>
    </w:p>
    <w:p w:rsidR="000A5D79" w:rsidRPr="003B79A5" w:rsidRDefault="00A24257" w:rsidP="00A24257">
      <w:pPr>
        <w:pStyle w:val="ManualConsidrant"/>
        <w:rPr>
          <w:noProof/>
        </w:rPr>
      </w:pPr>
      <w:r w:rsidRPr="00A24257">
        <w:rPr>
          <w:noProof/>
        </w:rPr>
        <w:t>(13)</w:t>
      </w:r>
      <w:r w:rsidRPr="00A24257">
        <w:rPr>
          <w:noProof/>
        </w:rPr>
        <w:tab/>
      </w:r>
      <w:r w:rsidR="00990CED" w:rsidRPr="003B79A5">
        <w:rPr>
          <w:noProof/>
        </w:rPr>
        <w:t>Der bør fastsættes ensartede offentliggørelsesformater for at sikre ensartede og sammenlignelige oplysninger om kreditværdijusteringsrisici ("CVA"). Det er derfor nødvendigt i den forbindelse at indføre nye oplysningsskemaer og offentliggørelsestabeller med kvantitative og kvalitative oplysninger om CVA-risiko. Disse skemaer bør tage hensyn til, at institutter, der er underlagt kapitalgrundlagskrav i relation til CVA, kan anvende standardmetoden, basismetoden eller den forenklede metode eller en kombination af disse metoder, og at CVA-risiko bør omfatte både kreditspændsrisikoen for et instituts modpart og markedsrisikoen ved porteføljen af transaktioner, som instituttet har gennemført med den pågældende modpart.</w:t>
      </w:r>
    </w:p>
    <w:p w:rsidR="000A5D79" w:rsidRPr="003B79A5" w:rsidRDefault="00A24257" w:rsidP="00A24257">
      <w:pPr>
        <w:pStyle w:val="ManualConsidrant"/>
        <w:rPr>
          <w:noProof/>
          <w:color w:val="000000"/>
        </w:rPr>
      </w:pPr>
      <w:r w:rsidRPr="00A24257">
        <w:rPr>
          <w:noProof/>
        </w:rPr>
        <w:t>(14)</w:t>
      </w:r>
      <w:r w:rsidRPr="00A24257">
        <w:rPr>
          <w:noProof/>
        </w:rPr>
        <w:tab/>
      </w:r>
      <w:r w:rsidR="000A5D79" w:rsidRPr="003B79A5">
        <w:rPr>
          <w:noProof/>
        </w:rPr>
        <w:t>Ved forordning (EU) 2024/1623 blev der i afsnit III, kapitel 1, i forordning (EU) nr. 575/2013 indført en ny ikkemodelbaseret metode til beregning af kapitalgrundlagskravene vedrørende operationel risiko for at adressere de eksisterede metoders mangel på risikofølsomhed og sammenlignelighed.</w:t>
      </w:r>
      <w:bookmarkStart w:id="1" w:name="_Hlk174954474"/>
      <w:bookmarkEnd w:id="1"/>
      <w:r w:rsidR="000A5D79" w:rsidRPr="003B79A5">
        <w:rPr>
          <w:noProof/>
          <w:color w:val="000000"/>
        </w:rPr>
        <w:t xml:space="preserve"> På grundlag af en skønsbeføjelse i Basel III-standarderne er Unionens minimumskapitalkrav udelukkende baseret på beregningen af forretningsindikatorkomponenten (BIC), mens tabshistorien kun tages i betragtning med henblik på offentliggørelse. </w:t>
      </w:r>
      <w:r w:rsidR="000A5D79" w:rsidRPr="003B79A5">
        <w:rPr>
          <w:noProof/>
        </w:rPr>
        <w:t>Disse ændringer bør afspejles i oplysningsskemaerne, bl.a. ved at fastlægge nye skemaer til at give oplysninger om årlige operationelle tab i løbet af de seneste 10 år, beregningen af forretningsindikator, komponenter og delkomponenter samt de tilknyttede kapitalgrundlagskrav og risikoeksponeringsbeløb.</w:t>
      </w:r>
    </w:p>
    <w:p w:rsidR="00A81627" w:rsidRPr="003B79A5" w:rsidRDefault="00A24257" w:rsidP="00A24257">
      <w:pPr>
        <w:pStyle w:val="ManualConsidrant"/>
        <w:rPr>
          <w:noProof/>
        </w:rPr>
      </w:pPr>
      <w:r w:rsidRPr="00A24257">
        <w:rPr>
          <w:noProof/>
        </w:rPr>
        <w:t>(15)</w:t>
      </w:r>
      <w:r w:rsidRPr="00A24257">
        <w:rPr>
          <w:noProof/>
        </w:rPr>
        <w:tab/>
      </w:r>
      <w:r w:rsidR="000A5D79" w:rsidRPr="003B79A5">
        <w:rPr>
          <w:noProof/>
        </w:rPr>
        <w:t>I artikel 501d, stk. 2, i forordning (EU) nr. 575/2013 fastsættes det, hvordan institutterne skal beregne deres kapitalgrundlagskrav for kryptoaktiveksponeringer indtil datoen for anvendelse af den retsakt, der er omhandlet i nævnte forordnings artikel 501d, stk. 1. Det er derfor nødvendigt at fastsætte, hvordan institutterne skal offentliggøre deres kryptoaktiveksponeringer i denne overgangsperiode.</w:t>
      </w:r>
    </w:p>
    <w:p w:rsidR="0072766F" w:rsidRPr="003B79A5" w:rsidRDefault="00A24257" w:rsidP="00A24257">
      <w:pPr>
        <w:pStyle w:val="ManualConsidrant"/>
        <w:rPr>
          <w:noProof/>
        </w:rPr>
      </w:pPr>
      <w:r w:rsidRPr="00A24257">
        <w:rPr>
          <w:noProof/>
        </w:rPr>
        <w:t>(16)</w:t>
      </w:r>
      <w:r w:rsidRPr="00A24257">
        <w:rPr>
          <w:noProof/>
        </w:rPr>
        <w:tab/>
      </w:r>
      <w:r w:rsidR="0072766F" w:rsidRPr="003B79A5">
        <w:rPr>
          <w:noProof/>
        </w:rPr>
        <w:t>Forordning (EU) 2024/1623 ændrede artikel 434a, stk. 1, i forordning (EU) nr. 575/2013 og indførte et krav om, at EBA skal udvikle IT-løsninger, herunder vejledninger, der skal anvendes af institutterne, vedrørende offentliggørelse, der kræves i henhold til nævnte forordnings afsnit II og III. Oplysningsskemaerne bør derfor med tilstrækkelig klarhed angive de datapunkter og oplysninger, som institutterne skal offentliggøre for at sikre, at brugerne får adgang til tilstrækkelige omfattende og sammenlignelige oplysninger, og at der opretholdes overensstemmelse med internationale standarder for offentliggørelse. For at gøre det muligt for EBA at udvikle passende IT-løsninger bør disse ensartede offentliggørelsesformater ikke være bindende for så vidt angår deres struktur og deres repræsentation. EBA bør navnlig kunne afvige fra det grafiske udseende og tabelstrukturen i oplysningsskemaerne, så længe alle de krævede datapunkter og oplysninger indgår i IT-løsningen.</w:t>
      </w:r>
    </w:p>
    <w:p w:rsidR="005F4989" w:rsidRPr="003B79A5" w:rsidRDefault="00A24257" w:rsidP="00A24257">
      <w:pPr>
        <w:pStyle w:val="ManualConsidrant"/>
        <w:rPr>
          <w:noProof/>
          <w:szCs w:val="24"/>
        </w:rPr>
      </w:pPr>
      <w:r w:rsidRPr="00A24257">
        <w:rPr>
          <w:noProof/>
        </w:rPr>
        <w:t>(17)</w:t>
      </w:r>
      <w:r w:rsidRPr="00A24257">
        <w:rPr>
          <w:noProof/>
        </w:rPr>
        <w:tab/>
      </w:r>
      <w:r w:rsidR="005F4989" w:rsidRPr="003B79A5">
        <w:rPr>
          <w:noProof/>
        </w:rPr>
        <w:t>For at give institutterne et omfattende samlet sæt ensartede offentliggørelsesformater og sikre offentliggørelse af oplysninger af høj kvalitet, samtidig med at tilgangen i den reviderede artikel 434a, stk. 1, i forordning (EU) nr. 575/2013 afspejles, er det nødvendigt at ophæve Kommissionens gennemførelsesforordning (EU) 2021/637 og erstatte nævnte gennemførelsesforordning med nærværende forordning.</w:t>
      </w:r>
    </w:p>
    <w:p w:rsidR="000A5D79" w:rsidRPr="003B79A5" w:rsidRDefault="00A24257" w:rsidP="00A24257">
      <w:pPr>
        <w:pStyle w:val="ManualConsidrant"/>
        <w:rPr>
          <w:noProof/>
          <w:sz w:val="22"/>
        </w:rPr>
      </w:pPr>
      <w:r w:rsidRPr="00A24257">
        <w:rPr>
          <w:noProof/>
        </w:rPr>
        <w:t>(18)</w:t>
      </w:r>
      <w:r w:rsidRPr="00A24257">
        <w:rPr>
          <w:noProof/>
        </w:rPr>
        <w:tab/>
      </w:r>
      <w:r w:rsidR="00DF17AE" w:rsidRPr="003B79A5">
        <w:rPr>
          <w:noProof/>
        </w:rPr>
        <w:t>For at sikre, at institutterne offentliggør oplysninger rettidigt og af høj kvalitet, bør de have tilstrækkelig tid til at tilpasse deres interne systemer i lyset af de ændringer af den eksisterende ramme for offentliggørelse, der er afspejlet/indarbejdet i nærværende forordning.</w:t>
      </w:r>
    </w:p>
    <w:p w:rsidR="000A5D79" w:rsidRPr="003B79A5" w:rsidRDefault="00A24257" w:rsidP="00A24257">
      <w:pPr>
        <w:pStyle w:val="ManualConsidrant"/>
        <w:rPr>
          <w:noProof/>
        </w:rPr>
      </w:pPr>
      <w:r w:rsidRPr="00A24257">
        <w:rPr>
          <w:noProof/>
        </w:rPr>
        <w:t>(19)</w:t>
      </w:r>
      <w:r w:rsidRPr="00A24257">
        <w:rPr>
          <w:noProof/>
        </w:rPr>
        <w:tab/>
      </w:r>
      <w:r w:rsidR="000A5D79" w:rsidRPr="003B79A5">
        <w:rPr>
          <w:noProof/>
        </w:rPr>
        <w:t>Denne forordning er baseret på de udkast til gennemførelsesmæssige tekniske standarder, som Den Europæiske Banktilsynsmyndighed har forelagt Kommissionen.</w:t>
      </w:r>
    </w:p>
    <w:p w:rsidR="000A5D79" w:rsidRPr="003B79A5" w:rsidRDefault="00A24257" w:rsidP="00A24257">
      <w:pPr>
        <w:pStyle w:val="ManualConsidrant"/>
        <w:rPr>
          <w:noProof/>
        </w:rPr>
      </w:pPr>
      <w:r w:rsidRPr="00A24257">
        <w:rPr>
          <w:noProof/>
        </w:rPr>
        <w:t>(20)</w:t>
      </w:r>
      <w:r w:rsidRPr="00A24257">
        <w:rPr>
          <w:noProof/>
        </w:rPr>
        <w:tab/>
      </w:r>
      <w:r w:rsidR="000A5D79" w:rsidRPr="003B79A5">
        <w:rPr>
          <w:noProof/>
        </w:rPr>
        <w:t>EBA har afholdt åbne offentlige høringer om det udkast til reguleringsmæssige tekniske standarder, som ligger til grund for denne forordning, analyseret de potentielle omkostninger og fordele herved og anmodet om rådgivning fra interessentgruppen for banker, der er nedsat i henhold artikel 37 i Europa-Parlamentets og Rådets forordning (EU) nr. 1093/2010</w:t>
      </w:r>
      <w:r w:rsidR="000A5D79" w:rsidRPr="003B79A5">
        <w:rPr>
          <w:rStyle w:val="FootnoteReference"/>
          <w:noProof/>
        </w:rPr>
        <w:footnoteReference w:id="10"/>
      </w:r>
      <w:r w:rsidR="000A5D79" w:rsidRPr="003B79A5">
        <w:rPr>
          <w:noProof/>
        </w:rPr>
        <w:t xml:space="preserve">. </w:t>
      </w:r>
    </w:p>
    <w:p w:rsidR="0050796F" w:rsidRPr="003B79A5" w:rsidRDefault="0050796F">
      <w:pPr>
        <w:pStyle w:val="Formuledadoption"/>
        <w:rPr>
          <w:noProof/>
        </w:rPr>
      </w:pPr>
      <w:r w:rsidRPr="003B79A5">
        <w:rPr>
          <w:noProof/>
        </w:rPr>
        <w:t>VEDTAGET DENNE FORORDNING:</w:t>
      </w:r>
    </w:p>
    <w:p w:rsidR="00905855" w:rsidRPr="003B79A5" w:rsidRDefault="00905855" w:rsidP="00905855">
      <w:pPr>
        <w:pStyle w:val="Titrearticle"/>
        <w:rPr>
          <w:noProof/>
        </w:rPr>
      </w:pPr>
      <w:r w:rsidRPr="003B79A5">
        <w:rPr>
          <w:noProof/>
        </w:rPr>
        <w:t>Artikel 1</w:t>
      </w:r>
    </w:p>
    <w:p w:rsidR="000A5D79" w:rsidRPr="003B79A5" w:rsidRDefault="000A5D79" w:rsidP="000A5D79">
      <w:pPr>
        <w:pStyle w:val="Titrearticle"/>
        <w:spacing w:before="120"/>
        <w:rPr>
          <w:b/>
          <w:i w:val="0"/>
          <w:noProof/>
        </w:rPr>
      </w:pPr>
      <w:r w:rsidRPr="003B79A5">
        <w:rPr>
          <w:b/>
          <w:i w:val="0"/>
          <w:noProof/>
        </w:rPr>
        <w:t>Offentliggørelse af væsentlige parametre og oversigt over risikovægtede eksponeringsværdier</w:t>
      </w:r>
    </w:p>
    <w:p w:rsidR="000A5D79" w:rsidRPr="003B79A5" w:rsidRDefault="000A5D79" w:rsidP="00905855">
      <w:pPr>
        <w:rPr>
          <w:noProof/>
        </w:rPr>
      </w:pPr>
      <w:r w:rsidRPr="003B79A5">
        <w:rPr>
          <w:noProof/>
        </w:rPr>
        <w:t>Institutterne offentliggør de oplysninger, der er omhandlet i artikel 438, litra a)-d), f) og g), og artikel 447, litra a)-g), i forordning (EU) nr. 575/2013, som angivet i afsnit 1 — "Offentliggørelse af oversigt over risikostyring, væsentlige tilsynsparametre og risikovægtede aktiver" i bilag I.</w:t>
      </w:r>
    </w:p>
    <w:p w:rsidR="000A5D79" w:rsidRPr="003B79A5" w:rsidRDefault="000A5D79" w:rsidP="000A5D79">
      <w:pPr>
        <w:pStyle w:val="Titrearticle"/>
        <w:rPr>
          <w:noProof/>
        </w:rPr>
      </w:pPr>
      <w:r w:rsidRPr="003B79A5">
        <w:rPr>
          <w:noProof/>
        </w:rPr>
        <w:t>Artikel 2</w:t>
      </w:r>
    </w:p>
    <w:p w:rsidR="000A5D79" w:rsidRPr="003B79A5" w:rsidRDefault="000A5D79" w:rsidP="000A5D79">
      <w:pPr>
        <w:pStyle w:val="Titrearticle"/>
        <w:spacing w:before="120"/>
        <w:rPr>
          <w:b/>
          <w:i w:val="0"/>
          <w:noProof/>
        </w:rPr>
      </w:pPr>
      <w:r w:rsidRPr="003B79A5">
        <w:rPr>
          <w:b/>
          <w:i w:val="0"/>
          <w:noProof/>
        </w:rPr>
        <w:t>Offentliggørelse af risikostyringsmålsætninger og -politikker</w:t>
      </w:r>
    </w:p>
    <w:p w:rsidR="000A5D79" w:rsidRPr="003B79A5" w:rsidRDefault="000A5D79" w:rsidP="00905855">
      <w:pPr>
        <w:rPr>
          <w:noProof/>
        </w:rPr>
      </w:pPr>
      <w:r w:rsidRPr="003B79A5">
        <w:rPr>
          <w:noProof/>
        </w:rPr>
        <w:t>Institutterne offentliggør de oplysninger, der er omhandlet i artikel 435 i forordning (EU) nr. 575/2013, som angivet i afsnit 2 — "Offentliggørelse af risikostyringsmålsætninger og -politikker" i bilag I.</w:t>
      </w:r>
    </w:p>
    <w:p w:rsidR="000A5D79" w:rsidRPr="003B79A5" w:rsidRDefault="000A5D79" w:rsidP="000A5D79">
      <w:pPr>
        <w:pStyle w:val="Titrearticle"/>
        <w:rPr>
          <w:noProof/>
        </w:rPr>
      </w:pPr>
      <w:r w:rsidRPr="003B79A5">
        <w:rPr>
          <w:noProof/>
        </w:rPr>
        <w:t>Artikel 3</w:t>
      </w:r>
    </w:p>
    <w:p w:rsidR="000A5D79" w:rsidRPr="003B79A5" w:rsidRDefault="000A5D79" w:rsidP="000A5D79">
      <w:pPr>
        <w:pStyle w:val="Titrearticle"/>
        <w:tabs>
          <w:tab w:val="left" w:pos="567"/>
        </w:tabs>
        <w:spacing w:before="120"/>
        <w:rPr>
          <w:b/>
          <w:i w:val="0"/>
          <w:noProof/>
        </w:rPr>
      </w:pPr>
      <w:r w:rsidRPr="003B79A5">
        <w:rPr>
          <w:b/>
          <w:i w:val="0"/>
          <w:noProof/>
        </w:rPr>
        <w:t xml:space="preserve">Offentliggørelse af anvendelsesområdet </w:t>
      </w:r>
    </w:p>
    <w:p w:rsidR="000A5D79" w:rsidRPr="003B79A5" w:rsidRDefault="000A5D79" w:rsidP="00905855">
      <w:pPr>
        <w:rPr>
          <w:noProof/>
        </w:rPr>
      </w:pPr>
      <w:r w:rsidRPr="003B79A5">
        <w:rPr>
          <w:noProof/>
        </w:rPr>
        <w:t xml:space="preserve">Institutterne offentliggør de oplysninger, der er omhandlet i artikel 436, litra b)-h), i forordning (EU) nr. 575/2013, som angivet i afsnit 3 — "Offentliggørelse af anvendelsesområdet" i bilag I. </w:t>
      </w:r>
    </w:p>
    <w:p w:rsidR="000A5D79" w:rsidRPr="003B79A5" w:rsidRDefault="000A5D79" w:rsidP="000A5D79">
      <w:pPr>
        <w:pStyle w:val="Titrearticle"/>
        <w:rPr>
          <w:noProof/>
        </w:rPr>
      </w:pPr>
      <w:r w:rsidRPr="003B79A5">
        <w:rPr>
          <w:noProof/>
        </w:rPr>
        <w:t>Artikel 4</w:t>
      </w:r>
    </w:p>
    <w:p w:rsidR="000A5D79" w:rsidRPr="003B79A5" w:rsidRDefault="000A5D79" w:rsidP="000A5D79">
      <w:pPr>
        <w:pStyle w:val="Titrearticle"/>
        <w:spacing w:before="120"/>
        <w:rPr>
          <w:b/>
          <w:i w:val="0"/>
          <w:noProof/>
        </w:rPr>
      </w:pPr>
      <w:r w:rsidRPr="003B79A5">
        <w:rPr>
          <w:b/>
          <w:i w:val="0"/>
          <w:noProof/>
        </w:rPr>
        <w:t>Offentliggørelse af kapitalgrundlag</w:t>
      </w:r>
    </w:p>
    <w:p w:rsidR="000A5D79" w:rsidRPr="003B79A5" w:rsidRDefault="000A5D79" w:rsidP="000A5D79">
      <w:pPr>
        <w:rPr>
          <w:noProof/>
        </w:rPr>
      </w:pPr>
      <w:r w:rsidRPr="003B79A5">
        <w:rPr>
          <w:noProof/>
        </w:rPr>
        <w:t>Institutterne offentliggør de oplysninger, der er omhandlet i artikel 437, litra a)-f), i forordning (EU) nr. 575/2013, som angivet i afsnit 4 — "Offentliggørelse af kapitalgrundlag" i bilag I.</w:t>
      </w:r>
    </w:p>
    <w:p w:rsidR="000A5D79" w:rsidRPr="003B79A5" w:rsidRDefault="000A5D79" w:rsidP="000A5D79">
      <w:pPr>
        <w:pStyle w:val="Titrearticle"/>
        <w:rPr>
          <w:noProof/>
        </w:rPr>
      </w:pPr>
      <w:r w:rsidRPr="003B79A5">
        <w:rPr>
          <w:noProof/>
        </w:rPr>
        <w:t xml:space="preserve">Artikel 5 </w:t>
      </w:r>
    </w:p>
    <w:p w:rsidR="000A5D79" w:rsidRPr="003B79A5" w:rsidRDefault="000A5D79" w:rsidP="000A5D79">
      <w:pPr>
        <w:pStyle w:val="Titrearticle"/>
        <w:spacing w:before="120"/>
        <w:rPr>
          <w:b/>
          <w:i w:val="0"/>
          <w:noProof/>
        </w:rPr>
      </w:pPr>
      <w:r w:rsidRPr="003B79A5">
        <w:rPr>
          <w:b/>
          <w:i w:val="0"/>
          <w:noProof/>
        </w:rPr>
        <w:t>Offentliggørelse af kontracykliske kapitalbuffere</w:t>
      </w:r>
    </w:p>
    <w:p w:rsidR="000A5D79" w:rsidRPr="003B79A5" w:rsidRDefault="000A5D79" w:rsidP="000A5D79">
      <w:pPr>
        <w:rPr>
          <w:noProof/>
        </w:rPr>
      </w:pPr>
      <w:r w:rsidRPr="003B79A5">
        <w:rPr>
          <w:noProof/>
        </w:rPr>
        <w:t xml:space="preserve">Institutterne offentliggør de oplysninger, der er omhandlet i artikel 440, litra a) og b), i forordning (EU) nr. 575/2013, som angivet i afsnit 5 — "Offentliggørelse af kontracykliske kapitalbuffere" i bilag I. </w:t>
      </w:r>
    </w:p>
    <w:p w:rsidR="000A5D79" w:rsidRPr="003B79A5" w:rsidRDefault="000A5D79" w:rsidP="000A5D79">
      <w:pPr>
        <w:pStyle w:val="Titrearticle"/>
        <w:rPr>
          <w:noProof/>
        </w:rPr>
      </w:pPr>
      <w:r w:rsidRPr="003B79A5">
        <w:rPr>
          <w:noProof/>
        </w:rPr>
        <w:t>Artikel 6</w:t>
      </w:r>
    </w:p>
    <w:p w:rsidR="000A5D79" w:rsidRPr="003B79A5" w:rsidRDefault="000A5D79" w:rsidP="000A5D79">
      <w:pPr>
        <w:pStyle w:val="Titrearticle"/>
        <w:spacing w:before="120"/>
        <w:rPr>
          <w:b/>
          <w:i w:val="0"/>
          <w:noProof/>
        </w:rPr>
      </w:pPr>
      <w:r w:rsidRPr="003B79A5">
        <w:rPr>
          <w:b/>
          <w:i w:val="0"/>
          <w:noProof/>
        </w:rPr>
        <w:t>Offentliggørelse af gearingsgraden</w:t>
      </w:r>
    </w:p>
    <w:p w:rsidR="000A5D79" w:rsidRPr="003B79A5" w:rsidRDefault="000A5D79" w:rsidP="000A5D79">
      <w:pPr>
        <w:rPr>
          <w:noProof/>
        </w:rPr>
      </w:pPr>
      <w:r w:rsidRPr="003B79A5">
        <w:rPr>
          <w:noProof/>
        </w:rPr>
        <w:t>Institutterne offentliggør de oplysninger, der er omhandlet i artikel 451, stk. 1, litra a)-e), og artikel 451, stk. 2 og 3, i forordning (EU) nr. 575/2013, som angivet i afsnit 6 — "Offentliggørelse af gearingsgraden" i bilag I.</w:t>
      </w:r>
      <w:bookmarkStart w:id="2" w:name="_Hlk168653610"/>
    </w:p>
    <w:bookmarkEnd w:id="2"/>
    <w:p w:rsidR="000A5D79" w:rsidRPr="003B79A5" w:rsidRDefault="000A5D79" w:rsidP="000A5D79">
      <w:pPr>
        <w:pStyle w:val="Titrearticle"/>
        <w:rPr>
          <w:noProof/>
        </w:rPr>
      </w:pPr>
      <w:r w:rsidRPr="003B79A5">
        <w:rPr>
          <w:noProof/>
        </w:rPr>
        <w:t xml:space="preserve">Artikel 7 </w:t>
      </w:r>
    </w:p>
    <w:p w:rsidR="000A5D79" w:rsidRPr="003B79A5" w:rsidRDefault="000A5D79" w:rsidP="000A5D79">
      <w:pPr>
        <w:pStyle w:val="Titrearticle"/>
        <w:spacing w:before="120"/>
        <w:rPr>
          <w:b/>
          <w:i w:val="0"/>
          <w:noProof/>
        </w:rPr>
      </w:pPr>
      <w:r w:rsidRPr="003B79A5">
        <w:rPr>
          <w:b/>
          <w:i w:val="0"/>
          <w:noProof/>
        </w:rPr>
        <w:t>Offentliggørelse af indikatorer for global systemisk betydning</w:t>
      </w:r>
    </w:p>
    <w:p w:rsidR="000A5D79" w:rsidRPr="003B79A5" w:rsidRDefault="00A24257" w:rsidP="00A24257">
      <w:pPr>
        <w:pStyle w:val="ManualNumPar1"/>
        <w:rPr>
          <w:noProof/>
        </w:rPr>
      </w:pPr>
      <w:r w:rsidRPr="00A24257">
        <w:rPr>
          <w:noProof/>
        </w:rPr>
        <w:t>1.</w:t>
      </w:r>
      <w:r w:rsidRPr="00A24257">
        <w:rPr>
          <w:noProof/>
        </w:rPr>
        <w:tab/>
      </w:r>
      <w:r w:rsidR="00FA266C" w:rsidRPr="003B79A5">
        <w:rPr>
          <w:noProof/>
        </w:rPr>
        <w:t>Globale systemisk vigtige institutter (G-SII'er) offentliggør oplysningerne om værdierne af de indikatorer, der anvendes til at fastsætte deres tal, jf. artikel 441 i forordning (EU) nr. 575/2013, ved hjælp af det ensartede offentliggørelsesformat, der er omhandlet i nævnte forordnings artikel 434a. G-SII'er skal anvende dette oplysningsformat til de relevante myndigheders indsamling af indikatorværdier, jf. artikel 3, stk. 2, i Kommissionens delegerede forordning (EU) nr. 1222/2014</w:t>
      </w:r>
      <w:r w:rsidR="00FA266C" w:rsidRPr="003B79A5">
        <w:rPr>
          <w:rStyle w:val="FootnoteReference"/>
          <w:noProof/>
        </w:rPr>
        <w:footnoteReference w:id="11"/>
      </w:r>
      <w:r w:rsidR="00FA266C" w:rsidRPr="003B79A5">
        <w:rPr>
          <w:noProof/>
        </w:rPr>
        <w:t xml:space="preserve">, med undtagelse af eventuelle supplerende data og memorandumposter, der indsamles i overensstemmelse med artikel 3, stk. 2, i nævnte delegerede forordning. </w:t>
      </w:r>
    </w:p>
    <w:p w:rsidR="000A5D79" w:rsidRPr="003B79A5" w:rsidRDefault="00A24257" w:rsidP="00A24257">
      <w:pPr>
        <w:pStyle w:val="ManualNumPar1"/>
        <w:rPr>
          <w:noProof/>
        </w:rPr>
      </w:pPr>
      <w:r w:rsidRPr="00A24257">
        <w:rPr>
          <w:noProof/>
        </w:rPr>
        <w:t>2.</w:t>
      </w:r>
      <w:r w:rsidRPr="00A24257">
        <w:rPr>
          <w:noProof/>
        </w:rPr>
        <w:tab/>
      </w:r>
      <w:r w:rsidR="000A5D79" w:rsidRPr="003B79A5">
        <w:rPr>
          <w:noProof/>
        </w:rPr>
        <w:t>G-SII'er offentliggør de oplysninger, der er omhandlet i stk. 1, i deres søjle 3-rapport ved årets udgang. G-SII'er videreformidler de oplysninger, der er omhandlet i stk. 1, i deres første søjle 3-rapport efter den endelige forelæggelse af indikatorværdierne for de relevante kompetente myndigheder, hvis de indsendte tal adskiller sig fra de tal, der blev offentliggjort i søjle 3-rapporten ved årets udgang.</w:t>
      </w:r>
    </w:p>
    <w:p w:rsidR="000A5D79" w:rsidRPr="003B79A5" w:rsidRDefault="000A5D79" w:rsidP="000A5D79">
      <w:pPr>
        <w:pStyle w:val="Titrearticle"/>
        <w:rPr>
          <w:noProof/>
        </w:rPr>
      </w:pPr>
      <w:r w:rsidRPr="003B79A5">
        <w:rPr>
          <w:noProof/>
        </w:rPr>
        <w:t>Artikel 8</w:t>
      </w:r>
    </w:p>
    <w:p w:rsidR="000A5D79" w:rsidRPr="003B79A5" w:rsidRDefault="000A5D79" w:rsidP="000A5D79">
      <w:pPr>
        <w:pStyle w:val="Titrearticle"/>
        <w:spacing w:before="120"/>
        <w:rPr>
          <w:b/>
          <w:i w:val="0"/>
          <w:noProof/>
        </w:rPr>
      </w:pPr>
      <w:r w:rsidRPr="003B79A5">
        <w:rPr>
          <w:b/>
          <w:i w:val="0"/>
          <w:noProof/>
        </w:rPr>
        <w:t>Offentliggørelse af likviditetskrav</w:t>
      </w:r>
    </w:p>
    <w:p w:rsidR="000A5D79" w:rsidRPr="003B79A5" w:rsidRDefault="000A5D79" w:rsidP="000A5D79">
      <w:pPr>
        <w:rPr>
          <w:i/>
          <w:noProof/>
        </w:rPr>
      </w:pPr>
      <w:r w:rsidRPr="003B79A5">
        <w:rPr>
          <w:noProof/>
        </w:rPr>
        <w:t>Institutterne offentliggør de oplysninger, der er omhandlet i artikel 435, stk. 1, og artikel 451a, stk. 2, 3 og 4, i forordning (EU) nr. 575/2013, som angivet i afsnit 7 — "Offentliggørelse af likviditetskrav" i bilag I.</w:t>
      </w:r>
    </w:p>
    <w:p w:rsidR="000A5D79" w:rsidRPr="003B79A5" w:rsidRDefault="000A5D79" w:rsidP="000A5D79">
      <w:pPr>
        <w:pStyle w:val="Titrearticle"/>
        <w:rPr>
          <w:noProof/>
        </w:rPr>
      </w:pPr>
      <w:r w:rsidRPr="003B79A5">
        <w:rPr>
          <w:noProof/>
        </w:rPr>
        <w:t>Artikel 9</w:t>
      </w:r>
    </w:p>
    <w:p w:rsidR="000A5D79" w:rsidRPr="003B79A5" w:rsidRDefault="000A5D79" w:rsidP="000A5D79">
      <w:pPr>
        <w:pStyle w:val="Titrearticle"/>
        <w:spacing w:before="120"/>
        <w:rPr>
          <w:b/>
          <w:i w:val="0"/>
          <w:noProof/>
        </w:rPr>
      </w:pPr>
      <w:r w:rsidRPr="003B79A5">
        <w:rPr>
          <w:b/>
          <w:i w:val="0"/>
          <w:noProof/>
        </w:rPr>
        <w:t>Offentliggørelse af eksponeringer mod kreditrisiko, udvandingsrisiko og kreditkvalitet</w:t>
      </w:r>
      <w:bookmarkStart w:id="3" w:name="_Hlk163217184"/>
      <w:bookmarkEnd w:id="3"/>
    </w:p>
    <w:p w:rsidR="000A5D79" w:rsidRPr="003B79A5" w:rsidRDefault="00A24257" w:rsidP="00A24257">
      <w:pPr>
        <w:pStyle w:val="ManualNumPar1"/>
        <w:rPr>
          <w:noProof/>
        </w:rPr>
      </w:pPr>
      <w:r w:rsidRPr="00A24257">
        <w:rPr>
          <w:noProof/>
        </w:rPr>
        <w:t>1.</w:t>
      </w:r>
      <w:r w:rsidRPr="00A24257">
        <w:rPr>
          <w:noProof/>
        </w:rPr>
        <w:tab/>
      </w:r>
      <w:r w:rsidR="000A5D79" w:rsidRPr="003B79A5">
        <w:rPr>
          <w:noProof/>
        </w:rPr>
        <w:t>Institutterne offentliggør de oplysninger, der er omhandlet i artikel 435, stk. 1, litra a), b), d) og f), og artikel 442 i forordning (EU) nr. 575/2013, som angivet i afsnit 8 — "Offentliggørelse af kreditrisikokvalitet" i bilag I.</w:t>
      </w:r>
    </w:p>
    <w:p w:rsidR="000A5D79" w:rsidRPr="003B79A5" w:rsidRDefault="00A24257" w:rsidP="00A24257">
      <w:pPr>
        <w:pStyle w:val="ManualNumPar1"/>
        <w:rPr>
          <w:noProof/>
        </w:rPr>
      </w:pPr>
      <w:r w:rsidRPr="00A24257">
        <w:rPr>
          <w:noProof/>
        </w:rPr>
        <w:t>2.</w:t>
      </w:r>
      <w:r w:rsidRPr="00A24257">
        <w:rPr>
          <w:noProof/>
        </w:rPr>
        <w:tab/>
      </w:r>
      <w:r w:rsidR="000A5D79" w:rsidRPr="003B79A5">
        <w:rPr>
          <w:noProof/>
        </w:rPr>
        <w:t xml:space="preserve">Store institutter, der har et forhold mellem den regnskabsmæssige bruttoværdi af lån og forskud, der er omfattet af artikel 47a, stk. 3, i forordning (EU) nr. 575/2013, og den samlede regnskabsmæssige bruttoværdi af lån og forskud, der er omfattet af nævnte forordnings artikel 47a, stk. 1, på 5 % eller derover, skal ud over de oplysninger, der er omhandlet i stk. 1, fremlægge yderligere oplysninger for at overholde nævnte forordnings artikel 442, litra c) og f). Disse institutter skal offentliggøre disse oplysninger årligt. </w:t>
      </w:r>
    </w:p>
    <w:p w:rsidR="000A5D79" w:rsidRPr="003B79A5" w:rsidRDefault="00A24257" w:rsidP="00A24257">
      <w:pPr>
        <w:pStyle w:val="ManualNumPar1"/>
        <w:rPr>
          <w:noProof/>
        </w:rPr>
      </w:pPr>
      <w:r w:rsidRPr="00A24257">
        <w:rPr>
          <w:noProof/>
        </w:rPr>
        <w:t>3.</w:t>
      </w:r>
      <w:r w:rsidRPr="00A24257">
        <w:rPr>
          <w:noProof/>
        </w:rPr>
        <w:tab/>
      </w:r>
      <w:r w:rsidR="000A5D79" w:rsidRPr="003B79A5">
        <w:rPr>
          <w:noProof/>
        </w:rPr>
        <w:t>Med henblik på stk. 2 skal institutterne udelukke lån og forskud klassificeret som besiddelse med henblik på salg, kassebeholdninger i centralbanker og andre anfordringsindskud fra forholdets tæller og nævner.</w:t>
      </w:r>
    </w:p>
    <w:p w:rsidR="000A5D79" w:rsidRPr="003B79A5" w:rsidRDefault="00A24257" w:rsidP="00A24257">
      <w:pPr>
        <w:pStyle w:val="ManualNumPar1"/>
        <w:rPr>
          <w:noProof/>
        </w:rPr>
      </w:pPr>
      <w:r w:rsidRPr="00A24257">
        <w:rPr>
          <w:noProof/>
        </w:rPr>
        <w:t>4.</w:t>
      </w:r>
      <w:r w:rsidRPr="00A24257">
        <w:rPr>
          <w:noProof/>
        </w:rPr>
        <w:tab/>
      </w:r>
      <w:r w:rsidR="000A5D79" w:rsidRPr="003B79A5">
        <w:rPr>
          <w:noProof/>
        </w:rPr>
        <w:t>Institutterne begynder offentliggørelse i henhold til stk. 2, når de har nået eller overskredet den i nævnte stykke omhandlede tærskel på 5 % i to på hinanden følgende kvartaler i løbet af de fire kvartaler forud for referencedatoen for offentliggørelsen. For referencedatoen for den første offentliggørelse skal institutterne offentliggøre de pågældende oplysninger ved hjælp af de i nævnte stykke omhandlede skemaer, hvis de overskrider tærsklen på 5 % på referencedatoen for offentliggørelsen.</w:t>
      </w:r>
    </w:p>
    <w:p w:rsidR="000A5D79" w:rsidRPr="003B79A5" w:rsidRDefault="00A24257" w:rsidP="00A24257">
      <w:pPr>
        <w:pStyle w:val="ManualNumPar1"/>
        <w:rPr>
          <w:noProof/>
        </w:rPr>
      </w:pPr>
      <w:r w:rsidRPr="00A24257">
        <w:rPr>
          <w:noProof/>
        </w:rPr>
        <w:t>5.</w:t>
      </w:r>
      <w:r w:rsidRPr="00A24257">
        <w:rPr>
          <w:noProof/>
        </w:rPr>
        <w:tab/>
      </w:r>
      <w:r w:rsidR="000A5D79" w:rsidRPr="003B79A5">
        <w:rPr>
          <w:noProof/>
        </w:rPr>
        <w:t>Institutterne er ikke længere forpligtede til at offentliggøre i henhold til stk. 2, hvis de er faldet under tærsklen på 5 % i tre på hinanden følgende kvartaler i løbet af de fire kvartaler forud for referencedatoen for offentliggørelsen.</w:t>
      </w:r>
    </w:p>
    <w:p w:rsidR="000A5D79" w:rsidRPr="003B79A5" w:rsidRDefault="000A5D79" w:rsidP="000A5D79">
      <w:pPr>
        <w:pStyle w:val="Titrearticle"/>
        <w:rPr>
          <w:noProof/>
        </w:rPr>
      </w:pPr>
      <w:r w:rsidRPr="003B79A5">
        <w:rPr>
          <w:noProof/>
        </w:rPr>
        <w:t>Artikel 10</w:t>
      </w:r>
    </w:p>
    <w:p w:rsidR="000A5D79" w:rsidRPr="003B79A5" w:rsidRDefault="000A5D79" w:rsidP="000A5D79">
      <w:pPr>
        <w:pStyle w:val="Titrearticle"/>
        <w:spacing w:before="120"/>
        <w:rPr>
          <w:b/>
          <w:i w:val="0"/>
          <w:noProof/>
        </w:rPr>
      </w:pPr>
      <w:r w:rsidRPr="003B79A5">
        <w:rPr>
          <w:b/>
          <w:i w:val="0"/>
          <w:noProof/>
        </w:rPr>
        <w:t xml:space="preserve">Offentliggørelse af anvendelsen af kreditrisikoreduktionsteknikker </w:t>
      </w:r>
    </w:p>
    <w:p w:rsidR="000A5D79" w:rsidRPr="003B79A5" w:rsidRDefault="000A5D79" w:rsidP="000A5D79">
      <w:pPr>
        <w:rPr>
          <w:noProof/>
        </w:rPr>
      </w:pPr>
      <w:r w:rsidRPr="003B79A5">
        <w:rPr>
          <w:noProof/>
        </w:rPr>
        <w:t>Institutterne offentliggør de oplysninger, der er omhandlet i artikel 453, litra a)-f), i forordning (EU) nr. 575/2013, som angivet i afsnit 9 — "Offentliggørelse af kreditrisikoreduktionsteknikker" i bilag I.</w:t>
      </w:r>
    </w:p>
    <w:p w:rsidR="000A5D79" w:rsidRPr="003B79A5" w:rsidRDefault="000A5D79" w:rsidP="000A5D79">
      <w:pPr>
        <w:pStyle w:val="Titrearticle"/>
        <w:rPr>
          <w:noProof/>
        </w:rPr>
      </w:pPr>
      <w:r w:rsidRPr="003B79A5">
        <w:rPr>
          <w:noProof/>
        </w:rPr>
        <w:t xml:space="preserve">Artikel 11 </w:t>
      </w:r>
    </w:p>
    <w:p w:rsidR="000A5D79" w:rsidRPr="003B79A5" w:rsidRDefault="000A5D79" w:rsidP="000A5D79">
      <w:pPr>
        <w:pStyle w:val="Titrearticle"/>
        <w:spacing w:before="120"/>
        <w:rPr>
          <w:b/>
          <w:i w:val="0"/>
          <w:noProof/>
        </w:rPr>
      </w:pPr>
      <w:r w:rsidRPr="003B79A5">
        <w:rPr>
          <w:b/>
          <w:i w:val="0"/>
          <w:noProof/>
        </w:rPr>
        <w:t>Offentliggørelse af oplysninger om anvendelse af standardmetoden</w:t>
      </w:r>
    </w:p>
    <w:p w:rsidR="000A5D79" w:rsidRPr="003B79A5" w:rsidRDefault="000A5D79" w:rsidP="000A5D79">
      <w:pPr>
        <w:rPr>
          <w:noProof/>
        </w:rPr>
      </w:pPr>
      <w:r w:rsidRPr="003B79A5">
        <w:rPr>
          <w:noProof/>
        </w:rPr>
        <w:t>Institutter, der beregner størrelsen af risikovægtede eksponeringer efter standardmetoden, offentliggør følgende oplysninger om anvendelsen af standardmetoden:</w:t>
      </w:r>
    </w:p>
    <w:p w:rsidR="000A5D79" w:rsidRPr="003B79A5" w:rsidRDefault="003B79A5" w:rsidP="003B79A5">
      <w:pPr>
        <w:pStyle w:val="Point0"/>
        <w:rPr>
          <w:noProof/>
        </w:rPr>
      </w:pPr>
      <w:r>
        <w:rPr>
          <w:noProof/>
        </w:rPr>
        <w:t>a)</w:t>
      </w:r>
      <w:r>
        <w:rPr>
          <w:noProof/>
        </w:rPr>
        <w:tab/>
      </w:r>
      <w:r w:rsidR="000A5D79" w:rsidRPr="003B79A5">
        <w:rPr>
          <w:noProof/>
        </w:rPr>
        <w:t>de oplysninger, der er omhandlet i artikel 444, litra a)-e), og de oplysninger, der er omhandlet i artikel 453, litra g), h) og i), i forordning (EU) nr. 575/2013, som angivet i afsnit 10 — "Offentliggørelse af kreditrisiko efter standardmetoden" i bilag I</w:t>
      </w:r>
    </w:p>
    <w:p w:rsidR="000A5D79" w:rsidRPr="003B79A5" w:rsidRDefault="003B79A5" w:rsidP="003B79A5">
      <w:pPr>
        <w:pStyle w:val="Point0"/>
        <w:rPr>
          <w:noProof/>
        </w:rPr>
      </w:pPr>
      <w:r>
        <w:rPr>
          <w:noProof/>
        </w:rPr>
        <w:t>b)</w:t>
      </w:r>
      <w:r>
        <w:rPr>
          <w:noProof/>
        </w:rPr>
        <w:tab/>
      </w:r>
      <w:r w:rsidR="000A5D79" w:rsidRPr="003B79A5">
        <w:rPr>
          <w:noProof/>
        </w:rPr>
        <w:t xml:space="preserve">de oplysninger om eksponeringer, der fratrækkes kapitalgrundlaget, der er omhandlet i artikel 444, litra e), i forordning (EU) nr. 575/2013, som angivet i afsnit 4 — "Offentliggørelse af kapitalgrundlag" i bilag I. </w:t>
      </w:r>
    </w:p>
    <w:p w:rsidR="000A5D79" w:rsidRPr="003B79A5" w:rsidRDefault="000A5D79" w:rsidP="000A5D79">
      <w:pPr>
        <w:pStyle w:val="Titrearticle"/>
        <w:rPr>
          <w:noProof/>
        </w:rPr>
      </w:pPr>
      <w:r w:rsidRPr="003B79A5">
        <w:rPr>
          <w:noProof/>
        </w:rPr>
        <w:t>Artikel 12</w:t>
      </w:r>
    </w:p>
    <w:p w:rsidR="000A5D79" w:rsidRPr="003B79A5" w:rsidRDefault="000A5D79" w:rsidP="000A5D79">
      <w:pPr>
        <w:pStyle w:val="Titrearticle"/>
        <w:spacing w:before="120"/>
        <w:rPr>
          <w:b/>
          <w:i w:val="0"/>
          <w:noProof/>
        </w:rPr>
      </w:pPr>
      <w:r w:rsidRPr="003B79A5">
        <w:rPr>
          <w:b/>
          <w:i w:val="0"/>
          <w:noProof/>
        </w:rPr>
        <w:t>Offentliggørelse af anvendelsen af IRB-metoden for kreditrisiko</w:t>
      </w:r>
    </w:p>
    <w:p w:rsidR="000A5D79" w:rsidRPr="003B79A5" w:rsidRDefault="000A5D79" w:rsidP="000A5D79">
      <w:pPr>
        <w:rPr>
          <w:noProof/>
        </w:rPr>
      </w:pPr>
      <w:r w:rsidRPr="003B79A5">
        <w:rPr>
          <w:noProof/>
        </w:rPr>
        <w:t>Institutter, der beregner størrelsen af risikovægtede eksponeringer efter IRB-metoden, offentliggør de oplysninger, der er omhandlet i artikel 438, litra h), artikel 452, litra a) -h), og artikel 453, litra g) og j), i forordning (EU) nr. 575/2013, som angivet i afsnit 11 — "Oplysning om kreditrisiko efter IRB-metoden" i bilag I.</w:t>
      </w:r>
      <w:bookmarkStart w:id="4" w:name="_Hlk168654209"/>
    </w:p>
    <w:bookmarkEnd w:id="4"/>
    <w:p w:rsidR="000A5D79" w:rsidRPr="003B79A5" w:rsidRDefault="000A5D79" w:rsidP="000A5D79">
      <w:pPr>
        <w:pStyle w:val="Titrearticle"/>
        <w:rPr>
          <w:noProof/>
        </w:rPr>
      </w:pPr>
      <w:r w:rsidRPr="003B79A5">
        <w:rPr>
          <w:noProof/>
        </w:rPr>
        <w:t>Artikel 13</w:t>
      </w:r>
    </w:p>
    <w:p w:rsidR="000A5D79" w:rsidRPr="003B79A5" w:rsidRDefault="000A5D79" w:rsidP="000A5D79">
      <w:pPr>
        <w:pStyle w:val="Titrearticle"/>
        <w:spacing w:before="120"/>
        <w:rPr>
          <w:b/>
          <w:i w:val="0"/>
          <w:noProof/>
        </w:rPr>
      </w:pPr>
      <w:r w:rsidRPr="003B79A5">
        <w:rPr>
          <w:b/>
          <w:i w:val="0"/>
          <w:noProof/>
        </w:rPr>
        <w:t>Offentliggørelse af specialiseret långivning og aktieeksponeringer</w:t>
      </w:r>
    </w:p>
    <w:p w:rsidR="000A5D79" w:rsidRPr="003B79A5" w:rsidRDefault="000A5D79" w:rsidP="000A5D79">
      <w:pPr>
        <w:rPr>
          <w:noProof/>
        </w:rPr>
      </w:pPr>
      <w:r w:rsidRPr="003B79A5">
        <w:rPr>
          <w:noProof/>
        </w:rPr>
        <w:t>Institutterne offentliggør de oplysninger, der er omhandlet i artikel 438, litra e), i forordning (EU) nr. 575/2013, som angivet i afsnit 12 — "Offentliggørelse af specialiseret långivning og aktieeksponeringer" i bilag I.</w:t>
      </w:r>
    </w:p>
    <w:p w:rsidR="000A5D79" w:rsidRPr="003B79A5" w:rsidRDefault="000A5D79" w:rsidP="000A5D79">
      <w:pPr>
        <w:pStyle w:val="Titrearticle"/>
        <w:rPr>
          <w:noProof/>
        </w:rPr>
      </w:pPr>
      <w:r w:rsidRPr="003B79A5">
        <w:rPr>
          <w:noProof/>
        </w:rPr>
        <w:t>Artikel 14</w:t>
      </w:r>
    </w:p>
    <w:p w:rsidR="000A5D79" w:rsidRPr="003B79A5" w:rsidRDefault="000A5D79" w:rsidP="000A5D79">
      <w:pPr>
        <w:pStyle w:val="Titrearticle"/>
        <w:spacing w:before="120"/>
        <w:rPr>
          <w:b/>
          <w:i w:val="0"/>
          <w:noProof/>
        </w:rPr>
      </w:pPr>
      <w:r w:rsidRPr="003B79A5">
        <w:rPr>
          <w:b/>
          <w:i w:val="0"/>
          <w:noProof/>
        </w:rPr>
        <w:t>Offentliggørelse af eksponeringer mod modpartskreditrisiko</w:t>
      </w:r>
    </w:p>
    <w:p w:rsidR="000A5D79" w:rsidRPr="003B79A5" w:rsidRDefault="000A5D79" w:rsidP="000A5D79">
      <w:pPr>
        <w:rPr>
          <w:noProof/>
        </w:rPr>
      </w:pPr>
      <w:r w:rsidRPr="003B79A5">
        <w:rPr>
          <w:noProof/>
        </w:rPr>
        <w:t xml:space="preserve">Institutterne offentliggør de oplysninger, der er omhandlet i artikel 438, litra h), og artikel 439 i forordning (EU) nr. 575/2013, som angivet i afsnit 13 — "Offentliggørelse af modpartskreditrisiko" i bilag I. </w:t>
      </w:r>
    </w:p>
    <w:p w:rsidR="000A5D79" w:rsidRPr="003B79A5" w:rsidRDefault="000A5D79" w:rsidP="000A5D79">
      <w:pPr>
        <w:pStyle w:val="Titrearticle"/>
        <w:rPr>
          <w:noProof/>
        </w:rPr>
      </w:pPr>
      <w:r w:rsidRPr="003B79A5">
        <w:rPr>
          <w:noProof/>
        </w:rPr>
        <w:t>Artikel 15</w:t>
      </w:r>
    </w:p>
    <w:p w:rsidR="000A5D79" w:rsidRPr="003B79A5" w:rsidRDefault="000A5D79" w:rsidP="000A5D79">
      <w:pPr>
        <w:pStyle w:val="Titrearticle"/>
        <w:spacing w:before="120"/>
        <w:rPr>
          <w:b/>
          <w:i w:val="0"/>
          <w:noProof/>
        </w:rPr>
      </w:pPr>
      <w:r w:rsidRPr="003B79A5">
        <w:rPr>
          <w:b/>
          <w:i w:val="0"/>
          <w:noProof/>
        </w:rPr>
        <w:t>Offentliggørelse af eksponeringer mod securitiseringspositioner</w:t>
      </w:r>
      <w:bookmarkStart w:id="5" w:name="_Hlk163217793"/>
      <w:r w:rsidRPr="003B79A5">
        <w:rPr>
          <w:b/>
          <w:i w:val="0"/>
          <w:noProof/>
        </w:rPr>
        <w:t xml:space="preserve"> </w:t>
      </w:r>
      <w:bookmarkEnd w:id="5"/>
    </w:p>
    <w:p w:rsidR="000A5D79" w:rsidRPr="003B79A5" w:rsidRDefault="000A5D79" w:rsidP="000A5D79">
      <w:pPr>
        <w:rPr>
          <w:noProof/>
        </w:rPr>
      </w:pPr>
      <w:r w:rsidRPr="003B79A5">
        <w:rPr>
          <w:noProof/>
        </w:rPr>
        <w:t>Institutterne offentliggør de oplysninger, der er omhandlet i artikel 449 i forordning (EU) nr. 575/2013, som angivet i afsnit 14 — "Offentliggørelse af eksponeringer mod securitiseringspositioner" i bilag I.</w:t>
      </w:r>
    </w:p>
    <w:p w:rsidR="000A5D79" w:rsidRPr="003B79A5" w:rsidRDefault="000A5D79" w:rsidP="000A5D79">
      <w:pPr>
        <w:pStyle w:val="Titrearticle"/>
        <w:rPr>
          <w:noProof/>
        </w:rPr>
      </w:pPr>
      <w:r w:rsidRPr="003B79A5">
        <w:rPr>
          <w:noProof/>
        </w:rPr>
        <w:t>Artikel 16</w:t>
      </w:r>
    </w:p>
    <w:p w:rsidR="000A5D79" w:rsidRPr="003B79A5" w:rsidRDefault="000A5D79" w:rsidP="000A5D79">
      <w:pPr>
        <w:pStyle w:val="Titrearticle"/>
        <w:spacing w:before="120"/>
        <w:rPr>
          <w:b/>
          <w:i w:val="0"/>
          <w:noProof/>
        </w:rPr>
      </w:pPr>
      <w:r w:rsidRPr="003B79A5">
        <w:rPr>
          <w:b/>
          <w:i w:val="0"/>
          <w:noProof/>
        </w:rPr>
        <w:t>Offentliggørelse af anvendelsen af standardmetoden og af de alternative interne modeller for markedsrisiko</w:t>
      </w:r>
    </w:p>
    <w:p w:rsidR="000A5D79" w:rsidRPr="003B79A5" w:rsidRDefault="00A24257" w:rsidP="00A24257">
      <w:pPr>
        <w:pStyle w:val="ManualNumPar1"/>
        <w:rPr>
          <w:noProof/>
        </w:rPr>
      </w:pPr>
      <w:r w:rsidRPr="00A24257">
        <w:rPr>
          <w:noProof/>
        </w:rPr>
        <w:t>1.</w:t>
      </w:r>
      <w:r w:rsidRPr="00A24257">
        <w:rPr>
          <w:noProof/>
        </w:rPr>
        <w:tab/>
      </w:r>
      <w:r w:rsidR="000A5D79" w:rsidRPr="003B79A5">
        <w:rPr>
          <w:noProof/>
        </w:rPr>
        <w:t>Institutterne offentliggør de oplysninger, der er omhandlet i artikel 435, stk. 1, litra a)-d), artikel 438, artikel 445, stk. 1 og 2, artikel 455, stk. 1, litra a)-f), og artikel 455, stk. 2 og 3, i forordning (EU) nr. 575/2013, som angivet i afsnit 15 — "Offentliggørelse af markedsrisiko" i bilag I.</w:t>
      </w:r>
    </w:p>
    <w:p w:rsidR="000A5D79" w:rsidRPr="003B79A5" w:rsidRDefault="00A24257" w:rsidP="00A24257">
      <w:pPr>
        <w:pStyle w:val="ManualNumPar1"/>
        <w:rPr>
          <w:noProof/>
        </w:rPr>
      </w:pPr>
      <w:r w:rsidRPr="00A24257">
        <w:rPr>
          <w:noProof/>
        </w:rPr>
        <w:t>2.</w:t>
      </w:r>
      <w:r w:rsidRPr="00A24257">
        <w:rPr>
          <w:noProof/>
        </w:rPr>
        <w:tab/>
      </w:r>
      <w:r w:rsidR="000A5D79" w:rsidRPr="003B79A5">
        <w:rPr>
          <w:noProof/>
        </w:rPr>
        <w:t>Indtil den 31. december 2025 offentliggør institutterne oplysningerne i overensstemmelse med artikel 15 i Kommissionens gennemførelsesforordning (EU) 2021/637</w:t>
      </w:r>
      <w:r w:rsidR="000A5D79" w:rsidRPr="003B79A5">
        <w:rPr>
          <w:rStyle w:val="FootnoteReference"/>
          <w:rFonts w:eastAsia="Times New Roman"/>
          <w:noProof/>
          <w:lang w:eastAsia="en-GB" w:bidi="en-GB"/>
        </w:rPr>
        <w:footnoteReference w:id="12"/>
      </w:r>
      <w:r w:rsidR="000A5D79" w:rsidRPr="003B79A5">
        <w:rPr>
          <w:noProof/>
        </w:rPr>
        <w:t>.</w:t>
      </w:r>
    </w:p>
    <w:p w:rsidR="000A5D79" w:rsidRPr="003B79A5" w:rsidRDefault="00A24257" w:rsidP="00A24257">
      <w:pPr>
        <w:pStyle w:val="ManualNumPar1"/>
        <w:rPr>
          <w:noProof/>
        </w:rPr>
      </w:pPr>
      <w:r w:rsidRPr="00A24257">
        <w:rPr>
          <w:noProof/>
        </w:rPr>
        <w:t>3.</w:t>
      </w:r>
      <w:r w:rsidRPr="00A24257">
        <w:rPr>
          <w:noProof/>
        </w:rPr>
        <w:tab/>
      </w:r>
      <w:r w:rsidR="000A5D79" w:rsidRPr="003B79A5">
        <w:rPr>
          <w:noProof/>
        </w:rPr>
        <w:t xml:space="preserve">På den første anvendelsesdato for anvendelsen af de alternative metoder, der er omhandlet i artikel 325az i forordning (EU) nr. 575/2013, offentliggør institutter, der anvender den alternative metode med interne modeller for markedsrisiko, de kvalitative oplysninger, der er omhandlet i artikel 455, stk. 1, litra a) -f), i forordning (EU) nr. 575/2013, sammen med de kvantitative oplysninger, der er omhandlet i nævnte forordnings artikel 455, stk. 2. </w:t>
      </w:r>
    </w:p>
    <w:p w:rsidR="000A5D79" w:rsidRPr="003B79A5" w:rsidRDefault="000A5D79" w:rsidP="00813A48">
      <w:pPr>
        <w:pStyle w:val="Titrearticle"/>
        <w:spacing w:before="120"/>
        <w:rPr>
          <w:noProof/>
        </w:rPr>
      </w:pPr>
      <w:r w:rsidRPr="003B79A5">
        <w:rPr>
          <w:noProof/>
        </w:rPr>
        <w:t>Artikel 17</w:t>
      </w:r>
    </w:p>
    <w:p w:rsidR="000A5D79" w:rsidRPr="003B79A5" w:rsidRDefault="000A5D79" w:rsidP="00813A48">
      <w:pPr>
        <w:pStyle w:val="Titrearticle"/>
        <w:spacing w:before="120"/>
        <w:rPr>
          <w:b/>
          <w:i w:val="0"/>
          <w:noProof/>
        </w:rPr>
      </w:pPr>
      <w:r w:rsidRPr="003B79A5">
        <w:rPr>
          <w:b/>
          <w:i w:val="0"/>
          <w:noProof/>
        </w:rPr>
        <w:t>Offentliggørelse af kreditværdijusteringsrisiko</w:t>
      </w:r>
    </w:p>
    <w:p w:rsidR="000A5D79" w:rsidRPr="003B79A5" w:rsidRDefault="000A5D79" w:rsidP="00905855">
      <w:pPr>
        <w:rPr>
          <w:noProof/>
        </w:rPr>
      </w:pPr>
      <w:r w:rsidRPr="003B79A5">
        <w:rPr>
          <w:noProof/>
        </w:rPr>
        <w:t>Institutterne offentliggør de oplysninger, der er omhandlet i artikel 438, litra d) og h), artikel 439, litra h), og artikel 445a i forordning (EU) nr. 575/2013, som angivet i afsnit 16 — "Offentliggørelse af kreditværdijusteringsrisiko" i bilag I.</w:t>
      </w:r>
    </w:p>
    <w:p w:rsidR="000A5D79" w:rsidRPr="003B79A5" w:rsidRDefault="000A5D79" w:rsidP="000A5D79">
      <w:pPr>
        <w:pStyle w:val="Titrearticle"/>
        <w:rPr>
          <w:noProof/>
        </w:rPr>
      </w:pPr>
      <w:r w:rsidRPr="003B79A5">
        <w:rPr>
          <w:noProof/>
        </w:rPr>
        <w:t>Artikel 18</w:t>
      </w:r>
    </w:p>
    <w:p w:rsidR="000A5D79" w:rsidRPr="003B79A5" w:rsidRDefault="000A5D79" w:rsidP="000A5D79">
      <w:pPr>
        <w:pStyle w:val="Titrearticle"/>
        <w:spacing w:before="120"/>
        <w:rPr>
          <w:b/>
          <w:i w:val="0"/>
          <w:noProof/>
        </w:rPr>
      </w:pPr>
      <w:r w:rsidRPr="003B79A5">
        <w:rPr>
          <w:b/>
          <w:i w:val="0"/>
          <w:noProof/>
        </w:rPr>
        <w:t xml:space="preserve">Offentliggørelse af operationel risiko </w:t>
      </w:r>
    </w:p>
    <w:p w:rsidR="000A5D79" w:rsidRPr="003B79A5" w:rsidRDefault="000A5D79" w:rsidP="000A5D79">
      <w:pPr>
        <w:rPr>
          <w:noProof/>
        </w:rPr>
      </w:pPr>
      <w:r w:rsidRPr="003B79A5">
        <w:rPr>
          <w:noProof/>
        </w:rPr>
        <w:t>Institutterne offentliggør de oplysninger, der er omhandlet i artikel 435, artikel 438, litra d), og artikel 446 i forordning (EU) nr. 575/2013, som angivet i afsnit 17 — "Offentliggørelse af operationel risiko" i bilag I.</w:t>
      </w:r>
    </w:p>
    <w:p w:rsidR="000A5D79" w:rsidRPr="003B79A5" w:rsidRDefault="000A5D79" w:rsidP="000A5D79">
      <w:pPr>
        <w:pStyle w:val="Titrearticle"/>
        <w:rPr>
          <w:noProof/>
        </w:rPr>
      </w:pPr>
      <w:r w:rsidRPr="003B79A5">
        <w:rPr>
          <w:noProof/>
        </w:rPr>
        <w:t xml:space="preserve">Artikel 19 </w:t>
      </w:r>
    </w:p>
    <w:p w:rsidR="000A5D79" w:rsidRPr="003B79A5" w:rsidRDefault="000A5D79" w:rsidP="000A5D79">
      <w:pPr>
        <w:pStyle w:val="Titrearticle"/>
        <w:spacing w:before="120"/>
        <w:rPr>
          <w:b/>
          <w:i w:val="0"/>
          <w:noProof/>
        </w:rPr>
      </w:pPr>
      <w:r w:rsidRPr="003B79A5">
        <w:rPr>
          <w:b/>
          <w:i w:val="0"/>
          <w:noProof/>
        </w:rPr>
        <w:t>Offentliggørelse af eksponeringer mod renterisici i positioner, der ikke indgår i handelsbeholdningen</w:t>
      </w:r>
    </w:p>
    <w:p w:rsidR="000A5D79" w:rsidRPr="003B79A5" w:rsidRDefault="00A24257" w:rsidP="00A24257">
      <w:pPr>
        <w:pStyle w:val="ManualNumPar1"/>
        <w:rPr>
          <w:noProof/>
        </w:rPr>
      </w:pPr>
      <w:r w:rsidRPr="00A24257">
        <w:rPr>
          <w:noProof/>
        </w:rPr>
        <w:t>1.</w:t>
      </w:r>
      <w:r w:rsidRPr="00A24257">
        <w:rPr>
          <w:noProof/>
        </w:rPr>
        <w:tab/>
      </w:r>
      <w:r w:rsidR="000A5D79" w:rsidRPr="003B79A5">
        <w:rPr>
          <w:noProof/>
        </w:rPr>
        <w:t xml:space="preserve">Institutterne offentliggør de oplysninger, der er omhandlet i artikel 448, stk. 1, litra a)-g), i forordning (EU) nr. 575/2013, som angivet i afsnit 18 — "Offentliggørelse af renterisiko for aktiviteter, der ikke indgår i handelsbeholdningen" i bilag I. </w:t>
      </w:r>
    </w:p>
    <w:p w:rsidR="000A5D79" w:rsidRPr="003B79A5" w:rsidRDefault="00A24257" w:rsidP="00A24257">
      <w:pPr>
        <w:pStyle w:val="ManualNumPar1"/>
        <w:rPr>
          <w:noProof/>
        </w:rPr>
      </w:pPr>
      <w:r w:rsidRPr="00A24257">
        <w:rPr>
          <w:noProof/>
        </w:rPr>
        <w:t>2.</w:t>
      </w:r>
      <w:r w:rsidRPr="00A24257">
        <w:rPr>
          <w:noProof/>
        </w:rPr>
        <w:tab/>
      </w:r>
      <w:r w:rsidR="00725C62" w:rsidRPr="003B79A5">
        <w:rPr>
          <w:noProof/>
        </w:rPr>
        <w:t>Institutter, der offentliggør oplysninger i overensstemmelse med stk. 1 for første gang, er ikke forpligtet til at offentliggøre disse oplysninger vedrørende den foregående referencedato.</w:t>
      </w:r>
    </w:p>
    <w:p w:rsidR="000A5D79" w:rsidRPr="003B79A5" w:rsidRDefault="000A5D79" w:rsidP="00813A48">
      <w:pPr>
        <w:pStyle w:val="Titrearticle"/>
        <w:rPr>
          <w:noProof/>
        </w:rPr>
      </w:pPr>
      <w:r w:rsidRPr="003B79A5">
        <w:rPr>
          <w:noProof/>
        </w:rPr>
        <w:t>Artikel 20</w:t>
      </w:r>
    </w:p>
    <w:p w:rsidR="000A5D79" w:rsidRPr="003B79A5" w:rsidRDefault="000A5D79" w:rsidP="000A5D79">
      <w:pPr>
        <w:pStyle w:val="Titrearticle"/>
        <w:spacing w:before="120"/>
        <w:rPr>
          <w:b/>
          <w:i w:val="0"/>
          <w:noProof/>
        </w:rPr>
      </w:pPr>
      <w:r w:rsidRPr="003B79A5">
        <w:rPr>
          <w:b/>
          <w:i w:val="0"/>
          <w:noProof/>
        </w:rPr>
        <w:t>Offentliggørelse af aflønningspolitik</w:t>
      </w:r>
    </w:p>
    <w:p w:rsidR="000A5D79" w:rsidRPr="003B79A5" w:rsidRDefault="000A5D79" w:rsidP="00905855">
      <w:pPr>
        <w:rPr>
          <w:i/>
          <w:noProof/>
        </w:rPr>
      </w:pPr>
      <w:r w:rsidRPr="003B79A5">
        <w:rPr>
          <w:noProof/>
        </w:rPr>
        <w:t xml:space="preserve">Institutterne offentliggør de oplysninger, der er omhandlet i artikel 450 i forordning (EU) nr. 575/2013, som angivet i afsnit 19 — "Offentliggørelse af aflønningspolitik" i bilag I. </w:t>
      </w:r>
    </w:p>
    <w:p w:rsidR="000A5D79" w:rsidRPr="003B79A5" w:rsidRDefault="000A5D79" w:rsidP="00115B95">
      <w:pPr>
        <w:pStyle w:val="Titrearticle"/>
        <w:rPr>
          <w:noProof/>
        </w:rPr>
      </w:pPr>
      <w:r w:rsidRPr="003B79A5">
        <w:rPr>
          <w:noProof/>
        </w:rPr>
        <w:t>Artikel 21</w:t>
      </w:r>
    </w:p>
    <w:p w:rsidR="000A5D79" w:rsidRPr="003B79A5" w:rsidRDefault="000A5D79" w:rsidP="000A5D79">
      <w:pPr>
        <w:pStyle w:val="Titrearticle"/>
        <w:spacing w:before="120"/>
        <w:rPr>
          <w:b/>
          <w:i w:val="0"/>
          <w:noProof/>
        </w:rPr>
      </w:pPr>
      <w:r w:rsidRPr="003B79A5">
        <w:rPr>
          <w:b/>
          <w:i w:val="0"/>
          <w:noProof/>
        </w:rPr>
        <w:t xml:space="preserve">Offentliggørelse af behæftede og ubehæftede aktiver </w:t>
      </w:r>
    </w:p>
    <w:p w:rsidR="000A5D79" w:rsidRPr="003B79A5" w:rsidRDefault="000A5D79" w:rsidP="00905855">
      <w:pPr>
        <w:rPr>
          <w:noProof/>
        </w:rPr>
      </w:pPr>
      <w:r w:rsidRPr="003B79A5">
        <w:rPr>
          <w:noProof/>
        </w:rPr>
        <w:t xml:space="preserve">Institutterne offentliggør de oplysninger, der er omhandlet i artikel 443 i forordning (EU) nr. 575/2013, som angivet i afsnit 20 — "Offentliggørelse af behæftede og ubehæftede aktiver" i bilag I. </w:t>
      </w:r>
    </w:p>
    <w:p w:rsidR="000A5D79" w:rsidRPr="003B79A5" w:rsidRDefault="000A5D79" w:rsidP="00115B95">
      <w:pPr>
        <w:pStyle w:val="Titrearticle"/>
        <w:rPr>
          <w:noProof/>
        </w:rPr>
      </w:pPr>
      <w:r w:rsidRPr="003B79A5">
        <w:rPr>
          <w:noProof/>
        </w:rPr>
        <w:t xml:space="preserve">Artikel 22 </w:t>
      </w:r>
    </w:p>
    <w:p w:rsidR="000A5D79" w:rsidRPr="003B79A5" w:rsidRDefault="000A5D79" w:rsidP="000A5D79">
      <w:pPr>
        <w:pStyle w:val="Titrearticle"/>
        <w:spacing w:before="120"/>
        <w:rPr>
          <w:b/>
          <w:i w:val="0"/>
          <w:noProof/>
        </w:rPr>
      </w:pPr>
      <w:r w:rsidRPr="003B79A5">
        <w:rPr>
          <w:b/>
          <w:i w:val="0"/>
          <w:noProof/>
        </w:rPr>
        <w:t>Offentliggørelse af miljømæssige, sociale og ledelsesmæssige risici (ESG-risici)</w:t>
      </w:r>
      <w:bookmarkStart w:id="6" w:name="_Hlk163229421"/>
      <w:bookmarkEnd w:id="6"/>
    </w:p>
    <w:p w:rsidR="000A5D79" w:rsidRPr="003B79A5" w:rsidRDefault="00A24257" w:rsidP="00A24257">
      <w:pPr>
        <w:pStyle w:val="ManualNumPar1"/>
        <w:rPr>
          <w:noProof/>
        </w:rPr>
      </w:pPr>
      <w:r w:rsidRPr="00A24257">
        <w:rPr>
          <w:noProof/>
        </w:rPr>
        <w:t>1.</w:t>
      </w:r>
      <w:r w:rsidRPr="00A24257">
        <w:rPr>
          <w:noProof/>
        </w:rPr>
        <w:tab/>
      </w:r>
      <w:r w:rsidR="000A5D79" w:rsidRPr="003B79A5">
        <w:rPr>
          <w:noProof/>
        </w:rPr>
        <w:t>Institutterne offentliggør de oplysninger, der er omhandlet i artikel 449a i forordning (EU) nr. 575/2013, som angivet i afsnit 21 — "Offentliggørelse af tilsynsmæssige oplysninger om ESG-risici" i bilag I. Disse oplysninger skal omfatte alt følgende:</w:t>
      </w:r>
    </w:p>
    <w:p w:rsidR="000A5D79" w:rsidRPr="003B79A5" w:rsidRDefault="003B79A5" w:rsidP="003B79A5">
      <w:pPr>
        <w:pStyle w:val="Point1"/>
        <w:rPr>
          <w:noProof/>
        </w:rPr>
      </w:pPr>
      <w:r>
        <w:rPr>
          <w:noProof/>
        </w:rPr>
        <w:t>a)</w:t>
      </w:r>
      <w:r>
        <w:rPr>
          <w:noProof/>
        </w:rPr>
        <w:tab/>
      </w:r>
      <w:r w:rsidR="000A5D79" w:rsidRPr="003B79A5">
        <w:rPr>
          <w:noProof/>
        </w:rPr>
        <w:t xml:space="preserve">kvalitative oplysninger om miljømæssige, sociale og ledelsesmæssige risici </w:t>
      </w:r>
    </w:p>
    <w:p w:rsidR="000A5D79" w:rsidRPr="003B79A5" w:rsidRDefault="003B79A5" w:rsidP="003B79A5">
      <w:pPr>
        <w:pStyle w:val="Point1"/>
        <w:rPr>
          <w:noProof/>
        </w:rPr>
      </w:pPr>
      <w:r>
        <w:rPr>
          <w:noProof/>
        </w:rPr>
        <w:t>b)</w:t>
      </w:r>
      <w:r>
        <w:rPr>
          <w:noProof/>
        </w:rPr>
        <w:tab/>
      </w:r>
      <w:r w:rsidR="000A5D79" w:rsidRPr="003B79A5">
        <w:rPr>
          <w:noProof/>
        </w:rPr>
        <w:t xml:space="preserve">kvantitative oplysninger om omstillingsrisikoen forbundet med klimaændringer </w:t>
      </w:r>
    </w:p>
    <w:p w:rsidR="000A5D79" w:rsidRPr="003B79A5" w:rsidRDefault="003B79A5" w:rsidP="003B79A5">
      <w:pPr>
        <w:pStyle w:val="Point1"/>
        <w:rPr>
          <w:noProof/>
        </w:rPr>
      </w:pPr>
      <w:r>
        <w:rPr>
          <w:noProof/>
        </w:rPr>
        <w:t>c)</w:t>
      </w:r>
      <w:r>
        <w:rPr>
          <w:noProof/>
        </w:rPr>
        <w:tab/>
      </w:r>
      <w:r w:rsidR="000A5D79" w:rsidRPr="003B79A5">
        <w:rPr>
          <w:noProof/>
        </w:rPr>
        <w:t xml:space="preserve">kvantitative oplysninger om fysiske risici forbundet med klimaændringer </w:t>
      </w:r>
    </w:p>
    <w:p w:rsidR="000A5D79" w:rsidRPr="003B79A5" w:rsidRDefault="003B79A5" w:rsidP="003B79A5">
      <w:pPr>
        <w:pStyle w:val="Point1"/>
        <w:rPr>
          <w:noProof/>
        </w:rPr>
      </w:pPr>
      <w:r>
        <w:rPr>
          <w:noProof/>
        </w:rPr>
        <w:t>d)</w:t>
      </w:r>
      <w:r>
        <w:rPr>
          <w:noProof/>
        </w:rPr>
        <w:tab/>
      </w:r>
      <w:r w:rsidR="000A5D79" w:rsidRPr="003B79A5">
        <w:rPr>
          <w:noProof/>
        </w:rPr>
        <w:t>kvantitative oplysninger om afbødende foranstaltninger forbundet med økonomiske aktiviteter, der kvalificeres som miljømæssigt bæredygtige i henhold til artikel 3 i forordning (EU) 2020/852, over for de modparter, der er omfattet af artikel 19a eller 29a i direktiv 2013/34/EU, over for husholdninger og over for lokale myndigheder som omhandlet i del 1, punkt 42, litra b), i bilag V til Kommissionens gennemførelsesforordning (EU) 2021/451</w:t>
      </w:r>
      <w:r w:rsidR="000A5D79" w:rsidRPr="003B79A5">
        <w:rPr>
          <w:rStyle w:val="FootnoteReference"/>
          <w:noProof/>
        </w:rPr>
        <w:footnoteReference w:id="13"/>
      </w:r>
      <w:r w:rsidR="000A5D79" w:rsidRPr="003B79A5">
        <w:rPr>
          <w:noProof/>
        </w:rPr>
        <w:t xml:space="preserve"> </w:t>
      </w:r>
    </w:p>
    <w:p w:rsidR="000A5D79" w:rsidRPr="003B79A5" w:rsidRDefault="003B79A5" w:rsidP="003B79A5">
      <w:pPr>
        <w:pStyle w:val="Point1"/>
        <w:rPr>
          <w:noProof/>
        </w:rPr>
      </w:pPr>
      <w:r>
        <w:rPr>
          <w:noProof/>
        </w:rPr>
        <w:t>e)</w:t>
      </w:r>
      <w:r>
        <w:rPr>
          <w:noProof/>
        </w:rPr>
        <w:tab/>
      </w:r>
      <w:r w:rsidR="000A5D79" w:rsidRPr="003B79A5">
        <w:rPr>
          <w:noProof/>
        </w:rPr>
        <w:t xml:space="preserve">kvantitative oplysninger om andre afbødende foranstaltninger og eksponeringer for klimarelaterede risici, der ikke kvalificeres som miljømæssigt bæredygtige økonomiske aktiviteter i henhold til artikel 3 i forordning (EU) 2020/852, men som støtter modparter i omstillings- eller tilpasningsprocessen med henblik på målene for modvirkning af klimaændringer og tilpasning til klimaændringer. </w:t>
      </w:r>
    </w:p>
    <w:p w:rsidR="000A5D79" w:rsidRPr="003B79A5" w:rsidRDefault="00A24257" w:rsidP="00A24257">
      <w:pPr>
        <w:pStyle w:val="ManualNumPar1"/>
        <w:rPr>
          <w:noProof/>
        </w:rPr>
      </w:pPr>
      <w:r w:rsidRPr="00A24257">
        <w:rPr>
          <w:noProof/>
        </w:rPr>
        <w:t>2.</w:t>
      </w:r>
      <w:r w:rsidRPr="00A24257">
        <w:rPr>
          <w:noProof/>
        </w:rPr>
        <w:tab/>
      </w:r>
      <w:r w:rsidR="000A5D79" w:rsidRPr="003B79A5">
        <w:rPr>
          <w:noProof/>
        </w:rPr>
        <w:t>Institutterne kan vælge at offentliggøre kvantitative oplysninger om afbødende foranstaltninger og eksponeringer vedrørende klimarelaterede risici forbundet med økonomiske aktiviteter, der kvalificeres som miljømæssigt bæredygtige i henhold til artikel 3 i forordning (EU) 2020/852, for modparter, der er ikkefinansielle selskaber, som ikke er omfattet af oplysningsforpligtelserne i artikel 19a eller 29a i direktiv 2013/34/EU, og som ikke er omfattet af oplysningsforpligtelserne i Kommissionens gennemførelsesforordning (EU) 2021/2178</w:t>
      </w:r>
      <w:r w:rsidR="000A5D79" w:rsidRPr="003B79A5">
        <w:rPr>
          <w:rStyle w:val="FootnoteReference"/>
          <w:noProof/>
        </w:rPr>
        <w:footnoteReference w:id="14"/>
      </w:r>
      <w:r w:rsidR="000A5D79" w:rsidRPr="003B79A5">
        <w:rPr>
          <w:noProof/>
        </w:rPr>
        <w:t>.</w:t>
      </w:r>
    </w:p>
    <w:p w:rsidR="000A5D79" w:rsidRPr="003B79A5" w:rsidRDefault="000A5D79" w:rsidP="00204A69">
      <w:pPr>
        <w:pStyle w:val="Text1"/>
        <w:rPr>
          <w:noProof/>
        </w:rPr>
      </w:pPr>
      <w:r w:rsidRPr="003B79A5">
        <w:rPr>
          <w:noProof/>
        </w:rPr>
        <w:t xml:space="preserve">Ved beregningen af procentdelen af eksponeringer mod aktiviteter, som opfylder kravene i artikel 3 i forordning (EU) 2020/852 (eksponeringer, der er i overensstemmelse med klassificeringssystemet), over for disse modparter, kan institutter: </w:t>
      </w:r>
    </w:p>
    <w:p w:rsidR="000A5D79" w:rsidRPr="003B79A5" w:rsidRDefault="003B79A5" w:rsidP="003B79A5">
      <w:pPr>
        <w:pStyle w:val="Point1"/>
        <w:rPr>
          <w:noProof/>
        </w:rPr>
      </w:pPr>
      <w:r>
        <w:rPr>
          <w:noProof/>
        </w:rPr>
        <w:t>a)</w:t>
      </w:r>
      <w:r>
        <w:rPr>
          <w:noProof/>
        </w:rPr>
        <w:tab/>
      </w:r>
      <w:r w:rsidR="000A5D79" w:rsidRPr="003B79A5">
        <w:rPr>
          <w:noProof/>
        </w:rPr>
        <w:t xml:space="preserve">anvende eventuelle oplysninger modtaget fra deres modparter på frivilligt og bilateralt grundlag i forbindelse med procedurerne for udstedelse af lån og regelmæssig kreditgennemgang og overvågning </w:t>
      </w:r>
    </w:p>
    <w:p w:rsidR="000A5D79" w:rsidRPr="003B79A5" w:rsidRDefault="003B79A5" w:rsidP="003B79A5">
      <w:pPr>
        <w:pStyle w:val="Point1"/>
        <w:rPr>
          <w:noProof/>
        </w:rPr>
      </w:pPr>
      <w:r>
        <w:rPr>
          <w:noProof/>
        </w:rPr>
        <w:t>b)</w:t>
      </w:r>
      <w:r>
        <w:rPr>
          <w:noProof/>
        </w:rPr>
        <w:tab/>
      </w:r>
      <w:r w:rsidR="000A5D79" w:rsidRPr="003B79A5">
        <w:rPr>
          <w:noProof/>
        </w:rPr>
        <w:t>hvis modparten ikke kan eller ønsker at fremlægge de pågældende data bilateralt — anvende interne estimater og tilnærmede værdier og i den beskrivelse, der ledsager skemaet, angive, i hvilket omfang disse interne estimater og tilnærmede værdier er blevet anvendt, og hvilke interne estimater og tilnærmede værdier der er blevet anvendt</w:t>
      </w:r>
    </w:p>
    <w:p w:rsidR="000A5D79" w:rsidRPr="003B79A5" w:rsidRDefault="003B79A5" w:rsidP="003B79A5">
      <w:pPr>
        <w:pStyle w:val="Point1"/>
        <w:rPr>
          <w:noProof/>
        </w:rPr>
      </w:pPr>
      <w:r>
        <w:rPr>
          <w:noProof/>
        </w:rPr>
        <w:t>c)</w:t>
      </w:r>
      <w:r>
        <w:rPr>
          <w:noProof/>
        </w:rPr>
        <w:tab/>
      </w:r>
      <w:r w:rsidR="000A5D79" w:rsidRPr="003B79A5">
        <w:rPr>
          <w:noProof/>
        </w:rPr>
        <w:t xml:space="preserve">hvis de ikke kan indsamle de pågældende oplysninger bilateralt eller ikke kan anvende interne estimater og tilnærmede værdier eller ikke kan indsamle disse oplysninger eller anvende disse estimater og tilnærmede værdier på en måde, der ikke er alt for byrdefuld for dem eller deres modparter — angive denne manglende evne i den beskrivelse, der ledsager skemaet. </w:t>
      </w:r>
    </w:p>
    <w:p w:rsidR="000A5D79" w:rsidRPr="003B79A5" w:rsidRDefault="000A5D79" w:rsidP="00204A69">
      <w:pPr>
        <w:pStyle w:val="Text1"/>
        <w:rPr>
          <w:noProof/>
        </w:rPr>
      </w:pPr>
      <w:r w:rsidRPr="003B79A5">
        <w:rPr>
          <w:noProof/>
        </w:rPr>
        <w:t xml:space="preserve">Med henblik på litra a) underretter institutterne deres modparter om, at det er frivilligt at fremlægge sådanne oplysninger. </w:t>
      </w:r>
    </w:p>
    <w:p w:rsidR="000A5D79" w:rsidRPr="003B79A5" w:rsidRDefault="000A5D79" w:rsidP="00813A48">
      <w:pPr>
        <w:pStyle w:val="Titrearticle"/>
        <w:spacing w:before="120"/>
        <w:rPr>
          <w:noProof/>
        </w:rPr>
      </w:pPr>
      <w:r w:rsidRPr="003B79A5">
        <w:rPr>
          <w:noProof/>
        </w:rPr>
        <w:t>Artikel 23</w:t>
      </w:r>
    </w:p>
    <w:p w:rsidR="000A5D79" w:rsidRPr="003B79A5" w:rsidRDefault="00AB6551" w:rsidP="00813A48">
      <w:pPr>
        <w:pStyle w:val="Titrearticle"/>
        <w:spacing w:before="120"/>
        <w:rPr>
          <w:b/>
          <w:i w:val="0"/>
          <w:noProof/>
        </w:rPr>
      </w:pPr>
      <w:r w:rsidRPr="003B79A5">
        <w:rPr>
          <w:b/>
          <w:i w:val="0"/>
          <w:noProof/>
        </w:rPr>
        <w:t>Offentliggørelse af kryptoaktiver</w:t>
      </w:r>
    </w:p>
    <w:p w:rsidR="000A5D79" w:rsidRPr="003B79A5" w:rsidRDefault="000A5D79" w:rsidP="00905855">
      <w:pPr>
        <w:rPr>
          <w:noProof/>
        </w:rPr>
      </w:pPr>
      <w:r w:rsidRPr="003B79A5">
        <w:rPr>
          <w:noProof/>
        </w:rPr>
        <w:t>Institutterne offentliggør oplysningerne til beregning af kapitalgrundlagskravene for kryptoaktiveksponeringer i overensstemmelse med artikel 501d, stk. 2, i forordning (EU) nr. 575/2013 som angivet i afsnit 22 — "Oplysning af kryptoaktiveksponeringer" i bilag I.</w:t>
      </w:r>
      <w:bookmarkStart w:id="7" w:name="_Hlk163582169"/>
      <w:bookmarkEnd w:id="7"/>
    </w:p>
    <w:p w:rsidR="0066214E" w:rsidRPr="003B79A5" w:rsidRDefault="0066214E" w:rsidP="0066214E">
      <w:pPr>
        <w:spacing w:before="360"/>
        <w:jc w:val="center"/>
        <w:rPr>
          <w:i/>
          <w:iCs/>
          <w:noProof/>
        </w:rPr>
      </w:pPr>
      <w:r w:rsidRPr="003B79A5">
        <w:rPr>
          <w:i/>
          <w:noProof/>
        </w:rPr>
        <w:t>Artikel 24</w:t>
      </w:r>
    </w:p>
    <w:p w:rsidR="0066214E" w:rsidRPr="003B79A5" w:rsidRDefault="0066214E" w:rsidP="0066214E">
      <w:pPr>
        <w:jc w:val="center"/>
        <w:rPr>
          <w:b/>
          <w:bCs/>
          <w:noProof/>
        </w:rPr>
      </w:pPr>
      <w:r w:rsidRPr="003B79A5">
        <w:rPr>
          <w:b/>
          <w:noProof/>
        </w:rPr>
        <w:t xml:space="preserve">IT-løsninger </w:t>
      </w:r>
    </w:p>
    <w:p w:rsidR="00344DF8" w:rsidRPr="003B79A5" w:rsidRDefault="006C550D" w:rsidP="00BB0B33">
      <w:pPr>
        <w:rPr>
          <w:noProof/>
        </w:rPr>
      </w:pPr>
      <w:r w:rsidRPr="003B79A5">
        <w:rPr>
          <w:noProof/>
        </w:rPr>
        <w:t xml:space="preserve">EBA sikrer, at de IT-løsninger, herunder vejledninger, der er udviklet med henblik på offentliggørelse i henhold til afsnit II og III i forordning (EU) nr. 575/2013, til enhver tid er i overensstemmelse med de ensartede offentliggørelsesformater, der er fastsat i nærværende forordning, og omfatter alle de datapunkter og oplysninger, der er anført i oplysningsskemaerne. </w:t>
      </w:r>
    </w:p>
    <w:p w:rsidR="00344DF8" w:rsidRPr="003B79A5" w:rsidRDefault="00344DF8" w:rsidP="00BB0B33">
      <w:pPr>
        <w:rPr>
          <w:noProof/>
        </w:rPr>
      </w:pPr>
      <w:r w:rsidRPr="003B79A5">
        <w:rPr>
          <w:noProof/>
        </w:rPr>
        <w:t>EBA stiller de IT-løsninger, der er omhandlet i stk. 1, og eventuelle tilknyttede vejledninger til rådighed på sit websted. EBA holder disse IT-løsninger og vejledninger ajour og tilgængelige på alle officielle sprog.</w:t>
      </w:r>
    </w:p>
    <w:p w:rsidR="000A5D79" w:rsidRPr="003B79A5" w:rsidRDefault="000A5D79" w:rsidP="000A5D79">
      <w:pPr>
        <w:pStyle w:val="Titrearticle"/>
        <w:rPr>
          <w:noProof/>
        </w:rPr>
      </w:pPr>
      <w:r w:rsidRPr="003B79A5">
        <w:rPr>
          <w:noProof/>
        </w:rPr>
        <w:t>Artikel 25</w:t>
      </w:r>
    </w:p>
    <w:p w:rsidR="000A5D79" w:rsidRPr="003B79A5" w:rsidRDefault="000A5D79" w:rsidP="000A5D79">
      <w:pPr>
        <w:pStyle w:val="Titrearticle"/>
        <w:spacing w:before="120"/>
        <w:rPr>
          <w:b/>
          <w:i w:val="0"/>
          <w:noProof/>
        </w:rPr>
      </w:pPr>
      <w:r w:rsidRPr="003B79A5">
        <w:rPr>
          <w:b/>
          <w:i w:val="0"/>
          <w:noProof/>
        </w:rPr>
        <w:t>Almindelige bestemmelser om de ensartede offentliggørelsesformater</w:t>
      </w:r>
    </w:p>
    <w:p w:rsidR="000A5D79" w:rsidRPr="003B79A5" w:rsidRDefault="00A24257" w:rsidP="00A24257">
      <w:pPr>
        <w:pStyle w:val="ManualNumPar1"/>
        <w:rPr>
          <w:noProof/>
        </w:rPr>
      </w:pPr>
      <w:r w:rsidRPr="00A24257">
        <w:rPr>
          <w:noProof/>
        </w:rPr>
        <w:t>1.</w:t>
      </w:r>
      <w:r w:rsidRPr="00A24257">
        <w:rPr>
          <w:noProof/>
        </w:rPr>
        <w:tab/>
      </w:r>
      <w:r w:rsidR="000A5D79" w:rsidRPr="003B79A5">
        <w:rPr>
          <w:noProof/>
        </w:rPr>
        <w:t>Nummereringen af rækker eller kolonner i de ensartede offentliggørelsesformater, der er omhandlet i bilag I, og som indgår i de IT-løsninger, som EBA har udviklet, ændres ikke, hvis et institut udelader en eller flere oplysninger i overensstemmelse med artikel 432 i forordning (EU) nr. 575/2013.</w:t>
      </w:r>
    </w:p>
    <w:p w:rsidR="000A5D79" w:rsidRPr="003B79A5" w:rsidRDefault="00A24257" w:rsidP="00A24257">
      <w:pPr>
        <w:pStyle w:val="ManualNumPar1"/>
        <w:rPr>
          <w:noProof/>
        </w:rPr>
      </w:pPr>
      <w:r w:rsidRPr="00A24257">
        <w:rPr>
          <w:noProof/>
        </w:rPr>
        <w:t>2.</w:t>
      </w:r>
      <w:r w:rsidRPr="00A24257">
        <w:rPr>
          <w:noProof/>
        </w:rPr>
        <w:tab/>
      </w:r>
      <w:r w:rsidR="000A5D79" w:rsidRPr="003B79A5">
        <w:rPr>
          <w:noProof/>
        </w:rPr>
        <w:t>I den beskrivelse, der ledsager det pågældende IT-løsningsbaserede skema eller den pågældende tabel, skal institutterne tydeligt angive hvilke rækker eller kolonner der ikke er udfyldte, og angive grunden til den manglende offentliggørelse.</w:t>
      </w:r>
    </w:p>
    <w:p w:rsidR="000A5D79" w:rsidRPr="003B79A5" w:rsidRDefault="00A24257" w:rsidP="00A24257">
      <w:pPr>
        <w:pStyle w:val="ManualNumPar1"/>
        <w:rPr>
          <w:noProof/>
        </w:rPr>
      </w:pPr>
      <w:r w:rsidRPr="00A24257">
        <w:rPr>
          <w:noProof/>
        </w:rPr>
        <w:t>3.</w:t>
      </w:r>
      <w:r w:rsidRPr="00A24257">
        <w:rPr>
          <w:noProof/>
        </w:rPr>
        <w:tab/>
      </w:r>
      <w:r w:rsidR="000A5D79" w:rsidRPr="003B79A5">
        <w:rPr>
          <w:noProof/>
        </w:rPr>
        <w:t>De oplysninger, der kræves i henhold til artikel 431 i forordning (EU) nr. 575/2013, skal være tydelige og omfattende, således at brugerne af oplysningerne kan forstå de kvantitative oplysninger, og de skal anbringes ved siden af de skemaer, som de pågældende oplysninger vedrører.</w:t>
      </w:r>
    </w:p>
    <w:p w:rsidR="000A5D79" w:rsidRPr="003B79A5" w:rsidRDefault="00A24257" w:rsidP="00A24257">
      <w:pPr>
        <w:pStyle w:val="ManualNumPar1"/>
        <w:rPr>
          <w:noProof/>
        </w:rPr>
      </w:pPr>
      <w:r w:rsidRPr="00A24257">
        <w:rPr>
          <w:noProof/>
        </w:rPr>
        <w:t>4.</w:t>
      </w:r>
      <w:r w:rsidRPr="00A24257">
        <w:rPr>
          <w:noProof/>
        </w:rPr>
        <w:tab/>
      </w:r>
      <w:r w:rsidR="000A5D79" w:rsidRPr="003B79A5">
        <w:rPr>
          <w:noProof/>
        </w:rPr>
        <w:t>Talværdier angives som følger:</w:t>
      </w:r>
    </w:p>
    <w:p w:rsidR="000A5D79" w:rsidRPr="003B79A5" w:rsidRDefault="003B79A5" w:rsidP="003B79A5">
      <w:pPr>
        <w:pStyle w:val="Point1"/>
        <w:rPr>
          <w:noProof/>
        </w:rPr>
      </w:pPr>
      <w:r>
        <w:rPr>
          <w:noProof/>
        </w:rPr>
        <w:t>a)</w:t>
      </w:r>
      <w:r>
        <w:rPr>
          <w:noProof/>
        </w:rPr>
        <w:tab/>
      </w:r>
      <w:r w:rsidR="000A5D79" w:rsidRPr="003B79A5">
        <w:rPr>
          <w:noProof/>
        </w:rPr>
        <w:t>Kvantitative monetære data skal oplyses med en minimumspræcision på millioner enheder.</w:t>
      </w:r>
    </w:p>
    <w:p w:rsidR="000A5D79" w:rsidRPr="003B79A5" w:rsidRDefault="003B79A5" w:rsidP="003B79A5">
      <w:pPr>
        <w:pStyle w:val="Point1"/>
        <w:rPr>
          <w:noProof/>
        </w:rPr>
      </w:pPr>
      <w:r>
        <w:rPr>
          <w:noProof/>
        </w:rPr>
        <w:t>a)</w:t>
      </w:r>
      <w:r>
        <w:rPr>
          <w:noProof/>
        </w:rPr>
        <w:tab/>
      </w:r>
      <w:r w:rsidR="000A5D79" w:rsidRPr="003B79A5">
        <w:rPr>
          <w:noProof/>
        </w:rPr>
        <w:t>Kvantitative data, der oplyses som "procentsats", skal udtrykkes pr. enhed med en minimumspræcision svarende til fire decimaler.</w:t>
      </w:r>
    </w:p>
    <w:p w:rsidR="000A5D79" w:rsidRPr="003B79A5" w:rsidRDefault="00757AA2" w:rsidP="00396A89">
      <w:pPr>
        <w:tabs>
          <w:tab w:val="left" w:pos="567"/>
        </w:tabs>
        <w:rPr>
          <w:noProof/>
        </w:rPr>
      </w:pPr>
      <w:r w:rsidRPr="003B79A5">
        <w:rPr>
          <w:noProof/>
        </w:rPr>
        <w:t>5.</w:t>
      </w:r>
      <w:r w:rsidRPr="003B79A5">
        <w:rPr>
          <w:noProof/>
        </w:rPr>
        <w:tab/>
        <w:t>Institutterne skal desuden oplyse følgende:</w:t>
      </w:r>
    </w:p>
    <w:p w:rsidR="000A5D79" w:rsidRPr="003B79A5" w:rsidRDefault="003B79A5" w:rsidP="003B79A5">
      <w:pPr>
        <w:pStyle w:val="Point1"/>
        <w:rPr>
          <w:noProof/>
        </w:rPr>
      </w:pPr>
      <w:r>
        <w:rPr>
          <w:noProof/>
        </w:rPr>
        <w:t>a)</w:t>
      </w:r>
      <w:r>
        <w:rPr>
          <w:noProof/>
        </w:rPr>
        <w:tab/>
      </w:r>
      <w:r w:rsidR="000A5D79" w:rsidRPr="003B79A5">
        <w:rPr>
          <w:noProof/>
        </w:rPr>
        <w:t xml:space="preserve">referencedato og referenceperiode for offentliggørelse </w:t>
      </w:r>
    </w:p>
    <w:p w:rsidR="000A5D79" w:rsidRPr="003B79A5" w:rsidRDefault="003B79A5" w:rsidP="003B79A5">
      <w:pPr>
        <w:pStyle w:val="Point1"/>
        <w:rPr>
          <w:noProof/>
        </w:rPr>
      </w:pPr>
      <w:r>
        <w:rPr>
          <w:noProof/>
        </w:rPr>
        <w:t>b)</w:t>
      </w:r>
      <w:r>
        <w:rPr>
          <w:noProof/>
        </w:rPr>
        <w:tab/>
      </w:r>
      <w:r w:rsidR="000A5D79" w:rsidRPr="003B79A5">
        <w:rPr>
          <w:noProof/>
        </w:rPr>
        <w:t xml:space="preserve">indberetningsvaluta </w:t>
      </w:r>
    </w:p>
    <w:p w:rsidR="000A5D79" w:rsidRPr="003B79A5" w:rsidRDefault="003B79A5" w:rsidP="003B79A5">
      <w:pPr>
        <w:pStyle w:val="Point1"/>
        <w:rPr>
          <w:noProof/>
        </w:rPr>
      </w:pPr>
      <w:r>
        <w:rPr>
          <w:noProof/>
        </w:rPr>
        <w:t>c)</w:t>
      </w:r>
      <w:r>
        <w:rPr>
          <w:noProof/>
        </w:rPr>
        <w:tab/>
      </w:r>
      <w:r w:rsidR="000A5D79" w:rsidRPr="003B79A5">
        <w:rPr>
          <w:noProof/>
        </w:rPr>
        <w:t>det oplysende instituts navn og, hvor det er relevant, LEI-kode</w:t>
      </w:r>
    </w:p>
    <w:p w:rsidR="000A5D79" w:rsidRPr="003B79A5" w:rsidRDefault="003B79A5" w:rsidP="003B79A5">
      <w:pPr>
        <w:pStyle w:val="Point1"/>
        <w:rPr>
          <w:noProof/>
        </w:rPr>
      </w:pPr>
      <w:r>
        <w:rPr>
          <w:noProof/>
        </w:rPr>
        <w:t>d)</w:t>
      </w:r>
      <w:r>
        <w:rPr>
          <w:noProof/>
        </w:rPr>
        <w:tab/>
      </w:r>
      <w:r w:rsidR="000A5D79" w:rsidRPr="003B79A5">
        <w:rPr>
          <w:noProof/>
        </w:rPr>
        <w:t>hvor det er relevant, de anvendte regnskabsstandarder</w:t>
      </w:r>
    </w:p>
    <w:p w:rsidR="000A5D79" w:rsidRPr="003B79A5" w:rsidRDefault="003B79A5" w:rsidP="003B79A5">
      <w:pPr>
        <w:pStyle w:val="Point1"/>
        <w:rPr>
          <w:noProof/>
        </w:rPr>
      </w:pPr>
      <w:r>
        <w:rPr>
          <w:noProof/>
        </w:rPr>
        <w:t>e)</w:t>
      </w:r>
      <w:r>
        <w:rPr>
          <w:noProof/>
        </w:rPr>
        <w:tab/>
      </w:r>
      <w:r w:rsidR="000A5D79" w:rsidRPr="003B79A5">
        <w:rPr>
          <w:noProof/>
        </w:rPr>
        <w:t>hvor det er relevant, konsolideringens omfang.</w:t>
      </w:r>
    </w:p>
    <w:p w:rsidR="007B2B7C" w:rsidRPr="003B79A5" w:rsidRDefault="007B2B7C" w:rsidP="007B2B7C">
      <w:pPr>
        <w:pStyle w:val="Titrearticle"/>
        <w:rPr>
          <w:noProof/>
        </w:rPr>
      </w:pPr>
      <w:r w:rsidRPr="003B79A5">
        <w:rPr>
          <w:noProof/>
        </w:rPr>
        <w:t>Artikel 26</w:t>
      </w:r>
    </w:p>
    <w:p w:rsidR="00AC044E" w:rsidRPr="003B79A5" w:rsidRDefault="00AC044E" w:rsidP="00CA4079">
      <w:pPr>
        <w:pStyle w:val="Titrearticle"/>
        <w:spacing w:before="120"/>
        <w:rPr>
          <w:b/>
          <w:noProof/>
        </w:rPr>
      </w:pPr>
      <w:r w:rsidRPr="003B79A5">
        <w:rPr>
          <w:b/>
          <w:i w:val="0"/>
          <w:noProof/>
        </w:rPr>
        <w:t>Offentliggørelsesperiode og -hyppighed</w:t>
      </w:r>
    </w:p>
    <w:p w:rsidR="00970F90" w:rsidRPr="003B79A5" w:rsidRDefault="00A24257" w:rsidP="00A24257">
      <w:pPr>
        <w:pStyle w:val="ManualNumPar1"/>
        <w:rPr>
          <w:noProof/>
        </w:rPr>
      </w:pPr>
      <w:r w:rsidRPr="00A24257">
        <w:rPr>
          <w:noProof/>
        </w:rPr>
        <w:t>1.</w:t>
      </w:r>
      <w:r w:rsidRPr="00A24257">
        <w:rPr>
          <w:noProof/>
        </w:rPr>
        <w:tab/>
      </w:r>
      <w:r w:rsidR="00AC044E" w:rsidRPr="003B79A5">
        <w:rPr>
          <w:noProof/>
        </w:rPr>
        <w:t xml:space="preserve">Offentliggørelsesperioderne defineres som kvartalsperioder T, T-1, T-2, T-3 og T-4. </w:t>
      </w:r>
    </w:p>
    <w:p w:rsidR="00AC044E" w:rsidRPr="003B79A5" w:rsidRDefault="00A24257" w:rsidP="00A24257">
      <w:pPr>
        <w:pStyle w:val="ManualNumPar1"/>
        <w:rPr>
          <w:noProof/>
        </w:rPr>
      </w:pPr>
      <w:r w:rsidRPr="00A24257">
        <w:rPr>
          <w:noProof/>
        </w:rPr>
        <w:t>2.</w:t>
      </w:r>
      <w:r w:rsidRPr="00A24257">
        <w:rPr>
          <w:noProof/>
        </w:rPr>
        <w:tab/>
      </w:r>
      <w:r w:rsidR="00D234F9" w:rsidRPr="003B79A5">
        <w:rPr>
          <w:noProof/>
        </w:rPr>
        <w:t xml:space="preserve">Rækkerne eller kolonnerne i de ensartede offentliggørelsesformater, der er omhandlet i bilag I, og som indgår i de IT-løsninger, som EBA har udviklet, udfyldes med den hyppighed, der er foreskrevet i artikel 433a, 433b og 433c i forordning (EU) nr. 575/2013. </w:t>
      </w:r>
    </w:p>
    <w:p w:rsidR="00AC044E" w:rsidRPr="003B79A5" w:rsidRDefault="00A24257" w:rsidP="00A24257">
      <w:pPr>
        <w:pStyle w:val="ManualNumPar1"/>
        <w:rPr>
          <w:noProof/>
        </w:rPr>
      </w:pPr>
      <w:r w:rsidRPr="00A24257">
        <w:rPr>
          <w:noProof/>
        </w:rPr>
        <w:t>3.</w:t>
      </w:r>
      <w:r w:rsidRPr="00A24257">
        <w:rPr>
          <w:noProof/>
        </w:rPr>
        <w:tab/>
      </w:r>
      <w:r w:rsidR="00AC044E" w:rsidRPr="003B79A5">
        <w:rPr>
          <w:noProof/>
        </w:rPr>
        <w:t xml:space="preserve">Institutter, der er omfattet af forpligtelsen til at offentliggøre oplysninger, offentliggør oplysninger med følgende hyppighed: </w:t>
      </w:r>
    </w:p>
    <w:p w:rsidR="00AC044E" w:rsidRPr="003B79A5" w:rsidRDefault="003B79A5" w:rsidP="003B79A5">
      <w:pPr>
        <w:pStyle w:val="Point1"/>
        <w:rPr>
          <w:noProof/>
        </w:rPr>
      </w:pPr>
      <w:r>
        <w:rPr>
          <w:noProof/>
        </w:rPr>
        <w:t>a)</w:t>
      </w:r>
      <w:r>
        <w:rPr>
          <w:noProof/>
        </w:rPr>
        <w:tab/>
      </w:r>
      <w:r w:rsidR="00AC044E" w:rsidRPr="003B79A5">
        <w:rPr>
          <w:noProof/>
        </w:rPr>
        <w:t xml:space="preserve">Institutter, der offentliggør oplysningerne i bilag I kvartalsvis, skal anføre oplysninger for perioderne T, T-1, T-2, T-3 og T-4. </w:t>
      </w:r>
    </w:p>
    <w:p w:rsidR="00AC044E" w:rsidRPr="003B79A5" w:rsidRDefault="003B79A5" w:rsidP="003B79A5">
      <w:pPr>
        <w:pStyle w:val="Point1"/>
        <w:rPr>
          <w:noProof/>
        </w:rPr>
      </w:pPr>
      <w:r>
        <w:rPr>
          <w:noProof/>
        </w:rPr>
        <w:t>b)</w:t>
      </w:r>
      <w:r>
        <w:rPr>
          <w:noProof/>
        </w:rPr>
        <w:tab/>
      </w:r>
      <w:r w:rsidR="00AC044E" w:rsidRPr="003B79A5">
        <w:rPr>
          <w:noProof/>
        </w:rPr>
        <w:t xml:space="preserve">Institutter, der offentliggør oplysningerne i bilag I på halvårlig basis, skal anføre oplysninger for perioderne T, T-2 og T-4. </w:t>
      </w:r>
    </w:p>
    <w:p w:rsidR="00AC044E" w:rsidRPr="003B79A5" w:rsidRDefault="003B79A5" w:rsidP="003B79A5">
      <w:pPr>
        <w:pStyle w:val="Point1"/>
        <w:rPr>
          <w:noProof/>
        </w:rPr>
      </w:pPr>
      <w:r>
        <w:rPr>
          <w:noProof/>
        </w:rPr>
        <w:t>c)</w:t>
      </w:r>
      <w:r>
        <w:rPr>
          <w:noProof/>
        </w:rPr>
        <w:tab/>
      </w:r>
      <w:r w:rsidR="00AC044E" w:rsidRPr="003B79A5">
        <w:rPr>
          <w:noProof/>
        </w:rPr>
        <w:t>Institutter, der offentliggør oplysningerne i bilag I årligt, skal anføre oplysninger for perioderne T og T-4.</w:t>
      </w:r>
    </w:p>
    <w:p w:rsidR="00AC044E" w:rsidRPr="003B79A5" w:rsidRDefault="00A24257" w:rsidP="00A24257">
      <w:pPr>
        <w:pStyle w:val="ManualNumPar1"/>
        <w:rPr>
          <w:noProof/>
        </w:rPr>
      </w:pPr>
      <w:r w:rsidRPr="00A24257">
        <w:rPr>
          <w:noProof/>
        </w:rPr>
        <w:t>4.</w:t>
      </w:r>
      <w:r w:rsidRPr="00A24257">
        <w:rPr>
          <w:noProof/>
        </w:rPr>
        <w:tab/>
      </w:r>
      <w:r w:rsidR="00AC044E" w:rsidRPr="003B79A5">
        <w:rPr>
          <w:noProof/>
        </w:rPr>
        <w:t>Institutterne skal offentliggøre de datoer, der svarer til offentliggørelsesperioderne.</w:t>
      </w:r>
    </w:p>
    <w:p w:rsidR="00AC044E" w:rsidRPr="003B79A5" w:rsidRDefault="00A24257" w:rsidP="00A24257">
      <w:pPr>
        <w:pStyle w:val="ManualNumPar1"/>
        <w:rPr>
          <w:noProof/>
        </w:rPr>
      </w:pPr>
      <w:r w:rsidRPr="00A24257">
        <w:rPr>
          <w:noProof/>
        </w:rPr>
        <w:t>5.</w:t>
      </w:r>
      <w:r w:rsidRPr="00A24257">
        <w:rPr>
          <w:noProof/>
        </w:rPr>
        <w:tab/>
      </w:r>
      <w:r w:rsidR="00AC044E" w:rsidRPr="003B79A5">
        <w:rPr>
          <w:noProof/>
        </w:rPr>
        <w:t>Offentliggørelsen af oplysninger for tidligere perioder er ikke påkrævet, hvis der offentliggøres oplysninger for første gang.</w:t>
      </w:r>
    </w:p>
    <w:p w:rsidR="000A5D79" w:rsidRPr="003B79A5" w:rsidRDefault="000A5D79" w:rsidP="000A5D79">
      <w:pPr>
        <w:pStyle w:val="Titrearticle"/>
        <w:rPr>
          <w:noProof/>
        </w:rPr>
      </w:pPr>
      <w:r w:rsidRPr="003B79A5">
        <w:rPr>
          <w:noProof/>
        </w:rPr>
        <w:t>Artikel 27</w:t>
      </w:r>
    </w:p>
    <w:p w:rsidR="000A5D79" w:rsidRPr="003B79A5" w:rsidRDefault="000A5D79" w:rsidP="000A5D79">
      <w:pPr>
        <w:pStyle w:val="Titrearticle"/>
        <w:spacing w:before="120"/>
        <w:rPr>
          <w:b/>
          <w:i w:val="0"/>
          <w:noProof/>
        </w:rPr>
      </w:pPr>
      <w:r w:rsidRPr="003B79A5">
        <w:rPr>
          <w:b/>
          <w:i w:val="0"/>
          <w:noProof/>
        </w:rPr>
        <w:t>Ophævelse</w:t>
      </w:r>
    </w:p>
    <w:p w:rsidR="00B00045" w:rsidRPr="003B79A5" w:rsidRDefault="00A24257" w:rsidP="00A24257">
      <w:pPr>
        <w:pStyle w:val="ManualNumPar1"/>
        <w:rPr>
          <w:noProof/>
        </w:rPr>
      </w:pPr>
      <w:r w:rsidRPr="00A24257">
        <w:rPr>
          <w:noProof/>
        </w:rPr>
        <w:t>1.</w:t>
      </w:r>
      <w:r w:rsidRPr="00A24257">
        <w:rPr>
          <w:noProof/>
        </w:rPr>
        <w:tab/>
      </w:r>
      <w:r w:rsidR="000A5D79" w:rsidRPr="003B79A5">
        <w:rPr>
          <w:noProof/>
        </w:rPr>
        <w:t xml:space="preserve">Gennemførelsesforordning (EU) 2021/637 ophører med at finde anvendelse fra den 1. januar 2025, bortset fra artikel 15 og bilag XXIX og XXX. Artikel 15 og bilag XXIX og XXX i gennemførelsesforordning (EU) 2021/637 finder kun anvendelse indtil den 31. december 2025 med henblik på nærværende forordnings artikel 16. </w:t>
      </w:r>
    </w:p>
    <w:p w:rsidR="00B00045" w:rsidRPr="003B79A5" w:rsidRDefault="00A24257" w:rsidP="00A24257">
      <w:pPr>
        <w:pStyle w:val="ManualNumPar1"/>
        <w:rPr>
          <w:noProof/>
        </w:rPr>
      </w:pPr>
      <w:r w:rsidRPr="00A24257">
        <w:rPr>
          <w:noProof/>
        </w:rPr>
        <w:t>2.</w:t>
      </w:r>
      <w:r w:rsidRPr="00A24257">
        <w:rPr>
          <w:noProof/>
        </w:rPr>
        <w:tab/>
      </w:r>
      <w:r w:rsidR="00D87C7D" w:rsidRPr="003B79A5">
        <w:rPr>
          <w:noProof/>
        </w:rPr>
        <w:t xml:space="preserve">Gennemførelsesforordning (EU) 2021/637 ophæves med virkning fra den 31. december 2025. </w:t>
      </w:r>
    </w:p>
    <w:p w:rsidR="000A5D79" w:rsidRPr="003B79A5" w:rsidRDefault="00A24257" w:rsidP="00A24257">
      <w:pPr>
        <w:pStyle w:val="ManualNumPar1"/>
        <w:rPr>
          <w:noProof/>
        </w:rPr>
      </w:pPr>
      <w:r w:rsidRPr="00A24257">
        <w:rPr>
          <w:noProof/>
        </w:rPr>
        <w:t>3.</w:t>
      </w:r>
      <w:r w:rsidRPr="00A24257">
        <w:rPr>
          <w:noProof/>
        </w:rPr>
        <w:tab/>
      </w:r>
      <w:r w:rsidR="00056FFD" w:rsidRPr="003B79A5">
        <w:rPr>
          <w:noProof/>
        </w:rPr>
        <w:t>Henvisninger til den ophævede forordning gælder som henvisninger til nærværende forordning og læses efter sammenligningstabellen i bilag II.</w:t>
      </w:r>
    </w:p>
    <w:p w:rsidR="000A5D79" w:rsidRPr="003B79A5" w:rsidRDefault="000A5D79" w:rsidP="001F6539">
      <w:pPr>
        <w:pStyle w:val="Titrearticle"/>
        <w:rPr>
          <w:noProof/>
        </w:rPr>
      </w:pPr>
      <w:r w:rsidRPr="003B79A5">
        <w:rPr>
          <w:noProof/>
        </w:rPr>
        <w:t>Artikel 28</w:t>
      </w:r>
    </w:p>
    <w:p w:rsidR="000A5D79" w:rsidRPr="003B79A5" w:rsidRDefault="000A5D79" w:rsidP="000A5D79">
      <w:pPr>
        <w:pStyle w:val="Titrearticle"/>
        <w:spacing w:before="120"/>
        <w:rPr>
          <w:b/>
          <w:i w:val="0"/>
          <w:noProof/>
        </w:rPr>
      </w:pPr>
      <w:r w:rsidRPr="003B79A5">
        <w:rPr>
          <w:b/>
          <w:i w:val="0"/>
          <w:noProof/>
        </w:rPr>
        <w:t>Ikrafttræden og anvendelse</w:t>
      </w:r>
    </w:p>
    <w:p w:rsidR="000A5D79" w:rsidRPr="003B79A5" w:rsidRDefault="000A5D79" w:rsidP="000A5D79">
      <w:pPr>
        <w:rPr>
          <w:noProof/>
        </w:rPr>
      </w:pPr>
      <w:r w:rsidRPr="003B79A5">
        <w:rPr>
          <w:noProof/>
        </w:rPr>
        <w:t xml:space="preserve">Denne forordning træder i kraft på tyvendedagen efter offentliggørelsen i </w:t>
      </w:r>
      <w:r w:rsidRPr="003B79A5">
        <w:rPr>
          <w:i/>
          <w:noProof/>
        </w:rPr>
        <w:t>Den Europæiske Unions Tidende</w:t>
      </w:r>
      <w:r w:rsidRPr="003B79A5">
        <w:rPr>
          <w:noProof/>
        </w:rPr>
        <w:t>.</w:t>
      </w:r>
    </w:p>
    <w:p w:rsidR="000A5D79" w:rsidRPr="003B79A5" w:rsidRDefault="000A5D79" w:rsidP="000A5D79">
      <w:pPr>
        <w:rPr>
          <w:noProof/>
        </w:rPr>
      </w:pPr>
      <w:r w:rsidRPr="003B79A5">
        <w:rPr>
          <w:noProof/>
        </w:rPr>
        <w:t xml:space="preserve">Den finder anvendelse fra den 1. januar 2025. </w:t>
      </w:r>
    </w:p>
    <w:p w:rsidR="0050796F" w:rsidRPr="003B79A5" w:rsidRDefault="0050796F">
      <w:pPr>
        <w:pStyle w:val="Applicationdirecte"/>
        <w:rPr>
          <w:noProof/>
        </w:rPr>
      </w:pPr>
      <w:r w:rsidRPr="003B79A5">
        <w:rPr>
          <w:noProof/>
        </w:rPr>
        <w:t>Denne forordning er bindende i alle enkeltheder og gælder umiddelbart i enhver medlemsstat.</w:t>
      </w:r>
    </w:p>
    <w:p w:rsidR="0050796F" w:rsidRPr="003B79A5" w:rsidRDefault="00291275" w:rsidP="00B072D2">
      <w:pPr>
        <w:pStyle w:val="Fait"/>
        <w:rPr>
          <w:noProof/>
        </w:rPr>
      </w:pPr>
      <w:r>
        <w:rPr>
          <w:noProof/>
        </w:rPr>
        <w:t>Udfærdiget i Bruxelles, den 29.11.2024.</w:t>
      </w:r>
    </w:p>
    <w:p w:rsidR="0050796F" w:rsidRPr="003B79A5" w:rsidRDefault="0050796F" w:rsidP="00B072D2">
      <w:pPr>
        <w:pStyle w:val="Institutionquisigne"/>
        <w:rPr>
          <w:noProof/>
        </w:rPr>
      </w:pPr>
      <w:r w:rsidRPr="003B79A5">
        <w:rPr>
          <w:noProof/>
        </w:rPr>
        <w:tab/>
        <w:t>På Kommissionens vegne</w:t>
      </w:r>
    </w:p>
    <w:p w:rsidR="0050796F" w:rsidRPr="003B79A5" w:rsidRDefault="008A1D48" w:rsidP="0050796F">
      <w:pPr>
        <w:pStyle w:val="Personnequisigne"/>
        <w:rPr>
          <w:noProof/>
        </w:rPr>
      </w:pPr>
      <w:r>
        <w:rPr>
          <w:noProof/>
        </w:rPr>
        <w:tab/>
        <w:t>Formand</w:t>
      </w:r>
      <w:r>
        <w:rPr>
          <w:noProof/>
        </w:rPr>
        <w:br/>
      </w:r>
      <w:r>
        <w:rPr>
          <w:noProof/>
        </w:rPr>
        <w:tab/>
        <w:t>Ursula VON DER LEYEN</w:t>
      </w:r>
    </w:p>
    <w:sectPr w:rsidR="0050796F" w:rsidRPr="003B79A5" w:rsidSect="00186FD6">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Pr="00186FD6" w:rsidRDefault="00186FD6" w:rsidP="00186FD6">
    <w:pPr>
      <w:pStyle w:val="Footer"/>
      <w:rPr>
        <w:rFonts w:ascii="Arial" w:hAnsi="Arial" w:cs="Arial"/>
        <w:b/>
        <w:sz w:val="48"/>
      </w:rPr>
    </w:pPr>
    <w:r w:rsidRPr="00186FD6">
      <w:rPr>
        <w:rFonts w:ascii="Arial" w:hAnsi="Arial" w:cs="Arial"/>
        <w:b/>
        <w:sz w:val="48"/>
      </w:rPr>
      <w:t>DA</w:t>
    </w:r>
    <w:r w:rsidRPr="00186FD6">
      <w:rPr>
        <w:rFonts w:ascii="Arial" w:hAnsi="Arial" w:cs="Arial"/>
        <w:b/>
        <w:sz w:val="48"/>
      </w:rPr>
      <w:tab/>
    </w:r>
    <w:r w:rsidRPr="00186FD6">
      <w:rPr>
        <w:rFonts w:ascii="Arial" w:hAnsi="Arial" w:cs="Arial"/>
        <w:b/>
        <w:sz w:val="48"/>
      </w:rPr>
      <w:tab/>
    </w:r>
    <w:r w:rsidRPr="00186FD6">
      <w:tab/>
    </w:r>
    <w:r w:rsidRPr="00186FD6">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Pr="00186FD6" w:rsidRDefault="00186FD6" w:rsidP="00186FD6">
    <w:pPr>
      <w:pStyle w:val="Footer"/>
      <w:rPr>
        <w:rFonts w:ascii="Arial" w:hAnsi="Arial" w:cs="Arial"/>
        <w:b/>
        <w:sz w:val="48"/>
      </w:rPr>
    </w:pPr>
    <w:r w:rsidRPr="00186FD6">
      <w:rPr>
        <w:rFonts w:ascii="Arial" w:hAnsi="Arial" w:cs="Arial"/>
        <w:b/>
        <w:sz w:val="48"/>
      </w:rPr>
      <w:t>DA</w:t>
    </w:r>
    <w:r w:rsidRPr="00186FD6">
      <w:rPr>
        <w:rFonts w:ascii="Arial" w:hAnsi="Arial" w:cs="Arial"/>
        <w:b/>
        <w:sz w:val="48"/>
      </w:rPr>
      <w:tab/>
    </w:r>
    <w:r w:rsidRPr="00186FD6">
      <w:rPr>
        <w:rFonts w:ascii="Arial" w:hAnsi="Arial" w:cs="Arial"/>
        <w:b/>
        <w:sz w:val="48"/>
      </w:rPr>
      <w:tab/>
    </w:r>
    <w:r w:rsidRPr="00186FD6">
      <w:tab/>
    </w:r>
    <w:r w:rsidRPr="00186FD6">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Default="00186F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Pr="00186FD6" w:rsidRDefault="00186FD6" w:rsidP="00186FD6">
    <w:pPr>
      <w:pStyle w:val="Footer"/>
      <w:rPr>
        <w:rFonts w:ascii="Arial" w:hAnsi="Arial" w:cs="Arial"/>
        <w:b/>
        <w:sz w:val="48"/>
      </w:rPr>
    </w:pPr>
    <w:r w:rsidRPr="00186FD6">
      <w:rPr>
        <w:rFonts w:ascii="Arial" w:hAnsi="Arial" w:cs="Arial"/>
        <w:b/>
        <w:sz w:val="48"/>
      </w:rPr>
      <w:t>DA</w:t>
    </w:r>
    <w:r w:rsidRPr="00186FD6">
      <w:rPr>
        <w:rFonts w:ascii="Arial" w:hAnsi="Arial" w:cs="Arial"/>
        <w:b/>
        <w:sz w:val="48"/>
      </w:rPr>
      <w:tab/>
    </w:r>
    <w:r>
      <w:fldChar w:fldCharType="begin"/>
    </w:r>
    <w:r>
      <w:instrText xml:space="preserve"> PAGE  \* MERGEFORMAT </w:instrText>
    </w:r>
    <w:r>
      <w:fldChar w:fldCharType="separate"/>
    </w:r>
    <w:r w:rsidR="00C34FC6">
      <w:rPr>
        <w:noProof/>
      </w:rPr>
      <w:t>1</w:t>
    </w:r>
    <w:r>
      <w:fldChar w:fldCharType="end"/>
    </w:r>
    <w:r>
      <w:tab/>
    </w:r>
    <w:r w:rsidRPr="00186FD6">
      <w:tab/>
    </w:r>
    <w:r w:rsidRPr="00186FD6">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Default="00186FD6" w:rsidP="00186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3B79A5" w:rsidRDefault="000A5D79" w:rsidP="00115B95">
      <w:pPr>
        <w:pStyle w:val="FootnoteText"/>
      </w:pPr>
      <w:r>
        <w:rPr>
          <w:rStyle w:val="FootnoteReference"/>
        </w:rPr>
        <w:footnoteRef/>
      </w:r>
      <w:r w:rsidRPr="003B79A5">
        <w:tab/>
        <w:t xml:space="preserve">EUT L 176 af 27.6.2013, s. 1, ELI: </w:t>
      </w:r>
      <w:hyperlink r:id="rId1" w:tooltip="Giver adgang til dokumentet via dets ELI URI." w:history="1">
        <w:r w:rsidRPr="003B79A5">
          <w:t>http://data.europa.eu/eli/reg/2013/575/oj</w:t>
        </w:r>
      </w:hyperlink>
      <w:r w:rsidRPr="003B79A5">
        <w:t>.</w:t>
      </w:r>
    </w:p>
  </w:footnote>
  <w:footnote w:id="3">
    <w:p w:rsidR="00021AB3" w:rsidRPr="003B79A5" w:rsidRDefault="00021AB3" w:rsidP="00021AB3">
      <w:pPr>
        <w:pStyle w:val="FootnoteText"/>
      </w:pPr>
      <w:r>
        <w:rPr>
          <w:rStyle w:val="FootnoteReference"/>
        </w:rPr>
        <w:footnoteRef/>
      </w:r>
      <w:r w:rsidRPr="003B79A5">
        <w:tab/>
        <w:t xml:space="preserve">Kommissionens gennemførelsesforordning (EU) 2021/637 af 15. marts 2021 om gennemførelsesmæssige tekniske standarder vedrørende institutters offentliggørelse af de oplysninger, der er omhandlet i ottende del, afsnit II og III, i Europa-Parlamentets og Rådets forordning (EU) nr. 575/2013, og om ophævelse af Kommissionens gennemførelsesforordning (EU) nr. 1423/2013, Kommissionens delegerede forordning (EU) 2015/1555, Kommissionens gennemførelsesforordning (EU) 2016/200 og Kommissionens delegerede forordning (EU) 2017/2295 (EUT L 136 af 21.4.2021, s. 1, ELI: </w:t>
      </w:r>
      <w:hyperlink r:id="rId2" w:history="1">
        <w:r w:rsidRPr="003B79A5">
          <w:rPr>
            <w:rStyle w:val="Hyperlink"/>
          </w:rPr>
          <w:t>http://data.europa.eu/eli/reg_impl/2021/637/oj</w:t>
        </w:r>
      </w:hyperlink>
      <w:r w:rsidRPr="003B79A5">
        <w:t>).</w:t>
      </w:r>
    </w:p>
  </w:footnote>
  <w:footnote w:id="4">
    <w:p w:rsidR="00021AB3" w:rsidRPr="003B79A5" w:rsidRDefault="00021AB3" w:rsidP="00021AB3">
      <w:pPr>
        <w:pStyle w:val="FootnoteText"/>
      </w:pPr>
      <w:r>
        <w:rPr>
          <w:rStyle w:val="FootnoteReference"/>
        </w:rPr>
        <w:footnoteRef/>
      </w:r>
      <w:r w:rsidRPr="003B79A5">
        <w:tab/>
        <w:t xml:space="preserve">Europa-Parlamentets og Rådets forordning (EU) 2024/1623 af 31. maj 2024 om ændring af forordning (EU) nr. 575/2013 for så vidt angår krav vedrørende kreditrisiko, kreditværdijusteringsrisiko, operationel risiko, markedsrisiko og outputgulvet (EUT L, 2024/1623, 19.6.2024, ELI: </w:t>
      </w:r>
      <w:hyperlink r:id="rId3" w:history="1">
        <w:r w:rsidRPr="003B79A5">
          <w:rPr>
            <w:rStyle w:val="Hyperlink"/>
          </w:rPr>
          <w:t>http://data.europa.eu/eli/reg/2024/1623/oj</w:t>
        </w:r>
      </w:hyperlink>
      <w:r w:rsidRPr="003B79A5">
        <w:t>).</w:t>
      </w:r>
    </w:p>
  </w:footnote>
  <w:footnote w:id="5">
    <w:p w:rsidR="008B3F27" w:rsidRPr="003B79A5" w:rsidRDefault="00BB0B33" w:rsidP="005269C8">
      <w:pPr>
        <w:pStyle w:val="FootnoteText"/>
      </w:pPr>
      <w:r>
        <w:rPr>
          <w:rStyle w:val="FootnoteReference"/>
        </w:rPr>
        <w:footnoteRef/>
      </w:r>
      <w:r w:rsidRPr="003B79A5">
        <w:tab/>
        <w:t xml:space="preserve">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 ELI: http://data.europa.eu/eli/dir/2013/36/oj). </w:t>
      </w:r>
    </w:p>
  </w:footnote>
  <w:footnote w:id="6">
    <w:p w:rsidR="008E7046" w:rsidRPr="003B79A5" w:rsidRDefault="008E7046">
      <w:pPr>
        <w:pStyle w:val="FootnoteText"/>
      </w:pPr>
      <w:r>
        <w:rPr>
          <w:rStyle w:val="FootnoteReference"/>
        </w:rPr>
        <w:footnoteRef/>
      </w:r>
      <w:r w:rsidRPr="003B79A5">
        <w:tab/>
        <w:t>Europa-Parlamentets og Rådets forordning (EU) 2020/852 af 18. juni 2020 om fastlæggelse af en ramme til fremme af bæredygtige investeringer og om ændring af forordning (EU) 2019/2088 (EUT L 198 af 22.6.2020, s. 13, ELI: http://data.europa.eu/eli/reg/2020/852/oj).</w:t>
      </w:r>
    </w:p>
  </w:footnote>
  <w:footnote w:id="7">
    <w:p w:rsidR="000A5D79" w:rsidRPr="003B79A5" w:rsidRDefault="000A5D79" w:rsidP="00115B95">
      <w:pPr>
        <w:pStyle w:val="FootnoteText"/>
      </w:pPr>
      <w:r>
        <w:rPr>
          <w:rStyle w:val="FootnoteReference"/>
        </w:rPr>
        <w:footnoteRef/>
      </w:r>
      <w:r w:rsidRPr="003B79A5">
        <w:tab/>
        <w:t>Kommissionens delegerede forordning (EU) 2020/1818 af 17. juli 2020 om supplerende regler til Europa-Parlamentets og Rådets forordning (EU) 2016/1011 for så vidt angår minimumsstandarderne for EU-benchmarks for klimaovergangen og Paristilpassede EU-benchmarks (EUT L 406 af 3.12.2020, s. 17, ELI: http://data.europa.eu/eli/reg_del/2020/1818/oj).</w:t>
      </w:r>
    </w:p>
  </w:footnote>
  <w:footnote w:id="8">
    <w:p w:rsidR="000A5D79" w:rsidRPr="003B79A5" w:rsidRDefault="000A5D79" w:rsidP="00115B95">
      <w:pPr>
        <w:pStyle w:val="FootnoteText"/>
      </w:pPr>
      <w:r>
        <w:rPr>
          <w:rStyle w:val="FootnoteReference"/>
        </w:rPr>
        <w:footnoteRef/>
      </w:r>
      <w:r w:rsidRPr="003B79A5">
        <w:tab/>
        <w:t>Europa-Parlamentet og Rådets direktiv 2010/31/EU af 19. maj 2010 om bygningers energimæssige ydeevne (omarbejdning) (EUT L 153 af 18.6.2010, s. 13, ELI: http://data.europa.eu/eli/dir/2010/31/oj).</w:t>
      </w:r>
    </w:p>
  </w:footnote>
  <w:footnote w:id="9">
    <w:p w:rsidR="000A5D79" w:rsidRPr="003B79A5" w:rsidRDefault="000A5D79" w:rsidP="00115B95">
      <w:pPr>
        <w:pStyle w:val="FootnoteText"/>
      </w:pPr>
      <w:r>
        <w:rPr>
          <w:rStyle w:val="FootnoteReference"/>
        </w:rPr>
        <w:footnoteRef/>
      </w:r>
      <w:r w:rsidRPr="003B79A5">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 ELI: http://data.europa.eu/eli/dir/2013/34/oj).</w:t>
      </w:r>
    </w:p>
  </w:footnote>
  <w:footnote w:id="10">
    <w:p w:rsidR="000A5D79" w:rsidRPr="003B79A5" w:rsidRDefault="000A5D79" w:rsidP="00115B95">
      <w:pPr>
        <w:pStyle w:val="FootnoteText"/>
      </w:pPr>
      <w:r>
        <w:rPr>
          <w:rStyle w:val="FootnoteReference"/>
        </w:rPr>
        <w:footnoteRef/>
      </w:r>
      <w:r w:rsidRPr="003B79A5">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 ELI: http://data.europa.eu/eli/reg/2010/1093/oj).</w:t>
      </w:r>
    </w:p>
  </w:footnote>
  <w:footnote w:id="11">
    <w:p w:rsidR="004076A2" w:rsidRPr="003B79A5" w:rsidRDefault="004076A2" w:rsidP="009A75BF">
      <w:pPr>
        <w:pStyle w:val="FootnoteText"/>
      </w:pPr>
      <w:r>
        <w:rPr>
          <w:rStyle w:val="FootnoteReference"/>
        </w:rPr>
        <w:footnoteRef/>
      </w:r>
      <w:r w:rsidRPr="003B79A5">
        <w:tab/>
        <w:t>Kommissionens delegerede forordning (EU) nr. 1222/2014 af 8. oktober 2014 om supplerende regler til Europa-Parlamentets og Rådets direktiv 2013/36/EU for så vidt angår reguleringsmæssige tekniske standarder vedrørende den metode, der skal anvendes til identifikation af globale systemisk vigtige institutter og til fastlæggelse af underkategorier af globale systemisk vigtige institutter (EUT L 330 af 15.11.2014, s. 27, ELI: http://data.europa.eu/eli/reg_del/2014/1222/oj).</w:t>
      </w:r>
    </w:p>
  </w:footnote>
  <w:footnote w:id="12">
    <w:p w:rsidR="000A5D79" w:rsidRPr="003B79A5" w:rsidRDefault="000A5D79" w:rsidP="000A5D79">
      <w:pPr>
        <w:pStyle w:val="FootnoteText"/>
      </w:pPr>
      <w:r>
        <w:rPr>
          <w:rStyle w:val="FootnoteReference"/>
        </w:rPr>
        <w:footnoteRef/>
      </w:r>
      <w:r w:rsidRPr="003B79A5">
        <w:tab/>
        <w:t>Kommissionens gennemførelsesforordning (EU) 2022/2453 af 30. november 2022 om ændring af de gennemførelsesmæssige tekniske standarder i gennemførelsesforordning (EU) 2021/637 for så vidt angår offentliggørelse af miljømæssige, sociale og ledelsesmæssige risici (EUT L 324 af 19.12.2022, s. 1, ELI: </w:t>
      </w:r>
      <w:hyperlink r:id="rId4" w:tooltip="Giver adgang til dokumentet via dets ELI URI." w:history="1">
        <w:r w:rsidRPr="003B79A5">
          <w:t>http://data.europa.eu/eli/reg_impl/2022/2453/oj</w:t>
        </w:r>
      </w:hyperlink>
      <w:r w:rsidRPr="003B79A5">
        <w:t>).</w:t>
      </w:r>
    </w:p>
  </w:footnote>
  <w:footnote w:id="13">
    <w:p w:rsidR="000A5D79" w:rsidRPr="003B79A5" w:rsidRDefault="000A5D79" w:rsidP="00115B95">
      <w:pPr>
        <w:pStyle w:val="FootnoteText"/>
      </w:pPr>
      <w:r>
        <w:rPr>
          <w:rStyle w:val="FootnoteReference"/>
        </w:rPr>
        <w:footnoteRef/>
      </w:r>
      <w:r w:rsidRPr="003B79A5">
        <w:tab/>
        <w:t>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 ELI: http://data.europa.eu/eli/reg_impl/2021/451/oj).</w:t>
      </w:r>
    </w:p>
  </w:footnote>
  <w:footnote w:id="14">
    <w:p w:rsidR="000A5D79" w:rsidRPr="003B79A5" w:rsidRDefault="000A5D79" w:rsidP="009A75BF">
      <w:pPr>
        <w:pStyle w:val="FootnoteText"/>
      </w:pPr>
      <w:r>
        <w:rPr>
          <w:rStyle w:val="FootnoteReference"/>
        </w:rPr>
        <w:footnoteRef/>
      </w:r>
      <w:r w:rsidRPr="003B79A5">
        <w:tab/>
        <w:t>Kommissionens delegerede forordning (EU) 2021/2178 af 6. juli 2021 om supplerende regler til Europa-Parlamentets og Rådets forordning (EU) 2020/852, som præciserer indholdet og fremlæggelsen af de oplysninger, der skal offentliggøres af virksomheder, som er omfattet af artikel 19a eller 29a i direktiv 2013/34/EU, vedrørende miljømæssigt bæredygtige økonomiske aktiviteter, og som præciserer metodologien til sikring af overholdelse af denne oplysningsforpligtelse (EUT L 443 af 10.12.2021, s.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Default="00186F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FD6" w:rsidRDefault="00186F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 w:numId="33">
    <w:abstractNumId w:val="19"/>
  </w:num>
  <w:num w:numId="34">
    <w:abstractNumId w:val="12"/>
  </w:num>
  <w:num w:numId="35">
    <w:abstractNumId w:val="21"/>
  </w:num>
  <w:num w:numId="36">
    <w:abstractNumId w:val="11"/>
  </w:num>
  <w:num w:numId="37">
    <w:abstractNumId w:val="13"/>
  </w:num>
  <w:num w:numId="38">
    <w:abstractNumId w:val="14"/>
  </w:num>
  <w:num w:numId="39">
    <w:abstractNumId w:val="9"/>
  </w:num>
  <w:num w:numId="40">
    <w:abstractNumId w:val="20"/>
  </w:num>
  <w:num w:numId="41">
    <w:abstractNumId w:val="8"/>
  </w:num>
  <w:num w:numId="42">
    <w:abstractNumId w:val="15"/>
  </w:num>
  <w:num w:numId="43">
    <w:abstractNumId w:val="17"/>
  </w:num>
  <w:num w:numId="44">
    <w:abstractNumId w:val="18"/>
  </w:num>
  <w:num w:numId="45">
    <w:abstractNumId w:val="10"/>
  </w:num>
  <w:num w:numId="46">
    <w:abstractNumId w:val="16"/>
  </w:num>
  <w:num w:numId="4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0886666-5BA1-4693-A6D1-02E1C77F2FE5"/>
    <w:docVar w:name="LW_COVERPAGE_TYPE" w:val="1"/>
    <w:docVar w:name="LW_CROSSREFERENCE" w:val="&lt;UNUSED&gt;"/>
    <w:docVar w:name="LW_DATE.ADOPT.CP" w:val="af 29.11.2024"/>
    <w:docVar w:name="LW_DATE.ADOPT.CP_DATEFORMAT" w:val="af %DATE%"/>
    <w:docVar w:name="LW_DATE.ADOPT.CP_ISODATE" w:val="2024-11-29"/>
    <w:docVar w:name="LW_DocType" w:val="COM"/>
    <w:docVar w:name="LW_EMISSION" w:val="29.11.2024"/>
    <w:docVar w:name="LW_EMISSION_ISODATE" w:val="2024-11-29"/>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gennemførelsesmæssige tekniske standarder vedrørende anvendelsen af Europa-Parlamentets og Rådets forordning (EU) nr. 575/2013 for så vidt angår institutters offentliggørelse af de oplysninger, der er omhandlet i ottende del, afsnit II og III, i nævnte forordning, og om ophævelse af Kommissionens gennemførelsesforordning (EU) 2021/637"/>
    <w:docVar w:name="LW_TYPE.DOC.CP" w:val="KOMMISSIONENS GENNEMFØRELSESFORORDNING (EU) \u8230?/\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86FD6"/>
    <w:rsid w:val="0019475E"/>
    <w:rsid w:val="00194D53"/>
    <w:rsid w:val="0019512F"/>
    <w:rsid w:val="001965F3"/>
    <w:rsid w:val="001A170B"/>
    <w:rsid w:val="001A20D4"/>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330"/>
    <w:rsid w:val="00257B58"/>
    <w:rsid w:val="00266749"/>
    <w:rsid w:val="00267194"/>
    <w:rsid w:val="0027576C"/>
    <w:rsid w:val="002775F7"/>
    <w:rsid w:val="0028163C"/>
    <w:rsid w:val="00281B06"/>
    <w:rsid w:val="00282C75"/>
    <w:rsid w:val="0028395D"/>
    <w:rsid w:val="0028636F"/>
    <w:rsid w:val="00287065"/>
    <w:rsid w:val="0029127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04D9"/>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B79A5"/>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0BCF"/>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6C4"/>
    <w:rsid w:val="0046681F"/>
    <w:rsid w:val="00467400"/>
    <w:rsid w:val="00471145"/>
    <w:rsid w:val="004714B8"/>
    <w:rsid w:val="00476361"/>
    <w:rsid w:val="00477271"/>
    <w:rsid w:val="0048025B"/>
    <w:rsid w:val="00481D84"/>
    <w:rsid w:val="00492396"/>
    <w:rsid w:val="004953EC"/>
    <w:rsid w:val="004A563B"/>
    <w:rsid w:val="004A7F47"/>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E2E0F"/>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66DD8"/>
    <w:rsid w:val="00570745"/>
    <w:rsid w:val="00570F4D"/>
    <w:rsid w:val="005769A7"/>
    <w:rsid w:val="005803F8"/>
    <w:rsid w:val="00582810"/>
    <w:rsid w:val="005833F6"/>
    <w:rsid w:val="00583A6D"/>
    <w:rsid w:val="00586EB6"/>
    <w:rsid w:val="00594988"/>
    <w:rsid w:val="0059501E"/>
    <w:rsid w:val="00595540"/>
    <w:rsid w:val="00596995"/>
    <w:rsid w:val="00597BBD"/>
    <w:rsid w:val="005A0557"/>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25C93"/>
    <w:rsid w:val="00630666"/>
    <w:rsid w:val="00636098"/>
    <w:rsid w:val="00637F70"/>
    <w:rsid w:val="00640DDD"/>
    <w:rsid w:val="00641099"/>
    <w:rsid w:val="00644792"/>
    <w:rsid w:val="00644BCC"/>
    <w:rsid w:val="00645AFA"/>
    <w:rsid w:val="00646717"/>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008A"/>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D5EBB"/>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34DDD"/>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1D48"/>
    <w:rsid w:val="008A2837"/>
    <w:rsid w:val="008A3187"/>
    <w:rsid w:val="008A3E28"/>
    <w:rsid w:val="008A659D"/>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5B4B"/>
    <w:rsid w:val="00917A49"/>
    <w:rsid w:val="0092250D"/>
    <w:rsid w:val="009230BF"/>
    <w:rsid w:val="00930C76"/>
    <w:rsid w:val="009328EE"/>
    <w:rsid w:val="00940731"/>
    <w:rsid w:val="00940879"/>
    <w:rsid w:val="00940DBC"/>
    <w:rsid w:val="0094242F"/>
    <w:rsid w:val="00945861"/>
    <w:rsid w:val="00946EF2"/>
    <w:rsid w:val="009523E9"/>
    <w:rsid w:val="009668EF"/>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4257"/>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072D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4FC6"/>
    <w:rsid w:val="00C35DB7"/>
    <w:rsid w:val="00C3731F"/>
    <w:rsid w:val="00C50A20"/>
    <w:rsid w:val="00C54B03"/>
    <w:rsid w:val="00C56C89"/>
    <w:rsid w:val="00C61156"/>
    <w:rsid w:val="00C6315E"/>
    <w:rsid w:val="00C63883"/>
    <w:rsid w:val="00C657EC"/>
    <w:rsid w:val="00C71FAA"/>
    <w:rsid w:val="00C74573"/>
    <w:rsid w:val="00C75B7D"/>
    <w:rsid w:val="00C7709B"/>
    <w:rsid w:val="00C7752D"/>
    <w:rsid w:val="00C77C23"/>
    <w:rsid w:val="00C83D6E"/>
    <w:rsid w:val="00C901AD"/>
    <w:rsid w:val="00C93F85"/>
    <w:rsid w:val="00C953DC"/>
    <w:rsid w:val="00C956E2"/>
    <w:rsid w:val="00C96ECC"/>
    <w:rsid w:val="00C97B13"/>
    <w:rsid w:val="00CA0135"/>
    <w:rsid w:val="00CA0E78"/>
    <w:rsid w:val="00CA4079"/>
    <w:rsid w:val="00CC1FB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25A"/>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22E3"/>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1D06"/>
    <w:rsid w:val="00FB3164"/>
    <w:rsid w:val="00FB4ACB"/>
    <w:rsid w:val="00FC2396"/>
    <w:rsid w:val="00FC5493"/>
    <w:rsid w:val="00FC64BE"/>
    <w:rsid w:val="00FD3B3A"/>
    <w:rsid w:val="00FD6C5F"/>
    <w:rsid w:val="00FE1B09"/>
    <w:rsid w:val="00FE605D"/>
    <w:rsid w:val="00FE6936"/>
    <w:rsid w:val="00FF0FCE"/>
    <w:rsid w:val="00FF425F"/>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4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4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4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4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da-DK"/>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a-DK"/>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da-DK"/>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186FD6"/>
    <w:rPr>
      <w:rFonts w:ascii="Times New Roman" w:hAnsi="Times New Roman" w:cs="Times New Roman"/>
      <w:sz w:val="24"/>
      <w:lang w:val="da-DK"/>
    </w:rPr>
  </w:style>
  <w:style w:type="character" w:customStyle="1" w:styleId="FooterChar">
    <w:name w:val="Footer Char"/>
    <w:basedOn w:val="DefaultParagraphFont"/>
    <w:link w:val="Footer"/>
    <w:uiPriority w:val="99"/>
    <w:rsid w:val="00186FD6"/>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86FD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86FD6"/>
    <w:pPr>
      <w:spacing w:before="0"/>
      <w:jc w:val="right"/>
    </w:pPr>
    <w:rPr>
      <w:sz w:val="28"/>
    </w:rPr>
  </w:style>
  <w:style w:type="paragraph" w:customStyle="1" w:styleId="FooterSensitivity">
    <w:name w:val="Footer Sensitivity"/>
    <w:basedOn w:val="Normal"/>
    <w:rsid w:val="00186FD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3"/>
      </w:numPr>
    </w:pPr>
  </w:style>
  <w:style w:type="paragraph" w:customStyle="1" w:styleId="Tiret1">
    <w:name w:val="Tiret 1"/>
    <w:basedOn w:val="Point1"/>
    <w:pPr>
      <w:numPr>
        <w:numId w:val="34"/>
      </w:numPr>
    </w:pPr>
  </w:style>
  <w:style w:type="paragraph" w:customStyle="1" w:styleId="Tiret2">
    <w:name w:val="Tiret 2"/>
    <w:basedOn w:val="Point2"/>
    <w:pPr>
      <w:numPr>
        <w:numId w:val="35"/>
      </w:numPr>
    </w:pPr>
  </w:style>
  <w:style w:type="paragraph" w:customStyle="1" w:styleId="Tiret3">
    <w:name w:val="Tiret 3"/>
    <w:basedOn w:val="Point3"/>
    <w:pPr>
      <w:numPr>
        <w:numId w:val="36"/>
      </w:numPr>
    </w:pPr>
  </w:style>
  <w:style w:type="paragraph" w:customStyle="1" w:styleId="Tiret4">
    <w:name w:val="Tiret 4"/>
    <w:basedOn w:val="Point4"/>
    <w:pPr>
      <w:numPr>
        <w:numId w:val="37"/>
      </w:numPr>
    </w:pPr>
  </w:style>
  <w:style w:type="paragraph" w:customStyle="1" w:styleId="Tiret5">
    <w:name w:val="Tiret 5"/>
    <w:basedOn w:val="Point5"/>
    <w:pPr>
      <w:numPr>
        <w:numId w:val="3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9"/>
      </w:numPr>
    </w:pPr>
  </w:style>
  <w:style w:type="paragraph" w:customStyle="1" w:styleId="NumPar2">
    <w:name w:val="NumPar 2"/>
    <w:basedOn w:val="Normal"/>
    <w:next w:val="Text1"/>
    <w:pPr>
      <w:numPr>
        <w:ilvl w:val="1"/>
        <w:numId w:val="39"/>
      </w:numPr>
    </w:pPr>
  </w:style>
  <w:style w:type="paragraph" w:customStyle="1" w:styleId="NumPar3">
    <w:name w:val="NumPar 3"/>
    <w:basedOn w:val="Normal"/>
    <w:next w:val="Text1"/>
    <w:pPr>
      <w:numPr>
        <w:ilvl w:val="2"/>
        <w:numId w:val="39"/>
      </w:numPr>
    </w:pPr>
  </w:style>
  <w:style w:type="paragraph" w:customStyle="1" w:styleId="NumPar4">
    <w:name w:val="NumPar 4"/>
    <w:basedOn w:val="Normal"/>
    <w:next w:val="Text1"/>
    <w:pPr>
      <w:numPr>
        <w:ilvl w:val="3"/>
        <w:numId w:val="39"/>
      </w:numPr>
    </w:pPr>
  </w:style>
  <w:style w:type="paragraph" w:customStyle="1" w:styleId="NumPar5">
    <w:name w:val="NumPar 5"/>
    <w:basedOn w:val="Normal"/>
    <w:next w:val="Text2"/>
    <w:pPr>
      <w:numPr>
        <w:ilvl w:val="4"/>
        <w:numId w:val="39"/>
      </w:numPr>
    </w:pPr>
  </w:style>
  <w:style w:type="paragraph" w:customStyle="1" w:styleId="NumPar6">
    <w:name w:val="NumPar 6"/>
    <w:basedOn w:val="Normal"/>
    <w:next w:val="Text2"/>
    <w:pPr>
      <w:numPr>
        <w:ilvl w:val="5"/>
        <w:numId w:val="39"/>
      </w:numPr>
    </w:pPr>
  </w:style>
  <w:style w:type="paragraph" w:customStyle="1" w:styleId="NumPar7">
    <w:name w:val="NumPar 7"/>
    <w:basedOn w:val="Normal"/>
    <w:next w:val="Text2"/>
    <w:pPr>
      <w:numPr>
        <w:ilvl w:val="6"/>
        <w:numId w:val="3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1"/>
      </w:numPr>
    </w:pPr>
  </w:style>
  <w:style w:type="paragraph" w:customStyle="1" w:styleId="Point1number">
    <w:name w:val="Point 1 (number)"/>
    <w:basedOn w:val="Normal"/>
    <w:pPr>
      <w:numPr>
        <w:ilvl w:val="2"/>
        <w:numId w:val="41"/>
      </w:numPr>
    </w:pPr>
  </w:style>
  <w:style w:type="paragraph" w:customStyle="1" w:styleId="Point2number">
    <w:name w:val="Point 2 (number)"/>
    <w:basedOn w:val="Normal"/>
    <w:pPr>
      <w:numPr>
        <w:ilvl w:val="4"/>
        <w:numId w:val="41"/>
      </w:numPr>
    </w:pPr>
  </w:style>
  <w:style w:type="paragraph" w:customStyle="1" w:styleId="Point3number">
    <w:name w:val="Point 3 (number)"/>
    <w:basedOn w:val="Normal"/>
    <w:pPr>
      <w:numPr>
        <w:ilvl w:val="6"/>
        <w:numId w:val="41"/>
      </w:numPr>
    </w:pPr>
  </w:style>
  <w:style w:type="paragraph" w:customStyle="1" w:styleId="Point0letter">
    <w:name w:val="Point 0 (letter)"/>
    <w:basedOn w:val="Normal"/>
    <w:pPr>
      <w:numPr>
        <w:ilvl w:val="1"/>
        <w:numId w:val="41"/>
      </w:numPr>
    </w:pPr>
  </w:style>
  <w:style w:type="paragraph" w:customStyle="1" w:styleId="Point1letter">
    <w:name w:val="Point 1 (letter)"/>
    <w:basedOn w:val="Normal"/>
    <w:pPr>
      <w:numPr>
        <w:ilvl w:val="3"/>
        <w:numId w:val="41"/>
      </w:numPr>
    </w:pPr>
  </w:style>
  <w:style w:type="paragraph" w:customStyle="1" w:styleId="Point2letter">
    <w:name w:val="Point 2 (letter)"/>
    <w:basedOn w:val="Normal"/>
    <w:pPr>
      <w:numPr>
        <w:ilvl w:val="5"/>
        <w:numId w:val="41"/>
      </w:numPr>
    </w:pPr>
  </w:style>
  <w:style w:type="paragraph" w:customStyle="1" w:styleId="Point3letter">
    <w:name w:val="Point 3 (letter)"/>
    <w:basedOn w:val="Normal"/>
    <w:pPr>
      <w:numPr>
        <w:ilvl w:val="7"/>
        <w:numId w:val="41"/>
      </w:numPr>
    </w:pPr>
  </w:style>
  <w:style w:type="paragraph" w:customStyle="1" w:styleId="Point4letter">
    <w:name w:val="Point 4 (letter)"/>
    <w:basedOn w:val="Normal"/>
    <w:pPr>
      <w:numPr>
        <w:ilvl w:val="8"/>
        <w:numId w:val="41"/>
      </w:numPr>
    </w:pPr>
  </w:style>
  <w:style w:type="paragraph" w:customStyle="1" w:styleId="Bullet0">
    <w:name w:val="Bullet 0"/>
    <w:basedOn w:val="Normal"/>
    <w:pPr>
      <w:numPr>
        <w:numId w:val="42"/>
      </w:numPr>
    </w:pPr>
  </w:style>
  <w:style w:type="paragraph" w:customStyle="1" w:styleId="Bullet1">
    <w:name w:val="Bullet 1"/>
    <w:basedOn w:val="Normal"/>
    <w:pPr>
      <w:numPr>
        <w:numId w:val="43"/>
      </w:numPr>
    </w:pPr>
  </w:style>
  <w:style w:type="paragraph" w:customStyle="1" w:styleId="Bullet2">
    <w:name w:val="Bullet 2"/>
    <w:basedOn w:val="Normal"/>
    <w:pPr>
      <w:numPr>
        <w:numId w:val="44"/>
      </w:numPr>
    </w:pPr>
  </w:style>
  <w:style w:type="paragraph" w:customStyle="1" w:styleId="Bullet3">
    <w:name w:val="Bullet 3"/>
    <w:basedOn w:val="Normal"/>
    <w:pPr>
      <w:numPr>
        <w:numId w:val="45"/>
      </w:numPr>
    </w:pPr>
  </w:style>
  <w:style w:type="paragraph" w:customStyle="1" w:styleId="Bullet4">
    <w:name w:val="Bullet 4"/>
    <w:basedOn w:val="Normal"/>
    <w:pPr>
      <w:numPr>
        <w:numId w:val="4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86FD6"/>
    <w:pPr>
      <w:tabs>
        <w:tab w:val="center" w:pos="4535"/>
        <w:tab w:val="right" w:pos="9071"/>
      </w:tabs>
      <w:spacing w:before="0"/>
    </w:pPr>
  </w:style>
  <w:style w:type="paragraph" w:customStyle="1" w:styleId="HeaderLandscape">
    <w:name w:val="HeaderLandscape"/>
    <w:basedOn w:val="Normal"/>
    <w:rsid w:val="00186FD6"/>
    <w:pPr>
      <w:tabs>
        <w:tab w:val="center" w:pos="7285"/>
        <w:tab w:val="right" w:pos="14003"/>
      </w:tabs>
      <w:spacing w:before="0"/>
    </w:pPr>
  </w:style>
  <w:style w:type="paragraph" w:styleId="Footer">
    <w:name w:val="footer"/>
    <w:basedOn w:val="Normal"/>
    <w:link w:val="FooterChar"/>
    <w:uiPriority w:val="99"/>
    <w:unhideWhenUsed/>
    <w:rsid w:val="00186FD6"/>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86FD6"/>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5D118-188E-4560-9005-EA6EA3555541}"/>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26A27F67-2607-4A08-AB41-7C6A10D9018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11</TotalTime>
  <Pages>10</Pages>
  <Words>4612</Words>
  <Characters>26292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30843</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49</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