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FI</w:t>
      </w:r>
    </w:p>
    <w:p w14:paraId="60AF4E84" w14:textId="307919B8" w:rsidR="00731809" w:rsidRDefault="001B41DF" w:rsidP="001B41DF">
      <w:pPr>
        <w:jc w:val="center"/>
      </w:pPr>
      <w:r>
        <w:t xml:space="preserve">LIITE II</w:t>
      </w:r>
    </w:p>
    <w:p w14:paraId="3CA35C97" w14:textId="3C491A98" w:rsidR="001B41DF" w:rsidRDefault="001B41DF" w:rsidP="001B41DF">
      <w:pPr>
        <w:jc w:val="center"/>
      </w:pPr>
      <w:r>
        <w:t xml:space="preserve">VASTAAVUUSTAULUKKO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Tämä asetus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Täytäntöönpanoasetus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artikla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artiklan 1, 2, 3 ja 4 kohta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artikla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artikla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artikla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artiklan 1, 2, 3 ja 4 kohta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artikla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artikla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artikla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artikla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artikla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artiklan 1 kohta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 a artiklan 1 kohta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artiklan 2 kohta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 a artiklan 2 kohta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artikla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artiklan 1 kohta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artiklan 1 ja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artiklan 2 kohta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artiklan 3 kohta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artiklan 3 kohta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artiklan 4 kohta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artiklan 4 kohta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artiklan 5 kohta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artiklan 5 kohta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artiklan 6 kohta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artikla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artikla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artikla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artikla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artikla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artikla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 artikla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artikla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 artikla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 artikla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 artikla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 artikla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 artikla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 artikla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 artikla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 artikla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 artikla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 artikla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 a artiklan 1, 2 ja 3 kohta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20 artikla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 artikla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21 artikla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 artikla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22 artikla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 a artikla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 artikla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 artikla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 artikla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 artikla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 artikla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27 artikla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28 artikla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Liite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Liite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Liite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C7414-3CBC-4401-8A07-1097D5DF96B6}"/>
</file>

<file path=customXml/itemProps3.xml><?xml version="1.0" encoding="utf-8"?>
<ds:datastoreItem xmlns:ds="http://schemas.openxmlformats.org/officeDocument/2006/customXml" ds:itemID="{9D870F8B-A6FD-41BB-A940-F9A7CC0B8B9B}"/>
</file>

<file path=customXml/itemProps4.xml><?xml version="1.0" encoding="utf-8"?>
<ds:datastoreItem xmlns:ds="http://schemas.openxmlformats.org/officeDocument/2006/customXml" ds:itemID="{06936BBC-7098-42EB-8EAE-29BAEFE13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