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0B1E4D" w:rsidRDefault="00023194" w:rsidP="00023194">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8700A7F6-EC85-41A8-8278-1FEAB22F0D5B" style="width:455.25pt;height:426pt">
            <v:imagedata r:id="rId11" o:title=""/>
          </v:shape>
        </w:pict>
      </w:r>
    </w:p>
    <w:p w:rsidR="0050796F" w:rsidRPr="000B1E4D" w:rsidRDefault="0050796F">
      <w:pPr>
        <w:rPr>
          <w:noProof/>
        </w:rPr>
        <w:sectPr w:rsidR="0050796F" w:rsidRPr="000B1E4D" w:rsidSect="00023194">
          <w:footerReference w:type="even" r:id="rId12"/>
          <w:footerReference w:type="default" r:id="rId13"/>
          <w:pgSz w:w="11907" w:h="16839"/>
          <w:pgMar w:top="1134" w:right="1417" w:bottom="1134" w:left="1417" w:header="709" w:footer="709" w:gutter="0"/>
          <w:pgNumType w:start="0"/>
          <w:cols w:space="720"/>
          <w:docGrid w:linePitch="360"/>
        </w:sectPr>
      </w:pPr>
    </w:p>
    <w:p w:rsidR="0050796F" w:rsidRPr="000B1E4D" w:rsidRDefault="000B1E4D" w:rsidP="000B1E4D">
      <w:pPr>
        <w:pStyle w:val="Typedudocument"/>
        <w:rPr>
          <w:noProof/>
        </w:rPr>
      </w:pPr>
      <w:bookmarkStart w:id="0" w:name="_GoBack"/>
      <w:bookmarkEnd w:id="0"/>
      <w:r w:rsidRPr="000B1E4D">
        <w:rPr>
          <w:noProof/>
        </w:rPr>
        <w:lastRenderedPageBreak/>
        <w:t>KOMMISSIONENS GENOMFÖRANDEFÖRORDNING (EU) …/…</w:t>
      </w:r>
    </w:p>
    <w:p w:rsidR="0050796F" w:rsidRPr="000B1E4D" w:rsidRDefault="00430534" w:rsidP="000B1E4D">
      <w:pPr>
        <w:pStyle w:val="Datedadoption"/>
        <w:rPr>
          <w:noProof/>
        </w:rPr>
      </w:pPr>
      <w:r>
        <w:rPr>
          <w:noProof/>
        </w:rPr>
        <w:t>av den 29.11.2024</w:t>
      </w:r>
    </w:p>
    <w:p w:rsidR="0050796F" w:rsidRPr="000B1E4D" w:rsidRDefault="000B1E4D" w:rsidP="000B1E4D">
      <w:pPr>
        <w:pStyle w:val="Titreobjet"/>
        <w:rPr>
          <w:noProof/>
        </w:rPr>
      </w:pPr>
      <w:r w:rsidRPr="000B1E4D">
        <w:rPr>
          <w:noProof/>
        </w:rPr>
        <w:t>om fastställande av tekniska genomförandestandarder för tillämpningen av Europaparlamentets och rådets förordning (EU) nr 575/2013 vad gäller instituts offentliggörande av den information som avses i del åtta avdelningarna II och III i den förordningen och om upphävande av kommissionens genomförandeförordning (EU) 2021/637</w:t>
      </w:r>
    </w:p>
    <w:p w:rsidR="0050796F" w:rsidRPr="000B1E4D" w:rsidRDefault="000B1E4D" w:rsidP="000B1E4D">
      <w:pPr>
        <w:pStyle w:val="IntrtEEE"/>
        <w:rPr>
          <w:noProof/>
        </w:rPr>
      </w:pPr>
      <w:r w:rsidRPr="000B1E4D">
        <w:rPr>
          <w:noProof/>
        </w:rPr>
        <w:t>(Text av betydelse för EES)</w:t>
      </w:r>
    </w:p>
    <w:p w:rsidR="0050796F" w:rsidRPr="000B1E4D" w:rsidRDefault="0050796F">
      <w:pPr>
        <w:pStyle w:val="Institutionquiagit"/>
        <w:rPr>
          <w:noProof/>
        </w:rPr>
      </w:pPr>
      <w:r w:rsidRPr="000B1E4D">
        <w:rPr>
          <w:noProof/>
        </w:rPr>
        <w:t>EUROPEISKA KOMMISSIONEN HAR ANTAGIT DENNA FÖRORDNING</w:t>
      </w:r>
    </w:p>
    <w:p w:rsidR="0050796F" w:rsidRPr="000B1E4D" w:rsidRDefault="0050796F">
      <w:pPr>
        <w:rPr>
          <w:noProof/>
        </w:rPr>
      </w:pPr>
      <w:r w:rsidRPr="000B1E4D">
        <w:rPr>
          <w:noProof/>
        </w:rPr>
        <w:t>med beaktande av fördraget om Europeiska unionens funktionssätt,</w:t>
      </w:r>
    </w:p>
    <w:p w:rsidR="000A5D79" w:rsidRPr="000B1E4D" w:rsidRDefault="000A5D79" w:rsidP="000A5D79">
      <w:pPr>
        <w:rPr>
          <w:noProof/>
        </w:rPr>
      </w:pPr>
      <w:r w:rsidRPr="000B1E4D">
        <w:rPr>
          <w:noProof/>
        </w:rPr>
        <w:t>med beaktande av Europaparlamentets och rådets förordning (EU) nr 575/2013 av den 26 juni 2013 om tillsynskrav för kreditinstitut och om ändring av förordning (EU) nr 648/2012</w:t>
      </w:r>
      <w:r w:rsidRPr="000B1E4D">
        <w:rPr>
          <w:rStyle w:val="FootnoteReference"/>
          <w:noProof/>
        </w:rPr>
        <w:footnoteReference w:id="2"/>
      </w:r>
      <w:r w:rsidRPr="000B1E4D">
        <w:rPr>
          <w:noProof/>
        </w:rPr>
        <w:t>, särskilt artikel 434a femte stycket, och</w:t>
      </w:r>
    </w:p>
    <w:p w:rsidR="0050796F" w:rsidRPr="000B1E4D" w:rsidRDefault="0050796F">
      <w:pPr>
        <w:rPr>
          <w:noProof/>
        </w:rPr>
      </w:pPr>
      <w:r w:rsidRPr="000B1E4D">
        <w:rPr>
          <w:noProof/>
        </w:rPr>
        <w:t>av följande skäl:</w:t>
      </w:r>
    </w:p>
    <w:p w:rsidR="00021AB3" w:rsidRPr="000B1E4D" w:rsidRDefault="00924030" w:rsidP="00924030">
      <w:pPr>
        <w:pStyle w:val="ManualConsidrant"/>
        <w:rPr>
          <w:noProof/>
        </w:rPr>
      </w:pPr>
      <w:r w:rsidRPr="00924030">
        <w:rPr>
          <w:noProof/>
        </w:rPr>
        <w:t>(1)</w:t>
      </w:r>
      <w:r w:rsidRPr="00924030">
        <w:rPr>
          <w:noProof/>
        </w:rPr>
        <w:tab/>
      </w:r>
      <w:r w:rsidR="00021AB3" w:rsidRPr="000B1E4D">
        <w:rPr>
          <w:noProof/>
        </w:rPr>
        <w:t>I kommissionens genomförandeförordning (EU) 2021/637</w:t>
      </w:r>
      <w:r w:rsidR="00021AB3" w:rsidRPr="000B1E4D">
        <w:rPr>
          <w:rStyle w:val="FootnoteReference"/>
          <w:noProof/>
        </w:rPr>
        <w:footnoteReference w:id="3"/>
      </w:r>
      <w:r w:rsidR="00021AB3" w:rsidRPr="000B1E4D">
        <w:rPr>
          <w:noProof/>
        </w:rPr>
        <w:t xml:space="preserve"> fastställs enhetliga format för offentliggörande för att säkerställa en enhetlig tillämpning av förordning (EU) nr 575/2013. Genom Europaparlamentets och rådets förordning (EU) 2024/1623</w:t>
      </w:r>
      <w:r w:rsidR="00021AB3" w:rsidRPr="000B1E4D">
        <w:rPr>
          <w:rStyle w:val="FootnoteReference"/>
          <w:noProof/>
        </w:rPr>
        <w:footnoteReference w:id="4"/>
      </w:r>
      <w:r w:rsidR="00021AB3" w:rsidRPr="000B1E4D">
        <w:rPr>
          <w:noProof/>
        </w:rPr>
        <w:t xml:space="preserve"> ändrades förordning (EU) nr 575/2013 och de internationella standarderna i tredje internationella uppsättningen regler för banker som antagits av Baselkommittén för banktillsyn (</w:t>
      </w:r>
      <w:r w:rsidR="00021AB3" w:rsidRPr="000B1E4D">
        <w:rPr>
          <w:i/>
          <w:noProof/>
        </w:rPr>
        <w:t>Basel III</w:t>
      </w:r>
      <w:r w:rsidR="00021AB3" w:rsidRPr="000B1E4D">
        <w:rPr>
          <w:noProof/>
        </w:rPr>
        <w:t xml:space="preserve">) införlivades där. Dessa internationella standarder innehåller tillsynsstandarder för offentliggörande för att förbättra transparensen och enhetligheten när det gäller tillsynskrav för kreditinstitut. Det är därför nödvändigt att ändra reglerna om enhetliga format för offentliggörande för att återspegla dessa ändringar i bestämmelserna avseende skyldigheten att offentliggöra information. </w:t>
      </w:r>
    </w:p>
    <w:p w:rsidR="000B02C7" w:rsidRPr="000B1E4D" w:rsidRDefault="00924030" w:rsidP="00924030">
      <w:pPr>
        <w:pStyle w:val="ManualConsidrant"/>
        <w:rPr>
          <w:noProof/>
        </w:rPr>
      </w:pPr>
      <w:r w:rsidRPr="00924030">
        <w:rPr>
          <w:noProof/>
        </w:rPr>
        <w:t>(2)</w:t>
      </w:r>
      <w:r w:rsidRPr="00924030">
        <w:rPr>
          <w:noProof/>
        </w:rPr>
        <w:tab/>
      </w:r>
      <w:r w:rsidR="00374932" w:rsidRPr="000B1E4D">
        <w:rPr>
          <w:noProof/>
        </w:rPr>
        <w:t xml:space="preserve">De nyckeltal som instituten enligt lag måste offentliggöra bör inbegripa deras tillgängliga kapital, riskvägda tillgångar, bruttosoliditet samt de mest relevanta likviditetsmåtten. </w:t>
      </w:r>
    </w:p>
    <w:p w:rsidR="009D26D8" w:rsidRPr="000B1E4D" w:rsidRDefault="00924030" w:rsidP="00924030">
      <w:pPr>
        <w:pStyle w:val="ManualConsidrant"/>
        <w:rPr>
          <w:noProof/>
        </w:rPr>
      </w:pPr>
      <w:r w:rsidRPr="00924030">
        <w:rPr>
          <w:noProof/>
        </w:rPr>
        <w:t>(3)</w:t>
      </w:r>
      <w:r w:rsidRPr="00924030">
        <w:rPr>
          <w:noProof/>
        </w:rPr>
        <w:tab/>
      </w:r>
      <w:r w:rsidR="0021307C" w:rsidRPr="000B1E4D">
        <w:rPr>
          <w:noProof/>
        </w:rPr>
        <w:t xml:space="preserve">För att kunna absorbera förluster under pågående verksamhet eller vid en avveckling behöver instituten kapitalbas i tillräcklig mängd och av tillräcklig kvalitet, i enlighet med artikel 92 i förordning (EU) nr 575/2013. Instituten bör offentliggöra information om kapitalbasens sammansättning, storlek och kvalitet, så att berörda parter kan bedöma bankernas förlusttäckningskapacitet. </w:t>
      </w:r>
    </w:p>
    <w:p w:rsidR="008E4ACA" w:rsidRPr="000B1E4D" w:rsidRDefault="00924030" w:rsidP="00924030">
      <w:pPr>
        <w:pStyle w:val="ManualConsidrant"/>
        <w:rPr>
          <w:noProof/>
        </w:rPr>
      </w:pPr>
      <w:r w:rsidRPr="00924030">
        <w:rPr>
          <w:noProof/>
        </w:rPr>
        <w:t>(4)</w:t>
      </w:r>
      <w:r w:rsidRPr="00924030">
        <w:rPr>
          <w:noProof/>
        </w:rPr>
        <w:tab/>
      </w:r>
      <w:r w:rsidR="001C319D" w:rsidRPr="000B1E4D">
        <w:rPr>
          <w:noProof/>
        </w:rPr>
        <w:t>Offentliggörandet av efterlevnaden av kravet på en kontracyklisk kapitalbuffert bör återspegla det faktum att den kontracykliska kapitalbuffert som avses i avdelning VII kapitel 4 i Europaparlamentets och rådets direktiv 2013/36/EU</w:t>
      </w:r>
      <w:r w:rsidR="008B3F27" w:rsidRPr="000B1E4D">
        <w:rPr>
          <w:rStyle w:val="FootnoteReference"/>
          <w:noProof/>
          <w:color w:val="000000"/>
        </w:rPr>
        <w:footnoteReference w:id="5"/>
      </w:r>
      <w:r w:rsidR="001C319D" w:rsidRPr="000B1E4D">
        <w:rPr>
          <w:noProof/>
        </w:rPr>
        <w:t xml:space="preserve"> syftar till att säkerställa att kapitalkraven inom banksektorn tar hänsyn till den makroekonomiska miljö där kreditinstitut är verksamma. </w:t>
      </w:r>
    </w:p>
    <w:p w:rsidR="005246AE" w:rsidRPr="000B1E4D" w:rsidRDefault="00924030" w:rsidP="00924030">
      <w:pPr>
        <w:pStyle w:val="ManualConsidrant"/>
        <w:rPr>
          <w:noProof/>
        </w:rPr>
      </w:pPr>
      <w:r w:rsidRPr="00924030">
        <w:rPr>
          <w:noProof/>
        </w:rPr>
        <w:t>(5)</w:t>
      </w:r>
      <w:r w:rsidRPr="00924030">
        <w:rPr>
          <w:noProof/>
        </w:rPr>
        <w:tab/>
      </w:r>
      <w:r w:rsidR="00230BAF" w:rsidRPr="000B1E4D">
        <w:rPr>
          <w:noProof/>
        </w:rPr>
        <w:t>Det är mycket viktigt att marknaden har tillgång till information om huruvida ett institut bör klassificeras som ett globalt systemviktigt institut.</w:t>
      </w:r>
      <w:r w:rsidR="00230BAF" w:rsidRPr="000B1E4D">
        <w:rPr>
          <w:noProof/>
          <w:color w:val="000000"/>
          <w:shd w:val="clear" w:color="auto" w:fill="FFFFFF"/>
        </w:rPr>
        <w:t xml:space="preserve"> Därför bör instituten offentliggöra information om huruvida de indikatorer på betydelse som avses i artikel 131 i direktiv 2013/36/EU är uppfyllda eller inte. </w:t>
      </w:r>
    </w:p>
    <w:p w:rsidR="00AD2682" w:rsidRPr="000B1E4D" w:rsidRDefault="00924030" w:rsidP="00924030">
      <w:pPr>
        <w:pStyle w:val="ManualConsidrant"/>
        <w:rPr>
          <w:noProof/>
        </w:rPr>
      </w:pPr>
      <w:r w:rsidRPr="00924030">
        <w:rPr>
          <w:noProof/>
        </w:rPr>
        <w:t>(6)</w:t>
      </w:r>
      <w:r w:rsidRPr="00924030">
        <w:rPr>
          <w:noProof/>
        </w:rPr>
        <w:tab/>
      </w:r>
      <w:r w:rsidR="001C319D" w:rsidRPr="000B1E4D">
        <w:rPr>
          <w:noProof/>
        </w:rPr>
        <w:t xml:space="preserve">Enhetliga mallar bör fastställas för att säkerställa att instituten offentliggör information om sin efterlevnad av likviditetskraven, inbegripet likviditetstäckningskvoten och den stabila nettofinansieringskvoten, på ett enhetligt och jämförbart sätt. </w:t>
      </w:r>
    </w:p>
    <w:p w:rsidR="000A5D79" w:rsidRPr="000B1E4D" w:rsidRDefault="00924030" w:rsidP="00924030">
      <w:pPr>
        <w:pStyle w:val="ManualConsidrant"/>
        <w:rPr>
          <w:noProof/>
          <w:szCs w:val="24"/>
        </w:rPr>
      </w:pPr>
      <w:r w:rsidRPr="00924030">
        <w:rPr>
          <w:noProof/>
        </w:rPr>
        <w:t>(7)</w:t>
      </w:r>
      <w:r w:rsidRPr="00924030">
        <w:rPr>
          <w:noProof/>
        </w:rPr>
        <w:tab/>
      </w:r>
      <w:r w:rsidR="00E07BF3" w:rsidRPr="000B1E4D">
        <w:rPr>
          <w:noProof/>
        </w:rPr>
        <w:t>Det är nödvändigt att säkerställa samstämmighet och konsekvens mellan de rapporteringsskyldigheter som fastställs i förordning (EU) nr 575/2013 och annan unionslagstiftning på området ESG-risker, särskilt Europaparlamentets och rådets förordning (EU) 2020/852</w:t>
      </w:r>
      <w:r w:rsidR="008E7046" w:rsidRPr="000B1E4D">
        <w:rPr>
          <w:rStyle w:val="FootnoteReference"/>
          <w:noProof/>
          <w:szCs w:val="24"/>
        </w:rPr>
        <w:footnoteReference w:id="6"/>
      </w:r>
      <w:r w:rsidR="00E07BF3" w:rsidRPr="000B1E4D">
        <w:rPr>
          <w:noProof/>
        </w:rPr>
        <w:t>. Reglerna om offentliggörande av ESG-risker bör därför utformas med beaktande av de kriterier, klassificeringar och definitioner som fastställs i artiklarna 2 och 3 i förordning (EU) 2020/852. I synnerhet bör dessa regler utformas med beaktande av de kriterier för identifiering och klassificering av miljömässigt hållbara ekonomiska verksamheter som fastställs i förordning (EU) 2020/852 och i kommissionens delegerade förordning (EU) 2020/1818</w:t>
      </w:r>
      <w:r w:rsidR="000A5D79" w:rsidRPr="000B1E4D">
        <w:rPr>
          <w:rStyle w:val="FootnoteReference"/>
          <w:noProof/>
          <w:szCs w:val="24"/>
        </w:rPr>
        <w:footnoteReference w:id="7"/>
      </w:r>
      <w:r w:rsidR="00E07BF3" w:rsidRPr="000B1E4D">
        <w:rPr>
          <w:noProof/>
        </w:rPr>
        <w:t>. Av samma skäl bör instituten, när de offentliggör information om energiprestandan för sin fastighetsportfölj, tillhandahålla denna information i form av ett energicertifikat enligt definitionen i artikel 2.12 i Europaparlamentets och rådets direktiv 2010/31/EU</w:t>
      </w:r>
      <w:r w:rsidR="000A5D79" w:rsidRPr="000B1E4D">
        <w:rPr>
          <w:rStyle w:val="FootnoteReference"/>
          <w:noProof/>
          <w:szCs w:val="24"/>
        </w:rPr>
        <w:footnoteReference w:id="8"/>
      </w:r>
      <w:r w:rsidR="00E07BF3" w:rsidRPr="000B1E4D">
        <w:rPr>
          <w:noProof/>
        </w:rPr>
        <w:t xml:space="preserve">. </w:t>
      </w:r>
    </w:p>
    <w:p w:rsidR="000A5D79" w:rsidRPr="000B1E4D" w:rsidRDefault="00924030" w:rsidP="00924030">
      <w:pPr>
        <w:pStyle w:val="ManualConsidrant"/>
        <w:rPr>
          <w:noProof/>
          <w:szCs w:val="24"/>
        </w:rPr>
      </w:pPr>
      <w:r w:rsidRPr="00924030">
        <w:rPr>
          <w:noProof/>
        </w:rPr>
        <w:t>(8)</w:t>
      </w:r>
      <w:r w:rsidRPr="00924030">
        <w:rPr>
          <w:noProof/>
        </w:rPr>
        <w:tab/>
      </w:r>
      <w:r w:rsidR="000A5D79" w:rsidRPr="000B1E4D">
        <w:rPr>
          <w:noProof/>
        </w:rPr>
        <w:t>Enligt artiklarna 19a och 29a i Europaparlamentets och rådets direktiv 2013/34/EU</w:t>
      </w:r>
      <w:r w:rsidR="000A5D79" w:rsidRPr="000B1E4D">
        <w:rPr>
          <w:rStyle w:val="FootnoteReference"/>
          <w:noProof/>
          <w:szCs w:val="24"/>
        </w:rPr>
        <w:footnoteReference w:id="9"/>
      </w:r>
      <w:r w:rsidR="000A5D79" w:rsidRPr="000B1E4D">
        <w:rPr>
          <w:noProof/>
        </w:rPr>
        <w:t xml:space="preserve"> ska vissa stora företag som är företag av allmänt intresse respektive företag av allmänt intresse som är moderföretag i en stor koncern i sin förvaltningsberättelse inkludera upplysningar om konsekvenserna av företagets verksamhet i frågor som rör miljö, sociala förhållanden och personal, respekt för mänskliga rättigheter, bekämpning av korruption och mutor. Denna skyldighet gäller dock inte för andra företag. Till följd av detta är företag som inte omfattas av artiklarna 19a och 29a i direktiv 2013/34/EU inte skyldiga att offentliggöra sådan information och kan eventuellt inte lämna ut sådan information till instituten. Sådana företag som är motparter till instituten kan därför endast förväntas tillhandahålla denna information och dessa uppgifter på frivillig basis. </w:t>
      </w:r>
    </w:p>
    <w:p w:rsidR="003A1487" w:rsidRPr="000B1E4D" w:rsidRDefault="00924030" w:rsidP="00924030">
      <w:pPr>
        <w:pStyle w:val="ManualConsidrant"/>
        <w:rPr>
          <w:noProof/>
          <w:color w:val="000000"/>
          <w:szCs w:val="24"/>
        </w:rPr>
      </w:pPr>
      <w:r w:rsidRPr="00924030">
        <w:rPr>
          <w:noProof/>
        </w:rPr>
        <w:t>(9)</w:t>
      </w:r>
      <w:r w:rsidRPr="00924030">
        <w:rPr>
          <w:noProof/>
        </w:rPr>
        <w:tab/>
      </w:r>
      <w:r w:rsidR="003A1487" w:rsidRPr="000B1E4D">
        <w:rPr>
          <w:rStyle w:val="cf01"/>
          <w:rFonts w:ascii="Times New Roman" w:hAnsi="Times New Roman"/>
          <w:noProof/>
          <w:sz w:val="24"/>
        </w:rPr>
        <w:t>För att genomföra Basel III-standarderna</w:t>
      </w:r>
      <w:r w:rsidR="003A1487" w:rsidRPr="000B1E4D">
        <w:rPr>
          <w:rStyle w:val="cf11"/>
          <w:rFonts w:ascii="Times New Roman" w:hAnsi="Times New Roman"/>
          <w:noProof/>
          <w:sz w:val="24"/>
        </w:rPr>
        <w:t xml:space="preserve"> har, genom förordning (EU) 2024/1623, en lägre gräns införts i artikel 92.3 i förordning (EU) nr 575/2013 för de riskbaserade kapitalkrav som beräknas med hjälp av interna modeller (</w:t>
      </w:r>
      <w:r w:rsidR="003A1487" w:rsidRPr="000B1E4D">
        <w:rPr>
          <w:rStyle w:val="cf11"/>
          <w:rFonts w:ascii="Times New Roman" w:hAnsi="Times New Roman"/>
          <w:i/>
          <w:noProof/>
          <w:sz w:val="24"/>
        </w:rPr>
        <w:t>golv för riskvägda tillgångar</w:t>
      </w:r>
      <w:r w:rsidR="003A1487" w:rsidRPr="000B1E4D">
        <w:rPr>
          <w:rStyle w:val="cf11"/>
          <w:rFonts w:ascii="Times New Roman" w:hAnsi="Times New Roman"/>
          <w:noProof/>
          <w:sz w:val="24"/>
        </w:rPr>
        <w:t>) som motsvarar en procentandel av de kapitalkrav som skulle gälla om schablonmetoder användes. Det är därför lämpligt att se till att ändringarna återspeglas i de relevanta mallarna för offentliggörande. För att möjliggöra en jämförelse mellan de riskbaserade kapitalrelationer som beräknats enligt de standardiserade och internt modellerade metoderna på risknivå och i exponeringsklasser för kreditrisk bör två nya mallar för offentliggörande införas.</w:t>
      </w:r>
      <w:r w:rsidR="003A1487" w:rsidRPr="000B1E4D">
        <w:rPr>
          <w:noProof/>
          <w:color w:val="000000"/>
        </w:rPr>
        <w:t xml:space="preserve"> </w:t>
      </w:r>
    </w:p>
    <w:p w:rsidR="000A5D79" w:rsidRPr="000B1E4D" w:rsidRDefault="00924030" w:rsidP="00924030">
      <w:pPr>
        <w:pStyle w:val="ManualConsidrant"/>
        <w:rPr>
          <w:noProof/>
          <w:color w:val="000000"/>
        </w:rPr>
      </w:pPr>
      <w:r w:rsidRPr="00924030">
        <w:rPr>
          <w:noProof/>
        </w:rPr>
        <w:t>(10)</w:t>
      </w:r>
      <w:r w:rsidRPr="00924030">
        <w:rPr>
          <w:noProof/>
        </w:rPr>
        <w:tab/>
      </w:r>
      <w:r w:rsidR="000A5D79" w:rsidRPr="000B1E4D">
        <w:rPr>
          <w:noProof/>
        </w:rPr>
        <w:t xml:space="preserve">När det gäller användningen av schablonmetoden för kreditrisk har, genom förordning (EU) 2024/1623, en mer detaljerad riskviktsbehandling införts i avdelning II kapitel 2 i förordning (EU) nr 575/2013 för olika exponeringar, inbegripet för exponeringar mot institut, exponeringar mot företag, exponeringar som utgör specialutlåning, hushållsexponeringar, exponeringar säkrade genom fastighetstillgångar, exponeringar mot efterställda skulder, aktieexponeringar och fallerade exponeringar. Det är nödvändigt att se till att dessa ändringar återspeglas i mallarna för offentliggörande, samt att anpassa radnumreringen i dessa mallar till den som används i motsvarande mallar från Baselkommittén. </w:t>
      </w:r>
    </w:p>
    <w:p w:rsidR="000A5D79" w:rsidRPr="000B1E4D" w:rsidRDefault="00924030" w:rsidP="00924030">
      <w:pPr>
        <w:pStyle w:val="ManualConsidrant"/>
        <w:rPr>
          <w:noProof/>
          <w:color w:val="000000"/>
        </w:rPr>
      </w:pPr>
      <w:r w:rsidRPr="00924030">
        <w:rPr>
          <w:noProof/>
        </w:rPr>
        <w:t>(11)</w:t>
      </w:r>
      <w:r w:rsidRPr="00924030">
        <w:rPr>
          <w:noProof/>
        </w:rPr>
        <w:tab/>
      </w:r>
      <w:r w:rsidR="009E6EC8" w:rsidRPr="000B1E4D">
        <w:rPr>
          <w:noProof/>
        </w:rPr>
        <w:t xml:space="preserve">När det gäller användningen av internmetoden för kreditriskexponeringar har, genom förordning (EU) 2024/1623, en begränsning införts i avdelning II kapitel 3 i förordning (EU) nr 575/2013 av vilka exponeringsklasser den avancerade internmetoden kan tillämpas på för beräkningen av kapitalbaskraven för kreditrisk. För exponeringar mot institut kan endast den grundläggande internmetoden nu användas, och för aktieexponeringar är det endast tillåtet att använda schablonmetoden, utom under en övergångsperiod. Dessutom har nya exponeringsklasser för ”delstatliga eller lokala självstyrelseorgan och myndigheter” och ”offentliga organ” inrättats för att säkerställa en enhetlig behandling av dessa exponeringar och för att undvika oavsiktlig variation i de relaterade kapitalbaskraven. Dessa ändringar bör återspeglas i mallarna för offentliggörande av användning av internmetoden. Det är också nödvändigt att anpassa mallens struktur för de riskvägda exponeringsbeloppens inverkan på kreditderivat som används som tekniker för kreditriskreducering till den radnumrering som används i Baselkommitténs motsvarande mall för offentliggörande. </w:t>
      </w:r>
    </w:p>
    <w:p w:rsidR="000A5D79" w:rsidRPr="000B1E4D" w:rsidRDefault="00924030" w:rsidP="00924030">
      <w:pPr>
        <w:pStyle w:val="ManualConsidrant"/>
        <w:rPr>
          <w:noProof/>
          <w:sz w:val="22"/>
        </w:rPr>
      </w:pPr>
      <w:r w:rsidRPr="00924030">
        <w:rPr>
          <w:noProof/>
        </w:rPr>
        <w:t>(12)</w:t>
      </w:r>
      <w:r w:rsidRPr="00924030">
        <w:rPr>
          <w:noProof/>
        </w:rPr>
        <w:tab/>
      </w:r>
      <w:r w:rsidR="00E365AC" w:rsidRPr="000B1E4D">
        <w:rPr>
          <w:noProof/>
        </w:rPr>
        <w:t>En ny ram för beräkning av kapitalbaskraven för marknadsrisk som är baserad på Baselkommitténs standarder för grundläggande översyn av handelslagret (FRTB) har, genom förordning (EU) 2024/1623, införts i avdelning IV i förordning (EU) nr 575/2013.</w:t>
      </w:r>
      <w:r w:rsidR="00E365AC" w:rsidRPr="000B1E4D">
        <w:rPr>
          <w:noProof/>
          <w:color w:val="000000" w:themeColor="text1"/>
        </w:rPr>
        <w:t xml:space="preserve"> Ändringen var nödvändig för att åtgärda de brister som konstaterats i den nuvarande ramen för kapitalkrav för marknadsrisk för positioner i handelslagret. I enlighet med den nya ramen ska instituten tillämpa en förenklad schablonmetod, en alternativ schablonmetod eller en alternativ internmodellmetod för att beräkna kapitalbaskraven för marknadsrisk. Dessa ändringar bör återspeglas i mallarna för offentliggörande genom införandet av en omfattande uppsättning tabeller och mallar för offentliggörande. Denna nya uppsättning tabeller och mallar för offentliggörande bör finnas på plats när regelverket för marknadsrisk baserat på Baselkommitténs FRTB-standarder börjar tillämpas i unionen. Under tiden gäller fortsatt de upplysningskrav som för närvarande är tillämpliga. För att få en heltäckande förståelse för användningen av den nya metoden bör institut som använder den alternativa internmodellmetoden, vid den första tillämpningsdagen för den nya ramen för offentliggörande, offentliggöra den kvantitativa informationen tillsammans med den kvalitativa informationen. </w:t>
      </w:r>
    </w:p>
    <w:p w:rsidR="000A5D79" w:rsidRPr="000B1E4D" w:rsidRDefault="00924030" w:rsidP="00924030">
      <w:pPr>
        <w:pStyle w:val="ManualConsidrant"/>
        <w:rPr>
          <w:noProof/>
        </w:rPr>
      </w:pPr>
      <w:r w:rsidRPr="00924030">
        <w:rPr>
          <w:noProof/>
        </w:rPr>
        <w:t>(13)</w:t>
      </w:r>
      <w:r w:rsidRPr="00924030">
        <w:rPr>
          <w:noProof/>
        </w:rPr>
        <w:tab/>
      </w:r>
      <w:r w:rsidR="00990CED" w:rsidRPr="000B1E4D">
        <w:rPr>
          <w:noProof/>
        </w:rPr>
        <w:t>Enhetliga format för offentliggörande bör fastställas för att säkerställa att upplysningarna om kreditvärdighetsjusteringsrisker är enhetliga och jämförbara. För att återspegla den ändringen är det därför nödvändigt att införa nya mallar och tabeller för offentliggörande av kvantitativ och kvalitativ information om kreditvärdighetsjusteringsrisker. Dessa mallar bör utformas med beaktande av att institut som omfattas av kapitalbaskrav för kreditvärdighetsjustering får tillämpa den standardiserade, grundläggande eller förenklade metoden eller en kombination av dessa metoder och att kreditvärdighetsjusteringsrisken bör fånga upp både kreditspreadrisken för ett instituts motpart och marknadsrisken i den portfölj av transaktioner varmed institutet handlar med den motparten.</w:t>
      </w:r>
    </w:p>
    <w:p w:rsidR="000A5D79" w:rsidRPr="000B1E4D" w:rsidRDefault="00924030" w:rsidP="00924030">
      <w:pPr>
        <w:pStyle w:val="ManualConsidrant"/>
        <w:rPr>
          <w:noProof/>
          <w:color w:val="000000"/>
        </w:rPr>
      </w:pPr>
      <w:r w:rsidRPr="00924030">
        <w:rPr>
          <w:noProof/>
        </w:rPr>
        <w:t>(14)</w:t>
      </w:r>
      <w:r w:rsidRPr="00924030">
        <w:rPr>
          <w:noProof/>
        </w:rPr>
        <w:tab/>
      </w:r>
      <w:r w:rsidR="000A5D79" w:rsidRPr="000B1E4D">
        <w:rPr>
          <w:noProof/>
        </w:rPr>
        <w:t xml:space="preserve">Genom förordning (EU) 2024/1623 har en ny enda metod som inte bygger på modeller införts i kapitel 1 i avdelning III i </w:t>
      </w:r>
      <w:bookmarkStart w:id="1" w:name="_Hlk174954474"/>
      <w:r w:rsidR="000A5D79" w:rsidRPr="000B1E4D">
        <w:rPr>
          <w:noProof/>
        </w:rPr>
        <w:t>förordning (EU) nr 575/2013</w:t>
      </w:r>
      <w:bookmarkEnd w:id="1"/>
      <w:r w:rsidR="000A5D79" w:rsidRPr="000B1E4D">
        <w:rPr>
          <w:noProof/>
        </w:rPr>
        <w:t xml:space="preserve"> för beräkning av kapitalbaskrav för operativ risk – detta för att åtgärda det faktum att de befintliga metoderna inte är tillräckligt riskkänsliga eller ger tillräckligt jämförbara resultat.</w:t>
      </w:r>
      <w:r w:rsidR="000A5D79" w:rsidRPr="000B1E4D">
        <w:rPr>
          <w:noProof/>
          <w:color w:val="000000"/>
        </w:rPr>
        <w:t xml:space="preserve"> I enlighet med utrymmet för skönsmässig bedömning i Basel III-standarderna baseras unionens minimikrav på kapitalbas enbart på beräkningen av verksamhetsindikatorkomponenten, medan förlusthistoriken endast beaktas i upplysningssyfte. </w:t>
      </w:r>
      <w:r w:rsidR="000A5D79" w:rsidRPr="000B1E4D">
        <w:rPr>
          <w:noProof/>
        </w:rPr>
        <w:t>Mallarna för offentliggörande bör återspegla dessa ändringar; bland annat bör nya mallar fastställas för utlämnandet av information om årliga operativa förluster som uppstått under de senaste tio åren, beräkningen av verksamhetsindikatorn och dess komponenter och delkomponenter samt relaterade kapitalbaskrav och riskvägda exponeringsbelopp.</w:t>
      </w:r>
    </w:p>
    <w:p w:rsidR="00A81627" w:rsidRPr="000B1E4D" w:rsidRDefault="00924030" w:rsidP="00924030">
      <w:pPr>
        <w:pStyle w:val="ManualConsidrant"/>
        <w:rPr>
          <w:noProof/>
        </w:rPr>
      </w:pPr>
      <w:r w:rsidRPr="00924030">
        <w:rPr>
          <w:noProof/>
        </w:rPr>
        <w:t>(15)</w:t>
      </w:r>
      <w:r w:rsidRPr="00924030">
        <w:rPr>
          <w:noProof/>
        </w:rPr>
        <w:tab/>
      </w:r>
      <w:r w:rsidR="000A5D79" w:rsidRPr="000B1E4D">
        <w:rPr>
          <w:noProof/>
        </w:rPr>
        <w:t>I artikel 501d.2 i förordning (EU) nr 575/2013 föreskrivs hur instituten ska beräkna sina kapitalbaskrav för kryptotillgångsexponeringar fram till den dag då den lagstiftningsakt som avses i artikel 501d.1 i den förordningen börjar tillämpas. Det är därför nödvändigt att fastställa hur instituten ska offentliggöra sina kryptotillgångsexponeringar under den övergångsperioden.</w:t>
      </w:r>
    </w:p>
    <w:p w:rsidR="0072766F" w:rsidRPr="000B1E4D" w:rsidRDefault="00924030" w:rsidP="00924030">
      <w:pPr>
        <w:pStyle w:val="ManualConsidrant"/>
        <w:rPr>
          <w:noProof/>
        </w:rPr>
      </w:pPr>
      <w:r w:rsidRPr="00924030">
        <w:rPr>
          <w:noProof/>
        </w:rPr>
        <w:t>(16)</w:t>
      </w:r>
      <w:r w:rsidRPr="00924030">
        <w:rPr>
          <w:noProof/>
        </w:rPr>
        <w:tab/>
      </w:r>
      <w:r w:rsidR="0072766F" w:rsidRPr="000B1E4D">
        <w:rPr>
          <w:noProof/>
        </w:rPr>
        <w:t>Genom förordning (EU) 2024/1623 ändrades artikel 434a.1 i förordning (EU) nr 575/2013 och ett krav infördes på att EBA ska utveckla it-lösningar, inklusive instruktioner, som ska användas av instituten för de offentliggöranden som krävs enligt avdelningarna II och III i den förordningen. Mallarna för offentliggörande bör därför tillräckligt tydligt ange de datapunkter och den information som instituten måste offentliggöra för att säkerställa att användarna får tillgång till tillräcklig, omfattande och jämförbar information och att överensstämmelse med internationella standarder för offentliggörande upprätthålls. För att EBA ska kunna utveckla lämpliga it-lösningar bör dessa enhetliga format för offentliggörande inte bör vara bindande vad gäller struktur och utformning. EBA bör i synnerhet kunna avvika från den grafiska formgivningen och tabellstrukturen i mallarna för offentliggörande så länge alla datapunkter och all information som krävs ingår i it-lösningen.</w:t>
      </w:r>
    </w:p>
    <w:p w:rsidR="005F4989" w:rsidRPr="000B1E4D" w:rsidRDefault="00924030" w:rsidP="00924030">
      <w:pPr>
        <w:pStyle w:val="ManualConsidrant"/>
        <w:rPr>
          <w:noProof/>
          <w:szCs w:val="24"/>
        </w:rPr>
      </w:pPr>
      <w:r w:rsidRPr="00924030">
        <w:rPr>
          <w:noProof/>
        </w:rPr>
        <w:t>(17)</w:t>
      </w:r>
      <w:r w:rsidRPr="00924030">
        <w:rPr>
          <w:noProof/>
        </w:rPr>
        <w:tab/>
      </w:r>
      <w:r w:rsidR="005F4989" w:rsidRPr="000B1E4D">
        <w:rPr>
          <w:noProof/>
        </w:rPr>
        <w:t>För att ge instituten en heltäckande integrerad uppsättning enhetliga format för offentliggörande och säkerställa information av hög kvalitet och samtidigt återspegla metoden enligt den reviderade artikel 434a.1 i förordning (EU) nr 575/2013 är det nödvändigt att upphäva kommissionens genomförandeförordning (EU) 2021/637 och ersätta den genomförandeförordningen med den här förordningen.</w:t>
      </w:r>
    </w:p>
    <w:p w:rsidR="000A5D79" w:rsidRPr="000B1E4D" w:rsidRDefault="00924030" w:rsidP="00924030">
      <w:pPr>
        <w:pStyle w:val="ManualConsidrant"/>
        <w:rPr>
          <w:noProof/>
          <w:sz w:val="22"/>
        </w:rPr>
      </w:pPr>
      <w:r w:rsidRPr="00924030">
        <w:rPr>
          <w:noProof/>
        </w:rPr>
        <w:t>(18)</w:t>
      </w:r>
      <w:r w:rsidRPr="00924030">
        <w:rPr>
          <w:noProof/>
        </w:rPr>
        <w:tab/>
      </w:r>
      <w:r w:rsidR="00DF17AE" w:rsidRPr="000B1E4D">
        <w:rPr>
          <w:noProof/>
        </w:rPr>
        <w:t>För att säkerställa att instituten offentliggör information av hög kvalitet i rätt tid bör de ges tillräckligt med tid för att anpassa sina interna system mot bakgrund av de ändringar av den befintliga ramen för offentliggörande som återspeglas/införlivas i denna förordning.</w:t>
      </w:r>
    </w:p>
    <w:p w:rsidR="000A5D79" w:rsidRPr="000B1E4D" w:rsidRDefault="00924030" w:rsidP="00924030">
      <w:pPr>
        <w:pStyle w:val="ManualConsidrant"/>
        <w:rPr>
          <w:noProof/>
        </w:rPr>
      </w:pPr>
      <w:r w:rsidRPr="00924030">
        <w:rPr>
          <w:noProof/>
        </w:rPr>
        <w:t>(19)</w:t>
      </w:r>
      <w:r w:rsidRPr="00924030">
        <w:rPr>
          <w:noProof/>
        </w:rPr>
        <w:tab/>
      </w:r>
      <w:r w:rsidR="000A5D79" w:rsidRPr="000B1E4D">
        <w:rPr>
          <w:noProof/>
        </w:rPr>
        <w:t>Denna förordning grundar sig på det förslag till tekniska genomförandestandarder som Europeiska bankmyndigheten har lagt fram för kommissionen.</w:t>
      </w:r>
    </w:p>
    <w:p w:rsidR="000A5D79" w:rsidRPr="000B1E4D" w:rsidRDefault="00924030" w:rsidP="00924030">
      <w:pPr>
        <w:pStyle w:val="ManualConsidrant"/>
        <w:rPr>
          <w:noProof/>
        </w:rPr>
      </w:pPr>
      <w:r w:rsidRPr="00924030">
        <w:rPr>
          <w:noProof/>
        </w:rPr>
        <w:t>(20)</w:t>
      </w:r>
      <w:r w:rsidRPr="00924030">
        <w:rPr>
          <w:noProof/>
        </w:rPr>
        <w:tab/>
      </w:r>
      <w:r w:rsidR="000A5D79" w:rsidRPr="000B1E4D">
        <w:rPr>
          <w:noProof/>
        </w:rPr>
        <w:t>Europeiska bankmyndigheten har anordnat öppna offentliga samråd om de förslag till tekniska genomförandestandarder som den här förordningen grundas på, gjort en analys av möjliga kostnader och fördelar samt begärt råd från den bankintressentgrupp som inrättats i enlighet med artikel 37 i Europaparlamentets och rådets förordning (EU) nr 1093/2010</w:t>
      </w:r>
      <w:r w:rsidR="000A5D79" w:rsidRPr="000B1E4D">
        <w:rPr>
          <w:rStyle w:val="FootnoteReference"/>
          <w:noProof/>
        </w:rPr>
        <w:footnoteReference w:id="10"/>
      </w:r>
      <w:r w:rsidR="000A5D79" w:rsidRPr="000B1E4D">
        <w:rPr>
          <w:noProof/>
        </w:rPr>
        <w:t xml:space="preserve">. </w:t>
      </w:r>
    </w:p>
    <w:p w:rsidR="0050796F" w:rsidRPr="000B1E4D" w:rsidRDefault="0050796F">
      <w:pPr>
        <w:pStyle w:val="Formuledadoption"/>
        <w:rPr>
          <w:noProof/>
        </w:rPr>
      </w:pPr>
      <w:r w:rsidRPr="000B1E4D">
        <w:rPr>
          <w:noProof/>
        </w:rPr>
        <w:t>HÄRIGENOM FÖRESKRIVS FÖLJANDE.</w:t>
      </w:r>
    </w:p>
    <w:p w:rsidR="00905855" w:rsidRPr="000B1E4D" w:rsidRDefault="00905855" w:rsidP="00905855">
      <w:pPr>
        <w:pStyle w:val="Titrearticle"/>
        <w:rPr>
          <w:noProof/>
        </w:rPr>
      </w:pPr>
      <w:r w:rsidRPr="000B1E4D">
        <w:rPr>
          <w:noProof/>
        </w:rPr>
        <w:t>Artikel 1</w:t>
      </w:r>
    </w:p>
    <w:p w:rsidR="000A5D79" w:rsidRPr="000B1E4D" w:rsidRDefault="000A5D79" w:rsidP="000A5D79">
      <w:pPr>
        <w:pStyle w:val="Titrearticle"/>
        <w:spacing w:before="120"/>
        <w:rPr>
          <w:b/>
          <w:i w:val="0"/>
          <w:noProof/>
        </w:rPr>
      </w:pPr>
      <w:r w:rsidRPr="000B1E4D">
        <w:rPr>
          <w:b/>
          <w:i w:val="0"/>
          <w:noProof/>
        </w:rPr>
        <w:t>Offentliggörande av nyckeltal och en översikt över riskvägda exponeringsbelopp</w:t>
      </w:r>
    </w:p>
    <w:p w:rsidR="000A5D79" w:rsidRPr="000B1E4D" w:rsidRDefault="000A5D79" w:rsidP="00905855">
      <w:pPr>
        <w:rPr>
          <w:noProof/>
        </w:rPr>
      </w:pPr>
      <w:r w:rsidRPr="000B1E4D">
        <w:rPr>
          <w:noProof/>
        </w:rPr>
        <w:t>Instituten ska offentliggöra den information som avses i artikel 438 a–d, f och g och artikel 447 a–g i förordning (EU) nr 575/2013 i enlighet med avsnitt 1 – ”Offentliggörande av en översikt över riskhantering, nyckeltal för tillsyn samt riskvägda tillgångar” i bilaga I.</w:t>
      </w:r>
    </w:p>
    <w:p w:rsidR="000A5D79" w:rsidRPr="000B1E4D" w:rsidRDefault="000A5D79" w:rsidP="000A5D79">
      <w:pPr>
        <w:pStyle w:val="Titrearticle"/>
        <w:rPr>
          <w:noProof/>
        </w:rPr>
      </w:pPr>
      <w:r w:rsidRPr="000B1E4D">
        <w:rPr>
          <w:noProof/>
        </w:rPr>
        <w:t>Artikel 2</w:t>
      </w:r>
    </w:p>
    <w:p w:rsidR="000A5D79" w:rsidRPr="000B1E4D" w:rsidRDefault="000A5D79" w:rsidP="000A5D79">
      <w:pPr>
        <w:pStyle w:val="Titrearticle"/>
        <w:spacing w:before="120"/>
        <w:rPr>
          <w:b/>
          <w:i w:val="0"/>
          <w:noProof/>
        </w:rPr>
      </w:pPr>
      <w:r w:rsidRPr="000B1E4D">
        <w:rPr>
          <w:b/>
          <w:i w:val="0"/>
          <w:noProof/>
        </w:rPr>
        <w:t>Offentliggörande av riskhanteringsmål och riskhanteringspolicy</w:t>
      </w:r>
    </w:p>
    <w:p w:rsidR="000A5D79" w:rsidRPr="000B1E4D" w:rsidRDefault="000A5D79" w:rsidP="00905855">
      <w:pPr>
        <w:rPr>
          <w:noProof/>
        </w:rPr>
      </w:pPr>
      <w:r w:rsidRPr="000B1E4D">
        <w:rPr>
          <w:noProof/>
        </w:rPr>
        <w:t>Instituten ska offentliggöra den information som avses i artikel 435 i förordning (EU) nr 575/2013 i enlighet med avsnitt 2 – ”Offentliggörande av riskhanteringsmål och riskhanteringspolicy” i bilaga I.</w:t>
      </w:r>
    </w:p>
    <w:p w:rsidR="000A5D79" w:rsidRPr="000B1E4D" w:rsidRDefault="000A5D79" w:rsidP="000A5D79">
      <w:pPr>
        <w:pStyle w:val="Titrearticle"/>
        <w:rPr>
          <w:noProof/>
        </w:rPr>
      </w:pPr>
      <w:r w:rsidRPr="000B1E4D">
        <w:rPr>
          <w:noProof/>
        </w:rPr>
        <w:t>Artikel 3</w:t>
      </w:r>
    </w:p>
    <w:p w:rsidR="000A5D79" w:rsidRPr="000B1E4D" w:rsidRDefault="000A5D79" w:rsidP="000A5D79">
      <w:pPr>
        <w:pStyle w:val="Titrearticle"/>
        <w:tabs>
          <w:tab w:val="left" w:pos="567"/>
        </w:tabs>
        <w:spacing w:before="120"/>
        <w:rPr>
          <w:b/>
          <w:i w:val="0"/>
          <w:noProof/>
        </w:rPr>
      </w:pPr>
      <w:r w:rsidRPr="000B1E4D">
        <w:rPr>
          <w:b/>
          <w:i w:val="0"/>
          <w:noProof/>
        </w:rPr>
        <w:t xml:space="preserve">Offentliggörande av tillämpningsområde </w:t>
      </w:r>
    </w:p>
    <w:p w:rsidR="000A5D79" w:rsidRPr="000B1E4D" w:rsidRDefault="000A5D79" w:rsidP="00905855">
      <w:pPr>
        <w:rPr>
          <w:noProof/>
        </w:rPr>
      </w:pPr>
      <w:r w:rsidRPr="000B1E4D">
        <w:rPr>
          <w:noProof/>
        </w:rPr>
        <w:t xml:space="preserve">Instituten ska offentliggöra den information som avses i artikel 436 b–h i förordning (EU) nr 575/2013 i enlighet med avsnitt 3 – ”Offentliggörande av tillämpningsområde” i bilaga I. </w:t>
      </w:r>
    </w:p>
    <w:p w:rsidR="000A5D79" w:rsidRPr="000B1E4D" w:rsidRDefault="000A5D79" w:rsidP="000A5D79">
      <w:pPr>
        <w:pStyle w:val="Titrearticle"/>
        <w:rPr>
          <w:noProof/>
        </w:rPr>
      </w:pPr>
      <w:r w:rsidRPr="000B1E4D">
        <w:rPr>
          <w:noProof/>
        </w:rPr>
        <w:t>Artikel 4</w:t>
      </w:r>
    </w:p>
    <w:p w:rsidR="000A5D79" w:rsidRPr="000B1E4D" w:rsidRDefault="000A5D79" w:rsidP="000A5D79">
      <w:pPr>
        <w:pStyle w:val="Titrearticle"/>
        <w:spacing w:before="120"/>
        <w:rPr>
          <w:b/>
          <w:i w:val="0"/>
          <w:noProof/>
        </w:rPr>
      </w:pPr>
      <w:r w:rsidRPr="000B1E4D">
        <w:rPr>
          <w:b/>
          <w:i w:val="0"/>
          <w:noProof/>
        </w:rPr>
        <w:t>Offentliggörande av kapitalbas</w:t>
      </w:r>
    </w:p>
    <w:p w:rsidR="000A5D79" w:rsidRPr="000B1E4D" w:rsidRDefault="000A5D79" w:rsidP="000A5D79">
      <w:pPr>
        <w:rPr>
          <w:noProof/>
        </w:rPr>
      </w:pPr>
      <w:r w:rsidRPr="000B1E4D">
        <w:rPr>
          <w:noProof/>
        </w:rPr>
        <w:t>Instituten ska offentliggöra den information som avses i artikel 437 a–f i förordning (EU) nr 575/2013 i enlighet med avsnitt 4 – ”Offentliggörande av kapitalbas” i bilaga I.</w:t>
      </w:r>
    </w:p>
    <w:p w:rsidR="000A5D79" w:rsidRPr="000B1E4D" w:rsidRDefault="000A5D79" w:rsidP="000A5D79">
      <w:pPr>
        <w:pStyle w:val="Titrearticle"/>
        <w:rPr>
          <w:noProof/>
        </w:rPr>
      </w:pPr>
      <w:r w:rsidRPr="000B1E4D">
        <w:rPr>
          <w:noProof/>
        </w:rPr>
        <w:t xml:space="preserve">Artikel 5 </w:t>
      </w:r>
    </w:p>
    <w:p w:rsidR="000A5D79" w:rsidRPr="000B1E4D" w:rsidRDefault="000A5D79" w:rsidP="000A5D79">
      <w:pPr>
        <w:pStyle w:val="Titrearticle"/>
        <w:spacing w:before="120"/>
        <w:rPr>
          <w:b/>
          <w:i w:val="0"/>
          <w:noProof/>
        </w:rPr>
      </w:pPr>
      <w:r w:rsidRPr="000B1E4D">
        <w:rPr>
          <w:b/>
          <w:i w:val="0"/>
          <w:noProof/>
        </w:rPr>
        <w:t>Offentliggörande av kontracykliska kapitalbuffertar</w:t>
      </w:r>
    </w:p>
    <w:p w:rsidR="000A5D79" w:rsidRPr="000B1E4D" w:rsidRDefault="000A5D79" w:rsidP="000A5D79">
      <w:pPr>
        <w:rPr>
          <w:noProof/>
        </w:rPr>
      </w:pPr>
      <w:r w:rsidRPr="000B1E4D">
        <w:rPr>
          <w:noProof/>
        </w:rPr>
        <w:t xml:space="preserve">Instituten ska offentliggöra den information som avses i artikel 440 a och b i förordning (EU) nr 575/2013 i enlighet med avsnitt 5 – ”Offentliggörande av kontracykliska kapitalbuffertar” i bilaga I. </w:t>
      </w:r>
    </w:p>
    <w:p w:rsidR="000A5D79" w:rsidRPr="000B1E4D" w:rsidRDefault="000A5D79" w:rsidP="000A5D79">
      <w:pPr>
        <w:pStyle w:val="Titrearticle"/>
        <w:rPr>
          <w:noProof/>
        </w:rPr>
      </w:pPr>
      <w:r w:rsidRPr="000B1E4D">
        <w:rPr>
          <w:noProof/>
        </w:rPr>
        <w:t>Artikel 6</w:t>
      </w:r>
    </w:p>
    <w:p w:rsidR="000A5D79" w:rsidRPr="000B1E4D" w:rsidRDefault="000A5D79" w:rsidP="000A5D79">
      <w:pPr>
        <w:pStyle w:val="Titrearticle"/>
        <w:spacing w:before="120"/>
        <w:rPr>
          <w:b/>
          <w:i w:val="0"/>
          <w:noProof/>
        </w:rPr>
      </w:pPr>
      <w:r w:rsidRPr="000B1E4D">
        <w:rPr>
          <w:b/>
          <w:i w:val="0"/>
          <w:noProof/>
        </w:rPr>
        <w:t>Offentliggörande av bruttosoliditetsgraden</w:t>
      </w:r>
    </w:p>
    <w:p w:rsidR="000A5D79" w:rsidRPr="000B1E4D" w:rsidRDefault="000A5D79" w:rsidP="000A5D79">
      <w:pPr>
        <w:rPr>
          <w:noProof/>
        </w:rPr>
      </w:pPr>
      <w:r w:rsidRPr="000B1E4D">
        <w:rPr>
          <w:noProof/>
        </w:rPr>
        <w:t xml:space="preserve">Instituten ska offentliggöra den information som avses i artikel 451.1 a–e, 451.2 och 451.3 i förordning (EU) nr 575/2013 </w:t>
      </w:r>
      <w:bookmarkStart w:id="2" w:name="_Hlk168653610"/>
      <w:r w:rsidRPr="000B1E4D">
        <w:rPr>
          <w:noProof/>
        </w:rPr>
        <w:t>i enlighet med avsnitt 6 – ”Offentliggörande av bruttosoliditetsgraden” i bilaga I.</w:t>
      </w:r>
    </w:p>
    <w:bookmarkEnd w:id="2"/>
    <w:p w:rsidR="000A5D79" w:rsidRPr="000B1E4D" w:rsidRDefault="000A5D79" w:rsidP="000A5D79">
      <w:pPr>
        <w:pStyle w:val="Titrearticle"/>
        <w:rPr>
          <w:noProof/>
        </w:rPr>
      </w:pPr>
      <w:r w:rsidRPr="000B1E4D">
        <w:rPr>
          <w:noProof/>
        </w:rPr>
        <w:t xml:space="preserve">Artikel 7 </w:t>
      </w:r>
    </w:p>
    <w:p w:rsidR="000A5D79" w:rsidRPr="000B1E4D" w:rsidRDefault="000A5D79" w:rsidP="000A5D79">
      <w:pPr>
        <w:pStyle w:val="Titrearticle"/>
        <w:spacing w:before="120"/>
        <w:rPr>
          <w:b/>
          <w:i w:val="0"/>
          <w:noProof/>
        </w:rPr>
      </w:pPr>
      <w:r w:rsidRPr="000B1E4D">
        <w:rPr>
          <w:b/>
          <w:i w:val="0"/>
          <w:noProof/>
        </w:rPr>
        <w:t>Offentliggörande av indikatorer för global systemvikt</w:t>
      </w:r>
    </w:p>
    <w:p w:rsidR="000A5D79" w:rsidRPr="000B1E4D" w:rsidRDefault="00924030" w:rsidP="00924030">
      <w:pPr>
        <w:pStyle w:val="ManualNumPar1"/>
        <w:rPr>
          <w:noProof/>
        </w:rPr>
      </w:pPr>
      <w:r w:rsidRPr="00924030">
        <w:rPr>
          <w:noProof/>
        </w:rPr>
        <w:t>1.</w:t>
      </w:r>
      <w:r w:rsidRPr="00924030">
        <w:rPr>
          <w:noProof/>
        </w:rPr>
        <w:tab/>
      </w:r>
      <w:r w:rsidR="00FA266C" w:rsidRPr="000B1E4D">
        <w:rPr>
          <w:noProof/>
        </w:rPr>
        <w:t>Globala systemviktiga institut ska offentliggöra den information om värdena för de indikatorer som används för att fastställa deras poäng enligt artikel 441 i förordning (EU) nr 575/2013 med hjälp av det enhetliga format för offentliggörande som avses i artikel 434a i den förordningen. Globala systemviktiga institut ska använda detta format för offentliggörande för de relevanta myndigheternas insamling av indikatorvärden i enlighet med artikel 3.2 i kommissionens delegerade förordning (EU) nr 1222/2014</w:t>
      </w:r>
      <w:r w:rsidR="004076A2" w:rsidRPr="000B1E4D">
        <w:rPr>
          <w:rStyle w:val="FootnoteReference"/>
          <w:noProof/>
        </w:rPr>
        <w:footnoteReference w:id="11"/>
      </w:r>
      <w:r w:rsidR="00FA266C" w:rsidRPr="000B1E4D">
        <w:rPr>
          <w:noProof/>
        </w:rPr>
        <w:t xml:space="preserve">, med undantag för eventuella kompletterande uppgifter och memorandumposter som samlats in i enlighet med artikel 3.2 i den delegerade förordningen. </w:t>
      </w:r>
    </w:p>
    <w:p w:rsidR="000A5D79" w:rsidRPr="000B1E4D" w:rsidRDefault="00924030" w:rsidP="00924030">
      <w:pPr>
        <w:pStyle w:val="ManualNumPar1"/>
        <w:rPr>
          <w:noProof/>
        </w:rPr>
      </w:pPr>
      <w:r w:rsidRPr="00924030">
        <w:rPr>
          <w:noProof/>
        </w:rPr>
        <w:t>2.</w:t>
      </w:r>
      <w:r w:rsidRPr="00924030">
        <w:rPr>
          <w:noProof/>
        </w:rPr>
        <w:tab/>
      </w:r>
      <w:r w:rsidR="000A5D79" w:rsidRPr="000B1E4D">
        <w:rPr>
          <w:noProof/>
        </w:rPr>
        <w:t>Globala systemviktiga institut ska offentliggöra den information som avses i punkt 1 i sin rapport för pelare 3 vid årets slut. Globala systemviktiga institut ska på nytt offentliggöra den information som avses i punkt 1 i sin första rapport för pelare 3 efter den slutliga inlämningen av värdena för indikatorerna till de relevanta behöriga myndigheterna, om de inlämnade siffrorna skiljer sig från de siffror som redovisas i rapporten för pelare 3 vid årets slut.</w:t>
      </w:r>
    </w:p>
    <w:p w:rsidR="000A5D79" w:rsidRPr="000B1E4D" w:rsidRDefault="000A5D79" w:rsidP="000A5D79">
      <w:pPr>
        <w:pStyle w:val="Titrearticle"/>
        <w:rPr>
          <w:noProof/>
        </w:rPr>
      </w:pPr>
      <w:r w:rsidRPr="000B1E4D">
        <w:rPr>
          <w:noProof/>
        </w:rPr>
        <w:t>Artikel 8</w:t>
      </w:r>
    </w:p>
    <w:p w:rsidR="000A5D79" w:rsidRPr="000B1E4D" w:rsidRDefault="000A5D79" w:rsidP="000A5D79">
      <w:pPr>
        <w:pStyle w:val="Titrearticle"/>
        <w:spacing w:before="120"/>
        <w:rPr>
          <w:b/>
          <w:i w:val="0"/>
          <w:noProof/>
        </w:rPr>
      </w:pPr>
      <w:r w:rsidRPr="000B1E4D">
        <w:rPr>
          <w:b/>
          <w:i w:val="0"/>
          <w:noProof/>
        </w:rPr>
        <w:t>Offentliggörande av likviditetskrav</w:t>
      </w:r>
    </w:p>
    <w:p w:rsidR="000A5D79" w:rsidRPr="000B1E4D" w:rsidRDefault="000A5D79" w:rsidP="000A5D79">
      <w:pPr>
        <w:rPr>
          <w:i/>
          <w:noProof/>
        </w:rPr>
      </w:pPr>
      <w:r w:rsidRPr="000B1E4D">
        <w:rPr>
          <w:noProof/>
        </w:rPr>
        <w:t>Instituten ska offentliggöra den information som avses i artiklarna 435.1 och 451a.2, 451a.3 och 451a.4 i förordning (EU) nr 575/2013 i enlighet med avsnitt 7 – ”Offentliggörande av likviditetskrav” i bilaga I.</w:t>
      </w:r>
    </w:p>
    <w:p w:rsidR="000A5D79" w:rsidRPr="000B1E4D" w:rsidRDefault="000A5D79" w:rsidP="000A5D79">
      <w:pPr>
        <w:pStyle w:val="Titrearticle"/>
        <w:rPr>
          <w:noProof/>
        </w:rPr>
      </w:pPr>
      <w:r w:rsidRPr="000B1E4D">
        <w:rPr>
          <w:noProof/>
        </w:rPr>
        <w:t>Artikel 9</w:t>
      </w:r>
    </w:p>
    <w:p w:rsidR="000A5D79" w:rsidRPr="000B1E4D" w:rsidRDefault="000A5D79" w:rsidP="000A5D79">
      <w:pPr>
        <w:pStyle w:val="Titrearticle"/>
        <w:spacing w:before="120"/>
        <w:rPr>
          <w:b/>
          <w:i w:val="0"/>
          <w:noProof/>
        </w:rPr>
      </w:pPr>
      <w:r w:rsidRPr="000B1E4D">
        <w:rPr>
          <w:b/>
          <w:i w:val="0"/>
          <w:noProof/>
        </w:rPr>
        <w:t xml:space="preserve">Offentliggörande av </w:t>
      </w:r>
      <w:bookmarkStart w:id="3" w:name="_Hlk163217184"/>
      <w:r w:rsidRPr="000B1E4D">
        <w:rPr>
          <w:b/>
          <w:i w:val="0"/>
          <w:noProof/>
        </w:rPr>
        <w:t>exponeringar för kreditrisk och utspädningsrisk samt av kreditkvalitet</w:t>
      </w:r>
      <w:bookmarkEnd w:id="3"/>
    </w:p>
    <w:p w:rsidR="000A5D79" w:rsidRPr="000B1E4D" w:rsidRDefault="00924030" w:rsidP="00924030">
      <w:pPr>
        <w:pStyle w:val="ManualNumPar1"/>
        <w:rPr>
          <w:noProof/>
        </w:rPr>
      </w:pPr>
      <w:r w:rsidRPr="00924030">
        <w:rPr>
          <w:noProof/>
        </w:rPr>
        <w:t>1.</w:t>
      </w:r>
      <w:r w:rsidRPr="00924030">
        <w:rPr>
          <w:noProof/>
        </w:rPr>
        <w:tab/>
      </w:r>
      <w:r w:rsidR="000A5D79" w:rsidRPr="000B1E4D">
        <w:rPr>
          <w:noProof/>
        </w:rPr>
        <w:t>Instituten ska offentliggöra den information som avses i artiklarna 435.1 a, b, d och f och 442 i förordning (EU) nr 575/2013 i enlighet med avsnitt 8 – ”Offentliggörande av kreditkvalitet med avseende på kreditrisk” i bilaga I.</w:t>
      </w:r>
    </w:p>
    <w:p w:rsidR="000A5D79" w:rsidRPr="000B1E4D" w:rsidRDefault="00924030" w:rsidP="00924030">
      <w:pPr>
        <w:pStyle w:val="ManualNumPar1"/>
        <w:rPr>
          <w:noProof/>
        </w:rPr>
      </w:pPr>
      <w:r w:rsidRPr="00924030">
        <w:rPr>
          <w:noProof/>
        </w:rPr>
        <w:t>2.</w:t>
      </w:r>
      <w:r w:rsidRPr="00924030">
        <w:rPr>
          <w:noProof/>
        </w:rPr>
        <w:tab/>
      </w:r>
      <w:r w:rsidR="000A5D79" w:rsidRPr="000B1E4D">
        <w:rPr>
          <w:noProof/>
        </w:rPr>
        <w:t xml:space="preserve">Stora institut som har en kvot mellan det redovisade bruttovärdet av lån och förskott som omfattas av artikel 47a.3 i förordning (EU) nr 575/2013 och det totala redovisade bruttovärdet för lån och förskott som omfattas av artikel 47a.1 i den förordningen och uppgår till eller överstiger 5 % ska, utöver den information som avses i punkt 1, offentliggöra ytterligare information för att uppfylla kraven i artikel 442 c och f i den förordningen. Dessa institut ska offentliggöra denna information varje år. </w:t>
      </w:r>
    </w:p>
    <w:p w:rsidR="000A5D79" w:rsidRPr="000B1E4D" w:rsidRDefault="00924030" w:rsidP="00924030">
      <w:pPr>
        <w:pStyle w:val="ManualNumPar1"/>
        <w:rPr>
          <w:noProof/>
        </w:rPr>
      </w:pPr>
      <w:r w:rsidRPr="00924030">
        <w:rPr>
          <w:noProof/>
        </w:rPr>
        <w:t>3.</w:t>
      </w:r>
      <w:r w:rsidRPr="00924030">
        <w:rPr>
          <w:noProof/>
        </w:rPr>
        <w:tab/>
      </w:r>
      <w:r w:rsidR="000A5D79" w:rsidRPr="000B1E4D">
        <w:rPr>
          <w:noProof/>
        </w:rPr>
        <w:t>Vid tillämpning av punkt 2 ska institut undanta lån och förskott som klassificeras som innehav för försäljning, kassabehållning hos centralbanker och andra avistamedel både från kvotens täljare och nämnare.</w:t>
      </w:r>
    </w:p>
    <w:p w:rsidR="000A5D79" w:rsidRPr="000B1E4D" w:rsidRDefault="00924030" w:rsidP="00924030">
      <w:pPr>
        <w:pStyle w:val="ManualNumPar1"/>
        <w:rPr>
          <w:noProof/>
        </w:rPr>
      </w:pPr>
      <w:r w:rsidRPr="00924030">
        <w:rPr>
          <w:noProof/>
        </w:rPr>
        <w:t>4.</w:t>
      </w:r>
      <w:r w:rsidRPr="00924030">
        <w:rPr>
          <w:noProof/>
        </w:rPr>
        <w:tab/>
      </w:r>
      <w:r w:rsidR="000A5D79" w:rsidRPr="000B1E4D">
        <w:rPr>
          <w:noProof/>
        </w:rPr>
        <w:t>Instituten ska inleda ett offentliggörande i enlighet med punkt 2 när de har uppnått eller överskridit det tröskelvärde på 5 % som avses i den punkten i två på varandra följande kvartal under de fyra kvartal som föregår referensdatumet för offentliggörandet. För referensdatumet för det första offentliggörandet ska instituten offentliggöra den berörda informationen genom att använda de mallar som avses i den punkten om de överskrider tröskelvärdet på 5 % på det referensdatumet.</w:t>
      </w:r>
    </w:p>
    <w:p w:rsidR="000A5D79" w:rsidRPr="000B1E4D" w:rsidRDefault="00924030" w:rsidP="00924030">
      <w:pPr>
        <w:pStyle w:val="ManualNumPar1"/>
        <w:rPr>
          <w:noProof/>
        </w:rPr>
      </w:pPr>
      <w:r w:rsidRPr="00924030">
        <w:rPr>
          <w:noProof/>
        </w:rPr>
        <w:t>5.</w:t>
      </w:r>
      <w:r w:rsidRPr="00924030">
        <w:rPr>
          <w:noProof/>
        </w:rPr>
        <w:tab/>
      </w:r>
      <w:r w:rsidR="000A5D79" w:rsidRPr="000B1E4D">
        <w:rPr>
          <w:noProof/>
        </w:rPr>
        <w:t>Instituten ska inte längre vara skyldiga att offentliggöra information i enlighet med punkt 2 om de ligger under tröskelvärdet på 5 % i tre på varandra följande kvartal under de fyra kvartal som föregår referensdatumet.</w:t>
      </w:r>
    </w:p>
    <w:p w:rsidR="000A5D79" w:rsidRPr="000B1E4D" w:rsidRDefault="000A5D79" w:rsidP="000A5D79">
      <w:pPr>
        <w:pStyle w:val="Titrearticle"/>
        <w:rPr>
          <w:noProof/>
        </w:rPr>
      </w:pPr>
      <w:r w:rsidRPr="000B1E4D">
        <w:rPr>
          <w:noProof/>
        </w:rPr>
        <w:t>Artikel 10</w:t>
      </w:r>
    </w:p>
    <w:p w:rsidR="000A5D79" w:rsidRPr="000B1E4D" w:rsidRDefault="000A5D79" w:rsidP="000A5D79">
      <w:pPr>
        <w:pStyle w:val="Titrearticle"/>
        <w:spacing w:before="120"/>
        <w:rPr>
          <w:b/>
          <w:i w:val="0"/>
          <w:noProof/>
        </w:rPr>
      </w:pPr>
      <w:r w:rsidRPr="000B1E4D">
        <w:rPr>
          <w:b/>
          <w:i w:val="0"/>
          <w:noProof/>
        </w:rPr>
        <w:t xml:space="preserve">Offentliggörande av användning av kreditriskreducerande metoder </w:t>
      </w:r>
    </w:p>
    <w:p w:rsidR="000A5D79" w:rsidRPr="000B1E4D" w:rsidRDefault="000A5D79" w:rsidP="000A5D79">
      <w:pPr>
        <w:rPr>
          <w:noProof/>
        </w:rPr>
      </w:pPr>
      <w:r w:rsidRPr="000B1E4D">
        <w:rPr>
          <w:noProof/>
        </w:rPr>
        <w:t>Instituten ska offentliggöra den information som avses i artikel 453 a–f i förordning (EU) nr 575/2013 i enlighet med avsnitt 9 – ”Offentliggörande av kreditriskreducerande metoder” i bilaga I.</w:t>
      </w:r>
    </w:p>
    <w:p w:rsidR="000A5D79" w:rsidRPr="000B1E4D" w:rsidRDefault="000A5D79" w:rsidP="000A5D79">
      <w:pPr>
        <w:pStyle w:val="Titrearticle"/>
        <w:rPr>
          <w:noProof/>
        </w:rPr>
      </w:pPr>
      <w:r w:rsidRPr="000B1E4D">
        <w:rPr>
          <w:noProof/>
        </w:rPr>
        <w:t xml:space="preserve">Artikel 11 </w:t>
      </w:r>
    </w:p>
    <w:p w:rsidR="000A5D79" w:rsidRPr="000B1E4D" w:rsidRDefault="000A5D79" w:rsidP="000A5D79">
      <w:pPr>
        <w:pStyle w:val="Titrearticle"/>
        <w:spacing w:before="120"/>
        <w:rPr>
          <w:b/>
          <w:i w:val="0"/>
          <w:noProof/>
        </w:rPr>
      </w:pPr>
      <w:r w:rsidRPr="000B1E4D">
        <w:rPr>
          <w:b/>
          <w:i w:val="0"/>
          <w:noProof/>
        </w:rPr>
        <w:t>Offentliggörande av användning av schablonmetoden</w:t>
      </w:r>
    </w:p>
    <w:p w:rsidR="000A5D79" w:rsidRPr="000B1E4D" w:rsidRDefault="000A5D79" w:rsidP="000A5D79">
      <w:pPr>
        <w:rPr>
          <w:noProof/>
        </w:rPr>
      </w:pPr>
      <w:r w:rsidRPr="000B1E4D">
        <w:rPr>
          <w:noProof/>
        </w:rPr>
        <w:t>Institut som beräknar riskvägda exponeringsbelopp enligt schablonmetoden ska offentliggöra följande information om användningen av schablonmetoden:</w:t>
      </w:r>
    </w:p>
    <w:p w:rsidR="000A5D79" w:rsidRPr="000B1E4D" w:rsidRDefault="00924030" w:rsidP="00924030">
      <w:pPr>
        <w:pStyle w:val="Point0"/>
        <w:rPr>
          <w:noProof/>
        </w:rPr>
      </w:pPr>
      <w:r w:rsidRPr="00924030">
        <w:rPr>
          <w:noProof/>
        </w:rPr>
        <w:t>(a)</w:t>
      </w:r>
      <w:r w:rsidRPr="00924030">
        <w:rPr>
          <w:noProof/>
        </w:rPr>
        <w:tab/>
      </w:r>
      <w:r w:rsidR="000A5D79" w:rsidRPr="000B1E4D">
        <w:rPr>
          <w:noProof/>
        </w:rPr>
        <w:t>Den information som avses i artikel 444 a–e och den information som avses i artikel 453 g, h och i) i förordning (EU) nr 575/2013 i enlighet med avsnitt 10 – ”Offentliggörande av kreditrisk enligt schablonmetoden” i bilaga I.</w:t>
      </w:r>
    </w:p>
    <w:p w:rsidR="000A5D79" w:rsidRPr="000B1E4D" w:rsidRDefault="00924030" w:rsidP="00924030">
      <w:pPr>
        <w:pStyle w:val="Point0"/>
        <w:rPr>
          <w:noProof/>
        </w:rPr>
      </w:pPr>
      <w:r w:rsidRPr="00924030">
        <w:rPr>
          <w:noProof/>
        </w:rPr>
        <w:t>(b)</w:t>
      </w:r>
      <w:r w:rsidRPr="00924030">
        <w:rPr>
          <w:noProof/>
        </w:rPr>
        <w:tab/>
      </w:r>
      <w:r w:rsidR="000A5D79" w:rsidRPr="000B1E4D">
        <w:rPr>
          <w:noProof/>
        </w:rPr>
        <w:t xml:space="preserve">Den information om de exponeringsvärden som dragits av från den kapitalbas som avses i artikel 444 e i förordning (EU) nr 575/2013 i enlighet med avsnitt 4 – ”Offentliggörande av kapitalbas” i bilaga I. </w:t>
      </w:r>
    </w:p>
    <w:p w:rsidR="000A5D79" w:rsidRPr="000B1E4D" w:rsidRDefault="000A5D79" w:rsidP="000A5D79">
      <w:pPr>
        <w:pStyle w:val="Titrearticle"/>
        <w:rPr>
          <w:noProof/>
        </w:rPr>
      </w:pPr>
      <w:r w:rsidRPr="000B1E4D">
        <w:rPr>
          <w:noProof/>
        </w:rPr>
        <w:t>Artikel 12</w:t>
      </w:r>
    </w:p>
    <w:p w:rsidR="000A5D79" w:rsidRPr="000B1E4D" w:rsidRDefault="000A5D79" w:rsidP="000A5D79">
      <w:pPr>
        <w:pStyle w:val="Titrearticle"/>
        <w:spacing w:before="120"/>
        <w:rPr>
          <w:b/>
          <w:i w:val="0"/>
          <w:noProof/>
        </w:rPr>
      </w:pPr>
      <w:r w:rsidRPr="000B1E4D">
        <w:rPr>
          <w:b/>
          <w:i w:val="0"/>
          <w:noProof/>
        </w:rPr>
        <w:t>Offentliggörande av användning av internmetoden för kreditrisk</w:t>
      </w:r>
    </w:p>
    <w:p w:rsidR="000A5D79" w:rsidRPr="000B1E4D" w:rsidRDefault="000A5D79" w:rsidP="000A5D79">
      <w:pPr>
        <w:rPr>
          <w:noProof/>
        </w:rPr>
      </w:pPr>
      <w:r w:rsidRPr="000B1E4D">
        <w:rPr>
          <w:noProof/>
        </w:rPr>
        <w:t>Institut som beräknar riskvägda exponeringsbelopp enligt internmetoden ska offentliggöra den information som avses i artiklarna 438 h, 452 a–h och 453 g och j i förordning (EU) nr 575/</w:t>
      </w:r>
      <w:bookmarkStart w:id="4" w:name="_Hlk168654209"/>
      <w:r w:rsidRPr="000B1E4D">
        <w:rPr>
          <w:noProof/>
        </w:rPr>
        <w:t>2013 i enlighet med avsnitt 11 – ”Upplysningar om kreditrisk enligt internmetoden” i bilaga I.</w:t>
      </w:r>
    </w:p>
    <w:bookmarkEnd w:id="4"/>
    <w:p w:rsidR="000A5D79" w:rsidRPr="000B1E4D" w:rsidRDefault="000A5D79" w:rsidP="000A5D79">
      <w:pPr>
        <w:pStyle w:val="Titrearticle"/>
        <w:rPr>
          <w:noProof/>
        </w:rPr>
      </w:pPr>
      <w:r w:rsidRPr="000B1E4D">
        <w:rPr>
          <w:noProof/>
        </w:rPr>
        <w:t>Artikel 13</w:t>
      </w:r>
    </w:p>
    <w:p w:rsidR="000A5D79" w:rsidRPr="000B1E4D" w:rsidRDefault="000A5D79" w:rsidP="000A5D79">
      <w:pPr>
        <w:pStyle w:val="Titrearticle"/>
        <w:spacing w:before="120"/>
        <w:rPr>
          <w:b/>
          <w:i w:val="0"/>
          <w:noProof/>
        </w:rPr>
      </w:pPr>
      <w:r w:rsidRPr="000B1E4D">
        <w:rPr>
          <w:b/>
          <w:i w:val="0"/>
          <w:noProof/>
        </w:rPr>
        <w:t>Offentliggörande av specialutlåning och aktieexponeringar</w:t>
      </w:r>
    </w:p>
    <w:p w:rsidR="000A5D79" w:rsidRPr="000B1E4D" w:rsidRDefault="000A5D79" w:rsidP="000A5D79">
      <w:pPr>
        <w:rPr>
          <w:noProof/>
        </w:rPr>
      </w:pPr>
      <w:r w:rsidRPr="000B1E4D">
        <w:rPr>
          <w:noProof/>
        </w:rPr>
        <w:t>Instituten ska offentliggöra den information som avses i artikel 438 e i förordning (EU) nr 575/2013 i enlighet med avsnitt 12 – ”Offentliggörande av specialutlåning och aktieexponeringar” i bilaga I.</w:t>
      </w:r>
    </w:p>
    <w:p w:rsidR="000A5D79" w:rsidRPr="000B1E4D" w:rsidRDefault="000A5D79" w:rsidP="000A5D79">
      <w:pPr>
        <w:pStyle w:val="Titrearticle"/>
        <w:rPr>
          <w:noProof/>
        </w:rPr>
      </w:pPr>
      <w:r w:rsidRPr="000B1E4D">
        <w:rPr>
          <w:noProof/>
        </w:rPr>
        <w:t>Artikel 14</w:t>
      </w:r>
    </w:p>
    <w:p w:rsidR="000A5D79" w:rsidRPr="000B1E4D" w:rsidRDefault="000A5D79" w:rsidP="000A5D79">
      <w:pPr>
        <w:pStyle w:val="Titrearticle"/>
        <w:spacing w:before="120"/>
        <w:rPr>
          <w:b/>
          <w:i w:val="0"/>
          <w:noProof/>
        </w:rPr>
      </w:pPr>
      <w:r w:rsidRPr="000B1E4D">
        <w:rPr>
          <w:b/>
          <w:i w:val="0"/>
          <w:noProof/>
        </w:rPr>
        <w:t>Offentliggörande av exponeringar för motpartskreditrisk</w:t>
      </w:r>
    </w:p>
    <w:p w:rsidR="000A5D79" w:rsidRPr="000B1E4D" w:rsidRDefault="000A5D79" w:rsidP="000A5D79">
      <w:pPr>
        <w:rPr>
          <w:noProof/>
        </w:rPr>
      </w:pPr>
      <w:r w:rsidRPr="000B1E4D">
        <w:rPr>
          <w:noProof/>
        </w:rPr>
        <w:t xml:space="preserve">Instituten ska offentliggöra den information som avses i artiklarna 438 h och 439 i förordning (EU) nr 575/2013 i enlighet med avsnitt 13 – ”Offentliggörande av motpartskreditrisk” i bilaga I. </w:t>
      </w:r>
    </w:p>
    <w:p w:rsidR="000A5D79" w:rsidRPr="000B1E4D" w:rsidRDefault="000A5D79" w:rsidP="000A5D79">
      <w:pPr>
        <w:pStyle w:val="Titrearticle"/>
        <w:rPr>
          <w:noProof/>
        </w:rPr>
      </w:pPr>
      <w:r w:rsidRPr="000B1E4D">
        <w:rPr>
          <w:noProof/>
        </w:rPr>
        <w:t>Artikel 15</w:t>
      </w:r>
    </w:p>
    <w:p w:rsidR="000A5D79" w:rsidRPr="000B1E4D" w:rsidRDefault="000A5D79" w:rsidP="000A5D79">
      <w:pPr>
        <w:pStyle w:val="Titrearticle"/>
        <w:spacing w:before="120"/>
        <w:rPr>
          <w:b/>
          <w:i w:val="0"/>
          <w:noProof/>
        </w:rPr>
      </w:pPr>
      <w:r w:rsidRPr="000B1E4D">
        <w:rPr>
          <w:b/>
          <w:i w:val="0"/>
          <w:noProof/>
        </w:rPr>
        <w:t xml:space="preserve">Offentliggörande av </w:t>
      </w:r>
      <w:bookmarkStart w:id="5" w:name="_Hlk163217793"/>
      <w:r w:rsidRPr="000B1E4D">
        <w:rPr>
          <w:b/>
          <w:i w:val="0"/>
          <w:noProof/>
        </w:rPr>
        <w:t xml:space="preserve">exponeringar för värdepapperiseringspositioner </w:t>
      </w:r>
      <w:bookmarkEnd w:id="5"/>
    </w:p>
    <w:p w:rsidR="000A5D79" w:rsidRPr="000B1E4D" w:rsidRDefault="000A5D79" w:rsidP="000A5D79">
      <w:pPr>
        <w:rPr>
          <w:noProof/>
        </w:rPr>
      </w:pPr>
      <w:r w:rsidRPr="000B1E4D">
        <w:rPr>
          <w:noProof/>
        </w:rPr>
        <w:t>Instituten ska offentliggöra den information som avses i artikel 449 i förordning (EU) nr 575/2013 i enlighet med avsnitt 14 – ”Offentliggörande av exponeringar för värdepapperiseringspositioner” i bilaga I.</w:t>
      </w:r>
    </w:p>
    <w:p w:rsidR="000A5D79" w:rsidRPr="000B1E4D" w:rsidRDefault="000A5D79" w:rsidP="000A5D79">
      <w:pPr>
        <w:pStyle w:val="Titrearticle"/>
        <w:rPr>
          <w:noProof/>
        </w:rPr>
      </w:pPr>
      <w:r w:rsidRPr="000B1E4D">
        <w:rPr>
          <w:noProof/>
        </w:rPr>
        <w:t>Artikel 16</w:t>
      </w:r>
    </w:p>
    <w:p w:rsidR="000A5D79" w:rsidRPr="000B1E4D" w:rsidRDefault="000A5D79" w:rsidP="000A5D79">
      <w:pPr>
        <w:pStyle w:val="Titrearticle"/>
        <w:spacing w:before="120"/>
        <w:rPr>
          <w:b/>
          <w:i w:val="0"/>
          <w:noProof/>
        </w:rPr>
      </w:pPr>
      <w:r w:rsidRPr="000B1E4D">
        <w:rPr>
          <w:b/>
          <w:i w:val="0"/>
          <w:noProof/>
        </w:rPr>
        <w:t>Offentliggörande av användning av schablonmetoden och av den alternativa internmodellmetoden för marknadsrisk</w:t>
      </w:r>
    </w:p>
    <w:p w:rsidR="000A5D79" w:rsidRPr="000B1E4D" w:rsidRDefault="00924030" w:rsidP="00924030">
      <w:pPr>
        <w:pStyle w:val="ManualNumPar1"/>
        <w:rPr>
          <w:noProof/>
        </w:rPr>
      </w:pPr>
      <w:r w:rsidRPr="00924030">
        <w:rPr>
          <w:noProof/>
        </w:rPr>
        <w:t>1.</w:t>
      </w:r>
      <w:r w:rsidRPr="00924030">
        <w:rPr>
          <w:noProof/>
        </w:rPr>
        <w:tab/>
      </w:r>
      <w:r w:rsidR="000A5D79" w:rsidRPr="000B1E4D">
        <w:rPr>
          <w:noProof/>
        </w:rPr>
        <w:t>Instituten ska offentliggöra den information som avses i artiklarna 435.1 a–d, 438, 445.1, 445.2. 455.1 a–f, 455.2 och 455.3 i förordning (EU) nr 575/2013 i enlighet med avsnitt 15 – ”Offentliggörande av marknadsrisk” i bilaga I.</w:t>
      </w:r>
    </w:p>
    <w:p w:rsidR="000A5D79" w:rsidRPr="000B1E4D" w:rsidRDefault="00924030" w:rsidP="00924030">
      <w:pPr>
        <w:pStyle w:val="ManualNumPar1"/>
        <w:rPr>
          <w:noProof/>
        </w:rPr>
      </w:pPr>
      <w:r w:rsidRPr="00924030">
        <w:rPr>
          <w:noProof/>
        </w:rPr>
        <w:t>2.</w:t>
      </w:r>
      <w:r w:rsidRPr="00924030">
        <w:rPr>
          <w:noProof/>
        </w:rPr>
        <w:tab/>
      </w:r>
      <w:r w:rsidR="000A5D79" w:rsidRPr="000B1E4D">
        <w:rPr>
          <w:noProof/>
        </w:rPr>
        <w:t>Senast den 31 december 2025 ska instituten offentliggöra informationen i enlighet med artikel 15 i kommissionens genomförandeförordning (EU) 2021/637</w:t>
      </w:r>
      <w:r w:rsidR="000A5D79" w:rsidRPr="000B1E4D">
        <w:rPr>
          <w:rStyle w:val="FootnoteReference"/>
          <w:rFonts w:eastAsia="Times New Roman"/>
          <w:noProof/>
          <w:lang w:eastAsia="en-GB" w:bidi="en-GB"/>
        </w:rPr>
        <w:footnoteReference w:id="12"/>
      </w:r>
      <w:r w:rsidR="000A5D79" w:rsidRPr="000B1E4D">
        <w:rPr>
          <w:noProof/>
        </w:rPr>
        <w:t>.</w:t>
      </w:r>
    </w:p>
    <w:p w:rsidR="000A5D79" w:rsidRPr="000B1E4D" w:rsidRDefault="00924030" w:rsidP="00924030">
      <w:pPr>
        <w:pStyle w:val="ManualNumPar1"/>
        <w:rPr>
          <w:noProof/>
        </w:rPr>
      </w:pPr>
      <w:r w:rsidRPr="00924030">
        <w:rPr>
          <w:noProof/>
        </w:rPr>
        <w:t>3.</w:t>
      </w:r>
      <w:r w:rsidRPr="00924030">
        <w:rPr>
          <w:noProof/>
        </w:rPr>
        <w:tab/>
      </w:r>
      <w:r w:rsidR="000A5D79" w:rsidRPr="000B1E4D">
        <w:rPr>
          <w:noProof/>
        </w:rPr>
        <w:t xml:space="preserve">Vid den första tillämpningsdagen för användning av de alternativa metoder som avses i artikel 325az i förordning (EU) nr 575/2013 ska institut som använder den alternativa internmodellmetoden för marknadsrisk offentliggöra den kvalitativa information som avses i artikel 455.1 a–f i förordning (EU) nr 575/2013 tillsammans med den kvantitativa information som avses i artikel 455.2 i den förordningen. </w:t>
      </w:r>
    </w:p>
    <w:p w:rsidR="000A5D79" w:rsidRPr="000B1E4D" w:rsidRDefault="000A5D79" w:rsidP="00813A48">
      <w:pPr>
        <w:pStyle w:val="Titrearticle"/>
        <w:spacing w:before="120"/>
        <w:rPr>
          <w:noProof/>
        </w:rPr>
      </w:pPr>
      <w:r w:rsidRPr="000B1E4D">
        <w:rPr>
          <w:noProof/>
        </w:rPr>
        <w:t>Artikel 17</w:t>
      </w:r>
    </w:p>
    <w:p w:rsidR="000A5D79" w:rsidRPr="000B1E4D" w:rsidRDefault="000A5D79" w:rsidP="00813A48">
      <w:pPr>
        <w:pStyle w:val="Titrearticle"/>
        <w:spacing w:before="120"/>
        <w:rPr>
          <w:b/>
          <w:i w:val="0"/>
          <w:noProof/>
        </w:rPr>
      </w:pPr>
      <w:r w:rsidRPr="000B1E4D">
        <w:rPr>
          <w:b/>
          <w:i w:val="0"/>
          <w:noProof/>
        </w:rPr>
        <w:t>Offentliggörande av kreditvärdighetsjusteringsrisker</w:t>
      </w:r>
    </w:p>
    <w:p w:rsidR="000A5D79" w:rsidRPr="000B1E4D" w:rsidRDefault="000A5D79" w:rsidP="00905855">
      <w:pPr>
        <w:rPr>
          <w:noProof/>
        </w:rPr>
      </w:pPr>
      <w:r w:rsidRPr="000B1E4D">
        <w:rPr>
          <w:noProof/>
        </w:rPr>
        <w:t>Instituten ska offentliggöra den information som avses i artiklarna 438 d och h, 439 h och 445a i förordning (EU) nr 575/2013 i enlighet med avsnitt 16 – ”Offentliggörande av kreditvärdighetsjustering” i bilaga I.</w:t>
      </w:r>
    </w:p>
    <w:p w:rsidR="000A5D79" w:rsidRPr="000B1E4D" w:rsidRDefault="000A5D79" w:rsidP="000A5D79">
      <w:pPr>
        <w:pStyle w:val="Titrearticle"/>
        <w:rPr>
          <w:noProof/>
        </w:rPr>
      </w:pPr>
      <w:r w:rsidRPr="000B1E4D">
        <w:rPr>
          <w:noProof/>
        </w:rPr>
        <w:t>Artikel 18</w:t>
      </w:r>
    </w:p>
    <w:p w:rsidR="000A5D79" w:rsidRPr="000B1E4D" w:rsidRDefault="000A5D79" w:rsidP="000A5D79">
      <w:pPr>
        <w:pStyle w:val="Titrearticle"/>
        <w:spacing w:before="120"/>
        <w:rPr>
          <w:b/>
          <w:i w:val="0"/>
          <w:noProof/>
        </w:rPr>
      </w:pPr>
      <w:r w:rsidRPr="000B1E4D">
        <w:rPr>
          <w:b/>
          <w:i w:val="0"/>
          <w:noProof/>
        </w:rPr>
        <w:t xml:space="preserve">Offentliggörande av operativ risk </w:t>
      </w:r>
    </w:p>
    <w:p w:rsidR="000A5D79" w:rsidRPr="000B1E4D" w:rsidRDefault="000A5D79" w:rsidP="000A5D79">
      <w:pPr>
        <w:rPr>
          <w:noProof/>
        </w:rPr>
      </w:pPr>
      <w:r w:rsidRPr="000B1E4D">
        <w:rPr>
          <w:noProof/>
        </w:rPr>
        <w:t>Instituten ska offentliggöra den information som avses i artiklarna 435, 438 d och 446 i förordning (EU) nr 575/2013 i enlighet med avsnitt 17 – ”Offentliggörande av operativ risk” i bilaga I.</w:t>
      </w:r>
    </w:p>
    <w:p w:rsidR="000A5D79" w:rsidRPr="000B1E4D" w:rsidRDefault="000A5D79" w:rsidP="000A5D79">
      <w:pPr>
        <w:pStyle w:val="Titrearticle"/>
        <w:rPr>
          <w:noProof/>
        </w:rPr>
      </w:pPr>
      <w:r w:rsidRPr="000B1E4D">
        <w:rPr>
          <w:noProof/>
        </w:rPr>
        <w:t xml:space="preserve">Artikel 19 </w:t>
      </w:r>
    </w:p>
    <w:p w:rsidR="000A5D79" w:rsidRPr="000B1E4D" w:rsidRDefault="000A5D79" w:rsidP="000A5D79">
      <w:pPr>
        <w:pStyle w:val="Titrearticle"/>
        <w:spacing w:before="120"/>
        <w:rPr>
          <w:b/>
          <w:i w:val="0"/>
          <w:noProof/>
        </w:rPr>
      </w:pPr>
      <w:r w:rsidRPr="000B1E4D">
        <w:rPr>
          <w:b/>
          <w:i w:val="0"/>
          <w:noProof/>
        </w:rPr>
        <w:t>Offentliggörande av exponering för ränterisk för positioner som inte ingår i handelslagret</w:t>
      </w:r>
    </w:p>
    <w:p w:rsidR="000A5D79" w:rsidRPr="000B1E4D" w:rsidRDefault="00924030" w:rsidP="00924030">
      <w:pPr>
        <w:pStyle w:val="ManualNumPar1"/>
        <w:rPr>
          <w:noProof/>
        </w:rPr>
      </w:pPr>
      <w:r w:rsidRPr="00924030">
        <w:rPr>
          <w:noProof/>
        </w:rPr>
        <w:t>1.</w:t>
      </w:r>
      <w:r w:rsidRPr="00924030">
        <w:rPr>
          <w:noProof/>
        </w:rPr>
        <w:tab/>
      </w:r>
      <w:r w:rsidR="000A5D79" w:rsidRPr="000B1E4D">
        <w:rPr>
          <w:noProof/>
        </w:rPr>
        <w:t xml:space="preserve">Instituten ska offentliggöra den information som avses i artikel 448.1 a–g i förordning (EU) nr 575/2013 i enlighet med avsnitt 18 – ”Offentliggörande av ränterisk i verksamhet utanför handelslagret” i bilaga I. </w:t>
      </w:r>
    </w:p>
    <w:p w:rsidR="000A5D79" w:rsidRPr="000B1E4D" w:rsidRDefault="00924030" w:rsidP="00924030">
      <w:pPr>
        <w:pStyle w:val="ManualNumPar1"/>
        <w:rPr>
          <w:noProof/>
        </w:rPr>
      </w:pPr>
      <w:r w:rsidRPr="00924030">
        <w:rPr>
          <w:noProof/>
        </w:rPr>
        <w:t>2.</w:t>
      </w:r>
      <w:r w:rsidRPr="00924030">
        <w:rPr>
          <w:noProof/>
        </w:rPr>
        <w:tab/>
      </w:r>
      <w:r w:rsidR="00725C62" w:rsidRPr="000B1E4D">
        <w:rPr>
          <w:noProof/>
        </w:rPr>
        <w:t>Institut som för första gången offentliggör information i enlighet med punkt 1 ska inte vara skyldiga att offentliggöra den informationen avseende föregående referensdatum.</w:t>
      </w:r>
    </w:p>
    <w:p w:rsidR="000A5D79" w:rsidRPr="000B1E4D" w:rsidRDefault="000A5D79" w:rsidP="00813A48">
      <w:pPr>
        <w:pStyle w:val="Titrearticle"/>
        <w:rPr>
          <w:noProof/>
        </w:rPr>
      </w:pPr>
      <w:r w:rsidRPr="000B1E4D">
        <w:rPr>
          <w:noProof/>
        </w:rPr>
        <w:t>Artikel 20</w:t>
      </w:r>
    </w:p>
    <w:p w:rsidR="000A5D79" w:rsidRPr="000B1E4D" w:rsidRDefault="000A5D79" w:rsidP="000A5D79">
      <w:pPr>
        <w:pStyle w:val="Titrearticle"/>
        <w:spacing w:before="120"/>
        <w:rPr>
          <w:b/>
          <w:i w:val="0"/>
          <w:noProof/>
        </w:rPr>
      </w:pPr>
      <w:r w:rsidRPr="000B1E4D">
        <w:rPr>
          <w:b/>
          <w:i w:val="0"/>
          <w:noProof/>
        </w:rPr>
        <w:t>Offentliggörande av ersättningspolicy</w:t>
      </w:r>
    </w:p>
    <w:p w:rsidR="000A5D79" w:rsidRPr="000B1E4D" w:rsidRDefault="000A5D79" w:rsidP="00905855">
      <w:pPr>
        <w:rPr>
          <w:i/>
          <w:noProof/>
        </w:rPr>
      </w:pPr>
      <w:r w:rsidRPr="000B1E4D">
        <w:rPr>
          <w:noProof/>
        </w:rPr>
        <w:t xml:space="preserve">Instituten ska offentliggöra den information som avses i artikel 450 i förordning (EU) nr 575/2013 i enlighet med avsnitt 19 – ”Offentliggörande av ersättningspolicy” i bilaga I. </w:t>
      </w:r>
    </w:p>
    <w:p w:rsidR="000A5D79" w:rsidRPr="000B1E4D" w:rsidRDefault="000A5D79" w:rsidP="00115B95">
      <w:pPr>
        <w:pStyle w:val="Titrearticle"/>
        <w:rPr>
          <w:noProof/>
        </w:rPr>
      </w:pPr>
      <w:r w:rsidRPr="000B1E4D">
        <w:rPr>
          <w:noProof/>
        </w:rPr>
        <w:t>Artikel 21</w:t>
      </w:r>
    </w:p>
    <w:p w:rsidR="000A5D79" w:rsidRPr="000B1E4D" w:rsidRDefault="000A5D79" w:rsidP="000A5D79">
      <w:pPr>
        <w:pStyle w:val="Titrearticle"/>
        <w:spacing w:before="120"/>
        <w:rPr>
          <w:b/>
          <w:i w:val="0"/>
          <w:noProof/>
        </w:rPr>
      </w:pPr>
      <w:r w:rsidRPr="000B1E4D">
        <w:rPr>
          <w:b/>
          <w:i w:val="0"/>
          <w:noProof/>
        </w:rPr>
        <w:t xml:space="preserve">Offentliggörande av intecknade och icke intecknade tillgångar </w:t>
      </w:r>
    </w:p>
    <w:p w:rsidR="000A5D79" w:rsidRPr="000B1E4D" w:rsidRDefault="000A5D79" w:rsidP="00905855">
      <w:pPr>
        <w:rPr>
          <w:noProof/>
        </w:rPr>
      </w:pPr>
      <w:r w:rsidRPr="000B1E4D">
        <w:rPr>
          <w:noProof/>
        </w:rPr>
        <w:t xml:space="preserve">Instituten ska offentliggöra den information som avses i artikel 443 i förordning (EU) nr 575/2013 i enlighet med avsnitt 20 – ”Offentliggörande av intecknade och icke intecknade tillgångar” i bilaga I. </w:t>
      </w:r>
    </w:p>
    <w:p w:rsidR="000A5D79" w:rsidRPr="000B1E4D" w:rsidRDefault="000A5D79" w:rsidP="00115B95">
      <w:pPr>
        <w:pStyle w:val="Titrearticle"/>
        <w:rPr>
          <w:noProof/>
        </w:rPr>
      </w:pPr>
      <w:r w:rsidRPr="000B1E4D">
        <w:rPr>
          <w:noProof/>
        </w:rPr>
        <w:t xml:space="preserve">Artikel 22 </w:t>
      </w:r>
    </w:p>
    <w:p w:rsidR="000A5D79" w:rsidRPr="000B1E4D" w:rsidRDefault="000A5D79" w:rsidP="000A5D79">
      <w:pPr>
        <w:pStyle w:val="Titrearticle"/>
        <w:spacing w:before="120"/>
        <w:rPr>
          <w:b/>
          <w:i w:val="0"/>
          <w:noProof/>
        </w:rPr>
      </w:pPr>
      <w:r w:rsidRPr="000B1E4D">
        <w:rPr>
          <w:b/>
          <w:i w:val="0"/>
          <w:noProof/>
        </w:rPr>
        <w:t xml:space="preserve">Offentliggörande av </w:t>
      </w:r>
      <w:bookmarkStart w:id="6" w:name="_Hlk163229421"/>
      <w:r w:rsidRPr="000B1E4D">
        <w:rPr>
          <w:b/>
          <w:i w:val="0"/>
          <w:noProof/>
        </w:rPr>
        <w:t>miljö-, samhällsansvars- och bolagsstyrningsrisker</w:t>
      </w:r>
      <w:bookmarkEnd w:id="6"/>
      <w:r w:rsidRPr="000B1E4D">
        <w:rPr>
          <w:b/>
          <w:i w:val="0"/>
          <w:noProof/>
        </w:rPr>
        <w:t xml:space="preserve"> (ESG-risker)</w:t>
      </w:r>
    </w:p>
    <w:p w:rsidR="000A5D79" w:rsidRPr="000B1E4D" w:rsidRDefault="00924030" w:rsidP="00924030">
      <w:pPr>
        <w:pStyle w:val="ManualNumPar1"/>
        <w:rPr>
          <w:noProof/>
        </w:rPr>
      </w:pPr>
      <w:r w:rsidRPr="00924030">
        <w:rPr>
          <w:noProof/>
        </w:rPr>
        <w:t>1.</w:t>
      </w:r>
      <w:r w:rsidRPr="00924030">
        <w:rPr>
          <w:noProof/>
        </w:rPr>
        <w:tab/>
      </w:r>
      <w:r w:rsidR="000A5D79" w:rsidRPr="000B1E4D">
        <w:rPr>
          <w:noProof/>
        </w:rPr>
        <w:t>Instituten ska offentliggöra den information som avses i artikel 449a i förordning (EU) nr 575/2013 i enlighet med avsnitt 21 – ”Offentliggörande av tillsynsskäl av ESG-risker” i bilaga I. Den informationen ska omfatta följande:</w:t>
      </w:r>
    </w:p>
    <w:p w:rsidR="000A5D79" w:rsidRPr="000B1E4D" w:rsidRDefault="00924030" w:rsidP="00924030">
      <w:pPr>
        <w:pStyle w:val="Point1"/>
        <w:rPr>
          <w:noProof/>
        </w:rPr>
      </w:pPr>
      <w:r w:rsidRPr="00924030">
        <w:rPr>
          <w:noProof/>
        </w:rPr>
        <w:t>(a)</w:t>
      </w:r>
      <w:r w:rsidRPr="00924030">
        <w:rPr>
          <w:noProof/>
        </w:rPr>
        <w:tab/>
      </w:r>
      <w:r w:rsidR="000A5D79" w:rsidRPr="000B1E4D">
        <w:rPr>
          <w:noProof/>
        </w:rPr>
        <w:t xml:space="preserve">Kvalitativ information om miljö-, samhällsansvars- och bolagsstyrningsrisker. </w:t>
      </w:r>
    </w:p>
    <w:p w:rsidR="000A5D79" w:rsidRPr="000B1E4D" w:rsidRDefault="00924030" w:rsidP="00924030">
      <w:pPr>
        <w:pStyle w:val="Point1"/>
        <w:rPr>
          <w:noProof/>
        </w:rPr>
      </w:pPr>
      <w:r w:rsidRPr="00924030">
        <w:rPr>
          <w:noProof/>
        </w:rPr>
        <w:t>(b)</w:t>
      </w:r>
      <w:r w:rsidRPr="00924030">
        <w:rPr>
          <w:noProof/>
        </w:rPr>
        <w:tab/>
      </w:r>
      <w:r w:rsidR="000A5D79" w:rsidRPr="000B1E4D">
        <w:rPr>
          <w:noProof/>
        </w:rPr>
        <w:t xml:space="preserve">Kvantitativ information om klimatförändringsrelaterad omställningsrisk. </w:t>
      </w:r>
    </w:p>
    <w:p w:rsidR="000A5D79" w:rsidRPr="000B1E4D" w:rsidRDefault="00924030" w:rsidP="00924030">
      <w:pPr>
        <w:pStyle w:val="Point1"/>
        <w:rPr>
          <w:noProof/>
        </w:rPr>
      </w:pPr>
      <w:r w:rsidRPr="00924030">
        <w:rPr>
          <w:noProof/>
        </w:rPr>
        <w:t>(c)</w:t>
      </w:r>
      <w:r w:rsidRPr="00924030">
        <w:rPr>
          <w:noProof/>
        </w:rPr>
        <w:tab/>
      </w:r>
      <w:r w:rsidR="000A5D79" w:rsidRPr="000B1E4D">
        <w:rPr>
          <w:noProof/>
        </w:rPr>
        <w:t xml:space="preserve">Kvantitativ information om klimatförändringsrelaterad fysisk risk. </w:t>
      </w:r>
    </w:p>
    <w:p w:rsidR="000A5D79" w:rsidRPr="000B1E4D" w:rsidRDefault="00924030" w:rsidP="00924030">
      <w:pPr>
        <w:pStyle w:val="Point1"/>
        <w:rPr>
          <w:noProof/>
        </w:rPr>
      </w:pPr>
      <w:r w:rsidRPr="00924030">
        <w:rPr>
          <w:noProof/>
        </w:rPr>
        <w:t>(d)</w:t>
      </w:r>
      <w:r w:rsidRPr="00924030">
        <w:rPr>
          <w:noProof/>
        </w:rPr>
        <w:tab/>
      </w:r>
      <w:r w:rsidR="000A5D79" w:rsidRPr="000B1E4D">
        <w:rPr>
          <w:noProof/>
        </w:rPr>
        <w:t>Kvantitativ information om begränsningsåtgärder i samband med ekonomiska verksamheter som klassificeras som miljömässigt hållbara enligt artikel 3 i förordning (EU) 2020/852 gentemot de motparter som omfattas av artiklarna 19a eller 29a i direktiv 2013/34/EU, gentemot hushåll och gentemot lokala myndigheter enligt del 1 punkt 42 b i bilaga V till kommissionens genomförandeförordning (EU) 2021/451</w:t>
      </w:r>
      <w:r w:rsidR="000A5D79" w:rsidRPr="000B1E4D">
        <w:rPr>
          <w:rStyle w:val="FootnoteReference"/>
          <w:noProof/>
        </w:rPr>
        <w:footnoteReference w:id="13"/>
      </w:r>
      <w:r w:rsidR="000A5D79" w:rsidRPr="000B1E4D">
        <w:rPr>
          <w:noProof/>
        </w:rPr>
        <w:t xml:space="preserve">. </w:t>
      </w:r>
    </w:p>
    <w:p w:rsidR="000A5D79" w:rsidRPr="000B1E4D" w:rsidRDefault="00924030" w:rsidP="00924030">
      <w:pPr>
        <w:pStyle w:val="Point1"/>
        <w:rPr>
          <w:noProof/>
        </w:rPr>
      </w:pPr>
      <w:r w:rsidRPr="00924030">
        <w:rPr>
          <w:noProof/>
        </w:rPr>
        <w:t>(e)</w:t>
      </w:r>
      <w:r w:rsidRPr="00924030">
        <w:rPr>
          <w:noProof/>
        </w:rPr>
        <w:tab/>
      </w:r>
      <w:r w:rsidR="000A5D79" w:rsidRPr="000B1E4D">
        <w:rPr>
          <w:noProof/>
        </w:rPr>
        <w:t xml:space="preserve">Kvantitativ information om andra begränsningsåtgärder och exponeringar mot klimatförändringsrelaterade risker som inte uppfyller kraven för miljömässigt hållbara ekonomiska verksamheter enligt artikel 3 i förordning (EU) 2020/852 men som stöder motparterna i omställnings- eller anpassningsprocessen med målen om begränsning av klimatförändringar och anpassning till klimatförändringar. </w:t>
      </w:r>
    </w:p>
    <w:p w:rsidR="000A5D79" w:rsidRPr="000B1E4D" w:rsidRDefault="00924030" w:rsidP="00924030">
      <w:pPr>
        <w:pStyle w:val="ManualNumPar1"/>
        <w:rPr>
          <w:noProof/>
        </w:rPr>
      </w:pPr>
      <w:r w:rsidRPr="00924030">
        <w:rPr>
          <w:noProof/>
        </w:rPr>
        <w:t>2.</w:t>
      </w:r>
      <w:r w:rsidRPr="00924030">
        <w:rPr>
          <w:noProof/>
        </w:rPr>
        <w:tab/>
      </w:r>
      <w:r w:rsidR="000A5D79" w:rsidRPr="000B1E4D">
        <w:rPr>
          <w:noProof/>
        </w:rPr>
        <w:t>Instituten får välja att offentliggöra kvantitativ information om begränsningsåtgärder och exponeringar mot klimatförändringsrelaterade risker kopplade till ekonomiska verksamheter som anses vara miljömässigt hållbara enligt artikel 3 i förordning (EU) 2020/852, gentemot motparter som är icke-finansiella företag, som inte omfattas av den upplysningsskyldighet som fastställs i artiklarna 19a och 29a i direktiv 2013/34/EU och i kommissionens genomförandeförordning (EU) 2021/2178</w:t>
      </w:r>
      <w:r w:rsidR="000A5D79" w:rsidRPr="000B1E4D">
        <w:rPr>
          <w:rStyle w:val="FootnoteReference"/>
          <w:noProof/>
        </w:rPr>
        <w:footnoteReference w:id="14"/>
      </w:r>
      <w:r w:rsidR="000A5D79" w:rsidRPr="000B1E4D">
        <w:rPr>
          <w:noProof/>
        </w:rPr>
        <w:t>.</w:t>
      </w:r>
    </w:p>
    <w:p w:rsidR="000A5D79" w:rsidRPr="000B1E4D" w:rsidRDefault="000A5D79" w:rsidP="00204A69">
      <w:pPr>
        <w:pStyle w:val="Text1"/>
        <w:rPr>
          <w:noProof/>
        </w:rPr>
      </w:pPr>
      <w:r w:rsidRPr="000B1E4D">
        <w:rPr>
          <w:noProof/>
        </w:rPr>
        <w:t xml:space="preserve">Vid beräkning av procentandelen exponeringar mot verksamheter som uppfyller kraven i artikel 3 i förordning (EU) 2020/852 (taxonomianpassade exponeringar) gentemot dessa motparter får instituten </w:t>
      </w:r>
    </w:p>
    <w:p w:rsidR="000A5D79" w:rsidRPr="000B1E4D" w:rsidRDefault="00924030" w:rsidP="00924030">
      <w:pPr>
        <w:pStyle w:val="Point1"/>
        <w:rPr>
          <w:noProof/>
        </w:rPr>
      </w:pPr>
      <w:r w:rsidRPr="00924030">
        <w:rPr>
          <w:noProof/>
        </w:rPr>
        <w:t>(a)</w:t>
      </w:r>
      <w:r w:rsidRPr="00924030">
        <w:rPr>
          <w:noProof/>
        </w:rPr>
        <w:tab/>
      </w:r>
      <w:r w:rsidR="000A5D79" w:rsidRPr="000B1E4D">
        <w:rPr>
          <w:noProof/>
        </w:rPr>
        <w:t xml:space="preserve">använda information som erhållits från deras motparter på frivillig och ömsesidig basis genom låneutgivning, regelbunden kreditgranskning och övervakning, </w:t>
      </w:r>
    </w:p>
    <w:p w:rsidR="000A5D79" w:rsidRPr="000B1E4D" w:rsidRDefault="00924030" w:rsidP="00924030">
      <w:pPr>
        <w:pStyle w:val="Point1"/>
        <w:rPr>
          <w:noProof/>
        </w:rPr>
      </w:pPr>
      <w:r w:rsidRPr="00924030">
        <w:rPr>
          <w:noProof/>
        </w:rPr>
        <w:t>(b)</w:t>
      </w:r>
      <w:r w:rsidRPr="00924030">
        <w:rPr>
          <w:noProof/>
        </w:rPr>
        <w:tab/>
      </w:r>
      <w:r w:rsidR="000A5D79" w:rsidRPr="000B1E4D">
        <w:rPr>
          <w:noProof/>
        </w:rPr>
        <w:t>om motparten inte kan eller vill tillhandahålla de berörda uppgifterna på ömsesidig basis, använda interna skattningar och proxyvariabler och i den beskrivning som åtföljer mallen förklara i vilken utsträckning dessa interna skattningar och proxyvariabler har använts och vilka interna skattningar och proxyvariabler som har använts,</w:t>
      </w:r>
    </w:p>
    <w:p w:rsidR="000A5D79" w:rsidRPr="000B1E4D" w:rsidRDefault="00924030" w:rsidP="00924030">
      <w:pPr>
        <w:pStyle w:val="Point1"/>
        <w:rPr>
          <w:noProof/>
        </w:rPr>
      </w:pPr>
      <w:r w:rsidRPr="00924030">
        <w:rPr>
          <w:noProof/>
        </w:rPr>
        <w:t>(c)</w:t>
      </w:r>
      <w:r w:rsidRPr="00924030">
        <w:rPr>
          <w:noProof/>
        </w:rPr>
        <w:tab/>
      </w:r>
      <w:r w:rsidR="000A5D79" w:rsidRPr="000B1E4D">
        <w:rPr>
          <w:noProof/>
        </w:rPr>
        <w:t xml:space="preserve">om de inte kan samla in den berörda informationen på ömsesidig basis eller inte kan använda interna skattningar och proxyvariabler, eller inte kan samla in den informationen eller använda dessa skattningar och proxyvariabler på ett sätt som inte är alltför betungande för dem eller deras motparter, förklara denna oförmåga i den beskrivning som åtföljer mallen. </w:t>
      </w:r>
    </w:p>
    <w:p w:rsidR="000A5D79" w:rsidRPr="000B1E4D" w:rsidRDefault="000A5D79" w:rsidP="00204A69">
      <w:pPr>
        <w:pStyle w:val="Text1"/>
        <w:rPr>
          <w:noProof/>
        </w:rPr>
      </w:pPr>
      <w:r w:rsidRPr="000B1E4D">
        <w:rPr>
          <w:noProof/>
        </w:rPr>
        <w:t xml:space="preserve">Vid tillämpning av led a ska instituten informera sina motparter om att tillhandahållandet av denna information är frivilligt. </w:t>
      </w:r>
    </w:p>
    <w:p w:rsidR="000A5D79" w:rsidRPr="000B1E4D" w:rsidRDefault="000A5D79" w:rsidP="00813A48">
      <w:pPr>
        <w:pStyle w:val="Titrearticle"/>
        <w:spacing w:before="120"/>
        <w:rPr>
          <w:noProof/>
        </w:rPr>
      </w:pPr>
      <w:r w:rsidRPr="000B1E4D">
        <w:rPr>
          <w:noProof/>
        </w:rPr>
        <w:t>Artikel 23</w:t>
      </w:r>
    </w:p>
    <w:p w:rsidR="000A5D79" w:rsidRPr="000B1E4D" w:rsidRDefault="00AB6551" w:rsidP="00813A48">
      <w:pPr>
        <w:pStyle w:val="Titrearticle"/>
        <w:spacing w:before="120"/>
        <w:rPr>
          <w:b/>
          <w:i w:val="0"/>
          <w:noProof/>
        </w:rPr>
      </w:pPr>
      <w:r w:rsidRPr="000B1E4D">
        <w:rPr>
          <w:b/>
          <w:i w:val="0"/>
          <w:noProof/>
        </w:rPr>
        <w:t>Offentliggörande av kryptotillgångar</w:t>
      </w:r>
    </w:p>
    <w:p w:rsidR="000A5D79" w:rsidRPr="000B1E4D" w:rsidRDefault="000A5D79" w:rsidP="00905855">
      <w:pPr>
        <w:rPr>
          <w:noProof/>
        </w:rPr>
      </w:pPr>
      <w:r w:rsidRPr="000B1E4D">
        <w:rPr>
          <w:noProof/>
        </w:rPr>
        <w:t xml:space="preserve">Instituten ska offentliggöra informationen för beräkning av kapitalbaskraven för kryptotillgångsexponeringar </w:t>
      </w:r>
      <w:bookmarkStart w:id="7" w:name="_Hlk163582169"/>
      <w:r w:rsidRPr="000B1E4D">
        <w:rPr>
          <w:noProof/>
        </w:rPr>
        <w:t>i enlighet med artikel 501d.2 i</w:t>
      </w:r>
      <w:bookmarkEnd w:id="7"/>
      <w:r w:rsidRPr="000B1E4D">
        <w:rPr>
          <w:noProof/>
        </w:rPr>
        <w:t xml:space="preserve"> förordning (EU) nr 575/2013 i enlighet med avsnitt 22 – ”Offentliggörande av kryptotillgångsexponeringar” i bilaga I.</w:t>
      </w:r>
    </w:p>
    <w:p w:rsidR="0066214E" w:rsidRPr="000B1E4D" w:rsidRDefault="0066214E" w:rsidP="0066214E">
      <w:pPr>
        <w:spacing w:before="360"/>
        <w:jc w:val="center"/>
        <w:rPr>
          <w:i/>
          <w:iCs/>
          <w:noProof/>
        </w:rPr>
      </w:pPr>
      <w:r w:rsidRPr="000B1E4D">
        <w:rPr>
          <w:i/>
          <w:noProof/>
        </w:rPr>
        <w:t>Artikel 24</w:t>
      </w:r>
    </w:p>
    <w:p w:rsidR="0066214E" w:rsidRPr="000B1E4D" w:rsidRDefault="0066214E" w:rsidP="0066214E">
      <w:pPr>
        <w:jc w:val="center"/>
        <w:rPr>
          <w:b/>
          <w:bCs/>
          <w:noProof/>
        </w:rPr>
      </w:pPr>
      <w:r w:rsidRPr="000B1E4D">
        <w:rPr>
          <w:b/>
          <w:noProof/>
        </w:rPr>
        <w:t xml:space="preserve">It-lösningar </w:t>
      </w:r>
    </w:p>
    <w:p w:rsidR="00344DF8" w:rsidRPr="000B1E4D" w:rsidRDefault="006C550D" w:rsidP="00BB0B33">
      <w:pPr>
        <w:rPr>
          <w:noProof/>
        </w:rPr>
      </w:pPr>
      <w:r w:rsidRPr="000B1E4D">
        <w:rPr>
          <w:noProof/>
        </w:rPr>
        <w:t xml:space="preserve">EBA ska säkerställa att de it-lösningar, inklusive instruktioner, som tagits fram för offentliggöranden som krävs enligt avdelningarna II och III i förordning (EU) nr 575/2013 alltid överensstämmer med de enhetliga format för offentliggörande som fastställs i denna förordning och omfattar alla de datapunkter och all information som förtecknas i mallarna för offentliggörande. </w:t>
      </w:r>
    </w:p>
    <w:p w:rsidR="00344DF8" w:rsidRPr="000B1E4D" w:rsidRDefault="00344DF8" w:rsidP="00BB0B33">
      <w:pPr>
        <w:rPr>
          <w:noProof/>
        </w:rPr>
      </w:pPr>
      <w:r w:rsidRPr="000B1E4D">
        <w:rPr>
          <w:noProof/>
        </w:rPr>
        <w:t>EBA ska göra de it-lösningar som avses i första stycket och eventuella tillhörande instruktioner tillgängliga på sin webbplats. EBA ska hålla dessa it-lösningar och instruktioner uppdaterade och tillgängliga på alla officiella språk.</w:t>
      </w:r>
    </w:p>
    <w:p w:rsidR="000A5D79" w:rsidRPr="000B1E4D" w:rsidRDefault="000A5D79" w:rsidP="000A5D79">
      <w:pPr>
        <w:pStyle w:val="Titrearticle"/>
        <w:rPr>
          <w:noProof/>
        </w:rPr>
      </w:pPr>
      <w:r w:rsidRPr="000B1E4D">
        <w:rPr>
          <w:noProof/>
        </w:rPr>
        <w:t>Artikel 25</w:t>
      </w:r>
    </w:p>
    <w:p w:rsidR="000A5D79" w:rsidRPr="000B1E4D" w:rsidRDefault="000A5D79" w:rsidP="000A5D79">
      <w:pPr>
        <w:pStyle w:val="Titrearticle"/>
        <w:spacing w:before="120"/>
        <w:rPr>
          <w:b/>
          <w:i w:val="0"/>
          <w:noProof/>
        </w:rPr>
      </w:pPr>
      <w:r w:rsidRPr="000B1E4D">
        <w:rPr>
          <w:b/>
          <w:i w:val="0"/>
          <w:noProof/>
        </w:rPr>
        <w:t>Allmänna bestämmelser om enhetliga format för offentliggörande</w:t>
      </w:r>
    </w:p>
    <w:p w:rsidR="000A5D79" w:rsidRPr="000B1E4D" w:rsidRDefault="00924030" w:rsidP="00924030">
      <w:pPr>
        <w:pStyle w:val="ManualNumPar1"/>
        <w:rPr>
          <w:noProof/>
        </w:rPr>
      </w:pPr>
      <w:r w:rsidRPr="00924030">
        <w:rPr>
          <w:noProof/>
        </w:rPr>
        <w:t>1.</w:t>
      </w:r>
      <w:r w:rsidRPr="00924030">
        <w:rPr>
          <w:noProof/>
        </w:rPr>
        <w:tab/>
      </w:r>
      <w:r w:rsidR="000A5D79" w:rsidRPr="000B1E4D">
        <w:rPr>
          <w:noProof/>
        </w:rPr>
        <w:t>Numreringen av rader eller kolumner i de enhetliga format för offentliggörande som avses i bilaga Ind och som ingår i de it-lösningar som utvecklats av EBA ska inte ändras om ett institut utelämnar en eller flera upplysningar i enlighet med artikel 432 i förordning (EU) nr 575/2013.</w:t>
      </w:r>
    </w:p>
    <w:p w:rsidR="000A5D79" w:rsidRPr="000B1E4D" w:rsidRDefault="00924030" w:rsidP="00924030">
      <w:pPr>
        <w:pStyle w:val="ManualNumPar1"/>
        <w:rPr>
          <w:noProof/>
        </w:rPr>
      </w:pPr>
      <w:r w:rsidRPr="00924030">
        <w:rPr>
          <w:noProof/>
        </w:rPr>
        <w:t>2.</w:t>
      </w:r>
      <w:r w:rsidRPr="00924030">
        <w:rPr>
          <w:noProof/>
        </w:rPr>
        <w:tab/>
      </w:r>
      <w:r w:rsidR="000A5D79" w:rsidRPr="000B1E4D">
        <w:rPr>
          <w:noProof/>
        </w:rPr>
        <w:t>I den beskrivning som medföljer den berörda mall eller tabell som bygger på it-lösningen ska instituten tydligt signalera vilka rader eller kolumner som är tomma och ange skälet till varför upplysningen har utelämnats.</w:t>
      </w:r>
    </w:p>
    <w:p w:rsidR="000A5D79" w:rsidRPr="000B1E4D" w:rsidRDefault="00924030" w:rsidP="00924030">
      <w:pPr>
        <w:pStyle w:val="ManualNumPar1"/>
        <w:rPr>
          <w:noProof/>
        </w:rPr>
      </w:pPr>
      <w:r w:rsidRPr="00924030">
        <w:rPr>
          <w:noProof/>
        </w:rPr>
        <w:t>3.</w:t>
      </w:r>
      <w:r w:rsidRPr="00924030">
        <w:rPr>
          <w:noProof/>
        </w:rPr>
        <w:tab/>
      </w:r>
      <w:r w:rsidR="000A5D79" w:rsidRPr="000B1E4D">
        <w:rPr>
          <w:noProof/>
        </w:rPr>
        <w:t>Den information som krävs enligt artikel 431 i förordning (EU) nr 575/2013 ska vara tydlig och utförlig så att användarna förstår den kvantitativa informationen, och den ska placeras i anslutning till de mallar som den avser.</w:t>
      </w:r>
    </w:p>
    <w:p w:rsidR="000A5D79" w:rsidRPr="000B1E4D" w:rsidRDefault="00924030" w:rsidP="00924030">
      <w:pPr>
        <w:pStyle w:val="ManualNumPar1"/>
        <w:rPr>
          <w:noProof/>
        </w:rPr>
      </w:pPr>
      <w:r w:rsidRPr="00924030">
        <w:rPr>
          <w:noProof/>
        </w:rPr>
        <w:t>4.</w:t>
      </w:r>
      <w:r w:rsidRPr="00924030">
        <w:rPr>
          <w:noProof/>
        </w:rPr>
        <w:tab/>
      </w:r>
      <w:r w:rsidR="000A5D79" w:rsidRPr="000B1E4D">
        <w:rPr>
          <w:noProof/>
        </w:rPr>
        <w:t>Numeriska värden ska anges enligt följande:</w:t>
      </w:r>
    </w:p>
    <w:p w:rsidR="000A5D79" w:rsidRPr="000B1E4D" w:rsidRDefault="00924030" w:rsidP="00924030">
      <w:pPr>
        <w:pStyle w:val="Point1"/>
        <w:rPr>
          <w:noProof/>
        </w:rPr>
      </w:pPr>
      <w:r w:rsidRPr="00924030">
        <w:rPr>
          <w:noProof/>
        </w:rPr>
        <w:t>(a)</w:t>
      </w:r>
      <w:r w:rsidRPr="00924030">
        <w:rPr>
          <w:noProof/>
        </w:rPr>
        <w:tab/>
      </w:r>
      <w:r w:rsidR="000A5D79" w:rsidRPr="000B1E4D">
        <w:rPr>
          <w:noProof/>
        </w:rPr>
        <w:t>Kvantitativa monetära uppgifter ska offentliggöras med en minsta noggrannhet motsvarande miljoner enheter.</w:t>
      </w:r>
    </w:p>
    <w:p w:rsidR="000A5D79" w:rsidRPr="000B1E4D" w:rsidRDefault="00924030" w:rsidP="00924030">
      <w:pPr>
        <w:pStyle w:val="Point1"/>
        <w:rPr>
          <w:noProof/>
        </w:rPr>
      </w:pPr>
      <w:r w:rsidRPr="00924030">
        <w:rPr>
          <w:noProof/>
        </w:rPr>
        <w:t>(a)</w:t>
      </w:r>
      <w:r w:rsidRPr="00924030">
        <w:rPr>
          <w:noProof/>
        </w:rPr>
        <w:tab/>
      </w:r>
      <w:r w:rsidR="000A5D79" w:rsidRPr="000B1E4D">
        <w:rPr>
          <w:noProof/>
        </w:rPr>
        <w:t>Kvantitativa uppgifter som offentliggörs som procentandel ska anges per enhet med en minsta noggrannhet motsvarande fyra decimaler.</w:t>
      </w:r>
    </w:p>
    <w:p w:rsidR="000A5D79" w:rsidRPr="000B1E4D" w:rsidRDefault="00757AA2" w:rsidP="00396A89">
      <w:pPr>
        <w:tabs>
          <w:tab w:val="left" w:pos="567"/>
        </w:tabs>
        <w:rPr>
          <w:noProof/>
        </w:rPr>
      </w:pPr>
      <w:r w:rsidRPr="000B1E4D">
        <w:rPr>
          <w:noProof/>
        </w:rPr>
        <w:t>5.</w:t>
      </w:r>
      <w:r w:rsidRPr="000B1E4D">
        <w:rPr>
          <w:noProof/>
        </w:rPr>
        <w:tab/>
        <w:t>Instituten ska också lämna ut följande information:</w:t>
      </w:r>
    </w:p>
    <w:p w:rsidR="000A5D79" w:rsidRPr="000B1E4D" w:rsidRDefault="00924030" w:rsidP="00924030">
      <w:pPr>
        <w:pStyle w:val="Point1"/>
        <w:rPr>
          <w:noProof/>
        </w:rPr>
      </w:pPr>
      <w:r w:rsidRPr="00924030">
        <w:rPr>
          <w:noProof/>
        </w:rPr>
        <w:t>(a)</w:t>
      </w:r>
      <w:r w:rsidRPr="00924030">
        <w:rPr>
          <w:noProof/>
        </w:rPr>
        <w:tab/>
      </w:r>
      <w:r w:rsidR="000A5D79" w:rsidRPr="000B1E4D">
        <w:rPr>
          <w:noProof/>
        </w:rPr>
        <w:t xml:space="preserve">Referensdatum och referensperiod för offentliggörandet. </w:t>
      </w:r>
    </w:p>
    <w:p w:rsidR="000A5D79" w:rsidRPr="000B1E4D" w:rsidRDefault="00924030" w:rsidP="00924030">
      <w:pPr>
        <w:pStyle w:val="Point1"/>
        <w:rPr>
          <w:noProof/>
        </w:rPr>
      </w:pPr>
      <w:r w:rsidRPr="00924030">
        <w:rPr>
          <w:noProof/>
        </w:rPr>
        <w:t>(b)</w:t>
      </w:r>
      <w:r w:rsidRPr="00924030">
        <w:rPr>
          <w:noProof/>
        </w:rPr>
        <w:tab/>
      </w:r>
      <w:r w:rsidR="000A5D79" w:rsidRPr="000B1E4D">
        <w:rPr>
          <w:noProof/>
        </w:rPr>
        <w:t xml:space="preserve">Rapporteringsvaluta. </w:t>
      </w:r>
    </w:p>
    <w:p w:rsidR="000A5D79" w:rsidRPr="000B1E4D" w:rsidRDefault="00924030" w:rsidP="00924030">
      <w:pPr>
        <w:pStyle w:val="Point1"/>
        <w:rPr>
          <w:noProof/>
        </w:rPr>
      </w:pPr>
      <w:r w:rsidRPr="00924030">
        <w:rPr>
          <w:noProof/>
        </w:rPr>
        <w:t>(c)</w:t>
      </w:r>
      <w:r w:rsidRPr="00924030">
        <w:rPr>
          <w:noProof/>
        </w:rPr>
        <w:tab/>
      </w:r>
      <w:r w:rsidR="000A5D79" w:rsidRPr="000B1E4D">
        <w:rPr>
          <w:noProof/>
        </w:rPr>
        <w:t>Det offentliggörande institutets namn och, i relevanta fall, identifieringskod för juridiska personer.</w:t>
      </w:r>
    </w:p>
    <w:p w:rsidR="000A5D79" w:rsidRPr="000B1E4D" w:rsidRDefault="00924030" w:rsidP="00924030">
      <w:pPr>
        <w:pStyle w:val="Point1"/>
        <w:rPr>
          <w:noProof/>
        </w:rPr>
      </w:pPr>
      <w:r w:rsidRPr="00924030">
        <w:rPr>
          <w:noProof/>
        </w:rPr>
        <w:t>(d)</w:t>
      </w:r>
      <w:r w:rsidRPr="00924030">
        <w:rPr>
          <w:noProof/>
        </w:rPr>
        <w:tab/>
      </w:r>
      <w:r w:rsidR="000A5D79" w:rsidRPr="000B1E4D">
        <w:rPr>
          <w:noProof/>
        </w:rPr>
        <w:t>Den redovisningsstandard som använts, i förekommande fall.</w:t>
      </w:r>
    </w:p>
    <w:p w:rsidR="000A5D79" w:rsidRPr="000B1E4D" w:rsidRDefault="00924030" w:rsidP="00924030">
      <w:pPr>
        <w:pStyle w:val="Point1"/>
        <w:rPr>
          <w:noProof/>
        </w:rPr>
      </w:pPr>
      <w:r w:rsidRPr="00924030">
        <w:rPr>
          <w:noProof/>
        </w:rPr>
        <w:t>(e)</w:t>
      </w:r>
      <w:r w:rsidRPr="00924030">
        <w:rPr>
          <w:noProof/>
        </w:rPr>
        <w:tab/>
      </w:r>
      <w:r w:rsidR="000A5D79" w:rsidRPr="000B1E4D">
        <w:rPr>
          <w:noProof/>
        </w:rPr>
        <w:t>Omfattningen av konsolideringen, i förekommande fall.</w:t>
      </w:r>
    </w:p>
    <w:p w:rsidR="007B2B7C" w:rsidRPr="000B1E4D" w:rsidRDefault="007B2B7C" w:rsidP="007B2B7C">
      <w:pPr>
        <w:pStyle w:val="Titrearticle"/>
        <w:rPr>
          <w:noProof/>
        </w:rPr>
      </w:pPr>
      <w:r w:rsidRPr="000B1E4D">
        <w:rPr>
          <w:noProof/>
        </w:rPr>
        <w:t>Artikel 26</w:t>
      </w:r>
    </w:p>
    <w:p w:rsidR="00AC044E" w:rsidRPr="000B1E4D" w:rsidRDefault="00AC044E" w:rsidP="00CA4079">
      <w:pPr>
        <w:pStyle w:val="Titrearticle"/>
        <w:spacing w:before="120"/>
        <w:rPr>
          <w:b/>
          <w:noProof/>
        </w:rPr>
      </w:pPr>
      <w:r w:rsidRPr="000B1E4D">
        <w:rPr>
          <w:b/>
          <w:i w:val="0"/>
          <w:noProof/>
        </w:rPr>
        <w:t>Offentliggörandeperiod och offentliggörandefrekvens</w:t>
      </w:r>
    </w:p>
    <w:p w:rsidR="00970F90" w:rsidRPr="000B1E4D" w:rsidRDefault="00924030" w:rsidP="00924030">
      <w:pPr>
        <w:pStyle w:val="ManualNumPar1"/>
        <w:rPr>
          <w:noProof/>
        </w:rPr>
      </w:pPr>
      <w:r w:rsidRPr="00924030">
        <w:rPr>
          <w:noProof/>
        </w:rPr>
        <w:t>1.</w:t>
      </w:r>
      <w:r w:rsidRPr="00924030">
        <w:rPr>
          <w:noProof/>
        </w:rPr>
        <w:tab/>
      </w:r>
      <w:r w:rsidR="00AC044E" w:rsidRPr="000B1E4D">
        <w:rPr>
          <w:noProof/>
        </w:rPr>
        <w:t xml:space="preserve">Offentliggörandeperioderna ska definieras som kvartalsperioderna T, T-1, T-2, T-3 och T-4. </w:t>
      </w:r>
    </w:p>
    <w:p w:rsidR="00AC044E" w:rsidRPr="000B1E4D" w:rsidRDefault="00924030" w:rsidP="00924030">
      <w:pPr>
        <w:pStyle w:val="ManualNumPar1"/>
        <w:rPr>
          <w:noProof/>
        </w:rPr>
      </w:pPr>
      <w:r w:rsidRPr="00924030">
        <w:rPr>
          <w:noProof/>
        </w:rPr>
        <w:t>2.</w:t>
      </w:r>
      <w:r w:rsidRPr="00924030">
        <w:rPr>
          <w:noProof/>
        </w:rPr>
        <w:tab/>
      </w:r>
      <w:r w:rsidR="00D234F9" w:rsidRPr="000B1E4D">
        <w:rPr>
          <w:noProof/>
        </w:rPr>
        <w:t xml:space="preserve">Raderna eller kolumnerna i de enhetliga format för offentliggörande som avses i bilaga Ind och som ingår i de it-lösningar som utvecklats av EBA ska fyllas i med den offentliggörandefrekvens som anges i artiklarna 433a, 433b och 433c i förordning (EU) nr 575/2013. </w:t>
      </w:r>
    </w:p>
    <w:p w:rsidR="00AC044E" w:rsidRPr="000B1E4D" w:rsidRDefault="00924030" w:rsidP="00924030">
      <w:pPr>
        <w:pStyle w:val="ManualNumPar1"/>
        <w:rPr>
          <w:noProof/>
        </w:rPr>
      </w:pPr>
      <w:r w:rsidRPr="00924030">
        <w:rPr>
          <w:noProof/>
        </w:rPr>
        <w:t>3.</w:t>
      </w:r>
      <w:r w:rsidRPr="00924030">
        <w:rPr>
          <w:noProof/>
        </w:rPr>
        <w:tab/>
      </w:r>
      <w:r w:rsidR="00AC044E" w:rsidRPr="000B1E4D">
        <w:rPr>
          <w:noProof/>
        </w:rPr>
        <w:t xml:space="preserve">Institut som omfattas av upplysningsskyldigheten ska offentliggöra information med följande frekvens: </w:t>
      </w:r>
    </w:p>
    <w:p w:rsidR="00AC044E" w:rsidRPr="000B1E4D" w:rsidRDefault="00924030" w:rsidP="00924030">
      <w:pPr>
        <w:pStyle w:val="Point1"/>
        <w:rPr>
          <w:noProof/>
        </w:rPr>
      </w:pPr>
      <w:r w:rsidRPr="00924030">
        <w:rPr>
          <w:noProof/>
        </w:rPr>
        <w:t>(a)</w:t>
      </w:r>
      <w:r w:rsidRPr="00924030">
        <w:rPr>
          <w:noProof/>
        </w:rPr>
        <w:tab/>
      </w:r>
      <w:r w:rsidR="00AC044E" w:rsidRPr="000B1E4D">
        <w:rPr>
          <w:noProof/>
        </w:rPr>
        <w:t xml:space="preserve">Institut som på kvartalsbasis offentliggör den information som ingår i bilaga I ska lämna uppgifter för perioderna T, T-1, T-2, T-3 och T-4. </w:t>
      </w:r>
    </w:p>
    <w:p w:rsidR="00AC044E" w:rsidRPr="000B1E4D" w:rsidRDefault="00924030" w:rsidP="00924030">
      <w:pPr>
        <w:pStyle w:val="Point1"/>
        <w:rPr>
          <w:noProof/>
        </w:rPr>
      </w:pPr>
      <w:r w:rsidRPr="00924030">
        <w:rPr>
          <w:noProof/>
        </w:rPr>
        <w:t>(b)</w:t>
      </w:r>
      <w:r w:rsidRPr="00924030">
        <w:rPr>
          <w:noProof/>
        </w:rPr>
        <w:tab/>
      </w:r>
      <w:r w:rsidR="00AC044E" w:rsidRPr="000B1E4D">
        <w:rPr>
          <w:noProof/>
        </w:rPr>
        <w:t xml:space="preserve">Institut som på halvårsbasis offentliggör den information som ingår i bilaga I ska lämna uppgifter för perioderna T, T-2 och T-4. </w:t>
      </w:r>
    </w:p>
    <w:p w:rsidR="00AC044E" w:rsidRPr="000B1E4D" w:rsidRDefault="00924030" w:rsidP="00924030">
      <w:pPr>
        <w:pStyle w:val="Point1"/>
        <w:rPr>
          <w:noProof/>
        </w:rPr>
      </w:pPr>
      <w:r w:rsidRPr="00924030">
        <w:rPr>
          <w:noProof/>
        </w:rPr>
        <w:t>(c)</w:t>
      </w:r>
      <w:r w:rsidRPr="00924030">
        <w:rPr>
          <w:noProof/>
        </w:rPr>
        <w:tab/>
      </w:r>
      <w:r w:rsidR="00AC044E" w:rsidRPr="000B1E4D">
        <w:rPr>
          <w:noProof/>
        </w:rPr>
        <w:t>Institut som på årsbasis offentliggör den information som ingår i bilaga I ska lämna uppgifter för perioderna T och T-4.</w:t>
      </w:r>
    </w:p>
    <w:p w:rsidR="00AC044E" w:rsidRPr="000B1E4D" w:rsidRDefault="00924030" w:rsidP="00924030">
      <w:pPr>
        <w:pStyle w:val="ManualNumPar1"/>
        <w:rPr>
          <w:noProof/>
        </w:rPr>
      </w:pPr>
      <w:r w:rsidRPr="00924030">
        <w:rPr>
          <w:noProof/>
        </w:rPr>
        <w:t>4.</w:t>
      </w:r>
      <w:r w:rsidRPr="00924030">
        <w:rPr>
          <w:noProof/>
        </w:rPr>
        <w:tab/>
      </w:r>
      <w:r w:rsidR="00AC044E" w:rsidRPr="000B1E4D">
        <w:rPr>
          <w:noProof/>
        </w:rPr>
        <w:t>Instituten ska uppge vilka datum som offentliggörandeperioderna motsvarar.</w:t>
      </w:r>
    </w:p>
    <w:p w:rsidR="00AC044E" w:rsidRPr="000B1E4D" w:rsidRDefault="00924030" w:rsidP="00924030">
      <w:pPr>
        <w:pStyle w:val="ManualNumPar1"/>
        <w:rPr>
          <w:noProof/>
        </w:rPr>
      </w:pPr>
      <w:r w:rsidRPr="00924030">
        <w:rPr>
          <w:noProof/>
        </w:rPr>
        <w:t>5.</w:t>
      </w:r>
      <w:r w:rsidRPr="00924030">
        <w:rPr>
          <w:noProof/>
        </w:rPr>
        <w:tab/>
      </w:r>
      <w:r w:rsidR="00AC044E" w:rsidRPr="000B1E4D">
        <w:rPr>
          <w:noProof/>
        </w:rPr>
        <w:t>Första gången som uppgifter offentliggörs behöver inte uppgifter för de föregående perioderna redovisas.</w:t>
      </w:r>
    </w:p>
    <w:p w:rsidR="000A5D79" w:rsidRPr="000B1E4D" w:rsidRDefault="000A5D79" w:rsidP="000A5D79">
      <w:pPr>
        <w:pStyle w:val="Titrearticle"/>
        <w:rPr>
          <w:noProof/>
        </w:rPr>
      </w:pPr>
      <w:r w:rsidRPr="000B1E4D">
        <w:rPr>
          <w:noProof/>
        </w:rPr>
        <w:t>Artikel 27</w:t>
      </w:r>
    </w:p>
    <w:p w:rsidR="000A5D79" w:rsidRPr="000B1E4D" w:rsidRDefault="000A5D79" w:rsidP="000A5D79">
      <w:pPr>
        <w:pStyle w:val="Titrearticle"/>
        <w:spacing w:before="120"/>
        <w:rPr>
          <w:b/>
          <w:i w:val="0"/>
          <w:noProof/>
        </w:rPr>
      </w:pPr>
      <w:r w:rsidRPr="000B1E4D">
        <w:rPr>
          <w:b/>
          <w:i w:val="0"/>
          <w:noProof/>
        </w:rPr>
        <w:t>Upphävande</w:t>
      </w:r>
    </w:p>
    <w:p w:rsidR="00B00045" w:rsidRPr="000B1E4D" w:rsidRDefault="00924030" w:rsidP="00924030">
      <w:pPr>
        <w:pStyle w:val="ManualNumPar1"/>
        <w:rPr>
          <w:noProof/>
        </w:rPr>
      </w:pPr>
      <w:r w:rsidRPr="00924030">
        <w:rPr>
          <w:noProof/>
        </w:rPr>
        <w:t>1.</w:t>
      </w:r>
      <w:r w:rsidRPr="00924030">
        <w:rPr>
          <w:noProof/>
        </w:rPr>
        <w:tab/>
      </w:r>
      <w:r w:rsidR="000A5D79" w:rsidRPr="000B1E4D">
        <w:rPr>
          <w:noProof/>
        </w:rPr>
        <w:t xml:space="preserve">Genomförandeförordning (EU) 2021/637 ska upphöra att gälla från och med den 1 januari 2025, med undantag för artikel 15 och bilagorna XXIX och XXX. Artikel 15 och bilagorna XXIX och XXX till genomförandeförordning (EU) 2021/637 ska fortsätta att tillämpas till och med den 31 december 2025, dock endast vid tillämpning av artikel 16 i den här förordningen. </w:t>
      </w:r>
    </w:p>
    <w:p w:rsidR="00B00045" w:rsidRPr="000B1E4D" w:rsidRDefault="00924030" w:rsidP="00924030">
      <w:pPr>
        <w:pStyle w:val="ManualNumPar1"/>
        <w:rPr>
          <w:noProof/>
        </w:rPr>
      </w:pPr>
      <w:r w:rsidRPr="00924030">
        <w:rPr>
          <w:noProof/>
        </w:rPr>
        <w:t>2.</w:t>
      </w:r>
      <w:r w:rsidRPr="00924030">
        <w:rPr>
          <w:noProof/>
        </w:rPr>
        <w:tab/>
      </w:r>
      <w:r w:rsidR="00D87C7D" w:rsidRPr="000B1E4D">
        <w:rPr>
          <w:noProof/>
        </w:rPr>
        <w:t xml:space="preserve">Genomförandeförordning (EU) 2021/637 ska upphöra att gälla med verkan den 31 december 2025. </w:t>
      </w:r>
    </w:p>
    <w:p w:rsidR="000A5D79" w:rsidRPr="000B1E4D" w:rsidRDefault="00924030" w:rsidP="00924030">
      <w:pPr>
        <w:pStyle w:val="ManualNumPar1"/>
        <w:rPr>
          <w:noProof/>
        </w:rPr>
      </w:pPr>
      <w:r w:rsidRPr="00924030">
        <w:rPr>
          <w:noProof/>
        </w:rPr>
        <w:t>3.</w:t>
      </w:r>
      <w:r w:rsidRPr="00924030">
        <w:rPr>
          <w:noProof/>
        </w:rPr>
        <w:tab/>
      </w:r>
      <w:r w:rsidR="00056FFD" w:rsidRPr="000B1E4D">
        <w:rPr>
          <w:noProof/>
        </w:rPr>
        <w:t>Hänvisningar till den upphävda förordningen ska anses som hänvisningar till den här förordningen och läsas i enlighet med jämförelsetabellen i bilaga II.</w:t>
      </w:r>
    </w:p>
    <w:p w:rsidR="000A5D79" w:rsidRPr="000B1E4D" w:rsidRDefault="000A5D79" w:rsidP="001F6539">
      <w:pPr>
        <w:pStyle w:val="Titrearticle"/>
        <w:rPr>
          <w:noProof/>
        </w:rPr>
      </w:pPr>
      <w:r w:rsidRPr="000B1E4D">
        <w:rPr>
          <w:noProof/>
        </w:rPr>
        <w:t>Artikel 28</w:t>
      </w:r>
    </w:p>
    <w:p w:rsidR="000A5D79" w:rsidRPr="000B1E4D" w:rsidRDefault="000A5D79" w:rsidP="000A5D79">
      <w:pPr>
        <w:pStyle w:val="Titrearticle"/>
        <w:spacing w:before="120"/>
        <w:rPr>
          <w:b/>
          <w:i w:val="0"/>
          <w:noProof/>
        </w:rPr>
      </w:pPr>
      <w:r w:rsidRPr="000B1E4D">
        <w:rPr>
          <w:b/>
          <w:i w:val="0"/>
          <w:noProof/>
        </w:rPr>
        <w:t>Ikraftträdande och tillämpning</w:t>
      </w:r>
    </w:p>
    <w:p w:rsidR="000A5D79" w:rsidRPr="000B1E4D" w:rsidRDefault="000A5D79" w:rsidP="000A5D79">
      <w:pPr>
        <w:rPr>
          <w:noProof/>
        </w:rPr>
      </w:pPr>
      <w:r w:rsidRPr="000B1E4D">
        <w:rPr>
          <w:noProof/>
        </w:rPr>
        <w:t xml:space="preserve">Denna förordning träder i kraft den tjugonde dagen efter det att den har offentliggjorts i </w:t>
      </w:r>
      <w:r w:rsidRPr="000B1E4D">
        <w:rPr>
          <w:i/>
          <w:noProof/>
        </w:rPr>
        <w:t>Europeiska unionens officiella tidning</w:t>
      </w:r>
      <w:r w:rsidRPr="000B1E4D">
        <w:rPr>
          <w:noProof/>
        </w:rPr>
        <w:t>.</w:t>
      </w:r>
    </w:p>
    <w:p w:rsidR="000A5D79" w:rsidRPr="000B1E4D" w:rsidRDefault="000A5D79" w:rsidP="000A5D79">
      <w:pPr>
        <w:rPr>
          <w:noProof/>
        </w:rPr>
      </w:pPr>
      <w:r w:rsidRPr="000B1E4D">
        <w:rPr>
          <w:noProof/>
        </w:rPr>
        <w:t xml:space="preserve">Den ska tillämpas från och med den 1 januari 2025. </w:t>
      </w:r>
    </w:p>
    <w:p w:rsidR="0050796F" w:rsidRPr="000B1E4D" w:rsidRDefault="0050796F" w:rsidP="002A3B46">
      <w:pPr>
        <w:pStyle w:val="Applicationdirecte"/>
        <w:keepNext/>
        <w:keepLines/>
        <w:rPr>
          <w:noProof/>
        </w:rPr>
      </w:pPr>
      <w:r w:rsidRPr="000B1E4D">
        <w:rPr>
          <w:noProof/>
        </w:rPr>
        <w:t>Denna förordning är till alla delar bindande och direkt tillämplig i alla medlemsstater.</w:t>
      </w:r>
    </w:p>
    <w:p w:rsidR="0050796F" w:rsidRPr="000B1E4D" w:rsidRDefault="00430534" w:rsidP="002A3B46">
      <w:pPr>
        <w:pStyle w:val="Fait"/>
        <w:rPr>
          <w:noProof/>
        </w:rPr>
      </w:pPr>
      <w:r>
        <w:rPr>
          <w:noProof/>
        </w:rPr>
        <w:t>Utfärdad i Bryssel den 29.11.2024</w:t>
      </w:r>
    </w:p>
    <w:p w:rsidR="0050796F" w:rsidRPr="000B1E4D" w:rsidRDefault="0050796F" w:rsidP="002A3B46">
      <w:pPr>
        <w:pStyle w:val="Institutionquisigne"/>
        <w:rPr>
          <w:noProof/>
        </w:rPr>
      </w:pPr>
      <w:r w:rsidRPr="000B1E4D">
        <w:rPr>
          <w:noProof/>
        </w:rPr>
        <w:tab/>
        <w:t>På kommissionens vägnar</w:t>
      </w:r>
    </w:p>
    <w:p w:rsidR="0050796F" w:rsidRPr="000B1E4D" w:rsidRDefault="001E56EC" w:rsidP="0050796F">
      <w:pPr>
        <w:pStyle w:val="Personnequisigne"/>
        <w:rPr>
          <w:noProof/>
        </w:rPr>
      </w:pPr>
      <w:r>
        <w:rPr>
          <w:noProof/>
        </w:rPr>
        <w:tab/>
        <w:t>Ordförande</w:t>
      </w:r>
      <w:r>
        <w:rPr>
          <w:noProof/>
        </w:rPr>
        <w:br/>
      </w:r>
      <w:r>
        <w:rPr>
          <w:noProof/>
        </w:rPr>
        <w:tab/>
        <w:t>Ursula VON DER LEYEN</w:t>
      </w:r>
    </w:p>
    <w:sectPr w:rsidR="0050796F" w:rsidRPr="000B1E4D" w:rsidSect="00023194">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3F15" w:rsidRDefault="00153F15" w:rsidP="0050796F">
      <w:pPr>
        <w:spacing w:before="0" w:after="0"/>
      </w:pPr>
      <w:r>
        <w:separator/>
      </w:r>
    </w:p>
  </w:endnote>
  <w:endnote w:type="continuationSeparator" w:id="0">
    <w:p w:rsidR="00153F15" w:rsidRDefault="00153F15" w:rsidP="0050796F">
      <w:pPr>
        <w:spacing w:before="0" w:after="0"/>
      </w:pPr>
      <w:r>
        <w:continuationSeparator/>
      </w:r>
    </w:p>
  </w:endnote>
  <w:endnote w:type="continuationNotice" w:id="1">
    <w:p w:rsidR="00153F15" w:rsidRDefault="00153F1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3194" w:rsidRPr="00023194" w:rsidRDefault="00023194" w:rsidP="00023194">
    <w:pPr>
      <w:pStyle w:val="Footer"/>
      <w:rPr>
        <w:rFonts w:ascii="Arial" w:hAnsi="Arial" w:cs="Arial"/>
        <w:b/>
        <w:sz w:val="48"/>
      </w:rPr>
    </w:pPr>
    <w:r w:rsidRPr="00023194">
      <w:rPr>
        <w:rFonts w:ascii="Arial" w:hAnsi="Arial" w:cs="Arial"/>
        <w:b/>
        <w:sz w:val="48"/>
      </w:rPr>
      <w:t>SV</w:t>
    </w:r>
    <w:r w:rsidRPr="00023194">
      <w:rPr>
        <w:rFonts w:ascii="Arial" w:hAnsi="Arial" w:cs="Arial"/>
        <w:b/>
        <w:sz w:val="48"/>
      </w:rPr>
      <w:tab/>
    </w:r>
    <w:r w:rsidRPr="00023194">
      <w:rPr>
        <w:rFonts w:ascii="Arial" w:hAnsi="Arial" w:cs="Arial"/>
        <w:b/>
        <w:sz w:val="48"/>
      </w:rPr>
      <w:tab/>
    </w:r>
    <w:r w:rsidRPr="00023194">
      <w:tab/>
    </w:r>
    <w:r w:rsidRPr="00023194">
      <w:rPr>
        <w:rFonts w:ascii="Arial" w:hAnsi="Arial" w:cs="Arial"/>
        <w:b/>
        <w:sz w:val="48"/>
      </w:rPr>
      <w:t>SV</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3194" w:rsidRPr="00023194" w:rsidRDefault="00023194" w:rsidP="00023194">
    <w:pPr>
      <w:pStyle w:val="Footer"/>
      <w:rPr>
        <w:rFonts w:ascii="Arial" w:hAnsi="Arial" w:cs="Arial"/>
        <w:b/>
        <w:sz w:val="48"/>
      </w:rPr>
    </w:pPr>
    <w:r w:rsidRPr="00023194">
      <w:rPr>
        <w:rFonts w:ascii="Arial" w:hAnsi="Arial" w:cs="Arial"/>
        <w:b/>
        <w:sz w:val="48"/>
      </w:rPr>
      <w:t>SV</w:t>
    </w:r>
    <w:r w:rsidRPr="00023194">
      <w:rPr>
        <w:rFonts w:ascii="Arial" w:hAnsi="Arial" w:cs="Arial"/>
        <w:b/>
        <w:sz w:val="48"/>
      </w:rPr>
      <w:tab/>
    </w:r>
    <w:r w:rsidRPr="00023194">
      <w:rPr>
        <w:rFonts w:ascii="Arial" w:hAnsi="Arial" w:cs="Arial"/>
        <w:b/>
        <w:sz w:val="48"/>
      </w:rPr>
      <w:tab/>
    </w:r>
    <w:r w:rsidRPr="00023194">
      <w:tab/>
    </w:r>
    <w:r w:rsidRPr="00023194">
      <w:rPr>
        <w:rFonts w:ascii="Arial" w:hAnsi="Arial" w:cs="Arial"/>
        <w:b/>
        <w:sz w:val="48"/>
      </w:rPr>
      <w:t>SV</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3194" w:rsidRDefault="0002319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3194" w:rsidRPr="00023194" w:rsidRDefault="00023194" w:rsidP="00023194">
    <w:pPr>
      <w:pStyle w:val="Footer"/>
      <w:rPr>
        <w:rFonts w:ascii="Arial" w:hAnsi="Arial" w:cs="Arial"/>
        <w:b/>
        <w:sz w:val="48"/>
      </w:rPr>
    </w:pPr>
    <w:r w:rsidRPr="00023194">
      <w:rPr>
        <w:rFonts w:ascii="Arial" w:hAnsi="Arial" w:cs="Arial"/>
        <w:b/>
        <w:sz w:val="48"/>
      </w:rPr>
      <w:t>SV</w:t>
    </w:r>
    <w:r w:rsidRPr="00023194">
      <w:rPr>
        <w:rFonts w:ascii="Arial" w:hAnsi="Arial" w:cs="Arial"/>
        <w:b/>
        <w:sz w:val="48"/>
      </w:rPr>
      <w:tab/>
    </w:r>
    <w:r>
      <w:fldChar w:fldCharType="begin"/>
    </w:r>
    <w:r>
      <w:instrText xml:space="preserve"> PAGE  \* MERGEFORMAT </w:instrText>
    </w:r>
    <w:r>
      <w:fldChar w:fldCharType="separate"/>
    </w:r>
    <w:r w:rsidR="002A3B46">
      <w:rPr>
        <w:noProof/>
      </w:rPr>
      <w:t>1</w:t>
    </w:r>
    <w:r>
      <w:fldChar w:fldCharType="end"/>
    </w:r>
    <w:r>
      <w:tab/>
    </w:r>
    <w:r w:rsidRPr="00023194">
      <w:tab/>
    </w:r>
    <w:r w:rsidRPr="00023194">
      <w:rPr>
        <w:rFonts w:ascii="Arial" w:hAnsi="Arial" w:cs="Arial"/>
        <w:b/>
        <w:sz w:val="48"/>
      </w:rPr>
      <w:t>SV</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3194" w:rsidRDefault="00023194" w:rsidP="000231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3F15" w:rsidRDefault="00153F15" w:rsidP="0050796F">
      <w:pPr>
        <w:spacing w:before="0" w:after="0"/>
      </w:pPr>
      <w:r>
        <w:separator/>
      </w:r>
    </w:p>
  </w:footnote>
  <w:footnote w:type="continuationSeparator" w:id="0">
    <w:p w:rsidR="00153F15" w:rsidRDefault="00153F15" w:rsidP="0050796F">
      <w:pPr>
        <w:spacing w:before="0" w:after="0"/>
      </w:pPr>
      <w:r>
        <w:continuationSeparator/>
      </w:r>
    </w:p>
  </w:footnote>
  <w:footnote w:type="continuationNotice" w:id="1">
    <w:p w:rsidR="00153F15" w:rsidRDefault="00153F15">
      <w:pPr>
        <w:spacing w:before="0" w:after="0"/>
      </w:pPr>
    </w:p>
  </w:footnote>
  <w:footnote w:id="2">
    <w:p w:rsidR="000A5D79" w:rsidRPr="000B1E4D" w:rsidRDefault="000A5D79" w:rsidP="00115B95">
      <w:pPr>
        <w:pStyle w:val="FootnoteText"/>
      </w:pPr>
      <w:r>
        <w:rPr>
          <w:rStyle w:val="FootnoteReference"/>
        </w:rPr>
        <w:footnoteRef/>
      </w:r>
      <w:r w:rsidRPr="000B1E4D">
        <w:tab/>
        <w:t xml:space="preserve">EUT L 176, 27.6.2013, s. 1, ELI: </w:t>
      </w:r>
      <w:hyperlink r:id="rId1" w:tooltip="Ger tillgång till detta dokument via dess ELI-adress." w:history="1">
        <w:r w:rsidRPr="000B1E4D">
          <w:t>http://data.europa.eu/eli/reg/2013/575/oj</w:t>
        </w:r>
      </w:hyperlink>
      <w:r w:rsidRPr="000B1E4D">
        <w:t>.</w:t>
      </w:r>
    </w:p>
  </w:footnote>
  <w:footnote w:id="3">
    <w:p w:rsidR="00021AB3" w:rsidRPr="000B1E4D" w:rsidRDefault="00021AB3" w:rsidP="00021AB3">
      <w:pPr>
        <w:pStyle w:val="FootnoteText"/>
      </w:pPr>
      <w:r>
        <w:rPr>
          <w:rStyle w:val="FootnoteReference"/>
        </w:rPr>
        <w:footnoteRef/>
      </w:r>
      <w:r w:rsidRPr="000B1E4D">
        <w:tab/>
        <w:t xml:space="preserve">Kommissionens genomförandeförordning (EU) 2021/637 av den 15 mars 2021 om fastställande av tekniska standarder för genomförande vad gäller instituts offentliggörande av den information som avses i del åtta avdelningarna II och III i Europaparlamentets och rådets förordning (EU) nr 575/2013 och om upphävande av kommissionens genomförandeförordning (EU) nr 1423/2013, kommissionens delegerade förordning (EU) 2015/1555, kommissionens genomförandeförordning (EU) 2016/200 och kommissionens delegerade förordning (EU) 2017/2295 (EUT L 136, 21.4.2021, s. 1, ELI: </w:t>
      </w:r>
      <w:hyperlink r:id="rId2" w:history="1">
        <w:r w:rsidRPr="000B1E4D">
          <w:rPr>
            <w:rStyle w:val="Hyperlink"/>
          </w:rPr>
          <w:t>http://data.europa.eu/eli/reg/2021/637/oj</w:t>
        </w:r>
      </w:hyperlink>
      <w:r w:rsidRPr="000B1E4D">
        <w:t>).</w:t>
      </w:r>
    </w:p>
  </w:footnote>
  <w:footnote w:id="4">
    <w:p w:rsidR="00021AB3" w:rsidRPr="000B1E4D" w:rsidRDefault="00021AB3" w:rsidP="00021AB3">
      <w:pPr>
        <w:pStyle w:val="FootnoteText"/>
      </w:pPr>
      <w:r>
        <w:rPr>
          <w:rStyle w:val="FootnoteReference"/>
        </w:rPr>
        <w:footnoteRef/>
      </w:r>
      <w:r w:rsidRPr="000B1E4D">
        <w:tab/>
        <w:t xml:space="preserve">Europaparlamentets och rådets förordning (EU) 2024/1623 av den 31 maj 2024 om ändring av förordning (EU) nr 575/2013 vad gäller krav avseende kreditrisk, kreditvärdighetsjusteringsrisk, operativ risk, marknadsrisk och golvet för riskvägda tillgångar (EUT L, 2024/1623, 19.6.2024, ELI: </w:t>
      </w:r>
      <w:hyperlink r:id="rId3" w:history="1">
        <w:r w:rsidRPr="000B1E4D">
          <w:rPr>
            <w:rStyle w:val="Hyperlink"/>
          </w:rPr>
          <w:t>http://data.europa.eu/eli/reg/2024/1623/oj</w:t>
        </w:r>
      </w:hyperlink>
      <w:r w:rsidRPr="000B1E4D">
        <w:t>).</w:t>
      </w:r>
    </w:p>
  </w:footnote>
  <w:footnote w:id="5">
    <w:p w:rsidR="008B3F27" w:rsidRPr="000B1E4D" w:rsidRDefault="00BB0B33" w:rsidP="005269C8">
      <w:pPr>
        <w:pStyle w:val="FootnoteText"/>
      </w:pPr>
      <w:r>
        <w:rPr>
          <w:rStyle w:val="FootnoteReference"/>
        </w:rPr>
        <w:footnoteRef/>
      </w:r>
      <w:r w:rsidRPr="000B1E4D">
        <w:tab/>
        <w:t xml:space="preserve">Europaparlamentets och rådets direktiv 2013/36/EU av den 26 juni 2013 om behörighet att utöva verksamhet i kreditinstitut och om tillsyn av kreditinstitut och värdepappersföretag, om ändring av direktiv 2002/87/EG och om upphävande av direktiv 2006/48/EG och 2006/49/EG (EUT L 176, 27.6.2013, s. 338, ELI: http://data.europa.eu/eli/dir/2013/36/oj). </w:t>
      </w:r>
    </w:p>
  </w:footnote>
  <w:footnote w:id="6">
    <w:p w:rsidR="008E7046" w:rsidRPr="000B1E4D" w:rsidRDefault="008E7046">
      <w:pPr>
        <w:pStyle w:val="FootnoteText"/>
      </w:pPr>
      <w:r>
        <w:rPr>
          <w:rStyle w:val="FootnoteReference"/>
        </w:rPr>
        <w:footnoteRef/>
      </w:r>
      <w:r w:rsidRPr="000B1E4D">
        <w:tab/>
        <w:t>Europaparlamentets och rådets förordning (EU) 2020/852 av den 18 juni 2020 om inrättande av en ram för att underlätta hållbara investeringar och om ändring av förordning (EU) 2019/2088 (EUT L 198, 22.6.2020, s. 13, ELI: http://data.europa.eu/eli/reg/2020/852/oj).</w:t>
      </w:r>
    </w:p>
  </w:footnote>
  <w:footnote w:id="7">
    <w:p w:rsidR="000A5D79" w:rsidRPr="000B1E4D" w:rsidRDefault="000A5D79" w:rsidP="00115B95">
      <w:pPr>
        <w:pStyle w:val="FootnoteText"/>
      </w:pPr>
      <w:r>
        <w:rPr>
          <w:rStyle w:val="FootnoteReference"/>
        </w:rPr>
        <w:footnoteRef/>
      </w:r>
      <w:r w:rsidRPr="000B1E4D">
        <w:tab/>
        <w:t>Kommissionens delegerade förordning (EU) 2020/1818 av den 17 juli 2020 om komplettering av Europaparlamentets och rådets förordning (EU) 2016/1011 vad gäller minimistandarder för EU-referensvärden för klimatomställning och EU-referensvärden för anpassning till Parisavtalet (EUT L 406, 3.12.2020, s. 17, ELI: http://data.europa.eu/eli/reg/2020/1818/oj).</w:t>
      </w:r>
    </w:p>
  </w:footnote>
  <w:footnote w:id="8">
    <w:p w:rsidR="000A5D79" w:rsidRPr="000B1E4D" w:rsidRDefault="000A5D79" w:rsidP="00115B95">
      <w:pPr>
        <w:pStyle w:val="FootnoteText"/>
      </w:pPr>
      <w:r>
        <w:rPr>
          <w:rStyle w:val="FootnoteReference"/>
        </w:rPr>
        <w:footnoteRef/>
      </w:r>
      <w:r w:rsidRPr="000B1E4D">
        <w:tab/>
        <w:t>Europaparlamentets och rådets direktiv 2010/31/EU av den 19 maj 2010 om byggnaders energiprestanda (omarbetning) (EUT L 153, 18.6.2010, s. 13, ELI: http://data.europa.eu/eli/dir/2010/31/oj).</w:t>
      </w:r>
    </w:p>
  </w:footnote>
  <w:footnote w:id="9">
    <w:p w:rsidR="000A5D79" w:rsidRPr="000B1E4D" w:rsidRDefault="000A5D79" w:rsidP="00115B95">
      <w:pPr>
        <w:pStyle w:val="FootnoteText"/>
      </w:pPr>
      <w:r>
        <w:rPr>
          <w:rStyle w:val="FootnoteReference"/>
        </w:rPr>
        <w:footnoteRef/>
      </w:r>
      <w:r w:rsidRPr="000B1E4D">
        <w:tab/>
        <w:t>Europaparlamentets och rådets direktiv 2013/34/EU av den 26 juni 2013 om årsbokslut, koncernredovisning och rapporter i vissa typer av företag, om ändring av Europaparlamentets och rådets direktiv 2006/43/EG och om upphävande av rådets direktiv 78/660/EEG och 83/349/EEG (EUT L 182, 29.6.2013, s. 19, ELI: http://data.europa.eu/eli/dir/2013/34/oj).</w:t>
      </w:r>
    </w:p>
  </w:footnote>
  <w:footnote w:id="10">
    <w:p w:rsidR="000A5D79" w:rsidRPr="000B1E4D" w:rsidRDefault="000A5D79" w:rsidP="00115B95">
      <w:pPr>
        <w:pStyle w:val="FootnoteText"/>
      </w:pPr>
      <w:r>
        <w:rPr>
          <w:rStyle w:val="FootnoteReference"/>
        </w:rPr>
        <w:footnoteRef/>
      </w:r>
      <w:r w:rsidRPr="000B1E4D">
        <w:tab/>
        <w:t>Europaparlamentets och rådets förordning (EU) nr 1093/2010 av den 24 november 2010 om inrättande av en europeisk tillsynsmyndighet (Europeiska bankmyndigheten), om ändring av beslut nr 716/2009/EG och om upphävande av kommissionens beslut 2009/78/EG (EUT L 331, 15.12.2010, s. 12, ELI: http://data.europa.eu/eli/reg/2010/1093/oj).</w:t>
      </w:r>
    </w:p>
  </w:footnote>
  <w:footnote w:id="11">
    <w:p w:rsidR="004076A2" w:rsidRPr="000B1E4D" w:rsidRDefault="004076A2" w:rsidP="009A75BF">
      <w:pPr>
        <w:pStyle w:val="FootnoteText"/>
      </w:pPr>
      <w:r>
        <w:rPr>
          <w:rStyle w:val="FootnoteReference"/>
        </w:rPr>
        <w:footnoteRef/>
      </w:r>
      <w:r w:rsidRPr="000B1E4D">
        <w:tab/>
        <w:t>Kommissionens delegerade förordning (EU) nr 1222/2014 av den 8 oktober 2014 om komplettering av Europaparlamentets och rådets direktiv 2013/36/EU vad gäller tekniska tillsynsstandarder för specificering av metoden för att identifiera globala systemviktiga institut och för att fastställa underkategorier av globala systemviktiga institut (EUT L 330, 15.11.2014, s. 27, ELI: http://data.europa.eu/eli/reg/2014/1222/oj).</w:t>
      </w:r>
    </w:p>
  </w:footnote>
  <w:footnote w:id="12">
    <w:p w:rsidR="000A5D79" w:rsidRPr="000B1E4D" w:rsidRDefault="000A5D79" w:rsidP="000A5D79">
      <w:pPr>
        <w:pStyle w:val="FootnoteText"/>
      </w:pPr>
      <w:r>
        <w:rPr>
          <w:rStyle w:val="FootnoteReference"/>
        </w:rPr>
        <w:footnoteRef/>
      </w:r>
      <w:r w:rsidRPr="000B1E4D">
        <w:tab/>
        <w:t>Kommissionens genomförandeförordning (EU) 2022/2453 av den 30 november 2022 om ändring av de tekniska genomförandestandarder som fastställs i genomförandeförordning (EU) 2021/637 vad gäller offentliggörande av miljö-, samhällsansvars- och bolagsstyrningsrisker (EUT L 324, 19.12.2022, s. 1, ELI: </w:t>
      </w:r>
      <w:hyperlink r:id="rId4" w:tooltip="Ger tillgång till detta dokument via dess ELI-adress." w:history="1">
        <w:r w:rsidRPr="000B1E4D">
          <w:t>http://data.europa.eu/eli/reg/2022/2453/oj</w:t>
        </w:r>
      </w:hyperlink>
      <w:r w:rsidRPr="000B1E4D">
        <w:t>).</w:t>
      </w:r>
    </w:p>
  </w:footnote>
  <w:footnote w:id="13">
    <w:p w:rsidR="000A5D79" w:rsidRPr="000B1E4D" w:rsidRDefault="000A5D79" w:rsidP="00115B95">
      <w:pPr>
        <w:pStyle w:val="FootnoteText"/>
      </w:pPr>
      <w:r>
        <w:rPr>
          <w:rStyle w:val="FootnoteReference"/>
        </w:rPr>
        <w:footnoteRef/>
      </w:r>
      <w:r w:rsidRPr="000B1E4D">
        <w:tab/>
        <w:t>Kommissionens genomförandeförordning (EU) 2021/451 av den 17 december 2020 om tekniska genomförandestandarder för tillämpningen av Europaparlamentets och rådets förordning (EU) nr 575/2013 vad gäller instituts tillsynsrapportering och om upphävande av genomförandeförordning (EU) nr 680/2014 (EUT L 97, 19.3.2021, s. 1, ELI: http://data.europa.eu/eli/reg/2021/451/oj).</w:t>
      </w:r>
    </w:p>
  </w:footnote>
  <w:footnote w:id="14">
    <w:p w:rsidR="000A5D79" w:rsidRPr="000B1E4D" w:rsidRDefault="000A5D79" w:rsidP="009A75BF">
      <w:pPr>
        <w:pStyle w:val="FootnoteText"/>
      </w:pPr>
      <w:r>
        <w:rPr>
          <w:rStyle w:val="FootnoteReference"/>
        </w:rPr>
        <w:footnoteRef/>
      </w:r>
      <w:r w:rsidRPr="000B1E4D">
        <w:tab/>
        <w:t>Kommissionens delegerade förordning (EU) 2021/2178 av den 6 juli 2021 om komplettering av Europaparlamentets och rådets förordning (EU) 2020/852 genom specificering av innehållet i och presentationen av de upplysningar som ska lämnas av företag som omfattas av artikel 19a eller 29a i direktiv 2013/34/EU vad gäller miljömässigt hållbara ekonomiska verksamheter samt specificering av den metod som ska användas i syfte att fullgöra denna upplysningsskyldighet (EUT L 443, 10.12.2021, s. 9, ELI: http://data.europa.eu/eli/reg/2021/2178/oj).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3194" w:rsidRDefault="000231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3194" w:rsidRDefault="000231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86BE90D6"/>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BD10AE54"/>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CA8AAF2C"/>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15E9B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89AFEF8"/>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53EE62E6"/>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C1EBCC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4"/>
  </w:num>
  <w:num w:numId="7">
    <w:abstractNumId w:val="3"/>
  </w:num>
  <w:num w:numId="8">
    <w:abstractNumId w:val="6"/>
  </w:num>
  <w:num w:numId="9">
    <w:abstractNumId w:val="2"/>
  </w:num>
  <w:num w:numId="10">
    <w:abstractNumId w:val="1"/>
  </w:num>
  <w:num w:numId="11">
    <w:abstractNumId w:val="0"/>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12"/>
  </w:num>
  <w:num w:numId="26">
    <w:abstractNumId w:val="21"/>
  </w:num>
  <w:num w:numId="27">
    <w:abstractNumId w:val="11"/>
  </w:num>
  <w:num w:numId="28">
    <w:abstractNumId w:val="13"/>
  </w:num>
  <w:num w:numId="29">
    <w:abstractNumId w:val="14"/>
  </w:num>
  <w:num w:numId="30">
    <w:abstractNumId w:val="9"/>
  </w:num>
  <w:num w:numId="31">
    <w:abstractNumId w:val="20"/>
  </w:num>
  <w:num w:numId="32">
    <w:abstractNumId w:val="8"/>
  </w:num>
  <w:num w:numId="33">
    <w:abstractNumId w:val="15"/>
  </w:num>
  <w:num w:numId="34">
    <w:abstractNumId w:val="17"/>
  </w:num>
  <w:num w:numId="35">
    <w:abstractNumId w:val="18"/>
  </w:num>
  <w:num w:numId="36">
    <w:abstractNumId w:val="10"/>
  </w:num>
  <w:num w:numId="37">
    <w:abstractNumId w:val="16"/>
  </w:num>
  <w:num w:numId="38">
    <w:abstractNumId w:val="2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4-11-22 10:30:50"/>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8700A7F6-EC85-41A8-8278-1FEAB22F0D5B"/>
    <w:docVar w:name="LW_COVERPAGE_TYPE" w:val="1"/>
    <w:docVar w:name="LW_CROSSREFERENCE" w:val="&lt;UNUSED&gt;"/>
    <w:docVar w:name="LW_DATE.ADOPT.CP" w:val="av den 29.11.2024"/>
    <w:docVar w:name="LW_DATE.ADOPT.CP_DATEFORMAT" w:val="av den %DATE%"/>
    <w:docVar w:name="LW_DATE.ADOPT.CP_ISODATE" w:val="2024-11-29"/>
    <w:docVar w:name="LW_DocType" w:val="COM"/>
    <w:docVar w:name="LW_EMISSION" w:val="29.11.2024"/>
    <w:docVar w:name="LW_EMISSION_ISODATE" w:val="2024-11-29"/>
    <w:docVar w:name="LW_EMISSION_LOCATION" w:val="BRX"/>
    <w:docVar w:name="LW_EMISSION_PREFIX" w:val="Bryssel den "/>
    <w:docVar w:name="LW_EMISSION_SUFFIX" w:val=" "/>
    <w:docVar w:name="LW_ID_DOCMODEL" w:val="SJ-004"/>
    <w:docVar w:name="LW_ID_DOCSIGNATURE" w:val="SJ-004"/>
    <w:docVar w:name="LW_ID_DOCSTRUCTURE" w:val="COM/AA"/>
    <w:docVar w:name="LW_ID_DOCTYPE" w:val="SJ-004"/>
    <w:docVar w:name="LW_INTERETEEE.CP" w:val="(Text av betydelse för EES)"/>
    <w:docVar w:name="LW_LANGUE" w:val="SV"/>
    <w:docVar w:name="LW_LANGUESFAISANTFOI.CP" w:val="&lt;UNUSED&gt;"/>
    <w:docVar w:name="LW_LEVEL_OF_SENSITIVITY" w:val="Standard treatment"/>
    <w:docVar w:name="LW_NOM.INST" w:val="EUROPEISKA KOMMISSIONEN"/>
    <w:docVar w:name="LW_NOM.INST_JOINTDOC" w:val="&lt;EMPTY&gt;"/>
    <w:docVar w:name="LW_PART_NBR" w:val="1"/>
    <w:docVar w:name="LW_PART_NBR_TOTAL" w:val="1"/>
    <w:docVar w:name="LW_REF.INST.NEW" w:val="C"/>
    <w:docVar w:name="LW_REF.INST.NEW_ADOPTED" w:val="final"/>
    <w:docVar w:name="LW_REF.INST.NEW_TEXT" w:val="(2024) 8373"/>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om fastställande av tekniska genomförandestandarder för tillämpningen av Europaparlamentets och rådets förordning (EU) nr 575/2013 vad gäller instituts offentliggörande av den information som avses i del åtta avdelningarna II och III i den förordningen och om upphävande av kommissionens genomförandeförordning (EU) 2021/637"/>
    <w:docVar w:name="LW_TYPE.DOC.CP" w:val="KOMMISSIONENS GENOMFÖRANDEFÖRORDNING (EU) \u8230?/\u8230?"/>
    <w:docVar w:name="LwApiVersions" w:val="LW4CoDe 1.24.5.0; LW 9.0, Build 20240221"/>
  </w:docVars>
  <w:rsids>
    <w:rsidRoot w:val="0050796F"/>
    <w:rsid w:val="00000FB0"/>
    <w:rsid w:val="000069F5"/>
    <w:rsid w:val="00007267"/>
    <w:rsid w:val="000077D6"/>
    <w:rsid w:val="000112A9"/>
    <w:rsid w:val="0001301D"/>
    <w:rsid w:val="00015017"/>
    <w:rsid w:val="00015324"/>
    <w:rsid w:val="000209CD"/>
    <w:rsid w:val="00021AB3"/>
    <w:rsid w:val="00022D42"/>
    <w:rsid w:val="00023194"/>
    <w:rsid w:val="0002377C"/>
    <w:rsid w:val="00024BAD"/>
    <w:rsid w:val="000274F8"/>
    <w:rsid w:val="00027AF6"/>
    <w:rsid w:val="00033349"/>
    <w:rsid w:val="000362E8"/>
    <w:rsid w:val="00040ACA"/>
    <w:rsid w:val="00041E85"/>
    <w:rsid w:val="0004381D"/>
    <w:rsid w:val="00047A8E"/>
    <w:rsid w:val="00047D7A"/>
    <w:rsid w:val="00047FD5"/>
    <w:rsid w:val="00051490"/>
    <w:rsid w:val="00051509"/>
    <w:rsid w:val="00056FFD"/>
    <w:rsid w:val="000576D1"/>
    <w:rsid w:val="00060651"/>
    <w:rsid w:val="00070B46"/>
    <w:rsid w:val="00070FC9"/>
    <w:rsid w:val="00073D27"/>
    <w:rsid w:val="00075B3F"/>
    <w:rsid w:val="00080DE1"/>
    <w:rsid w:val="000836B2"/>
    <w:rsid w:val="000876ED"/>
    <w:rsid w:val="00091E1F"/>
    <w:rsid w:val="00092E7E"/>
    <w:rsid w:val="000961F5"/>
    <w:rsid w:val="000A0EBE"/>
    <w:rsid w:val="000A4375"/>
    <w:rsid w:val="000A4D0A"/>
    <w:rsid w:val="000A5D79"/>
    <w:rsid w:val="000A6330"/>
    <w:rsid w:val="000A72C3"/>
    <w:rsid w:val="000B02C7"/>
    <w:rsid w:val="000B0BA3"/>
    <w:rsid w:val="000B104E"/>
    <w:rsid w:val="000B19C9"/>
    <w:rsid w:val="000B1E4D"/>
    <w:rsid w:val="000B246E"/>
    <w:rsid w:val="000B2E2C"/>
    <w:rsid w:val="000B3825"/>
    <w:rsid w:val="000B48E1"/>
    <w:rsid w:val="000B7A7D"/>
    <w:rsid w:val="000C0176"/>
    <w:rsid w:val="000C0E78"/>
    <w:rsid w:val="000C1A66"/>
    <w:rsid w:val="000C1DB7"/>
    <w:rsid w:val="000C2AE8"/>
    <w:rsid w:val="000C32A7"/>
    <w:rsid w:val="000C4361"/>
    <w:rsid w:val="000C665F"/>
    <w:rsid w:val="000C7571"/>
    <w:rsid w:val="000D2D47"/>
    <w:rsid w:val="000D426D"/>
    <w:rsid w:val="000D56AD"/>
    <w:rsid w:val="000D71EF"/>
    <w:rsid w:val="000D7867"/>
    <w:rsid w:val="000E2A21"/>
    <w:rsid w:val="000E4D43"/>
    <w:rsid w:val="000E633D"/>
    <w:rsid w:val="000E76CB"/>
    <w:rsid w:val="000F3681"/>
    <w:rsid w:val="000F3823"/>
    <w:rsid w:val="000F4F0C"/>
    <w:rsid w:val="001007AB"/>
    <w:rsid w:val="00101FC2"/>
    <w:rsid w:val="001031D7"/>
    <w:rsid w:val="001035BA"/>
    <w:rsid w:val="0010608B"/>
    <w:rsid w:val="00106979"/>
    <w:rsid w:val="00107611"/>
    <w:rsid w:val="00111E32"/>
    <w:rsid w:val="001129D5"/>
    <w:rsid w:val="001157D0"/>
    <w:rsid w:val="00115B95"/>
    <w:rsid w:val="00120290"/>
    <w:rsid w:val="001235B8"/>
    <w:rsid w:val="00125265"/>
    <w:rsid w:val="001264C4"/>
    <w:rsid w:val="00127569"/>
    <w:rsid w:val="00127E0D"/>
    <w:rsid w:val="001301F3"/>
    <w:rsid w:val="001315E0"/>
    <w:rsid w:val="0013240D"/>
    <w:rsid w:val="00134938"/>
    <w:rsid w:val="001359CA"/>
    <w:rsid w:val="0013680B"/>
    <w:rsid w:val="00140865"/>
    <w:rsid w:val="00141D7F"/>
    <w:rsid w:val="0014365C"/>
    <w:rsid w:val="00145F01"/>
    <w:rsid w:val="00151BBC"/>
    <w:rsid w:val="00152894"/>
    <w:rsid w:val="00153F15"/>
    <w:rsid w:val="001548C4"/>
    <w:rsid w:val="001559A0"/>
    <w:rsid w:val="00155E24"/>
    <w:rsid w:val="00160D06"/>
    <w:rsid w:val="00161353"/>
    <w:rsid w:val="00161AED"/>
    <w:rsid w:val="00162CE7"/>
    <w:rsid w:val="00164225"/>
    <w:rsid w:val="00166668"/>
    <w:rsid w:val="00166A5F"/>
    <w:rsid w:val="00171501"/>
    <w:rsid w:val="00176700"/>
    <w:rsid w:val="001817FC"/>
    <w:rsid w:val="00182A12"/>
    <w:rsid w:val="00182DAE"/>
    <w:rsid w:val="0019475E"/>
    <w:rsid w:val="00194D53"/>
    <w:rsid w:val="0019512F"/>
    <w:rsid w:val="001965F3"/>
    <w:rsid w:val="001A170B"/>
    <w:rsid w:val="001A3EA8"/>
    <w:rsid w:val="001A4786"/>
    <w:rsid w:val="001A60C4"/>
    <w:rsid w:val="001A7790"/>
    <w:rsid w:val="001B0F13"/>
    <w:rsid w:val="001B1DF6"/>
    <w:rsid w:val="001B4620"/>
    <w:rsid w:val="001C319D"/>
    <w:rsid w:val="001C5687"/>
    <w:rsid w:val="001C77C7"/>
    <w:rsid w:val="001D0EF7"/>
    <w:rsid w:val="001D1885"/>
    <w:rsid w:val="001D3D48"/>
    <w:rsid w:val="001D4621"/>
    <w:rsid w:val="001D5F0F"/>
    <w:rsid w:val="001E0EB2"/>
    <w:rsid w:val="001E4487"/>
    <w:rsid w:val="001E4DA7"/>
    <w:rsid w:val="001E5262"/>
    <w:rsid w:val="001E56EC"/>
    <w:rsid w:val="001E6AAD"/>
    <w:rsid w:val="001F4A6B"/>
    <w:rsid w:val="001F564A"/>
    <w:rsid w:val="001F5E01"/>
    <w:rsid w:val="001F6539"/>
    <w:rsid w:val="00204A69"/>
    <w:rsid w:val="0020657E"/>
    <w:rsid w:val="00210AD7"/>
    <w:rsid w:val="00211141"/>
    <w:rsid w:val="0021307C"/>
    <w:rsid w:val="00214FE8"/>
    <w:rsid w:val="00215B8C"/>
    <w:rsid w:val="002207C4"/>
    <w:rsid w:val="00222119"/>
    <w:rsid w:val="00225DA0"/>
    <w:rsid w:val="00230BAF"/>
    <w:rsid w:val="00232A0E"/>
    <w:rsid w:val="002339D1"/>
    <w:rsid w:val="00234023"/>
    <w:rsid w:val="002344AB"/>
    <w:rsid w:val="00235E29"/>
    <w:rsid w:val="00237F28"/>
    <w:rsid w:val="00241BF0"/>
    <w:rsid w:val="00242BE2"/>
    <w:rsid w:val="00243ADE"/>
    <w:rsid w:val="00250816"/>
    <w:rsid w:val="00251078"/>
    <w:rsid w:val="002526FE"/>
    <w:rsid w:val="00255D7D"/>
    <w:rsid w:val="0025605E"/>
    <w:rsid w:val="00256D6C"/>
    <w:rsid w:val="00257B58"/>
    <w:rsid w:val="00266749"/>
    <w:rsid w:val="00267194"/>
    <w:rsid w:val="0027576C"/>
    <w:rsid w:val="002775F7"/>
    <w:rsid w:val="0028163C"/>
    <w:rsid w:val="00281B06"/>
    <w:rsid w:val="00282C75"/>
    <w:rsid w:val="0028395D"/>
    <w:rsid w:val="0028636F"/>
    <w:rsid w:val="00287065"/>
    <w:rsid w:val="00291D4D"/>
    <w:rsid w:val="002930E4"/>
    <w:rsid w:val="0029662F"/>
    <w:rsid w:val="002A01F0"/>
    <w:rsid w:val="002A0CE4"/>
    <w:rsid w:val="002A2739"/>
    <w:rsid w:val="002A2D5F"/>
    <w:rsid w:val="002A3B46"/>
    <w:rsid w:val="002A3BBF"/>
    <w:rsid w:val="002A6AE8"/>
    <w:rsid w:val="002B04BA"/>
    <w:rsid w:val="002B2AAC"/>
    <w:rsid w:val="002B53F1"/>
    <w:rsid w:val="002B63D5"/>
    <w:rsid w:val="002B6A4F"/>
    <w:rsid w:val="002C0059"/>
    <w:rsid w:val="002C0A5B"/>
    <w:rsid w:val="002C1819"/>
    <w:rsid w:val="002C40D6"/>
    <w:rsid w:val="002C4EEB"/>
    <w:rsid w:val="002C598A"/>
    <w:rsid w:val="002C6127"/>
    <w:rsid w:val="002C6BBC"/>
    <w:rsid w:val="002D1BF8"/>
    <w:rsid w:val="002D4DC9"/>
    <w:rsid w:val="002E0175"/>
    <w:rsid w:val="002E4605"/>
    <w:rsid w:val="002E49AF"/>
    <w:rsid w:val="002E716D"/>
    <w:rsid w:val="002E79F5"/>
    <w:rsid w:val="002F31C7"/>
    <w:rsid w:val="002F7411"/>
    <w:rsid w:val="00301E58"/>
    <w:rsid w:val="00303350"/>
    <w:rsid w:val="003043A4"/>
    <w:rsid w:val="003052F8"/>
    <w:rsid w:val="00311F17"/>
    <w:rsid w:val="00312788"/>
    <w:rsid w:val="00314052"/>
    <w:rsid w:val="00314060"/>
    <w:rsid w:val="0031606B"/>
    <w:rsid w:val="00331519"/>
    <w:rsid w:val="0033542F"/>
    <w:rsid w:val="00336386"/>
    <w:rsid w:val="00337D50"/>
    <w:rsid w:val="00343643"/>
    <w:rsid w:val="00343B81"/>
    <w:rsid w:val="00344CD6"/>
    <w:rsid w:val="00344DF8"/>
    <w:rsid w:val="00346326"/>
    <w:rsid w:val="0035198A"/>
    <w:rsid w:val="00352944"/>
    <w:rsid w:val="00352E4C"/>
    <w:rsid w:val="00361346"/>
    <w:rsid w:val="00362CAC"/>
    <w:rsid w:val="00366317"/>
    <w:rsid w:val="003731CE"/>
    <w:rsid w:val="00374932"/>
    <w:rsid w:val="00381856"/>
    <w:rsid w:val="0038199F"/>
    <w:rsid w:val="003846E8"/>
    <w:rsid w:val="00386BC8"/>
    <w:rsid w:val="003878CF"/>
    <w:rsid w:val="00391314"/>
    <w:rsid w:val="00394331"/>
    <w:rsid w:val="00396152"/>
    <w:rsid w:val="00396A89"/>
    <w:rsid w:val="00396ACD"/>
    <w:rsid w:val="00397356"/>
    <w:rsid w:val="00397788"/>
    <w:rsid w:val="00397CD8"/>
    <w:rsid w:val="003A1487"/>
    <w:rsid w:val="003A257C"/>
    <w:rsid w:val="003A46ED"/>
    <w:rsid w:val="003A66BC"/>
    <w:rsid w:val="003A69D8"/>
    <w:rsid w:val="003B31B7"/>
    <w:rsid w:val="003B577A"/>
    <w:rsid w:val="003B5834"/>
    <w:rsid w:val="003B6DFC"/>
    <w:rsid w:val="003C1DDF"/>
    <w:rsid w:val="003C5236"/>
    <w:rsid w:val="003C526A"/>
    <w:rsid w:val="003C5AF2"/>
    <w:rsid w:val="003C7232"/>
    <w:rsid w:val="003D4792"/>
    <w:rsid w:val="003D4D76"/>
    <w:rsid w:val="003D662A"/>
    <w:rsid w:val="003D6852"/>
    <w:rsid w:val="003E0015"/>
    <w:rsid w:val="003E015D"/>
    <w:rsid w:val="003E0228"/>
    <w:rsid w:val="003E34DC"/>
    <w:rsid w:val="003E55A8"/>
    <w:rsid w:val="003E5E00"/>
    <w:rsid w:val="003E7EA9"/>
    <w:rsid w:val="003F775D"/>
    <w:rsid w:val="0040479E"/>
    <w:rsid w:val="004052A7"/>
    <w:rsid w:val="00405A1E"/>
    <w:rsid w:val="0040634B"/>
    <w:rsid w:val="00407308"/>
    <w:rsid w:val="004076A2"/>
    <w:rsid w:val="00412E45"/>
    <w:rsid w:val="00415609"/>
    <w:rsid w:val="00427C49"/>
    <w:rsid w:val="00430534"/>
    <w:rsid w:val="00430665"/>
    <w:rsid w:val="004311CE"/>
    <w:rsid w:val="00433CAF"/>
    <w:rsid w:val="00435120"/>
    <w:rsid w:val="00436C87"/>
    <w:rsid w:val="00437AA5"/>
    <w:rsid w:val="004460EC"/>
    <w:rsid w:val="00446A1A"/>
    <w:rsid w:val="00447444"/>
    <w:rsid w:val="00452C2E"/>
    <w:rsid w:val="00454645"/>
    <w:rsid w:val="00463412"/>
    <w:rsid w:val="00464D4A"/>
    <w:rsid w:val="0046681F"/>
    <w:rsid w:val="00467400"/>
    <w:rsid w:val="00471145"/>
    <w:rsid w:val="004714B8"/>
    <w:rsid w:val="00476361"/>
    <w:rsid w:val="00477271"/>
    <w:rsid w:val="00492396"/>
    <w:rsid w:val="004953EC"/>
    <w:rsid w:val="004A563B"/>
    <w:rsid w:val="004B2B9D"/>
    <w:rsid w:val="004B34BB"/>
    <w:rsid w:val="004B3857"/>
    <w:rsid w:val="004B5BAC"/>
    <w:rsid w:val="004B7689"/>
    <w:rsid w:val="004B76C0"/>
    <w:rsid w:val="004C0825"/>
    <w:rsid w:val="004C1DDA"/>
    <w:rsid w:val="004C601F"/>
    <w:rsid w:val="004D0913"/>
    <w:rsid w:val="004D44FC"/>
    <w:rsid w:val="004D5906"/>
    <w:rsid w:val="004D5A14"/>
    <w:rsid w:val="004E0783"/>
    <w:rsid w:val="004E19F9"/>
    <w:rsid w:val="004F6E1D"/>
    <w:rsid w:val="004F7590"/>
    <w:rsid w:val="005004D2"/>
    <w:rsid w:val="00501F11"/>
    <w:rsid w:val="00502328"/>
    <w:rsid w:val="0050451F"/>
    <w:rsid w:val="0050611A"/>
    <w:rsid w:val="005064EA"/>
    <w:rsid w:val="0050796F"/>
    <w:rsid w:val="00515BE6"/>
    <w:rsid w:val="00517205"/>
    <w:rsid w:val="00517265"/>
    <w:rsid w:val="00521EF0"/>
    <w:rsid w:val="005246AE"/>
    <w:rsid w:val="00526923"/>
    <w:rsid w:val="005269C8"/>
    <w:rsid w:val="00530FC2"/>
    <w:rsid w:val="00542487"/>
    <w:rsid w:val="00543DBA"/>
    <w:rsid w:val="005454C9"/>
    <w:rsid w:val="005503D2"/>
    <w:rsid w:val="00554E8A"/>
    <w:rsid w:val="005577AE"/>
    <w:rsid w:val="00561E20"/>
    <w:rsid w:val="00562D91"/>
    <w:rsid w:val="00564EFA"/>
    <w:rsid w:val="00566B35"/>
    <w:rsid w:val="00570745"/>
    <w:rsid w:val="00570F4D"/>
    <w:rsid w:val="005769A7"/>
    <w:rsid w:val="005803F8"/>
    <w:rsid w:val="00582810"/>
    <w:rsid w:val="005833F6"/>
    <w:rsid w:val="00583A6D"/>
    <w:rsid w:val="00586EB6"/>
    <w:rsid w:val="00594988"/>
    <w:rsid w:val="0059501E"/>
    <w:rsid w:val="00595540"/>
    <w:rsid w:val="00596995"/>
    <w:rsid w:val="00597BBD"/>
    <w:rsid w:val="005A05A4"/>
    <w:rsid w:val="005A235F"/>
    <w:rsid w:val="005A2E65"/>
    <w:rsid w:val="005A3A85"/>
    <w:rsid w:val="005A3ED4"/>
    <w:rsid w:val="005A4D52"/>
    <w:rsid w:val="005A5735"/>
    <w:rsid w:val="005B02E3"/>
    <w:rsid w:val="005B2185"/>
    <w:rsid w:val="005B38AF"/>
    <w:rsid w:val="005B4BD6"/>
    <w:rsid w:val="005B570B"/>
    <w:rsid w:val="005B5FA6"/>
    <w:rsid w:val="005B6FC3"/>
    <w:rsid w:val="005C15D9"/>
    <w:rsid w:val="005C36EA"/>
    <w:rsid w:val="005C5A20"/>
    <w:rsid w:val="005C6ED4"/>
    <w:rsid w:val="005D69A1"/>
    <w:rsid w:val="005F01D8"/>
    <w:rsid w:val="005F25C7"/>
    <w:rsid w:val="005F3DE6"/>
    <w:rsid w:val="005F4989"/>
    <w:rsid w:val="005F630E"/>
    <w:rsid w:val="005F6CA2"/>
    <w:rsid w:val="00600299"/>
    <w:rsid w:val="006028C7"/>
    <w:rsid w:val="00604051"/>
    <w:rsid w:val="0060710B"/>
    <w:rsid w:val="00610944"/>
    <w:rsid w:val="00612DEB"/>
    <w:rsid w:val="006130A2"/>
    <w:rsid w:val="0061386A"/>
    <w:rsid w:val="0061450E"/>
    <w:rsid w:val="00615826"/>
    <w:rsid w:val="00616D7C"/>
    <w:rsid w:val="00624DFA"/>
    <w:rsid w:val="00630666"/>
    <w:rsid w:val="00636098"/>
    <w:rsid w:val="00637F70"/>
    <w:rsid w:val="00640DDD"/>
    <w:rsid w:val="00641099"/>
    <w:rsid w:val="00644792"/>
    <w:rsid w:val="00644BCC"/>
    <w:rsid w:val="00645AFA"/>
    <w:rsid w:val="0065010D"/>
    <w:rsid w:val="00655492"/>
    <w:rsid w:val="00655A55"/>
    <w:rsid w:val="006605A1"/>
    <w:rsid w:val="00660DF2"/>
    <w:rsid w:val="0066214E"/>
    <w:rsid w:val="006647D9"/>
    <w:rsid w:val="006654AB"/>
    <w:rsid w:val="006678C0"/>
    <w:rsid w:val="00667F54"/>
    <w:rsid w:val="00672586"/>
    <w:rsid w:val="0067320C"/>
    <w:rsid w:val="00674F8E"/>
    <w:rsid w:val="006759F5"/>
    <w:rsid w:val="0067631C"/>
    <w:rsid w:val="00686D4D"/>
    <w:rsid w:val="00686EB3"/>
    <w:rsid w:val="00687B1D"/>
    <w:rsid w:val="0069026D"/>
    <w:rsid w:val="00691F15"/>
    <w:rsid w:val="0069343B"/>
    <w:rsid w:val="006946F7"/>
    <w:rsid w:val="00695511"/>
    <w:rsid w:val="006A1C11"/>
    <w:rsid w:val="006A1FE4"/>
    <w:rsid w:val="006A2955"/>
    <w:rsid w:val="006A7BDF"/>
    <w:rsid w:val="006B0168"/>
    <w:rsid w:val="006B152D"/>
    <w:rsid w:val="006B43EE"/>
    <w:rsid w:val="006B5DBD"/>
    <w:rsid w:val="006B724B"/>
    <w:rsid w:val="006C0519"/>
    <w:rsid w:val="006C4BBF"/>
    <w:rsid w:val="006C550D"/>
    <w:rsid w:val="006C57B1"/>
    <w:rsid w:val="006C661C"/>
    <w:rsid w:val="006D1555"/>
    <w:rsid w:val="006D6269"/>
    <w:rsid w:val="006D682C"/>
    <w:rsid w:val="006E0026"/>
    <w:rsid w:val="006E6917"/>
    <w:rsid w:val="006E6BD4"/>
    <w:rsid w:val="006E749C"/>
    <w:rsid w:val="006E7AEF"/>
    <w:rsid w:val="006E7AF2"/>
    <w:rsid w:val="006E7D85"/>
    <w:rsid w:val="006F14BD"/>
    <w:rsid w:val="006F7645"/>
    <w:rsid w:val="006F7ADB"/>
    <w:rsid w:val="006F7EFE"/>
    <w:rsid w:val="0070079D"/>
    <w:rsid w:val="00700BA6"/>
    <w:rsid w:val="0070180D"/>
    <w:rsid w:val="00703978"/>
    <w:rsid w:val="007075CB"/>
    <w:rsid w:val="00707E4B"/>
    <w:rsid w:val="0071402D"/>
    <w:rsid w:val="007177B7"/>
    <w:rsid w:val="007179FE"/>
    <w:rsid w:val="00722C47"/>
    <w:rsid w:val="00723BE3"/>
    <w:rsid w:val="00725C62"/>
    <w:rsid w:val="007268CF"/>
    <w:rsid w:val="007268DC"/>
    <w:rsid w:val="0072766F"/>
    <w:rsid w:val="0073240B"/>
    <w:rsid w:val="00732444"/>
    <w:rsid w:val="00735345"/>
    <w:rsid w:val="00735E8E"/>
    <w:rsid w:val="00741362"/>
    <w:rsid w:val="00741DBC"/>
    <w:rsid w:val="007429E5"/>
    <w:rsid w:val="00744B77"/>
    <w:rsid w:val="007457E7"/>
    <w:rsid w:val="00746C9C"/>
    <w:rsid w:val="00746D41"/>
    <w:rsid w:val="0075063E"/>
    <w:rsid w:val="00750D64"/>
    <w:rsid w:val="00751195"/>
    <w:rsid w:val="00751BBF"/>
    <w:rsid w:val="007542EC"/>
    <w:rsid w:val="007554C4"/>
    <w:rsid w:val="00757AA2"/>
    <w:rsid w:val="00757E8E"/>
    <w:rsid w:val="007700F7"/>
    <w:rsid w:val="00771606"/>
    <w:rsid w:val="00772668"/>
    <w:rsid w:val="007737C0"/>
    <w:rsid w:val="007738B7"/>
    <w:rsid w:val="00773B7B"/>
    <w:rsid w:val="0077596D"/>
    <w:rsid w:val="00775CC1"/>
    <w:rsid w:val="0077621D"/>
    <w:rsid w:val="007864D6"/>
    <w:rsid w:val="0079076A"/>
    <w:rsid w:val="00797C7C"/>
    <w:rsid w:val="007A0847"/>
    <w:rsid w:val="007A6A99"/>
    <w:rsid w:val="007B2B7C"/>
    <w:rsid w:val="007B2E5F"/>
    <w:rsid w:val="007B6013"/>
    <w:rsid w:val="007B6C7F"/>
    <w:rsid w:val="007C16FC"/>
    <w:rsid w:val="007C6CED"/>
    <w:rsid w:val="007C755E"/>
    <w:rsid w:val="007C7A6B"/>
    <w:rsid w:val="007D0861"/>
    <w:rsid w:val="007D14DA"/>
    <w:rsid w:val="007E010B"/>
    <w:rsid w:val="007E0167"/>
    <w:rsid w:val="007E0FD4"/>
    <w:rsid w:val="007E2935"/>
    <w:rsid w:val="007E3A81"/>
    <w:rsid w:val="007E59A5"/>
    <w:rsid w:val="007E5DA0"/>
    <w:rsid w:val="007F14CA"/>
    <w:rsid w:val="007F4313"/>
    <w:rsid w:val="00802FC2"/>
    <w:rsid w:val="0080440E"/>
    <w:rsid w:val="00804C4A"/>
    <w:rsid w:val="00810BF8"/>
    <w:rsid w:val="008111E3"/>
    <w:rsid w:val="00813A48"/>
    <w:rsid w:val="00815C43"/>
    <w:rsid w:val="00816C93"/>
    <w:rsid w:val="00817D72"/>
    <w:rsid w:val="00826B24"/>
    <w:rsid w:val="00827998"/>
    <w:rsid w:val="00830A1D"/>
    <w:rsid w:val="008325EB"/>
    <w:rsid w:val="00833C90"/>
    <w:rsid w:val="00844D01"/>
    <w:rsid w:val="00852653"/>
    <w:rsid w:val="008540AD"/>
    <w:rsid w:val="008602E5"/>
    <w:rsid w:val="008606E4"/>
    <w:rsid w:val="00860E0C"/>
    <w:rsid w:val="00861544"/>
    <w:rsid w:val="0086165A"/>
    <w:rsid w:val="00861D04"/>
    <w:rsid w:val="0086347E"/>
    <w:rsid w:val="008653BB"/>
    <w:rsid w:val="008728B7"/>
    <w:rsid w:val="00873AA9"/>
    <w:rsid w:val="00873E95"/>
    <w:rsid w:val="00874142"/>
    <w:rsid w:val="00874AB8"/>
    <w:rsid w:val="00876154"/>
    <w:rsid w:val="008769DA"/>
    <w:rsid w:val="00883B30"/>
    <w:rsid w:val="0088645D"/>
    <w:rsid w:val="00887EA9"/>
    <w:rsid w:val="008907B3"/>
    <w:rsid w:val="00891B00"/>
    <w:rsid w:val="00892C00"/>
    <w:rsid w:val="008A04AE"/>
    <w:rsid w:val="008A1AE7"/>
    <w:rsid w:val="008A2837"/>
    <w:rsid w:val="008A3187"/>
    <w:rsid w:val="008A3E28"/>
    <w:rsid w:val="008A65C5"/>
    <w:rsid w:val="008B0A3D"/>
    <w:rsid w:val="008B3F27"/>
    <w:rsid w:val="008B4B17"/>
    <w:rsid w:val="008B76A1"/>
    <w:rsid w:val="008C18A2"/>
    <w:rsid w:val="008C273C"/>
    <w:rsid w:val="008C2A46"/>
    <w:rsid w:val="008D069F"/>
    <w:rsid w:val="008D16DA"/>
    <w:rsid w:val="008D1E9B"/>
    <w:rsid w:val="008D6BC6"/>
    <w:rsid w:val="008E0969"/>
    <w:rsid w:val="008E2694"/>
    <w:rsid w:val="008E403E"/>
    <w:rsid w:val="008E41C5"/>
    <w:rsid w:val="008E4ACA"/>
    <w:rsid w:val="008E5B9F"/>
    <w:rsid w:val="008E6F4C"/>
    <w:rsid w:val="008E7046"/>
    <w:rsid w:val="008F04DA"/>
    <w:rsid w:val="008F3B46"/>
    <w:rsid w:val="008F502C"/>
    <w:rsid w:val="008F7B6C"/>
    <w:rsid w:val="008F7D68"/>
    <w:rsid w:val="009057AF"/>
    <w:rsid w:val="00905855"/>
    <w:rsid w:val="009102DA"/>
    <w:rsid w:val="00917A49"/>
    <w:rsid w:val="0092250D"/>
    <w:rsid w:val="009230BF"/>
    <w:rsid w:val="00924030"/>
    <w:rsid w:val="00930C76"/>
    <w:rsid w:val="009328EE"/>
    <w:rsid w:val="00940731"/>
    <w:rsid w:val="00940879"/>
    <w:rsid w:val="00940DBC"/>
    <w:rsid w:val="0094242F"/>
    <w:rsid w:val="00945861"/>
    <w:rsid w:val="00946EF2"/>
    <w:rsid w:val="009523E9"/>
    <w:rsid w:val="00967E39"/>
    <w:rsid w:val="009705F7"/>
    <w:rsid w:val="00970F90"/>
    <w:rsid w:val="009727DA"/>
    <w:rsid w:val="00972D29"/>
    <w:rsid w:val="009733BD"/>
    <w:rsid w:val="00974F9A"/>
    <w:rsid w:val="00983F1B"/>
    <w:rsid w:val="009858DF"/>
    <w:rsid w:val="0098656F"/>
    <w:rsid w:val="009872CE"/>
    <w:rsid w:val="00990CED"/>
    <w:rsid w:val="0099163C"/>
    <w:rsid w:val="0099166A"/>
    <w:rsid w:val="009954BA"/>
    <w:rsid w:val="009957C5"/>
    <w:rsid w:val="00996E1A"/>
    <w:rsid w:val="009975FE"/>
    <w:rsid w:val="009A0704"/>
    <w:rsid w:val="009A4411"/>
    <w:rsid w:val="009A46FE"/>
    <w:rsid w:val="009A5BB5"/>
    <w:rsid w:val="009A631B"/>
    <w:rsid w:val="009A65D2"/>
    <w:rsid w:val="009A75BF"/>
    <w:rsid w:val="009A79AD"/>
    <w:rsid w:val="009B0D15"/>
    <w:rsid w:val="009B2AC3"/>
    <w:rsid w:val="009B3BA9"/>
    <w:rsid w:val="009B75C6"/>
    <w:rsid w:val="009C1B17"/>
    <w:rsid w:val="009C4E0E"/>
    <w:rsid w:val="009D26D8"/>
    <w:rsid w:val="009D3412"/>
    <w:rsid w:val="009D44A3"/>
    <w:rsid w:val="009D4BF0"/>
    <w:rsid w:val="009D6056"/>
    <w:rsid w:val="009D6DAC"/>
    <w:rsid w:val="009E02EA"/>
    <w:rsid w:val="009E0DB2"/>
    <w:rsid w:val="009E284A"/>
    <w:rsid w:val="009E2FDA"/>
    <w:rsid w:val="009E443B"/>
    <w:rsid w:val="009E6EC8"/>
    <w:rsid w:val="009F03A7"/>
    <w:rsid w:val="009F27B5"/>
    <w:rsid w:val="009F5A97"/>
    <w:rsid w:val="00A0182F"/>
    <w:rsid w:val="00A02EB6"/>
    <w:rsid w:val="00A04FCA"/>
    <w:rsid w:val="00A059E8"/>
    <w:rsid w:val="00A108DF"/>
    <w:rsid w:val="00A10A47"/>
    <w:rsid w:val="00A10EE7"/>
    <w:rsid w:val="00A1287B"/>
    <w:rsid w:val="00A12E73"/>
    <w:rsid w:val="00A1355E"/>
    <w:rsid w:val="00A169BD"/>
    <w:rsid w:val="00A21269"/>
    <w:rsid w:val="00A23F09"/>
    <w:rsid w:val="00A2727F"/>
    <w:rsid w:val="00A27EDE"/>
    <w:rsid w:val="00A35F93"/>
    <w:rsid w:val="00A36859"/>
    <w:rsid w:val="00A45012"/>
    <w:rsid w:val="00A4711B"/>
    <w:rsid w:val="00A50AE1"/>
    <w:rsid w:val="00A51BB3"/>
    <w:rsid w:val="00A561F6"/>
    <w:rsid w:val="00A565C7"/>
    <w:rsid w:val="00A573B1"/>
    <w:rsid w:val="00A5769E"/>
    <w:rsid w:val="00A60EDB"/>
    <w:rsid w:val="00A64E45"/>
    <w:rsid w:val="00A6793E"/>
    <w:rsid w:val="00A74725"/>
    <w:rsid w:val="00A76B27"/>
    <w:rsid w:val="00A81627"/>
    <w:rsid w:val="00A90F2D"/>
    <w:rsid w:val="00AA2477"/>
    <w:rsid w:val="00AA55AA"/>
    <w:rsid w:val="00AA5E7B"/>
    <w:rsid w:val="00AB5E13"/>
    <w:rsid w:val="00AB6551"/>
    <w:rsid w:val="00AB778C"/>
    <w:rsid w:val="00AC044E"/>
    <w:rsid w:val="00AC18BE"/>
    <w:rsid w:val="00AC1D68"/>
    <w:rsid w:val="00AC56C6"/>
    <w:rsid w:val="00AC7B65"/>
    <w:rsid w:val="00AD2682"/>
    <w:rsid w:val="00AD436A"/>
    <w:rsid w:val="00AD5937"/>
    <w:rsid w:val="00AD6103"/>
    <w:rsid w:val="00AE1046"/>
    <w:rsid w:val="00AE2D1A"/>
    <w:rsid w:val="00AE6FB7"/>
    <w:rsid w:val="00AF01FC"/>
    <w:rsid w:val="00AF14C5"/>
    <w:rsid w:val="00AF28FF"/>
    <w:rsid w:val="00AF44DC"/>
    <w:rsid w:val="00AF6006"/>
    <w:rsid w:val="00AF621E"/>
    <w:rsid w:val="00AF6721"/>
    <w:rsid w:val="00AF6CF8"/>
    <w:rsid w:val="00B00045"/>
    <w:rsid w:val="00B01183"/>
    <w:rsid w:val="00B01623"/>
    <w:rsid w:val="00B03407"/>
    <w:rsid w:val="00B05871"/>
    <w:rsid w:val="00B061C2"/>
    <w:rsid w:val="00B11090"/>
    <w:rsid w:val="00B12C81"/>
    <w:rsid w:val="00B13741"/>
    <w:rsid w:val="00B177AF"/>
    <w:rsid w:val="00B1788F"/>
    <w:rsid w:val="00B17F93"/>
    <w:rsid w:val="00B22C04"/>
    <w:rsid w:val="00B27DDF"/>
    <w:rsid w:val="00B33B89"/>
    <w:rsid w:val="00B34DB1"/>
    <w:rsid w:val="00B362FE"/>
    <w:rsid w:val="00B37665"/>
    <w:rsid w:val="00B4214D"/>
    <w:rsid w:val="00B42361"/>
    <w:rsid w:val="00B43C2A"/>
    <w:rsid w:val="00B5176F"/>
    <w:rsid w:val="00B523EC"/>
    <w:rsid w:val="00B57CA8"/>
    <w:rsid w:val="00B60159"/>
    <w:rsid w:val="00B60E18"/>
    <w:rsid w:val="00B6392E"/>
    <w:rsid w:val="00B736C5"/>
    <w:rsid w:val="00B75066"/>
    <w:rsid w:val="00B84FE8"/>
    <w:rsid w:val="00B87BF8"/>
    <w:rsid w:val="00B93E7E"/>
    <w:rsid w:val="00B94928"/>
    <w:rsid w:val="00B961CD"/>
    <w:rsid w:val="00BA0A6A"/>
    <w:rsid w:val="00BA1348"/>
    <w:rsid w:val="00BA3705"/>
    <w:rsid w:val="00BA3B0E"/>
    <w:rsid w:val="00BB0B33"/>
    <w:rsid w:val="00BB274A"/>
    <w:rsid w:val="00BB483B"/>
    <w:rsid w:val="00BB4F0C"/>
    <w:rsid w:val="00BB5813"/>
    <w:rsid w:val="00BB6DB9"/>
    <w:rsid w:val="00BC06D8"/>
    <w:rsid w:val="00BC5857"/>
    <w:rsid w:val="00BC6372"/>
    <w:rsid w:val="00BD2201"/>
    <w:rsid w:val="00BD3FF8"/>
    <w:rsid w:val="00BD56E2"/>
    <w:rsid w:val="00BE6222"/>
    <w:rsid w:val="00BE63C4"/>
    <w:rsid w:val="00BF0F18"/>
    <w:rsid w:val="00BF1D75"/>
    <w:rsid w:val="00BF5738"/>
    <w:rsid w:val="00BF70FB"/>
    <w:rsid w:val="00C00EA1"/>
    <w:rsid w:val="00C02610"/>
    <w:rsid w:val="00C0379C"/>
    <w:rsid w:val="00C058E2"/>
    <w:rsid w:val="00C100FA"/>
    <w:rsid w:val="00C115C8"/>
    <w:rsid w:val="00C14EEB"/>
    <w:rsid w:val="00C17381"/>
    <w:rsid w:val="00C2116E"/>
    <w:rsid w:val="00C22EA0"/>
    <w:rsid w:val="00C2311A"/>
    <w:rsid w:val="00C2483D"/>
    <w:rsid w:val="00C26FAE"/>
    <w:rsid w:val="00C27A1C"/>
    <w:rsid w:val="00C27A3E"/>
    <w:rsid w:val="00C32FD4"/>
    <w:rsid w:val="00C34620"/>
    <w:rsid w:val="00C35DB7"/>
    <w:rsid w:val="00C3731F"/>
    <w:rsid w:val="00C50A20"/>
    <w:rsid w:val="00C54B03"/>
    <w:rsid w:val="00C56C89"/>
    <w:rsid w:val="00C61156"/>
    <w:rsid w:val="00C6315E"/>
    <w:rsid w:val="00C63883"/>
    <w:rsid w:val="00C657EC"/>
    <w:rsid w:val="00C71FAA"/>
    <w:rsid w:val="00C74573"/>
    <w:rsid w:val="00C75B7D"/>
    <w:rsid w:val="00C7752D"/>
    <w:rsid w:val="00C77C23"/>
    <w:rsid w:val="00C83D6E"/>
    <w:rsid w:val="00C901AD"/>
    <w:rsid w:val="00C93F7D"/>
    <w:rsid w:val="00C93F85"/>
    <w:rsid w:val="00C953DC"/>
    <w:rsid w:val="00C956E2"/>
    <w:rsid w:val="00C96ECC"/>
    <w:rsid w:val="00C97B13"/>
    <w:rsid w:val="00CA0135"/>
    <w:rsid w:val="00CA0E78"/>
    <w:rsid w:val="00CA4079"/>
    <w:rsid w:val="00CC51EB"/>
    <w:rsid w:val="00CC5836"/>
    <w:rsid w:val="00CD5034"/>
    <w:rsid w:val="00CD61A3"/>
    <w:rsid w:val="00CD73C2"/>
    <w:rsid w:val="00CE0FC5"/>
    <w:rsid w:val="00CE1CE2"/>
    <w:rsid w:val="00CE2121"/>
    <w:rsid w:val="00CE21CE"/>
    <w:rsid w:val="00CE79CD"/>
    <w:rsid w:val="00CF102C"/>
    <w:rsid w:val="00CF33E4"/>
    <w:rsid w:val="00CF5E3E"/>
    <w:rsid w:val="00D026BB"/>
    <w:rsid w:val="00D027F4"/>
    <w:rsid w:val="00D04B67"/>
    <w:rsid w:val="00D052F8"/>
    <w:rsid w:val="00D05C00"/>
    <w:rsid w:val="00D11A7C"/>
    <w:rsid w:val="00D13F76"/>
    <w:rsid w:val="00D15E58"/>
    <w:rsid w:val="00D1643B"/>
    <w:rsid w:val="00D16942"/>
    <w:rsid w:val="00D16B46"/>
    <w:rsid w:val="00D234F9"/>
    <w:rsid w:val="00D2543E"/>
    <w:rsid w:val="00D25BAC"/>
    <w:rsid w:val="00D2697C"/>
    <w:rsid w:val="00D269D3"/>
    <w:rsid w:val="00D303FF"/>
    <w:rsid w:val="00D305B3"/>
    <w:rsid w:val="00D35231"/>
    <w:rsid w:val="00D4425A"/>
    <w:rsid w:val="00D44EBA"/>
    <w:rsid w:val="00D500C4"/>
    <w:rsid w:val="00D5020C"/>
    <w:rsid w:val="00D52CFD"/>
    <w:rsid w:val="00D54C66"/>
    <w:rsid w:val="00D54CE7"/>
    <w:rsid w:val="00D54EA4"/>
    <w:rsid w:val="00D561DA"/>
    <w:rsid w:val="00D56210"/>
    <w:rsid w:val="00D57586"/>
    <w:rsid w:val="00D60CCE"/>
    <w:rsid w:val="00D70100"/>
    <w:rsid w:val="00D71014"/>
    <w:rsid w:val="00D73CDC"/>
    <w:rsid w:val="00D75580"/>
    <w:rsid w:val="00D807CF"/>
    <w:rsid w:val="00D80E5A"/>
    <w:rsid w:val="00D82837"/>
    <w:rsid w:val="00D859E2"/>
    <w:rsid w:val="00D87C7D"/>
    <w:rsid w:val="00D94F22"/>
    <w:rsid w:val="00DA08DC"/>
    <w:rsid w:val="00DA2CE5"/>
    <w:rsid w:val="00DB1E67"/>
    <w:rsid w:val="00DB48CC"/>
    <w:rsid w:val="00DB49B6"/>
    <w:rsid w:val="00DB4B20"/>
    <w:rsid w:val="00DC0366"/>
    <w:rsid w:val="00DC15E0"/>
    <w:rsid w:val="00DC674A"/>
    <w:rsid w:val="00DD155F"/>
    <w:rsid w:val="00DD4A05"/>
    <w:rsid w:val="00DD4C35"/>
    <w:rsid w:val="00DD5D5C"/>
    <w:rsid w:val="00DD6FE0"/>
    <w:rsid w:val="00DE2817"/>
    <w:rsid w:val="00DE2959"/>
    <w:rsid w:val="00DE6E03"/>
    <w:rsid w:val="00DF17AE"/>
    <w:rsid w:val="00DF6210"/>
    <w:rsid w:val="00DF6FD4"/>
    <w:rsid w:val="00E039E0"/>
    <w:rsid w:val="00E03BEC"/>
    <w:rsid w:val="00E0509A"/>
    <w:rsid w:val="00E05174"/>
    <w:rsid w:val="00E07235"/>
    <w:rsid w:val="00E07BF3"/>
    <w:rsid w:val="00E10143"/>
    <w:rsid w:val="00E1506E"/>
    <w:rsid w:val="00E24B10"/>
    <w:rsid w:val="00E24F54"/>
    <w:rsid w:val="00E25A89"/>
    <w:rsid w:val="00E27B66"/>
    <w:rsid w:val="00E30314"/>
    <w:rsid w:val="00E33C9F"/>
    <w:rsid w:val="00E365AC"/>
    <w:rsid w:val="00E366F6"/>
    <w:rsid w:val="00E43F05"/>
    <w:rsid w:val="00E43F7B"/>
    <w:rsid w:val="00E448F3"/>
    <w:rsid w:val="00E467E0"/>
    <w:rsid w:val="00E5126D"/>
    <w:rsid w:val="00E54A14"/>
    <w:rsid w:val="00E55E4E"/>
    <w:rsid w:val="00E61444"/>
    <w:rsid w:val="00E65E1D"/>
    <w:rsid w:val="00E6703E"/>
    <w:rsid w:val="00E830AF"/>
    <w:rsid w:val="00E83E0E"/>
    <w:rsid w:val="00E905CB"/>
    <w:rsid w:val="00E91918"/>
    <w:rsid w:val="00E92AC7"/>
    <w:rsid w:val="00E979AB"/>
    <w:rsid w:val="00E97BA7"/>
    <w:rsid w:val="00EA5C34"/>
    <w:rsid w:val="00EB25A5"/>
    <w:rsid w:val="00EB281A"/>
    <w:rsid w:val="00EB5D58"/>
    <w:rsid w:val="00EB7B0E"/>
    <w:rsid w:val="00EB7C82"/>
    <w:rsid w:val="00EC133E"/>
    <w:rsid w:val="00EC39BC"/>
    <w:rsid w:val="00ED3302"/>
    <w:rsid w:val="00ED6B6F"/>
    <w:rsid w:val="00ED7228"/>
    <w:rsid w:val="00ED7ED5"/>
    <w:rsid w:val="00EE073D"/>
    <w:rsid w:val="00EE140B"/>
    <w:rsid w:val="00EE2E33"/>
    <w:rsid w:val="00EE38BE"/>
    <w:rsid w:val="00EF3088"/>
    <w:rsid w:val="00EF3A39"/>
    <w:rsid w:val="00EF6921"/>
    <w:rsid w:val="00EF6C67"/>
    <w:rsid w:val="00EF7DCB"/>
    <w:rsid w:val="00F018D8"/>
    <w:rsid w:val="00F037BF"/>
    <w:rsid w:val="00F04D4C"/>
    <w:rsid w:val="00F0762A"/>
    <w:rsid w:val="00F12A48"/>
    <w:rsid w:val="00F14254"/>
    <w:rsid w:val="00F15EAA"/>
    <w:rsid w:val="00F16E27"/>
    <w:rsid w:val="00F21677"/>
    <w:rsid w:val="00F2245D"/>
    <w:rsid w:val="00F2617A"/>
    <w:rsid w:val="00F33A23"/>
    <w:rsid w:val="00F35910"/>
    <w:rsid w:val="00F35F5C"/>
    <w:rsid w:val="00F40C1D"/>
    <w:rsid w:val="00F4144D"/>
    <w:rsid w:val="00F41DB3"/>
    <w:rsid w:val="00F429B8"/>
    <w:rsid w:val="00F5075A"/>
    <w:rsid w:val="00F55610"/>
    <w:rsid w:val="00F60EF8"/>
    <w:rsid w:val="00F61454"/>
    <w:rsid w:val="00F628E6"/>
    <w:rsid w:val="00F715CE"/>
    <w:rsid w:val="00F721E8"/>
    <w:rsid w:val="00F749E4"/>
    <w:rsid w:val="00F770BC"/>
    <w:rsid w:val="00F772E0"/>
    <w:rsid w:val="00F82617"/>
    <w:rsid w:val="00F85696"/>
    <w:rsid w:val="00F86C80"/>
    <w:rsid w:val="00F90F9C"/>
    <w:rsid w:val="00F928E9"/>
    <w:rsid w:val="00F97ECE"/>
    <w:rsid w:val="00FA266C"/>
    <w:rsid w:val="00FA5CB0"/>
    <w:rsid w:val="00FA6956"/>
    <w:rsid w:val="00FA6BA6"/>
    <w:rsid w:val="00FA6E22"/>
    <w:rsid w:val="00FB3164"/>
    <w:rsid w:val="00FB4ACB"/>
    <w:rsid w:val="00FC2396"/>
    <w:rsid w:val="00FC5493"/>
    <w:rsid w:val="00FC64BE"/>
    <w:rsid w:val="00FD6C5F"/>
    <w:rsid w:val="00FE1B09"/>
    <w:rsid w:val="00FE605D"/>
    <w:rsid w:val="00FE6936"/>
    <w:rsid w:val="00FF0247"/>
    <w:rsid w:val="00FF0FCE"/>
    <w:rsid w:val="00FF6D7D"/>
    <w:rsid w:val="2B5BD7A7"/>
    <w:rsid w:val="3E868911"/>
    <w:rsid w:val="4053BD12"/>
    <w:rsid w:val="47157F0A"/>
    <w:rsid w:val="593180F0"/>
    <w:rsid w:val="5B655C3D"/>
    <w:rsid w:val="5BFD343A"/>
    <w:rsid w:val="6EBD42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8C4EA100-9620-4B15-8622-FC80857EA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sv-SE"/>
    </w:rPr>
  </w:style>
  <w:style w:type="paragraph" w:styleId="Heading1">
    <w:name w:val="heading 1"/>
    <w:basedOn w:val="Normal"/>
    <w:next w:val="Text1"/>
    <w:link w:val="Heading1Char"/>
    <w:uiPriority w:val="9"/>
    <w:qFormat/>
    <w:pPr>
      <w:keepNext/>
      <w:numPr>
        <w:numId w:val="31"/>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1"/>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1"/>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1"/>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1"/>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1"/>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1"/>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50796F"/>
    <w:pPr>
      <w:numPr>
        <w:numId w:val="1"/>
      </w:numPr>
    </w:pPr>
    <w:rPr>
      <w:rFonts w:eastAsia="Times New Roman"/>
      <w:lang w:eastAsia="en-GB"/>
    </w:rPr>
  </w:style>
  <w:style w:type="character" w:styleId="Hyperlink">
    <w:name w:val="Hyperlink"/>
    <w:basedOn w:val="DefaultParagraphFont"/>
    <w:uiPriority w:val="99"/>
    <w:rsid w:val="000A5D79"/>
    <w:rPr>
      <w:color w:val="0000FF" w:themeColor="hyperlink"/>
      <w:u w:val="single"/>
    </w:rPr>
  </w:style>
  <w:style w:type="paragraph" w:styleId="ListParagraph">
    <w:name w:val="List Paragraph"/>
    <w:basedOn w:val="Normal"/>
    <w:link w:val="ListParagraphChar"/>
    <w:uiPriority w:val="34"/>
    <w:qFormat/>
    <w:rsid w:val="000A5D79"/>
    <w:pPr>
      <w:ind w:left="720"/>
      <w:contextualSpacing/>
    </w:pPr>
  </w:style>
  <w:style w:type="character" w:customStyle="1" w:styleId="ListParagraphChar">
    <w:name w:val="List Paragraph Char"/>
    <w:link w:val="ListParagraph"/>
    <w:uiPriority w:val="34"/>
    <w:rsid w:val="000A5D79"/>
    <w:rPr>
      <w:rFonts w:ascii="Times New Roman" w:hAnsi="Times New Roman" w:cs="Times New Roman"/>
      <w:sz w:val="24"/>
      <w:lang w:val="sv-SE"/>
    </w:rPr>
  </w:style>
  <w:style w:type="paragraph" w:styleId="Caption">
    <w:name w:val="caption"/>
    <w:basedOn w:val="Normal"/>
    <w:next w:val="Normal"/>
    <w:uiPriority w:val="35"/>
    <w:semiHidden/>
    <w:unhideWhenUsed/>
    <w:qFormat/>
    <w:rsid w:val="00C7752D"/>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C7752D"/>
    <w:pPr>
      <w:spacing w:after="0"/>
    </w:pPr>
  </w:style>
  <w:style w:type="paragraph" w:styleId="ListBullet2">
    <w:name w:val="List Bullet 2"/>
    <w:basedOn w:val="Normal"/>
    <w:uiPriority w:val="99"/>
    <w:semiHidden/>
    <w:unhideWhenUsed/>
    <w:rsid w:val="00C7752D"/>
    <w:pPr>
      <w:numPr>
        <w:numId w:val="5"/>
      </w:numPr>
      <w:contextualSpacing/>
    </w:pPr>
  </w:style>
  <w:style w:type="paragraph" w:styleId="ListBullet3">
    <w:name w:val="List Bullet 3"/>
    <w:basedOn w:val="Normal"/>
    <w:uiPriority w:val="99"/>
    <w:semiHidden/>
    <w:unhideWhenUsed/>
    <w:rsid w:val="00C7752D"/>
    <w:pPr>
      <w:numPr>
        <w:numId w:val="6"/>
      </w:numPr>
      <w:contextualSpacing/>
    </w:pPr>
  </w:style>
  <w:style w:type="paragraph" w:styleId="ListBullet4">
    <w:name w:val="List Bullet 4"/>
    <w:basedOn w:val="Normal"/>
    <w:uiPriority w:val="99"/>
    <w:semiHidden/>
    <w:unhideWhenUsed/>
    <w:rsid w:val="00C7752D"/>
    <w:pPr>
      <w:numPr>
        <w:numId w:val="7"/>
      </w:numPr>
      <w:contextualSpacing/>
    </w:pPr>
  </w:style>
  <w:style w:type="paragraph" w:styleId="ListNumber">
    <w:name w:val="List Number"/>
    <w:basedOn w:val="Normal"/>
    <w:uiPriority w:val="99"/>
    <w:semiHidden/>
    <w:unhideWhenUsed/>
    <w:rsid w:val="00C7752D"/>
    <w:pPr>
      <w:numPr>
        <w:numId w:val="8"/>
      </w:numPr>
      <w:contextualSpacing/>
    </w:pPr>
  </w:style>
  <w:style w:type="paragraph" w:styleId="ListNumber2">
    <w:name w:val="List Number 2"/>
    <w:basedOn w:val="Normal"/>
    <w:uiPriority w:val="99"/>
    <w:semiHidden/>
    <w:unhideWhenUsed/>
    <w:rsid w:val="00C7752D"/>
    <w:pPr>
      <w:numPr>
        <w:numId w:val="9"/>
      </w:numPr>
      <w:contextualSpacing/>
    </w:pPr>
  </w:style>
  <w:style w:type="paragraph" w:styleId="ListNumber3">
    <w:name w:val="List Number 3"/>
    <w:basedOn w:val="Normal"/>
    <w:uiPriority w:val="99"/>
    <w:semiHidden/>
    <w:unhideWhenUsed/>
    <w:rsid w:val="00C7752D"/>
    <w:pPr>
      <w:numPr>
        <w:numId w:val="10"/>
      </w:numPr>
      <w:contextualSpacing/>
    </w:pPr>
  </w:style>
  <w:style w:type="paragraph" w:styleId="ListNumber4">
    <w:name w:val="List Number 4"/>
    <w:basedOn w:val="Normal"/>
    <w:uiPriority w:val="99"/>
    <w:semiHidden/>
    <w:unhideWhenUsed/>
    <w:rsid w:val="00C7752D"/>
    <w:pPr>
      <w:numPr>
        <w:numId w:val="11"/>
      </w:numPr>
      <w:contextualSpacing/>
    </w:p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sv-SE"/>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B1788F"/>
    <w:pPr>
      <w:spacing w:after="0" w:line="240" w:lineRule="auto"/>
    </w:pPr>
    <w:rPr>
      <w:rFonts w:ascii="Times New Roman" w:hAnsi="Times New Roman" w:cs="Times New Roman"/>
      <w:sz w:val="24"/>
    </w:rPr>
  </w:style>
  <w:style w:type="paragraph" w:styleId="CommentSubject">
    <w:name w:val="annotation subject"/>
    <w:basedOn w:val="CommentText"/>
    <w:next w:val="CommentText"/>
    <w:link w:val="CommentSubjectChar"/>
    <w:uiPriority w:val="99"/>
    <w:semiHidden/>
    <w:unhideWhenUsed/>
    <w:rsid w:val="00B1788F"/>
    <w:rPr>
      <w:b/>
      <w:bCs/>
    </w:rPr>
  </w:style>
  <w:style w:type="character" w:customStyle="1" w:styleId="CommentSubjectChar">
    <w:name w:val="Comment Subject Char"/>
    <w:basedOn w:val="CommentTextChar"/>
    <w:link w:val="CommentSubject"/>
    <w:uiPriority w:val="99"/>
    <w:semiHidden/>
    <w:rsid w:val="00B1788F"/>
    <w:rPr>
      <w:rFonts w:ascii="Times New Roman" w:hAnsi="Times New Roman" w:cs="Times New Roman"/>
      <w:b/>
      <w:bCs/>
      <w:sz w:val="20"/>
      <w:szCs w:val="20"/>
      <w:lang w:val="sv-SE"/>
    </w:rPr>
  </w:style>
  <w:style w:type="character" w:styleId="Emphasis">
    <w:name w:val="Emphasis"/>
    <w:basedOn w:val="DefaultParagraphFont"/>
    <w:uiPriority w:val="20"/>
    <w:qFormat/>
    <w:rsid w:val="00115B95"/>
    <w:rPr>
      <w:i/>
      <w:iCs/>
    </w:rPr>
  </w:style>
  <w:style w:type="character" w:customStyle="1" w:styleId="UnresolvedMention">
    <w:name w:val="Unresolved Mention"/>
    <w:basedOn w:val="DefaultParagraphFont"/>
    <w:uiPriority w:val="99"/>
    <w:semiHidden/>
    <w:unhideWhenUsed/>
    <w:rsid w:val="005A2E65"/>
    <w:rPr>
      <w:color w:val="605E5C"/>
      <w:shd w:val="clear" w:color="auto" w:fill="E1DFDD"/>
    </w:rPr>
  </w:style>
  <w:style w:type="character" w:customStyle="1" w:styleId="Mention">
    <w:name w:val="Mention"/>
    <w:basedOn w:val="DefaultParagraphFont"/>
    <w:uiPriority w:val="99"/>
    <w:unhideWhenUsed/>
    <w:rsid w:val="00B523EC"/>
    <w:rPr>
      <w:color w:val="2B579A"/>
      <w:shd w:val="clear" w:color="auto" w:fill="E1DFDD"/>
    </w:rPr>
  </w:style>
  <w:style w:type="paragraph" w:customStyle="1" w:styleId="oj-normal">
    <w:name w:val="oj-normal"/>
    <w:basedOn w:val="Normal"/>
    <w:rsid w:val="007A0847"/>
    <w:pPr>
      <w:spacing w:before="100" w:beforeAutospacing="1" w:after="100" w:afterAutospacing="1"/>
      <w:jc w:val="left"/>
    </w:pPr>
    <w:rPr>
      <w:rFonts w:eastAsia="Times New Roman"/>
      <w:szCs w:val="24"/>
      <w:lang w:eastAsia="fr-BE"/>
    </w:rPr>
  </w:style>
  <w:style w:type="character" w:customStyle="1" w:styleId="oj-super">
    <w:name w:val="oj-super"/>
    <w:basedOn w:val="DefaultParagraphFont"/>
    <w:rsid w:val="007A0847"/>
  </w:style>
  <w:style w:type="paragraph" w:customStyle="1" w:styleId="pf0">
    <w:name w:val="pf0"/>
    <w:basedOn w:val="Normal"/>
    <w:rsid w:val="00655A55"/>
    <w:pPr>
      <w:spacing w:before="100" w:beforeAutospacing="1" w:after="100" w:afterAutospacing="1"/>
      <w:jc w:val="left"/>
    </w:pPr>
    <w:rPr>
      <w:rFonts w:eastAsia="Times New Roman"/>
      <w:szCs w:val="24"/>
      <w:lang w:eastAsia="fr-BE"/>
    </w:rPr>
  </w:style>
  <w:style w:type="character" w:customStyle="1" w:styleId="cf01">
    <w:name w:val="cf01"/>
    <w:basedOn w:val="DefaultParagraphFont"/>
    <w:rsid w:val="00655A55"/>
    <w:rPr>
      <w:rFonts w:ascii="Segoe UI" w:hAnsi="Segoe UI" w:cs="Segoe UI" w:hint="default"/>
      <w:i/>
      <w:iCs/>
      <w:sz w:val="18"/>
      <w:szCs w:val="18"/>
    </w:rPr>
  </w:style>
  <w:style w:type="character" w:customStyle="1" w:styleId="cf11">
    <w:name w:val="cf11"/>
    <w:basedOn w:val="DefaultParagraphFont"/>
    <w:rsid w:val="003A1487"/>
    <w:rPr>
      <w:rFonts w:ascii="Segoe UI" w:hAnsi="Segoe UI" w:cs="Segoe UI" w:hint="default"/>
      <w:sz w:val="18"/>
      <w:szCs w:val="18"/>
    </w:rPr>
  </w:style>
  <w:style w:type="character" w:customStyle="1" w:styleId="cf21">
    <w:name w:val="cf21"/>
    <w:basedOn w:val="DefaultParagraphFont"/>
    <w:rsid w:val="003A1487"/>
    <w:rPr>
      <w:rFonts w:ascii="Segoe UI" w:hAnsi="Segoe UI" w:cs="Segoe UI" w:hint="default"/>
      <w:sz w:val="18"/>
      <w:szCs w:val="18"/>
      <w:shd w:val="clear" w:color="auto" w:fill="FFFF00"/>
    </w:rPr>
  </w:style>
  <w:style w:type="character" w:customStyle="1" w:styleId="HeaderChar">
    <w:name w:val="Header Char"/>
    <w:basedOn w:val="DefaultParagraphFont"/>
    <w:link w:val="Header"/>
    <w:uiPriority w:val="99"/>
    <w:rsid w:val="00023194"/>
    <w:rPr>
      <w:rFonts w:ascii="Times New Roman" w:hAnsi="Times New Roman" w:cs="Times New Roman"/>
      <w:sz w:val="24"/>
      <w:lang w:val="sv-SE"/>
    </w:rPr>
  </w:style>
  <w:style w:type="character" w:customStyle="1" w:styleId="FooterChar">
    <w:name w:val="Footer Char"/>
    <w:basedOn w:val="DefaultParagraphFont"/>
    <w:link w:val="Footer"/>
    <w:uiPriority w:val="99"/>
    <w:rsid w:val="00023194"/>
    <w:rPr>
      <w:rFonts w:ascii="Times New Roman" w:hAnsi="Times New Roman" w:cs="Times New Roman"/>
      <w:sz w:val="24"/>
      <w:lang w:val="sv-SE"/>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sv-SE"/>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sv-SE"/>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sv-SE"/>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sv-SE"/>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sv-SE"/>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sv-SE"/>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sv-SE"/>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023194"/>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023194"/>
    <w:pPr>
      <w:spacing w:before="0"/>
      <w:jc w:val="right"/>
    </w:pPr>
    <w:rPr>
      <w:sz w:val="28"/>
    </w:rPr>
  </w:style>
  <w:style w:type="paragraph" w:customStyle="1" w:styleId="FooterSensitivity">
    <w:name w:val="Footer Sensitivity"/>
    <w:basedOn w:val="Normal"/>
    <w:rsid w:val="0002319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4"/>
      </w:numPr>
    </w:pPr>
  </w:style>
  <w:style w:type="paragraph" w:customStyle="1" w:styleId="Tiret1">
    <w:name w:val="Tiret 1"/>
    <w:basedOn w:val="Point1"/>
    <w:pPr>
      <w:numPr>
        <w:numId w:val="25"/>
      </w:numPr>
    </w:pPr>
  </w:style>
  <w:style w:type="paragraph" w:customStyle="1" w:styleId="Tiret2">
    <w:name w:val="Tiret 2"/>
    <w:basedOn w:val="Point2"/>
    <w:pPr>
      <w:numPr>
        <w:numId w:val="26"/>
      </w:numPr>
    </w:pPr>
  </w:style>
  <w:style w:type="paragraph" w:customStyle="1" w:styleId="Tiret3">
    <w:name w:val="Tiret 3"/>
    <w:basedOn w:val="Point3"/>
    <w:pPr>
      <w:numPr>
        <w:numId w:val="27"/>
      </w:numPr>
    </w:pPr>
  </w:style>
  <w:style w:type="paragraph" w:customStyle="1" w:styleId="Tiret4">
    <w:name w:val="Tiret 4"/>
    <w:basedOn w:val="Point4"/>
    <w:pPr>
      <w:numPr>
        <w:numId w:val="28"/>
      </w:numPr>
    </w:pPr>
  </w:style>
  <w:style w:type="paragraph" w:customStyle="1" w:styleId="Tiret5">
    <w:name w:val="Tiret 5"/>
    <w:basedOn w:val="Point5"/>
    <w:pPr>
      <w:numPr>
        <w:numId w:val="29"/>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0"/>
      </w:numPr>
    </w:pPr>
  </w:style>
  <w:style w:type="paragraph" w:customStyle="1" w:styleId="NumPar2">
    <w:name w:val="NumPar 2"/>
    <w:basedOn w:val="Normal"/>
    <w:next w:val="Text1"/>
    <w:pPr>
      <w:numPr>
        <w:ilvl w:val="1"/>
        <w:numId w:val="30"/>
      </w:numPr>
    </w:pPr>
  </w:style>
  <w:style w:type="paragraph" w:customStyle="1" w:styleId="NumPar3">
    <w:name w:val="NumPar 3"/>
    <w:basedOn w:val="Normal"/>
    <w:next w:val="Text1"/>
    <w:pPr>
      <w:numPr>
        <w:ilvl w:val="2"/>
        <w:numId w:val="30"/>
      </w:numPr>
    </w:pPr>
  </w:style>
  <w:style w:type="paragraph" w:customStyle="1" w:styleId="NumPar4">
    <w:name w:val="NumPar 4"/>
    <w:basedOn w:val="Normal"/>
    <w:next w:val="Text1"/>
    <w:pPr>
      <w:numPr>
        <w:ilvl w:val="3"/>
        <w:numId w:val="30"/>
      </w:numPr>
    </w:pPr>
  </w:style>
  <w:style w:type="paragraph" w:customStyle="1" w:styleId="NumPar5">
    <w:name w:val="NumPar 5"/>
    <w:basedOn w:val="Normal"/>
    <w:next w:val="Text2"/>
    <w:pPr>
      <w:numPr>
        <w:ilvl w:val="4"/>
        <w:numId w:val="30"/>
      </w:numPr>
    </w:pPr>
  </w:style>
  <w:style w:type="paragraph" w:customStyle="1" w:styleId="NumPar6">
    <w:name w:val="NumPar 6"/>
    <w:basedOn w:val="Normal"/>
    <w:next w:val="Text2"/>
    <w:pPr>
      <w:numPr>
        <w:ilvl w:val="5"/>
        <w:numId w:val="30"/>
      </w:numPr>
    </w:pPr>
  </w:style>
  <w:style w:type="paragraph" w:customStyle="1" w:styleId="NumPar7">
    <w:name w:val="NumPar 7"/>
    <w:basedOn w:val="Normal"/>
    <w:next w:val="Text2"/>
    <w:pPr>
      <w:numPr>
        <w:ilvl w:val="6"/>
        <w:numId w:val="30"/>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2"/>
      </w:numPr>
    </w:pPr>
  </w:style>
  <w:style w:type="paragraph" w:customStyle="1" w:styleId="Point1number">
    <w:name w:val="Point 1 (number)"/>
    <w:basedOn w:val="Normal"/>
    <w:pPr>
      <w:numPr>
        <w:ilvl w:val="2"/>
        <w:numId w:val="32"/>
      </w:numPr>
    </w:pPr>
  </w:style>
  <w:style w:type="paragraph" w:customStyle="1" w:styleId="Point2number">
    <w:name w:val="Point 2 (number)"/>
    <w:basedOn w:val="Normal"/>
    <w:pPr>
      <w:numPr>
        <w:ilvl w:val="4"/>
        <w:numId w:val="32"/>
      </w:numPr>
    </w:pPr>
  </w:style>
  <w:style w:type="paragraph" w:customStyle="1" w:styleId="Point3number">
    <w:name w:val="Point 3 (number)"/>
    <w:basedOn w:val="Normal"/>
    <w:pPr>
      <w:numPr>
        <w:ilvl w:val="6"/>
        <w:numId w:val="32"/>
      </w:numPr>
    </w:pPr>
  </w:style>
  <w:style w:type="paragraph" w:customStyle="1" w:styleId="Point0letter">
    <w:name w:val="Point 0 (letter)"/>
    <w:basedOn w:val="Normal"/>
    <w:pPr>
      <w:numPr>
        <w:ilvl w:val="1"/>
        <w:numId w:val="32"/>
      </w:numPr>
    </w:pPr>
  </w:style>
  <w:style w:type="paragraph" w:customStyle="1" w:styleId="Point1letter">
    <w:name w:val="Point 1 (letter)"/>
    <w:basedOn w:val="Normal"/>
    <w:pPr>
      <w:numPr>
        <w:ilvl w:val="3"/>
        <w:numId w:val="32"/>
      </w:numPr>
    </w:pPr>
  </w:style>
  <w:style w:type="paragraph" w:customStyle="1" w:styleId="Point2letter">
    <w:name w:val="Point 2 (letter)"/>
    <w:basedOn w:val="Normal"/>
    <w:pPr>
      <w:numPr>
        <w:ilvl w:val="5"/>
        <w:numId w:val="32"/>
      </w:numPr>
    </w:pPr>
  </w:style>
  <w:style w:type="paragraph" w:customStyle="1" w:styleId="Point3letter">
    <w:name w:val="Point 3 (letter)"/>
    <w:basedOn w:val="Normal"/>
    <w:pPr>
      <w:numPr>
        <w:ilvl w:val="7"/>
        <w:numId w:val="32"/>
      </w:numPr>
    </w:pPr>
  </w:style>
  <w:style w:type="paragraph" w:customStyle="1" w:styleId="Point4letter">
    <w:name w:val="Point 4 (letter)"/>
    <w:basedOn w:val="Normal"/>
    <w:pPr>
      <w:numPr>
        <w:ilvl w:val="8"/>
        <w:numId w:val="32"/>
      </w:numPr>
    </w:pPr>
  </w:style>
  <w:style w:type="paragraph" w:customStyle="1" w:styleId="Bullet0">
    <w:name w:val="Bullet 0"/>
    <w:basedOn w:val="Normal"/>
    <w:pPr>
      <w:numPr>
        <w:numId w:val="33"/>
      </w:numPr>
    </w:pPr>
  </w:style>
  <w:style w:type="paragraph" w:customStyle="1" w:styleId="Bullet1">
    <w:name w:val="Bullet 1"/>
    <w:basedOn w:val="Normal"/>
    <w:pPr>
      <w:numPr>
        <w:numId w:val="34"/>
      </w:numPr>
    </w:pPr>
  </w:style>
  <w:style w:type="paragraph" w:customStyle="1" w:styleId="Bullet2">
    <w:name w:val="Bullet 2"/>
    <w:basedOn w:val="Normal"/>
    <w:pPr>
      <w:numPr>
        <w:numId w:val="35"/>
      </w:numPr>
    </w:pPr>
  </w:style>
  <w:style w:type="paragraph" w:customStyle="1" w:styleId="Bullet3">
    <w:name w:val="Bullet 3"/>
    <w:basedOn w:val="Normal"/>
    <w:pPr>
      <w:numPr>
        <w:numId w:val="36"/>
      </w:numPr>
    </w:pPr>
  </w:style>
  <w:style w:type="paragraph" w:customStyle="1" w:styleId="Bullet4">
    <w:name w:val="Bullet 4"/>
    <w:basedOn w:val="Normal"/>
    <w:pPr>
      <w:numPr>
        <w:numId w:val="37"/>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8"/>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023194"/>
    <w:pPr>
      <w:tabs>
        <w:tab w:val="center" w:pos="4535"/>
        <w:tab w:val="right" w:pos="9071"/>
      </w:tabs>
      <w:spacing w:before="0"/>
    </w:pPr>
  </w:style>
  <w:style w:type="paragraph" w:customStyle="1" w:styleId="HeaderLandscape">
    <w:name w:val="HeaderLandscape"/>
    <w:basedOn w:val="Normal"/>
    <w:rsid w:val="00023194"/>
    <w:pPr>
      <w:tabs>
        <w:tab w:val="center" w:pos="7285"/>
        <w:tab w:val="right" w:pos="14003"/>
      </w:tabs>
      <w:spacing w:before="0"/>
    </w:pPr>
  </w:style>
  <w:style w:type="paragraph" w:styleId="Footer">
    <w:name w:val="footer"/>
    <w:basedOn w:val="Normal"/>
    <w:link w:val="FooterChar"/>
    <w:uiPriority w:val="99"/>
    <w:unhideWhenUsed/>
    <w:rsid w:val="00023194"/>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023194"/>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602210">
      <w:bodyDiv w:val="1"/>
      <w:marLeft w:val="0"/>
      <w:marRight w:val="0"/>
      <w:marTop w:val="0"/>
      <w:marBottom w:val="0"/>
      <w:divBdr>
        <w:top w:val="none" w:sz="0" w:space="0" w:color="auto"/>
        <w:left w:val="none" w:sz="0" w:space="0" w:color="auto"/>
        <w:bottom w:val="none" w:sz="0" w:space="0" w:color="auto"/>
        <w:right w:val="none" w:sz="0" w:space="0" w:color="auto"/>
      </w:divBdr>
    </w:div>
    <w:div w:id="660616499">
      <w:bodyDiv w:val="1"/>
      <w:marLeft w:val="0"/>
      <w:marRight w:val="0"/>
      <w:marTop w:val="0"/>
      <w:marBottom w:val="0"/>
      <w:divBdr>
        <w:top w:val="none" w:sz="0" w:space="0" w:color="auto"/>
        <w:left w:val="none" w:sz="0" w:space="0" w:color="auto"/>
        <w:bottom w:val="none" w:sz="0" w:space="0" w:color="auto"/>
        <w:right w:val="none" w:sz="0" w:space="0" w:color="auto"/>
      </w:divBdr>
    </w:div>
    <w:div w:id="737170144">
      <w:bodyDiv w:val="1"/>
      <w:marLeft w:val="0"/>
      <w:marRight w:val="0"/>
      <w:marTop w:val="0"/>
      <w:marBottom w:val="0"/>
      <w:divBdr>
        <w:top w:val="none" w:sz="0" w:space="0" w:color="auto"/>
        <w:left w:val="none" w:sz="0" w:space="0" w:color="auto"/>
        <w:bottom w:val="none" w:sz="0" w:space="0" w:color="auto"/>
        <w:right w:val="none" w:sz="0" w:space="0" w:color="auto"/>
      </w:divBdr>
    </w:div>
    <w:div w:id="894970974">
      <w:bodyDiv w:val="1"/>
      <w:marLeft w:val="0"/>
      <w:marRight w:val="0"/>
      <w:marTop w:val="0"/>
      <w:marBottom w:val="0"/>
      <w:divBdr>
        <w:top w:val="none" w:sz="0" w:space="0" w:color="auto"/>
        <w:left w:val="none" w:sz="0" w:space="0" w:color="auto"/>
        <w:bottom w:val="none" w:sz="0" w:space="0" w:color="auto"/>
        <w:right w:val="none" w:sz="0" w:space="0" w:color="auto"/>
      </w:divBdr>
    </w:div>
    <w:div w:id="1187523922">
      <w:bodyDiv w:val="1"/>
      <w:marLeft w:val="0"/>
      <w:marRight w:val="0"/>
      <w:marTop w:val="0"/>
      <w:marBottom w:val="0"/>
      <w:divBdr>
        <w:top w:val="none" w:sz="0" w:space="0" w:color="auto"/>
        <w:left w:val="none" w:sz="0" w:space="0" w:color="auto"/>
        <w:bottom w:val="none" w:sz="0" w:space="0" w:color="auto"/>
        <w:right w:val="none" w:sz="0" w:space="0" w:color="auto"/>
      </w:divBdr>
    </w:div>
    <w:div w:id="1248999150">
      <w:bodyDiv w:val="1"/>
      <w:marLeft w:val="0"/>
      <w:marRight w:val="0"/>
      <w:marTop w:val="0"/>
      <w:marBottom w:val="0"/>
      <w:divBdr>
        <w:top w:val="none" w:sz="0" w:space="0" w:color="auto"/>
        <w:left w:val="none" w:sz="0" w:space="0" w:color="auto"/>
        <w:bottom w:val="none" w:sz="0" w:space="0" w:color="auto"/>
        <w:right w:val="none" w:sz="0" w:space="0" w:color="auto"/>
      </w:divBdr>
      <w:divsChild>
        <w:div w:id="1932929728">
          <w:marLeft w:val="0"/>
          <w:marRight w:val="0"/>
          <w:marTop w:val="0"/>
          <w:marBottom w:val="0"/>
          <w:divBdr>
            <w:top w:val="none" w:sz="0" w:space="0" w:color="auto"/>
            <w:left w:val="none" w:sz="0" w:space="0" w:color="auto"/>
            <w:bottom w:val="none" w:sz="0" w:space="0" w:color="auto"/>
            <w:right w:val="none" w:sz="0" w:space="0" w:color="auto"/>
          </w:divBdr>
          <w:divsChild>
            <w:div w:id="1646355319">
              <w:marLeft w:val="0"/>
              <w:marRight w:val="0"/>
              <w:marTop w:val="0"/>
              <w:marBottom w:val="0"/>
              <w:divBdr>
                <w:top w:val="none" w:sz="0" w:space="0" w:color="auto"/>
                <w:left w:val="none" w:sz="0" w:space="0" w:color="auto"/>
                <w:bottom w:val="none" w:sz="0" w:space="0" w:color="auto"/>
                <w:right w:val="none" w:sz="0" w:space="0" w:color="auto"/>
              </w:divBdr>
              <w:divsChild>
                <w:div w:id="1285693608">
                  <w:marLeft w:val="0"/>
                  <w:marRight w:val="0"/>
                  <w:marTop w:val="0"/>
                  <w:marBottom w:val="0"/>
                  <w:divBdr>
                    <w:top w:val="none" w:sz="0" w:space="0" w:color="auto"/>
                    <w:left w:val="none" w:sz="0" w:space="0" w:color="auto"/>
                    <w:bottom w:val="none" w:sz="0" w:space="0" w:color="auto"/>
                    <w:right w:val="none" w:sz="0" w:space="0" w:color="auto"/>
                  </w:divBdr>
                  <w:divsChild>
                    <w:div w:id="136872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316141">
      <w:bodyDiv w:val="1"/>
      <w:marLeft w:val="0"/>
      <w:marRight w:val="0"/>
      <w:marTop w:val="0"/>
      <w:marBottom w:val="0"/>
      <w:divBdr>
        <w:top w:val="none" w:sz="0" w:space="0" w:color="auto"/>
        <w:left w:val="none" w:sz="0" w:space="0" w:color="auto"/>
        <w:bottom w:val="none" w:sz="0" w:space="0" w:color="auto"/>
        <w:right w:val="none" w:sz="0" w:space="0" w:color="auto"/>
      </w:divBdr>
    </w:div>
    <w:div w:id="1411849140">
      <w:bodyDiv w:val="1"/>
      <w:marLeft w:val="0"/>
      <w:marRight w:val="0"/>
      <w:marTop w:val="0"/>
      <w:marBottom w:val="0"/>
      <w:divBdr>
        <w:top w:val="none" w:sz="0" w:space="0" w:color="auto"/>
        <w:left w:val="none" w:sz="0" w:space="0" w:color="auto"/>
        <w:bottom w:val="none" w:sz="0" w:space="0" w:color="auto"/>
        <w:right w:val="none" w:sz="0" w:space="0" w:color="auto"/>
      </w:divBdr>
    </w:div>
    <w:div w:id="1990985860">
      <w:bodyDiv w:val="1"/>
      <w:marLeft w:val="0"/>
      <w:marRight w:val="0"/>
      <w:marTop w:val="0"/>
      <w:marBottom w:val="0"/>
      <w:divBdr>
        <w:top w:val="none" w:sz="0" w:space="0" w:color="auto"/>
        <w:left w:val="none" w:sz="0" w:space="0" w:color="auto"/>
        <w:bottom w:val="none" w:sz="0" w:space="0" w:color="auto"/>
        <w:right w:val="none" w:sz="0" w:space="0" w:color="auto"/>
      </w:divBdr>
      <w:divsChild>
        <w:div w:id="1363437395">
          <w:marLeft w:val="0"/>
          <w:marRight w:val="0"/>
          <w:marTop w:val="0"/>
          <w:marBottom w:val="0"/>
          <w:divBdr>
            <w:top w:val="none" w:sz="0" w:space="0" w:color="auto"/>
            <w:left w:val="none" w:sz="0" w:space="0" w:color="auto"/>
            <w:bottom w:val="none" w:sz="0" w:space="0" w:color="auto"/>
            <w:right w:val="none" w:sz="0" w:space="0" w:color="auto"/>
          </w:divBdr>
          <w:divsChild>
            <w:div w:id="1453940061">
              <w:marLeft w:val="0"/>
              <w:marRight w:val="0"/>
              <w:marTop w:val="0"/>
              <w:marBottom w:val="0"/>
              <w:divBdr>
                <w:top w:val="none" w:sz="0" w:space="0" w:color="auto"/>
                <w:left w:val="none" w:sz="0" w:space="0" w:color="auto"/>
                <w:bottom w:val="none" w:sz="0" w:space="0" w:color="auto"/>
                <w:right w:val="none" w:sz="0" w:space="0" w:color="auto"/>
              </w:divBdr>
              <w:divsChild>
                <w:div w:id="845172270">
                  <w:marLeft w:val="0"/>
                  <w:marRight w:val="0"/>
                  <w:marTop w:val="0"/>
                  <w:marBottom w:val="0"/>
                  <w:divBdr>
                    <w:top w:val="none" w:sz="0" w:space="0" w:color="auto"/>
                    <w:left w:val="none" w:sz="0" w:space="0" w:color="auto"/>
                    <w:bottom w:val="none" w:sz="0" w:space="0" w:color="auto"/>
                    <w:right w:val="none" w:sz="0" w:space="0" w:color="auto"/>
                  </w:divBdr>
                  <w:divsChild>
                    <w:div w:id="1502045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reg/2024/1623/oj" TargetMode="External"/><Relationship Id="rId2" Type="http://schemas.openxmlformats.org/officeDocument/2006/relationships/hyperlink" Target="http://data.europa.eu/eli/reg/2021/637/oj" TargetMode="External"/><Relationship Id="rId1" Type="http://schemas.openxmlformats.org/officeDocument/2006/relationships/hyperlink" Target="http://data.europa.eu/eli/reg/2013/575/oj" TargetMode="External"/><Relationship Id="rId4" Type="http://schemas.openxmlformats.org/officeDocument/2006/relationships/hyperlink" Target="http://data.europa.eu/eli/reg/2022/2453/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24952D-607B-4CD9-A920-5D7A3398EAE1}">
  <ds:schemaRefs>
    <ds:schemaRef ds:uri="http://purl.org/dc/elements/1.1/"/>
    <ds:schemaRef ds:uri="http://schemas.microsoft.com/office/2006/documentManagement/types"/>
    <ds:schemaRef ds:uri="http://purl.org/dc/terms/"/>
    <ds:schemaRef ds:uri="http://schemas.microsoft.com/office/infopath/2007/PartnerControls"/>
    <ds:schemaRef ds:uri="http://www.w3.org/XML/1998/namespace"/>
    <ds:schemaRef ds:uri="144c03d0-0f03-451f-9d46-5279004462a4"/>
    <ds:schemaRef ds:uri="http://purl.org/dc/dcmitype/"/>
    <ds:schemaRef ds:uri="http://schemas.openxmlformats.org/package/2006/metadata/core-properties"/>
    <ds:schemaRef ds:uri="f7bb8512-91eb-4bfd-be42-d6f021407e9a"/>
    <ds:schemaRef ds:uri="http://schemas.microsoft.com/sharepoint/v3/fields"/>
    <ds:schemaRef ds:uri="http://schemas.microsoft.com/office/2006/metadata/properties"/>
  </ds:schemaRefs>
</ds:datastoreItem>
</file>

<file path=customXml/itemProps2.xml><?xml version="1.0" encoding="utf-8"?>
<ds:datastoreItem xmlns:ds="http://schemas.openxmlformats.org/officeDocument/2006/customXml" ds:itemID="{00F3DEC4-9A45-42B6-8DF3-81B633090019}"/>
</file>

<file path=customXml/itemProps3.xml><?xml version="1.0" encoding="utf-8"?>
<ds:datastoreItem xmlns:ds="http://schemas.openxmlformats.org/officeDocument/2006/customXml" ds:itemID="{976C36D1-9C3A-4143-8F40-65D99F65AE70}">
  <ds:schemaRefs>
    <ds:schemaRef ds:uri="http://schemas.microsoft.com/sharepoint/v3/contenttype/forms"/>
  </ds:schemaRefs>
</ds:datastoreItem>
</file>

<file path=customXml/itemProps4.xml><?xml version="1.0" encoding="utf-8"?>
<ds:datastoreItem xmlns:ds="http://schemas.openxmlformats.org/officeDocument/2006/customXml" ds:itemID="{00273528-E578-447A-9FC6-10B62A5DC3B6}">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7</TotalTime>
  <Pages>11</Pages>
  <Words>4492</Words>
  <Characters>25611</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30043</CharactersWithSpaces>
  <SharedDoc>false</SharedDoc>
  <HLinks>
    <vt:vector size="72" baseType="variant">
      <vt:variant>
        <vt:i4>1769520</vt:i4>
      </vt:variant>
      <vt:variant>
        <vt:i4>72</vt:i4>
      </vt:variant>
      <vt:variant>
        <vt:i4>0</vt:i4>
      </vt:variant>
      <vt:variant>
        <vt:i4>5</vt:i4>
      </vt:variant>
      <vt:variant>
        <vt:lpwstr>http://data.europa.eu/eli/reg_impl/2022/2453/oj</vt:lpwstr>
      </vt:variant>
      <vt:variant>
        <vt:lpwstr/>
      </vt:variant>
      <vt:variant>
        <vt:i4>4259864</vt:i4>
      </vt:variant>
      <vt:variant>
        <vt:i4>0</vt:i4>
      </vt:variant>
      <vt:variant>
        <vt:i4>0</vt:i4>
      </vt:variant>
      <vt:variant>
        <vt:i4>5</vt:i4>
      </vt:variant>
      <vt:variant>
        <vt:lpwstr>http://data.europa.eu/eli/reg/2013/575/oj</vt:lpwstr>
      </vt:variant>
      <vt:variant>
        <vt:lpwstr/>
      </vt:variant>
      <vt:variant>
        <vt:i4>393331</vt:i4>
      </vt:variant>
      <vt:variant>
        <vt:i4>27</vt:i4>
      </vt:variant>
      <vt:variant>
        <vt:i4>0</vt:i4>
      </vt:variant>
      <vt:variant>
        <vt:i4>5</vt:i4>
      </vt:variant>
      <vt:variant>
        <vt:lpwstr>mailto:Georg-Josef.PUNTUS@ec.europa.eu</vt:lpwstr>
      </vt:variant>
      <vt:variant>
        <vt:lpwstr/>
      </vt:variant>
      <vt:variant>
        <vt:i4>5701750</vt:i4>
      </vt:variant>
      <vt:variant>
        <vt:i4>24</vt:i4>
      </vt:variant>
      <vt:variant>
        <vt:i4>0</vt:i4>
      </vt:variant>
      <vt:variant>
        <vt:i4>5</vt:i4>
      </vt:variant>
      <vt:variant>
        <vt:lpwstr>mailto:Edoardo.RULLI@ec.europa.eu</vt:lpwstr>
      </vt:variant>
      <vt:variant>
        <vt:lpwstr/>
      </vt:variant>
      <vt:variant>
        <vt:i4>5701750</vt:i4>
      </vt:variant>
      <vt:variant>
        <vt:i4>21</vt:i4>
      </vt:variant>
      <vt:variant>
        <vt:i4>0</vt:i4>
      </vt:variant>
      <vt:variant>
        <vt:i4>5</vt:i4>
      </vt:variant>
      <vt:variant>
        <vt:lpwstr>mailto:Edoardo.RULLI@ec.europa.eu</vt:lpwstr>
      </vt:variant>
      <vt:variant>
        <vt:lpwstr/>
      </vt:variant>
      <vt:variant>
        <vt:i4>5701750</vt:i4>
      </vt:variant>
      <vt:variant>
        <vt:i4>18</vt:i4>
      </vt:variant>
      <vt:variant>
        <vt:i4>0</vt:i4>
      </vt:variant>
      <vt:variant>
        <vt:i4>5</vt:i4>
      </vt:variant>
      <vt:variant>
        <vt:lpwstr>mailto:Edoardo.RULLI@ec.europa.eu</vt:lpwstr>
      </vt:variant>
      <vt:variant>
        <vt:lpwstr/>
      </vt:variant>
      <vt:variant>
        <vt:i4>5701750</vt:i4>
      </vt:variant>
      <vt:variant>
        <vt:i4>15</vt:i4>
      </vt:variant>
      <vt:variant>
        <vt:i4>0</vt:i4>
      </vt:variant>
      <vt:variant>
        <vt:i4>5</vt:i4>
      </vt:variant>
      <vt:variant>
        <vt:lpwstr>mailto:Edoardo.RULLI@ec.europa.eu</vt:lpwstr>
      </vt:variant>
      <vt:variant>
        <vt:lpwstr/>
      </vt:variant>
      <vt:variant>
        <vt:i4>5701750</vt:i4>
      </vt:variant>
      <vt:variant>
        <vt:i4>12</vt:i4>
      </vt:variant>
      <vt:variant>
        <vt:i4>0</vt:i4>
      </vt:variant>
      <vt:variant>
        <vt:i4>5</vt:i4>
      </vt:variant>
      <vt:variant>
        <vt:lpwstr>mailto:Edoardo.RULLI@ec.europa.eu</vt:lpwstr>
      </vt:variant>
      <vt:variant>
        <vt:lpwstr/>
      </vt:variant>
      <vt:variant>
        <vt:i4>5701750</vt:i4>
      </vt:variant>
      <vt:variant>
        <vt:i4>9</vt:i4>
      </vt:variant>
      <vt:variant>
        <vt:i4>0</vt:i4>
      </vt:variant>
      <vt:variant>
        <vt:i4>5</vt:i4>
      </vt:variant>
      <vt:variant>
        <vt:lpwstr>mailto:Edoardo.RULLI@ec.europa.eu</vt:lpwstr>
      </vt:variant>
      <vt:variant>
        <vt:lpwstr/>
      </vt:variant>
      <vt:variant>
        <vt:i4>5701750</vt:i4>
      </vt:variant>
      <vt:variant>
        <vt:i4>6</vt:i4>
      </vt:variant>
      <vt:variant>
        <vt:i4>0</vt:i4>
      </vt:variant>
      <vt:variant>
        <vt:i4>5</vt:i4>
      </vt:variant>
      <vt:variant>
        <vt:lpwstr>mailto:Edoardo.RULLI@ec.europa.eu</vt:lpwstr>
      </vt:variant>
      <vt:variant>
        <vt:lpwstr/>
      </vt:variant>
      <vt:variant>
        <vt:i4>5701750</vt:i4>
      </vt:variant>
      <vt:variant>
        <vt:i4>3</vt:i4>
      </vt:variant>
      <vt:variant>
        <vt:i4>0</vt:i4>
      </vt:variant>
      <vt:variant>
        <vt:i4>5</vt:i4>
      </vt:variant>
      <vt:variant>
        <vt:lpwstr>mailto:Edoardo.RULLI@ec.europa.eu</vt:lpwstr>
      </vt:variant>
      <vt:variant>
        <vt:lpwstr/>
      </vt:variant>
      <vt:variant>
        <vt:i4>6684715</vt:i4>
      </vt:variant>
      <vt:variant>
        <vt:i4>0</vt:i4>
      </vt:variant>
      <vt:variant>
        <vt:i4>0</vt:i4>
      </vt:variant>
      <vt:variant>
        <vt:i4>5</vt:i4>
      </vt:variant>
      <vt:variant>
        <vt:lpwstr>https://webgate.ec.europa.eu/fpfis/wikis/pages/viewpage.action?pageId=343284579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36</cp:revision>
  <dcterms:created xsi:type="dcterms:W3CDTF">2024-09-12T14:20:00Z</dcterms:created>
  <dcterms:modified xsi:type="dcterms:W3CDTF">2024-11-22T09:30:00Z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8.0.19.5</vt:lpwstr>
  </property>
  <property fmtid="{D5CDD505-2E9C-101B-9397-08002B2CF9AE}" pid="4" name="Last edited using">
    <vt:lpwstr>LW 9.0, Build 20230317</vt:lpwstr>
  </property>
  <property fmtid="{D5CDD505-2E9C-101B-9397-08002B2CF9AE}" pid="5" name="Created using">
    <vt:lpwstr>LW 8.1, Build 20220811</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ClassificationContentMarkingHeaderShapeIds">
    <vt:lpwstr>5d116b55,4f92f2a,940a748,1ecab066,41bb3f61,65103471</vt:lpwstr>
  </property>
  <property fmtid="{D5CDD505-2E9C-101B-9397-08002B2CF9AE}" pid="11" name="ClassificationContentMarkingHeaderFontProps">
    <vt:lpwstr>#000000,12,Calibri</vt:lpwstr>
  </property>
  <property fmtid="{D5CDD505-2E9C-101B-9397-08002B2CF9AE}" pid="12" name="ClassificationContentMarkingHeaderText">
    <vt:lpwstr>EBA Regular Use</vt:lpwstr>
  </property>
  <property fmtid="{D5CDD505-2E9C-101B-9397-08002B2CF9AE}" pid="13" name="MSIP_Label_6bd9ddd1-4d20-43f6-abfa-fc3c07406f94_Enabled">
    <vt:lpwstr>true</vt:lpwstr>
  </property>
  <property fmtid="{D5CDD505-2E9C-101B-9397-08002B2CF9AE}" pid="14" name="MSIP_Label_6bd9ddd1-4d20-43f6-abfa-fc3c07406f94_SetDate">
    <vt:lpwstr>2024-06-20T16:16:49Z</vt:lpwstr>
  </property>
  <property fmtid="{D5CDD505-2E9C-101B-9397-08002B2CF9AE}" pid="15" name="MSIP_Label_6bd9ddd1-4d20-43f6-abfa-fc3c07406f94_Method">
    <vt:lpwstr>Standard</vt:lpwstr>
  </property>
  <property fmtid="{D5CDD505-2E9C-101B-9397-08002B2CF9AE}" pid="16" name="MSIP_Label_6bd9ddd1-4d20-43f6-abfa-fc3c07406f94_Name">
    <vt:lpwstr>Commission Use</vt:lpwstr>
  </property>
  <property fmtid="{D5CDD505-2E9C-101B-9397-08002B2CF9AE}" pid="17" name="MSIP_Label_6bd9ddd1-4d20-43f6-abfa-fc3c07406f94_SiteId">
    <vt:lpwstr>b24c8b06-522c-46fe-9080-70926f8dddb1</vt:lpwstr>
  </property>
  <property fmtid="{D5CDD505-2E9C-101B-9397-08002B2CF9AE}" pid="18" name="MSIP_Label_6bd9ddd1-4d20-43f6-abfa-fc3c07406f94_ActionId">
    <vt:lpwstr>2b9edaa4-900d-4d40-b6d2-64bd8bcd67af</vt:lpwstr>
  </property>
  <property fmtid="{D5CDD505-2E9C-101B-9397-08002B2CF9AE}" pid="19" name="MSIP_Label_6bd9ddd1-4d20-43f6-abfa-fc3c07406f94_ContentBits">
    <vt:lpwstr>0</vt:lpwstr>
  </property>
  <property fmtid="{D5CDD505-2E9C-101B-9397-08002B2CF9AE}" pid="20" name="ContentTypeId">
    <vt:lpwstr>0x010100A640DC13EB184F4EBE5AA21BE9F247DB</vt:lpwstr>
  </property>
  <property fmtid="{D5CDD505-2E9C-101B-9397-08002B2CF9AE}" pid="21" name="DQCStatus">
    <vt:lpwstr>Green (DQC version 03)</vt:lpwstr>
  </property>
</Properties>
</file>